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0366F" w14:textId="77777777" w:rsidR="00731BE5" w:rsidRDefault="00731BE5">
      <w:pPr>
        <w:widowControl w:val="0"/>
        <w:pBdr>
          <w:top w:val="nil"/>
          <w:left w:val="nil"/>
          <w:bottom w:val="nil"/>
          <w:right w:val="nil"/>
          <w:between w:val="nil"/>
        </w:pBdr>
        <w:spacing w:line="276" w:lineRule="auto"/>
      </w:pPr>
    </w:p>
    <w:p w14:paraId="76103670" w14:textId="77777777" w:rsidR="00731BE5" w:rsidRDefault="00923150">
      <w:pPr>
        <w:tabs>
          <w:tab w:val="left" w:pos="3465"/>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tres (03) de abril de dos mil veinticuatro </w:t>
      </w:r>
    </w:p>
    <w:p w14:paraId="76103671" w14:textId="77777777" w:rsidR="00731BE5" w:rsidRDefault="00731BE5">
      <w:pPr>
        <w:tabs>
          <w:tab w:val="left" w:pos="3465"/>
        </w:tabs>
        <w:spacing w:line="360" w:lineRule="auto"/>
        <w:jc w:val="both"/>
        <w:rPr>
          <w:rFonts w:ascii="Palatino Linotype" w:eastAsia="Palatino Linotype" w:hAnsi="Palatino Linotype" w:cs="Palatino Linotype"/>
          <w:color w:val="000000"/>
        </w:rPr>
      </w:pPr>
    </w:p>
    <w:p w14:paraId="76103672" w14:textId="55261162" w:rsidR="00731BE5" w:rsidRDefault="0092315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electrónico formado con motivo del recurso de revisión </w:t>
      </w:r>
      <w:r>
        <w:rPr>
          <w:rFonts w:ascii="Palatino Linotype" w:eastAsia="Palatino Linotype" w:hAnsi="Palatino Linotype" w:cs="Palatino Linotype"/>
          <w:b/>
        </w:rPr>
        <w:t>12498/INFOEM/ICR-228/IP/RR/2022</w:t>
      </w:r>
      <w:r>
        <w:rPr>
          <w:rFonts w:ascii="Palatino Linotype" w:eastAsia="Palatino Linotype" w:hAnsi="Palatino Linotype" w:cs="Palatino Linotype"/>
          <w:color w:val="000000"/>
        </w:rPr>
        <w:t xml:space="preserve">, interpuesto por </w:t>
      </w:r>
      <w:r w:rsidR="00435C2B">
        <w:rPr>
          <w:rFonts w:ascii="Palatino Linotype" w:eastAsia="Palatino Linotype" w:hAnsi="Palatino Linotype" w:cs="Palatino Linotype"/>
          <w:b/>
          <w:color w:val="000000"/>
        </w:rPr>
        <w:t xml:space="preserve">XXX </w:t>
      </w:r>
      <w:proofErr w:type="spellStart"/>
      <w:r w:rsidR="00435C2B">
        <w:rPr>
          <w:rFonts w:ascii="Palatino Linotype" w:eastAsia="Palatino Linotype" w:hAnsi="Palatino Linotype" w:cs="Palatino Linotype"/>
          <w:b/>
          <w:color w:val="000000"/>
        </w:rPr>
        <w:t>XXX</w:t>
      </w:r>
      <w:proofErr w:type="spellEnd"/>
      <w:r>
        <w:rPr>
          <w:rFonts w:ascii="Palatino Linotype" w:eastAsia="Palatino Linotype" w:hAnsi="Palatino Linotype" w:cs="Palatino Linotype"/>
          <w:color w:val="000000"/>
        </w:rPr>
        <w:t xml:space="preserve">, en adelante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contra de la respuesta del </w:t>
      </w:r>
      <w:r>
        <w:rPr>
          <w:rFonts w:ascii="Palatino Linotype" w:eastAsia="Palatino Linotype" w:hAnsi="Palatino Linotype" w:cs="Palatino Linotype"/>
          <w:b/>
        </w:rPr>
        <w:t>Ayuntamiento de Metepec</w:t>
      </w:r>
      <w:r>
        <w:rPr>
          <w:rFonts w:ascii="Palatino Linotype" w:eastAsia="Palatino Linotype" w:hAnsi="Palatino Linotype" w:cs="Palatino Linotype"/>
          <w:color w:val="000000"/>
        </w:rPr>
        <w:t>, en lo sucesivo 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se procede a dictar la presente resolución, con base en los siguientes:</w:t>
      </w:r>
    </w:p>
    <w:p w14:paraId="76103673" w14:textId="77777777" w:rsidR="00731BE5" w:rsidRDefault="00731BE5">
      <w:pPr>
        <w:spacing w:line="360" w:lineRule="auto"/>
        <w:jc w:val="both"/>
        <w:rPr>
          <w:rFonts w:ascii="Palatino Linotype" w:eastAsia="Palatino Linotype" w:hAnsi="Palatino Linotype" w:cs="Palatino Linotype"/>
          <w:color w:val="000000"/>
        </w:rPr>
      </w:pPr>
    </w:p>
    <w:p w14:paraId="76103674" w14:textId="77777777" w:rsidR="00731BE5" w:rsidRDefault="00923150">
      <w:pPr>
        <w:pStyle w:val="Ttulo1"/>
        <w:spacing w:before="0" w:line="360" w:lineRule="auto"/>
        <w:jc w:val="center"/>
        <w:rPr>
          <w:rFonts w:ascii="Palatino Linotype" w:eastAsia="Palatino Linotype" w:hAnsi="Palatino Linotype" w:cs="Palatino Linotype"/>
          <w:b/>
          <w:color w:val="000000"/>
        </w:rPr>
      </w:pPr>
      <w:bookmarkStart w:id="0" w:name="_heading=h.gjdgxs" w:colFirst="0" w:colLast="0"/>
      <w:bookmarkEnd w:id="0"/>
      <w:r>
        <w:rPr>
          <w:rFonts w:ascii="Palatino Linotype" w:eastAsia="Palatino Linotype" w:hAnsi="Palatino Linotype" w:cs="Palatino Linotype"/>
          <w:b/>
          <w:color w:val="000000"/>
        </w:rPr>
        <w:t>A N T E C E D E N T E S</w:t>
      </w:r>
    </w:p>
    <w:p w14:paraId="76103675" w14:textId="77777777" w:rsidR="00731BE5" w:rsidRDefault="00731BE5">
      <w:pPr>
        <w:spacing w:line="360" w:lineRule="auto"/>
        <w:rPr>
          <w:rFonts w:ascii="Palatino Linotype" w:eastAsia="Palatino Linotype" w:hAnsi="Palatino Linotype" w:cs="Palatino Linotype"/>
        </w:rPr>
      </w:pPr>
    </w:p>
    <w:p w14:paraId="76103676" w14:textId="77777777" w:rsidR="00731BE5" w:rsidRDefault="0092315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trece (13) de mayo de dos mil veintidós, se presentó a través de la Plataforma Nacional de Transparencia (</w:t>
      </w:r>
      <w:r>
        <w:rPr>
          <w:rFonts w:ascii="Palatino Linotype" w:eastAsia="Palatino Linotype" w:hAnsi="Palatino Linotype" w:cs="Palatino Linotype"/>
          <w:b/>
          <w:color w:val="000000"/>
        </w:rPr>
        <w:t>PNT</w:t>
      </w:r>
      <w:r>
        <w:rPr>
          <w:rFonts w:ascii="Palatino Linotype" w:eastAsia="Palatino Linotype" w:hAnsi="Palatino Linotype" w:cs="Palatino Linotype"/>
          <w:color w:val="000000"/>
        </w:rPr>
        <w:t xml:space="preserve">), vinculada al Sistema de Acceso a la Información Mexiquense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la solicitud de información pública registrada con el número </w:t>
      </w:r>
      <w:r>
        <w:rPr>
          <w:rFonts w:ascii="Palatino Linotype" w:eastAsia="Palatino Linotype" w:hAnsi="Palatino Linotype" w:cs="Palatino Linotype"/>
          <w:b/>
          <w:color w:val="000000"/>
        </w:rPr>
        <w:t>03466/METEPEC/IP/2022,</w:t>
      </w:r>
      <w:r>
        <w:rPr>
          <w:rFonts w:ascii="Palatino Linotype" w:eastAsia="Palatino Linotype" w:hAnsi="Palatino Linotype" w:cs="Palatino Linotype"/>
          <w:color w:val="000000"/>
        </w:rPr>
        <w:t xml:space="preserve"> mediante la cual requirió:</w:t>
      </w:r>
    </w:p>
    <w:p w14:paraId="76103677" w14:textId="77777777" w:rsidR="00731BE5" w:rsidRDefault="00731BE5">
      <w:pPr>
        <w:spacing w:line="360" w:lineRule="auto"/>
        <w:ind w:right="567"/>
        <w:jc w:val="both"/>
        <w:rPr>
          <w:rFonts w:ascii="Palatino Linotype" w:eastAsia="Palatino Linotype" w:hAnsi="Palatino Linotype" w:cs="Palatino Linotype"/>
          <w:i/>
          <w:color w:val="000000"/>
        </w:rPr>
      </w:pPr>
    </w:p>
    <w:p w14:paraId="76103678" w14:textId="77777777" w:rsidR="00731BE5" w:rsidRDefault="00923150">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“Deseo conocer certificado de salud mental y resultado de los exámenes psicométricos aplicados por la Dirección de Administración del Ayuntamiento de Metepec, México, de la servidora pública </w:t>
      </w:r>
      <w:proofErr w:type="gramStart"/>
      <w:r>
        <w:rPr>
          <w:rFonts w:ascii="Palatino Linotype" w:eastAsia="Palatino Linotype" w:hAnsi="Palatino Linotype" w:cs="Palatino Linotype"/>
          <w:i/>
          <w:color w:val="000000"/>
        </w:rPr>
        <w:t>Directora</w:t>
      </w:r>
      <w:proofErr w:type="gramEnd"/>
      <w:r>
        <w:rPr>
          <w:rFonts w:ascii="Palatino Linotype" w:eastAsia="Palatino Linotype" w:hAnsi="Palatino Linotype" w:cs="Palatino Linotype"/>
          <w:i/>
          <w:color w:val="000000"/>
        </w:rPr>
        <w:t xml:space="preserve"> de Cultura del H. Ayuntamiento de Metepec Monika Regina Garduño </w:t>
      </w:r>
      <w:proofErr w:type="spellStart"/>
      <w:r>
        <w:rPr>
          <w:rFonts w:ascii="Palatino Linotype" w:eastAsia="Palatino Linotype" w:hAnsi="Palatino Linotype" w:cs="Palatino Linotype"/>
          <w:i/>
          <w:color w:val="000000"/>
        </w:rPr>
        <w:t>Wahl</w:t>
      </w:r>
      <w:proofErr w:type="spellEnd"/>
      <w:r>
        <w:rPr>
          <w:rFonts w:ascii="Palatino Linotype" w:eastAsia="Palatino Linotype" w:hAnsi="Palatino Linotype" w:cs="Palatino Linotype"/>
          <w:i/>
          <w:color w:val="000000"/>
        </w:rPr>
        <w:t>, expedidos por una institución oficial.” (Sic).</w:t>
      </w:r>
    </w:p>
    <w:p w14:paraId="76103679" w14:textId="77777777" w:rsidR="00731BE5" w:rsidRDefault="00923150">
      <w:pPr>
        <w:pBdr>
          <w:top w:val="nil"/>
          <w:left w:val="nil"/>
          <w:bottom w:val="nil"/>
          <w:right w:val="nil"/>
          <w:between w:val="nil"/>
        </w:pBdr>
        <w:tabs>
          <w:tab w:val="left" w:pos="3345"/>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ab/>
      </w:r>
    </w:p>
    <w:p w14:paraId="7610367A" w14:textId="77777777" w:rsidR="00731BE5" w:rsidRDefault="0092315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Modalidad de entrega: </w:t>
      </w:r>
      <w:r>
        <w:rPr>
          <w:rFonts w:ascii="Palatino Linotype" w:eastAsia="Palatino Linotype" w:hAnsi="Palatino Linotype" w:cs="Palatino Linotype"/>
          <w:b/>
          <w:color w:val="000000"/>
        </w:rPr>
        <w:t>A través del SAIMEX.</w:t>
      </w:r>
    </w:p>
    <w:p w14:paraId="7610367B" w14:textId="77777777" w:rsidR="00731BE5" w:rsidRDefault="00731BE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610367C" w14:textId="77777777" w:rsidR="00731BE5" w:rsidRDefault="0092315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la solicitud de información pública registrada con </w:t>
      </w:r>
      <w:proofErr w:type="gramStart"/>
      <w:r>
        <w:rPr>
          <w:rFonts w:ascii="Palatino Linotype" w:eastAsia="Palatino Linotype" w:hAnsi="Palatino Linotype" w:cs="Palatino Linotype"/>
          <w:color w:val="000000"/>
        </w:rPr>
        <w:t xml:space="preserve">número  </w:t>
      </w:r>
      <w:r>
        <w:rPr>
          <w:rFonts w:ascii="Palatino Linotype" w:eastAsia="Palatino Linotype" w:hAnsi="Palatino Linotype" w:cs="Palatino Linotype"/>
          <w:b/>
          <w:color w:val="000000"/>
        </w:rPr>
        <w:t>03466</w:t>
      </w:r>
      <w:proofErr w:type="gramEnd"/>
      <w:r>
        <w:rPr>
          <w:rFonts w:ascii="Palatino Linotype" w:eastAsia="Palatino Linotype" w:hAnsi="Palatino Linotype" w:cs="Palatino Linotype"/>
          <w:b/>
          <w:color w:val="000000"/>
        </w:rPr>
        <w:t xml:space="preserve">/METEPEC/IP/2022, </w:t>
      </w:r>
      <w:r>
        <w:rPr>
          <w:rFonts w:ascii="Palatino Linotype" w:eastAsia="Palatino Linotype" w:hAnsi="Palatino Linotype" w:cs="Palatino Linotype"/>
          <w:color w:val="000000"/>
        </w:rPr>
        <w:t xml:space="preserve">el tres (03) de junio de dos mil veintidós,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acordó  la prórroga para atender la solicitud de información,  en los siguientes términos:</w:t>
      </w:r>
    </w:p>
    <w:p w14:paraId="7610367D" w14:textId="77777777" w:rsidR="00731BE5" w:rsidRDefault="00731BE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610367E" w14:textId="77777777" w:rsidR="00731BE5" w:rsidRDefault="00923150">
      <w:pPr>
        <w:pBdr>
          <w:top w:val="nil"/>
          <w:left w:val="nil"/>
          <w:bottom w:val="nil"/>
          <w:right w:val="nil"/>
          <w:between w:val="nil"/>
        </w:pBdr>
        <w:tabs>
          <w:tab w:val="left" w:pos="426"/>
        </w:tabs>
        <w:spacing w:line="360" w:lineRule="auto"/>
        <w:ind w:left="720"/>
        <w:jc w:val="right"/>
        <w:rPr>
          <w:rFonts w:ascii="Palatino Linotype" w:eastAsia="Palatino Linotype" w:hAnsi="Palatino Linotype" w:cs="Palatino Linotype"/>
          <w:i/>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 xml:space="preserve">Metepec, México a 03 de </w:t>
      </w:r>
      <w:proofErr w:type="gramStart"/>
      <w:r>
        <w:rPr>
          <w:rFonts w:ascii="Palatino Linotype" w:eastAsia="Palatino Linotype" w:hAnsi="Palatino Linotype" w:cs="Palatino Linotype"/>
          <w:i/>
          <w:color w:val="000000"/>
        </w:rPr>
        <w:t>Junio</w:t>
      </w:r>
      <w:proofErr w:type="gramEnd"/>
      <w:r>
        <w:rPr>
          <w:rFonts w:ascii="Palatino Linotype" w:eastAsia="Palatino Linotype" w:hAnsi="Palatino Linotype" w:cs="Palatino Linotype"/>
          <w:i/>
          <w:color w:val="000000"/>
        </w:rPr>
        <w:t xml:space="preserve"> de 2022</w:t>
      </w:r>
    </w:p>
    <w:p w14:paraId="7610367F" w14:textId="77777777" w:rsidR="00731BE5" w:rsidRDefault="00923150">
      <w:pPr>
        <w:pBdr>
          <w:top w:val="nil"/>
          <w:left w:val="nil"/>
          <w:bottom w:val="nil"/>
          <w:right w:val="nil"/>
          <w:between w:val="nil"/>
        </w:pBdr>
        <w:tabs>
          <w:tab w:val="left" w:pos="426"/>
        </w:tabs>
        <w:spacing w:line="360" w:lineRule="auto"/>
        <w:ind w:left="720"/>
        <w:jc w:val="right"/>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Nombre del solicitante:</w:t>
      </w:r>
    </w:p>
    <w:p w14:paraId="76103680" w14:textId="77777777" w:rsidR="00731BE5" w:rsidRDefault="00923150">
      <w:pPr>
        <w:pBdr>
          <w:top w:val="nil"/>
          <w:left w:val="nil"/>
          <w:bottom w:val="nil"/>
          <w:right w:val="nil"/>
          <w:between w:val="nil"/>
        </w:pBdr>
        <w:tabs>
          <w:tab w:val="left" w:pos="426"/>
        </w:tabs>
        <w:spacing w:line="360" w:lineRule="auto"/>
        <w:ind w:left="720"/>
        <w:jc w:val="right"/>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Folio de la solicitud: 03466/METEPEC/IP/2022</w:t>
      </w:r>
    </w:p>
    <w:p w14:paraId="76103681" w14:textId="77777777" w:rsidR="00731BE5" w:rsidRDefault="00731BE5">
      <w:pPr>
        <w:pBdr>
          <w:top w:val="nil"/>
          <w:left w:val="nil"/>
          <w:bottom w:val="nil"/>
          <w:right w:val="nil"/>
          <w:between w:val="nil"/>
        </w:pBdr>
        <w:tabs>
          <w:tab w:val="left" w:pos="426"/>
        </w:tabs>
        <w:spacing w:line="360" w:lineRule="auto"/>
        <w:ind w:left="720"/>
        <w:jc w:val="right"/>
        <w:rPr>
          <w:rFonts w:ascii="Palatino Linotype" w:eastAsia="Palatino Linotype" w:hAnsi="Palatino Linotype" w:cs="Palatino Linotype"/>
          <w:i/>
          <w:color w:val="000000"/>
        </w:rPr>
      </w:pPr>
    </w:p>
    <w:p w14:paraId="76103682" w14:textId="77777777" w:rsidR="00731BE5" w:rsidRDefault="00923150">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6103683" w14:textId="77777777" w:rsidR="00731BE5" w:rsidRDefault="00923150">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METEPEC, ESTADO DE MEXICO, MAYO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26 de mayo de 2022 Por lo anterior, se adjunta el acta del comité No CT/MET/EXT-05//2022. Sin más por el momento quedo a sus </w:t>
      </w:r>
      <w:r>
        <w:rPr>
          <w:rFonts w:ascii="Palatino Linotype" w:eastAsia="Palatino Linotype" w:hAnsi="Palatino Linotype" w:cs="Palatino Linotype"/>
          <w:i/>
          <w:color w:val="000000"/>
        </w:rPr>
        <w:lastRenderedPageBreak/>
        <w:t>órdenes. ATENTAMENTE L.F.B. GERARDO ARTURO OZUNA MARTÍNEZ TITULAR DE LA UNIDAD DE TRANSPARENCIA</w:t>
      </w:r>
    </w:p>
    <w:p w14:paraId="76103684" w14:textId="77777777" w:rsidR="00731BE5" w:rsidRDefault="00731BE5">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i/>
          <w:color w:val="000000"/>
        </w:rPr>
      </w:pPr>
    </w:p>
    <w:p w14:paraId="76103685" w14:textId="77777777" w:rsidR="00731BE5" w:rsidRDefault="00923150">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Lic. Gerardo Arturo Ozuna Martínez</w:t>
      </w:r>
    </w:p>
    <w:p w14:paraId="76103686" w14:textId="77777777" w:rsidR="00731BE5" w:rsidRDefault="00923150">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Responsable de la Unidad de Transparencia</w:t>
      </w:r>
      <w:r>
        <w:rPr>
          <w:rFonts w:ascii="Palatino Linotype" w:eastAsia="Palatino Linotype" w:hAnsi="Palatino Linotype" w:cs="Palatino Linotype"/>
          <w:color w:val="000000"/>
        </w:rPr>
        <w:t>” (Sic).</w:t>
      </w:r>
    </w:p>
    <w:p w14:paraId="76103687" w14:textId="77777777" w:rsidR="00731BE5" w:rsidRDefault="00923150">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 adjunto:</w:t>
      </w:r>
    </w:p>
    <w:p w14:paraId="76103688" w14:textId="77777777" w:rsidR="00731BE5" w:rsidRDefault="00731BE5">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color w:val="000000"/>
        </w:rPr>
      </w:pPr>
    </w:p>
    <w:p w14:paraId="76103689" w14:textId="77777777" w:rsidR="00731BE5" w:rsidRDefault="00923150">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Acta 05-EXT-2022.PDF: </w:t>
      </w:r>
      <w:r>
        <w:rPr>
          <w:rFonts w:ascii="Palatino Linotype" w:eastAsia="Palatino Linotype" w:hAnsi="Palatino Linotype" w:cs="Palatino Linotype"/>
          <w:color w:val="000000"/>
        </w:rPr>
        <w:t>Acta de la Sesión Extraordinaria del comité de Transparencia de fecha veintiséis de mayo de dos mil veintidós.</w:t>
      </w:r>
      <w:r>
        <w:rPr>
          <w:rFonts w:ascii="Palatino Linotype" w:eastAsia="Palatino Linotype" w:hAnsi="Palatino Linotype" w:cs="Palatino Linotype"/>
          <w:b/>
          <w:color w:val="000000"/>
        </w:rPr>
        <w:t xml:space="preserve"> </w:t>
      </w:r>
    </w:p>
    <w:p w14:paraId="7610368A" w14:textId="77777777" w:rsidR="00731BE5" w:rsidRDefault="00731BE5">
      <w:pPr>
        <w:spacing w:line="360" w:lineRule="auto"/>
        <w:rPr>
          <w:rFonts w:ascii="Palatino Linotype" w:eastAsia="Palatino Linotype" w:hAnsi="Palatino Linotype" w:cs="Palatino Linotype"/>
          <w:color w:val="000000"/>
        </w:rPr>
      </w:pPr>
    </w:p>
    <w:p w14:paraId="7610368B" w14:textId="77777777" w:rsidR="00731BE5" w:rsidRDefault="0092315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en el expediente electrónico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se advierte el Sujeto Obligado no emitió </w:t>
      </w:r>
      <w:r>
        <w:rPr>
          <w:rFonts w:ascii="Palatino Linotype" w:eastAsia="Palatino Linotype" w:hAnsi="Palatino Linotype" w:cs="Palatino Linotype"/>
        </w:rPr>
        <w:t>respuesta</w:t>
      </w:r>
      <w:r>
        <w:rPr>
          <w:rFonts w:ascii="Palatino Linotype" w:eastAsia="Palatino Linotype" w:hAnsi="Palatino Linotype" w:cs="Palatino Linotype"/>
          <w:color w:val="000000"/>
        </w:rPr>
        <w:t xml:space="preserve"> a la solicitud de información.</w:t>
      </w:r>
    </w:p>
    <w:p w14:paraId="7610368C" w14:textId="77777777" w:rsidR="00731BE5" w:rsidRDefault="00731BE5">
      <w:pPr>
        <w:tabs>
          <w:tab w:val="left" w:pos="284"/>
          <w:tab w:val="left" w:pos="426"/>
        </w:tabs>
        <w:spacing w:line="360" w:lineRule="auto"/>
        <w:jc w:val="both"/>
        <w:rPr>
          <w:rFonts w:ascii="Palatino Linotype" w:eastAsia="Palatino Linotype" w:hAnsi="Palatino Linotype" w:cs="Palatino Linotype"/>
          <w:b/>
          <w:color w:val="000000"/>
        </w:rPr>
      </w:pPr>
    </w:p>
    <w:p w14:paraId="7610368D" w14:textId="77777777" w:rsidR="00731BE5" w:rsidRDefault="00923150">
      <w:pPr>
        <w:numPr>
          <w:ilvl w:val="0"/>
          <w:numId w:val="6"/>
        </w:numPr>
        <w:pBdr>
          <w:top w:val="nil"/>
          <w:left w:val="nil"/>
          <w:bottom w:val="nil"/>
          <w:right w:val="nil"/>
          <w:between w:val="nil"/>
        </w:pBdr>
        <w:tabs>
          <w:tab w:val="left" w:pos="284"/>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el dieciséis (16) de junio de dos mil veintidós, la particular interpuso el recurso de revisión </w:t>
      </w:r>
      <w:r>
        <w:rPr>
          <w:rFonts w:ascii="Palatino Linotype" w:eastAsia="Palatino Linotype" w:hAnsi="Palatino Linotype" w:cs="Palatino Linotype"/>
          <w:b/>
          <w:color w:val="000000"/>
        </w:rPr>
        <w:t>12498/INFOEM/IP/RR/2022;</w:t>
      </w:r>
      <w:r>
        <w:rPr>
          <w:rFonts w:ascii="Palatino Linotype" w:eastAsia="Palatino Linotype" w:hAnsi="Palatino Linotype" w:cs="Palatino Linotype"/>
          <w:color w:val="000000"/>
        </w:rPr>
        <w:t xml:space="preserve"> impugnación en la que refirió lo siguiente:</w:t>
      </w:r>
    </w:p>
    <w:p w14:paraId="7610368E" w14:textId="77777777" w:rsidR="00731BE5" w:rsidRDefault="00731BE5">
      <w:pPr>
        <w:pBdr>
          <w:top w:val="nil"/>
          <w:left w:val="nil"/>
          <w:bottom w:val="nil"/>
          <w:right w:val="nil"/>
          <w:between w:val="nil"/>
        </w:pBdr>
        <w:tabs>
          <w:tab w:val="left" w:pos="426"/>
        </w:tabs>
        <w:spacing w:line="360" w:lineRule="auto"/>
        <w:ind w:left="284"/>
        <w:jc w:val="both"/>
        <w:rPr>
          <w:rFonts w:ascii="Palatino Linotype" w:eastAsia="Palatino Linotype" w:hAnsi="Palatino Linotype" w:cs="Palatino Linotype"/>
          <w:color w:val="000000"/>
        </w:rPr>
      </w:pPr>
    </w:p>
    <w:p w14:paraId="7610368F" w14:textId="77777777" w:rsidR="00731BE5" w:rsidRDefault="00923150">
      <w:pPr>
        <w:numPr>
          <w:ilvl w:val="0"/>
          <w:numId w:val="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Acto impugnado:</w:t>
      </w:r>
      <w:r>
        <w:rPr>
          <w:rFonts w:ascii="Palatino Linotype" w:eastAsia="Palatino Linotype" w:hAnsi="Palatino Linotype" w:cs="Palatino Linotype"/>
          <w:color w:val="000000"/>
        </w:rPr>
        <w:t xml:space="preserve"> “La no entrega de respuesta a solicitud de información pública</w:t>
      </w:r>
      <w:r>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 xml:space="preserve"> (Sic).</w:t>
      </w:r>
    </w:p>
    <w:p w14:paraId="76103690" w14:textId="77777777" w:rsidR="00731BE5" w:rsidRDefault="00923150">
      <w:pPr>
        <w:numPr>
          <w:ilvl w:val="0"/>
          <w:numId w:val="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Motivos o razones de inconformidad:</w:t>
      </w:r>
      <w:r>
        <w:rPr>
          <w:rFonts w:ascii="Palatino Linotype" w:eastAsia="Palatino Linotype" w:hAnsi="Palatino Linotype" w:cs="Palatino Linotype"/>
          <w:color w:val="000000"/>
        </w:rPr>
        <w:t xml:space="preserve"> “Me inconformo por no recibir respuesta a mi solicitud habiendo recurrido el sujeto obligado falazmente a solicitar prórroga.” (sic) </w:t>
      </w:r>
    </w:p>
    <w:p w14:paraId="76103691" w14:textId="77777777" w:rsidR="00731BE5" w:rsidRDefault="00731BE5">
      <w:pPr>
        <w:pBdr>
          <w:top w:val="nil"/>
          <w:left w:val="nil"/>
          <w:bottom w:val="nil"/>
          <w:right w:val="nil"/>
          <w:between w:val="nil"/>
        </w:pBdr>
        <w:tabs>
          <w:tab w:val="left" w:pos="426"/>
        </w:tabs>
        <w:spacing w:line="360" w:lineRule="auto"/>
        <w:ind w:left="1004"/>
        <w:jc w:val="both"/>
        <w:rPr>
          <w:rFonts w:ascii="Palatino Linotype" w:eastAsia="Palatino Linotype" w:hAnsi="Palatino Linotype" w:cs="Palatino Linotype"/>
          <w:color w:val="000000"/>
        </w:rPr>
      </w:pPr>
    </w:p>
    <w:p w14:paraId="76103692" w14:textId="77777777" w:rsidR="00731BE5" w:rsidRDefault="0092315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Pr>
          <w:rFonts w:ascii="Palatino Linotype" w:eastAsia="Palatino Linotype" w:hAnsi="Palatino Linotype" w:cs="Palatino Linotype"/>
          <w:b/>
          <w:color w:val="000000"/>
        </w:rPr>
        <w:t>Comisionada María del Rosario Mejía Ayala</w:t>
      </w:r>
      <w:r>
        <w:rPr>
          <w:rFonts w:ascii="Palatino Linotype" w:eastAsia="Palatino Linotype" w:hAnsi="Palatino Linotype" w:cs="Palatino Linotype"/>
          <w:color w:val="000000"/>
        </w:rPr>
        <w:t>, con el objeto de su análisis.</w:t>
      </w:r>
    </w:p>
    <w:p w14:paraId="76103693" w14:textId="77777777" w:rsidR="00731BE5" w:rsidRDefault="00731BE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6103694" w14:textId="77777777" w:rsidR="00731BE5" w:rsidRDefault="0092315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Ponente, con fundamento en lo dispuesto por el artículo 185 fracción II de la Ley de Transparencia y Acceso a la Información Pública del Estado de México y Municipios, a través del acuerdo de admisión de fecha siete (07) de julio de dos mil veintidós, puso a disposición de las partes el expediente electrónico vía Sistema de Acceso a la Información Mexiquense (</w:t>
      </w:r>
      <w:r>
        <w:rPr>
          <w:rFonts w:ascii="Palatino Linotype" w:eastAsia="Palatino Linotype" w:hAnsi="Palatino Linotype" w:cs="Palatino Linotype"/>
          <w:b/>
          <w:i/>
          <w:color w:val="000000"/>
        </w:rPr>
        <w:t>SAIMEX)</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efecto de que en un plazo máximo de siete días manifestaran lo que a su derecho convinieran, ofrecieran  pruebas y alegatos según corresponda a los casos concretos,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presentara el informe justificado procedente.</w:t>
      </w:r>
    </w:p>
    <w:p w14:paraId="76103695" w14:textId="77777777" w:rsidR="00731BE5" w:rsidRDefault="00731BE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6103696" w14:textId="77777777" w:rsidR="00731BE5" w:rsidRDefault="0092315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en el expediente electrónico del SAIMEX, se aprecia el Sujeto Obligado, el treinta (30) de agosto de dos mil veintidós, rindió su informe justificado a través del documento electrónico denominado </w:t>
      </w:r>
      <w:r>
        <w:rPr>
          <w:rFonts w:ascii="Palatino Linotype" w:eastAsia="Palatino Linotype" w:hAnsi="Palatino Linotype" w:cs="Palatino Linotype"/>
          <w:b/>
          <w:color w:val="000000"/>
          <w:u w:val="single"/>
        </w:rPr>
        <w:t>3466_2022 OK (3).</w:t>
      </w:r>
      <w:proofErr w:type="spellStart"/>
      <w:r>
        <w:rPr>
          <w:rFonts w:ascii="Palatino Linotype" w:eastAsia="Palatino Linotype" w:hAnsi="Palatino Linotype" w:cs="Palatino Linotype"/>
          <w:b/>
          <w:color w:val="000000"/>
          <w:u w:val="single"/>
        </w:rPr>
        <w:t>pdf</w:t>
      </w:r>
      <w:proofErr w:type="spellEnd"/>
      <w:r>
        <w:rPr>
          <w:rFonts w:ascii="Palatino Linotype" w:eastAsia="Palatino Linotype" w:hAnsi="Palatino Linotype" w:cs="Palatino Linotype"/>
          <w:color w:val="000000"/>
        </w:rPr>
        <w:t>, el cual se puso a la vista el doce (12) de septiembre de la misma anualidad; sin embargo, se procede a describir su contenido medular, siendo el siguiente:</w:t>
      </w:r>
    </w:p>
    <w:p w14:paraId="76103697" w14:textId="77777777" w:rsidR="00731BE5" w:rsidRDefault="00731BE5">
      <w:pPr>
        <w:spacing w:line="360" w:lineRule="auto"/>
        <w:rPr>
          <w:rFonts w:ascii="Palatino Linotype" w:eastAsia="Palatino Linotype" w:hAnsi="Palatino Linotype" w:cs="Palatino Linotype"/>
          <w:color w:val="000000"/>
        </w:rPr>
      </w:pPr>
    </w:p>
    <w:p w14:paraId="76103698" w14:textId="77777777" w:rsidR="00731BE5" w:rsidRDefault="00923150">
      <w:pPr>
        <w:numPr>
          <w:ilvl w:val="0"/>
          <w:numId w:val="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u w:val="single"/>
        </w:rPr>
        <w:t>3466_2022 OK (3).</w:t>
      </w:r>
      <w:proofErr w:type="spellStart"/>
      <w:r>
        <w:rPr>
          <w:rFonts w:ascii="Palatino Linotype" w:eastAsia="Palatino Linotype" w:hAnsi="Palatino Linotype" w:cs="Palatino Linotype"/>
          <w:b/>
          <w:color w:val="000000"/>
          <w:u w:val="single"/>
        </w:rPr>
        <w:t>pdf</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Documento de una foja, suscrito por el Director de Administración, mediante el cual informa que una vez realizada la búsqueda exhaustiva y minuciosa en sus </w:t>
      </w:r>
      <w:r>
        <w:rPr>
          <w:rFonts w:ascii="Palatino Linotype" w:eastAsia="Palatino Linotype" w:hAnsi="Palatino Linotype" w:cs="Palatino Linotype"/>
        </w:rPr>
        <w:t>archivos</w:t>
      </w:r>
      <w:r>
        <w:rPr>
          <w:rFonts w:ascii="Palatino Linotype" w:eastAsia="Palatino Linotype" w:hAnsi="Palatino Linotype" w:cs="Palatino Linotype"/>
          <w:color w:val="000000"/>
        </w:rPr>
        <w:t xml:space="preserve"> no se localizó documento </w:t>
      </w:r>
      <w:r>
        <w:rPr>
          <w:rFonts w:ascii="Palatino Linotype" w:eastAsia="Palatino Linotype" w:hAnsi="Palatino Linotype" w:cs="Palatino Linotype"/>
          <w:color w:val="000000"/>
        </w:rPr>
        <w:lastRenderedPageBreak/>
        <w:t>denominado “certificado de salud mental”, también hace del conocimiento que el examen psicométrico revela las capacidades psicológicas, inteligencia personal, grado intelectual, de cognición y plasticidad sináptica de la servidora pública, por lo que se considera conveniente clasificar en su totalidad el documento en cita.</w:t>
      </w:r>
    </w:p>
    <w:p w14:paraId="76103699" w14:textId="77777777" w:rsidR="00731BE5" w:rsidRDefault="00731BE5">
      <w:pPr>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color w:val="000000"/>
        </w:rPr>
      </w:pPr>
    </w:p>
    <w:p w14:paraId="7610369A" w14:textId="77777777" w:rsidR="00731BE5" w:rsidRDefault="00923150">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ocho (08) de diciembre de dos mil veintidós, la Comisionada Ponente decretó el cierre de instrucción, asimismo, notificó el acuerdo mediante el cual se amplió el plazo para emitir resolución, por lo que ordenó turnar el expediente para su resolución, misma que ahora se pronuncia.</w:t>
      </w:r>
    </w:p>
    <w:p w14:paraId="7610369B" w14:textId="77777777" w:rsidR="00731BE5" w:rsidRDefault="00731BE5">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14:paraId="7610369C" w14:textId="77777777" w:rsidR="00731BE5" w:rsidRDefault="00923150">
      <w:pPr>
        <w:numPr>
          <w:ilvl w:val="0"/>
          <w:numId w:val="6"/>
        </w:numPr>
        <w:tabs>
          <w:tab w:val="left" w:pos="426"/>
        </w:tabs>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cuatro (4) de septiembre de dos mil veintitrés, el Pleno del Instituto de Transparencia, Accesos la Información Pública y Protección de Datos Personales del Estado de México y Municipios, durante la Cuadragésima Quinta Sesión Ordinaria celebrada el catorce (14) de diciembre de dos mil veintidós, se aprobó la Resolución del Recurso de Revisión, en la cual se determinó lo siguiente:</w:t>
      </w:r>
    </w:p>
    <w:p w14:paraId="7610369D" w14:textId="77777777" w:rsidR="00731BE5" w:rsidRDefault="00923150">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PRIMERO</w:t>
      </w:r>
      <w:r>
        <w:rPr>
          <w:rFonts w:ascii="Palatino Linotype" w:eastAsia="Palatino Linotype" w:hAnsi="Palatino Linotype" w:cs="Palatino Linotype"/>
          <w:color w:val="000000"/>
          <w:sz w:val="22"/>
          <w:szCs w:val="22"/>
        </w:rPr>
        <w:t>. Resultan fundadas las razones o motivos de inconformidad hechos valer en el recurso de revisión 12498/INFOEM/IP/RR/2022 en términos del Considerando CUARTO de la presente resolución.</w:t>
      </w:r>
    </w:p>
    <w:p w14:paraId="7610369E" w14:textId="77777777" w:rsidR="00731BE5" w:rsidRDefault="00731BE5">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p>
    <w:p w14:paraId="7610369F" w14:textId="77777777" w:rsidR="00731BE5" w:rsidRDefault="00923150">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SEGUNDO.</w:t>
      </w:r>
      <w:r>
        <w:rPr>
          <w:rFonts w:ascii="Palatino Linotype" w:eastAsia="Palatino Linotype" w:hAnsi="Palatino Linotype" w:cs="Palatino Linotype"/>
          <w:color w:val="000000"/>
          <w:sz w:val="22"/>
          <w:szCs w:val="22"/>
        </w:rPr>
        <w:t xml:space="preserve"> Se ORDENA al Ayuntamiento de Metepec dar atención a la solicitud de información 03466/METEPEC/IP/2022; y entregar vía Sistema de Acceso a la Información Mexiquense (SAIMEX) y correo electrónico, la siguiente información: </w:t>
      </w:r>
    </w:p>
    <w:p w14:paraId="761036A0" w14:textId="77777777" w:rsidR="00731BE5" w:rsidRDefault="00731BE5">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p>
    <w:p w14:paraId="761036A1" w14:textId="77777777" w:rsidR="00731BE5" w:rsidRDefault="00923150">
      <w:pPr>
        <w:pBdr>
          <w:top w:val="nil"/>
          <w:left w:val="nil"/>
          <w:bottom w:val="nil"/>
          <w:right w:val="nil"/>
          <w:between w:val="nil"/>
        </w:pBdr>
        <w:ind w:left="1134" w:right="11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w:t>
      </w:r>
      <w:r>
        <w:rPr>
          <w:rFonts w:ascii="Palatino Linotype" w:eastAsia="Palatino Linotype" w:hAnsi="Palatino Linotype" w:cs="Palatino Linotype"/>
          <w:color w:val="000000"/>
          <w:sz w:val="22"/>
          <w:szCs w:val="22"/>
        </w:rPr>
        <w:tab/>
        <w:t xml:space="preserve">Acuerdo emitido por el Comité de Transparencia mediante el cual se clasifique como información confidencial en su totalidad, los </w:t>
      </w:r>
      <w:r>
        <w:rPr>
          <w:rFonts w:ascii="Palatino Linotype" w:eastAsia="Palatino Linotype" w:hAnsi="Palatino Linotype" w:cs="Palatino Linotype"/>
          <w:color w:val="000000"/>
          <w:sz w:val="22"/>
          <w:szCs w:val="22"/>
        </w:rPr>
        <w:lastRenderedPageBreak/>
        <w:t xml:space="preserve">resultados de la prueba psicométrica de la </w:t>
      </w:r>
      <w:proofErr w:type="gramStart"/>
      <w:r>
        <w:rPr>
          <w:rFonts w:ascii="Palatino Linotype" w:eastAsia="Palatino Linotype" w:hAnsi="Palatino Linotype" w:cs="Palatino Linotype"/>
          <w:color w:val="000000"/>
          <w:sz w:val="22"/>
          <w:szCs w:val="22"/>
        </w:rPr>
        <w:t>Directora</w:t>
      </w:r>
      <w:proofErr w:type="gramEnd"/>
      <w:r>
        <w:rPr>
          <w:rFonts w:ascii="Palatino Linotype" w:eastAsia="Palatino Linotype" w:hAnsi="Palatino Linotype" w:cs="Palatino Linotype"/>
          <w:color w:val="000000"/>
          <w:sz w:val="22"/>
          <w:szCs w:val="22"/>
        </w:rPr>
        <w:t xml:space="preserve"> de cultura del Ayuntamiento de Metepec. </w:t>
      </w:r>
    </w:p>
    <w:p w14:paraId="761036A2" w14:textId="77777777" w:rsidR="00731BE5" w:rsidRDefault="00731BE5">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p>
    <w:p w14:paraId="761036A3" w14:textId="77777777" w:rsidR="00731BE5" w:rsidRDefault="00923150">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TERCERO.</w:t>
      </w:r>
      <w:r>
        <w:rPr>
          <w:rFonts w:ascii="Palatino Linotype" w:eastAsia="Palatino Linotype" w:hAnsi="Palatino Linotype" w:cs="Palatino Linotype"/>
          <w:color w:val="000000"/>
          <w:sz w:val="22"/>
          <w:szCs w:val="22"/>
        </w:rPr>
        <w:t xml:space="preserve"> Notifíquese al Titular de la Unidad de Transparencia del 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761036A4" w14:textId="77777777" w:rsidR="00731BE5" w:rsidRDefault="00731BE5">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p>
    <w:p w14:paraId="761036A5" w14:textId="77777777" w:rsidR="00731BE5" w:rsidRDefault="00923150">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CUARTO.</w:t>
      </w:r>
      <w:r>
        <w:rPr>
          <w:rFonts w:ascii="Palatino Linotype" w:eastAsia="Palatino Linotype" w:hAnsi="Palatino Linotype" w:cs="Palatino Linotype"/>
          <w:color w:val="000000"/>
          <w:sz w:val="22"/>
          <w:szCs w:val="22"/>
        </w:rPr>
        <w:t xml:space="preserve"> Notifíquese al RECURRENTE la presente resolución vía SAIMEX.</w:t>
      </w:r>
    </w:p>
    <w:p w14:paraId="761036A6" w14:textId="77777777" w:rsidR="00731BE5" w:rsidRDefault="00731BE5">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p>
    <w:p w14:paraId="761036A7" w14:textId="77777777" w:rsidR="00731BE5" w:rsidRDefault="00923150">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QUINTO.</w:t>
      </w:r>
      <w:r>
        <w:rPr>
          <w:rFonts w:ascii="Palatino Linotype" w:eastAsia="Palatino Linotype" w:hAnsi="Palatino Linotype" w:cs="Palatino Linotype"/>
          <w:color w:val="000000"/>
          <w:sz w:val="22"/>
          <w:szCs w:val="22"/>
        </w:rPr>
        <w:t xml:space="preserve"> Se hace del conocimiento del Recurrente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761036A8" w14:textId="77777777" w:rsidR="00731BE5" w:rsidRDefault="00731BE5">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p>
    <w:p w14:paraId="761036A9" w14:textId="77777777" w:rsidR="00731BE5" w:rsidRDefault="00923150">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SEXTO.</w:t>
      </w:r>
      <w:r>
        <w:rPr>
          <w:rFonts w:ascii="Palatino Linotype" w:eastAsia="Palatino Linotype" w:hAnsi="Palatino Linotype" w:cs="Palatino Linotype"/>
          <w:color w:val="000000"/>
          <w:sz w:val="22"/>
          <w:szCs w:val="22"/>
        </w:rPr>
        <w:t xml:space="preserve"> Hágase del conocimiento de la parte RECURRENTE que las respuestas que dé el SUJETO OBLIGADO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761036AA" w14:textId="77777777" w:rsidR="00731BE5" w:rsidRDefault="00731BE5">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p>
    <w:p w14:paraId="761036AB" w14:textId="77777777" w:rsidR="00731BE5" w:rsidRDefault="00923150">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SEPTIMO.</w:t>
      </w:r>
      <w:r>
        <w:rPr>
          <w:rFonts w:ascii="Palatino Linotype" w:eastAsia="Palatino Linotype" w:hAnsi="Palatino Linotype" w:cs="Palatino Linotype"/>
          <w:color w:val="000000"/>
          <w:sz w:val="22"/>
          <w:szCs w:val="22"/>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QUINTO.</w:t>
      </w:r>
    </w:p>
    <w:p w14:paraId="761036AC" w14:textId="77777777" w:rsidR="00731BE5" w:rsidRDefault="00731BE5">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p>
    <w:p w14:paraId="761036AD" w14:textId="77777777" w:rsidR="00731BE5" w:rsidRDefault="00923150">
      <w:pPr>
        <w:pBdr>
          <w:top w:val="nil"/>
          <w:left w:val="nil"/>
          <w:bottom w:val="nil"/>
          <w:right w:val="nil"/>
          <w:between w:val="nil"/>
        </w:pBdr>
        <w:ind w:left="720" w:right="75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lastRenderedPageBreak/>
        <w:t>OCTAVO.</w:t>
      </w:r>
      <w:r>
        <w:rPr>
          <w:rFonts w:ascii="Palatino Linotype" w:eastAsia="Palatino Linotype" w:hAnsi="Palatino Linotype" w:cs="Palatino Linotype"/>
          <w:color w:val="000000"/>
          <w:sz w:val="22"/>
          <w:szCs w:val="22"/>
        </w:rPr>
        <w:t xml:space="preserve"> Con fundamento en el artículo 198 de la Ley de Transparencia y Acceso a la Información Pública del Estado de México y Municipios, se apercibe al SUJETO OBLIGADO de que, en caso de incumplimiento total o parcial de la presente resolución, se actuará de conformidad con lo dispuesto en los artículos 213, 214, 215, 216 y 217 de la Ley en cita.</w:t>
      </w:r>
    </w:p>
    <w:p w14:paraId="761036AE" w14:textId="77777777" w:rsidR="00731BE5" w:rsidRDefault="00731BE5">
      <w:pPr>
        <w:tabs>
          <w:tab w:val="left" w:pos="426"/>
        </w:tabs>
        <w:spacing w:line="360" w:lineRule="auto"/>
        <w:jc w:val="both"/>
        <w:rPr>
          <w:rFonts w:ascii="Palatino Linotype" w:eastAsia="Palatino Linotype" w:hAnsi="Palatino Linotype" w:cs="Palatino Linotype"/>
        </w:rPr>
      </w:pPr>
    </w:p>
    <w:p w14:paraId="761036AF" w14:textId="77777777" w:rsidR="00731BE5" w:rsidRDefault="00923150">
      <w:pPr>
        <w:numPr>
          <w:ilvl w:val="0"/>
          <w:numId w:val="6"/>
        </w:numPr>
        <w:tabs>
          <w:tab w:val="left" w:pos="426"/>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(19) diecinueve de diciembre de dos mil veintidós, por medio del Sistema de Acceso a la Información Mexiquense (SAIMEX), se notificó a las partes, la resolución del Medio de Impugnación previamente referido.</w:t>
      </w:r>
    </w:p>
    <w:p w14:paraId="761036B0" w14:textId="77777777" w:rsidR="00731BE5" w:rsidRDefault="00731BE5">
      <w:pPr>
        <w:tabs>
          <w:tab w:val="left" w:pos="426"/>
        </w:tabs>
        <w:spacing w:line="360" w:lineRule="auto"/>
        <w:jc w:val="both"/>
        <w:rPr>
          <w:rFonts w:ascii="Palatino Linotype" w:eastAsia="Palatino Linotype" w:hAnsi="Palatino Linotype" w:cs="Palatino Linotype"/>
        </w:rPr>
      </w:pPr>
    </w:p>
    <w:p w14:paraId="761036B1" w14:textId="77777777" w:rsidR="00731BE5" w:rsidRDefault="00923150">
      <w:pPr>
        <w:numPr>
          <w:ilvl w:val="0"/>
          <w:numId w:val="6"/>
        </w:numPr>
        <w:tabs>
          <w:tab w:val="left" w:pos="426"/>
        </w:tabs>
        <w:spacing w:line="360" w:lineRule="auto"/>
        <w:ind w:left="0" w:firstLine="0"/>
        <w:jc w:val="both"/>
      </w:pPr>
      <w:r>
        <w:rPr>
          <w:rFonts w:ascii="Palatino Linotype" w:eastAsia="Palatino Linotype" w:hAnsi="Palatino Linotype" w:cs="Palatino Linotype"/>
        </w:rPr>
        <w:t>El veintiuno (21) de diciembre de dos mil veintidós, se recibió vía SAIMEX, por parte del Sujeto Obligado, la solicitud de ampliación del plazo para dar cumplimiento a la resolución de mérito, por un plazo de treinta (30) días para cumplimentar la resolución ordenada, por lo que se determinó otorgar un plazo de treinta (30) días hábiles adicionales, plazo que inició a partir del diecinueve (19) de enero y feneció el tres (03) de marzo de dos mil veintitrés.</w:t>
      </w:r>
    </w:p>
    <w:p w14:paraId="761036B2" w14:textId="77777777" w:rsidR="00731BE5" w:rsidRDefault="00731BE5">
      <w:pPr>
        <w:tabs>
          <w:tab w:val="left" w:pos="426"/>
        </w:tabs>
        <w:spacing w:line="360" w:lineRule="auto"/>
        <w:ind w:left="360"/>
        <w:jc w:val="both"/>
        <w:rPr>
          <w:rFonts w:ascii="Palatino Linotype" w:eastAsia="Palatino Linotype" w:hAnsi="Palatino Linotype" w:cs="Palatino Linotype"/>
        </w:rPr>
      </w:pPr>
    </w:p>
    <w:p w14:paraId="761036B3" w14:textId="77777777" w:rsidR="00731BE5" w:rsidRDefault="00923150">
      <w:pPr>
        <w:numPr>
          <w:ilvl w:val="0"/>
          <w:numId w:val="6"/>
        </w:numPr>
        <w:tabs>
          <w:tab w:val="left" w:pos="426"/>
        </w:tabs>
        <w:spacing w:line="360" w:lineRule="auto"/>
        <w:ind w:left="0" w:firstLine="0"/>
        <w:jc w:val="both"/>
      </w:pPr>
      <w:r>
        <w:rPr>
          <w:rFonts w:ascii="Palatino Linotype" w:eastAsia="Palatino Linotype" w:hAnsi="Palatino Linotype" w:cs="Palatino Linotype"/>
        </w:rPr>
        <w:t>El Sujeto Obligado hizo entrega de la información en fecha veintitrés (23</w:t>
      </w:r>
      <w:proofErr w:type="gramStart"/>
      <w:r>
        <w:rPr>
          <w:rFonts w:ascii="Palatino Linotype" w:eastAsia="Palatino Linotype" w:hAnsi="Palatino Linotype" w:cs="Palatino Linotype"/>
        </w:rPr>
        <w:t>)  de</w:t>
      </w:r>
      <w:proofErr w:type="gramEnd"/>
      <w:r>
        <w:rPr>
          <w:rFonts w:ascii="Palatino Linotype" w:eastAsia="Palatino Linotype" w:hAnsi="Palatino Linotype" w:cs="Palatino Linotype"/>
        </w:rPr>
        <w:t xml:space="preserve"> febrero de dos mil veintitrés encontrándose fuera del plazo legal concedido para ello,  entrega el Acta de la Tercera Sesión Ordinaria del Comité de Transparencia del Ayuntamiento de Metepec; el oficio </w:t>
      </w:r>
      <w:proofErr w:type="spellStart"/>
      <w:r>
        <w:rPr>
          <w:rFonts w:ascii="Palatino Linotype" w:eastAsia="Palatino Linotype" w:hAnsi="Palatino Linotype" w:cs="Palatino Linotype"/>
        </w:rPr>
        <w:t>DTyGA</w:t>
      </w:r>
      <w:proofErr w:type="spellEnd"/>
      <w:r>
        <w:rPr>
          <w:rFonts w:ascii="Palatino Linotype" w:eastAsia="Palatino Linotype" w:hAnsi="Palatino Linotype" w:cs="Palatino Linotype"/>
        </w:rPr>
        <w:t>/MET/511/2023, signado por el Director de Transparencia y Gobierno Abierto; y el Acta de la Tercera Sesión Ordinaria del Ayuntamiento de Metepec, Estado de México 2022-2023.</w:t>
      </w:r>
    </w:p>
    <w:p w14:paraId="761036B4" w14:textId="77777777" w:rsidR="00731BE5" w:rsidRDefault="00731BE5">
      <w:pPr>
        <w:tabs>
          <w:tab w:val="left" w:pos="426"/>
        </w:tabs>
        <w:spacing w:line="360" w:lineRule="auto"/>
        <w:ind w:left="360"/>
        <w:jc w:val="both"/>
        <w:rPr>
          <w:rFonts w:ascii="Palatino Linotype" w:eastAsia="Palatino Linotype" w:hAnsi="Palatino Linotype" w:cs="Palatino Linotype"/>
        </w:rPr>
      </w:pPr>
    </w:p>
    <w:p w14:paraId="761036B5" w14:textId="77777777" w:rsidR="00731BE5" w:rsidRDefault="00923150">
      <w:pPr>
        <w:numPr>
          <w:ilvl w:val="0"/>
          <w:numId w:val="6"/>
        </w:numPr>
        <w:tabs>
          <w:tab w:val="left" w:pos="426"/>
        </w:tabs>
        <w:spacing w:line="360" w:lineRule="auto"/>
        <w:ind w:left="0" w:firstLine="0"/>
        <w:jc w:val="both"/>
      </w:pPr>
      <w:r>
        <w:rPr>
          <w:rFonts w:ascii="Palatino Linotype" w:eastAsia="Palatino Linotype" w:hAnsi="Palatino Linotype" w:cs="Palatino Linotype"/>
        </w:rPr>
        <w:t xml:space="preserve">En fecha veintidós (22) de marzo de dos mil veintitrés, la Dirección de Cumplimientos de la Secretaría Técnica del Pleno de este Instituto emitió un </w:t>
      </w:r>
      <w:r>
        <w:rPr>
          <w:rFonts w:ascii="Palatino Linotype" w:eastAsia="Palatino Linotype" w:hAnsi="Palatino Linotype" w:cs="Palatino Linotype"/>
        </w:rPr>
        <w:lastRenderedPageBreak/>
        <w:t>Acuerdo de Incumplimiento al Sujeto Obligado, en virtud de que el contenido del Acta de la Tercera Sesión Ordinaria del Comité de Transparencia del Ayuntamiento de Metepec, trata la aprobación de la clasificación de la información como confidencial para dar respuesta a diversas solicitudes de información.</w:t>
      </w:r>
    </w:p>
    <w:p w14:paraId="761036B6" w14:textId="77777777" w:rsidR="00731BE5" w:rsidRDefault="00731BE5">
      <w:pPr>
        <w:tabs>
          <w:tab w:val="left" w:pos="426"/>
        </w:tabs>
        <w:spacing w:line="360" w:lineRule="auto"/>
        <w:ind w:left="360"/>
        <w:jc w:val="both"/>
        <w:rPr>
          <w:rFonts w:ascii="Palatino Linotype" w:eastAsia="Palatino Linotype" w:hAnsi="Palatino Linotype" w:cs="Palatino Linotype"/>
        </w:rPr>
      </w:pPr>
    </w:p>
    <w:p w14:paraId="761036B7" w14:textId="77777777" w:rsidR="00731BE5" w:rsidRDefault="00923150">
      <w:pPr>
        <w:numPr>
          <w:ilvl w:val="0"/>
          <w:numId w:val="6"/>
        </w:numPr>
        <w:tabs>
          <w:tab w:val="left" w:pos="426"/>
        </w:tabs>
        <w:spacing w:line="360" w:lineRule="auto"/>
        <w:ind w:left="0" w:firstLine="0"/>
        <w:jc w:val="both"/>
      </w:pPr>
      <w:r>
        <w:rPr>
          <w:rFonts w:ascii="Palatino Linotype" w:eastAsia="Palatino Linotype" w:hAnsi="Palatino Linotype" w:cs="Palatino Linotype"/>
        </w:rPr>
        <w:t>El Sujeto Obligado hizo una nueva entrega de información en fecha veintiuno (21</w:t>
      </w:r>
      <w:proofErr w:type="gramStart"/>
      <w:r>
        <w:rPr>
          <w:rFonts w:ascii="Palatino Linotype" w:eastAsia="Palatino Linotype" w:hAnsi="Palatino Linotype" w:cs="Palatino Linotype"/>
        </w:rPr>
        <w:t>)  de</w:t>
      </w:r>
      <w:proofErr w:type="gramEnd"/>
      <w:r>
        <w:rPr>
          <w:rFonts w:ascii="Palatino Linotype" w:eastAsia="Palatino Linotype" w:hAnsi="Palatino Linotype" w:cs="Palatino Linotype"/>
        </w:rPr>
        <w:t xml:space="preserve"> abril de dos mil veintitrés, remitió el Acta de la Octogésima sesión extraordinaria del Comité de Transparencia, en la cual aprobó la clasificación de la información como confidencial en su totalidad, respecto de “el examen psicométrico de la servidora pública Mónica Garduño </w:t>
      </w:r>
      <w:proofErr w:type="spellStart"/>
      <w:r>
        <w:rPr>
          <w:rFonts w:ascii="Palatino Linotype" w:eastAsia="Palatino Linotype" w:hAnsi="Palatino Linotype" w:cs="Palatino Linotype"/>
        </w:rPr>
        <w:t>Wahl</w:t>
      </w:r>
      <w:proofErr w:type="spellEnd"/>
      <w:r>
        <w:rPr>
          <w:rFonts w:ascii="Palatino Linotype" w:eastAsia="Palatino Linotype" w:hAnsi="Palatino Linotype" w:cs="Palatino Linotype"/>
        </w:rPr>
        <w:t>”.</w:t>
      </w:r>
    </w:p>
    <w:p w14:paraId="761036B8" w14:textId="77777777" w:rsidR="00731BE5" w:rsidRDefault="00731BE5">
      <w:pPr>
        <w:tabs>
          <w:tab w:val="left" w:pos="426"/>
        </w:tabs>
        <w:spacing w:line="360" w:lineRule="auto"/>
        <w:ind w:left="360"/>
        <w:jc w:val="both"/>
        <w:rPr>
          <w:rFonts w:ascii="Palatino Linotype" w:eastAsia="Palatino Linotype" w:hAnsi="Palatino Linotype" w:cs="Palatino Linotype"/>
        </w:rPr>
      </w:pPr>
    </w:p>
    <w:p w14:paraId="761036B9" w14:textId="77777777" w:rsidR="00731BE5" w:rsidRDefault="00923150">
      <w:pPr>
        <w:numPr>
          <w:ilvl w:val="0"/>
          <w:numId w:val="6"/>
        </w:numPr>
        <w:tabs>
          <w:tab w:val="left" w:pos="426"/>
        </w:tabs>
        <w:spacing w:line="360" w:lineRule="auto"/>
        <w:ind w:left="0" w:firstLine="0"/>
        <w:jc w:val="both"/>
      </w:pPr>
      <w:r>
        <w:rPr>
          <w:rFonts w:ascii="Palatino Linotype" w:eastAsia="Palatino Linotype" w:hAnsi="Palatino Linotype" w:cs="Palatino Linotype"/>
        </w:rPr>
        <w:t xml:space="preserve">En razón de lo anterior, </w:t>
      </w:r>
      <w:proofErr w:type="gramStart"/>
      <w:r>
        <w:rPr>
          <w:rFonts w:ascii="Palatino Linotype" w:eastAsia="Palatino Linotype" w:hAnsi="Palatino Linotype" w:cs="Palatino Linotype"/>
        </w:rPr>
        <w:t>el  veinticinco</w:t>
      </w:r>
      <w:proofErr w:type="gramEnd"/>
      <w:r>
        <w:rPr>
          <w:rFonts w:ascii="Palatino Linotype" w:eastAsia="Palatino Linotype" w:hAnsi="Palatino Linotype" w:cs="Palatino Linotype"/>
        </w:rPr>
        <w:t xml:space="preserve"> de abril de dos mil veintitrés, se determina el CUMPLIMIENTO EXTEMPORÁNEO a la Resolución del Recurso de Revisión 12498/INFOEM/IP/RR/2022, por parte del Sujeto Obligado Ayuntamiento de Metepec por la Dirección de Cumplimientos de la Secretaría Técnica del Pleno del Instituto de Transparencia, Acceso a la Información Pública y Protección de Datos Personales del Estado de México y Municipios.</w:t>
      </w:r>
    </w:p>
    <w:p w14:paraId="761036BA" w14:textId="77777777" w:rsidR="00731BE5" w:rsidRDefault="00731BE5">
      <w:pPr>
        <w:tabs>
          <w:tab w:val="left" w:pos="426"/>
        </w:tabs>
        <w:spacing w:line="360" w:lineRule="auto"/>
        <w:jc w:val="both"/>
        <w:rPr>
          <w:rFonts w:ascii="Palatino Linotype" w:eastAsia="Palatino Linotype" w:hAnsi="Palatino Linotype" w:cs="Palatino Linotype"/>
        </w:rPr>
      </w:pPr>
    </w:p>
    <w:p w14:paraId="761036BB" w14:textId="77777777" w:rsidR="00731BE5" w:rsidRDefault="00731BE5">
      <w:pPr>
        <w:tabs>
          <w:tab w:val="left" w:pos="426"/>
        </w:tabs>
        <w:spacing w:line="360" w:lineRule="auto"/>
        <w:jc w:val="both"/>
        <w:rPr>
          <w:rFonts w:ascii="Palatino Linotype" w:eastAsia="Palatino Linotype" w:hAnsi="Palatino Linotype" w:cs="Palatino Linotype"/>
          <w:sz w:val="20"/>
          <w:szCs w:val="20"/>
        </w:rPr>
      </w:pPr>
    </w:p>
    <w:p w14:paraId="761036BC" w14:textId="77777777" w:rsidR="00731BE5" w:rsidRDefault="00731BE5">
      <w:pPr>
        <w:tabs>
          <w:tab w:val="left" w:pos="426"/>
        </w:tabs>
        <w:spacing w:line="360" w:lineRule="auto"/>
        <w:jc w:val="both"/>
        <w:rPr>
          <w:rFonts w:ascii="Palatino Linotype" w:eastAsia="Palatino Linotype" w:hAnsi="Palatino Linotype" w:cs="Palatino Linotype"/>
        </w:rPr>
      </w:pPr>
    </w:p>
    <w:p w14:paraId="761036BD" w14:textId="77777777" w:rsidR="00731BE5" w:rsidRDefault="00923150">
      <w:pPr>
        <w:numPr>
          <w:ilvl w:val="0"/>
          <w:numId w:val="6"/>
        </w:numPr>
        <w:tabs>
          <w:tab w:val="left" w:pos="426"/>
        </w:tabs>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lo anterior, el (02) dos de mayo de dos mil veintitrés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w:t>
      </w:r>
      <w:r>
        <w:rPr>
          <w:rFonts w:ascii="Palatino Linotype" w:eastAsia="Palatino Linotype" w:hAnsi="Palatino Linotype" w:cs="Palatino Linotype"/>
          <w:b/>
        </w:rPr>
        <w:t xml:space="preserve">12498/INFOEM/ICR-228/IP/RR/2022, </w:t>
      </w:r>
      <w:r>
        <w:rPr>
          <w:rFonts w:ascii="Palatino Linotype" w:eastAsia="Palatino Linotype" w:hAnsi="Palatino Linotype" w:cs="Palatino Linotype"/>
        </w:rPr>
        <w:t xml:space="preserve">arguyendo como: </w:t>
      </w:r>
    </w:p>
    <w:p w14:paraId="761036BE" w14:textId="77777777" w:rsidR="00731BE5" w:rsidRDefault="00731BE5">
      <w:pPr>
        <w:tabs>
          <w:tab w:val="left" w:pos="426"/>
        </w:tabs>
        <w:spacing w:after="160" w:line="360" w:lineRule="auto"/>
        <w:ind w:left="360"/>
        <w:jc w:val="both"/>
        <w:rPr>
          <w:rFonts w:ascii="Palatino Linotype" w:eastAsia="Palatino Linotype" w:hAnsi="Palatino Linotype" w:cs="Palatino Linotype"/>
        </w:rPr>
      </w:pPr>
    </w:p>
    <w:p w14:paraId="761036BF" w14:textId="77777777" w:rsidR="00731BE5" w:rsidRDefault="00923150">
      <w:pPr>
        <w:numPr>
          <w:ilvl w:val="0"/>
          <w:numId w:val="4"/>
        </w:numPr>
        <w:pBdr>
          <w:top w:val="nil"/>
          <w:left w:val="nil"/>
          <w:bottom w:val="nil"/>
          <w:right w:val="nil"/>
          <w:between w:val="nil"/>
        </w:pBdr>
        <w:tabs>
          <w:tab w:val="left" w:pos="426"/>
        </w:tabs>
        <w:spacing w:after="160" w:line="360" w:lineRule="auto"/>
        <w:ind w:hanging="15"/>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Acto impugnado: </w:t>
      </w:r>
    </w:p>
    <w:p w14:paraId="761036C0" w14:textId="77777777" w:rsidR="00731BE5" w:rsidRDefault="00923150">
      <w:pPr>
        <w:tabs>
          <w:tab w:val="left" w:pos="426"/>
        </w:tabs>
        <w:spacing w:after="160" w:line="360" w:lineRule="auto"/>
        <w:ind w:left="720" w:hanging="15"/>
        <w:rPr>
          <w:rFonts w:ascii="Palatino Linotype" w:eastAsia="Palatino Linotype" w:hAnsi="Palatino Linotype" w:cs="Palatino Linotype"/>
          <w:i/>
        </w:rPr>
      </w:pPr>
      <w:r>
        <w:rPr>
          <w:rFonts w:ascii="Palatino Linotype" w:eastAsia="Palatino Linotype" w:hAnsi="Palatino Linotype" w:cs="Palatino Linotype"/>
          <w:i/>
        </w:rPr>
        <w:t>“El suspender el curso de la entrega de la información solicitada interponiendo el sujeto obligado la figura de una reunión deliberativa a modo para determinar qué se considera público y qué conviene no publicar.” (Sic)</w:t>
      </w:r>
    </w:p>
    <w:p w14:paraId="761036C1" w14:textId="77777777" w:rsidR="00731BE5" w:rsidRDefault="00923150">
      <w:pPr>
        <w:numPr>
          <w:ilvl w:val="0"/>
          <w:numId w:val="4"/>
        </w:numPr>
        <w:pBdr>
          <w:top w:val="nil"/>
          <w:left w:val="nil"/>
          <w:bottom w:val="nil"/>
          <w:right w:val="nil"/>
          <w:between w:val="nil"/>
        </w:pBdr>
        <w:tabs>
          <w:tab w:val="left" w:pos="426"/>
        </w:tabs>
        <w:spacing w:after="160" w:line="360" w:lineRule="auto"/>
        <w:ind w:hanging="15"/>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Razones o motivos de la </w:t>
      </w:r>
      <w:proofErr w:type="gramStart"/>
      <w:r>
        <w:rPr>
          <w:rFonts w:ascii="Palatino Linotype" w:eastAsia="Palatino Linotype" w:hAnsi="Palatino Linotype" w:cs="Palatino Linotype"/>
          <w:b/>
          <w:color w:val="000000"/>
        </w:rPr>
        <w:t>inconformidad :</w:t>
      </w:r>
      <w:proofErr w:type="gramEnd"/>
    </w:p>
    <w:p w14:paraId="761036C2" w14:textId="77777777" w:rsidR="00731BE5" w:rsidRDefault="00923150">
      <w:pPr>
        <w:tabs>
          <w:tab w:val="left" w:pos="426"/>
        </w:tabs>
        <w:spacing w:line="360" w:lineRule="auto"/>
        <w:ind w:left="720" w:hanging="15"/>
        <w:rPr>
          <w:rFonts w:ascii="Palatino Linotype" w:eastAsia="Palatino Linotype" w:hAnsi="Palatino Linotype" w:cs="Palatino Linotype"/>
          <w:i/>
        </w:rPr>
      </w:pPr>
      <w:r>
        <w:rPr>
          <w:rFonts w:ascii="Palatino Linotype" w:eastAsia="Palatino Linotype" w:hAnsi="Palatino Linotype" w:cs="Palatino Linotype"/>
          <w:i/>
        </w:rPr>
        <w:t>“Evasión de la entrega de la información mediante reuniones con el fin de encubrimiento entre pares en el H. Ayuntamiento” (Sic)</w:t>
      </w:r>
    </w:p>
    <w:p w14:paraId="761036C3" w14:textId="77777777" w:rsidR="00731BE5" w:rsidRDefault="00731BE5">
      <w:pPr>
        <w:tabs>
          <w:tab w:val="left" w:pos="426"/>
        </w:tabs>
        <w:spacing w:line="360" w:lineRule="auto"/>
        <w:rPr>
          <w:rFonts w:ascii="Palatino Linotype" w:eastAsia="Palatino Linotype" w:hAnsi="Palatino Linotype" w:cs="Palatino Linotype"/>
          <w:i/>
        </w:rPr>
      </w:pPr>
    </w:p>
    <w:p w14:paraId="761036C4" w14:textId="77777777" w:rsidR="00731BE5" w:rsidRDefault="00923150">
      <w:pPr>
        <w:numPr>
          <w:ilvl w:val="0"/>
          <w:numId w:val="6"/>
        </w:numPr>
        <w:tabs>
          <w:tab w:val="left" w:pos="426"/>
        </w:tabs>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La Comisionada </w:t>
      </w:r>
      <w:r>
        <w:rPr>
          <w:rFonts w:ascii="Palatino Linotype" w:eastAsia="Palatino Linotype" w:hAnsi="Palatino Linotype" w:cs="Palatino Linotype"/>
          <w:b/>
          <w:color w:val="000000"/>
        </w:rPr>
        <w:t>María del Rosario Mejía Ayala</w:t>
      </w:r>
      <w:r>
        <w:rPr>
          <w:rFonts w:ascii="Palatino Linotype" w:eastAsia="Palatino Linotype" w:hAnsi="Palatino Linotype" w:cs="Palatino Linotype"/>
          <w:color w:val="000000"/>
        </w:rPr>
        <w:t xml:space="preserve">, con fundamento en lo dispuesto por el artículo 185 fracción II de la ley de la materia, a través del acuerdo de admisión de quince (15) de mayo de dos mil veintitrés y notificado el (16) dieciséis del mismo mes y año, puso a disposición de las partes el expediente electrónico vía Sistema de Acceso a la Información Mexiquense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manifestaran lo que a derecho convinieran, ofrecieran pruebas y alegatos según corresponda a los casos concretos,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presentara el informe justificado correspondiente, situación que no aconteció por las partes. </w:t>
      </w:r>
    </w:p>
    <w:p w14:paraId="761036C5" w14:textId="77777777" w:rsidR="00731BE5" w:rsidRDefault="00731BE5">
      <w:pPr>
        <w:tabs>
          <w:tab w:val="left" w:pos="426"/>
        </w:tabs>
        <w:spacing w:line="360" w:lineRule="auto"/>
        <w:jc w:val="both"/>
        <w:rPr>
          <w:rFonts w:ascii="Palatino Linotype" w:eastAsia="Palatino Linotype" w:hAnsi="Palatino Linotype" w:cs="Palatino Linotype"/>
          <w:i/>
          <w:color w:val="000000"/>
        </w:rPr>
      </w:pPr>
    </w:p>
    <w:p w14:paraId="761036C6" w14:textId="77777777" w:rsidR="00731BE5" w:rsidRDefault="00731BE5">
      <w:pPr>
        <w:tabs>
          <w:tab w:val="left" w:pos="426"/>
        </w:tabs>
        <w:spacing w:after="160" w:line="360" w:lineRule="auto"/>
        <w:ind w:left="360"/>
        <w:jc w:val="both"/>
        <w:rPr>
          <w:rFonts w:ascii="Palatino Linotype" w:eastAsia="Palatino Linotype" w:hAnsi="Palatino Linotype" w:cs="Palatino Linotype"/>
        </w:rPr>
      </w:pPr>
    </w:p>
    <w:p w14:paraId="761036C7" w14:textId="77777777" w:rsidR="00731BE5" w:rsidRDefault="00923150">
      <w:pPr>
        <w:numPr>
          <w:ilvl w:val="0"/>
          <w:numId w:val="6"/>
        </w:numPr>
        <w:tabs>
          <w:tab w:val="left" w:pos="426"/>
        </w:tabs>
        <w:spacing w:after="160"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Transcurrido el plazo decretado con anterioridad, el </w:t>
      </w:r>
      <w:proofErr w:type="gramStart"/>
      <w:r>
        <w:rPr>
          <w:rFonts w:ascii="Palatino Linotype" w:eastAsia="Palatino Linotype" w:hAnsi="Palatino Linotype" w:cs="Palatino Linotype"/>
          <w:b/>
          <w:color w:val="000000"/>
        </w:rPr>
        <w:t>PARTICULAR</w:t>
      </w:r>
      <w:r>
        <w:rPr>
          <w:rFonts w:ascii="Palatino Linotype" w:eastAsia="Palatino Linotype" w:hAnsi="Palatino Linotype" w:cs="Palatino Linotype"/>
          <w:color w:val="000000"/>
        </w:rPr>
        <w:t xml:space="preserve">  fue</w:t>
      </w:r>
      <w:proofErr w:type="gramEnd"/>
      <w:r>
        <w:rPr>
          <w:rFonts w:ascii="Palatino Linotype" w:eastAsia="Palatino Linotype" w:hAnsi="Palatino Linotype" w:cs="Palatino Linotype"/>
          <w:color w:val="000000"/>
        </w:rPr>
        <w:t xml:space="preserve"> omiso en realizar manifestación alguna conforme a su derecho conviniera, en tanto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adjunto en la etapa de manifestaciones el Acuerdo de </w:t>
      </w:r>
      <w:r>
        <w:rPr>
          <w:rFonts w:ascii="Palatino Linotype" w:eastAsia="Palatino Linotype" w:hAnsi="Palatino Linotype" w:cs="Palatino Linotype"/>
          <w:color w:val="000000"/>
        </w:rPr>
        <w:lastRenderedPageBreak/>
        <w:t>Cumplimiento Extemporáneo de veinticinco (25) de abril de dos mil veintitrés, por la Dirección de cumplimiento de este Instituto.</w:t>
      </w:r>
    </w:p>
    <w:p w14:paraId="761036C8" w14:textId="77777777" w:rsidR="00731BE5" w:rsidRDefault="00731BE5">
      <w:pPr>
        <w:pBdr>
          <w:top w:val="nil"/>
          <w:left w:val="nil"/>
          <w:bottom w:val="nil"/>
          <w:right w:val="nil"/>
          <w:between w:val="nil"/>
        </w:pBdr>
        <w:ind w:left="720"/>
        <w:rPr>
          <w:rFonts w:ascii="Palatino Linotype" w:eastAsia="Palatino Linotype" w:hAnsi="Palatino Linotype" w:cs="Palatino Linotype"/>
          <w:i/>
          <w:color w:val="000000"/>
        </w:rPr>
      </w:pPr>
    </w:p>
    <w:p w14:paraId="761036C9"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El diez (10) de octubre de dos mil veintitrés, se amplió el término para resolver; al respecto es menester realizar las siguientes precisiones.</w:t>
      </w:r>
    </w:p>
    <w:p w14:paraId="761036CA" w14:textId="77777777" w:rsidR="00731BE5" w:rsidRDefault="00731BE5">
      <w:pPr>
        <w:pBdr>
          <w:top w:val="nil"/>
          <w:left w:val="nil"/>
          <w:bottom w:val="nil"/>
          <w:right w:val="nil"/>
          <w:between w:val="nil"/>
        </w:pBdr>
        <w:ind w:left="720"/>
        <w:rPr>
          <w:rFonts w:ascii="Palatino Linotype" w:eastAsia="Palatino Linotype" w:hAnsi="Palatino Linotype" w:cs="Palatino Linotype"/>
          <w:color w:val="000000"/>
        </w:rPr>
      </w:pPr>
    </w:p>
    <w:p w14:paraId="761036CB"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que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61036CC"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6CD"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61036CE" w14:textId="77777777" w:rsidR="00731BE5" w:rsidRDefault="00731BE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61036CF"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1036D0" w14:textId="77777777" w:rsidR="00731BE5" w:rsidRDefault="00731BE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61036D1"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61036D2" w14:textId="77777777" w:rsidR="00731BE5" w:rsidRDefault="00731BE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61036D3"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761036D4" w14:textId="77777777" w:rsidR="00731BE5" w:rsidRDefault="00731BE5">
      <w:pPr>
        <w:spacing w:line="360" w:lineRule="auto"/>
        <w:jc w:val="both"/>
        <w:rPr>
          <w:rFonts w:ascii="Palatino Linotype" w:eastAsia="Palatino Linotype" w:hAnsi="Palatino Linotype" w:cs="Palatino Linotype"/>
        </w:rPr>
      </w:pPr>
    </w:p>
    <w:p w14:paraId="761036D5" w14:textId="77777777" w:rsidR="00731BE5" w:rsidRDefault="0092315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Complejidad del Asunto: La complejidad de la prueba, la pluralidad de sujetos procesales, el tiempo transcurrido, las características y contexto del recurso. </w:t>
      </w:r>
    </w:p>
    <w:p w14:paraId="761036D6" w14:textId="77777777" w:rsidR="00731BE5" w:rsidRDefault="0092315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14:paraId="761036D7" w14:textId="77777777" w:rsidR="00731BE5" w:rsidRDefault="0092315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761036D8" w14:textId="77777777" w:rsidR="00731BE5" w:rsidRDefault="00923150">
      <w:pPr>
        <w:spacing w:line="360" w:lineRule="auto"/>
        <w:ind w:left="851" w:hanging="284"/>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61036D9" w14:textId="77777777" w:rsidR="00731BE5" w:rsidRDefault="00731BE5">
      <w:pPr>
        <w:spacing w:line="360" w:lineRule="auto"/>
        <w:ind w:left="851" w:hanging="284"/>
        <w:jc w:val="both"/>
        <w:rPr>
          <w:rFonts w:ascii="Palatino Linotype" w:eastAsia="Palatino Linotype" w:hAnsi="Palatino Linotype" w:cs="Palatino Linotype"/>
        </w:rPr>
      </w:pPr>
    </w:p>
    <w:p w14:paraId="761036DA"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color w:val="000000"/>
        </w:rPr>
        <w:lastRenderedPageBreak/>
        <w:t>relación con la actuación del funcionario, como ha acontecido en el caso que nos ocupa.</w:t>
      </w:r>
    </w:p>
    <w:p w14:paraId="761036DB"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6DC"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14:paraId="761036DD" w14:textId="77777777" w:rsidR="00731BE5" w:rsidRDefault="00731BE5">
      <w:pPr>
        <w:spacing w:line="360" w:lineRule="auto"/>
        <w:jc w:val="both"/>
        <w:rPr>
          <w:rFonts w:ascii="Palatino Linotype" w:eastAsia="Palatino Linotype" w:hAnsi="Palatino Linotype" w:cs="Palatino Linotype"/>
        </w:rPr>
      </w:pPr>
    </w:p>
    <w:p w14:paraId="761036DE"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61036DF" w14:textId="77777777" w:rsidR="00731BE5" w:rsidRDefault="00731BE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61036E0"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14:paraId="761036E1" w14:textId="77777777" w:rsidR="00731BE5" w:rsidRDefault="00731BE5">
      <w:pPr>
        <w:spacing w:line="360" w:lineRule="auto"/>
        <w:jc w:val="both"/>
        <w:rPr>
          <w:rFonts w:ascii="Palatino Linotype" w:eastAsia="Palatino Linotype" w:hAnsi="Palatino Linotype" w:cs="Palatino Linotype"/>
        </w:rPr>
      </w:pPr>
    </w:p>
    <w:p w14:paraId="761036E2"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761036E3" w14:textId="77777777" w:rsidR="00731BE5" w:rsidRDefault="00731BE5">
      <w:pPr>
        <w:spacing w:line="360" w:lineRule="auto"/>
        <w:jc w:val="both"/>
        <w:rPr>
          <w:rFonts w:ascii="Palatino Linotype" w:eastAsia="Palatino Linotype" w:hAnsi="Palatino Linotype" w:cs="Palatino Linotype"/>
        </w:rPr>
      </w:pPr>
    </w:p>
    <w:p w14:paraId="761036E4" w14:textId="77777777" w:rsidR="00731BE5" w:rsidRDefault="00923150">
      <w:pPr>
        <w:spacing w:line="360" w:lineRule="auto"/>
        <w:ind w:left="425" w:right="476"/>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761036E5" w14:textId="77777777" w:rsidR="00731BE5" w:rsidRDefault="00731BE5">
      <w:pPr>
        <w:spacing w:line="360" w:lineRule="auto"/>
        <w:ind w:left="425" w:right="476"/>
        <w:jc w:val="both"/>
        <w:rPr>
          <w:rFonts w:ascii="Palatino Linotype" w:eastAsia="Palatino Linotype" w:hAnsi="Palatino Linotype" w:cs="Palatino Linotype"/>
          <w:b/>
        </w:rPr>
      </w:pPr>
    </w:p>
    <w:p w14:paraId="761036E6" w14:textId="77777777" w:rsidR="00731BE5" w:rsidRDefault="00923150">
      <w:pPr>
        <w:spacing w:line="360" w:lineRule="auto"/>
        <w:ind w:left="425" w:right="476"/>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61036E7" w14:textId="77777777" w:rsidR="00731BE5" w:rsidRDefault="00731BE5">
      <w:pPr>
        <w:pBdr>
          <w:top w:val="nil"/>
          <w:left w:val="nil"/>
          <w:bottom w:val="nil"/>
          <w:right w:val="nil"/>
          <w:between w:val="nil"/>
        </w:pBdr>
        <w:ind w:left="720"/>
        <w:rPr>
          <w:rFonts w:ascii="Palatino Linotype" w:eastAsia="Palatino Linotype" w:hAnsi="Palatino Linotype" w:cs="Palatino Linotype"/>
          <w:i/>
          <w:color w:val="000000"/>
        </w:rPr>
      </w:pPr>
    </w:p>
    <w:p w14:paraId="761036E8" w14:textId="77777777" w:rsidR="00731BE5" w:rsidRDefault="00923150">
      <w:pPr>
        <w:numPr>
          <w:ilvl w:val="0"/>
          <w:numId w:val="6"/>
        </w:numPr>
        <w:tabs>
          <w:tab w:val="left" w:pos="426"/>
        </w:tabs>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Finalmente, el diez (10) de octubre de dos mil veintitrés, la Comisionada Ponente decreto el Cierre de Instrucción, por lo que no habiendo más que constar </w:t>
      </w:r>
      <w:r>
        <w:rPr>
          <w:rFonts w:ascii="Palatino Linotype" w:eastAsia="Palatino Linotype" w:hAnsi="Palatino Linotype" w:cs="Palatino Linotype"/>
        </w:rPr>
        <w:t>y -------------------------------------------------------------------------------------------------------------------------</w:t>
      </w:r>
    </w:p>
    <w:p w14:paraId="761036E9" w14:textId="77777777" w:rsidR="00731BE5" w:rsidRDefault="00731BE5">
      <w:pPr>
        <w:tabs>
          <w:tab w:val="left" w:pos="426"/>
        </w:tabs>
        <w:spacing w:after="160" w:line="360" w:lineRule="auto"/>
        <w:jc w:val="both"/>
        <w:rPr>
          <w:rFonts w:ascii="Palatino Linotype" w:eastAsia="Palatino Linotype" w:hAnsi="Palatino Linotype" w:cs="Palatino Linotype"/>
          <w:i/>
          <w:color w:val="000000"/>
        </w:rPr>
      </w:pPr>
    </w:p>
    <w:p w14:paraId="761036EA" w14:textId="77777777" w:rsidR="00731BE5" w:rsidRDefault="00923150">
      <w:pPr>
        <w:pStyle w:val="Ttulo1"/>
        <w:spacing w:before="0" w:line="360" w:lineRule="auto"/>
        <w:jc w:val="center"/>
        <w:rPr>
          <w:rFonts w:ascii="Palatino Linotype" w:eastAsia="Palatino Linotype" w:hAnsi="Palatino Linotype" w:cs="Palatino Linotype"/>
          <w:b/>
          <w:color w:val="000000"/>
          <w:sz w:val="24"/>
          <w:szCs w:val="24"/>
        </w:rPr>
      </w:pPr>
      <w:bookmarkStart w:id="1" w:name="_heading=h.30j0zll" w:colFirst="0" w:colLast="0"/>
      <w:bookmarkEnd w:id="1"/>
      <w:r>
        <w:rPr>
          <w:rFonts w:ascii="Palatino Linotype" w:eastAsia="Palatino Linotype" w:hAnsi="Palatino Linotype" w:cs="Palatino Linotype"/>
          <w:b/>
          <w:color w:val="000000"/>
          <w:sz w:val="24"/>
          <w:szCs w:val="24"/>
        </w:rPr>
        <w:t>CONSIDERANDO</w:t>
      </w:r>
    </w:p>
    <w:p w14:paraId="761036EB" w14:textId="77777777" w:rsidR="00731BE5" w:rsidRDefault="00731BE5">
      <w:pPr>
        <w:rPr>
          <w:rFonts w:ascii="Palatino Linotype" w:eastAsia="Palatino Linotype" w:hAnsi="Palatino Linotype" w:cs="Palatino Linotype"/>
          <w:color w:val="000000"/>
        </w:rPr>
      </w:pPr>
    </w:p>
    <w:p w14:paraId="761036EC" w14:textId="77777777" w:rsidR="00731BE5" w:rsidRDefault="00923150">
      <w:pPr>
        <w:pStyle w:val="Ttulo2"/>
        <w:rPr>
          <w:rFonts w:ascii="Palatino Linotype" w:eastAsia="Palatino Linotype" w:hAnsi="Palatino Linotype" w:cs="Palatino Linotype"/>
          <w:b/>
          <w:color w:val="000000"/>
          <w:sz w:val="24"/>
          <w:szCs w:val="24"/>
        </w:rPr>
      </w:pPr>
      <w:bookmarkStart w:id="2" w:name="_heading=h.1fob9te" w:colFirst="0" w:colLast="0"/>
      <w:bookmarkEnd w:id="2"/>
      <w:r>
        <w:rPr>
          <w:rFonts w:ascii="Palatino Linotype" w:eastAsia="Palatino Linotype" w:hAnsi="Palatino Linotype" w:cs="Palatino Linotype"/>
          <w:b/>
          <w:color w:val="000000"/>
          <w:sz w:val="24"/>
          <w:szCs w:val="24"/>
        </w:rPr>
        <w:lastRenderedPageBreak/>
        <w:t>PRIMERO. De la competencia</w:t>
      </w:r>
    </w:p>
    <w:p w14:paraId="761036ED" w14:textId="77777777" w:rsidR="00731BE5" w:rsidRDefault="00731BE5">
      <w:pPr>
        <w:spacing w:line="360" w:lineRule="auto"/>
        <w:rPr>
          <w:rFonts w:ascii="Palatino Linotype" w:eastAsia="Palatino Linotype" w:hAnsi="Palatino Linotype" w:cs="Palatino Linotype"/>
          <w:color w:val="000000"/>
        </w:rPr>
      </w:pPr>
    </w:p>
    <w:p w14:paraId="761036EE"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61036EF"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61036F0" w14:textId="77777777" w:rsidR="00731BE5" w:rsidRDefault="00923150">
      <w:pPr>
        <w:pStyle w:val="Ttulo2"/>
        <w:spacing w:before="0" w:line="360" w:lineRule="auto"/>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SEGUNDO. De la oportunidad y procedencia.</w:t>
      </w:r>
    </w:p>
    <w:p w14:paraId="761036F1" w14:textId="77777777" w:rsidR="00731BE5" w:rsidRDefault="00731BE5">
      <w:pPr>
        <w:spacing w:line="360" w:lineRule="auto"/>
        <w:rPr>
          <w:rFonts w:ascii="Palatino Linotype" w:eastAsia="Palatino Linotype" w:hAnsi="Palatino Linotype" w:cs="Palatino Linotype"/>
        </w:rPr>
      </w:pPr>
    </w:p>
    <w:p w14:paraId="761036F2"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presente medio de impugnación fue presentado a través del SAIMEX, en el formato previamente aprobado para tal efecto,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61036F3"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6F4"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No obstante lo anterior, el mismo fue presentado encontrándose fuera del plazo de 15 días establecido para tal efecto, es decir, de manera extemporánea, lo anterior en virtud de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dio respuesta el veintitrés (23) de febrero de dos mil veintitrés, por lo que el plazo para interponer el recurso comenzó a contar a partir del veinticuatro (24) de febrero de dos mil veintitrés al diecisiete (17) de marzo de dos mil veintitrés, y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el (02) dos de mayo de dos mil veintitrés.</w:t>
      </w:r>
    </w:p>
    <w:p w14:paraId="761036F5" w14:textId="77777777" w:rsidR="00731BE5" w:rsidRDefault="00731BE5">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761036F6" w14:textId="77777777" w:rsidR="00731BE5" w:rsidRDefault="0092315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4" w:name="_heading=h.2et92p0" w:colFirst="0" w:colLast="0"/>
      <w:bookmarkEnd w:id="4"/>
      <w:r>
        <w:rPr>
          <w:rFonts w:ascii="Palatino Linotype" w:eastAsia="Palatino Linotype" w:hAnsi="Palatino Linotype" w:cs="Palatino Linotype"/>
          <w:b/>
          <w:color w:val="000000"/>
        </w:rPr>
        <w:t>TERCERO. De las causales de sobreseimiento.</w:t>
      </w:r>
    </w:p>
    <w:p w14:paraId="761036F7" w14:textId="77777777" w:rsidR="00731BE5" w:rsidRDefault="00731BE5">
      <w:pPr>
        <w:rPr>
          <w:rFonts w:ascii="Palatino Linotype" w:eastAsia="Palatino Linotype" w:hAnsi="Palatino Linotype" w:cs="Palatino Linotype"/>
          <w:color w:val="000000"/>
        </w:rPr>
      </w:pPr>
    </w:p>
    <w:p w14:paraId="761036F8"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se estima dable traer a contexto la causal de sobreseimiento contenida en la fracción IV del artículo 192, en relación con el artículo 191 fracción I, 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que establecen lo siguiente:</w:t>
      </w:r>
    </w:p>
    <w:p w14:paraId="761036F9"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6FA" w14:textId="77777777" w:rsidR="00731BE5" w:rsidRDefault="00923150">
      <w:pPr>
        <w:pBdr>
          <w:top w:val="nil"/>
          <w:left w:val="nil"/>
          <w:bottom w:val="nil"/>
          <w:right w:val="nil"/>
          <w:between w:val="nil"/>
        </w:pBdr>
        <w:spacing w:line="360" w:lineRule="auto"/>
        <w:ind w:left="426" w:right="425"/>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192. El recurso será sobreseído, en todo o en parte, cuando una vez admitido, se actualicen alguno de los siguientes supuestos:</w:t>
      </w:r>
    </w:p>
    <w:p w14:paraId="761036FB" w14:textId="77777777" w:rsidR="00731BE5" w:rsidRDefault="00923150">
      <w:pPr>
        <w:pBdr>
          <w:top w:val="nil"/>
          <w:left w:val="nil"/>
          <w:bottom w:val="nil"/>
          <w:right w:val="nil"/>
          <w:between w:val="nil"/>
        </w:pBdr>
        <w:spacing w:line="360" w:lineRule="auto"/>
        <w:ind w:left="426" w:right="425"/>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IV. </w:t>
      </w:r>
      <w:r>
        <w:rPr>
          <w:rFonts w:ascii="Palatino Linotype" w:eastAsia="Palatino Linotype" w:hAnsi="Palatino Linotype" w:cs="Palatino Linotype"/>
          <w:b/>
          <w:i/>
          <w:color w:val="000000"/>
        </w:rPr>
        <w:t>Admitido el recurso de revisión, aparezca alguna causal de improcedencia en los términos de la presente Ley; y</w:t>
      </w: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br/>
        <w:t>..."</w:t>
      </w:r>
    </w:p>
    <w:p w14:paraId="761036FC" w14:textId="77777777" w:rsidR="00731BE5" w:rsidRDefault="00923150">
      <w:pPr>
        <w:pBdr>
          <w:top w:val="nil"/>
          <w:left w:val="nil"/>
          <w:bottom w:val="nil"/>
          <w:right w:val="nil"/>
          <w:between w:val="nil"/>
        </w:pBdr>
        <w:spacing w:line="360" w:lineRule="auto"/>
        <w:ind w:left="426"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Énfasis añadido</w:t>
      </w:r>
    </w:p>
    <w:p w14:paraId="761036FD" w14:textId="77777777" w:rsidR="00731BE5" w:rsidRDefault="00731BE5">
      <w:pPr>
        <w:pBdr>
          <w:top w:val="nil"/>
          <w:left w:val="nil"/>
          <w:bottom w:val="nil"/>
          <w:right w:val="nil"/>
          <w:between w:val="nil"/>
        </w:pBdr>
        <w:spacing w:line="360" w:lineRule="auto"/>
        <w:ind w:left="426" w:right="425"/>
        <w:jc w:val="both"/>
        <w:rPr>
          <w:rFonts w:ascii="Palatino Linotype" w:eastAsia="Palatino Linotype" w:hAnsi="Palatino Linotype" w:cs="Palatino Linotype"/>
          <w:color w:val="000000"/>
        </w:rPr>
      </w:pPr>
    </w:p>
    <w:p w14:paraId="761036FE" w14:textId="77777777" w:rsidR="00731BE5" w:rsidRDefault="00923150">
      <w:pPr>
        <w:pBdr>
          <w:top w:val="nil"/>
          <w:left w:val="nil"/>
          <w:bottom w:val="nil"/>
          <w:right w:val="nil"/>
          <w:between w:val="nil"/>
        </w:pBdr>
        <w:spacing w:line="360" w:lineRule="auto"/>
        <w:ind w:left="426" w:right="425"/>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191. El recurso será desechado por improcedente cuando:</w:t>
      </w:r>
    </w:p>
    <w:p w14:paraId="761036FF" w14:textId="77777777" w:rsidR="00731BE5" w:rsidRDefault="00923150">
      <w:pPr>
        <w:numPr>
          <w:ilvl w:val="0"/>
          <w:numId w:val="1"/>
        </w:numPr>
        <w:pBdr>
          <w:top w:val="nil"/>
          <w:left w:val="nil"/>
          <w:bottom w:val="nil"/>
          <w:right w:val="nil"/>
          <w:between w:val="nil"/>
        </w:pBdr>
        <w:spacing w:line="360" w:lineRule="auto"/>
        <w:ind w:right="425"/>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Sea extemporáneo por haber transcurrido el plazo establecido en la presente Ley, a partir de la respuesta;</w:t>
      </w:r>
    </w:p>
    <w:p w14:paraId="76103700" w14:textId="77777777" w:rsidR="00731BE5" w:rsidRDefault="00923150">
      <w:pPr>
        <w:spacing w:line="360" w:lineRule="auto"/>
        <w:ind w:left="426" w:right="425"/>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76103701" w14:textId="77777777" w:rsidR="00731BE5" w:rsidRDefault="00923150">
      <w:pPr>
        <w:spacing w:line="360" w:lineRule="auto"/>
        <w:ind w:right="425" w:firstLine="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Énfasis añadido</w:t>
      </w:r>
    </w:p>
    <w:p w14:paraId="76103702"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703"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Establecido lo anterior, resulta importante señalar que la figura del sobreseimiento privilegia la existencia de elementos de fondo, tal como lo refiere el supuesto que contempla el caso en que el recurso interpuesto </w:t>
      </w:r>
      <w:r>
        <w:rPr>
          <w:rFonts w:ascii="Palatino Linotype" w:eastAsia="Palatino Linotype" w:hAnsi="Palatino Linotype" w:cs="Palatino Linotype"/>
          <w:b/>
          <w:color w:val="000000"/>
          <w:u w:val="single"/>
        </w:rPr>
        <w:t>Sea extemporáneo por haber transcurrido el plazo establecido en la presente Ley</w:t>
      </w:r>
      <w:r>
        <w:rPr>
          <w:rFonts w:ascii="Palatino Linotype" w:eastAsia="Palatino Linotype" w:hAnsi="Palatino Linotype" w:cs="Palatino Linotype"/>
          <w:color w:val="000000"/>
        </w:rPr>
        <w:t>; de ahí que la actualización de este supuesto traiga como aparejada consecuencia que se sobresea el medio de impugnación sin que tenga que analizarse de fondo el estudio planteado.</w:t>
      </w:r>
    </w:p>
    <w:p w14:paraId="76103704"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705"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Sirve como sustento a lo anterior, lo señalado </w:t>
      </w:r>
      <w:proofErr w:type="gramStart"/>
      <w:r>
        <w:rPr>
          <w:rFonts w:ascii="Palatino Linotype" w:eastAsia="Palatino Linotype" w:hAnsi="Palatino Linotype" w:cs="Palatino Linotype"/>
          <w:color w:val="000000"/>
        </w:rPr>
        <w:t>por  el</w:t>
      </w:r>
      <w:proofErr w:type="gramEnd"/>
      <w:r>
        <w:rPr>
          <w:rFonts w:ascii="Palatino Linotype" w:eastAsia="Palatino Linotype" w:hAnsi="Palatino Linotype" w:cs="Palatino Linotype"/>
          <w:color w:val="000000"/>
        </w:rPr>
        <w:t xml:space="preserve"> procesalista Niceto Alcalá-Zamora y Castillo en su obra </w:t>
      </w:r>
      <w:r>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Cuestiones</w:t>
      </w:r>
      <w:r>
        <w:rPr>
          <w:rFonts w:ascii="Palatino Linotype" w:eastAsia="Palatino Linotype" w:hAnsi="Palatino Linotype" w:cs="Palatino Linotype"/>
          <w:i/>
          <w:color w:val="000000"/>
        </w:rPr>
        <w:t xml:space="preserve"> de Terminología Procesal”</w:t>
      </w:r>
      <w:r>
        <w:rPr>
          <w:rFonts w:ascii="Palatino Linotype" w:eastAsia="Palatino Linotype" w:hAnsi="Palatino Linotype" w:cs="Palatino Linotype"/>
          <w:color w:val="000000"/>
        </w:rPr>
        <w:t xml:space="preserve">, el sobreseimiento es </w:t>
      </w:r>
      <w:r>
        <w:rPr>
          <w:rFonts w:ascii="Palatino Linotype" w:eastAsia="Palatino Linotype" w:hAnsi="Palatino Linotype" w:cs="Palatino Linotype"/>
          <w:i/>
          <w:color w:val="000000"/>
        </w:rPr>
        <w:t>“... una resolución en forma de auto, que produce la suspensión indefinida del procedimiento penal, o que pone fin al proceso, impidiendo en ambos casos, mientras subsista, la apertura del plenario o que en él se pronuncie sentencia...”.</w:t>
      </w:r>
    </w:p>
    <w:p w14:paraId="76103706" w14:textId="77777777" w:rsidR="00731BE5" w:rsidRDefault="00731BE5">
      <w:pPr>
        <w:pBdr>
          <w:top w:val="nil"/>
          <w:left w:val="nil"/>
          <w:bottom w:val="nil"/>
          <w:right w:val="nil"/>
          <w:between w:val="nil"/>
        </w:pBdr>
        <w:spacing w:line="360" w:lineRule="auto"/>
        <w:ind w:left="360"/>
        <w:jc w:val="both"/>
        <w:rPr>
          <w:rFonts w:ascii="Palatino Linotype" w:eastAsia="Palatino Linotype" w:hAnsi="Palatino Linotype" w:cs="Palatino Linotype"/>
          <w:i/>
        </w:rPr>
      </w:pPr>
    </w:p>
    <w:p w14:paraId="76103707"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Eduardo Pallares, en su artículo </w:t>
      </w:r>
      <w:r>
        <w:rPr>
          <w:rFonts w:ascii="Palatino Linotype" w:eastAsia="Palatino Linotype" w:hAnsi="Palatino Linotype" w:cs="Palatino Linotype"/>
          <w:i/>
          <w:color w:val="000000"/>
        </w:rPr>
        <w:t>“La caducidad y el sobreseimiento en el amparo”</w:t>
      </w:r>
      <w:r>
        <w:rPr>
          <w:rFonts w:ascii="Palatino Linotype" w:eastAsia="Palatino Linotype" w:hAnsi="Palatino Linotype" w:cs="Palatino Linotype"/>
          <w:color w:val="000000"/>
        </w:rPr>
        <w:t xml:space="preserve">, cita la definición de Aguilera Paz, aduciendo que se </w:t>
      </w:r>
      <w:r>
        <w:rPr>
          <w:rFonts w:ascii="Palatino Linotype" w:eastAsia="Palatino Linotype" w:hAnsi="Palatino Linotype" w:cs="Palatino Linotype"/>
          <w:i/>
          <w:color w:val="000000"/>
        </w:rPr>
        <w:t>“...entiende por sobreseimiento en el tecnicismo forense, el hecho de cesar en el procedimiento o curso de la causa, por no existir méritos bastantes para entrar en un juicio o para entablar la contienda judicial que debe ser objeto del mismo...”</w:t>
      </w:r>
      <w:r>
        <w:rPr>
          <w:rFonts w:ascii="Palatino Linotype" w:eastAsia="Palatino Linotype" w:hAnsi="Palatino Linotype" w:cs="Palatino Linotype"/>
          <w:color w:val="000000"/>
        </w:rPr>
        <w:t xml:space="preserve">. </w:t>
      </w:r>
      <w:proofErr w:type="gramStart"/>
      <w:r>
        <w:rPr>
          <w:rFonts w:ascii="Palatino Linotype" w:eastAsia="Palatino Linotype" w:hAnsi="Palatino Linotype" w:cs="Palatino Linotype"/>
          <w:color w:val="000000"/>
        </w:rPr>
        <w:t>Asimismo</w:t>
      </w:r>
      <w:proofErr w:type="gramEnd"/>
      <w:r>
        <w:rPr>
          <w:rFonts w:ascii="Palatino Linotype" w:eastAsia="Palatino Linotype" w:hAnsi="Palatino Linotype" w:cs="Palatino Linotype"/>
          <w:color w:val="000000"/>
        </w:rPr>
        <w:t xml:space="preserve"> señala que existe el sobreseimiento </w:t>
      </w:r>
      <w:r>
        <w:rPr>
          <w:rFonts w:ascii="Palatino Linotype" w:eastAsia="Palatino Linotype" w:hAnsi="Palatino Linotype" w:cs="Palatino Linotype"/>
          <w:color w:val="000000"/>
        </w:rPr>
        <w:lastRenderedPageBreak/>
        <w:t>provisional y el definitivo</w:t>
      </w:r>
      <w:r>
        <w:rPr>
          <w:rFonts w:ascii="Palatino Linotype" w:eastAsia="Palatino Linotype" w:hAnsi="Palatino Linotype" w:cs="Palatino Linotype"/>
          <w:i/>
          <w:color w:val="000000"/>
        </w:rPr>
        <w:t>: “...el definitivo es una verdadera sentencia que pone fin al juicio, y que una vez dictada, produce cosa juzgada, mientras que el provisorio tiene por efectos suspender la prosecución de la causa...”</w:t>
      </w:r>
    </w:p>
    <w:p w14:paraId="76103708"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709"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para la doctrina el sobreseimiento provoca que un procedimiento se suspenda o se resuelva en definitiva </w:t>
      </w:r>
      <w:r>
        <w:rPr>
          <w:rFonts w:ascii="Palatino Linotype" w:eastAsia="Palatino Linotype" w:hAnsi="Palatino Linotype" w:cs="Palatino Linotype"/>
          <w:b/>
          <w:color w:val="000000"/>
          <w:u w:val="single"/>
        </w:rPr>
        <w:t>sin que se entre al estudio de los agravios o motivos de inconformidad.</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Este mismo criterio es compartido por el más alto tribunal del país en múltiples jurisprudencias, por lo que a continuación se agrega una de ellas que sirve como orientador en esta resolución:</w:t>
      </w:r>
    </w:p>
    <w:p w14:paraId="7610370A" w14:textId="77777777" w:rsidR="00731BE5" w:rsidRDefault="00731BE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610370B" w14:textId="77777777" w:rsidR="00731BE5" w:rsidRDefault="00923150">
      <w:pPr>
        <w:pBdr>
          <w:top w:val="nil"/>
          <w:left w:val="nil"/>
          <w:bottom w:val="nil"/>
          <w:right w:val="nil"/>
          <w:between w:val="nil"/>
        </w:pBdr>
        <w:spacing w:line="360" w:lineRule="auto"/>
        <w:ind w:left="567" w:right="616"/>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SOBRESEIMIENTO EN EL JUICIO DE AMPARO DIRECTO. IMPIDE EL ESTUDIO DE LAS VIOLACIONES PROCESALES PLANTEADAS EN LOS CONCEPTOS DE VIOLACIÓN.</w:t>
      </w:r>
    </w:p>
    <w:p w14:paraId="7610370C" w14:textId="77777777" w:rsidR="00731BE5" w:rsidRDefault="00923150">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El sobreseimiento</w:t>
      </w:r>
      <w:r>
        <w:rPr>
          <w:rFonts w:ascii="Palatino Linotype" w:eastAsia="Palatino Linotype" w:hAnsi="Palatino Linotype" w:cs="Palatino Linotype"/>
          <w:i/>
          <w:color w:val="000000"/>
        </w:rPr>
        <w:t xml:space="preserve"> en el juicio de amparo directo </w:t>
      </w:r>
      <w:r>
        <w:rPr>
          <w:rFonts w:ascii="Palatino Linotype" w:eastAsia="Palatino Linotype" w:hAnsi="Palatino Linotype" w:cs="Palatino Linotype"/>
          <w:b/>
          <w:i/>
          <w:color w:val="000000"/>
        </w:rPr>
        <w:t>provoca la terminación de la controversia planteada</w:t>
      </w:r>
      <w:r>
        <w:rPr>
          <w:rFonts w:ascii="Palatino Linotype" w:eastAsia="Palatino Linotype" w:hAnsi="Palatino Linotype" w:cs="Palatino Linotype"/>
          <w:i/>
          <w:color w:val="000000"/>
        </w:rPr>
        <w:t xml:space="preserve"> por el quejoso en la demanda de amparo</w:t>
      </w:r>
      <w:r>
        <w:rPr>
          <w:rFonts w:ascii="Palatino Linotype" w:eastAsia="Palatino Linotype" w:hAnsi="Palatino Linotype" w:cs="Palatino Linotype"/>
          <w:b/>
          <w:i/>
          <w:color w:val="000000"/>
        </w:rPr>
        <w:t>, sin hacer un pronunciamiento de fondo sobre la legalidad o ilegalidad de la sentencia reclamada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Por consiguiente, si al sobreseerse en el juicio de amparo </w:t>
      </w:r>
      <w:r>
        <w:rPr>
          <w:rFonts w:ascii="Palatino Linotype" w:eastAsia="Palatino Linotype" w:hAnsi="Palatino Linotype" w:cs="Palatino Linotype"/>
          <w:b/>
          <w:i/>
          <w:color w:val="000000"/>
          <w:u w:val="single"/>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Pr>
          <w:rFonts w:ascii="Palatino Linotype" w:eastAsia="Palatino Linotype" w:hAnsi="Palatino Linotype" w:cs="Palatino Linotype"/>
          <w:i/>
          <w:color w:val="000000"/>
        </w:rPr>
        <w:t>.</w:t>
      </w:r>
    </w:p>
    <w:p w14:paraId="7610370D" w14:textId="77777777" w:rsidR="00731BE5" w:rsidRDefault="00923150">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SÉPTIMO TRIBUNAL COLEGIADO EN MATERIA CIVIL DEL PRIMER CIRCUITO.</w:t>
      </w:r>
    </w:p>
    <w:p w14:paraId="7610370E" w14:textId="77777777" w:rsidR="00731BE5" w:rsidRDefault="00923150">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Amparo directo 699/2008. Mariana Leticia González Steele. 13 de noviembre de 2008. Unanimidad de votos. Ponente: Sara Judith Montalvo Trejo. Secretario: Arnulfo Mateos García.</w:t>
      </w:r>
    </w:p>
    <w:p w14:paraId="7610370F"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710"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tenor, por lo que hace a los motivos de inconformidad vertidos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los mismos resultan inatendibles al actualizarse la figura del sobreseimiento, que impide el estudio de los agravios planteados.</w:t>
      </w:r>
    </w:p>
    <w:p w14:paraId="76103711" w14:textId="77777777" w:rsidR="00731BE5" w:rsidRDefault="00731BE5">
      <w:pPr>
        <w:spacing w:line="360" w:lineRule="auto"/>
        <w:jc w:val="both"/>
        <w:rPr>
          <w:rFonts w:ascii="Palatino Linotype" w:eastAsia="Palatino Linotype" w:hAnsi="Palatino Linotype" w:cs="Palatino Linotype"/>
          <w:color w:val="000000"/>
        </w:rPr>
      </w:pPr>
    </w:p>
    <w:p w14:paraId="76103712" w14:textId="77777777" w:rsidR="00731BE5" w:rsidRDefault="00923150">
      <w:pPr>
        <w:pStyle w:val="Ttulo2"/>
        <w:numPr>
          <w:ilvl w:val="0"/>
          <w:numId w:val="7"/>
        </w:numPr>
        <w:spacing w:line="259" w:lineRule="auto"/>
        <w:rPr>
          <w:rFonts w:ascii="Palatino Linotype" w:eastAsia="Palatino Linotype" w:hAnsi="Palatino Linotype" w:cs="Palatino Linotype"/>
          <w:b/>
          <w:color w:val="000000"/>
          <w:sz w:val="24"/>
          <w:szCs w:val="24"/>
        </w:rPr>
      </w:pPr>
      <w:bookmarkStart w:id="5" w:name="_heading=h.1t3h5sf" w:colFirst="0" w:colLast="0"/>
      <w:bookmarkEnd w:id="5"/>
      <w:r>
        <w:rPr>
          <w:rFonts w:ascii="Palatino Linotype" w:eastAsia="Palatino Linotype" w:hAnsi="Palatino Linotype" w:cs="Palatino Linotype"/>
          <w:b/>
          <w:color w:val="000000"/>
          <w:sz w:val="24"/>
          <w:szCs w:val="24"/>
        </w:rPr>
        <w:t>Determinación</w:t>
      </w:r>
    </w:p>
    <w:p w14:paraId="76103713" w14:textId="77777777" w:rsidR="00731BE5" w:rsidRDefault="00731BE5">
      <w:pPr>
        <w:ind w:left="720"/>
      </w:pPr>
    </w:p>
    <w:p w14:paraId="76103714" w14:textId="77777777" w:rsidR="00731BE5" w:rsidRDefault="00731BE5">
      <w:pPr>
        <w:rPr>
          <w:rFonts w:ascii="Palatino Linotype" w:eastAsia="Palatino Linotype" w:hAnsi="Palatino Linotype" w:cs="Palatino Linotype"/>
        </w:rPr>
      </w:pPr>
    </w:p>
    <w:p w14:paraId="76103715"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Atento a lo anterior, y en términos del artículo 186 fracción I este Pleno determina el </w:t>
      </w:r>
      <w:r>
        <w:rPr>
          <w:rFonts w:ascii="Palatino Linotype" w:eastAsia="Palatino Linotype" w:hAnsi="Palatino Linotype" w:cs="Palatino Linotype"/>
          <w:b/>
          <w:color w:val="000000"/>
        </w:rPr>
        <w:t xml:space="preserve">SOBRESEIMIENTO </w:t>
      </w:r>
      <w:r>
        <w:rPr>
          <w:rFonts w:ascii="Palatino Linotype" w:eastAsia="Palatino Linotype" w:hAnsi="Palatino Linotype" w:cs="Palatino Linotype"/>
          <w:color w:val="000000"/>
        </w:rPr>
        <w:t xml:space="preserve">del presente recurso de revisión, al actualizarse la causal contemplada en el artículo 192 fracción IV en relación con el artículo 191 fracción I de la Ley de Transparencia y Acceso y la Información Pública del Estado de </w:t>
      </w:r>
      <w:proofErr w:type="gramStart"/>
      <w:r>
        <w:rPr>
          <w:rFonts w:ascii="Palatino Linotype" w:eastAsia="Palatino Linotype" w:hAnsi="Palatino Linotype" w:cs="Palatino Linotype"/>
          <w:color w:val="000000"/>
        </w:rPr>
        <w:t>México  Municipios</w:t>
      </w:r>
      <w:proofErr w:type="gramEnd"/>
      <w:r>
        <w:rPr>
          <w:rFonts w:ascii="Palatino Linotype" w:eastAsia="Palatino Linotype" w:hAnsi="Palatino Linotype" w:cs="Palatino Linotype"/>
          <w:color w:val="000000"/>
        </w:rPr>
        <w:t>.</w:t>
      </w:r>
    </w:p>
    <w:p w14:paraId="76103716"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717" w14:textId="77777777" w:rsidR="00731BE5" w:rsidRDefault="00923150">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se informa a la parte recurrente que se dejan a salvo los derechos para interponer nuevas solicitudes de información ante los sujetos obligados que a sus intereses convenga.</w:t>
      </w:r>
    </w:p>
    <w:p w14:paraId="76103718" w14:textId="77777777" w:rsidR="00731BE5" w:rsidRDefault="00731BE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103719" w14:textId="77777777" w:rsidR="00731BE5" w:rsidRDefault="00923150">
      <w:pPr>
        <w:numPr>
          <w:ilvl w:val="0"/>
          <w:numId w:val="6"/>
        </w:numPr>
        <w:pBdr>
          <w:top w:val="nil"/>
          <w:left w:val="nil"/>
          <w:bottom w:val="nil"/>
          <w:right w:val="nil"/>
          <w:between w:val="nil"/>
        </w:pBdr>
        <w:tabs>
          <w:tab w:val="left" w:pos="426"/>
        </w:tabs>
        <w:spacing w:after="240"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7610371A" w14:textId="77777777" w:rsidR="00731BE5" w:rsidRDefault="00731BE5">
      <w:pPr>
        <w:pStyle w:val="Ttulo1"/>
        <w:spacing w:before="0" w:line="360" w:lineRule="auto"/>
        <w:jc w:val="center"/>
        <w:rPr>
          <w:rFonts w:ascii="Palatino Linotype" w:eastAsia="Palatino Linotype" w:hAnsi="Palatino Linotype" w:cs="Palatino Linotype"/>
          <w:b/>
          <w:color w:val="000000"/>
          <w:sz w:val="24"/>
          <w:szCs w:val="24"/>
        </w:rPr>
      </w:pPr>
      <w:bookmarkStart w:id="6" w:name="_heading=h.hb8cj47e50j6" w:colFirst="0" w:colLast="0"/>
      <w:bookmarkEnd w:id="6"/>
    </w:p>
    <w:p w14:paraId="7610371B" w14:textId="77777777" w:rsidR="00731BE5" w:rsidRDefault="00731BE5">
      <w:pPr>
        <w:pStyle w:val="Ttulo1"/>
        <w:spacing w:before="0" w:line="360" w:lineRule="auto"/>
        <w:jc w:val="center"/>
        <w:rPr>
          <w:rFonts w:ascii="Palatino Linotype" w:eastAsia="Palatino Linotype" w:hAnsi="Palatino Linotype" w:cs="Palatino Linotype"/>
          <w:b/>
          <w:color w:val="000000"/>
          <w:sz w:val="24"/>
          <w:szCs w:val="24"/>
        </w:rPr>
      </w:pPr>
      <w:bookmarkStart w:id="7" w:name="_heading=h.rd2v5d33o2w6" w:colFirst="0" w:colLast="0"/>
      <w:bookmarkEnd w:id="7"/>
    </w:p>
    <w:p w14:paraId="7610371C" w14:textId="77777777" w:rsidR="00731BE5" w:rsidRDefault="00731BE5">
      <w:pPr>
        <w:pStyle w:val="Ttulo1"/>
        <w:spacing w:before="0" w:line="360" w:lineRule="auto"/>
        <w:jc w:val="center"/>
        <w:rPr>
          <w:rFonts w:ascii="Palatino Linotype" w:eastAsia="Palatino Linotype" w:hAnsi="Palatino Linotype" w:cs="Palatino Linotype"/>
          <w:b/>
          <w:color w:val="000000"/>
          <w:sz w:val="24"/>
          <w:szCs w:val="24"/>
        </w:rPr>
      </w:pPr>
      <w:bookmarkStart w:id="8" w:name="_heading=h.h9l3iqe0fo2i" w:colFirst="0" w:colLast="0"/>
      <w:bookmarkEnd w:id="8"/>
    </w:p>
    <w:p w14:paraId="7610371D" w14:textId="77777777" w:rsidR="00731BE5" w:rsidRDefault="00923150">
      <w:pPr>
        <w:pStyle w:val="Ttulo1"/>
        <w:spacing w:before="0" w:line="360" w:lineRule="auto"/>
        <w:jc w:val="center"/>
        <w:rPr>
          <w:rFonts w:ascii="Palatino Linotype" w:eastAsia="Palatino Linotype" w:hAnsi="Palatino Linotype" w:cs="Palatino Linotype"/>
          <w:b/>
          <w:color w:val="000000"/>
          <w:sz w:val="24"/>
          <w:szCs w:val="24"/>
        </w:rPr>
      </w:pPr>
      <w:bookmarkStart w:id="9" w:name="_heading=h.4d34og8" w:colFirst="0" w:colLast="0"/>
      <w:bookmarkEnd w:id="9"/>
      <w:r>
        <w:rPr>
          <w:rFonts w:ascii="Palatino Linotype" w:eastAsia="Palatino Linotype" w:hAnsi="Palatino Linotype" w:cs="Palatino Linotype"/>
          <w:b/>
          <w:color w:val="000000"/>
          <w:sz w:val="24"/>
          <w:szCs w:val="24"/>
        </w:rPr>
        <w:t>R E S O L U T I V O S</w:t>
      </w:r>
    </w:p>
    <w:p w14:paraId="7610371E" w14:textId="77777777" w:rsidR="00731BE5" w:rsidRDefault="00731BE5">
      <w:pPr>
        <w:rPr>
          <w:rFonts w:ascii="Palatino Linotype" w:eastAsia="Palatino Linotype" w:hAnsi="Palatino Linotype" w:cs="Palatino Linotype"/>
          <w:color w:val="000000"/>
        </w:rPr>
      </w:pPr>
    </w:p>
    <w:p w14:paraId="7610371F" w14:textId="77777777" w:rsidR="00731BE5" w:rsidRDefault="00923150">
      <w:pPr>
        <w:spacing w:before="240" w:after="240" w:line="360" w:lineRule="auto"/>
        <w:jc w:val="both"/>
        <w:rPr>
          <w:rFonts w:ascii="Palatino Linotype" w:eastAsia="Palatino Linotype" w:hAnsi="Palatino Linotype" w:cs="Palatino Linotype"/>
        </w:rPr>
      </w:pPr>
      <w:bookmarkStart w:id="10" w:name="_heading=h.2s8eyo1" w:colFirst="0" w:colLast="0"/>
      <w:bookmarkEnd w:id="10"/>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SOBRESEE </w:t>
      </w:r>
      <w:r>
        <w:rPr>
          <w:rFonts w:ascii="Palatino Linotype" w:eastAsia="Palatino Linotype" w:hAnsi="Palatino Linotype" w:cs="Palatino Linotype"/>
        </w:rPr>
        <w:t>el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número </w:t>
      </w:r>
      <w:r>
        <w:rPr>
          <w:rFonts w:ascii="Palatino Linotype" w:eastAsia="Palatino Linotype" w:hAnsi="Palatino Linotype" w:cs="Palatino Linotype"/>
          <w:b/>
          <w:color w:val="000000"/>
        </w:rPr>
        <w:t>12498/INFOEM/ICR-228/IP/RR/2022,</w:t>
      </w:r>
      <w:r>
        <w:rPr>
          <w:rFonts w:ascii="Palatino Linotype" w:eastAsia="Palatino Linotype" w:hAnsi="Palatino Linotype" w:cs="Palatino Linotype"/>
        </w:rPr>
        <w:t xml:space="preserve"> conforme a la fracción IV del artículo 192, en relación con el artículo 191 fracción I, de la Ley de Transparencia y Acceso a la Información Pública del Estado de México y Municipios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TERCERO</w:t>
      </w:r>
      <w:r>
        <w:rPr>
          <w:rFonts w:ascii="Palatino Linotype" w:eastAsia="Palatino Linotype" w:hAnsi="Palatino Linotype" w:cs="Palatino Linotype"/>
        </w:rPr>
        <w:t xml:space="preserve"> de la presente resolución.</w:t>
      </w:r>
    </w:p>
    <w:p w14:paraId="76103720" w14:textId="77777777" w:rsidR="00731BE5" w:rsidRDefault="00923150">
      <w:pPr>
        <w:shd w:val="clear" w:color="auto" w:fill="FFFFFF"/>
        <w:spacing w:before="240" w:after="360" w:line="360" w:lineRule="auto"/>
        <w:jc w:val="both"/>
        <w:rPr>
          <w:rFonts w:ascii="Palatino Linotype" w:eastAsia="Palatino Linotype" w:hAnsi="Palatino Linotype" w:cs="Palatino Linotype"/>
          <w:b/>
          <w:color w:val="2E75B5"/>
          <w:sz w:val="26"/>
          <w:szCs w:val="26"/>
        </w:rPr>
      </w:pPr>
      <w:bookmarkStart w:id="11" w:name="_heading=h.17dp8vu" w:colFirst="0" w:colLast="0"/>
      <w:bookmarkEnd w:id="11"/>
      <w:r>
        <w:rPr>
          <w:rFonts w:ascii="Palatino Linotype" w:eastAsia="Palatino Linotype" w:hAnsi="Palatino Linotype" w:cs="Palatino Linotype"/>
          <w:b/>
        </w:rPr>
        <w:t>SEGUNDO.</w:t>
      </w:r>
      <w:r>
        <w:rPr>
          <w:rFonts w:ascii="Palatino Linotype" w:eastAsia="Palatino Linotype" w:hAnsi="Palatino Linotype" w:cs="Palatino Linotype"/>
          <w:color w:val="2E75B5"/>
          <w:sz w:val="26"/>
          <w:szCs w:val="26"/>
        </w:rPr>
        <w:t xml:space="preserve"> </w:t>
      </w:r>
      <w:r>
        <w:rPr>
          <w:rFonts w:ascii="Palatino Linotype" w:eastAsia="Palatino Linotype" w:hAnsi="Palatino Linotype" w:cs="Palatino Linotype"/>
          <w:b/>
          <w:color w:val="222222"/>
        </w:rPr>
        <w:t>Notifíquese</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al Titular de la Unidad de Transparencia del</w:t>
      </w:r>
      <w:r>
        <w:rPr>
          <w:rFonts w:ascii="Palatino Linotype" w:eastAsia="Palatino Linotype" w:hAnsi="Palatino Linotype" w:cs="Palatino Linotype"/>
          <w:b/>
          <w:color w:val="000000"/>
          <w:highlight w:val="white"/>
        </w:rPr>
        <w:t xml:space="preserve"> SUJETO OBLIGADO</w:t>
      </w:r>
      <w:r>
        <w:rPr>
          <w:rFonts w:ascii="Palatino Linotype" w:eastAsia="Palatino Linotype" w:hAnsi="Palatino Linotype" w:cs="Palatino Linotype"/>
          <w:color w:val="000000"/>
          <w:highlight w:val="white"/>
        </w:rPr>
        <w:t xml:space="preserve"> vía </w:t>
      </w:r>
      <w:r>
        <w:rPr>
          <w:rFonts w:ascii="Palatino Linotype" w:eastAsia="Palatino Linotype" w:hAnsi="Palatino Linotype" w:cs="Palatino Linotype"/>
          <w:b/>
          <w:color w:val="000000"/>
          <w:highlight w:val="white"/>
        </w:rPr>
        <w:t>SAIMEX</w:t>
      </w:r>
      <w:r>
        <w:rPr>
          <w:rFonts w:ascii="Palatino Linotype" w:eastAsia="Palatino Linotype" w:hAnsi="Palatino Linotype" w:cs="Palatino Linotype"/>
          <w:color w:val="000000"/>
          <w:highlight w:val="white"/>
        </w:rPr>
        <w:t>, la presente resolución.</w:t>
      </w:r>
    </w:p>
    <w:p w14:paraId="76103721" w14:textId="77777777" w:rsidR="00731BE5" w:rsidRDefault="00923150">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TERCERO</w:t>
      </w:r>
      <w:r>
        <w:rPr>
          <w:rFonts w:ascii="Palatino Linotype" w:eastAsia="Palatino Linotype" w:hAnsi="Palatino Linotype" w:cs="Palatino Linotype"/>
          <w:b/>
          <w:color w:val="222222"/>
        </w:rPr>
        <w:t>.</w:t>
      </w:r>
      <w:r>
        <w:rPr>
          <w:rFonts w:ascii="Palatino Linotype" w:eastAsia="Palatino Linotype" w:hAnsi="Palatino Linotype" w:cs="Palatino Linotype"/>
          <w:b/>
          <w:color w:val="222222"/>
          <w:sz w:val="22"/>
          <w:szCs w:val="22"/>
        </w:rPr>
        <w:t xml:space="preserve"> </w:t>
      </w:r>
      <w:r>
        <w:rPr>
          <w:rFonts w:ascii="Palatino Linotype" w:eastAsia="Palatino Linotype" w:hAnsi="Palatino Linotype" w:cs="Palatino Linotype"/>
          <w:b/>
          <w:color w:val="222222"/>
        </w:rPr>
        <w:t xml:space="preserve">Notifíquese </w:t>
      </w:r>
      <w:r>
        <w:rPr>
          <w:rFonts w:ascii="Palatino Linotype" w:eastAsia="Palatino Linotype" w:hAnsi="Palatino Linotype" w:cs="Palatino Linotype"/>
          <w:color w:val="222222"/>
        </w:rPr>
        <w:t>a</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222222"/>
        </w:rPr>
        <w:t xml:space="preserve"> la presente resolución, vía </w:t>
      </w:r>
      <w:r>
        <w:rPr>
          <w:rFonts w:ascii="Palatino Linotype" w:eastAsia="Palatino Linotype" w:hAnsi="Palatino Linotype" w:cs="Palatino Linotype"/>
          <w:b/>
          <w:color w:val="222222"/>
        </w:rPr>
        <w:t>SAIMEX</w:t>
      </w:r>
      <w:r>
        <w:rPr>
          <w:rFonts w:ascii="Palatino Linotype" w:eastAsia="Palatino Linotype" w:hAnsi="Palatino Linotype" w:cs="Palatino Linotype"/>
          <w:color w:val="222222"/>
        </w:rPr>
        <w:t>.</w:t>
      </w:r>
    </w:p>
    <w:p w14:paraId="76103722" w14:textId="77777777" w:rsidR="00731BE5" w:rsidRDefault="00731BE5">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14:paraId="76103723" w14:textId="77777777" w:rsidR="00731BE5" w:rsidRDefault="00923150">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222222"/>
        </w:rPr>
        <w:t xml:space="preserve">CUARTO. </w:t>
      </w:r>
      <w:r>
        <w:rPr>
          <w:rFonts w:ascii="Palatino Linotype" w:eastAsia="Palatino Linotype" w:hAnsi="Palatino Linotype" w:cs="Palatino Linotype"/>
          <w:color w:val="000000"/>
        </w:rPr>
        <w:t xml:space="preserve">Se hace del conocimiento de </w:t>
      </w:r>
      <w:r>
        <w:rPr>
          <w:rFonts w:ascii="Palatino Linotype" w:eastAsia="Palatino Linotype" w:hAnsi="Palatino Linotype" w:cs="Palatino Linotype"/>
          <w:b/>
          <w:color w:val="000000"/>
        </w:rPr>
        <w:t>LA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6103724" w14:textId="24DAE13A" w:rsidR="00731BE5" w:rsidRDefault="0092315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 xml:space="preserve">MUNICIPIOS, CONFORMADO POR LOS COMISIONADOS JOSÉ MARTÍNEZ VILCHIS; MARÍA DEL ROSARIO MEJÍA AYALA; SHARON CRISTINA MORALES MARTÍNEZ; LUIS GUSTAVO PARRA NORIEGA; Y GUADALUPE RAMÍREZ PEÑA EN LA DÉCIMA PRIMERA SESIÓN ORDINARIA CELEBRADA EL TRES (03) DE ABRIL DE DOS MIL VEINTICUATRO, ANTE EL SECRETARIO TÉCNICO DEL PLENO ALEXIS TAPIA RAMÍREZ. </w:t>
      </w:r>
    </w:p>
    <w:p w14:paraId="76103725" w14:textId="77777777" w:rsidR="00731BE5" w:rsidRDefault="00731BE5">
      <w:pPr>
        <w:spacing w:line="360" w:lineRule="auto"/>
        <w:jc w:val="both"/>
        <w:rPr>
          <w:rFonts w:ascii="Palatino Linotype" w:eastAsia="Palatino Linotype" w:hAnsi="Palatino Linotype" w:cs="Palatino Linotype"/>
          <w:color w:val="000000"/>
        </w:rPr>
      </w:pPr>
    </w:p>
    <w:p w14:paraId="76103726" w14:textId="77777777" w:rsidR="00731BE5" w:rsidRDefault="00731BE5">
      <w:pPr>
        <w:spacing w:line="360" w:lineRule="auto"/>
        <w:jc w:val="both"/>
        <w:rPr>
          <w:rFonts w:ascii="Palatino Linotype" w:eastAsia="Palatino Linotype" w:hAnsi="Palatino Linotype" w:cs="Palatino Linotype"/>
          <w:color w:val="000000"/>
        </w:rPr>
      </w:pPr>
    </w:p>
    <w:p w14:paraId="76103727" w14:textId="77777777" w:rsidR="00731BE5" w:rsidRDefault="00731BE5">
      <w:pPr>
        <w:spacing w:line="360" w:lineRule="auto"/>
        <w:jc w:val="both"/>
        <w:rPr>
          <w:rFonts w:ascii="Palatino Linotype" w:eastAsia="Palatino Linotype" w:hAnsi="Palatino Linotype" w:cs="Palatino Linotype"/>
          <w:color w:val="000000"/>
        </w:rPr>
      </w:pPr>
    </w:p>
    <w:p w14:paraId="76103728" w14:textId="77777777" w:rsidR="00731BE5" w:rsidRDefault="00731BE5">
      <w:pPr>
        <w:spacing w:line="360" w:lineRule="auto"/>
        <w:jc w:val="both"/>
        <w:rPr>
          <w:rFonts w:ascii="Palatino Linotype" w:eastAsia="Palatino Linotype" w:hAnsi="Palatino Linotype" w:cs="Palatino Linotype"/>
          <w:color w:val="000000"/>
        </w:rPr>
      </w:pPr>
    </w:p>
    <w:p w14:paraId="76103729" w14:textId="77777777" w:rsidR="00731BE5" w:rsidRDefault="00731BE5">
      <w:pPr>
        <w:spacing w:line="360" w:lineRule="auto"/>
        <w:jc w:val="both"/>
        <w:rPr>
          <w:rFonts w:ascii="Palatino Linotype" w:eastAsia="Palatino Linotype" w:hAnsi="Palatino Linotype" w:cs="Palatino Linotype"/>
          <w:color w:val="000000"/>
        </w:rPr>
      </w:pPr>
    </w:p>
    <w:p w14:paraId="7610372A" w14:textId="77777777" w:rsidR="00731BE5" w:rsidRDefault="00731BE5">
      <w:pPr>
        <w:spacing w:line="360" w:lineRule="auto"/>
        <w:jc w:val="both"/>
        <w:rPr>
          <w:rFonts w:ascii="Palatino Linotype" w:eastAsia="Palatino Linotype" w:hAnsi="Palatino Linotype" w:cs="Palatino Linotype"/>
          <w:color w:val="000000"/>
        </w:rPr>
      </w:pPr>
    </w:p>
    <w:p w14:paraId="7610372B" w14:textId="77777777" w:rsidR="00731BE5" w:rsidRDefault="00731BE5">
      <w:pPr>
        <w:spacing w:line="360" w:lineRule="auto"/>
        <w:jc w:val="both"/>
        <w:rPr>
          <w:rFonts w:ascii="Palatino Linotype" w:eastAsia="Palatino Linotype" w:hAnsi="Palatino Linotype" w:cs="Palatino Linotype"/>
          <w:color w:val="000000"/>
        </w:rPr>
      </w:pPr>
    </w:p>
    <w:p w14:paraId="7610372C" w14:textId="77777777" w:rsidR="00731BE5" w:rsidRDefault="00731BE5">
      <w:pPr>
        <w:spacing w:line="360" w:lineRule="auto"/>
        <w:jc w:val="both"/>
        <w:rPr>
          <w:rFonts w:ascii="Palatino Linotype" w:eastAsia="Palatino Linotype" w:hAnsi="Palatino Linotype" w:cs="Palatino Linotype"/>
          <w:color w:val="000000"/>
        </w:rPr>
      </w:pPr>
    </w:p>
    <w:p w14:paraId="7610372D" w14:textId="77777777" w:rsidR="00731BE5" w:rsidRDefault="00731BE5">
      <w:pPr>
        <w:rPr>
          <w:rFonts w:ascii="Palatino Linotype" w:eastAsia="Palatino Linotype" w:hAnsi="Palatino Linotype" w:cs="Palatino Linotype"/>
          <w:color w:val="000000"/>
        </w:rPr>
      </w:pPr>
    </w:p>
    <w:p w14:paraId="7610372E" w14:textId="77777777" w:rsidR="00731BE5" w:rsidRDefault="00731BE5">
      <w:pPr>
        <w:rPr>
          <w:rFonts w:ascii="Palatino Linotype" w:eastAsia="Palatino Linotype" w:hAnsi="Palatino Linotype" w:cs="Palatino Linotype"/>
          <w:color w:val="000000"/>
        </w:rPr>
      </w:pPr>
    </w:p>
    <w:p w14:paraId="7610372F" w14:textId="77777777" w:rsidR="00731BE5" w:rsidRDefault="00731BE5">
      <w:pPr>
        <w:rPr>
          <w:rFonts w:ascii="Palatino Linotype" w:eastAsia="Palatino Linotype" w:hAnsi="Palatino Linotype" w:cs="Palatino Linotype"/>
          <w:color w:val="000000"/>
        </w:rPr>
      </w:pPr>
    </w:p>
    <w:p w14:paraId="76103730" w14:textId="77777777" w:rsidR="00731BE5" w:rsidRDefault="00731BE5">
      <w:pPr>
        <w:rPr>
          <w:rFonts w:ascii="Palatino Linotype" w:eastAsia="Palatino Linotype" w:hAnsi="Palatino Linotype" w:cs="Palatino Linotype"/>
          <w:color w:val="000000"/>
        </w:rPr>
      </w:pPr>
    </w:p>
    <w:p w14:paraId="76103731" w14:textId="77777777" w:rsidR="00731BE5" w:rsidRDefault="00731BE5">
      <w:pPr>
        <w:rPr>
          <w:rFonts w:ascii="Palatino Linotype" w:eastAsia="Palatino Linotype" w:hAnsi="Palatino Linotype" w:cs="Palatino Linotype"/>
          <w:color w:val="000000"/>
        </w:rPr>
      </w:pPr>
    </w:p>
    <w:p w14:paraId="76103732" w14:textId="77777777" w:rsidR="00731BE5" w:rsidRDefault="00731BE5">
      <w:pPr>
        <w:rPr>
          <w:rFonts w:ascii="Palatino Linotype" w:eastAsia="Palatino Linotype" w:hAnsi="Palatino Linotype" w:cs="Palatino Linotype"/>
          <w:color w:val="000000"/>
        </w:rPr>
      </w:pPr>
    </w:p>
    <w:p w14:paraId="76103733" w14:textId="77777777" w:rsidR="00731BE5" w:rsidRDefault="00731BE5">
      <w:pPr>
        <w:rPr>
          <w:rFonts w:ascii="Palatino Linotype" w:eastAsia="Palatino Linotype" w:hAnsi="Palatino Linotype" w:cs="Palatino Linotype"/>
          <w:color w:val="000000"/>
        </w:rPr>
      </w:pPr>
    </w:p>
    <w:p w14:paraId="76103734" w14:textId="77777777" w:rsidR="00731BE5" w:rsidRDefault="00923150">
      <w:pPr>
        <w:tabs>
          <w:tab w:val="left" w:pos="3374"/>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14:paraId="76103735" w14:textId="77777777" w:rsidR="00731BE5" w:rsidRDefault="00731BE5">
      <w:pPr>
        <w:tabs>
          <w:tab w:val="left" w:pos="3374"/>
        </w:tabs>
        <w:rPr>
          <w:rFonts w:ascii="Palatino Linotype" w:eastAsia="Palatino Linotype" w:hAnsi="Palatino Linotype" w:cs="Palatino Linotype"/>
          <w:color w:val="000000"/>
        </w:rPr>
      </w:pPr>
    </w:p>
    <w:p w14:paraId="76103736" w14:textId="77777777" w:rsidR="00731BE5" w:rsidRDefault="00731BE5">
      <w:pPr>
        <w:tabs>
          <w:tab w:val="left" w:pos="3374"/>
        </w:tabs>
        <w:rPr>
          <w:rFonts w:ascii="Palatino Linotype" w:eastAsia="Palatino Linotype" w:hAnsi="Palatino Linotype" w:cs="Palatino Linotype"/>
          <w:color w:val="000000"/>
        </w:rPr>
      </w:pPr>
    </w:p>
    <w:p w14:paraId="76103737" w14:textId="77777777" w:rsidR="00731BE5" w:rsidRDefault="00731BE5">
      <w:pPr>
        <w:tabs>
          <w:tab w:val="left" w:pos="3374"/>
        </w:tabs>
        <w:rPr>
          <w:rFonts w:ascii="Palatino Linotype" w:eastAsia="Palatino Linotype" w:hAnsi="Palatino Linotype" w:cs="Palatino Linotype"/>
          <w:color w:val="000000"/>
        </w:rPr>
      </w:pPr>
    </w:p>
    <w:p w14:paraId="76103738" w14:textId="77777777" w:rsidR="00731BE5" w:rsidRDefault="00731BE5">
      <w:pPr>
        <w:tabs>
          <w:tab w:val="left" w:pos="3374"/>
        </w:tabs>
        <w:rPr>
          <w:rFonts w:ascii="Palatino Linotype" w:eastAsia="Palatino Linotype" w:hAnsi="Palatino Linotype" w:cs="Palatino Linotype"/>
          <w:color w:val="000000"/>
        </w:rPr>
      </w:pPr>
    </w:p>
    <w:p w14:paraId="76103739" w14:textId="77777777" w:rsidR="00731BE5" w:rsidRDefault="00731BE5">
      <w:pPr>
        <w:tabs>
          <w:tab w:val="left" w:pos="3374"/>
        </w:tabs>
        <w:rPr>
          <w:rFonts w:ascii="Palatino Linotype" w:eastAsia="Palatino Linotype" w:hAnsi="Palatino Linotype" w:cs="Palatino Linotype"/>
          <w:color w:val="000000"/>
        </w:rPr>
      </w:pPr>
    </w:p>
    <w:p w14:paraId="7610373A" w14:textId="77777777" w:rsidR="00731BE5" w:rsidRDefault="00731BE5">
      <w:pPr>
        <w:tabs>
          <w:tab w:val="left" w:pos="3374"/>
        </w:tabs>
        <w:rPr>
          <w:rFonts w:ascii="Palatino Linotype" w:eastAsia="Palatino Linotype" w:hAnsi="Palatino Linotype" w:cs="Palatino Linotype"/>
          <w:color w:val="000000"/>
        </w:rPr>
      </w:pPr>
    </w:p>
    <w:p w14:paraId="7610373B" w14:textId="77777777" w:rsidR="00731BE5" w:rsidRDefault="00731BE5">
      <w:pPr>
        <w:tabs>
          <w:tab w:val="left" w:pos="3374"/>
        </w:tabs>
        <w:rPr>
          <w:rFonts w:ascii="Palatino Linotype" w:eastAsia="Palatino Linotype" w:hAnsi="Palatino Linotype" w:cs="Palatino Linotype"/>
          <w:color w:val="000000"/>
        </w:rPr>
      </w:pPr>
    </w:p>
    <w:p w14:paraId="7610373C" w14:textId="77777777" w:rsidR="00731BE5" w:rsidRDefault="00731BE5">
      <w:pPr>
        <w:tabs>
          <w:tab w:val="left" w:pos="3374"/>
        </w:tabs>
        <w:rPr>
          <w:rFonts w:ascii="Palatino Linotype" w:eastAsia="Palatino Linotype" w:hAnsi="Palatino Linotype" w:cs="Palatino Linotype"/>
          <w:color w:val="000000"/>
        </w:rPr>
      </w:pPr>
    </w:p>
    <w:p w14:paraId="7610373D" w14:textId="77777777" w:rsidR="00731BE5" w:rsidRDefault="00731BE5">
      <w:pPr>
        <w:tabs>
          <w:tab w:val="left" w:pos="3374"/>
        </w:tabs>
        <w:rPr>
          <w:rFonts w:ascii="Palatino Linotype" w:eastAsia="Palatino Linotype" w:hAnsi="Palatino Linotype" w:cs="Palatino Linotype"/>
          <w:color w:val="000000"/>
        </w:rPr>
      </w:pPr>
    </w:p>
    <w:p w14:paraId="7610373E" w14:textId="77777777" w:rsidR="00731BE5" w:rsidRDefault="00731BE5">
      <w:pPr>
        <w:tabs>
          <w:tab w:val="left" w:pos="3374"/>
        </w:tabs>
        <w:rPr>
          <w:rFonts w:ascii="Palatino Linotype" w:eastAsia="Palatino Linotype" w:hAnsi="Palatino Linotype" w:cs="Palatino Linotype"/>
          <w:color w:val="000000"/>
        </w:rPr>
      </w:pPr>
    </w:p>
    <w:p w14:paraId="7610373F" w14:textId="77777777" w:rsidR="00731BE5" w:rsidRDefault="00731BE5">
      <w:pPr>
        <w:tabs>
          <w:tab w:val="left" w:pos="3374"/>
        </w:tabs>
        <w:rPr>
          <w:rFonts w:ascii="Palatino Linotype" w:eastAsia="Palatino Linotype" w:hAnsi="Palatino Linotype" w:cs="Palatino Linotype"/>
          <w:color w:val="000000"/>
        </w:rPr>
      </w:pPr>
    </w:p>
    <w:p w14:paraId="76103740" w14:textId="77777777" w:rsidR="00731BE5" w:rsidRDefault="00731BE5">
      <w:pPr>
        <w:tabs>
          <w:tab w:val="left" w:pos="3374"/>
        </w:tabs>
        <w:rPr>
          <w:rFonts w:ascii="Palatino Linotype" w:eastAsia="Palatino Linotype" w:hAnsi="Palatino Linotype" w:cs="Palatino Linotype"/>
          <w:color w:val="000000"/>
        </w:rPr>
      </w:pPr>
    </w:p>
    <w:p w14:paraId="76103741" w14:textId="77777777" w:rsidR="00731BE5" w:rsidRDefault="00731BE5">
      <w:pPr>
        <w:tabs>
          <w:tab w:val="left" w:pos="3374"/>
        </w:tabs>
        <w:rPr>
          <w:rFonts w:ascii="Palatino Linotype" w:eastAsia="Palatino Linotype" w:hAnsi="Palatino Linotype" w:cs="Palatino Linotype"/>
          <w:color w:val="000000"/>
        </w:rPr>
      </w:pPr>
    </w:p>
    <w:p w14:paraId="76103742" w14:textId="77777777" w:rsidR="00731BE5" w:rsidRDefault="00731BE5">
      <w:pPr>
        <w:tabs>
          <w:tab w:val="left" w:pos="3374"/>
        </w:tabs>
        <w:rPr>
          <w:rFonts w:ascii="Palatino Linotype" w:eastAsia="Palatino Linotype" w:hAnsi="Palatino Linotype" w:cs="Palatino Linotype"/>
          <w:color w:val="000000"/>
        </w:rPr>
      </w:pPr>
    </w:p>
    <w:p w14:paraId="76103743" w14:textId="77777777" w:rsidR="00731BE5" w:rsidRDefault="00731BE5">
      <w:pPr>
        <w:tabs>
          <w:tab w:val="left" w:pos="3374"/>
        </w:tabs>
        <w:rPr>
          <w:rFonts w:ascii="Palatino Linotype" w:eastAsia="Palatino Linotype" w:hAnsi="Palatino Linotype" w:cs="Palatino Linotype"/>
          <w:color w:val="000000"/>
        </w:rPr>
      </w:pPr>
    </w:p>
    <w:p w14:paraId="76103744" w14:textId="77777777" w:rsidR="00731BE5" w:rsidRDefault="00731BE5">
      <w:pPr>
        <w:tabs>
          <w:tab w:val="left" w:pos="3374"/>
        </w:tabs>
        <w:rPr>
          <w:rFonts w:ascii="Palatino Linotype" w:eastAsia="Palatino Linotype" w:hAnsi="Palatino Linotype" w:cs="Palatino Linotype"/>
          <w:color w:val="000000"/>
        </w:rPr>
      </w:pPr>
    </w:p>
    <w:p w14:paraId="76103745" w14:textId="77777777" w:rsidR="00731BE5" w:rsidRDefault="00731BE5">
      <w:pPr>
        <w:tabs>
          <w:tab w:val="left" w:pos="3374"/>
        </w:tabs>
        <w:rPr>
          <w:rFonts w:ascii="Palatino Linotype" w:eastAsia="Palatino Linotype" w:hAnsi="Palatino Linotype" w:cs="Palatino Linotype"/>
          <w:color w:val="000000"/>
        </w:rPr>
      </w:pPr>
    </w:p>
    <w:p w14:paraId="76103746" w14:textId="77777777" w:rsidR="00731BE5" w:rsidRDefault="00731BE5">
      <w:pPr>
        <w:tabs>
          <w:tab w:val="left" w:pos="3374"/>
        </w:tabs>
        <w:rPr>
          <w:rFonts w:ascii="Palatino Linotype" w:eastAsia="Palatino Linotype" w:hAnsi="Palatino Linotype" w:cs="Palatino Linotype"/>
          <w:color w:val="000000"/>
        </w:rPr>
      </w:pPr>
    </w:p>
    <w:p w14:paraId="76103747" w14:textId="77777777" w:rsidR="00731BE5" w:rsidRDefault="00731BE5">
      <w:pPr>
        <w:tabs>
          <w:tab w:val="left" w:pos="3374"/>
        </w:tabs>
        <w:rPr>
          <w:rFonts w:ascii="Palatino Linotype" w:eastAsia="Palatino Linotype" w:hAnsi="Palatino Linotype" w:cs="Palatino Linotype"/>
          <w:color w:val="000000"/>
        </w:rPr>
      </w:pPr>
    </w:p>
    <w:sectPr w:rsidR="00731BE5">
      <w:headerReference w:type="even" r:id="rId8"/>
      <w:headerReference w:type="default" r:id="rId9"/>
      <w:footerReference w:type="default" r:id="rId10"/>
      <w:headerReference w:type="first" r:id="rId11"/>
      <w:footerReference w:type="first" r:id="rId12"/>
      <w:pgSz w:w="12240" w:h="15840"/>
      <w:pgMar w:top="2268" w:right="1701" w:bottom="1843" w:left="1701" w:header="851"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A7C28" w14:textId="77777777" w:rsidR="00C81B41" w:rsidRDefault="00C81B41">
      <w:r>
        <w:separator/>
      </w:r>
    </w:p>
  </w:endnote>
  <w:endnote w:type="continuationSeparator" w:id="0">
    <w:p w14:paraId="0097C654" w14:textId="77777777" w:rsidR="00C81B41" w:rsidRDefault="00C81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CE76A77F-0DE9-4BFA-925D-6F5637645C0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11A3875-8381-4C2F-AF21-AC982186A03D}"/>
    <w:embedBold r:id="rId3" w:fontKey="{D4551D7C-7C4D-4DE9-9EFD-FFFBCFFAC97A}"/>
    <w:embedItalic r:id="rId4" w:fontKey="{21A95606-EA07-4E2A-96F4-FAA1CF879352}"/>
    <w:embedBoldItalic r:id="rId5" w:fontKey="{E1BBA160-C0A1-4886-AF75-97BA505574CE}"/>
  </w:font>
  <w:font w:name="Calibri">
    <w:panose1 w:val="020F0502020204030204"/>
    <w:charset w:val="00"/>
    <w:family w:val="swiss"/>
    <w:pitch w:val="variable"/>
    <w:sig w:usb0="E4002EFF" w:usb1="C200247B" w:usb2="00000009" w:usb3="00000000" w:csb0="000001FF" w:csb1="00000000"/>
    <w:embedRegular r:id="rId6" w:fontKey="{FC66B13E-C7D4-45FB-AD52-05620C0846DA}"/>
    <w:embedBold r:id="rId7" w:fontKey="{8E97C976-51FD-4D6D-9179-9BC4F89B5E3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127C74EC-A03E-4EC2-B38A-3768F9E66E2A}"/>
    <w:embedItalic r:id="rId9" w:fontKey="{B92B7545-9EA6-48FE-916E-5B0B3DD0E75A}"/>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889FA9E0-2BEB-451B-A6F6-078873727E25}"/>
  </w:font>
  <w:font w:name="Georgia">
    <w:panose1 w:val="02040502050405020303"/>
    <w:charset w:val="00"/>
    <w:family w:val="roman"/>
    <w:pitch w:val="variable"/>
    <w:sig w:usb0="00000287" w:usb1="00000000" w:usb2="00000000" w:usb3="00000000" w:csb0="0000009F" w:csb1="00000000"/>
    <w:embedRegular r:id="rId11" w:fontKey="{E1A7E42E-C6F4-403B-A749-3F31DB50B6A0}"/>
    <w:embedItalic r:id="rId12" w:fontKey="{D90AD01C-D8E1-4FC5-A215-BE74E8001B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3754" w14:textId="43F78612" w:rsidR="00731BE5" w:rsidRDefault="0092315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Pr>
        <w:rFonts w:ascii="Palatino Linotype" w:eastAsia="Palatino Linotype" w:hAnsi="Palatino Linotype" w:cs="Palatino Linotype"/>
        <w:noProof/>
        <w:color w:val="000000"/>
        <w:sz w:val="20"/>
        <w:szCs w:val="20"/>
      </w:rPr>
      <w:t>3</w:t>
    </w:r>
    <w:r>
      <w:rPr>
        <w:rFonts w:ascii="Palatino Linotype" w:eastAsia="Palatino Linotype" w:hAnsi="Palatino Linotype" w:cs="Palatino Linotype"/>
        <w:color w:val="000000"/>
        <w:sz w:val="20"/>
        <w:szCs w:val="20"/>
      </w:rPr>
      <w:fldChar w:fldCharType="end"/>
    </w:r>
  </w:p>
  <w:p w14:paraId="76103755" w14:textId="77777777" w:rsidR="00731BE5" w:rsidRDefault="00731BE5">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3764" w14:textId="5A644662" w:rsidR="00731BE5" w:rsidRDefault="0092315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p>
  <w:p w14:paraId="76103765" w14:textId="77777777" w:rsidR="00731BE5" w:rsidRDefault="00731BE5">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EC6A2" w14:textId="77777777" w:rsidR="00C81B41" w:rsidRDefault="00C81B41">
      <w:r>
        <w:separator/>
      </w:r>
    </w:p>
  </w:footnote>
  <w:footnote w:type="continuationSeparator" w:id="0">
    <w:p w14:paraId="52436075" w14:textId="77777777" w:rsidR="00C81B41" w:rsidRDefault="00C81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3748" w14:textId="77777777" w:rsidR="00731BE5" w:rsidRDefault="00C81B41">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76103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3749" w14:textId="77777777" w:rsidR="00731BE5" w:rsidRDefault="00731BE5">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bl>
    <w:tblPr>
      <w:tblStyle w:val="a0"/>
      <w:tblW w:w="6510" w:type="dxa"/>
      <w:tblInd w:w="2694" w:type="dxa"/>
      <w:tblLayout w:type="fixed"/>
      <w:tblLook w:val="0400" w:firstRow="0" w:lastRow="0" w:firstColumn="0" w:lastColumn="0" w:noHBand="0" w:noVBand="1"/>
    </w:tblPr>
    <w:tblGrid>
      <w:gridCol w:w="2925"/>
      <w:gridCol w:w="3585"/>
    </w:tblGrid>
    <w:tr w:rsidR="00731BE5" w14:paraId="7610374C" w14:textId="77777777">
      <w:trPr>
        <w:trHeight w:val="227"/>
      </w:trPr>
      <w:tc>
        <w:tcPr>
          <w:tcW w:w="2925" w:type="dxa"/>
          <w:vAlign w:val="center"/>
        </w:tcPr>
        <w:p w14:paraId="7610374A" w14:textId="77777777" w:rsidR="00731BE5" w:rsidRDefault="00923150">
          <w:pPr>
            <w:ind w:right="3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85" w:type="dxa"/>
          <w:vAlign w:val="center"/>
        </w:tcPr>
        <w:p w14:paraId="7610374B" w14:textId="77777777" w:rsidR="00731BE5" w:rsidRDefault="0092315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20"/>
              <w:szCs w:val="20"/>
            </w:rPr>
            <w:t>12498/INFOEM/ICR-228/IP/RR/2022</w:t>
          </w:r>
        </w:p>
      </w:tc>
    </w:tr>
    <w:tr w:rsidR="00731BE5" w14:paraId="7610374F" w14:textId="77777777">
      <w:trPr>
        <w:trHeight w:val="242"/>
      </w:trPr>
      <w:tc>
        <w:tcPr>
          <w:tcW w:w="2925" w:type="dxa"/>
          <w:vAlign w:val="center"/>
        </w:tcPr>
        <w:p w14:paraId="7610374D" w14:textId="77777777" w:rsidR="00731BE5" w:rsidRDefault="00923150">
          <w:pPr>
            <w:ind w:right="3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85" w:type="dxa"/>
          <w:vAlign w:val="center"/>
        </w:tcPr>
        <w:p w14:paraId="7610374E" w14:textId="77777777" w:rsidR="00731BE5" w:rsidRDefault="0092315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rPr>
            <w:t>Ayuntamiento de Metepec</w:t>
          </w:r>
          <w:r>
            <w:rPr>
              <w:rFonts w:ascii="Palatino Linotype" w:eastAsia="Palatino Linotype" w:hAnsi="Palatino Linotype" w:cs="Palatino Linotype"/>
              <w:b/>
              <w:color w:val="000000"/>
              <w:sz w:val="22"/>
              <w:szCs w:val="22"/>
            </w:rPr>
            <w:t xml:space="preserve"> </w:t>
          </w:r>
        </w:p>
      </w:tc>
    </w:tr>
    <w:tr w:rsidR="00731BE5" w14:paraId="76103752" w14:textId="77777777">
      <w:trPr>
        <w:trHeight w:val="342"/>
      </w:trPr>
      <w:tc>
        <w:tcPr>
          <w:tcW w:w="2925" w:type="dxa"/>
          <w:vAlign w:val="center"/>
        </w:tcPr>
        <w:p w14:paraId="76103750" w14:textId="77777777" w:rsidR="00731BE5" w:rsidRDefault="00923150">
          <w:pPr>
            <w:ind w:right="3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85" w:type="dxa"/>
          <w:vAlign w:val="center"/>
        </w:tcPr>
        <w:p w14:paraId="76103751" w14:textId="77777777" w:rsidR="00731BE5" w:rsidRDefault="0092315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76103753" w14:textId="77777777" w:rsidR="00731BE5" w:rsidRDefault="00C81B41">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76103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82.75pt;margin-top:-113.2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3756" w14:textId="77777777" w:rsidR="00731BE5" w:rsidRDefault="00731BE5">
    <w:pPr>
      <w:widowControl w:val="0"/>
      <w:pBdr>
        <w:top w:val="nil"/>
        <w:left w:val="nil"/>
        <w:bottom w:val="nil"/>
        <w:right w:val="nil"/>
        <w:between w:val="nil"/>
      </w:pBdr>
      <w:spacing w:line="276" w:lineRule="auto"/>
      <w:rPr>
        <w:rFonts w:eastAsia="Calibri"/>
        <w:color w:val="000000"/>
      </w:rPr>
    </w:pPr>
  </w:p>
  <w:tbl>
    <w:tblPr>
      <w:tblStyle w:val="a1"/>
      <w:tblW w:w="6660" w:type="dxa"/>
      <w:tblInd w:w="2552" w:type="dxa"/>
      <w:tblLayout w:type="fixed"/>
      <w:tblLook w:val="0400" w:firstRow="0" w:lastRow="0" w:firstColumn="0" w:lastColumn="0" w:noHBand="0" w:noVBand="1"/>
    </w:tblPr>
    <w:tblGrid>
      <w:gridCol w:w="2977"/>
      <w:gridCol w:w="3683"/>
    </w:tblGrid>
    <w:tr w:rsidR="00731BE5" w14:paraId="76103759" w14:textId="77777777">
      <w:trPr>
        <w:trHeight w:val="227"/>
      </w:trPr>
      <w:tc>
        <w:tcPr>
          <w:tcW w:w="2977" w:type="dxa"/>
          <w:vAlign w:val="center"/>
        </w:tcPr>
        <w:p w14:paraId="76103757" w14:textId="77777777" w:rsidR="00731BE5" w:rsidRDefault="0092315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76103758" w14:textId="77777777" w:rsidR="00731BE5" w:rsidRDefault="0092315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12498/INFOEM/ICR-228/IP/RR/2022</w:t>
          </w:r>
        </w:p>
      </w:tc>
    </w:tr>
    <w:tr w:rsidR="00731BE5" w14:paraId="7610375C" w14:textId="77777777">
      <w:trPr>
        <w:trHeight w:val="242"/>
      </w:trPr>
      <w:tc>
        <w:tcPr>
          <w:tcW w:w="2977" w:type="dxa"/>
          <w:vAlign w:val="center"/>
        </w:tcPr>
        <w:p w14:paraId="7610375A" w14:textId="77777777" w:rsidR="00731BE5" w:rsidRDefault="0092315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7610375B" w14:textId="7447EE03" w:rsidR="00731BE5" w:rsidRDefault="00435C2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1"/>
              <w:szCs w:val="21"/>
            </w:rPr>
            <w:t xml:space="preserve">XXX </w:t>
          </w:r>
          <w:proofErr w:type="spellStart"/>
          <w:r>
            <w:rPr>
              <w:rFonts w:ascii="Palatino Linotype" w:eastAsia="Palatino Linotype" w:hAnsi="Palatino Linotype" w:cs="Palatino Linotype"/>
              <w:b/>
              <w:color w:val="000000"/>
              <w:sz w:val="21"/>
              <w:szCs w:val="21"/>
            </w:rPr>
            <w:t>XXX</w:t>
          </w:r>
          <w:proofErr w:type="spellEnd"/>
        </w:p>
      </w:tc>
    </w:tr>
    <w:tr w:rsidR="00731BE5" w14:paraId="7610375F" w14:textId="77777777">
      <w:trPr>
        <w:trHeight w:val="342"/>
      </w:trPr>
      <w:tc>
        <w:tcPr>
          <w:tcW w:w="2977" w:type="dxa"/>
          <w:vAlign w:val="center"/>
        </w:tcPr>
        <w:p w14:paraId="7610375D" w14:textId="77777777" w:rsidR="00731BE5" w:rsidRDefault="0092315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7610375E" w14:textId="77777777" w:rsidR="00731BE5" w:rsidRDefault="0092315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Metepec</w:t>
          </w:r>
        </w:p>
      </w:tc>
    </w:tr>
    <w:tr w:rsidR="00731BE5" w14:paraId="76103762" w14:textId="77777777">
      <w:trPr>
        <w:trHeight w:val="342"/>
      </w:trPr>
      <w:tc>
        <w:tcPr>
          <w:tcW w:w="2977" w:type="dxa"/>
          <w:vAlign w:val="center"/>
        </w:tcPr>
        <w:p w14:paraId="76103760" w14:textId="77777777" w:rsidR="00731BE5" w:rsidRDefault="0092315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76103761" w14:textId="77777777" w:rsidR="00731BE5" w:rsidRDefault="0092315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1"/>
              <w:szCs w:val="21"/>
            </w:rPr>
            <w:t>María del Rosario Mejía Ayala</w:t>
          </w:r>
        </w:p>
      </w:tc>
    </w:tr>
  </w:tbl>
  <w:p w14:paraId="76103763" w14:textId="77777777" w:rsidR="00731BE5" w:rsidRDefault="00C81B41">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76103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70C31"/>
    <w:multiLevelType w:val="multilevel"/>
    <w:tmpl w:val="EE5C0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3F06E8"/>
    <w:multiLevelType w:val="multilevel"/>
    <w:tmpl w:val="54FE1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044E2C"/>
    <w:multiLevelType w:val="multilevel"/>
    <w:tmpl w:val="841C88E0"/>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732361D3"/>
    <w:multiLevelType w:val="multilevel"/>
    <w:tmpl w:val="39C0F93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78BF033D"/>
    <w:multiLevelType w:val="multilevel"/>
    <w:tmpl w:val="BD24B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3853FC"/>
    <w:multiLevelType w:val="multilevel"/>
    <w:tmpl w:val="8816145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E34A88"/>
    <w:multiLevelType w:val="multilevel"/>
    <w:tmpl w:val="01DE23C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2040428277">
    <w:abstractNumId w:val="2"/>
  </w:num>
  <w:num w:numId="2" w16cid:durableId="1562863374">
    <w:abstractNumId w:val="6"/>
  </w:num>
  <w:num w:numId="3" w16cid:durableId="2037540904">
    <w:abstractNumId w:val="0"/>
  </w:num>
  <w:num w:numId="4" w16cid:durableId="312027954">
    <w:abstractNumId w:val="4"/>
  </w:num>
  <w:num w:numId="5" w16cid:durableId="1558125264">
    <w:abstractNumId w:val="3"/>
  </w:num>
  <w:num w:numId="6" w16cid:durableId="426314666">
    <w:abstractNumId w:val="5"/>
  </w:num>
  <w:num w:numId="7" w16cid:durableId="115317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E5"/>
    <w:rsid w:val="00435C2B"/>
    <w:rsid w:val="00731BE5"/>
    <w:rsid w:val="00923150"/>
    <w:rsid w:val="00C8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0366F"/>
  <w15:docId w15:val="{131B66E7-49E5-43B2-82CC-CC6613D71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rPr>
      <w:rFonts w:eastAsiaTheme="minorEastAsia"/>
      <w:lang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rPr>
      <w:rFonts w:eastAsiaTheme="minorEastAsia"/>
      <w:lang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pPr>
    <w:rPr>
      <w:rFonts w:ascii="Arial" w:hAnsi="Arial" w:cs="Arial"/>
      <w:color w:val="000000"/>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rPr>
      <w:rFonts w:eastAsiaTheme="minorEastAsia"/>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rPr>
      <w:rFonts w:eastAsiaTheme="minorEastAsia"/>
      <w:lang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J71R7ojH8Evu3omj6tg9a2weAw==">CgMxLjAyCGguZ2pkZ3hzMgloLjMwajB6bGwyCWguMWZvYjl0ZTIJaC4zem55c2g3MgloLjJldDkycDAyCWguMXQzaDVzZjIOaC5oYjhjajQ3ZTUwajYyDmgucmQydjVkMzNvMnc2Mg5oLmg5bDNpcWUwZm8yaTIJaC40ZDM0b2c4MgloLjJzOGV5bzEyCWguMTdkcDh2dTgAciExTGhuZGVHc3lmX1VERmg1SDRodG9iZVhjUzI1UVVvbE4=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4004</Words>
  <Characters>22024</Characters>
  <Application>Microsoft Office Word</Application>
  <DocSecurity>0</DocSecurity>
  <Lines>183</Lines>
  <Paragraphs>51</Paragraphs>
  <ScaleCrop>false</ScaleCrop>
  <Company/>
  <LinksUpToDate>false</LinksUpToDate>
  <CharactersWithSpaces>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dc:creator>
  <cp:lastModifiedBy>inf03m612@outlook.com</cp:lastModifiedBy>
  <cp:revision>3</cp:revision>
  <dcterms:created xsi:type="dcterms:W3CDTF">2024-03-21T00:31:00Z</dcterms:created>
  <dcterms:modified xsi:type="dcterms:W3CDTF">2024-05-16T18:14:00Z</dcterms:modified>
</cp:coreProperties>
</file>