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5170" w:rsidRDefault="001D19D5">
      <w:pPr>
        <w:keepNext/>
        <w:keepLines/>
        <w:pBdr>
          <w:top w:val="nil"/>
          <w:left w:val="nil"/>
          <w:bottom w:val="nil"/>
          <w:right w:val="nil"/>
          <w:between w:val="nil"/>
        </w:pBdr>
        <w:spacing w:line="240" w:lineRule="auto"/>
        <w:jc w:val="left"/>
        <w:rPr>
          <w:rFonts w:eastAsia="Palatino Linotype" w:cs="Palatino Linotype"/>
          <w:color w:val="000000"/>
          <w:sz w:val="24"/>
          <w:szCs w:val="24"/>
        </w:rPr>
      </w:pPr>
      <w:bookmarkStart w:id="0" w:name="_GoBack"/>
      <w:bookmarkEnd w:id="0"/>
      <w:r>
        <w:rPr>
          <w:rFonts w:eastAsia="Palatino Linotype" w:cs="Palatino Linotype"/>
          <w:color w:val="000000"/>
          <w:sz w:val="24"/>
          <w:szCs w:val="24"/>
        </w:rPr>
        <w:t>Contenido</w:t>
      </w:r>
    </w:p>
    <w:p w:rsidR="00705170" w:rsidRDefault="00705170">
      <w:pPr>
        <w:spacing w:line="240" w:lineRule="auto"/>
        <w:rPr>
          <w:sz w:val="16"/>
          <w:szCs w:val="16"/>
        </w:rPr>
      </w:pPr>
    </w:p>
    <w:sdt>
      <w:sdtPr>
        <w:id w:val="-715739670"/>
        <w:docPartObj>
          <w:docPartGallery w:val="Table of Contents"/>
          <w:docPartUnique/>
        </w:docPartObj>
      </w:sdtPr>
      <w:sdtEndPr/>
      <w:sdtContent>
        <w:p w:rsidR="00705170" w:rsidRDefault="001D19D5">
          <w:pPr>
            <w:pBdr>
              <w:top w:val="nil"/>
              <w:left w:val="nil"/>
              <w:bottom w:val="nil"/>
              <w:right w:val="nil"/>
              <w:between w:val="nil"/>
            </w:pBdr>
            <w:tabs>
              <w:tab w:val="right" w:pos="9034"/>
            </w:tabs>
            <w:spacing w:after="100"/>
            <w:rPr>
              <w:rFonts w:ascii="Aptos" w:eastAsia="Aptos" w:hAnsi="Aptos" w:cs="Aptos"/>
              <w:color w:val="000000"/>
              <w:szCs w:val="22"/>
            </w:rPr>
          </w:pPr>
          <w:r>
            <w:fldChar w:fldCharType="begin"/>
          </w:r>
          <w:r>
            <w:instrText xml:space="preserve"> TOC \h \u \z \t "Heading 1,1,Heading 2,2,Heading 3,3,"</w:instrText>
          </w:r>
          <w:r>
            <w:fldChar w:fldCharType="separate"/>
          </w:r>
          <w:hyperlink w:anchor="_heading=h.gjdgxs">
            <w:r>
              <w:rPr>
                <w:rFonts w:eastAsia="Palatino Linotype" w:cs="Palatino Linotype"/>
                <w:color w:val="000000"/>
                <w:szCs w:val="22"/>
              </w:rPr>
              <w:t>ANTECEDENTES</w:t>
            </w:r>
            <w:r>
              <w:rPr>
                <w:rFonts w:eastAsia="Palatino Linotype" w:cs="Palatino Linotype"/>
                <w:color w:val="000000"/>
                <w:szCs w:val="22"/>
              </w:rPr>
              <w:tab/>
              <w:t>1</w:t>
            </w:r>
          </w:hyperlink>
        </w:p>
        <w:p w:rsidR="00705170" w:rsidRDefault="000A2837">
          <w:pPr>
            <w:pBdr>
              <w:top w:val="nil"/>
              <w:left w:val="nil"/>
              <w:bottom w:val="nil"/>
              <w:right w:val="nil"/>
              <w:between w:val="nil"/>
            </w:pBdr>
            <w:tabs>
              <w:tab w:val="right" w:pos="9034"/>
            </w:tabs>
            <w:spacing w:after="100" w:line="240" w:lineRule="auto"/>
            <w:ind w:left="220"/>
            <w:rPr>
              <w:rFonts w:ascii="Aptos" w:eastAsia="Aptos" w:hAnsi="Aptos" w:cs="Aptos"/>
              <w:color w:val="000000"/>
              <w:szCs w:val="22"/>
            </w:rPr>
          </w:pPr>
          <w:hyperlink w:anchor="_heading=h.30j0zll">
            <w:r w:rsidR="001D19D5">
              <w:rPr>
                <w:rFonts w:eastAsia="Palatino Linotype" w:cs="Palatino Linotype"/>
                <w:color w:val="000000"/>
                <w:szCs w:val="22"/>
              </w:rPr>
              <w:t>DE LAS SOLICITUDES DE INFORMACIÓN</w:t>
            </w:r>
            <w:r w:rsidR="001D19D5">
              <w:rPr>
                <w:rFonts w:eastAsia="Palatino Linotype" w:cs="Palatino Linotype"/>
                <w:color w:val="000000"/>
                <w:szCs w:val="22"/>
              </w:rPr>
              <w:tab/>
              <w:t>1</w:t>
            </w:r>
          </w:hyperlink>
        </w:p>
        <w:p w:rsidR="00705170" w:rsidRDefault="000A2837">
          <w:pPr>
            <w:pBdr>
              <w:top w:val="nil"/>
              <w:left w:val="nil"/>
              <w:bottom w:val="nil"/>
              <w:right w:val="nil"/>
              <w:between w:val="nil"/>
            </w:pBdr>
            <w:tabs>
              <w:tab w:val="right" w:pos="9034"/>
            </w:tabs>
            <w:spacing w:after="100" w:line="240" w:lineRule="auto"/>
            <w:ind w:left="440"/>
            <w:rPr>
              <w:rFonts w:ascii="Aptos" w:eastAsia="Aptos" w:hAnsi="Aptos" w:cs="Aptos"/>
              <w:color w:val="000000"/>
              <w:szCs w:val="22"/>
            </w:rPr>
          </w:pPr>
          <w:hyperlink w:anchor="_heading=h.1fob9te">
            <w:r w:rsidR="001D19D5">
              <w:rPr>
                <w:rFonts w:eastAsia="Palatino Linotype" w:cs="Palatino Linotype"/>
                <w:color w:val="000000"/>
                <w:szCs w:val="22"/>
              </w:rPr>
              <w:t>a) Solicitudes de información</w:t>
            </w:r>
            <w:r w:rsidR="001D19D5">
              <w:rPr>
                <w:rFonts w:eastAsia="Palatino Linotype" w:cs="Palatino Linotype"/>
                <w:color w:val="000000"/>
                <w:szCs w:val="22"/>
              </w:rPr>
              <w:tab/>
              <w:t>1</w:t>
            </w:r>
          </w:hyperlink>
        </w:p>
        <w:p w:rsidR="00705170" w:rsidRDefault="000A2837">
          <w:pPr>
            <w:pBdr>
              <w:top w:val="nil"/>
              <w:left w:val="nil"/>
              <w:bottom w:val="nil"/>
              <w:right w:val="nil"/>
              <w:between w:val="nil"/>
            </w:pBdr>
            <w:tabs>
              <w:tab w:val="right" w:pos="9034"/>
            </w:tabs>
            <w:spacing w:after="100" w:line="240" w:lineRule="auto"/>
            <w:ind w:left="440"/>
            <w:rPr>
              <w:rFonts w:ascii="Aptos" w:eastAsia="Aptos" w:hAnsi="Aptos" w:cs="Aptos"/>
              <w:color w:val="000000"/>
              <w:szCs w:val="22"/>
            </w:rPr>
          </w:pPr>
          <w:hyperlink w:anchor="_heading=h.4d34og8">
            <w:r w:rsidR="001D19D5">
              <w:rPr>
                <w:rFonts w:eastAsia="Palatino Linotype" w:cs="Palatino Linotype"/>
                <w:color w:val="000000"/>
                <w:szCs w:val="22"/>
              </w:rPr>
              <w:t>b) Respuestas del Sujeto Obligado</w:t>
            </w:r>
            <w:r w:rsidR="001D19D5">
              <w:rPr>
                <w:rFonts w:eastAsia="Palatino Linotype" w:cs="Palatino Linotype"/>
                <w:color w:val="000000"/>
                <w:szCs w:val="22"/>
              </w:rPr>
              <w:tab/>
              <w:t>2</w:t>
            </w:r>
          </w:hyperlink>
        </w:p>
        <w:p w:rsidR="00705170" w:rsidRDefault="000A2837">
          <w:pPr>
            <w:pBdr>
              <w:top w:val="nil"/>
              <w:left w:val="nil"/>
              <w:bottom w:val="nil"/>
              <w:right w:val="nil"/>
              <w:between w:val="nil"/>
            </w:pBdr>
            <w:tabs>
              <w:tab w:val="right" w:pos="9034"/>
            </w:tabs>
            <w:spacing w:after="100" w:line="240" w:lineRule="auto"/>
            <w:ind w:left="220"/>
            <w:rPr>
              <w:rFonts w:ascii="Aptos" w:eastAsia="Aptos" w:hAnsi="Aptos" w:cs="Aptos"/>
              <w:color w:val="000000"/>
              <w:szCs w:val="22"/>
            </w:rPr>
          </w:pPr>
          <w:hyperlink w:anchor="_heading=h.2s8eyo1">
            <w:r w:rsidR="001D19D5">
              <w:rPr>
                <w:rFonts w:eastAsia="Palatino Linotype" w:cs="Palatino Linotype"/>
                <w:color w:val="000000"/>
                <w:szCs w:val="22"/>
              </w:rPr>
              <w:t>DEL RECURSO DE REVISIÓN</w:t>
            </w:r>
            <w:r w:rsidR="001D19D5">
              <w:rPr>
                <w:rFonts w:eastAsia="Palatino Linotype" w:cs="Palatino Linotype"/>
                <w:color w:val="000000"/>
                <w:szCs w:val="22"/>
              </w:rPr>
              <w:tab/>
              <w:t>7</w:t>
            </w:r>
          </w:hyperlink>
        </w:p>
        <w:p w:rsidR="00705170" w:rsidRDefault="000A2837">
          <w:pPr>
            <w:pBdr>
              <w:top w:val="nil"/>
              <w:left w:val="nil"/>
              <w:bottom w:val="nil"/>
              <w:right w:val="nil"/>
              <w:between w:val="nil"/>
            </w:pBdr>
            <w:tabs>
              <w:tab w:val="right" w:pos="9034"/>
            </w:tabs>
            <w:spacing w:after="100" w:line="240" w:lineRule="auto"/>
            <w:ind w:left="440"/>
            <w:rPr>
              <w:rFonts w:ascii="Aptos" w:eastAsia="Aptos" w:hAnsi="Aptos" w:cs="Aptos"/>
              <w:color w:val="000000"/>
              <w:szCs w:val="22"/>
            </w:rPr>
          </w:pPr>
          <w:hyperlink w:anchor="_heading=h.17dp8vu">
            <w:r w:rsidR="001D19D5">
              <w:rPr>
                <w:rFonts w:eastAsia="Palatino Linotype" w:cs="Palatino Linotype"/>
                <w:color w:val="000000"/>
                <w:szCs w:val="22"/>
              </w:rPr>
              <w:t>a) Interposición del Recurso de Revisión</w:t>
            </w:r>
            <w:r w:rsidR="001D19D5">
              <w:rPr>
                <w:rFonts w:eastAsia="Palatino Linotype" w:cs="Palatino Linotype"/>
                <w:color w:val="000000"/>
                <w:szCs w:val="22"/>
              </w:rPr>
              <w:tab/>
              <w:t>7</w:t>
            </w:r>
          </w:hyperlink>
        </w:p>
        <w:p w:rsidR="00705170" w:rsidRDefault="000A2837">
          <w:pPr>
            <w:pBdr>
              <w:top w:val="nil"/>
              <w:left w:val="nil"/>
              <w:bottom w:val="nil"/>
              <w:right w:val="nil"/>
              <w:between w:val="nil"/>
            </w:pBdr>
            <w:tabs>
              <w:tab w:val="right" w:pos="9034"/>
            </w:tabs>
            <w:spacing w:after="100" w:line="240" w:lineRule="auto"/>
            <w:ind w:left="440"/>
            <w:rPr>
              <w:rFonts w:ascii="Aptos" w:eastAsia="Aptos" w:hAnsi="Aptos" w:cs="Aptos"/>
              <w:color w:val="000000"/>
              <w:szCs w:val="22"/>
            </w:rPr>
          </w:pPr>
          <w:hyperlink w:anchor="_heading=h.3rdcrjn">
            <w:r w:rsidR="001D19D5">
              <w:rPr>
                <w:rFonts w:eastAsia="Palatino Linotype" w:cs="Palatino Linotype"/>
                <w:color w:val="000000"/>
                <w:szCs w:val="22"/>
              </w:rPr>
              <w:t>b) Turno del Recurso de Revisión</w:t>
            </w:r>
            <w:r w:rsidR="001D19D5">
              <w:rPr>
                <w:rFonts w:eastAsia="Palatino Linotype" w:cs="Palatino Linotype"/>
                <w:color w:val="000000"/>
                <w:szCs w:val="22"/>
              </w:rPr>
              <w:tab/>
              <w:t>8</w:t>
            </w:r>
          </w:hyperlink>
        </w:p>
        <w:p w:rsidR="00705170" w:rsidRDefault="000A2837">
          <w:pPr>
            <w:pBdr>
              <w:top w:val="nil"/>
              <w:left w:val="nil"/>
              <w:bottom w:val="nil"/>
              <w:right w:val="nil"/>
              <w:between w:val="nil"/>
            </w:pBdr>
            <w:tabs>
              <w:tab w:val="right" w:pos="9034"/>
            </w:tabs>
            <w:spacing w:after="100" w:line="240" w:lineRule="auto"/>
            <w:ind w:left="440"/>
            <w:rPr>
              <w:rFonts w:ascii="Aptos" w:eastAsia="Aptos" w:hAnsi="Aptos" w:cs="Aptos"/>
              <w:color w:val="000000"/>
              <w:szCs w:val="22"/>
            </w:rPr>
          </w:pPr>
          <w:hyperlink w:anchor="_heading=h.26in1rg">
            <w:r w:rsidR="001D19D5">
              <w:rPr>
                <w:rFonts w:eastAsia="Palatino Linotype" w:cs="Palatino Linotype"/>
                <w:color w:val="000000"/>
                <w:szCs w:val="22"/>
              </w:rPr>
              <w:t>c) Admisión del Recurso de Revisión</w:t>
            </w:r>
            <w:r w:rsidR="001D19D5">
              <w:rPr>
                <w:rFonts w:eastAsia="Palatino Linotype" w:cs="Palatino Linotype"/>
                <w:color w:val="000000"/>
                <w:szCs w:val="22"/>
              </w:rPr>
              <w:tab/>
              <w:t>8</w:t>
            </w:r>
          </w:hyperlink>
        </w:p>
        <w:p w:rsidR="00705170" w:rsidRDefault="000A2837">
          <w:pPr>
            <w:pBdr>
              <w:top w:val="nil"/>
              <w:left w:val="nil"/>
              <w:bottom w:val="nil"/>
              <w:right w:val="nil"/>
              <w:between w:val="nil"/>
            </w:pBdr>
            <w:tabs>
              <w:tab w:val="right" w:pos="9034"/>
            </w:tabs>
            <w:spacing w:after="100" w:line="240" w:lineRule="auto"/>
            <w:ind w:left="440"/>
            <w:rPr>
              <w:rFonts w:ascii="Aptos" w:eastAsia="Aptos" w:hAnsi="Aptos" w:cs="Aptos"/>
              <w:color w:val="000000"/>
              <w:szCs w:val="22"/>
            </w:rPr>
          </w:pPr>
          <w:hyperlink w:anchor="_heading=h.lnxbz9">
            <w:r w:rsidR="001D19D5">
              <w:rPr>
                <w:rFonts w:eastAsia="Palatino Linotype" w:cs="Palatino Linotype"/>
                <w:color w:val="000000"/>
                <w:szCs w:val="22"/>
              </w:rPr>
              <w:t>d) Informes Justificados del Sujeto Obligado</w:t>
            </w:r>
            <w:r w:rsidR="001D19D5">
              <w:rPr>
                <w:rFonts w:eastAsia="Palatino Linotype" w:cs="Palatino Linotype"/>
                <w:color w:val="000000"/>
                <w:szCs w:val="22"/>
              </w:rPr>
              <w:tab/>
              <w:t>8</w:t>
            </w:r>
          </w:hyperlink>
        </w:p>
        <w:p w:rsidR="00705170" w:rsidRDefault="000A2837">
          <w:pPr>
            <w:pBdr>
              <w:top w:val="nil"/>
              <w:left w:val="nil"/>
              <w:bottom w:val="nil"/>
              <w:right w:val="nil"/>
              <w:between w:val="nil"/>
            </w:pBdr>
            <w:tabs>
              <w:tab w:val="right" w:pos="9034"/>
            </w:tabs>
            <w:spacing w:after="100" w:line="240" w:lineRule="auto"/>
            <w:ind w:left="440"/>
            <w:rPr>
              <w:rFonts w:ascii="Aptos" w:eastAsia="Aptos" w:hAnsi="Aptos" w:cs="Aptos"/>
              <w:color w:val="000000"/>
              <w:szCs w:val="22"/>
            </w:rPr>
          </w:pPr>
          <w:hyperlink w:anchor="_heading=h.35nkun2">
            <w:r w:rsidR="001D19D5">
              <w:rPr>
                <w:rFonts w:eastAsia="Palatino Linotype" w:cs="Palatino Linotype"/>
                <w:color w:val="000000"/>
                <w:szCs w:val="22"/>
              </w:rPr>
              <w:t>e) Manifestaciones de la Parte Recurrente</w:t>
            </w:r>
            <w:r w:rsidR="001D19D5">
              <w:rPr>
                <w:rFonts w:eastAsia="Palatino Linotype" w:cs="Palatino Linotype"/>
                <w:color w:val="000000"/>
                <w:szCs w:val="22"/>
              </w:rPr>
              <w:tab/>
              <w:t>8</w:t>
            </w:r>
          </w:hyperlink>
        </w:p>
        <w:p w:rsidR="00705170" w:rsidRDefault="000A2837">
          <w:pPr>
            <w:pBdr>
              <w:top w:val="nil"/>
              <w:left w:val="nil"/>
              <w:bottom w:val="nil"/>
              <w:right w:val="nil"/>
              <w:between w:val="nil"/>
            </w:pBdr>
            <w:tabs>
              <w:tab w:val="right" w:pos="9034"/>
            </w:tabs>
            <w:spacing w:after="100" w:line="240" w:lineRule="auto"/>
            <w:ind w:left="440"/>
            <w:rPr>
              <w:rFonts w:ascii="Aptos" w:eastAsia="Aptos" w:hAnsi="Aptos" w:cs="Aptos"/>
              <w:color w:val="000000"/>
              <w:szCs w:val="22"/>
            </w:rPr>
          </w:pPr>
          <w:hyperlink w:anchor="_heading=h.1ksv4uv">
            <w:r w:rsidR="001D19D5">
              <w:rPr>
                <w:rFonts w:eastAsia="Palatino Linotype" w:cs="Palatino Linotype"/>
                <w:color w:val="000000"/>
                <w:szCs w:val="22"/>
              </w:rPr>
              <w:t>f) Acumulación de los Recursos de Revisión</w:t>
            </w:r>
            <w:r w:rsidR="001D19D5">
              <w:rPr>
                <w:rFonts w:eastAsia="Palatino Linotype" w:cs="Palatino Linotype"/>
                <w:color w:val="000000"/>
                <w:szCs w:val="22"/>
              </w:rPr>
              <w:tab/>
              <w:t>9</w:t>
            </w:r>
          </w:hyperlink>
        </w:p>
        <w:p w:rsidR="00705170" w:rsidRDefault="000A2837">
          <w:pPr>
            <w:pBdr>
              <w:top w:val="nil"/>
              <w:left w:val="nil"/>
              <w:bottom w:val="nil"/>
              <w:right w:val="nil"/>
              <w:between w:val="nil"/>
            </w:pBdr>
            <w:tabs>
              <w:tab w:val="right" w:pos="9034"/>
            </w:tabs>
            <w:spacing w:after="100" w:line="240" w:lineRule="auto"/>
            <w:ind w:left="440"/>
            <w:rPr>
              <w:rFonts w:ascii="Aptos" w:eastAsia="Aptos" w:hAnsi="Aptos" w:cs="Aptos"/>
              <w:color w:val="000000"/>
              <w:szCs w:val="22"/>
            </w:rPr>
          </w:pPr>
          <w:hyperlink w:anchor="_heading=h.2jxsxqh">
            <w:r w:rsidR="001D19D5">
              <w:rPr>
                <w:rFonts w:eastAsia="Palatino Linotype" w:cs="Palatino Linotype"/>
                <w:color w:val="000000"/>
                <w:szCs w:val="22"/>
              </w:rPr>
              <w:t>g) Cierre de instrucción</w:t>
            </w:r>
            <w:r w:rsidR="001D19D5">
              <w:rPr>
                <w:rFonts w:eastAsia="Palatino Linotype" w:cs="Palatino Linotype"/>
                <w:color w:val="000000"/>
                <w:szCs w:val="22"/>
              </w:rPr>
              <w:tab/>
              <w:t>9</w:t>
            </w:r>
          </w:hyperlink>
        </w:p>
        <w:p w:rsidR="00705170" w:rsidRDefault="000A2837">
          <w:pPr>
            <w:pBdr>
              <w:top w:val="nil"/>
              <w:left w:val="nil"/>
              <w:bottom w:val="nil"/>
              <w:right w:val="nil"/>
              <w:between w:val="nil"/>
            </w:pBdr>
            <w:tabs>
              <w:tab w:val="right" w:pos="9034"/>
            </w:tabs>
            <w:spacing w:after="100"/>
            <w:rPr>
              <w:rFonts w:ascii="Aptos" w:eastAsia="Aptos" w:hAnsi="Aptos" w:cs="Aptos"/>
              <w:color w:val="000000"/>
              <w:szCs w:val="22"/>
            </w:rPr>
          </w:pPr>
          <w:hyperlink w:anchor="_heading=h.3j2qqm3">
            <w:r w:rsidR="001D19D5">
              <w:rPr>
                <w:rFonts w:eastAsia="Palatino Linotype" w:cs="Palatino Linotype"/>
                <w:color w:val="000000"/>
                <w:szCs w:val="22"/>
              </w:rPr>
              <w:t>CONSIDERANDOS</w:t>
            </w:r>
            <w:r w:rsidR="001D19D5">
              <w:rPr>
                <w:rFonts w:eastAsia="Palatino Linotype" w:cs="Palatino Linotype"/>
                <w:color w:val="000000"/>
                <w:szCs w:val="22"/>
              </w:rPr>
              <w:tab/>
              <w:t>9</w:t>
            </w:r>
          </w:hyperlink>
        </w:p>
        <w:p w:rsidR="00705170" w:rsidRDefault="000A2837">
          <w:pPr>
            <w:pBdr>
              <w:top w:val="nil"/>
              <w:left w:val="nil"/>
              <w:bottom w:val="nil"/>
              <w:right w:val="nil"/>
              <w:between w:val="nil"/>
            </w:pBdr>
            <w:tabs>
              <w:tab w:val="right" w:pos="9034"/>
            </w:tabs>
            <w:spacing w:after="100" w:line="240" w:lineRule="auto"/>
            <w:ind w:left="220"/>
            <w:rPr>
              <w:rFonts w:ascii="Aptos" w:eastAsia="Aptos" w:hAnsi="Aptos" w:cs="Aptos"/>
              <w:color w:val="000000"/>
              <w:szCs w:val="22"/>
            </w:rPr>
          </w:pPr>
          <w:hyperlink w:anchor="_heading=h.1y810tw">
            <w:r w:rsidR="001D19D5">
              <w:rPr>
                <w:rFonts w:eastAsia="Palatino Linotype" w:cs="Palatino Linotype"/>
                <w:color w:val="000000"/>
                <w:szCs w:val="22"/>
              </w:rPr>
              <w:t>PRIMERO. Procedibilidad</w:t>
            </w:r>
            <w:r w:rsidR="001D19D5">
              <w:rPr>
                <w:rFonts w:eastAsia="Palatino Linotype" w:cs="Palatino Linotype"/>
                <w:color w:val="000000"/>
                <w:szCs w:val="22"/>
              </w:rPr>
              <w:tab/>
              <w:t>9</w:t>
            </w:r>
          </w:hyperlink>
        </w:p>
        <w:p w:rsidR="00705170" w:rsidRDefault="000A2837">
          <w:pPr>
            <w:pBdr>
              <w:top w:val="nil"/>
              <w:left w:val="nil"/>
              <w:bottom w:val="nil"/>
              <w:right w:val="nil"/>
              <w:between w:val="nil"/>
            </w:pBdr>
            <w:tabs>
              <w:tab w:val="right" w:pos="9034"/>
            </w:tabs>
            <w:spacing w:after="100" w:line="240" w:lineRule="auto"/>
            <w:ind w:left="440"/>
            <w:rPr>
              <w:rFonts w:ascii="Aptos" w:eastAsia="Aptos" w:hAnsi="Aptos" w:cs="Aptos"/>
              <w:color w:val="000000"/>
              <w:szCs w:val="22"/>
            </w:rPr>
          </w:pPr>
          <w:hyperlink w:anchor="_heading=h.4i7ojhp">
            <w:r w:rsidR="001D19D5">
              <w:rPr>
                <w:rFonts w:eastAsia="Palatino Linotype" w:cs="Palatino Linotype"/>
                <w:color w:val="000000"/>
                <w:szCs w:val="22"/>
              </w:rPr>
              <w:t>a) Competencia del Instituto</w:t>
            </w:r>
            <w:r w:rsidR="001D19D5">
              <w:rPr>
                <w:rFonts w:eastAsia="Palatino Linotype" w:cs="Palatino Linotype"/>
                <w:color w:val="000000"/>
                <w:szCs w:val="22"/>
              </w:rPr>
              <w:tab/>
              <w:t>9</w:t>
            </w:r>
          </w:hyperlink>
        </w:p>
        <w:p w:rsidR="00705170" w:rsidRDefault="000A2837">
          <w:pPr>
            <w:pBdr>
              <w:top w:val="nil"/>
              <w:left w:val="nil"/>
              <w:bottom w:val="nil"/>
              <w:right w:val="nil"/>
              <w:between w:val="nil"/>
            </w:pBdr>
            <w:tabs>
              <w:tab w:val="right" w:pos="9034"/>
            </w:tabs>
            <w:spacing w:after="100" w:line="240" w:lineRule="auto"/>
            <w:ind w:left="440"/>
            <w:rPr>
              <w:rFonts w:ascii="Aptos" w:eastAsia="Aptos" w:hAnsi="Aptos" w:cs="Aptos"/>
              <w:color w:val="000000"/>
              <w:szCs w:val="22"/>
            </w:rPr>
          </w:pPr>
          <w:hyperlink w:anchor="_heading=h.2xcytpi">
            <w:r w:rsidR="001D19D5">
              <w:rPr>
                <w:rFonts w:eastAsia="Palatino Linotype" w:cs="Palatino Linotype"/>
                <w:color w:val="000000"/>
                <w:szCs w:val="22"/>
              </w:rPr>
              <w:t>b) Legitimidad de la parte recurrente</w:t>
            </w:r>
            <w:r w:rsidR="001D19D5">
              <w:rPr>
                <w:rFonts w:eastAsia="Palatino Linotype" w:cs="Palatino Linotype"/>
                <w:color w:val="000000"/>
                <w:szCs w:val="22"/>
              </w:rPr>
              <w:tab/>
              <w:t>10</w:t>
            </w:r>
          </w:hyperlink>
        </w:p>
        <w:p w:rsidR="00705170" w:rsidRDefault="000A2837">
          <w:pPr>
            <w:pBdr>
              <w:top w:val="nil"/>
              <w:left w:val="nil"/>
              <w:bottom w:val="nil"/>
              <w:right w:val="nil"/>
              <w:between w:val="nil"/>
            </w:pBdr>
            <w:tabs>
              <w:tab w:val="right" w:pos="9034"/>
            </w:tabs>
            <w:spacing w:after="100" w:line="240" w:lineRule="auto"/>
            <w:ind w:left="440"/>
            <w:rPr>
              <w:rFonts w:ascii="Aptos" w:eastAsia="Aptos" w:hAnsi="Aptos" w:cs="Aptos"/>
              <w:color w:val="000000"/>
              <w:szCs w:val="22"/>
            </w:rPr>
          </w:pPr>
          <w:hyperlink w:anchor="_heading=h.1ci93xb">
            <w:r w:rsidR="001D19D5">
              <w:rPr>
                <w:rFonts w:eastAsia="Palatino Linotype" w:cs="Palatino Linotype"/>
                <w:color w:val="000000"/>
                <w:szCs w:val="22"/>
              </w:rPr>
              <w:t>c) Plazo para interponer el recurso</w:t>
            </w:r>
            <w:r w:rsidR="001D19D5">
              <w:rPr>
                <w:rFonts w:eastAsia="Palatino Linotype" w:cs="Palatino Linotype"/>
                <w:color w:val="000000"/>
                <w:szCs w:val="22"/>
              </w:rPr>
              <w:tab/>
              <w:t>10</w:t>
            </w:r>
          </w:hyperlink>
        </w:p>
        <w:p w:rsidR="00705170" w:rsidRDefault="000A2837">
          <w:pPr>
            <w:pBdr>
              <w:top w:val="nil"/>
              <w:left w:val="nil"/>
              <w:bottom w:val="nil"/>
              <w:right w:val="nil"/>
              <w:between w:val="nil"/>
            </w:pBdr>
            <w:tabs>
              <w:tab w:val="right" w:pos="9034"/>
            </w:tabs>
            <w:spacing w:after="100" w:line="240" w:lineRule="auto"/>
            <w:ind w:left="440"/>
            <w:rPr>
              <w:rFonts w:ascii="Aptos" w:eastAsia="Aptos" w:hAnsi="Aptos" w:cs="Aptos"/>
              <w:color w:val="000000"/>
              <w:szCs w:val="22"/>
            </w:rPr>
          </w:pPr>
          <w:hyperlink w:anchor="_heading=h.2bn6wsx">
            <w:r w:rsidR="001D19D5">
              <w:rPr>
                <w:rFonts w:eastAsia="Palatino Linotype" w:cs="Palatino Linotype"/>
                <w:color w:val="000000"/>
                <w:szCs w:val="22"/>
              </w:rPr>
              <w:t>d) Causal de procedencia</w:t>
            </w:r>
            <w:r w:rsidR="001D19D5">
              <w:rPr>
                <w:rFonts w:eastAsia="Palatino Linotype" w:cs="Palatino Linotype"/>
                <w:color w:val="000000"/>
                <w:szCs w:val="22"/>
              </w:rPr>
              <w:tab/>
              <w:t>11</w:t>
            </w:r>
          </w:hyperlink>
        </w:p>
        <w:p w:rsidR="00705170" w:rsidRDefault="000A2837">
          <w:pPr>
            <w:pBdr>
              <w:top w:val="nil"/>
              <w:left w:val="nil"/>
              <w:bottom w:val="nil"/>
              <w:right w:val="nil"/>
              <w:between w:val="nil"/>
            </w:pBdr>
            <w:tabs>
              <w:tab w:val="right" w:pos="9034"/>
            </w:tabs>
            <w:spacing w:after="100" w:line="240" w:lineRule="auto"/>
            <w:ind w:left="440"/>
            <w:rPr>
              <w:rFonts w:ascii="Aptos" w:eastAsia="Aptos" w:hAnsi="Aptos" w:cs="Aptos"/>
              <w:color w:val="000000"/>
              <w:szCs w:val="22"/>
            </w:rPr>
          </w:pPr>
          <w:hyperlink w:anchor="_heading=h.qsh70q">
            <w:r w:rsidR="001D19D5">
              <w:rPr>
                <w:rFonts w:eastAsia="Palatino Linotype" w:cs="Palatino Linotype"/>
                <w:color w:val="000000"/>
                <w:szCs w:val="22"/>
              </w:rPr>
              <w:t>e) Requisitos formales para la interposición del recurso</w:t>
            </w:r>
            <w:r w:rsidR="001D19D5">
              <w:rPr>
                <w:rFonts w:eastAsia="Palatino Linotype" w:cs="Palatino Linotype"/>
                <w:color w:val="000000"/>
                <w:szCs w:val="22"/>
              </w:rPr>
              <w:tab/>
              <w:t>11</w:t>
            </w:r>
          </w:hyperlink>
        </w:p>
        <w:p w:rsidR="00705170" w:rsidRDefault="000A2837">
          <w:pPr>
            <w:pBdr>
              <w:top w:val="nil"/>
              <w:left w:val="nil"/>
              <w:bottom w:val="nil"/>
              <w:right w:val="nil"/>
              <w:between w:val="nil"/>
            </w:pBdr>
            <w:tabs>
              <w:tab w:val="right" w:pos="9034"/>
            </w:tabs>
            <w:spacing w:after="100" w:line="240" w:lineRule="auto"/>
            <w:ind w:left="440"/>
            <w:rPr>
              <w:rFonts w:ascii="Aptos" w:eastAsia="Aptos" w:hAnsi="Aptos" w:cs="Aptos"/>
              <w:color w:val="000000"/>
              <w:szCs w:val="22"/>
            </w:rPr>
          </w:pPr>
          <w:hyperlink w:anchor="_heading=h.3as4poj">
            <w:r w:rsidR="001D19D5">
              <w:rPr>
                <w:rFonts w:eastAsia="Palatino Linotype" w:cs="Palatino Linotype"/>
                <w:color w:val="000000"/>
                <w:szCs w:val="22"/>
              </w:rPr>
              <w:t>f) Acumulación de los Recursos de Revisión</w:t>
            </w:r>
            <w:r w:rsidR="001D19D5">
              <w:rPr>
                <w:rFonts w:eastAsia="Palatino Linotype" w:cs="Palatino Linotype"/>
                <w:color w:val="000000"/>
                <w:szCs w:val="22"/>
              </w:rPr>
              <w:tab/>
              <w:t>12</w:t>
            </w:r>
          </w:hyperlink>
        </w:p>
        <w:p w:rsidR="00705170" w:rsidRDefault="000A2837">
          <w:pPr>
            <w:pBdr>
              <w:top w:val="nil"/>
              <w:left w:val="nil"/>
              <w:bottom w:val="nil"/>
              <w:right w:val="nil"/>
              <w:between w:val="nil"/>
            </w:pBdr>
            <w:tabs>
              <w:tab w:val="right" w:pos="9034"/>
            </w:tabs>
            <w:spacing w:after="100" w:line="240" w:lineRule="auto"/>
            <w:ind w:left="220"/>
            <w:rPr>
              <w:rFonts w:ascii="Aptos" w:eastAsia="Aptos" w:hAnsi="Aptos" w:cs="Aptos"/>
              <w:color w:val="000000"/>
              <w:szCs w:val="22"/>
            </w:rPr>
          </w:pPr>
          <w:hyperlink w:anchor="_heading=h.1pxezwc">
            <w:r w:rsidR="001D19D5">
              <w:rPr>
                <w:rFonts w:eastAsia="Palatino Linotype" w:cs="Palatino Linotype"/>
                <w:color w:val="000000"/>
                <w:szCs w:val="22"/>
              </w:rPr>
              <w:t>SEGUNDO. Estudio de Fondo</w:t>
            </w:r>
            <w:r w:rsidR="001D19D5">
              <w:rPr>
                <w:rFonts w:eastAsia="Palatino Linotype" w:cs="Palatino Linotype"/>
                <w:color w:val="000000"/>
                <w:szCs w:val="22"/>
              </w:rPr>
              <w:tab/>
              <w:t>12</w:t>
            </w:r>
          </w:hyperlink>
        </w:p>
        <w:p w:rsidR="00705170" w:rsidRDefault="000A2837">
          <w:pPr>
            <w:pBdr>
              <w:top w:val="nil"/>
              <w:left w:val="nil"/>
              <w:bottom w:val="nil"/>
              <w:right w:val="nil"/>
              <w:between w:val="nil"/>
            </w:pBdr>
            <w:tabs>
              <w:tab w:val="right" w:pos="9034"/>
            </w:tabs>
            <w:spacing w:after="100" w:line="240" w:lineRule="auto"/>
            <w:ind w:left="440"/>
            <w:rPr>
              <w:rFonts w:ascii="Aptos" w:eastAsia="Aptos" w:hAnsi="Aptos" w:cs="Aptos"/>
              <w:color w:val="000000"/>
              <w:szCs w:val="22"/>
            </w:rPr>
          </w:pPr>
          <w:hyperlink w:anchor="_heading=h.49x2ik5">
            <w:r w:rsidR="001D19D5">
              <w:rPr>
                <w:rFonts w:eastAsia="Palatino Linotype" w:cs="Palatino Linotype"/>
                <w:color w:val="000000"/>
                <w:szCs w:val="22"/>
              </w:rPr>
              <w:t>a) Mandato de transparencia y responsabilidad del Sujeto Obligado</w:t>
            </w:r>
            <w:r w:rsidR="001D19D5">
              <w:rPr>
                <w:rFonts w:eastAsia="Palatino Linotype" w:cs="Palatino Linotype"/>
                <w:color w:val="000000"/>
                <w:szCs w:val="22"/>
              </w:rPr>
              <w:tab/>
              <w:t>12</w:t>
            </w:r>
          </w:hyperlink>
        </w:p>
        <w:p w:rsidR="00705170" w:rsidRDefault="000A2837">
          <w:pPr>
            <w:pBdr>
              <w:top w:val="nil"/>
              <w:left w:val="nil"/>
              <w:bottom w:val="nil"/>
              <w:right w:val="nil"/>
              <w:between w:val="nil"/>
            </w:pBdr>
            <w:tabs>
              <w:tab w:val="right" w:pos="9034"/>
            </w:tabs>
            <w:spacing w:after="100" w:line="240" w:lineRule="auto"/>
            <w:ind w:left="440"/>
            <w:rPr>
              <w:rFonts w:ascii="Aptos" w:eastAsia="Aptos" w:hAnsi="Aptos" w:cs="Aptos"/>
              <w:color w:val="000000"/>
              <w:szCs w:val="22"/>
            </w:rPr>
          </w:pPr>
          <w:hyperlink w:anchor="_heading=h.147n2zr">
            <w:r w:rsidR="001D19D5">
              <w:rPr>
                <w:rFonts w:eastAsia="Palatino Linotype" w:cs="Palatino Linotype"/>
                <w:color w:val="000000"/>
                <w:szCs w:val="22"/>
              </w:rPr>
              <w:t>b) Controversia a resolver</w:t>
            </w:r>
            <w:r w:rsidR="001D19D5">
              <w:rPr>
                <w:rFonts w:eastAsia="Palatino Linotype" w:cs="Palatino Linotype"/>
                <w:color w:val="000000"/>
                <w:szCs w:val="22"/>
              </w:rPr>
              <w:tab/>
              <w:t>15</w:t>
            </w:r>
          </w:hyperlink>
        </w:p>
        <w:p w:rsidR="00705170" w:rsidRDefault="000A2837">
          <w:pPr>
            <w:pBdr>
              <w:top w:val="nil"/>
              <w:left w:val="nil"/>
              <w:bottom w:val="nil"/>
              <w:right w:val="nil"/>
              <w:between w:val="nil"/>
            </w:pBdr>
            <w:tabs>
              <w:tab w:val="right" w:pos="9034"/>
            </w:tabs>
            <w:spacing w:after="100" w:line="240" w:lineRule="auto"/>
            <w:ind w:left="440"/>
            <w:rPr>
              <w:rFonts w:ascii="Aptos" w:eastAsia="Aptos" w:hAnsi="Aptos" w:cs="Aptos"/>
              <w:color w:val="000000"/>
              <w:szCs w:val="22"/>
            </w:rPr>
          </w:pPr>
          <w:hyperlink w:anchor="_heading=h.3o7alnk">
            <w:r w:rsidR="001D19D5">
              <w:rPr>
                <w:rFonts w:eastAsia="Palatino Linotype" w:cs="Palatino Linotype"/>
                <w:color w:val="000000"/>
                <w:szCs w:val="22"/>
              </w:rPr>
              <w:t>c) Estudio de la controversia</w:t>
            </w:r>
            <w:r w:rsidR="001D19D5">
              <w:rPr>
                <w:rFonts w:eastAsia="Palatino Linotype" w:cs="Palatino Linotype"/>
                <w:color w:val="000000"/>
                <w:szCs w:val="22"/>
              </w:rPr>
              <w:tab/>
              <w:t>16</w:t>
            </w:r>
          </w:hyperlink>
        </w:p>
        <w:p w:rsidR="00705170" w:rsidRDefault="000A2837">
          <w:pPr>
            <w:pBdr>
              <w:top w:val="nil"/>
              <w:left w:val="nil"/>
              <w:bottom w:val="nil"/>
              <w:right w:val="nil"/>
              <w:between w:val="nil"/>
            </w:pBdr>
            <w:tabs>
              <w:tab w:val="right" w:pos="9034"/>
            </w:tabs>
            <w:spacing w:after="100" w:line="240" w:lineRule="auto"/>
            <w:ind w:left="440"/>
            <w:rPr>
              <w:rFonts w:ascii="Aptos" w:eastAsia="Aptos" w:hAnsi="Aptos" w:cs="Aptos"/>
              <w:color w:val="000000"/>
              <w:szCs w:val="22"/>
            </w:rPr>
          </w:pPr>
          <w:hyperlink w:anchor="_heading=h.ihv636">
            <w:r w:rsidR="001D19D5">
              <w:rPr>
                <w:rFonts w:eastAsia="Palatino Linotype" w:cs="Palatino Linotype"/>
                <w:color w:val="000000"/>
                <w:szCs w:val="22"/>
              </w:rPr>
              <w:t>d) Versión pública</w:t>
            </w:r>
            <w:r w:rsidR="001D19D5">
              <w:rPr>
                <w:rFonts w:eastAsia="Palatino Linotype" w:cs="Palatino Linotype"/>
                <w:color w:val="000000"/>
                <w:szCs w:val="22"/>
              </w:rPr>
              <w:tab/>
              <w:t>29</w:t>
            </w:r>
          </w:hyperlink>
        </w:p>
        <w:p w:rsidR="00705170" w:rsidRDefault="000A2837">
          <w:pPr>
            <w:pBdr>
              <w:top w:val="nil"/>
              <w:left w:val="nil"/>
              <w:bottom w:val="nil"/>
              <w:right w:val="nil"/>
              <w:between w:val="nil"/>
            </w:pBdr>
            <w:tabs>
              <w:tab w:val="right" w:pos="9034"/>
            </w:tabs>
            <w:spacing w:after="100" w:line="240" w:lineRule="auto"/>
            <w:ind w:left="440"/>
            <w:rPr>
              <w:rFonts w:ascii="Aptos" w:eastAsia="Aptos" w:hAnsi="Aptos" w:cs="Aptos"/>
              <w:color w:val="000000"/>
              <w:szCs w:val="22"/>
            </w:rPr>
          </w:pPr>
          <w:hyperlink w:anchor="_heading=h.3fwokq0">
            <w:r w:rsidR="001D19D5">
              <w:rPr>
                <w:rFonts w:eastAsia="Palatino Linotype" w:cs="Palatino Linotype"/>
                <w:color w:val="000000"/>
                <w:szCs w:val="22"/>
              </w:rPr>
              <w:t>e) Acuerdo de Inexistencia</w:t>
            </w:r>
            <w:r w:rsidR="001D19D5">
              <w:rPr>
                <w:rFonts w:eastAsia="Palatino Linotype" w:cs="Palatino Linotype"/>
                <w:color w:val="000000"/>
                <w:szCs w:val="22"/>
              </w:rPr>
              <w:tab/>
              <w:t>35</w:t>
            </w:r>
          </w:hyperlink>
        </w:p>
        <w:p w:rsidR="00705170" w:rsidRDefault="000A2837">
          <w:pPr>
            <w:pBdr>
              <w:top w:val="nil"/>
              <w:left w:val="nil"/>
              <w:bottom w:val="nil"/>
              <w:right w:val="nil"/>
              <w:between w:val="nil"/>
            </w:pBdr>
            <w:tabs>
              <w:tab w:val="right" w:pos="9034"/>
            </w:tabs>
            <w:spacing w:after="100" w:line="240" w:lineRule="auto"/>
            <w:ind w:left="440"/>
            <w:rPr>
              <w:rFonts w:ascii="Aptos" w:eastAsia="Aptos" w:hAnsi="Aptos" w:cs="Aptos"/>
              <w:color w:val="000000"/>
              <w:szCs w:val="22"/>
            </w:rPr>
          </w:pPr>
          <w:hyperlink w:anchor="_heading=h.32hioqz">
            <w:r w:rsidR="001D19D5">
              <w:rPr>
                <w:rFonts w:eastAsia="Palatino Linotype" w:cs="Palatino Linotype"/>
                <w:color w:val="000000"/>
                <w:szCs w:val="22"/>
              </w:rPr>
              <w:t>f) Conclusión</w:t>
            </w:r>
            <w:r w:rsidR="001D19D5">
              <w:rPr>
                <w:rFonts w:eastAsia="Palatino Linotype" w:cs="Palatino Linotype"/>
                <w:color w:val="000000"/>
                <w:szCs w:val="22"/>
              </w:rPr>
              <w:tab/>
              <w:t>39</w:t>
            </w:r>
          </w:hyperlink>
        </w:p>
        <w:p w:rsidR="00705170" w:rsidRDefault="000A2837">
          <w:pPr>
            <w:pBdr>
              <w:top w:val="nil"/>
              <w:left w:val="nil"/>
              <w:bottom w:val="nil"/>
              <w:right w:val="nil"/>
              <w:between w:val="nil"/>
            </w:pBdr>
            <w:tabs>
              <w:tab w:val="right" w:pos="9034"/>
            </w:tabs>
            <w:spacing w:after="100"/>
            <w:rPr>
              <w:rFonts w:ascii="Aptos" w:eastAsia="Aptos" w:hAnsi="Aptos" w:cs="Aptos"/>
              <w:color w:val="000000"/>
              <w:szCs w:val="22"/>
            </w:rPr>
          </w:pPr>
          <w:hyperlink w:anchor="_heading=h.1hmsyys">
            <w:r w:rsidR="001D19D5">
              <w:rPr>
                <w:rFonts w:eastAsia="Palatino Linotype" w:cs="Palatino Linotype"/>
                <w:color w:val="000000"/>
                <w:szCs w:val="22"/>
              </w:rPr>
              <w:t>RESUELVE</w:t>
            </w:r>
            <w:r w:rsidR="001D19D5">
              <w:rPr>
                <w:rFonts w:eastAsia="Palatino Linotype" w:cs="Palatino Linotype"/>
                <w:color w:val="000000"/>
                <w:szCs w:val="22"/>
              </w:rPr>
              <w:tab/>
              <w:t>40</w:t>
            </w:r>
          </w:hyperlink>
        </w:p>
        <w:p w:rsidR="00705170" w:rsidRDefault="001D19D5">
          <w:pPr>
            <w:pBdr>
              <w:top w:val="nil"/>
              <w:left w:val="nil"/>
              <w:bottom w:val="nil"/>
              <w:right w:val="nil"/>
              <w:between w:val="nil"/>
            </w:pBdr>
            <w:tabs>
              <w:tab w:val="right" w:pos="9034"/>
            </w:tabs>
            <w:spacing w:after="100"/>
            <w:rPr>
              <w:rFonts w:eastAsia="Palatino Linotype" w:cs="Palatino Linotype"/>
              <w:b/>
              <w:color w:val="000000"/>
              <w:szCs w:val="22"/>
            </w:rPr>
          </w:pPr>
          <w:r>
            <w:fldChar w:fldCharType="end"/>
          </w:r>
        </w:p>
      </w:sdtContent>
    </w:sdt>
    <w:p w:rsidR="00705170" w:rsidRDefault="00705170">
      <w:pPr>
        <w:sectPr w:rsidR="00705170">
          <w:headerReference w:type="default" r:id="rId8"/>
          <w:footerReference w:type="default" r:id="rId9"/>
          <w:headerReference w:type="first" r:id="rId10"/>
          <w:pgSz w:w="12240" w:h="15840"/>
          <w:pgMar w:top="2552" w:right="1608" w:bottom="1701" w:left="1588" w:header="709" w:footer="737" w:gutter="0"/>
          <w:pgNumType w:start="1"/>
          <w:cols w:space="720"/>
          <w:titlePg/>
        </w:sectPr>
      </w:pPr>
    </w:p>
    <w:p w:rsidR="00705170" w:rsidRDefault="001D19D5">
      <w:r>
        <w:lastRenderedPageBreak/>
        <w:t xml:space="preserve">Resolución del Pleno del Instituto de Transparencia, Acceso a la Información Pública y Protección de Datos Personales del Estado de México y Municipios, con domicilio en Metepec, Estado de México, del </w:t>
      </w:r>
      <w:r>
        <w:rPr>
          <w:b/>
        </w:rPr>
        <w:t>seis de noviembre de dos mil veinticuatro</w:t>
      </w:r>
      <w:r>
        <w:t>.</w:t>
      </w:r>
    </w:p>
    <w:p w:rsidR="00705170" w:rsidRDefault="00705170"/>
    <w:p w:rsidR="00705170" w:rsidRDefault="001D19D5">
      <w:r>
        <w:rPr>
          <w:b/>
        </w:rPr>
        <w:t xml:space="preserve">VISTO </w:t>
      </w:r>
      <w:r>
        <w:t xml:space="preserve">los expedientes formados con motivo de los Recursos de Revisión </w:t>
      </w:r>
      <w:r>
        <w:rPr>
          <w:b/>
        </w:rPr>
        <w:t xml:space="preserve">06202/INFOEM/IP/RR/2024 </w:t>
      </w:r>
      <w:r>
        <w:t>y</w:t>
      </w:r>
      <w:r>
        <w:rPr>
          <w:b/>
        </w:rPr>
        <w:t xml:space="preserve"> 06249/INFOEM/IP/RR/2024</w:t>
      </w:r>
      <w:r>
        <w:t xml:space="preserve"> interpuestos por </w:t>
      </w:r>
      <w:r>
        <w:rPr>
          <w:b/>
        </w:rPr>
        <w:t>una persona de manera anónima</w:t>
      </w:r>
      <w:r>
        <w:t xml:space="preserve">, a quien en lo subsecuente se le denominará </w:t>
      </w:r>
      <w:r>
        <w:rPr>
          <w:b/>
        </w:rPr>
        <w:t>LA PARTE RECURRENTE</w:t>
      </w:r>
      <w:r>
        <w:t xml:space="preserve">, en contra de las respuestas emitidas por el </w:t>
      </w:r>
      <w:r>
        <w:rPr>
          <w:b/>
        </w:rPr>
        <w:t>Ayuntamiento de Temamatla,</w:t>
      </w:r>
      <w:r>
        <w:t xml:space="preserve"> en adelante </w:t>
      </w:r>
      <w:r>
        <w:rPr>
          <w:b/>
        </w:rPr>
        <w:t>EL SUJETO OBLIGADO</w:t>
      </w:r>
      <w:r>
        <w:t>, se emite la presente Resolución con base en los Antecedentes y Considerandos que se exponen a continuación:</w:t>
      </w:r>
    </w:p>
    <w:p w:rsidR="00705170" w:rsidRDefault="00705170"/>
    <w:p w:rsidR="00705170" w:rsidRDefault="00705170"/>
    <w:p w:rsidR="00705170" w:rsidRDefault="001D19D5">
      <w:pPr>
        <w:pStyle w:val="Ttulo1"/>
      </w:pPr>
      <w:bookmarkStart w:id="4" w:name="_heading=h.gjdgxs" w:colFirst="0" w:colLast="0"/>
      <w:bookmarkEnd w:id="4"/>
      <w:r>
        <w:t>ANTECEDENTES</w:t>
      </w:r>
    </w:p>
    <w:p w:rsidR="00705170" w:rsidRDefault="00705170"/>
    <w:p w:rsidR="00705170" w:rsidRDefault="001D19D5">
      <w:pPr>
        <w:pStyle w:val="Ttulo2"/>
      </w:pPr>
      <w:bookmarkStart w:id="5" w:name="_heading=h.30j0zll" w:colFirst="0" w:colLast="0"/>
      <w:bookmarkEnd w:id="5"/>
      <w:r>
        <w:t>DE LAS SOLICITUDES DE INFORMACIÓN</w:t>
      </w:r>
    </w:p>
    <w:p w:rsidR="00705170" w:rsidRDefault="00705170"/>
    <w:p w:rsidR="00705170" w:rsidRDefault="001D19D5">
      <w:pPr>
        <w:pStyle w:val="Ttulo3"/>
      </w:pPr>
      <w:bookmarkStart w:id="6" w:name="_heading=h.1fob9te" w:colFirst="0" w:colLast="0"/>
      <w:bookmarkEnd w:id="6"/>
      <w:r>
        <w:t>a) Solicitudes de información</w:t>
      </w:r>
    </w:p>
    <w:p w:rsidR="00705170" w:rsidRDefault="001D19D5">
      <w:pPr>
        <w:pBdr>
          <w:top w:val="nil"/>
          <w:left w:val="nil"/>
          <w:bottom w:val="nil"/>
          <w:right w:val="nil"/>
          <w:between w:val="nil"/>
        </w:pBdr>
        <w:tabs>
          <w:tab w:val="left" w:pos="0"/>
        </w:tabs>
        <w:rPr>
          <w:rFonts w:eastAsia="Palatino Linotype" w:cs="Palatino Linotype"/>
          <w:color w:val="000000"/>
          <w:szCs w:val="22"/>
        </w:rPr>
      </w:pPr>
      <w:r>
        <w:rPr>
          <w:rFonts w:eastAsia="Palatino Linotype" w:cs="Palatino Linotype"/>
          <w:color w:val="000000"/>
          <w:szCs w:val="22"/>
        </w:rPr>
        <w:t xml:space="preserve">El </w:t>
      </w:r>
      <w:r>
        <w:rPr>
          <w:rFonts w:eastAsia="Palatino Linotype" w:cs="Palatino Linotype"/>
          <w:b/>
          <w:color w:val="000000"/>
          <w:szCs w:val="22"/>
        </w:rPr>
        <w:t>diecinueve de septiembre y el cuatro de octubre de dos mil veinticuatro</w:t>
      </w:r>
      <w:r>
        <w:rPr>
          <w:rFonts w:eastAsia="Palatino Linotype" w:cs="Palatino Linotype"/>
          <w:color w:val="000000"/>
          <w:szCs w:val="22"/>
        </w:rPr>
        <w:t xml:space="preserve">, </w:t>
      </w:r>
      <w:r>
        <w:rPr>
          <w:rFonts w:eastAsia="Palatino Linotype" w:cs="Palatino Linotype"/>
          <w:b/>
          <w:color w:val="000000"/>
          <w:szCs w:val="22"/>
        </w:rPr>
        <w:t>LA PARTE RECURRENTE</w:t>
      </w:r>
      <w:r>
        <w:rPr>
          <w:rFonts w:eastAsia="Palatino Linotype" w:cs="Palatino Linotype"/>
          <w:color w:val="000000"/>
          <w:szCs w:val="22"/>
        </w:rPr>
        <w:t xml:space="preserve"> presentó las solicitudes de acceso a la información pública ante el </w:t>
      </w:r>
      <w:r>
        <w:rPr>
          <w:rFonts w:eastAsia="Palatino Linotype" w:cs="Palatino Linotype"/>
          <w:b/>
          <w:color w:val="000000"/>
          <w:szCs w:val="22"/>
        </w:rPr>
        <w:t>SUJETO OBLIGADO</w:t>
      </w:r>
      <w:r>
        <w:rPr>
          <w:rFonts w:eastAsia="Palatino Linotype" w:cs="Palatino Linotype"/>
          <w:color w:val="000000"/>
          <w:szCs w:val="22"/>
        </w:rPr>
        <w:t>, a través del Sistema de Acceso a la Información Mexiquense (SAIMEX). Dichas solicitudes quedaron registradas con los números de folio</w:t>
      </w:r>
      <w:r>
        <w:rPr>
          <w:rFonts w:eastAsia="Palatino Linotype" w:cs="Palatino Linotype"/>
          <w:b/>
          <w:color w:val="000000"/>
          <w:szCs w:val="22"/>
        </w:rPr>
        <w:t xml:space="preserve"> 00213/TEMAMATL/IP/2024 y 00532/TEMAMATL/IP/2024,</w:t>
      </w:r>
      <w:r>
        <w:rPr>
          <w:rFonts w:eastAsia="Palatino Linotype" w:cs="Palatino Linotype"/>
          <w:color w:val="000000"/>
          <w:szCs w:val="22"/>
        </w:rPr>
        <w:t xml:space="preserve"> y en ellas se requirió la siguiente información:</w:t>
      </w:r>
    </w:p>
    <w:p w:rsidR="00705170" w:rsidRDefault="00705170">
      <w:pPr>
        <w:tabs>
          <w:tab w:val="left" w:pos="4667"/>
        </w:tabs>
        <w:ind w:right="567"/>
        <w:rPr>
          <w:b/>
        </w:rPr>
      </w:pPr>
    </w:p>
    <w:tbl>
      <w:tblPr>
        <w:tblStyle w:val="a"/>
        <w:tblW w:w="8369"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78"/>
        <w:gridCol w:w="4991"/>
      </w:tblGrid>
      <w:tr w:rsidR="00705170">
        <w:trPr>
          <w:trHeight w:val="731"/>
          <w:tblHeader/>
          <w:jc w:val="center"/>
        </w:trPr>
        <w:tc>
          <w:tcPr>
            <w:tcW w:w="3378" w:type="dxa"/>
            <w:shd w:val="clear" w:color="auto" w:fill="000000"/>
            <w:tcMar>
              <w:top w:w="100" w:type="dxa"/>
              <w:left w:w="100" w:type="dxa"/>
              <w:bottom w:w="100" w:type="dxa"/>
              <w:right w:w="100" w:type="dxa"/>
            </w:tcMar>
          </w:tcPr>
          <w:p w:rsidR="00705170" w:rsidRDefault="001D19D5">
            <w:pPr>
              <w:widowControl w:val="0"/>
              <w:pBdr>
                <w:top w:val="nil"/>
                <w:left w:val="nil"/>
                <w:bottom w:val="nil"/>
                <w:right w:val="nil"/>
                <w:between w:val="nil"/>
              </w:pBdr>
              <w:jc w:val="center"/>
              <w:rPr>
                <w:b/>
                <w:color w:val="FFFFFF"/>
              </w:rPr>
            </w:pPr>
            <w:r>
              <w:rPr>
                <w:b/>
                <w:color w:val="FFFFFF"/>
              </w:rPr>
              <w:lastRenderedPageBreak/>
              <w:t>Número de Folio de la Solicitud</w:t>
            </w:r>
          </w:p>
        </w:tc>
        <w:tc>
          <w:tcPr>
            <w:tcW w:w="4991" w:type="dxa"/>
            <w:shd w:val="clear" w:color="auto" w:fill="000000"/>
            <w:tcMar>
              <w:top w:w="100" w:type="dxa"/>
              <w:left w:w="100" w:type="dxa"/>
              <w:bottom w:w="100" w:type="dxa"/>
              <w:right w:w="100" w:type="dxa"/>
            </w:tcMar>
          </w:tcPr>
          <w:p w:rsidR="00705170" w:rsidRDefault="001D19D5">
            <w:pPr>
              <w:widowControl w:val="0"/>
              <w:pBdr>
                <w:top w:val="nil"/>
                <w:left w:val="nil"/>
                <w:bottom w:val="nil"/>
                <w:right w:val="nil"/>
                <w:between w:val="nil"/>
              </w:pBdr>
              <w:jc w:val="center"/>
              <w:rPr>
                <w:b/>
                <w:color w:val="FFFFFF"/>
              </w:rPr>
            </w:pPr>
            <w:r>
              <w:rPr>
                <w:b/>
                <w:color w:val="FFFFFF"/>
              </w:rPr>
              <w:t xml:space="preserve">Solicitud </w:t>
            </w:r>
          </w:p>
        </w:tc>
      </w:tr>
      <w:tr w:rsidR="00705170">
        <w:trPr>
          <w:trHeight w:val="711"/>
          <w:jc w:val="center"/>
        </w:trPr>
        <w:tc>
          <w:tcPr>
            <w:tcW w:w="3378" w:type="dxa"/>
            <w:shd w:val="clear" w:color="auto" w:fill="auto"/>
            <w:tcMar>
              <w:top w:w="100" w:type="dxa"/>
              <w:left w:w="100" w:type="dxa"/>
              <w:bottom w:w="100" w:type="dxa"/>
              <w:right w:w="100" w:type="dxa"/>
            </w:tcMar>
            <w:vAlign w:val="center"/>
          </w:tcPr>
          <w:p w:rsidR="00705170" w:rsidRPr="00E56184" w:rsidRDefault="001D19D5">
            <w:pPr>
              <w:widowControl w:val="0"/>
              <w:pBdr>
                <w:top w:val="nil"/>
                <w:left w:val="nil"/>
                <w:bottom w:val="nil"/>
                <w:right w:val="nil"/>
                <w:between w:val="nil"/>
              </w:pBdr>
              <w:jc w:val="center"/>
              <w:rPr>
                <w:rFonts w:ascii="Palatino Linotype" w:hAnsi="Palatino Linotype"/>
              </w:rPr>
            </w:pPr>
            <w:r w:rsidRPr="00E56184">
              <w:rPr>
                <w:rFonts w:ascii="Palatino Linotype" w:hAnsi="Palatino Linotype"/>
                <w:b/>
              </w:rPr>
              <w:t>00213/TEMAMATL/IP/2024</w:t>
            </w:r>
          </w:p>
        </w:tc>
        <w:tc>
          <w:tcPr>
            <w:tcW w:w="4991" w:type="dxa"/>
            <w:shd w:val="clear" w:color="auto" w:fill="auto"/>
            <w:tcMar>
              <w:top w:w="100" w:type="dxa"/>
              <w:left w:w="100" w:type="dxa"/>
              <w:bottom w:w="100" w:type="dxa"/>
              <w:right w:w="100" w:type="dxa"/>
            </w:tcMar>
          </w:tcPr>
          <w:p w:rsidR="00705170" w:rsidRPr="00E56184" w:rsidRDefault="001D19D5">
            <w:pPr>
              <w:widowControl w:val="0"/>
              <w:pBdr>
                <w:top w:val="nil"/>
                <w:left w:val="nil"/>
                <w:bottom w:val="nil"/>
                <w:right w:val="nil"/>
                <w:between w:val="nil"/>
              </w:pBdr>
              <w:rPr>
                <w:rFonts w:ascii="Palatino Linotype" w:hAnsi="Palatino Linotype"/>
                <w:sz w:val="20"/>
              </w:rPr>
            </w:pPr>
            <w:r w:rsidRPr="00E56184">
              <w:rPr>
                <w:rFonts w:ascii="Palatino Linotype" w:hAnsi="Palatino Linotype"/>
                <w:i/>
                <w:sz w:val="20"/>
              </w:rPr>
              <w:t xml:space="preserve">“Solicito la estadística de fugas de agua registradas en el territorio municipal durante la administración 2022.2024 , así </w:t>
            </w:r>
            <w:proofErr w:type="spellStart"/>
            <w:r w:rsidRPr="00E56184">
              <w:rPr>
                <w:rFonts w:ascii="Palatino Linotype" w:hAnsi="Palatino Linotype"/>
                <w:i/>
                <w:sz w:val="20"/>
              </w:rPr>
              <w:t>cómo</w:t>
            </w:r>
            <w:proofErr w:type="spellEnd"/>
            <w:r w:rsidRPr="00E56184">
              <w:rPr>
                <w:rFonts w:ascii="Palatino Linotype" w:hAnsi="Palatino Linotype"/>
                <w:i/>
                <w:sz w:val="20"/>
              </w:rPr>
              <w:t xml:space="preserve"> el monto económico q costaron estas reparaciones” (Sic)</w:t>
            </w:r>
          </w:p>
        </w:tc>
      </w:tr>
      <w:tr w:rsidR="00705170">
        <w:trPr>
          <w:trHeight w:val="711"/>
          <w:jc w:val="center"/>
        </w:trPr>
        <w:tc>
          <w:tcPr>
            <w:tcW w:w="3378" w:type="dxa"/>
            <w:shd w:val="clear" w:color="auto" w:fill="auto"/>
            <w:tcMar>
              <w:top w:w="100" w:type="dxa"/>
              <w:left w:w="100" w:type="dxa"/>
              <w:bottom w:w="100" w:type="dxa"/>
              <w:right w:w="100" w:type="dxa"/>
            </w:tcMar>
            <w:vAlign w:val="center"/>
          </w:tcPr>
          <w:p w:rsidR="00705170" w:rsidRPr="00E56184" w:rsidRDefault="001D19D5">
            <w:pPr>
              <w:widowControl w:val="0"/>
              <w:pBdr>
                <w:top w:val="nil"/>
                <w:left w:val="nil"/>
                <w:bottom w:val="nil"/>
                <w:right w:val="nil"/>
                <w:between w:val="nil"/>
              </w:pBdr>
              <w:jc w:val="center"/>
              <w:rPr>
                <w:rFonts w:ascii="Palatino Linotype" w:hAnsi="Palatino Linotype"/>
                <w:b/>
              </w:rPr>
            </w:pPr>
            <w:bookmarkStart w:id="7" w:name="_heading=h.3znysh7" w:colFirst="0" w:colLast="0"/>
            <w:bookmarkEnd w:id="7"/>
            <w:r w:rsidRPr="00E56184">
              <w:rPr>
                <w:rFonts w:ascii="Palatino Linotype" w:hAnsi="Palatino Linotype"/>
                <w:b/>
              </w:rPr>
              <w:t>00532/TEMAMATL/IP/2024</w:t>
            </w:r>
          </w:p>
        </w:tc>
        <w:tc>
          <w:tcPr>
            <w:tcW w:w="4991" w:type="dxa"/>
            <w:shd w:val="clear" w:color="auto" w:fill="auto"/>
            <w:tcMar>
              <w:top w:w="100" w:type="dxa"/>
              <w:left w:w="100" w:type="dxa"/>
              <w:bottom w:w="100" w:type="dxa"/>
              <w:right w:w="100" w:type="dxa"/>
            </w:tcMar>
          </w:tcPr>
          <w:p w:rsidR="00705170" w:rsidRPr="00E56184" w:rsidRDefault="001D19D5">
            <w:pPr>
              <w:widowControl w:val="0"/>
              <w:pBdr>
                <w:top w:val="nil"/>
                <w:left w:val="nil"/>
                <w:bottom w:val="nil"/>
                <w:right w:val="nil"/>
                <w:between w:val="nil"/>
              </w:pBdr>
              <w:rPr>
                <w:rFonts w:ascii="Palatino Linotype" w:hAnsi="Palatino Linotype"/>
                <w:sz w:val="20"/>
              </w:rPr>
            </w:pPr>
            <w:r w:rsidRPr="00E56184">
              <w:rPr>
                <w:rFonts w:ascii="Palatino Linotype" w:hAnsi="Palatino Linotype"/>
                <w:i/>
                <w:sz w:val="20"/>
              </w:rPr>
              <w:t>“solicito todos los informes mensuales de reparaciones o mantenimientos realizados por la administración 2022-2024” (Sic)</w:t>
            </w:r>
          </w:p>
        </w:tc>
      </w:tr>
    </w:tbl>
    <w:p w:rsidR="00705170" w:rsidRDefault="00705170">
      <w:pPr>
        <w:tabs>
          <w:tab w:val="left" w:pos="4667"/>
        </w:tabs>
        <w:ind w:right="567"/>
        <w:rPr>
          <w:b/>
        </w:rPr>
      </w:pPr>
    </w:p>
    <w:p w:rsidR="00705170" w:rsidRDefault="001D19D5">
      <w:pPr>
        <w:tabs>
          <w:tab w:val="left" w:pos="4667"/>
        </w:tabs>
        <w:ind w:left="567" w:right="567"/>
      </w:pPr>
      <w:r>
        <w:rPr>
          <w:b/>
        </w:rPr>
        <w:t>Modalidad de entrega</w:t>
      </w:r>
      <w:r>
        <w:t>: a</w:t>
      </w:r>
      <w:r>
        <w:rPr>
          <w:i/>
        </w:rPr>
        <w:t xml:space="preserve"> través del </w:t>
      </w:r>
      <w:r>
        <w:rPr>
          <w:b/>
          <w:i/>
        </w:rPr>
        <w:t>SAIMEX</w:t>
      </w:r>
      <w:r>
        <w:rPr>
          <w:i/>
        </w:rPr>
        <w:t>.</w:t>
      </w:r>
    </w:p>
    <w:p w:rsidR="00705170" w:rsidRDefault="00705170">
      <w:pPr>
        <w:ind w:right="-28"/>
        <w:rPr>
          <w:i/>
        </w:rPr>
      </w:pPr>
    </w:p>
    <w:p w:rsidR="00705170" w:rsidRDefault="001D19D5">
      <w:pPr>
        <w:pStyle w:val="Ttulo3"/>
      </w:pPr>
      <w:bookmarkStart w:id="8" w:name="_heading=h.2et92p0" w:colFirst="0" w:colLast="0"/>
      <w:bookmarkEnd w:id="8"/>
      <w:r>
        <w:t>b) Turno de la solicitud de información</w:t>
      </w:r>
    </w:p>
    <w:p w:rsidR="00705170" w:rsidRDefault="001D19D5">
      <w:pPr>
        <w:rPr>
          <w:color w:val="000000"/>
        </w:rPr>
      </w:pPr>
      <w:bookmarkStart w:id="9" w:name="_heading=h.tyjcwt" w:colFirst="0" w:colLast="0"/>
      <w:bookmarkEnd w:id="9"/>
      <w:r>
        <w:rPr>
          <w:color w:val="000000"/>
        </w:rPr>
        <w:t xml:space="preserve">En cumplimiento al artículo 162 de la Ley de Transparencia y Acceso a la Información Pública del Estado de México y Municipios, el </w:t>
      </w:r>
      <w:r>
        <w:rPr>
          <w:b/>
        </w:rPr>
        <w:t>veinticuatro de septiembre de dos mi veinticuatro</w:t>
      </w:r>
      <w:r>
        <w:rPr>
          <w:color w:val="000000"/>
        </w:rPr>
        <w:t xml:space="preserve">, la Titular de la Unidad de Transparencia del </w:t>
      </w:r>
      <w:r>
        <w:rPr>
          <w:b/>
          <w:color w:val="000000"/>
        </w:rPr>
        <w:t>SUJETO OBLIGADO</w:t>
      </w:r>
      <w:r>
        <w:rPr>
          <w:color w:val="000000"/>
        </w:rPr>
        <w:t xml:space="preserve"> turnó únicamente la solicitud de información con número de folio </w:t>
      </w:r>
      <w:r>
        <w:rPr>
          <w:b/>
        </w:rPr>
        <w:t>00213/TEMAMATL/IP/2024</w:t>
      </w:r>
      <w:r>
        <w:rPr>
          <w:color w:val="000000"/>
        </w:rPr>
        <w:t xml:space="preserve"> al servidor público habilitado que estimó pertinente.</w:t>
      </w:r>
    </w:p>
    <w:p w:rsidR="00705170" w:rsidRDefault="00705170">
      <w:pPr>
        <w:ind w:right="-28"/>
        <w:rPr>
          <w:i/>
        </w:rPr>
      </w:pPr>
    </w:p>
    <w:p w:rsidR="00705170" w:rsidRDefault="001D19D5">
      <w:pPr>
        <w:pStyle w:val="Ttulo3"/>
      </w:pPr>
      <w:bookmarkStart w:id="10" w:name="_heading=h.3dy6vkm" w:colFirst="0" w:colLast="0"/>
      <w:bookmarkEnd w:id="10"/>
      <w:r>
        <w:t xml:space="preserve">c) Solicitud de aclaración </w:t>
      </w:r>
    </w:p>
    <w:p w:rsidR="00705170" w:rsidRDefault="001D19D5">
      <w:r>
        <w:t xml:space="preserve">De las constancias que obran en el expediente electrónico, se advierte que únicamente por cuanto hace a la solicitud con número de folio </w:t>
      </w:r>
      <w:r>
        <w:rPr>
          <w:b/>
        </w:rPr>
        <w:t xml:space="preserve">00532/TEMAMATL/IP/2024, </w:t>
      </w:r>
      <w:r>
        <w:t xml:space="preserve">en fecha </w:t>
      </w:r>
      <w:r>
        <w:rPr>
          <w:b/>
        </w:rPr>
        <w:t>cuatro de octubre de dos mil veinticuatro</w:t>
      </w:r>
      <w:r>
        <w:t xml:space="preserve">, </w:t>
      </w:r>
      <w:r>
        <w:rPr>
          <w:b/>
        </w:rPr>
        <w:t>EL SUJETO OBLIGADO</w:t>
      </w:r>
      <w:r>
        <w:t xml:space="preserve"> requirió a </w:t>
      </w:r>
      <w:r>
        <w:rPr>
          <w:b/>
        </w:rPr>
        <w:t>LA PARTE RECURRENTE</w:t>
      </w:r>
      <w:r>
        <w:t xml:space="preserve"> aclarar la solicitud de información pública planteada, en los siguientes términos:</w:t>
      </w:r>
    </w:p>
    <w:p w:rsidR="00705170" w:rsidRDefault="00705170"/>
    <w:p w:rsidR="00705170" w:rsidRDefault="001D19D5">
      <w:pPr>
        <w:pStyle w:val="Puesto"/>
        <w:ind w:left="851" w:right="822"/>
      </w:pPr>
      <w:r>
        <w:lastRenderedPageBreak/>
        <w:t>“Folio de la solicitud: 00532/TEMAMATL/IP/2024</w:t>
      </w:r>
    </w:p>
    <w:p w:rsidR="00705170" w:rsidRDefault="001D19D5">
      <w:pPr>
        <w:pStyle w:val="Puesto"/>
        <w:ind w:left="851" w:right="822"/>
      </w:pPr>
      <w:r>
        <w:t xml:space="preserve">Con fundamento en el </w:t>
      </w:r>
      <w:proofErr w:type="spellStart"/>
      <w:proofErr w:type="gramStart"/>
      <w:r>
        <w:t>articulo</w:t>
      </w:r>
      <w:proofErr w:type="spellEnd"/>
      <w:proofErr w:type="gramEnd"/>
      <w:r>
        <w:t xml:space="preserve"> 159 de la Ley de Transparencia y Acceso a la Información Pública del Estado de México y Municipios, se le requiere para que dentro del plazo de diez días hábiles realice lo siguiente:</w:t>
      </w:r>
    </w:p>
    <w:p w:rsidR="00705170" w:rsidRDefault="001D19D5">
      <w:pPr>
        <w:pStyle w:val="Puesto"/>
        <w:ind w:left="851" w:right="822"/>
      </w:pPr>
      <w:r>
        <w:t>NO ES CLARA LA SOLICITUD SIENDO MUY AMBIGUA</w:t>
      </w:r>
    </w:p>
    <w:p w:rsidR="00705170" w:rsidRDefault="001D19D5">
      <w:pPr>
        <w:pStyle w:val="Puesto"/>
        <w:ind w:left="851" w:right="822"/>
      </w:pPr>
      <w:r>
        <w:t>En caso de que no se desahogue el requerimiento señalado dentro del plazo citado se tendrá por no presentada la solicitud de información, quedando a salvo sus derechos para volver a presentar la solicitud, lo anterior con fundamento en el artículo 159 de la Ley invocada.</w:t>
      </w:r>
    </w:p>
    <w:p w:rsidR="00705170" w:rsidRDefault="001D19D5">
      <w:pPr>
        <w:pStyle w:val="Puesto"/>
        <w:ind w:left="851" w:right="822"/>
      </w:pPr>
      <w:r>
        <w:t>ATENTAMENTE</w:t>
      </w:r>
    </w:p>
    <w:p w:rsidR="00705170" w:rsidRDefault="001D19D5">
      <w:pPr>
        <w:pStyle w:val="Puesto"/>
        <w:ind w:left="851" w:right="822"/>
      </w:pPr>
      <w:r>
        <w:t xml:space="preserve">Lic. Derecho Claudia </w:t>
      </w:r>
      <w:proofErr w:type="spellStart"/>
      <w:r>
        <w:t>Jimenéz</w:t>
      </w:r>
      <w:proofErr w:type="spellEnd"/>
      <w:r>
        <w:t xml:space="preserve"> Maldonado” (Sic)</w:t>
      </w:r>
    </w:p>
    <w:p w:rsidR="00705170" w:rsidRDefault="00705170"/>
    <w:p w:rsidR="00705170" w:rsidRDefault="001D19D5">
      <w:pPr>
        <w:pStyle w:val="Ttulo3"/>
      </w:pPr>
      <w:bookmarkStart w:id="11" w:name="_heading=h.1t3h5sf" w:colFirst="0" w:colLast="0"/>
      <w:bookmarkEnd w:id="11"/>
      <w:r>
        <w:t xml:space="preserve">d) Aclaración </w:t>
      </w:r>
    </w:p>
    <w:p w:rsidR="00705170" w:rsidRDefault="001D19D5">
      <w:r>
        <w:t>En fecha</w:t>
      </w:r>
      <w:r>
        <w:rPr>
          <w:b/>
        </w:rPr>
        <w:t xml:space="preserve"> cinco de octubre de dos mil veinticuatro</w:t>
      </w:r>
      <w:r>
        <w:t xml:space="preserve">, </w:t>
      </w:r>
      <w:r>
        <w:rPr>
          <w:b/>
        </w:rPr>
        <w:t>LA PARTE RECURRENTE</w:t>
      </w:r>
      <w:r>
        <w:t xml:space="preserve"> atendió la solicitud de aclaración de información pública, en los siguientes términos: </w:t>
      </w:r>
    </w:p>
    <w:p w:rsidR="00705170" w:rsidRDefault="00705170"/>
    <w:p w:rsidR="00705170" w:rsidRDefault="001D19D5">
      <w:pPr>
        <w:pStyle w:val="Puesto"/>
        <w:ind w:firstLine="567"/>
      </w:pPr>
      <w:r>
        <w:t xml:space="preserve">“Solicito todos </w:t>
      </w:r>
      <w:proofErr w:type="spellStart"/>
      <w:r>
        <w:t>los.formatos</w:t>
      </w:r>
      <w:proofErr w:type="spellEnd"/>
      <w:r>
        <w:t xml:space="preserve"> de informe mensual de reparaciones o mantenimiento (IMROM), enviado de manera mensual en la información contable que integra la cuenta pública durante los años 2022, 2023 y 2024” (Sic)</w:t>
      </w:r>
    </w:p>
    <w:p w:rsidR="00705170" w:rsidRDefault="00705170">
      <w:pPr>
        <w:spacing w:after="240"/>
      </w:pPr>
    </w:p>
    <w:p w:rsidR="00705170" w:rsidRDefault="001D19D5">
      <w:pPr>
        <w:pStyle w:val="Ttulo3"/>
      </w:pPr>
      <w:bookmarkStart w:id="12" w:name="_heading=h.4d34og8" w:colFirst="0" w:colLast="0"/>
      <w:bookmarkEnd w:id="12"/>
      <w:r>
        <w:t>e) Respuestas del Sujeto Obligado</w:t>
      </w:r>
    </w:p>
    <w:p w:rsidR="00705170" w:rsidRDefault="001D19D5">
      <w:pPr>
        <w:spacing w:after="240"/>
      </w:pPr>
      <w:r>
        <w:t xml:space="preserve">En fechas </w:t>
      </w:r>
      <w:r>
        <w:rPr>
          <w:b/>
        </w:rPr>
        <w:t>cinco y ocho de octubre de dos mil veinticuatro</w:t>
      </w:r>
      <w:r>
        <w:t xml:space="preserve">, la Titular de la Unidad de Transparencia del </w:t>
      </w:r>
      <w:r>
        <w:rPr>
          <w:b/>
        </w:rPr>
        <w:t>SUJETO OBLIGADO</w:t>
      </w:r>
      <w:r>
        <w:t xml:space="preserve"> notificó las siguientes respuestas a través del </w:t>
      </w:r>
      <w:r>
        <w:rPr>
          <w:b/>
        </w:rPr>
        <w:t xml:space="preserve">SAIMEX </w:t>
      </w:r>
      <w:r>
        <w:t>en los siguientes términos:</w:t>
      </w:r>
    </w:p>
    <w:p w:rsidR="00705170" w:rsidRDefault="001D19D5">
      <w:r>
        <w:rPr>
          <w:b/>
        </w:rPr>
        <w:t>00213/TEMAMATL/IP/2024</w:t>
      </w:r>
    </w:p>
    <w:p w:rsidR="00705170" w:rsidRDefault="001D19D5">
      <w:pPr>
        <w:pStyle w:val="Puesto"/>
        <w:ind w:left="851" w:right="822"/>
      </w:pPr>
      <w:r>
        <w:t>“Folio de la solicitud: 00213/TEMAMATL/IP/2024</w:t>
      </w:r>
    </w:p>
    <w:p w:rsidR="00705170" w:rsidRDefault="001D19D5">
      <w:pPr>
        <w:pStyle w:val="Puesto"/>
        <w:ind w:left="851" w:right="822"/>
      </w:pPr>
      <w:r>
        <w:t xml:space="preserve">En respuesta a la solicitud recibida, nos permitimos hacer de su conocimiento que con fundamento en el artículo 53, Fracciones: II, V y VI de la Ley de Transparencia </w:t>
      </w:r>
      <w:r>
        <w:lastRenderedPageBreak/>
        <w:t>y Acceso a la Información Pública del Estado de México y Municipios, le contestamos que:</w:t>
      </w:r>
    </w:p>
    <w:p w:rsidR="00705170" w:rsidRDefault="001D19D5">
      <w:pPr>
        <w:pStyle w:val="Puesto"/>
        <w:ind w:left="851" w:right="822"/>
      </w:pPr>
      <w:r>
        <w:t xml:space="preserve">SOLICITANTE SEA ESTE EL MEDIO IDÓNEO PARA SALUDARLO Y A SU VEZ DAR CONTESTACIÓN A LA SOLICITUD EN CITA, CON FUNDAMENTO EN EL ARTICULO 6° DE LA CARTA MAGNA, 5° DE LA CONSTITUCIÓN LOCAL Y 4° DE LA LEY DE TRANSPARENCIA Y ACCESO A LA INFORMACIÓN PUBLICA DEL ESTADO DE MÉXICO Y MUNICIPIOS. SE DA CABAL CUMPLIMIENTO, OBSERVANDO LOS PRINCIPIOS DE CERTEZA, EFICIENCIA, IMPARCIALIDAD, INDEPENDENCIA. LEGALIDAD, MÁXIMA PUBLICIDAD, OBJETIVIDAD, PROFESIONALISMO Y TRANSPARENCIA. CABE PUNTUALIZAR QUE ESTE SUJETO OBLIGADO AYUNTAMIENTO DE TEMAMATLA, TIENE COMO PRINCIPAL OBJETIVO GARANTIZAR EL DERECHO DE ACCESO A LA INFORMACIÓN Y DARLE CERTEZA QUE LA RESPUESTA QUE SE ENTREGA ES CUIDANDO EN TODO MOMENTO LOS PRINCIPIOS DEL INFOEM Y LA PROTECCIÓN DE DATOS PERSONALES. ASÍ MISMO EN RELACIÓN AL NUMERAL 12. LTAIPEMYM QUIENES GENEREN, RECOPILEN, ADMINISTREN, MANEJEN, PROCESEN, ARCHIVEN O CONSERVEN INFORMACIÓN PÚBLICA SERÁN RESPONSABLES DE LA MISMA EN LOS TÉRMINOS DE LAS DISPOSICIONES JURÍDICAS APLICABLES. 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SE ENTREGA LA INFORMACIÓN EN EL ESTADO EN QUE SE ENCUENTRA, REFORZANDO LO ANTERIORMENTE EXPRESADO EL NUMERAL 160. LOS SUJETOS OBLIGADOS DEBERÁN OTORGAR ACCESO A LOS DOCUMENTOS QUE SE ENCUENTREN EN SUS ARCHIVOS O QUE ESTÉN OBLIGADOS A DOCUMENTAR DE ACUERDO CON SUS FACULTADES, COMPETENCIAS O FUNCIONES EN EL FORMATO QUE EL SOLICITANTE MANIFIESTE, DE ENTRE AQUELLOS FORMATOS EXISTENTES, CONFORME A LAS CARACTERÍSTICAS FÍSICAS DE LA INFORMACIÓN O DEL LUGAR DONDE SE ENCUENTRE ASÍ LO PERMITA. EN CASO QUE LA INFORMACIÓN SOLICITADA </w:t>
      </w:r>
      <w:r>
        <w:lastRenderedPageBreak/>
        <w:t xml:space="preserve">CONSISTA EN BASES DE DATOS SE DEBERÁ PRIVILEGIAR LA ENTREGA DE LA MISMA EN FORMATOS ABIERTOS. POR LO QUE SE DA CERTEZA QUE LA INFORMACION QUE SE ENTREGA, ES LA QUE OBRA EN LOS ARCHIVOS DE ESTE SUJETO OBLIGADO. RESPUESTA FUNDADA Y MOTIVADA EN EL CONTENIDO DEL OFICIO QUE SE ADJUNTA, DANDO RESPUESTA CLARA Y PRECISA DADA LA INDAGATORIA DEL SOLICITANTE. SIN OTRA PARTICULAR QUEDA A LA ORDEN ESTA UNIDAD DE TRANSPARENCIA DEL MUNICIPIO DE TEMAMATLA, CON DOMICILIO EN CALLE GUERRERO NO. 40, TEMAMATLA. PARA CUALQUIER DUDA O ACLARACIÓN. ATENTAMENTE TITULAR DE LA UNIDAD DE TRANSPARENCIA Y ACCESO A LA INFORMACIÓN PÚBLICA DEL MUNICIPIO DE TEMAMATLA, ESTADO DE </w:t>
      </w:r>
      <w:proofErr w:type="gramStart"/>
      <w:r>
        <w:t>MÉXICO .</w:t>
      </w:r>
      <w:proofErr w:type="gramEnd"/>
    </w:p>
    <w:p w:rsidR="00705170" w:rsidRDefault="001D19D5">
      <w:pPr>
        <w:pStyle w:val="Puesto"/>
        <w:ind w:left="851" w:right="822"/>
      </w:pPr>
      <w:r>
        <w:t>ATENTAMENTE</w:t>
      </w:r>
    </w:p>
    <w:p w:rsidR="00705170" w:rsidRDefault="001D19D5">
      <w:pPr>
        <w:pStyle w:val="Puesto"/>
        <w:ind w:left="851" w:right="822"/>
      </w:pPr>
      <w:r>
        <w:t xml:space="preserve">Lic. Derecho Claudia </w:t>
      </w:r>
      <w:proofErr w:type="spellStart"/>
      <w:r>
        <w:t>Jimenéz</w:t>
      </w:r>
      <w:proofErr w:type="spellEnd"/>
      <w:r>
        <w:t xml:space="preserve"> Maldonado” (Sic)</w:t>
      </w:r>
    </w:p>
    <w:p w:rsidR="00705170" w:rsidRDefault="00705170"/>
    <w:p w:rsidR="00705170" w:rsidRDefault="001D19D5">
      <w:pPr>
        <w:spacing w:after="240"/>
      </w:pPr>
      <w:r>
        <w:t xml:space="preserve">Así mismo se advierte que adjuntó a su respuesta el archivo electrónico denominado </w:t>
      </w:r>
      <w:r>
        <w:rPr>
          <w:i/>
        </w:rPr>
        <w:t xml:space="preserve">“213 solicitud20241008_11164053.pdf”, </w:t>
      </w:r>
      <w:r>
        <w:t>mismo que consiste en el oficio con número, S.PUB./116/2024 del treinta de septiembre de dos mil veinticuatro, dirigido a la Titular de la Unidad de Transparencia y firmado por el Director de Servicios Públicos, el refiere de manera sustancial que por cuanto hace a las fugas, estas se atienden de conformidad con las peticiones ciudadanas, y respecto del costo el solicitante compra el material y el ayuntamiento colabora con la mano de obra.</w:t>
      </w:r>
    </w:p>
    <w:p w:rsidR="00705170" w:rsidRDefault="001D19D5">
      <w:r>
        <w:rPr>
          <w:b/>
        </w:rPr>
        <w:t>00532/TEMAMATL/IP/2024</w:t>
      </w:r>
    </w:p>
    <w:p w:rsidR="00705170" w:rsidRDefault="001D19D5">
      <w:pPr>
        <w:pStyle w:val="Puesto"/>
        <w:ind w:left="851" w:right="822"/>
      </w:pPr>
      <w:r>
        <w:t>“Folio de la solicitud: 00532/TEMAMATL/IP/2024</w:t>
      </w:r>
    </w:p>
    <w:p w:rsidR="00705170" w:rsidRDefault="001D19D5">
      <w:pPr>
        <w:pStyle w:val="Puesto"/>
        <w:ind w:left="851" w:right="822"/>
      </w:pPr>
      <w:r>
        <w:t>Con fundamento en el artículo 163 de la Ley de Transparencia y Acceso a la Información Pública del Estado de México y Municipios, le contestamos que:</w:t>
      </w:r>
    </w:p>
    <w:p w:rsidR="00705170" w:rsidRDefault="001D19D5">
      <w:pPr>
        <w:pStyle w:val="Puesto"/>
        <w:ind w:left="851" w:right="822"/>
      </w:pPr>
      <w:r>
        <w:t xml:space="preserve">SOLICITANTE SEA ESTE EL MEDIO IDÓNEO PARA SALUDARLO Y A SU VEZ DAR CONTESTACIÓN A LA SOLICITUD EN CITA, CON FUNDAMENTO EN EL ARTICULO 6° DE LA CARTA MAGNA, 5° DE LA CONSTITUCIÓN LOCAL Y 4° DE LA LEY DE TRANSPARENCIA Y ACCESO A LA INFORMACIÓN PUBLICA DEL ESTADO DE MÉXICO Y </w:t>
      </w:r>
      <w:r>
        <w:lastRenderedPageBreak/>
        <w:t xml:space="preserve">MUNICIPIOS. SE DA CABAL CUMPLIMIENTO, OBSERVANDO LOS PRINCIPIOS DE CERTEZA, EFICIENCIA, IMPARCIALIDAD, INDEPENDENCIA. LEGALIDAD, MÁXIMA PUBLICIDAD, OBJETIVIDAD, PROFESIONALISMO Y TRANSPARENCIA. CABE PUNTUALIZAR QUE ESTE SUJETO OBLIGADO AYUNTAMIENTO DE TEMAMATLA, TIENE COMO PRINCIPAL OBJETIVO GARANTIZAR EL DERECHO DE ACCESO A LA INFORMACIÓN Y DARLE CERTEZA QUE LA RESPUESTA QUE SE ENTREGA ES CUIDANDO EN TODO MOMENTO LOS PRINCIPIOS DEL INFOEM Y LA PROTECCIÓN DE DATOS PERSONALES. ASÍ MISMO EN RELACIÓN AL NUMERAL 12. LTAIPEMYM QUIENES GENEREN, RECOPILEN, ADMINISTREN, MANEJEN, PROCESEN, ARCHIVEN O CONSERVEN INFORMACIÓN PÚBLICA SERÁN RESPONSABLES DE LA MISMA EN LOS TÉRMINOS DE LAS DISPOSICIONES JURÍDICAS APLICABLES. 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SE ENTREGA LA INFORMACIÓN EN EL ESTADO EN QUE SE ENCUENTRA, REFORZANDO LO ANTERIORMENTE EXPRESADO EL NUMERAL 160. LOS SUJETOS OBLIGADOS DEBERÁN OTORGAR ACCESO A LOS DOCUMENTOS QUE SE ENCUENTREN EN SUS ARCHIVOS O QUE ESTÉN OBLIGADOS A DOCUMENTAR DE ACUERDO CON SUS FACULTADES, COMPETENCIAS O FUNCIONES EN EL FORMATO QUE EL SOLICITANTE MANIFIESTE, DE ENTRE AQUELLOS FORMATOS EXISTENTES, CONFORME A LAS CARACTERÍSTICAS FÍSICAS DE LA INFORMACIÓN O DEL LUGAR DONDE SE ENCUENTRE ASÍ LO PERMITA. EN CASO QUE LA INFORMACIÓN SOLICITADA CONSISTA EN BASES DE DATOS SE DEBERÁ PRIVILEGIAR LA ENTREGA DE LA MISMA EN FORMATOS ABIERTOS. POR LO QUE SE DA CERTEZA QUE LA INFORMACION QUE SE ENTREGA, ES LA QUE OBRA EN LOS ARCHIVOS DE ESTE SUJETO OBLIGADO. RESPUESTA FUNDADA Y MOTIVADA EN EL CONTENIDO DEL OFICIO QUE SE ADJUNTA, DANDO RESPUESTA CLARA Y PRECISA DADA LA INDAGATORIA DEL SOLICITANTE. SIN OTRA PARTICULAR QUEDA A LA ORDEN ESTA </w:t>
      </w:r>
      <w:r>
        <w:lastRenderedPageBreak/>
        <w:t xml:space="preserve">UNIDAD DE TRANSPARENCIA DEL MUNICIPIO DE TEMAMATLA, CON DOMICILIO EN CALLE GUERRERO NO. 40, TEMAMATLA. PARA CUALQUIER DUDA O ACLARACIÓN. ATENTAMENTE TITULAR DE LA UNIDAD DE TRANSPARENCIA Y ACCESO A LA INFORMACIÓN PÚBLICA DEL MUNICIPIO DE TEMAMATLA, ESTADO DE </w:t>
      </w:r>
      <w:proofErr w:type="gramStart"/>
      <w:r>
        <w:t>MÉXICO .</w:t>
      </w:r>
      <w:proofErr w:type="gramEnd"/>
    </w:p>
    <w:p w:rsidR="00705170" w:rsidRDefault="001D19D5">
      <w:pPr>
        <w:pStyle w:val="Puesto"/>
        <w:ind w:left="851" w:right="822"/>
      </w:pPr>
      <w:r>
        <w:t>ATENTAMENTE</w:t>
      </w:r>
    </w:p>
    <w:p w:rsidR="00705170" w:rsidRDefault="001D19D5">
      <w:pPr>
        <w:pStyle w:val="Puesto"/>
        <w:ind w:left="851" w:right="822"/>
      </w:pPr>
      <w:r>
        <w:t xml:space="preserve">Lic. Derecho Claudia </w:t>
      </w:r>
      <w:proofErr w:type="spellStart"/>
      <w:r>
        <w:t>Jimenéz</w:t>
      </w:r>
      <w:proofErr w:type="spellEnd"/>
      <w:r>
        <w:t xml:space="preserve"> Maldonado” (Sic)</w:t>
      </w:r>
    </w:p>
    <w:p w:rsidR="00705170" w:rsidRDefault="00705170"/>
    <w:p w:rsidR="00705170" w:rsidRDefault="001D19D5">
      <w:pPr>
        <w:rPr>
          <w:b/>
        </w:rPr>
      </w:pPr>
      <w:r>
        <w:t xml:space="preserve">Respuesta de la que se advierte adjuntó el archivo electrónico denominado </w:t>
      </w:r>
      <w:r>
        <w:rPr>
          <w:i/>
        </w:rPr>
        <w:t xml:space="preserve">“SOLICITANTE respuesta de aclaracion.pdf”, </w:t>
      </w:r>
      <w:r>
        <w:t xml:space="preserve">mismo que consiste en el documento sin número y sin fecha dirigido al solicitante mediante el cual de manera sustancial la Titular de la Unidad de Transparencia, informa que se encuentra de manera vigente la información que refiere en su aclaración que está incompleta, siendo lo correcto la actualización del ejercicio 2024 hasta el último trimestre, así mismo adjunta unas capturas de pantalla correspondientes a la fracción II A del articulo 92 correspondiente a la estructura orgánica del </w:t>
      </w:r>
      <w:r>
        <w:rPr>
          <w:b/>
        </w:rPr>
        <w:t>SUJETO OBLIGADO.</w:t>
      </w:r>
    </w:p>
    <w:p w:rsidR="00705170" w:rsidRDefault="00705170"/>
    <w:p w:rsidR="00705170" w:rsidRDefault="001D19D5">
      <w:pPr>
        <w:pStyle w:val="Ttulo2"/>
        <w:jc w:val="left"/>
      </w:pPr>
      <w:bookmarkStart w:id="13" w:name="_heading=h.2s8eyo1" w:colFirst="0" w:colLast="0"/>
      <w:bookmarkEnd w:id="13"/>
      <w:r>
        <w:t>DE LOS RECURSOS DE REVISIÓN</w:t>
      </w:r>
    </w:p>
    <w:p w:rsidR="00705170" w:rsidRDefault="00705170">
      <w:pPr>
        <w:ind w:right="-28"/>
      </w:pPr>
    </w:p>
    <w:p w:rsidR="00705170" w:rsidRDefault="001D19D5">
      <w:pPr>
        <w:pStyle w:val="Ttulo3"/>
      </w:pPr>
      <w:bookmarkStart w:id="14" w:name="_heading=h.17dp8vu" w:colFirst="0" w:colLast="0"/>
      <w:bookmarkEnd w:id="14"/>
      <w:r>
        <w:t>a) Interposición del Recurso de Revisión</w:t>
      </w:r>
    </w:p>
    <w:p w:rsidR="00705170" w:rsidRDefault="001D19D5">
      <w:pPr>
        <w:ind w:right="-28"/>
      </w:pPr>
      <w:r>
        <w:t xml:space="preserve">En fechas </w:t>
      </w:r>
      <w:r>
        <w:rPr>
          <w:b/>
        </w:rPr>
        <w:t>diez y once de octubre de dos mil veinticuatro</w:t>
      </w:r>
      <w:r>
        <w:t xml:space="preserve"> </w:t>
      </w:r>
      <w:r>
        <w:rPr>
          <w:b/>
        </w:rPr>
        <w:t>LA PARTE RECURRENTE</w:t>
      </w:r>
      <w:r>
        <w:t xml:space="preserve"> interpuso los recursos de revisión en contra de las respuestas emitidas por el </w:t>
      </w:r>
      <w:r>
        <w:rPr>
          <w:b/>
        </w:rPr>
        <w:t>SUJETO OBLIGADO</w:t>
      </w:r>
      <w:r>
        <w:t xml:space="preserve">, mismos que fueron registrados en el </w:t>
      </w:r>
      <w:r>
        <w:rPr>
          <w:b/>
        </w:rPr>
        <w:t>SAIMEX</w:t>
      </w:r>
      <w:r>
        <w:t xml:space="preserve"> con los números de expedientes </w:t>
      </w:r>
      <w:r>
        <w:rPr>
          <w:b/>
        </w:rPr>
        <w:t xml:space="preserve">06202/INFOEM/IP/RR/2024 </w:t>
      </w:r>
      <w:r>
        <w:t>y</w:t>
      </w:r>
      <w:r>
        <w:rPr>
          <w:b/>
        </w:rPr>
        <w:t xml:space="preserve"> 06249/INFOEM/IP/RR/2024</w:t>
      </w:r>
      <w:r>
        <w:t>, en los cuales manifiesta lo siguiente:</w:t>
      </w:r>
    </w:p>
    <w:p w:rsidR="00705170" w:rsidRDefault="00705170">
      <w:pPr>
        <w:tabs>
          <w:tab w:val="left" w:pos="4667"/>
        </w:tabs>
        <w:ind w:right="539"/>
      </w:pPr>
    </w:p>
    <w:tbl>
      <w:tblPr>
        <w:tblStyle w:val="a0"/>
        <w:tblW w:w="8369"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67"/>
        <w:gridCol w:w="2693"/>
        <w:gridCol w:w="8"/>
        <w:gridCol w:w="2701"/>
      </w:tblGrid>
      <w:tr w:rsidR="00705170">
        <w:trPr>
          <w:trHeight w:val="250"/>
          <w:tblHeader/>
          <w:jc w:val="center"/>
        </w:trPr>
        <w:tc>
          <w:tcPr>
            <w:tcW w:w="2967" w:type="dxa"/>
            <w:shd w:val="clear" w:color="auto" w:fill="000000"/>
            <w:tcMar>
              <w:top w:w="100" w:type="dxa"/>
              <w:left w:w="100" w:type="dxa"/>
              <w:bottom w:w="100" w:type="dxa"/>
              <w:right w:w="100" w:type="dxa"/>
            </w:tcMar>
          </w:tcPr>
          <w:p w:rsidR="00705170" w:rsidRDefault="001D19D5">
            <w:pPr>
              <w:widowControl w:val="0"/>
              <w:pBdr>
                <w:top w:val="nil"/>
                <w:left w:val="nil"/>
                <w:bottom w:val="nil"/>
                <w:right w:val="nil"/>
                <w:between w:val="nil"/>
              </w:pBdr>
              <w:jc w:val="center"/>
              <w:rPr>
                <w:b/>
                <w:color w:val="FFFFFF"/>
              </w:rPr>
            </w:pPr>
            <w:r>
              <w:rPr>
                <w:b/>
                <w:color w:val="FFFFFF"/>
              </w:rPr>
              <w:lastRenderedPageBreak/>
              <w:t>Número Recurso</w:t>
            </w:r>
          </w:p>
        </w:tc>
        <w:tc>
          <w:tcPr>
            <w:tcW w:w="2693" w:type="dxa"/>
            <w:shd w:val="clear" w:color="auto" w:fill="000000"/>
            <w:tcMar>
              <w:top w:w="100" w:type="dxa"/>
              <w:left w:w="100" w:type="dxa"/>
              <w:bottom w:w="100" w:type="dxa"/>
              <w:right w:w="100" w:type="dxa"/>
            </w:tcMar>
          </w:tcPr>
          <w:p w:rsidR="00705170" w:rsidRDefault="001D19D5">
            <w:pPr>
              <w:widowControl w:val="0"/>
              <w:pBdr>
                <w:top w:val="nil"/>
                <w:left w:val="nil"/>
                <w:bottom w:val="nil"/>
                <w:right w:val="nil"/>
                <w:between w:val="nil"/>
              </w:pBdr>
              <w:jc w:val="center"/>
              <w:rPr>
                <w:b/>
                <w:color w:val="FFFFFF"/>
              </w:rPr>
            </w:pPr>
            <w:r>
              <w:rPr>
                <w:b/>
                <w:color w:val="FFFFFF"/>
              </w:rPr>
              <w:t xml:space="preserve">Acto Impugnado </w:t>
            </w:r>
          </w:p>
        </w:tc>
        <w:tc>
          <w:tcPr>
            <w:tcW w:w="2709" w:type="dxa"/>
            <w:gridSpan w:val="2"/>
            <w:shd w:val="clear" w:color="auto" w:fill="000000"/>
          </w:tcPr>
          <w:p w:rsidR="00705170" w:rsidRDefault="001D19D5">
            <w:pPr>
              <w:widowControl w:val="0"/>
              <w:pBdr>
                <w:top w:val="nil"/>
                <w:left w:val="nil"/>
                <w:bottom w:val="nil"/>
                <w:right w:val="nil"/>
                <w:between w:val="nil"/>
              </w:pBdr>
              <w:jc w:val="center"/>
              <w:rPr>
                <w:b/>
                <w:color w:val="FFFFFF"/>
              </w:rPr>
            </w:pPr>
            <w:r>
              <w:rPr>
                <w:b/>
                <w:color w:val="FFFFFF"/>
              </w:rPr>
              <w:t xml:space="preserve">Razones o Motivos de Inconformidad </w:t>
            </w:r>
          </w:p>
        </w:tc>
      </w:tr>
      <w:tr w:rsidR="00705170">
        <w:trPr>
          <w:trHeight w:val="711"/>
          <w:jc w:val="center"/>
        </w:trPr>
        <w:tc>
          <w:tcPr>
            <w:tcW w:w="2967" w:type="dxa"/>
            <w:shd w:val="clear" w:color="auto" w:fill="auto"/>
            <w:tcMar>
              <w:top w:w="100" w:type="dxa"/>
              <w:left w:w="100" w:type="dxa"/>
              <w:bottom w:w="100" w:type="dxa"/>
              <w:right w:w="100" w:type="dxa"/>
            </w:tcMar>
            <w:vAlign w:val="center"/>
          </w:tcPr>
          <w:p w:rsidR="00705170" w:rsidRPr="00E56184" w:rsidRDefault="001D19D5">
            <w:pPr>
              <w:widowControl w:val="0"/>
              <w:pBdr>
                <w:top w:val="nil"/>
                <w:left w:val="nil"/>
                <w:bottom w:val="nil"/>
                <w:right w:val="nil"/>
                <w:between w:val="nil"/>
              </w:pBdr>
              <w:jc w:val="center"/>
              <w:rPr>
                <w:rFonts w:ascii="Palatino Linotype" w:hAnsi="Palatino Linotype"/>
              </w:rPr>
            </w:pPr>
            <w:r w:rsidRPr="00E56184">
              <w:rPr>
                <w:rFonts w:ascii="Palatino Linotype" w:hAnsi="Palatino Linotype"/>
                <w:b/>
              </w:rPr>
              <w:t>06202/INFOEM/IP/RR/2024</w:t>
            </w:r>
          </w:p>
        </w:tc>
        <w:tc>
          <w:tcPr>
            <w:tcW w:w="2701" w:type="dxa"/>
            <w:gridSpan w:val="2"/>
            <w:shd w:val="clear" w:color="auto" w:fill="auto"/>
            <w:tcMar>
              <w:top w:w="100" w:type="dxa"/>
              <w:left w:w="100" w:type="dxa"/>
              <w:bottom w:w="100" w:type="dxa"/>
              <w:right w:w="100" w:type="dxa"/>
            </w:tcMar>
            <w:vAlign w:val="center"/>
          </w:tcPr>
          <w:p w:rsidR="00705170" w:rsidRPr="00E56184" w:rsidRDefault="001D19D5">
            <w:pPr>
              <w:widowControl w:val="0"/>
              <w:pBdr>
                <w:top w:val="nil"/>
                <w:left w:val="nil"/>
                <w:bottom w:val="nil"/>
                <w:right w:val="nil"/>
                <w:between w:val="nil"/>
              </w:pBdr>
              <w:rPr>
                <w:rFonts w:ascii="Palatino Linotype" w:hAnsi="Palatino Linotype"/>
                <w:i/>
                <w:sz w:val="19"/>
                <w:szCs w:val="19"/>
              </w:rPr>
            </w:pPr>
            <w:r w:rsidRPr="00E56184">
              <w:rPr>
                <w:rFonts w:ascii="Palatino Linotype" w:hAnsi="Palatino Linotype"/>
                <w:i/>
                <w:sz w:val="19"/>
                <w:szCs w:val="19"/>
              </w:rPr>
              <w:t>“Respuesta otorgada” (Sic)</w:t>
            </w:r>
          </w:p>
        </w:tc>
        <w:tc>
          <w:tcPr>
            <w:tcW w:w="2701" w:type="dxa"/>
            <w:shd w:val="clear" w:color="auto" w:fill="auto"/>
            <w:vAlign w:val="center"/>
          </w:tcPr>
          <w:p w:rsidR="00705170" w:rsidRPr="00E56184" w:rsidRDefault="001D19D5">
            <w:pPr>
              <w:widowControl w:val="0"/>
              <w:pBdr>
                <w:top w:val="nil"/>
                <w:left w:val="nil"/>
                <w:bottom w:val="nil"/>
                <w:right w:val="nil"/>
                <w:between w:val="nil"/>
              </w:pBdr>
              <w:rPr>
                <w:rFonts w:ascii="Palatino Linotype" w:hAnsi="Palatino Linotype"/>
                <w:i/>
                <w:sz w:val="20"/>
              </w:rPr>
            </w:pPr>
            <w:r w:rsidRPr="00E56184">
              <w:rPr>
                <w:rFonts w:ascii="Palatino Linotype" w:hAnsi="Palatino Linotype"/>
                <w:i/>
                <w:sz w:val="20"/>
              </w:rPr>
              <w:t xml:space="preserve">“El sujeto obligado no adjunta ningún tipo de </w:t>
            </w:r>
            <w:proofErr w:type="spellStart"/>
            <w:r w:rsidRPr="00E56184">
              <w:rPr>
                <w:rFonts w:ascii="Palatino Linotype" w:hAnsi="Palatino Linotype"/>
                <w:i/>
                <w:sz w:val="20"/>
              </w:rPr>
              <w:t>estadistica</w:t>
            </w:r>
            <w:proofErr w:type="spellEnd"/>
            <w:r w:rsidRPr="00E56184">
              <w:rPr>
                <w:rFonts w:ascii="Palatino Linotype" w:hAnsi="Palatino Linotype"/>
                <w:i/>
                <w:sz w:val="20"/>
              </w:rPr>
              <w:t>, mapeo de incidencia, bitácora o respaldo de las fugas atendidas durante la administración 2022 2024” (Sic)</w:t>
            </w:r>
          </w:p>
        </w:tc>
      </w:tr>
      <w:tr w:rsidR="00705170">
        <w:trPr>
          <w:trHeight w:val="711"/>
          <w:jc w:val="center"/>
        </w:trPr>
        <w:tc>
          <w:tcPr>
            <w:tcW w:w="2967" w:type="dxa"/>
            <w:shd w:val="clear" w:color="auto" w:fill="auto"/>
            <w:tcMar>
              <w:top w:w="100" w:type="dxa"/>
              <w:left w:w="100" w:type="dxa"/>
              <w:bottom w:w="100" w:type="dxa"/>
              <w:right w:w="100" w:type="dxa"/>
            </w:tcMar>
            <w:vAlign w:val="center"/>
          </w:tcPr>
          <w:p w:rsidR="00705170" w:rsidRPr="00E56184" w:rsidRDefault="001D19D5">
            <w:pPr>
              <w:widowControl w:val="0"/>
              <w:pBdr>
                <w:top w:val="nil"/>
                <w:left w:val="nil"/>
                <w:bottom w:val="nil"/>
                <w:right w:val="nil"/>
                <w:between w:val="nil"/>
              </w:pBdr>
              <w:jc w:val="center"/>
              <w:rPr>
                <w:rFonts w:ascii="Palatino Linotype" w:hAnsi="Palatino Linotype"/>
                <w:b/>
              </w:rPr>
            </w:pPr>
            <w:r w:rsidRPr="00E56184">
              <w:rPr>
                <w:rFonts w:ascii="Palatino Linotype" w:hAnsi="Palatino Linotype"/>
                <w:b/>
              </w:rPr>
              <w:t>06249/INFOEM/IP/RR/2024</w:t>
            </w:r>
          </w:p>
        </w:tc>
        <w:tc>
          <w:tcPr>
            <w:tcW w:w="2701" w:type="dxa"/>
            <w:gridSpan w:val="2"/>
            <w:shd w:val="clear" w:color="auto" w:fill="auto"/>
            <w:tcMar>
              <w:top w:w="100" w:type="dxa"/>
              <w:left w:w="100" w:type="dxa"/>
              <w:bottom w:w="100" w:type="dxa"/>
              <w:right w:w="100" w:type="dxa"/>
            </w:tcMar>
            <w:vAlign w:val="center"/>
          </w:tcPr>
          <w:p w:rsidR="00705170" w:rsidRPr="00E56184" w:rsidRDefault="001D19D5">
            <w:pPr>
              <w:widowControl w:val="0"/>
              <w:pBdr>
                <w:top w:val="nil"/>
                <w:left w:val="nil"/>
                <w:bottom w:val="nil"/>
                <w:right w:val="nil"/>
                <w:between w:val="nil"/>
              </w:pBdr>
              <w:rPr>
                <w:rFonts w:ascii="Palatino Linotype" w:hAnsi="Palatino Linotype"/>
                <w:i/>
                <w:sz w:val="19"/>
                <w:szCs w:val="19"/>
              </w:rPr>
            </w:pPr>
            <w:r w:rsidRPr="00E56184">
              <w:rPr>
                <w:rFonts w:ascii="Palatino Linotype" w:hAnsi="Palatino Linotype"/>
                <w:i/>
                <w:sz w:val="19"/>
                <w:szCs w:val="19"/>
              </w:rPr>
              <w:t>“RESPUESTA OTORGADA” (Sic)</w:t>
            </w:r>
          </w:p>
        </w:tc>
        <w:tc>
          <w:tcPr>
            <w:tcW w:w="2701" w:type="dxa"/>
            <w:shd w:val="clear" w:color="auto" w:fill="auto"/>
            <w:vAlign w:val="center"/>
          </w:tcPr>
          <w:p w:rsidR="00705170" w:rsidRPr="00E56184" w:rsidRDefault="001D19D5">
            <w:pPr>
              <w:widowControl w:val="0"/>
              <w:pBdr>
                <w:top w:val="nil"/>
                <w:left w:val="nil"/>
                <w:bottom w:val="nil"/>
                <w:right w:val="nil"/>
                <w:between w:val="nil"/>
              </w:pBdr>
              <w:rPr>
                <w:rFonts w:ascii="Palatino Linotype" w:hAnsi="Palatino Linotype"/>
                <w:i/>
                <w:sz w:val="20"/>
              </w:rPr>
            </w:pPr>
            <w:r w:rsidRPr="00E56184">
              <w:rPr>
                <w:rFonts w:ascii="Palatino Linotype" w:hAnsi="Palatino Linotype"/>
                <w:i/>
                <w:sz w:val="20"/>
              </w:rPr>
              <w:t>“EL SUJETO OBLIGADO UNA VEZ MAS ENTREGA INFORMACION COMPLETAMENTE DISCORDANTE CON LA SOLICITADA, SIENDO ESTO UN TOTAL ACTO DE OPACIDAD POR PARTE DEL SUJETO OBLIGADO” (Sic)</w:t>
            </w:r>
          </w:p>
        </w:tc>
      </w:tr>
    </w:tbl>
    <w:p w:rsidR="00705170" w:rsidRDefault="00705170">
      <w:pPr>
        <w:tabs>
          <w:tab w:val="left" w:pos="4667"/>
        </w:tabs>
        <w:ind w:right="539"/>
      </w:pPr>
    </w:p>
    <w:p w:rsidR="00705170" w:rsidRDefault="001D19D5">
      <w:pPr>
        <w:pStyle w:val="Ttulo3"/>
      </w:pPr>
      <w:bookmarkStart w:id="15" w:name="_heading=h.3rdcrjn" w:colFirst="0" w:colLast="0"/>
      <w:bookmarkEnd w:id="15"/>
      <w:r>
        <w:t>b) Turno del Recurso de Revisión</w:t>
      </w:r>
    </w:p>
    <w:p w:rsidR="00705170" w:rsidRDefault="001D19D5">
      <w:r>
        <w:t>Con fundamento en el artículo 185, fracción I de la Ley de Transparencia y Acceso a la Información Pública del Estado de México y Municipio, el</w:t>
      </w:r>
      <w:r>
        <w:rPr>
          <w:b/>
        </w:rPr>
        <w:t xml:space="preserve"> diez y once de octubre de dos mil veinticuatro </w:t>
      </w:r>
      <w:r>
        <w:t xml:space="preserve">se turnaron los recursos de revisión a través del </w:t>
      </w:r>
      <w:r>
        <w:rPr>
          <w:b/>
        </w:rPr>
        <w:t>SAIMEX</w:t>
      </w:r>
      <w:r>
        <w:t xml:space="preserve"> de la siguiente manera; el recurso de revisión 06202/INFOEM/IP/RR/2024 a la </w:t>
      </w:r>
      <w:r>
        <w:rPr>
          <w:b/>
        </w:rPr>
        <w:t>Comisionada Sharon Cristina Morales Martínez</w:t>
      </w:r>
      <w:r>
        <w:t xml:space="preserve"> y el recurso de revisión 06249/INFOEM/IP/RR/2024 a la </w:t>
      </w:r>
      <w:r>
        <w:rPr>
          <w:b/>
        </w:rPr>
        <w:t>Comisionada Guadalupe Ramírez Peña</w:t>
      </w:r>
      <w:r>
        <w:t xml:space="preserve">, a efecto de decretar su admisión o desechamiento. </w:t>
      </w:r>
    </w:p>
    <w:p w:rsidR="00705170" w:rsidRDefault="00705170"/>
    <w:p w:rsidR="00705170" w:rsidRDefault="001D19D5">
      <w:pPr>
        <w:pStyle w:val="Ttulo3"/>
      </w:pPr>
      <w:bookmarkStart w:id="16" w:name="_heading=h.26in1rg" w:colFirst="0" w:colLast="0"/>
      <w:bookmarkEnd w:id="16"/>
      <w:r>
        <w:t>c) Admisión del Recurso de Revisión</w:t>
      </w:r>
    </w:p>
    <w:p w:rsidR="00705170" w:rsidRDefault="001D19D5">
      <w:r>
        <w:t xml:space="preserve">El </w:t>
      </w:r>
      <w:r>
        <w:rPr>
          <w:b/>
        </w:rPr>
        <w:t>catorce y dieciséis de octubre de dos mil veinticuatro</w:t>
      </w:r>
      <w:r>
        <w:t xml:space="preserve"> se acordó la admisión a trámite de los Recursos de Revisión y se integraron los expedientes respectivos, mismos que se pusieron </w:t>
      </w:r>
      <w:r>
        <w:lastRenderedPageBreak/>
        <w:t>a disposición de las partes para que, en un plazo de siete días hábiles, manifestaran lo que a su derecho conviniera, conforme a lo dispuesto por el artículo 185, fracción II de la Ley de Transparencia y Acceso a la Información Pública del Estado de México y Municipios.</w:t>
      </w:r>
    </w:p>
    <w:p w:rsidR="00705170" w:rsidRDefault="00705170"/>
    <w:p w:rsidR="00705170" w:rsidRDefault="001D19D5">
      <w:pPr>
        <w:pStyle w:val="Ttulo3"/>
      </w:pPr>
      <w:bookmarkStart w:id="17" w:name="_heading=h.lnxbz9" w:colFirst="0" w:colLast="0"/>
      <w:bookmarkEnd w:id="17"/>
      <w:r>
        <w:t>d) Informes Justificados del Sujeto Obligado</w:t>
      </w:r>
    </w:p>
    <w:p w:rsidR="00705170" w:rsidRDefault="001D19D5">
      <w:pPr>
        <w:ind w:right="-312"/>
      </w:pPr>
      <w:r>
        <w:rPr>
          <w:b/>
        </w:rPr>
        <w:t xml:space="preserve">EL SUJETO OBLIGADO </w:t>
      </w:r>
      <w:r>
        <w:t xml:space="preserve">el </w:t>
      </w:r>
      <w:r>
        <w:rPr>
          <w:b/>
        </w:rPr>
        <w:t>dieciséis de octubre de dos mil veinticuatro,</w:t>
      </w:r>
      <w:r>
        <w:t xml:space="preserve"> rindió sus informes justificados en los términos siguientes:</w:t>
      </w:r>
    </w:p>
    <w:p w:rsidR="00705170" w:rsidRPr="00E56184" w:rsidRDefault="00705170">
      <w:pPr>
        <w:ind w:right="-312"/>
        <w:rPr>
          <w:sz w:val="16"/>
        </w:rPr>
      </w:pPr>
    </w:p>
    <w:p w:rsidR="00705170" w:rsidRDefault="001D19D5">
      <w:pPr>
        <w:ind w:right="-312"/>
        <w:rPr>
          <w:b/>
        </w:rPr>
      </w:pPr>
      <w:r>
        <w:rPr>
          <w:b/>
        </w:rPr>
        <w:t>06202/INFOEM/IP/RR/2024</w:t>
      </w:r>
    </w:p>
    <w:p w:rsidR="00705170" w:rsidRDefault="00705170">
      <w:pPr>
        <w:ind w:right="-312"/>
      </w:pPr>
    </w:p>
    <w:p w:rsidR="00705170" w:rsidRDefault="001D19D5">
      <w:pPr>
        <w:numPr>
          <w:ilvl w:val="0"/>
          <w:numId w:val="1"/>
        </w:numPr>
        <w:pBdr>
          <w:top w:val="nil"/>
          <w:left w:val="nil"/>
          <w:bottom w:val="nil"/>
          <w:right w:val="nil"/>
          <w:between w:val="nil"/>
        </w:pBdr>
        <w:ind w:left="851" w:right="822" w:firstLine="0"/>
      </w:pPr>
      <w:r>
        <w:rPr>
          <w:rFonts w:eastAsia="Palatino Linotype" w:cs="Palatino Linotype"/>
          <w:b/>
          <w:i/>
          <w:color w:val="000000"/>
          <w:szCs w:val="22"/>
        </w:rPr>
        <w:t xml:space="preserve">“MANIFESTACIONES PDF.pdf “, </w:t>
      </w:r>
      <w:r>
        <w:rPr>
          <w:rFonts w:eastAsia="Palatino Linotype" w:cs="Palatino Linotype"/>
          <w:color w:val="000000"/>
          <w:szCs w:val="22"/>
        </w:rPr>
        <w:t>Archivo que consiste en el escrito sin número y sin fecha, dirigido a la Comisionada Ponente. mediante el cual de manera sustancial informa que el procesamiento de nueva información, análisis o trato distinto a la misma y por la cual fue motivo del presente recurso, es improcedente derivado las consideraciones que refiere dicho recurrente, por lo que ratifica su respuesta inicial.</w:t>
      </w:r>
    </w:p>
    <w:p w:rsidR="00705170" w:rsidRDefault="00705170">
      <w:pPr>
        <w:pBdr>
          <w:top w:val="nil"/>
          <w:left w:val="nil"/>
          <w:bottom w:val="nil"/>
          <w:right w:val="nil"/>
          <w:between w:val="nil"/>
        </w:pBdr>
        <w:ind w:left="851" w:right="822"/>
        <w:rPr>
          <w:rFonts w:eastAsia="Palatino Linotype" w:cs="Palatino Linotype"/>
          <w:color w:val="000000"/>
          <w:szCs w:val="22"/>
        </w:rPr>
      </w:pPr>
    </w:p>
    <w:p w:rsidR="00705170" w:rsidRDefault="001D19D5">
      <w:pPr>
        <w:ind w:right="-312"/>
      </w:pPr>
      <w:r>
        <w:rPr>
          <w:b/>
        </w:rPr>
        <w:t>06249/INFOEM/IP/RR/2024</w:t>
      </w:r>
    </w:p>
    <w:p w:rsidR="00705170" w:rsidRDefault="00705170">
      <w:pPr>
        <w:ind w:right="-312"/>
      </w:pPr>
    </w:p>
    <w:p w:rsidR="00705170" w:rsidRDefault="001D19D5">
      <w:pPr>
        <w:numPr>
          <w:ilvl w:val="0"/>
          <w:numId w:val="1"/>
        </w:numPr>
        <w:pBdr>
          <w:top w:val="nil"/>
          <w:left w:val="nil"/>
          <w:bottom w:val="nil"/>
          <w:right w:val="nil"/>
          <w:between w:val="nil"/>
        </w:pBdr>
        <w:spacing w:after="240"/>
        <w:ind w:left="851" w:right="822" w:firstLine="0"/>
      </w:pPr>
      <w:r>
        <w:rPr>
          <w:rFonts w:eastAsia="Palatino Linotype" w:cs="Palatino Linotype"/>
          <w:b/>
          <w:i/>
          <w:color w:val="000000"/>
          <w:szCs w:val="22"/>
        </w:rPr>
        <w:t xml:space="preserve">“MANIFESTACIONES PDF.pdf”, </w:t>
      </w:r>
      <w:r>
        <w:rPr>
          <w:rFonts w:eastAsia="Palatino Linotype" w:cs="Palatino Linotype"/>
          <w:color w:val="000000"/>
          <w:szCs w:val="22"/>
        </w:rPr>
        <w:t>Archivo que consiste en el escrito sin número y sin fecha, dirigido a la Comisionada Ponente. mediante el cual de manera sustancial informa que el procesamiento de nueva información, análisis o trato distinto a la misma y por la cual fue motivo del presente recurso, es improcedente derivado las consideraciones que refiere dicho recurrente, por lo que ratifica su respuesta inicial.</w:t>
      </w:r>
    </w:p>
    <w:p w:rsidR="00705170" w:rsidRDefault="001D19D5">
      <w:pPr>
        <w:ind w:right="-312"/>
      </w:pPr>
      <w:r>
        <w:lastRenderedPageBreak/>
        <w:t xml:space="preserve">Esta información fue puesta a la vista de </w:t>
      </w:r>
      <w:r>
        <w:rPr>
          <w:b/>
        </w:rPr>
        <w:t xml:space="preserve">LA PARTE RECURRENTE </w:t>
      </w:r>
      <w:r>
        <w:t xml:space="preserve">el </w:t>
      </w:r>
      <w:r>
        <w:rPr>
          <w:b/>
        </w:rPr>
        <w:t>veinticinco de octubre de dos mil veinticuatro,</w:t>
      </w:r>
      <w:r>
        <w:t xml:space="preserve"> para que, en un plazo de tres días hábiles, manifestara lo que a su derecho conviniera, de conformidad con lo establecido en el artículo 185, fracción III de la Ley de Transparencia y Acceso a la Información Pública del Estado de México y Municipios.</w:t>
      </w:r>
    </w:p>
    <w:p w:rsidR="00E56184" w:rsidRDefault="00E56184">
      <w:pPr>
        <w:ind w:right="-312"/>
      </w:pPr>
    </w:p>
    <w:p w:rsidR="00705170" w:rsidRDefault="001D19D5">
      <w:pPr>
        <w:pStyle w:val="Ttulo3"/>
      </w:pPr>
      <w:bookmarkStart w:id="18" w:name="_heading=h.35nkun2" w:colFirst="0" w:colLast="0"/>
      <w:bookmarkEnd w:id="18"/>
      <w:r>
        <w:t>e) Manifestaciones de la Parte Recurrente</w:t>
      </w:r>
    </w:p>
    <w:p w:rsidR="00705170" w:rsidRDefault="001D19D5">
      <w:r>
        <w:rPr>
          <w:b/>
        </w:rPr>
        <w:t xml:space="preserve">LA PARTE RECURRENTE </w:t>
      </w:r>
      <w:r>
        <w:t>no realizó manifestación alguna dentro del término legalmente concedido para tal efecto, ni presentó pruebas o alegatos.</w:t>
      </w:r>
    </w:p>
    <w:p w:rsidR="00705170" w:rsidRDefault="00705170"/>
    <w:p w:rsidR="00705170" w:rsidRDefault="001D19D5">
      <w:pPr>
        <w:pStyle w:val="Ttulo3"/>
      </w:pPr>
      <w:bookmarkStart w:id="19" w:name="_heading=h.1ksv4uv" w:colFirst="0" w:colLast="0"/>
      <w:bookmarkEnd w:id="19"/>
      <w:r>
        <w:t>f) Acumulación de los Recursos de Revisión</w:t>
      </w:r>
    </w:p>
    <w:p w:rsidR="00705170" w:rsidRDefault="001D19D5">
      <w:pPr>
        <w:ind w:left="-57"/>
        <w:rPr>
          <w:b/>
        </w:rPr>
      </w:pPr>
      <w:bookmarkStart w:id="20" w:name="_heading=h.44sinio" w:colFirst="0" w:colLast="0"/>
      <w:bookmarkEnd w:id="20"/>
      <w:r>
        <w:t xml:space="preserve">Por economía procesal y con la finalidad de evitar resoluciones contradictorias, mediante acuerdo del </w:t>
      </w:r>
      <w:r>
        <w:rPr>
          <w:b/>
        </w:rPr>
        <w:t>veintitrés de octubre de dos mil veinticuatro</w:t>
      </w:r>
      <w:r>
        <w:t>, el Pleno de este Instituto determinó acumular los Recursos de Revisión</w:t>
      </w:r>
      <w:r>
        <w:rPr>
          <w:b/>
        </w:rPr>
        <w:t xml:space="preserve"> 06249/INFOEM/IP/RR/2024 al 06202/INFOEM/IP/RR/2024.</w:t>
      </w:r>
    </w:p>
    <w:p w:rsidR="00705170" w:rsidRDefault="00705170">
      <w:pPr>
        <w:ind w:left="-57"/>
        <w:rPr>
          <w:b/>
        </w:rPr>
      </w:pPr>
    </w:p>
    <w:p w:rsidR="00705170" w:rsidRDefault="001D19D5">
      <w:pPr>
        <w:pStyle w:val="Ttulo3"/>
      </w:pPr>
      <w:bookmarkStart w:id="21" w:name="_heading=h.2jxsxqh" w:colFirst="0" w:colLast="0"/>
      <w:bookmarkEnd w:id="21"/>
      <w:r>
        <w:t>g) Cierre de instrucción</w:t>
      </w:r>
    </w:p>
    <w:p w:rsidR="00705170" w:rsidRDefault="001D19D5">
      <w:bookmarkStart w:id="22" w:name="_heading=h.z337ya" w:colFirst="0" w:colLast="0"/>
      <w:bookmarkEnd w:id="22"/>
      <w:r>
        <w:t xml:space="preserve">Al no existir diligencias pendientes por desahogar, el </w:t>
      </w:r>
      <w:r>
        <w:rPr>
          <w:b/>
        </w:rPr>
        <w:t xml:space="preserve">cinco de noviembre de dos mil veinticuatro </w:t>
      </w:r>
      <w:r>
        <w:t xml:space="preserve">la </w:t>
      </w:r>
      <w:r>
        <w:rPr>
          <w:b/>
        </w:rPr>
        <w:t xml:space="preserve">Comisionada Sharon Cristina Morales Martínez </w:t>
      </w:r>
      <w:r>
        <w:t xml:space="preserve">acordó el cierre de instrucción y la remisión de los expedientes a efecto de ser resueltos, de conformidad con lo establecido en el artículo 185 fracciones VI y VIII de la Ley de Transparencia y Acceso a la Información Pública del Estado de México y Municipios. Dicho acuerdo fue notificado a las partes el mismo día a través del </w:t>
      </w:r>
      <w:r>
        <w:rPr>
          <w:b/>
        </w:rPr>
        <w:t>SAIMEX</w:t>
      </w:r>
      <w:r>
        <w:t>.</w:t>
      </w:r>
    </w:p>
    <w:p w:rsidR="00705170" w:rsidRDefault="00705170"/>
    <w:p w:rsidR="00705170" w:rsidRDefault="001D19D5">
      <w:pPr>
        <w:pStyle w:val="Ttulo1"/>
      </w:pPr>
      <w:bookmarkStart w:id="23" w:name="_heading=h.3j2qqm3" w:colFirst="0" w:colLast="0"/>
      <w:bookmarkEnd w:id="23"/>
      <w:r>
        <w:lastRenderedPageBreak/>
        <w:t>CONSIDERANDOS</w:t>
      </w:r>
    </w:p>
    <w:p w:rsidR="00705170" w:rsidRDefault="00705170">
      <w:pPr>
        <w:jc w:val="center"/>
        <w:rPr>
          <w:b/>
        </w:rPr>
      </w:pPr>
    </w:p>
    <w:p w:rsidR="00705170" w:rsidRDefault="001D19D5">
      <w:pPr>
        <w:pStyle w:val="Ttulo2"/>
      </w:pPr>
      <w:bookmarkStart w:id="24" w:name="_heading=h.1y810tw" w:colFirst="0" w:colLast="0"/>
      <w:bookmarkEnd w:id="24"/>
      <w:r>
        <w:t>PRIMERO. Procedibilidad</w:t>
      </w:r>
    </w:p>
    <w:p w:rsidR="00705170" w:rsidRDefault="001D19D5">
      <w:pPr>
        <w:pStyle w:val="Ttulo3"/>
      </w:pPr>
      <w:bookmarkStart w:id="25" w:name="_heading=h.4i7ojhp" w:colFirst="0" w:colLast="0"/>
      <w:bookmarkEnd w:id="25"/>
      <w:r>
        <w:t>a) Competencia del Instituto</w:t>
      </w:r>
    </w:p>
    <w:p w:rsidR="00705170" w:rsidRDefault="001D19D5">
      <w:r>
        <w:t>Este Instituto de Transparencia, Acceso a la Información Pública y Protección de Datos Personales del Estado de México y Municipios es competente para conocer y resolver el 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 y 9, fracciones I y XXIII y 11 del Reglamento Interior del Instituto de Transparencia, Acceso a la Información Pública y Protección de Datos Personales del Estado de México y Municipios.</w:t>
      </w:r>
    </w:p>
    <w:p w:rsidR="00705170" w:rsidRDefault="00705170"/>
    <w:p w:rsidR="00705170" w:rsidRDefault="001D19D5">
      <w:pPr>
        <w:pStyle w:val="Ttulo3"/>
      </w:pPr>
      <w:bookmarkStart w:id="26" w:name="_heading=h.2xcytpi" w:colFirst="0" w:colLast="0"/>
      <w:bookmarkEnd w:id="26"/>
      <w:r>
        <w:t>b) Legitimidad de la parte recurrente</w:t>
      </w:r>
    </w:p>
    <w:p w:rsidR="00705170" w:rsidRDefault="001D19D5">
      <w:r>
        <w:t>Los recursos de revisión fueron interpuestos por parte legítima, ya que se presentaron por la misma persona que formuló las solicitudes de acceso a la Información Pública,</w:t>
      </w:r>
      <w:r>
        <w:rPr>
          <w:b/>
        </w:rPr>
        <w:t xml:space="preserve"> </w:t>
      </w:r>
      <w:r>
        <w:t>debido a que los datos de acceso</w:t>
      </w:r>
      <w:r>
        <w:rPr>
          <w:b/>
        </w:rPr>
        <w:t xml:space="preserve"> SAIMEX</w:t>
      </w:r>
      <w:r>
        <w:t xml:space="preserve"> son personales e irrepetibles.</w:t>
      </w:r>
    </w:p>
    <w:p w:rsidR="00705170" w:rsidRDefault="00705170"/>
    <w:p w:rsidR="00705170" w:rsidRDefault="001D19D5">
      <w:pPr>
        <w:pStyle w:val="Ttulo3"/>
      </w:pPr>
      <w:bookmarkStart w:id="27" w:name="_heading=h.1ci93xb" w:colFirst="0" w:colLast="0"/>
      <w:bookmarkEnd w:id="27"/>
      <w:r>
        <w:t>c) Plazo para interponer el recurso</w:t>
      </w:r>
    </w:p>
    <w:p w:rsidR="00705170" w:rsidRDefault="001D19D5">
      <w:bookmarkStart w:id="28" w:name="_heading=h.3whwml4" w:colFirst="0" w:colLast="0"/>
      <w:bookmarkEnd w:id="28"/>
      <w:r>
        <w:rPr>
          <w:b/>
        </w:rPr>
        <w:t>EL SUJETO OBLIGADO</w:t>
      </w:r>
      <w:r>
        <w:t xml:space="preserve"> notificó las respuestas a las solicitudes de acceso a la Información Pública el </w:t>
      </w:r>
      <w:r>
        <w:rPr>
          <w:b/>
        </w:rPr>
        <w:t xml:space="preserve">cinco y ocho de octubre de dos mil veinticuatro </w:t>
      </w:r>
      <w:r>
        <w:t xml:space="preserve">y los recursos que nos ocupan se interpusieron el </w:t>
      </w:r>
      <w:r>
        <w:rPr>
          <w:b/>
        </w:rPr>
        <w:t>diez y once de octubre de dos mil veinticuatro</w:t>
      </w:r>
      <w:r>
        <w:t xml:space="preserve">; por lo tanto, éste se </w:t>
      </w:r>
      <w:r>
        <w:lastRenderedPageBreak/>
        <w:t xml:space="preserve">encuentran dentro del margen temporal previsto en el artículo 178 de la Ley de Transparencia y Acceso a la Información Pública del Estado de México y Municipios, los cuales transcurrieron del </w:t>
      </w:r>
      <w:r>
        <w:rPr>
          <w:b/>
        </w:rPr>
        <w:t>siete al veinticinco de octubre, así como del nueve al veintinueve de octubre de dos mil veinticuatro</w:t>
      </w:r>
      <w:r>
        <w:t>, respectivamente, sin contemplar en el cómputo los días sábados, domingos y aquellos considerados como días inhábiles en términos del Calendario oficial en Materia de Transparencia, Acceso a la Información Pública y Protección de Datos Personales del Estado de México y Municipios, así como de labores del Instituto.</w:t>
      </w:r>
    </w:p>
    <w:p w:rsidR="00705170" w:rsidRDefault="00705170"/>
    <w:p w:rsidR="00705170" w:rsidRDefault="001D19D5">
      <w:pPr>
        <w:pStyle w:val="Ttulo3"/>
      </w:pPr>
      <w:bookmarkStart w:id="29" w:name="_heading=h.2bn6wsx" w:colFirst="0" w:colLast="0"/>
      <w:bookmarkEnd w:id="29"/>
      <w:r>
        <w:t>d) Causal de procedencia</w:t>
      </w:r>
    </w:p>
    <w:p w:rsidR="00705170" w:rsidRDefault="001D19D5">
      <w:r>
        <w:t>Resultan procedentes la interposición del recurso de revisión, ya que se actualizan las causales de procedencia señalada en el artículo 179, fracción V y VI de la Ley de Transparencia y Acceso a la Información Pública del Estado de México y Municipios.</w:t>
      </w:r>
    </w:p>
    <w:p w:rsidR="00705170" w:rsidRDefault="00705170"/>
    <w:p w:rsidR="00705170" w:rsidRDefault="001D19D5">
      <w:pPr>
        <w:pStyle w:val="Ttulo3"/>
      </w:pPr>
      <w:bookmarkStart w:id="30" w:name="_heading=h.qsh70q" w:colFirst="0" w:colLast="0"/>
      <w:bookmarkEnd w:id="30"/>
      <w:r>
        <w:t>e) Requisitos formales para la interposición del recurso</w:t>
      </w:r>
    </w:p>
    <w:p w:rsidR="00705170" w:rsidRDefault="001D19D5">
      <w:pPr>
        <w:rPr>
          <w:color w:val="000000"/>
          <w:sz w:val="24"/>
          <w:szCs w:val="24"/>
        </w:rPr>
      </w:pPr>
      <w:r>
        <w:rPr>
          <w:sz w:val="24"/>
          <w:szCs w:val="24"/>
        </w:rPr>
        <w:t xml:space="preserve">Es importante mencionar que, de la revisión del expediente electrónico del SAIMEX, se observa que </w:t>
      </w:r>
      <w:r>
        <w:rPr>
          <w:b/>
          <w:sz w:val="24"/>
          <w:szCs w:val="24"/>
        </w:rPr>
        <w:t>LA PARTE RECURRENTE</w:t>
      </w:r>
      <w:r>
        <w:rPr>
          <w:sz w:val="24"/>
          <w:szCs w:val="24"/>
        </w:rPr>
        <w:t xml:space="preserve"> no proporcionó su nombre para ser identificado, lo que en estricto sentido provoca que no se colmen los requisitos establecidos en el artículo 180 de la Ley de Transparencia; sin embargo, el artículo 15 de Ley de Transparencia y Acceso a la Información Pública del Estado de México y Municipios prevé que toda persona tendrá acceso a la información </w:t>
      </w:r>
      <w:r>
        <w:rPr>
          <w:color w:val="000000"/>
          <w:sz w:val="24"/>
          <w:szCs w:val="24"/>
        </w:rPr>
        <w:t xml:space="preserve">sin necesidad de acreditar interés alguno o justificar su utilización, de lo que se infiere que </w:t>
      </w:r>
      <w:r>
        <w:rPr>
          <w:b/>
          <w:color w:val="000000"/>
          <w:sz w:val="24"/>
          <w:szCs w:val="24"/>
          <w:u w:val="single"/>
        </w:rPr>
        <w:t>el nombre no es un requisito indispensable</w:t>
      </w:r>
      <w:r>
        <w:rPr>
          <w:color w:val="000000"/>
          <w:sz w:val="24"/>
          <w:szCs w:val="24"/>
        </w:rPr>
        <w:t xml:space="preserve"> para que las y los ciudadanos ejerzan el derecho de acceso a la información pública. </w:t>
      </w:r>
    </w:p>
    <w:p w:rsidR="00705170" w:rsidRDefault="00705170">
      <w:pPr>
        <w:rPr>
          <w:color w:val="000000"/>
          <w:sz w:val="24"/>
          <w:szCs w:val="24"/>
        </w:rPr>
      </w:pPr>
    </w:p>
    <w:p w:rsidR="00705170" w:rsidRDefault="001D19D5">
      <w:pPr>
        <w:rPr>
          <w:sz w:val="24"/>
          <w:szCs w:val="24"/>
        </w:rPr>
      </w:pPr>
      <w:r>
        <w:rPr>
          <w:color w:val="000000"/>
          <w:sz w:val="24"/>
          <w:szCs w:val="24"/>
        </w:rPr>
        <w:t>Asimismo, la Ley de la materia prevé en su artículo 155, párrafo segundo la posibilidad de que las solicitudes de información sean anónimas, al utilizar un nombre incompleto o, inclusive un seudónimo.</w:t>
      </w:r>
      <w:r>
        <w:rPr>
          <w:sz w:val="24"/>
          <w:szCs w:val="24"/>
        </w:rPr>
        <w:t xml:space="preserve"> En adición a lo anterior, el propio artículo 180, en su último párrafo, establece que cuando el recurso de revisión se interponga de manera electrónica no será indispensable que contenga algunos requisitos, entre ellos, el nombre de </w:t>
      </w:r>
      <w:r>
        <w:rPr>
          <w:b/>
          <w:sz w:val="24"/>
          <w:szCs w:val="24"/>
        </w:rPr>
        <w:t>LA PARTE RECURRENTE;</w:t>
      </w:r>
      <w:r>
        <w:rPr>
          <w:sz w:val="24"/>
          <w:szCs w:val="24"/>
        </w:rPr>
        <w:t xml:space="preserve"> por lo que, en el presente caso, al haber sido presentado el recurso de revisión vía SAIMEX, dicho requisito resulta innecesario.</w:t>
      </w:r>
    </w:p>
    <w:p w:rsidR="00705170" w:rsidRDefault="001D19D5">
      <w:pPr>
        <w:pStyle w:val="Ttulo3"/>
      </w:pPr>
      <w:bookmarkStart w:id="31" w:name="_heading=h.3as4poj" w:colFirst="0" w:colLast="0"/>
      <w:bookmarkEnd w:id="31"/>
      <w:r>
        <w:t>f) Acumulación de los Recursos de Revisión</w:t>
      </w:r>
    </w:p>
    <w:p w:rsidR="00705170" w:rsidRDefault="001D19D5">
      <w:r>
        <w:t xml:space="preserve">De las constancias que obran en los expedientes acumulados, se advierte que los recursos de revisión </w:t>
      </w:r>
      <w:r>
        <w:rPr>
          <w:b/>
        </w:rPr>
        <w:t xml:space="preserve">06202/INFOEM/IP/RR/2024 y 06249/INFOEM/IP/RR/2024 </w:t>
      </w:r>
      <w:r>
        <w:t xml:space="preserve">fueron presentados por la misma </w:t>
      </w:r>
      <w:r>
        <w:rPr>
          <w:b/>
        </w:rPr>
        <w:t>PARTE RECURRENTE</w:t>
      </w:r>
      <w:r>
        <w:t xml:space="preserve"> respecto de actos u omisiones similares, realizados por el mismo </w:t>
      </w:r>
      <w:r>
        <w:rPr>
          <w:b/>
        </w:rPr>
        <w:t>SUJETO OBLIGADO</w:t>
      </w:r>
      <w:r>
        <w:t>, razón por la cual, con la finalidad de evitar la emisión de resoluciones contradictorias, este Órgano Garante realizó la acumulación respectiva, de conformidad con lo dispuesto en el artículo 18 del Código de Procedimientos Administrativos del Estado de México, de aplicación supletoria en términos del artículo 195 de la Ley de Transparencia y Acceso a la Información Pública del Estado de México y Municipios en vigor.</w:t>
      </w:r>
    </w:p>
    <w:p w:rsidR="00705170" w:rsidRDefault="00705170"/>
    <w:p w:rsidR="00705170" w:rsidRDefault="001D19D5">
      <w:pPr>
        <w:pStyle w:val="Ttulo2"/>
      </w:pPr>
      <w:bookmarkStart w:id="32" w:name="_heading=h.1pxezwc" w:colFirst="0" w:colLast="0"/>
      <w:bookmarkEnd w:id="32"/>
      <w:r>
        <w:t>SEGUNDO. Estudio de Fondo</w:t>
      </w:r>
    </w:p>
    <w:p w:rsidR="00705170" w:rsidRDefault="001D19D5">
      <w:pPr>
        <w:pStyle w:val="Ttulo3"/>
      </w:pPr>
      <w:bookmarkStart w:id="33" w:name="_heading=h.49x2ik5" w:colFirst="0" w:colLast="0"/>
      <w:bookmarkEnd w:id="33"/>
      <w:r>
        <w:t>a) Mandato de transparencia y responsabilidad del Sujeto Obligado</w:t>
      </w:r>
    </w:p>
    <w:p w:rsidR="00705170" w:rsidRDefault="001D19D5">
      <w:r>
        <w:t>El derecho de acceso a la información pública es un derecho humano reconocido en el artículo sexto de la Constitución Política de los Estados Unidos Mexicanos y en el artículo quinto de la Constitución Política del Estado Libre y Soberano de México:</w:t>
      </w:r>
    </w:p>
    <w:p w:rsidR="00705170" w:rsidRDefault="00705170"/>
    <w:p w:rsidR="00705170" w:rsidRDefault="001D19D5">
      <w:pPr>
        <w:pStyle w:val="Puesto"/>
        <w:ind w:firstLine="567"/>
        <w:rPr>
          <w:b/>
        </w:rPr>
      </w:pPr>
      <w:r>
        <w:rPr>
          <w:b/>
        </w:rPr>
        <w:t>Constitución Política de los Estados Unidos Mexicanos</w:t>
      </w:r>
    </w:p>
    <w:p w:rsidR="00705170" w:rsidRDefault="001D19D5">
      <w:pPr>
        <w:pStyle w:val="Puesto"/>
        <w:ind w:firstLine="567"/>
        <w:rPr>
          <w:b/>
        </w:rPr>
      </w:pPr>
      <w:r>
        <w:t>“</w:t>
      </w:r>
      <w:r>
        <w:rPr>
          <w:b/>
        </w:rPr>
        <w:t>Artículo 6.</w:t>
      </w:r>
    </w:p>
    <w:p w:rsidR="00705170" w:rsidRDefault="001D19D5">
      <w:pPr>
        <w:pStyle w:val="Puesto"/>
        <w:ind w:firstLine="567"/>
      </w:pPr>
      <w:r>
        <w:t>(…)</w:t>
      </w:r>
    </w:p>
    <w:p w:rsidR="00705170" w:rsidRDefault="001D19D5">
      <w:pPr>
        <w:pStyle w:val="Puesto"/>
        <w:ind w:firstLine="567"/>
      </w:pPr>
      <w:r>
        <w:t>Para efectos de lo dispuesto en el presente artículo se observará lo siguiente:</w:t>
      </w:r>
    </w:p>
    <w:p w:rsidR="00705170" w:rsidRDefault="001D19D5">
      <w:pPr>
        <w:pStyle w:val="Puesto"/>
        <w:ind w:firstLine="567"/>
      </w:pPr>
      <w:r>
        <w:t>A. Para el ejercicio del derecho de acceso a la información, la Federación y las entidades federativas, en el ámbito de sus respectivas competencias, se regirán por los siguientes principios y bases:</w:t>
      </w:r>
    </w:p>
    <w:p w:rsidR="00705170" w:rsidRDefault="001D19D5">
      <w:pPr>
        <w:pStyle w:val="Puesto"/>
        <w:ind w:firstLine="567"/>
      </w:pPr>
      <w:r>
        <w:t xml:space="preserve">I. </w:t>
      </w:r>
      <w:r>
        <w:tab/>
        <w:t>Toda la información 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 es pública y sólo podrá ser reservada temporalmente por razones de interés público y seguridad nacional,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rsidR="00705170" w:rsidRDefault="00705170">
      <w:pPr>
        <w:pStyle w:val="Puesto"/>
        <w:ind w:firstLine="567"/>
      </w:pPr>
    </w:p>
    <w:p w:rsidR="00705170" w:rsidRDefault="001D19D5">
      <w:pPr>
        <w:pStyle w:val="Puesto"/>
        <w:ind w:firstLine="567"/>
        <w:rPr>
          <w:b/>
        </w:rPr>
      </w:pPr>
      <w:r>
        <w:rPr>
          <w:b/>
        </w:rPr>
        <w:t>Constitución Política del Estado Libre y Soberano de México</w:t>
      </w:r>
    </w:p>
    <w:p w:rsidR="00705170" w:rsidRDefault="001D19D5">
      <w:pPr>
        <w:pStyle w:val="Puesto"/>
        <w:ind w:firstLine="567"/>
        <w:rPr>
          <w:b/>
        </w:rPr>
      </w:pPr>
      <w:r>
        <w:t>“</w:t>
      </w:r>
      <w:r>
        <w:rPr>
          <w:b/>
        </w:rPr>
        <w:t xml:space="preserve">Artículo 5.- </w:t>
      </w:r>
    </w:p>
    <w:p w:rsidR="00705170" w:rsidRDefault="001D19D5">
      <w:pPr>
        <w:pStyle w:val="Puesto"/>
        <w:ind w:firstLine="567"/>
      </w:pPr>
      <w:r>
        <w:t>(…)</w:t>
      </w:r>
    </w:p>
    <w:p w:rsidR="00705170" w:rsidRDefault="001D19D5">
      <w:pPr>
        <w:pStyle w:val="Puesto"/>
        <w:ind w:firstLine="567"/>
      </w:pPr>
      <w:r>
        <w:t>El derecho a la información será garantizado por el Estado. La ley establecerá las previsiones que permitan asegurar la protección, el respeto y la difusión de este derecho.</w:t>
      </w:r>
    </w:p>
    <w:p w:rsidR="00705170" w:rsidRDefault="001D19D5">
      <w:pPr>
        <w:pStyle w:val="Puesto"/>
        <w:ind w:firstLine="567"/>
      </w:pPr>
      <w: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rsidR="00705170" w:rsidRDefault="001D19D5">
      <w:pPr>
        <w:pStyle w:val="Puesto"/>
        <w:ind w:firstLine="567"/>
      </w:pPr>
      <w:r>
        <w:t>Este derecho se regirá por los principios y bases siguientes:</w:t>
      </w:r>
    </w:p>
    <w:p w:rsidR="00705170" w:rsidRDefault="001D19D5">
      <w:pPr>
        <w:pStyle w:val="Puesto"/>
        <w:ind w:firstLine="567"/>
      </w:pPr>
      <w:r>
        <w:t xml:space="preserve">I. Toda la información en posesión de cualquier autoridad, entidad, órgano y organismos de los Poderes Ejecutivo, Legislativo y Judicial, órganos autónomos, partidos políticos, fideicomisos y fondos públicos estatales y municipales, así como del gobierno y de la administración pública municipal y sus organismos descentralizados, asimismo de cualquier persona física, jurídica colectiva o sindicato que reciba y ejerza recursos públicos o realice actos de autoridad en el ámbito estatal y municipal, es pública y sólo podrá ser reservada temporalmente por razones previstas en la Constitución Política de los Estados </w:t>
      </w:r>
      <w:r>
        <w:lastRenderedPageBreak/>
        <w:t>Unidos Mexicanos de interés público y seguridad,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rsidR="00705170" w:rsidRDefault="00705170">
      <w:pPr>
        <w:rPr>
          <w:b/>
          <w:i/>
        </w:rPr>
      </w:pPr>
    </w:p>
    <w:p w:rsidR="00705170" w:rsidRDefault="001D19D5">
      <w:pPr>
        <w:rPr>
          <w:i/>
        </w:rPr>
      </w:pPr>
      <w:r>
        <w:t xml:space="preserve">Asimismo, el artículo 150 de la Ley de Transparencia y Acceso a la Información Pública del Estado de México y Municipios indica que la solicitud es la garantía primaria del Derecho de Acceso a la Información, además, establece que se regirá </w:t>
      </w:r>
      <w:r>
        <w:rPr>
          <w:i/>
        </w:rPr>
        <w:t>por los principios de simplicidad, rapidez, gratuidad del procedimiento, auxilio y orientación a los particulares.</w:t>
      </w:r>
    </w:p>
    <w:p w:rsidR="00705170" w:rsidRDefault="00705170">
      <w:pPr>
        <w:rPr>
          <w:i/>
        </w:rPr>
      </w:pPr>
    </w:p>
    <w:p w:rsidR="00705170" w:rsidRDefault="001D19D5">
      <w:pPr>
        <w:rPr>
          <w:i/>
        </w:rPr>
      </w:pPr>
      <w:r>
        <w:t>Por su parte, el artículo 4 de 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p>
    <w:p w:rsidR="00705170" w:rsidRDefault="00705170"/>
    <w:p w:rsidR="00705170" w:rsidRDefault="001D19D5">
      <w:r>
        <w:t>Esto es, que los Sujetos Obligados deben atender las solicitudes de acceso a la información pública que se les sean realizadas, y proporcionar la información pública que obre en su poder, conforme al estado en que se encuentre, sin que sea necesario procesar la misma, ni presentarla conforme al interés del solicitante; tal y como lo establece el artículo 12 de la Ley de Transparencia y Acceso a la Información Pública del Estado de México y Municipios.</w:t>
      </w:r>
    </w:p>
    <w:p w:rsidR="00705170" w:rsidRDefault="00705170"/>
    <w:p w:rsidR="00705170" w:rsidRDefault="001D19D5">
      <w:r>
        <w:t xml:space="preserve">Es decir, que todo sujeto obligado que genere, recopile, administre, procese, archive, posea o conserven, son responsables de la misma, teniendo a su vez la obligación de proporcionar la información que se les requiera sin necesidad de resumirla, efectuar procedimientos para obtenerla, calcular o practicar investigaciones; en otras palabras, que los Sujetos Obligados </w:t>
      </w:r>
      <w:r>
        <w:lastRenderedPageBreak/>
        <w:t>sólo se concretarán a proporcionar la información solicitada que tengan en su poder en el estado que se encuentra, sin necesidad de concretarse al interés o términos específicos del solicitante.</w:t>
      </w:r>
    </w:p>
    <w:p w:rsidR="00705170" w:rsidRDefault="00705170"/>
    <w:p w:rsidR="00705170" w:rsidRDefault="001D19D5">
      <w:r>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 siempre y cuando no se trate de información reservada o confidencial.</w:t>
      </w:r>
    </w:p>
    <w:p w:rsidR="00705170" w:rsidRDefault="00705170"/>
    <w:p w:rsidR="00705170" w:rsidRDefault="001D19D5">
      <w:bookmarkStart w:id="34" w:name="_heading=h.2p2csry" w:colFirst="0" w:colLast="0"/>
      <w:bookmarkEnd w:id="34"/>
      <w:r>
        <w:t xml:space="preserve">Con base en lo anterior, se considera que </w:t>
      </w:r>
      <w:r>
        <w:rPr>
          <w:b/>
        </w:rPr>
        <w:t>EL</w:t>
      </w:r>
      <w:r>
        <w:t xml:space="preserve"> </w:t>
      </w:r>
      <w:r>
        <w:rPr>
          <w:b/>
        </w:rPr>
        <w:t>SUJETO OBLIGADO</w:t>
      </w:r>
      <w:r>
        <w:t xml:space="preserve"> se encontraba compelido a atender la solicitud de acceso a la información realizada por </w:t>
      </w:r>
      <w:r>
        <w:rPr>
          <w:b/>
        </w:rPr>
        <w:t>LA PARTE RECURRENTE</w:t>
      </w:r>
      <w:r>
        <w:t>.</w:t>
      </w:r>
    </w:p>
    <w:p w:rsidR="00705170" w:rsidRDefault="001D19D5">
      <w:pPr>
        <w:pStyle w:val="Ttulo3"/>
      </w:pPr>
      <w:bookmarkStart w:id="35" w:name="_heading=h.147n2zr" w:colFirst="0" w:colLast="0"/>
      <w:bookmarkEnd w:id="35"/>
      <w:r>
        <w:t>b) Controversia a resolver</w:t>
      </w:r>
    </w:p>
    <w:p w:rsidR="00705170" w:rsidRDefault="001D19D5">
      <w:pPr>
        <w:spacing w:after="240"/>
      </w:pPr>
      <w:r>
        <w:t xml:space="preserve">Con el objeto de ilustrar la controversia planteada, resulta conveniente precisar que, una vez realizado el estudio de las constancias que integran el expediente en que se actúa, se desprende que </w:t>
      </w:r>
      <w:r>
        <w:rPr>
          <w:b/>
        </w:rPr>
        <w:t>LA PARTE RECURRENTE</w:t>
      </w:r>
      <w:r>
        <w:t xml:space="preserve"> solicitó a través de sus requerimientos lo siguiente:</w:t>
      </w:r>
    </w:p>
    <w:p w:rsidR="00705170" w:rsidRDefault="001D19D5">
      <w:pPr>
        <w:ind w:left="851" w:right="822"/>
      </w:pPr>
      <w:r>
        <w:t>1.- Estadística de fugas de agua registradas en el territorio municipal durante la administración 2022-2024.</w:t>
      </w:r>
    </w:p>
    <w:p w:rsidR="00705170" w:rsidRDefault="001D19D5">
      <w:pPr>
        <w:ind w:left="851" w:right="822"/>
      </w:pPr>
      <w:r>
        <w:t>2.- Monto económico que costaron las reparaciones de fugas de agua registradas en el territorio municipal durante la administración 2022-2024.</w:t>
      </w:r>
    </w:p>
    <w:p w:rsidR="00705170" w:rsidRDefault="001D19D5">
      <w:pPr>
        <w:spacing w:after="240"/>
        <w:ind w:left="851" w:right="822"/>
      </w:pPr>
      <w:r>
        <w:t>3.-Todos los formatos de informe mensual de reparaciones o mantenimiento (IMROM), enviados de manera mensual en la información contable que integra la cuenta pública durante los años 2022, 2023 y 2024.</w:t>
      </w:r>
    </w:p>
    <w:p w:rsidR="00705170" w:rsidRDefault="001D19D5">
      <w:pPr>
        <w:tabs>
          <w:tab w:val="left" w:pos="4962"/>
        </w:tabs>
      </w:pPr>
      <w:r>
        <w:lastRenderedPageBreak/>
        <w:t xml:space="preserve">Al respecto </w:t>
      </w:r>
      <w:r>
        <w:rPr>
          <w:b/>
        </w:rPr>
        <w:t>EL SUJETO OBLIGADO</w:t>
      </w:r>
      <w:r>
        <w:t xml:space="preserve"> remitió sus respuestas mediante los documentos en los cuales de manera sustancial informa a través del Director de Servicios Públicos y la Titular de la Unidad de Transparencia informan que por cuanto hace a las fugas estas son reparadas a petición de parte, en cuanto a los costos el material es absorbido por los particulares y únicamente el ayuntamiento apoya con la mano de obra, así mismo remitió información diversa a la solicitada por el particular, respectivamente.</w:t>
      </w:r>
    </w:p>
    <w:p w:rsidR="00705170" w:rsidRDefault="00705170">
      <w:pPr>
        <w:tabs>
          <w:tab w:val="left" w:pos="4962"/>
        </w:tabs>
      </w:pPr>
    </w:p>
    <w:p w:rsidR="00705170" w:rsidRDefault="001D19D5">
      <w:pPr>
        <w:tabs>
          <w:tab w:val="left" w:pos="4962"/>
        </w:tabs>
      </w:pPr>
      <w:r>
        <w:t xml:space="preserve">Conocida la respuesta </w:t>
      </w:r>
      <w:r>
        <w:rPr>
          <w:b/>
        </w:rPr>
        <w:t>LA PARTE RECURRENTE</w:t>
      </w:r>
      <w:r>
        <w:t xml:space="preserve"> presento los recursos materia de análisis, mediante los cuales de manera medular se inconformó por la entrega de la información incompleta y que la misma no correspondía con lo solicitado. </w:t>
      </w:r>
    </w:p>
    <w:p w:rsidR="00705170" w:rsidRDefault="00705170">
      <w:pPr>
        <w:tabs>
          <w:tab w:val="left" w:pos="4962"/>
        </w:tabs>
        <w:rPr>
          <w:sz w:val="18"/>
          <w:szCs w:val="18"/>
        </w:rPr>
      </w:pPr>
    </w:p>
    <w:p w:rsidR="00705170" w:rsidRDefault="001D19D5">
      <w:pPr>
        <w:widowControl w:val="0"/>
        <w:pBdr>
          <w:top w:val="nil"/>
          <w:left w:val="nil"/>
          <w:bottom w:val="nil"/>
          <w:right w:val="nil"/>
          <w:between w:val="nil"/>
        </w:pBdr>
        <w:rPr>
          <w:rFonts w:eastAsia="Palatino Linotype" w:cs="Palatino Linotype"/>
          <w:color w:val="000000"/>
          <w:szCs w:val="22"/>
        </w:rPr>
      </w:pPr>
      <w:r>
        <w:rPr>
          <w:rFonts w:eastAsia="Palatino Linotype" w:cs="Palatino Linotype"/>
          <w:color w:val="000000"/>
          <w:szCs w:val="22"/>
        </w:rPr>
        <w:t xml:space="preserve">Ante la interposición de los Recurso de Revisión </w:t>
      </w:r>
      <w:r>
        <w:rPr>
          <w:rFonts w:eastAsia="Palatino Linotype" w:cs="Palatino Linotype"/>
          <w:b/>
          <w:color w:val="000000"/>
          <w:szCs w:val="22"/>
        </w:rPr>
        <w:t xml:space="preserve">EL SUJETO OBLIGADO </w:t>
      </w:r>
      <w:r>
        <w:rPr>
          <w:rFonts w:eastAsia="Palatino Linotype" w:cs="Palatino Linotype"/>
          <w:color w:val="000000"/>
          <w:szCs w:val="22"/>
        </w:rPr>
        <w:t xml:space="preserve">rindió sus informes justificados mediante los cuales sustancialmente ratifico sus repuestas primigenias, por su parte </w:t>
      </w:r>
      <w:r>
        <w:rPr>
          <w:rFonts w:eastAsia="Palatino Linotype" w:cs="Palatino Linotype"/>
          <w:b/>
          <w:color w:val="000000"/>
          <w:szCs w:val="22"/>
        </w:rPr>
        <w:t>LA PARTE RECURRENTE</w:t>
      </w:r>
      <w:r>
        <w:rPr>
          <w:rFonts w:eastAsia="Palatino Linotype" w:cs="Palatino Linotype"/>
          <w:color w:val="000000"/>
          <w:szCs w:val="22"/>
        </w:rPr>
        <w:t xml:space="preserve"> no realizó manifestaciones, alegatos o pruebas.</w:t>
      </w:r>
    </w:p>
    <w:p w:rsidR="00705170" w:rsidRDefault="001D19D5">
      <w:pPr>
        <w:widowControl w:val="0"/>
        <w:pBdr>
          <w:top w:val="nil"/>
          <w:left w:val="nil"/>
          <w:bottom w:val="nil"/>
          <w:right w:val="nil"/>
          <w:between w:val="nil"/>
        </w:pBdr>
        <w:rPr>
          <w:rFonts w:eastAsia="Palatino Linotype" w:cs="Palatino Linotype"/>
          <w:color w:val="000000"/>
          <w:szCs w:val="22"/>
        </w:rPr>
      </w:pPr>
      <w:r>
        <w:rPr>
          <w:rFonts w:eastAsia="Palatino Linotype" w:cs="Palatino Linotype"/>
          <w:color w:val="000000"/>
          <w:szCs w:val="22"/>
        </w:rPr>
        <w:t xml:space="preserve">Por lo tanto, el estudio se centrará en el análisis de la información entregada para determinar si se colma o no con la pretensión del recurrente o deviene fundado el argumento respecto a la entrega de la información incompleta y que la entrega de esta no corresponde a lo solicitado por parte del </w:t>
      </w:r>
      <w:r>
        <w:rPr>
          <w:rFonts w:eastAsia="Palatino Linotype" w:cs="Palatino Linotype"/>
          <w:b/>
          <w:color w:val="000000"/>
          <w:szCs w:val="22"/>
        </w:rPr>
        <w:t>SUJETO OBLIGADO</w:t>
      </w:r>
      <w:r>
        <w:rPr>
          <w:rFonts w:eastAsia="Palatino Linotype" w:cs="Palatino Linotype"/>
          <w:color w:val="000000"/>
          <w:szCs w:val="22"/>
        </w:rPr>
        <w:t>.</w:t>
      </w:r>
    </w:p>
    <w:p w:rsidR="00705170" w:rsidRDefault="00705170">
      <w:pPr>
        <w:widowControl w:val="0"/>
        <w:pBdr>
          <w:top w:val="nil"/>
          <w:left w:val="nil"/>
          <w:bottom w:val="nil"/>
          <w:right w:val="nil"/>
          <w:between w:val="nil"/>
        </w:pBdr>
        <w:rPr>
          <w:rFonts w:eastAsia="Palatino Linotype" w:cs="Palatino Linotype"/>
          <w:color w:val="000000"/>
          <w:szCs w:val="22"/>
        </w:rPr>
      </w:pPr>
    </w:p>
    <w:p w:rsidR="00705170" w:rsidRDefault="001D19D5">
      <w:pPr>
        <w:pStyle w:val="Ttulo3"/>
      </w:pPr>
      <w:bookmarkStart w:id="36" w:name="_heading=h.3o7alnk" w:colFirst="0" w:colLast="0"/>
      <w:bookmarkEnd w:id="36"/>
      <w:r>
        <w:t>c) Estudio de la controversia</w:t>
      </w:r>
    </w:p>
    <w:p w:rsidR="00705170" w:rsidRDefault="001D19D5">
      <w:pPr>
        <w:ind w:right="-93"/>
      </w:pPr>
      <w:r>
        <w:t xml:space="preserve">Así una vez determinada la controversia a resolver, se procede a desagregar la solicitud en contraste con la información entregada y el informe justificado remitido por </w:t>
      </w:r>
      <w:r>
        <w:rPr>
          <w:b/>
        </w:rPr>
        <w:t>EL</w:t>
      </w:r>
      <w:r>
        <w:t xml:space="preserve"> </w:t>
      </w:r>
      <w:r>
        <w:rPr>
          <w:b/>
        </w:rPr>
        <w:t>SUJETO OBLIGADO</w:t>
      </w:r>
      <w:r>
        <w:t>.</w:t>
      </w:r>
    </w:p>
    <w:p w:rsidR="00705170" w:rsidRDefault="00705170">
      <w:pPr>
        <w:ind w:right="-93"/>
        <w:rPr>
          <w:sz w:val="18"/>
          <w:szCs w:val="18"/>
        </w:rPr>
      </w:pPr>
    </w:p>
    <w:tbl>
      <w:tblPr>
        <w:tblStyle w:val="a1"/>
        <w:tblW w:w="845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06"/>
        <w:gridCol w:w="2332"/>
        <w:gridCol w:w="2617"/>
        <w:gridCol w:w="1504"/>
      </w:tblGrid>
      <w:tr w:rsidR="00705170">
        <w:trPr>
          <w:trHeight w:val="694"/>
          <w:tblHeader/>
          <w:jc w:val="center"/>
        </w:trPr>
        <w:tc>
          <w:tcPr>
            <w:tcW w:w="2006" w:type="dxa"/>
            <w:tcBorders>
              <w:top w:val="single" w:sz="4" w:space="0" w:color="000000"/>
              <w:left w:val="single" w:sz="4" w:space="0" w:color="000000"/>
              <w:bottom w:val="single" w:sz="4" w:space="0" w:color="000000"/>
              <w:right w:val="single" w:sz="4" w:space="0" w:color="000000"/>
            </w:tcBorders>
            <w:shd w:val="clear" w:color="auto" w:fill="000000"/>
          </w:tcPr>
          <w:p w:rsidR="00705170" w:rsidRDefault="001D19D5">
            <w:pPr>
              <w:ind w:right="-93"/>
              <w:jc w:val="center"/>
              <w:rPr>
                <w:b/>
              </w:rPr>
            </w:pPr>
            <w:r>
              <w:rPr>
                <w:b/>
              </w:rPr>
              <w:lastRenderedPageBreak/>
              <w:t>SOLICITUD</w:t>
            </w:r>
          </w:p>
        </w:tc>
        <w:tc>
          <w:tcPr>
            <w:tcW w:w="2332" w:type="dxa"/>
            <w:tcBorders>
              <w:top w:val="single" w:sz="4" w:space="0" w:color="000000"/>
              <w:left w:val="single" w:sz="4" w:space="0" w:color="000000"/>
              <w:bottom w:val="single" w:sz="4" w:space="0" w:color="000000"/>
              <w:right w:val="single" w:sz="4" w:space="0" w:color="000000"/>
            </w:tcBorders>
            <w:shd w:val="clear" w:color="auto" w:fill="000000"/>
          </w:tcPr>
          <w:p w:rsidR="00705170" w:rsidRDefault="001D19D5">
            <w:pPr>
              <w:ind w:right="-93"/>
              <w:jc w:val="center"/>
              <w:rPr>
                <w:b/>
              </w:rPr>
            </w:pPr>
            <w:r>
              <w:rPr>
                <w:b/>
              </w:rPr>
              <w:t>RESPUESTA</w:t>
            </w:r>
          </w:p>
        </w:tc>
        <w:tc>
          <w:tcPr>
            <w:tcW w:w="2617" w:type="dxa"/>
            <w:tcBorders>
              <w:top w:val="single" w:sz="4" w:space="0" w:color="000000"/>
              <w:left w:val="single" w:sz="4" w:space="0" w:color="000000"/>
              <w:bottom w:val="single" w:sz="4" w:space="0" w:color="000000"/>
              <w:right w:val="single" w:sz="4" w:space="0" w:color="000000"/>
            </w:tcBorders>
            <w:shd w:val="clear" w:color="auto" w:fill="000000"/>
          </w:tcPr>
          <w:p w:rsidR="00705170" w:rsidRDefault="001D19D5">
            <w:pPr>
              <w:ind w:right="-93"/>
              <w:jc w:val="center"/>
              <w:rPr>
                <w:b/>
              </w:rPr>
            </w:pPr>
            <w:r>
              <w:rPr>
                <w:b/>
              </w:rPr>
              <w:t>INFORME JUSTIFICADO</w:t>
            </w:r>
          </w:p>
        </w:tc>
        <w:tc>
          <w:tcPr>
            <w:tcW w:w="1504" w:type="dxa"/>
            <w:tcBorders>
              <w:top w:val="single" w:sz="4" w:space="0" w:color="000000"/>
              <w:left w:val="single" w:sz="4" w:space="0" w:color="000000"/>
              <w:bottom w:val="single" w:sz="4" w:space="0" w:color="000000"/>
              <w:right w:val="single" w:sz="4" w:space="0" w:color="000000"/>
            </w:tcBorders>
            <w:shd w:val="clear" w:color="auto" w:fill="000000"/>
          </w:tcPr>
          <w:p w:rsidR="00705170" w:rsidRDefault="001D19D5">
            <w:pPr>
              <w:ind w:right="-93"/>
              <w:jc w:val="center"/>
              <w:rPr>
                <w:b/>
              </w:rPr>
            </w:pPr>
            <w:r>
              <w:rPr>
                <w:b/>
              </w:rPr>
              <w:t>COLMA SI/NO</w:t>
            </w:r>
          </w:p>
        </w:tc>
      </w:tr>
      <w:tr w:rsidR="00705170">
        <w:trPr>
          <w:jc w:val="center"/>
        </w:trPr>
        <w:tc>
          <w:tcPr>
            <w:tcW w:w="2006" w:type="dxa"/>
            <w:tcBorders>
              <w:top w:val="single" w:sz="4" w:space="0" w:color="000000"/>
              <w:left w:val="single" w:sz="4" w:space="0" w:color="000000"/>
              <w:bottom w:val="single" w:sz="4" w:space="0" w:color="000000"/>
              <w:right w:val="single" w:sz="4" w:space="0" w:color="000000"/>
            </w:tcBorders>
            <w:vAlign w:val="center"/>
          </w:tcPr>
          <w:p w:rsidR="00705170" w:rsidRDefault="001D19D5">
            <w:pPr>
              <w:ind w:right="-93"/>
              <w:jc w:val="center"/>
            </w:pPr>
            <w:bookmarkStart w:id="37" w:name="_heading=h.23ckvvd" w:colFirst="0" w:colLast="0"/>
            <w:bookmarkEnd w:id="37"/>
            <w:r>
              <w:t>1.- Estadística de fugas de agua registradas en el territorio municipal durante la administración 2022-2024.</w:t>
            </w:r>
          </w:p>
        </w:tc>
        <w:tc>
          <w:tcPr>
            <w:tcW w:w="2332" w:type="dxa"/>
            <w:tcBorders>
              <w:top w:val="single" w:sz="4" w:space="0" w:color="000000"/>
              <w:left w:val="single" w:sz="4" w:space="0" w:color="000000"/>
              <w:bottom w:val="single" w:sz="4" w:space="0" w:color="000000"/>
              <w:right w:val="single" w:sz="4" w:space="0" w:color="000000"/>
            </w:tcBorders>
            <w:vAlign w:val="center"/>
          </w:tcPr>
          <w:p w:rsidR="00705170" w:rsidRDefault="001D19D5">
            <w:pPr>
              <w:ind w:right="-93"/>
              <w:jc w:val="center"/>
            </w:pPr>
            <w:r>
              <w:t>A través del Director de Servicios Públicos únicamente se informó que estas eran reparadas a petición de parte.</w:t>
            </w:r>
          </w:p>
        </w:tc>
        <w:tc>
          <w:tcPr>
            <w:tcW w:w="2617" w:type="dxa"/>
            <w:tcBorders>
              <w:top w:val="single" w:sz="4" w:space="0" w:color="000000"/>
              <w:left w:val="single" w:sz="4" w:space="0" w:color="000000"/>
              <w:bottom w:val="single" w:sz="4" w:space="0" w:color="000000"/>
              <w:right w:val="single" w:sz="4" w:space="0" w:color="000000"/>
            </w:tcBorders>
            <w:vAlign w:val="center"/>
          </w:tcPr>
          <w:p w:rsidR="00705170" w:rsidRDefault="001D19D5">
            <w:pPr>
              <w:ind w:right="-93"/>
              <w:jc w:val="center"/>
            </w:pPr>
            <w:r>
              <w:t>Ratificó su respuesta.</w:t>
            </w:r>
          </w:p>
        </w:tc>
        <w:tc>
          <w:tcPr>
            <w:tcW w:w="1504" w:type="dxa"/>
            <w:tcBorders>
              <w:top w:val="single" w:sz="4" w:space="0" w:color="000000"/>
              <w:left w:val="single" w:sz="4" w:space="0" w:color="000000"/>
              <w:bottom w:val="single" w:sz="4" w:space="0" w:color="000000"/>
              <w:right w:val="single" w:sz="4" w:space="0" w:color="000000"/>
            </w:tcBorders>
            <w:vAlign w:val="center"/>
          </w:tcPr>
          <w:p w:rsidR="00705170" w:rsidRDefault="001D19D5">
            <w:pPr>
              <w:ind w:right="-93"/>
              <w:jc w:val="center"/>
            </w:pPr>
            <w:r>
              <w:t>NO</w:t>
            </w:r>
          </w:p>
        </w:tc>
      </w:tr>
      <w:tr w:rsidR="00705170">
        <w:trPr>
          <w:jc w:val="center"/>
        </w:trPr>
        <w:tc>
          <w:tcPr>
            <w:tcW w:w="2006" w:type="dxa"/>
            <w:tcBorders>
              <w:top w:val="single" w:sz="4" w:space="0" w:color="000000"/>
              <w:left w:val="single" w:sz="4" w:space="0" w:color="000000"/>
              <w:bottom w:val="single" w:sz="4" w:space="0" w:color="000000"/>
              <w:right w:val="single" w:sz="4" w:space="0" w:color="000000"/>
            </w:tcBorders>
            <w:vAlign w:val="center"/>
          </w:tcPr>
          <w:p w:rsidR="00705170" w:rsidRDefault="001D19D5">
            <w:pPr>
              <w:ind w:right="-93"/>
            </w:pPr>
            <w:r>
              <w:t>2.- Monto económico que costaron las reparaciones de fugas de agua registradas en el territorio municipal durante la administración 2022-2024.</w:t>
            </w:r>
          </w:p>
        </w:tc>
        <w:tc>
          <w:tcPr>
            <w:tcW w:w="2332" w:type="dxa"/>
            <w:tcBorders>
              <w:top w:val="single" w:sz="4" w:space="0" w:color="000000"/>
              <w:left w:val="single" w:sz="4" w:space="0" w:color="000000"/>
              <w:bottom w:val="single" w:sz="4" w:space="0" w:color="000000"/>
              <w:right w:val="single" w:sz="4" w:space="0" w:color="000000"/>
            </w:tcBorders>
            <w:vAlign w:val="center"/>
          </w:tcPr>
          <w:p w:rsidR="00705170" w:rsidRDefault="001D19D5">
            <w:pPr>
              <w:ind w:right="-93"/>
            </w:pPr>
            <w:r>
              <w:t>El Director de Servicios Públicos informo que el costo de los materiales es absorbido por los particulares, el ayuntamiento solo colabora con la mano de obra.</w:t>
            </w:r>
          </w:p>
        </w:tc>
        <w:tc>
          <w:tcPr>
            <w:tcW w:w="2617" w:type="dxa"/>
            <w:tcBorders>
              <w:top w:val="single" w:sz="4" w:space="0" w:color="000000"/>
              <w:left w:val="single" w:sz="4" w:space="0" w:color="000000"/>
              <w:bottom w:val="single" w:sz="4" w:space="0" w:color="000000"/>
              <w:right w:val="single" w:sz="4" w:space="0" w:color="000000"/>
            </w:tcBorders>
            <w:vAlign w:val="center"/>
          </w:tcPr>
          <w:p w:rsidR="00705170" w:rsidRDefault="001D19D5">
            <w:pPr>
              <w:ind w:right="-93"/>
              <w:jc w:val="center"/>
            </w:pPr>
            <w:r>
              <w:t xml:space="preserve">Ratificó su respuesta </w:t>
            </w:r>
          </w:p>
        </w:tc>
        <w:tc>
          <w:tcPr>
            <w:tcW w:w="1504" w:type="dxa"/>
            <w:tcBorders>
              <w:top w:val="single" w:sz="4" w:space="0" w:color="000000"/>
              <w:left w:val="single" w:sz="4" w:space="0" w:color="000000"/>
              <w:bottom w:val="single" w:sz="4" w:space="0" w:color="000000"/>
              <w:right w:val="single" w:sz="4" w:space="0" w:color="000000"/>
            </w:tcBorders>
            <w:vAlign w:val="center"/>
          </w:tcPr>
          <w:p w:rsidR="00705170" w:rsidRDefault="001D19D5">
            <w:pPr>
              <w:ind w:right="-93"/>
              <w:jc w:val="center"/>
            </w:pPr>
            <w:r>
              <w:t>SI (Actos Consentidos)</w:t>
            </w:r>
          </w:p>
        </w:tc>
      </w:tr>
      <w:tr w:rsidR="00705170">
        <w:trPr>
          <w:jc w:val="center"/>
        </w:trPr>
        <w:tc>
          <w:tcPr>
            <w:tcW w:w="2006" w:type="dxa"/>
            <w:tcBorders>
              <w:top w:val="single" w:sz="4" w:space="0" w:color="000000"/>
              <w:left w:val="single" w:sz="4" w:space="0" w:color="000000"/>
              <w:bottom w:val="single" w:sz="4" w:space="0" w:color="000000"/>
              <w:right w:val="single" w:sz="4" w:space="0" w:color="000000"/>
            </w:tcBorders>
            <w:vAlign w:val="center"/>
          </w:tcPr>
          <w:p w:rsidR="00705170" w:rsidRDefault="001D19D5">
            <w:pPr>
              <w:ind w:right="-93"/>
            </w:pPr>
            <w:r>
              <w:t>3.-Todos los formatos de informe mensual de reparaciones o mantenimiento (IMROM), enviados de manera mensual en la información contable que integra la cuenta pública durante los años 2022, 2023 y 2024.</w:t>
            </w:r>
          </w:p>
        </w:tc>
        <w:tc>
          <w:tcPr>
            <w:tcW w:w="2332" w:type="dxa"/>
            <w:tcBorders>
              <w:top w:val="single" w:sz="4" w:space="0" w:color="000000"/>
              <w:left w:val="single" w:sz="4" w:space="0" w:color="000000"/>
              <w:bottom w:val="single" w:sz="4" w:space="0" w:color="000000"/>
              <w:right w:val="single" w:sz="4" w:space="0" w:color="000000"/>
            </w:tcBorders>
            <w:vAlign w:val="center"/>
          </w:tcPr>
          <w:p w:rsidR="00705170" w:rsidRDefault="001D19D5">
            <w:pPr>
              <w:ind w:right="-93"/>
            </w:pPr>
            <w:r>
              <w:t>La Titular de la Unidad de Transparencia remitió información respecto de la cual se advierte no guarda relación con lo peticionado.</w:t>
            </w:r>
          </w:p>
        </w:tc>
        <w:tc>
          <w:tcPr>
            <w:tcW w:w="2617" w:type="dxa"/>
            <w:tcBorders>
              <w:top w:val="single" w:sz="4" w:space="0" w:color="000000"/>
              <w:left w:val="single" w:sz="4" w:space="0" w:color="000000"/>
              <w:bottom w:val="single" w:sz="4" w:space="0" w:color="000000"/>
              <w:right w:val="single" w:sz="4" w:space="0" w:color="000000"/>
            </w:tcBorders>
            <w:vAlign w:val="center"/>
          </w:tcPr>
          <w:p w:rsidR="00705170" w:rsidRDefault="001D19D5">
            <w:pPr>
              <w:ind w:right="-93"/>
              <w:jc w:val="center"/>
            </w:pPr>
            <w:r>
              <w:t>Ratificó su respuesta inicial sin embargo no guarda relación con lo solicitado.</w:t>
            </w:r>
          </w:p>
        </w:tc>
        <w:tc>
          <w:tcPr>
            <w:tcW w:w="1504" w:type="dxa"/>
            <w:tcBorders>
              <w:top w:val="single" w:sz="4" w:space="0" w:color="000000"/>
              <w:left w:val="single" w:sz="4" w:space="0" w:color="000000"/>
              <w:bottom w:val="single" w:sz="4" w:space="0" w:color="000000"/>
              <w:right w:val="single" w:sz="4" w:space="0" w:color="000000"/>
            </w:tcBorders>
            <w:vAlign w:val="center"/>
          </w:tcPr>
          <w:p w:rsidR="00705170" w:rsidRDefault="001D19D5">
            <w:pPr>
              <w:ind w:right="-93"/>
              <w:jc w:val="center"/>
            </w:pPr>
            <w:r>
              <w:t>NO</w:t>
            </w:r>
          </w:p>
        </w:tc>
      </w:tr>
    </w:tbl>
    <w:p w:rsidR="00705170" w:rsidRDefault="00705170">
      <w:pPr>
        <w:ind w:right="-93"/>
      </w:pPr>
    </w:p>
    <w:p w:rsidR="00705170" w:rsidRDefault="001D19D5">
      <w:pPr>
        <w:widowControl w:val="0"/>
        <w:pBdr>
          <w:top w:val="nil"/>
          <w:left w:val="nil"/>
          <w:bottom w:val="nil"/>
          <w:right w:val="nil"/>
          <w:between w:val="nil"/>
        </w:pBdr>
        <w:rPr>
          <w:rFonts w:eastAsia="Palatino Linotype" w:cs="Palatino Linotype"/>
          <w:color w:val="000000"/>
          <w:szCs w:val="22"/>
        </w:rPr>
      </w:pPr>
      <w:r>
        <w:rPr>
          <w:rFonts w:eastAsia="Palatino Linotype" w:cs="Palatino Linotype"/>
          <w:color w:val="000000"/>
          <w:szCs w:val="22"/>
        </w:rPr>
        <w:t xml:space="preserve">Ahora bien, como se puede advertir en la solicitud 00213/TEMAMATL/IP/2024, referente a los puntos 1 y 2, cómo puede advertirse </w:t>
      </w:r>
      <w:r>
        <w:rPr>
          <w:rFonts w:eastAsia="Palatino Linotype" w:cs="Palatino Linotype"/>
          <w:b/>
          <w:color w:val="000000"/>
          <w:szCs w:val="22"/>
        </w:rPr>
        <w:t xml:space="preserve">LA PARTE RECURRENTE </w:t>
      </w:r>
      <w:r>
        <w:rPr>
          <w:rFonts w:eastAsia="Palatino Linotype" w:cs="Palatino Linotype"/>
          <w:color w:val="000000"/>
          <w:szCs w:val="22"/>
        </w:rPr>
        <w:t xml:space="preserve">únicamente se adolece </w:t>
      </w:r>
      <w:r>
        <w:rPr>
          <w:rFonts w:eastAsia="Palatino Linotype" w:cs="Palatino Linotype"/>
          <w:color w:val="000000"/>
          <w:szCs w:val="22"/>
        </w:rPr>
        <w:lastRenderedPageBreak/>
        <w:t>respecto a la estadística de fugas de agua registradas en el territorio municipal durante la administración 2022-2024.</w:t>
      </w:r>
    </w:p>
    <w:p w:rsidR="00705170" w:rsidRDefault="001D19D5">
      <w:pPr>
        <w:spacing w:before="280" w:after="280"/>
        <w:rPr>
          <w:i/>
        </w:rPr>
      </w:pPr>
      <w:r>
        <w:t xml:space="preserve">Por lo tanto no se hará pronunciamiento sobre lo manifestado por </w:t>
      </w:r>
      <w:r>
        <w:rPr>
          <w:b/>
        </w:rPr>
        <w:t xml:space="preserve">EL SUJETO OBLIGADO </w:t>
      </w:r>
      <w:r>
        <w:t xml:space="preserve">referente al requerimiento del monto económico que costaron las reparaciones de fugas de agua registradas en el territorio municipal durante la administración 2022-2024, lo anterior de conformidad con el artículo 195 de la Ley de Transparencia y Acceso a la Información Pública del Estado de México y Municipios, en relación con el diverso 195, fracción IV, de Código de Procedimientos Administrativos del Estado de México, que establece que será improcedente el Recurso contra los actos que se hayan consentido tácitamente, entendiéndose por estos cuando el agravio no se haya promovido en el plazo señalado para el efecto, o como fue en el caso que nos ocupa, la omisión de exposición de motivos de inconformidad mismos que no fueron vertidos en su totalidad dentro del formato de Recurso de Revisión. </w:t>
      </w:r>
    </w:p>
    <w:p w:rsidR="00705170" w:rsidRDefault="001D19D5">
      <w:pPr>
        <w:spacing w:before="280" w:after="280"/>
      </w:pPr>
      <w:r>
        <w:t>Sirve de sustento, la tesis jurisprudencial número VI.3o.C. J/60, publicada en el Semanario Judicial de la Federación y su Gaceta bajo el número de registro 176,608 que a la letra dice:</w:t>
      </w:r>
    </w:p>
    <w:p w:rsidR="00705170" w:rsidRDefault="001D19D5">
      <w:pPr>
        <w:spacing w:line="240" w:lineRule="auto"/>
        <w:ind w:left="851" w:right="822"/>
        <w:rPr>
          <w:i/>
        </w:rPr>
      </w:pPr>
      <w:r>
        <w:rPr>
          <w:b/>
          <w:i/>
        </w:rPr>
        <w:t xml:space="preserve">“ACTOS CONSENTIDOS. SON LOS QUE NO SE IMPUGNAN MEDIANTE EL RECURSO IDÓNEO. </w:t>
      </w:r>
      <w:r>
        <w:rPr>
          <w:i/>
        </w:rPr>
        <w:t>Debe reputarse como consentido el acto que no se impugnó por el medio establecido por la ley, ya que si se hizo uso de otro no previsto por ella o si se hace una simple manifestación de inconformidad, tales actuaciones no producen efectos jurídicos tendientes a revocar, confirmar o modificar el acto reclamado en amparo, lo que significa consentimiento del mismo por falta de impugnación eficaz.”</w:t>
      </w:r>
    </w:p>
    <w:p w:rsidR="00705170" w:rsidRDefault="001D19D5">
      <w:pPr>
        <w:spacing w:before="280" w:after="280"/>
      </w:pPr>
      <w:r>
        <w:t>Lo anterior es así, debido a que cuando el particular</w:t>
      </w:r>
      <w:r>
        <w:rPr>
          <w:b/>
        </w:rPr>
        <w:t xml:space="preserve"> </w:t>
      </w:r>
      <w:r>
        <w:t xml:space="preserve">impugnó la respuesta del </w:t>
      </w:r>
      <w:r>
        <w:rPr>
          <w:b/>
        </w:rPr>
        <w:t>SUJETO OBLIGADO</w:t>
      </w:r>
      <w:r>
        <w:t xml:space="preserve">, y no expresó razón o motivo de inconformidad en contra de todos los rubros solicitados, dichos rubros deben declararse atendidos, pues se entiende que </w:t>
      </w:r>
      <w:r>
        <w:rPr>
          <w:b/>
        </w:rPr>
        <w:t xml:space="preserve">EL </w:t>
      </w:r>
      <w:r>
        <w:rPr>
          <w:b/>
        </w:rPr>
        <w:lastRenderedPageBreak/>
        <w:t>RECURRENTE</w:t>
      </w:r>
      <w:r>
        <w:t xml:space="preserve"> está conforme con la respuesta proporcionada por </w:t>
      </w:r>
      <w:r>
        <w:rPr>
          <w:b/>
        </w:rPr>
        <w:t>EL SUJETO OBLIGADO,</w:t>
      </w:r>
      <w:r>
        <w:t xml:space="preserve"> al no contravenir la misma. </w:t>
      </w:r>
    </w:p>
    <w:p w:rsidR="00705170" w:rsidRDefault="001D19D5">
      <w:pPr>
        <w:spacing w:before="280" w:after="280"/>
      </w:pPr>
      <w:r>
        <w:t>Atento a ello, es importante traer a contexto la Tesis Jurisprudencial Número 3ª./J.7/91, Publicada en el Semanario Judicial de la Federación y su Gaceta bajo el número de registro 174,177, que establece lo siguiente:</w:t>
      </w:r>
    </w:p>
    <w:p w:rsidR="00705170" w:rsidRDefault="001D19D5">
      <w:pPr>
        <w:spacing w:line="240" w:lineRule="auto"/>
        <w:ind w:left="851" w:right="822"/>
        <w:rPr>
          <w:i/>
        </w:rPr>
      </w:pPr>
      <w:r>
        <w:rPr>
          <w:b/>
          <w:i/>
        </w:rPr>
        <w:t xml:space="preserve">“REVISIÓN EN AMPARO. LOS RESOLUTIVOS NO COMBATIDOS DEBEN DECLARARSE FIRMES. </w:t>
      </w:r>
      <w:r>
        <w:rPr>
          <w:i/>
        </w:rPr>
        <w:t>Cuando algún resolutivo de la sentencia impugnada afecta a la recurrente, y ésta no expresa agravio en contra de las consideraciones que le sirven de base, dicho resolutivo debe declararse firme. Esto es, en el caso referido, no obstante que la materia de la revisión comprende a todos los resolutivos que afectan a la recurrente, deben declararse firmes aquéllos en contra de los cuales no se formuló agravio y dicha declaración de firmeza debe reflejarse en la parte considerativa y en los resolutivos debe confirmarse la sentencia recurrida en la parte correspondiente.”</w:t>
      </w:r>
    </w:p>
    <w:p w:rsidR="00705170" w:rsidRDefault="00705170">
      <w:pPr>
        <w:widowControl w:val="0"/>
        <w:pBdr>
          <w:top w:val="nil"/>
          <w:left w:val="nil"/>
          <w:bottom w:val="nil"/>
          <w:right w:val="nil"/>
          <w:between w:val="nil"/>
        </w:pBdr>
        <w:rPr>
          <w:rFonts w:eastAsia="Palatino Linotype" w:cs="Palatino Linotype"/>
          <w:color w:val="000000"/>
          <w:szCs w:val="22"/>
        </w:rPr>
      </w:pPr>
    </w:p>
    <w:p w:rsidR="00705170" w:rsidRDefault="001D19D5">
      <w:pPr>
        <w:widowControl w:val="0"/>
        <w:pBdr>
          <w:top w:val="nil"/>
          <w:left w:val="nil"/>
          <w:bottom w:val="nil"/>
          <w:right w:val="nil"/>
          <w:between w:val="nil"/>
        </w:pBdr>
        <w:spacing w:after="240"/>
        <w:rPr>
          <w:rFonts w:eastAsia="Palatino Linotype" w:cs="Palatino Linotype"/>
          <w:b/>
          <w:color w:val="000000"/>
          <w:szCs w:val="22"/>
        </w:rPr>
      </w:pPr>
      <w:r>
        <w:rPr>
          <w:rFonts w:eastAsia="Palatino Linotype" w:cs="Palatino Linotype"/>
          <w:color w:val="000000"/>
          <w:szCs w:val="22"/>
        </w:rPr>
        <w:t xml:space="preserve">Conforme al Criterio establecido y a todo lo antes expuesto, este Órgano Garante no entra al análisis de las partes de la respuesta del </w:t>
      </w:r>
      <w:r>
        <w:rPr>
          <w:rFonts w:eastAsia="Palatino Linotype" w:cs="Palatino Linotype"/>
          <w:b/>
          <w:color w:val="000000"/>
          <w:szCs w:val="22"/>
        </w:rPr>
        <w:t>SUJETO OBLIGADO</w:t>
      </w:r>
      <w:r>
        <w:rPr>
          <w:rFonts w:eastAsia="Palatino Linotype" w:cs="Palatino Linotype"/>
          <w:color w:val="000000"/>
          <w:szCs w:val="22"/>
        </w:rPr>
        <w:t xml:space="preserve"> que no fueron impugnadas por el Recurrente; por lo que, en el presente caso, se tiene por consentida la información solicitada consistentes en: el </w:t>
      </w:r>
      <w:r>
        <w:rPr>
          <w:rFonts w:eastAsia="Palatino Linotype" w:cs="Palatino Linotype"/>
          <w:b/>
          <w:i/>
          <w:color w:val="000000"/>
          <w:szCs w:val="22"/>
        </w:rPr>
        <w:t>monto económico que costaron las reparaciones de fugas de agua registradas en el territorio municipal durante la administración 2022-2024.</w:t>
      </w:r>
    </w:p>
    <w:p w:rsidR="00705170" w:rsidRDefault="001D19D5">
      <w:pPr>
        <w:pBdr>
          <w:top w:val="nil"/>
          <w:left w:val="nil"/>
          <w:bottom w:val="nil"/>
          <w:right w:val="nil"/>
          <w:between w:val="nil"/>
        </w:pBdr>
        <w:spacing w:after="240"/>
        <w:rPr>
          <w:rFonts w:eastAsia="Palatino Linotype" w:cs="Palatino Linotype"/>
          <w:color w:val="000000"/>
          <w:szCs w:val="22"/>
        </w:rPr>
      </w:pPr>
      <w:r>
        <w:rPr>
          <w:rFonts w:eastAsia="Palatino Linotype" w:cs="Palatino Linotype"/>
          <w:color w:val="000000"/>
          <w:szCs w:val="22"/>
        </w:rPr>
        <w:t xml:space="preserve">Continuando con el estudio respecto de la estadística de fugas de agua registradas en el territorio municipal durante la administración 2022-2024, es conveniente referir lo previsto por la Ley Orgánica Municipal en su </w:t>
      </w:r>
      <w:r w:rsidR="001743D7">
        <w:rPr>
          <w:rFonts w:eastAsia="Palatino Linotype" w:cs="Palatino Linotype"/>
          <w:color w:val="000000"/>
          <w:szCs w:val="22"/>
        </w:rPr>
        <w:t>artículo</w:t>
      </w:r>
      <w:r>
        <w:rPr>
          <w:rFonts w:eastAsia="Palatino Linotype" w:cs="Palatino Linotype"/>
          <w:color w:val="000000"/>
          <w:szCs w:val="22"/>
        </w:rPr>
        <w:t xml:space="preserve"> 125 que refiere lo siguiente:</w:t>
      </w:r>
    </w:p>
    <w:p w:rsidR="00705170" w:rsidRDefault="001D19D5">
      <w:pPr>
        <w:pBdr>
          <w:top w:val="nil"/>
          <w:left w:val="nil"/>
          <w:bottom w:val="nil"/>
          <w:right w:val="nil"/>
          <w:between w:val="nil"/>
        </w:pBdr>
        <w:spacing w:line="240" w:lineRule="auto"/>
        <w:ind w:left="851" w:right="822"/>
        <w:rPr>
          <w:rFonts w:eastAsia="Palatino Linotype" w:cs="Palatino Linotype"/>
          <w:i/>
          <w:color w:val="000000"/>
          <w:szCs w:val="22"/>
        </w:rPr>
      </w:pPr>
      <w:r>
        <w:rPr>
          <w:rFonts w:eastAsia="Palatino Linotype" w:cs="Palatino Linotype"/>
          <w:b/>
          <w:i/>
          <w:color w:val="000000"/>
          <w:szCs w:val="22"/>
        </w:rPr>
        <w:t>Artículo 125.-</w:t>
      </w:r>
      <w:r>
        <w:rPr>
          <w:rFonts w:eastAsia="Palatino Linotype" w:cs="Palatino Linotype"/>
          <w:i/>
          <w:color w:val="000000"/>
          <w:szCs w:val="22"/>
        </w:rPr>
        <w:t xml:space="preserve"> Los municipios tendrán a su cargo la prestación, explotación, administración y conservación de los servicios públicos municipales, considerándose enunciativa y no limitativamente, los siguientes:</w:t>
      </w:r>
    </w:p>
    <w:p w:rsidR="00705170" w:rsidRDefault="001D19D5">
      <w:pPr>
        <w:pBdr>
          <w:top w:val="nil"/>
          <w:left w:val="nil"/>
          <w:bottom w:val="nil"/>
          <w:right w:val="nil"/>
          <w:between w:val="nil"/>
        </w:pBdr>
        <w:spacing w:after="240" w:line="240" w:lineRule="auto"/>
        <w:ind w:left="851" w:right="822"/>
        <w:rPr>
          <w:rFonts w:eastAsia="Palatino Linotype" w:cs="Palatino Linotype"/>
          <w:b/>
          <w:i/>
          <w:color w:val="000000"/>
          <w:szCs w:val="22"/>
        </w:rPr>
      </w:pPr>
      <w:r>
        <w:rPr>
          <w:rFonts w:eastAsia="Palatino Linotype" w:cs="Palatino Linotype"/>
          <w:i/>
          <w:color w:val="000000"/>
          <w:sz w:val="18"/>
          <w:szCs w:val="18"/>
        </w:rPr>
        <w:lastRenderedPageBreak/>
        <w:br/>
      </w:r>
      <w:r>
        <w:rPr>
          <w:rFonts w:eastAsia="Palatino Linotype" w:cs="Palatino Linotype"/>
          <w:b/>
          <w:i/>
          <w:color w:val="000000"/>
          <w:szCs w:val="22"/>
        </w:rPr>
        <w:t>I. Agua potable, alcantarillado, saneamiento y aguas residuales;</w:t>
      </w:r>
    </w:p>
    <w:p w:rsidR="00705170" w:rsidRDefault="001D19D5">
      <w:pPr>
        <w:pBdr>
          <w:top w:val="nil"/>
          <w:left w:val="nil"/>
          <w:bottom w:val="nil"/>
          <w:right w:val="nil"/>
          <w:between w:val="nil"/>
        </w:pBdr>
        <w:spacing w:after="240" w:line="240" w:lineRule="auto"/>
        <w:ind w:left="851" w:right="822"/>
        <w:jc w:val="left"/>
        <w:rPr>
          <w:rFonts w:eastAsia="Palatino Linotype" w:cs="Palatino Linotype"/>
          <w:i/>
          <w:color w:val="000000"/>
          <w:szCs w:val="22"/>
        </w:rPr>
      </w:pPr>
      <w:r>
        <w:rPr>
          <w:rFonts w:eastAsia="Palatino Linotype" w:cs="Palatino Linotype"/>
          <w:i/>
          <w:color w:val="000000"/>
          <w:szCs w:val="22"/>
        </w:rPr>
        <w:t>(…)</w:t>
      </w:r>
    </w:p>
    <w:p w:rsidR="00705170" w:rsidRDefault="001D19D5">
      <w:pPr>
        <w:pBdr>
          <w:top w:val="nil"/>
          <w:left w:val="nil"/>
          <w:bottom w:val="nil"/>
          <w:right w:val="nil"/>
          <w:between w:val="nil"/>
        </w:pBdr>
        <w:spacing w:after="240" w:line="240" w:lineRule="auto"/>
        <w:ind w:left="851" w:right="822"/>
        <w:jc w:val="left"/>
        <w:rPr>
          <w:rFonts w:eastAsia="Palatino Linotype" w:cs="Palatino Linotype"/>
          <w:i/>
          <w:color w:val="000000"/>
          <w:szCs w:val="22"/>
        </w:rPr>
      </w:pPr>
      <w:r>
        <w:rPr>
          <w:rFonts w:eastAsia="Palatino Linotype" w:cs="Palatino Linotype"/>
          <w:b/>
          <w:i/>
          <w:color w:val="000000"/>
          <w:szCs w:val="22"/>
        </w:rPr>
        <w:t>Artículo 126</w:t>
      </w:r>
      <w:r>
        <w:rPr>
          <w:rFonts w:eastAsia="Palatino Linotype" w:cs="Palatino Linotype"/>
          <w:i/>
          <w:color w:val="000000"/>
          <w:szCs w:val="22"/>
        </w:rPr>
        <w:t>.- La prestación de los servicios públicos deberá realizarse por los ayuntamientos, sus unidades administrativas y organismos auxiliares, quienes podrán coordinarse con el Estado o con otros municipios para la eficacia en su prestación.</w:t>
      </w:r>
    </w:p>
    <w:p w:rsidR="00705170" w:rsidRDefault="001D19D5">
      <w:pPr>
        <w:pBdr>
          <w:top w:val="nil"/>
          <w:left w:val="nil"/>
          <w:bottom w:val="nil"/>
          <w:right w:val="nil"/>
          <w:between w:val="nil"/>
        </w:pBdr>
        <w:spacing w:after="240" w:line="240" w:lineRule="auto"/>
        <w:ind w:left="851" w:right="822"/>
        <w:jc w:val="left"/>
        <w:rPr>
          <w:rFonts w:eastAsia="Palatino Linotype" w:cs="Palatino Linotype"/>
          <w:i/>
          <w:color w:val="000000"/>
          <w:szCs w:val="22"/>
        </w:rPr>
      </w:pPr>
      <w:r>
        <w:rPr>
          <w:rFonts w:eastAsia="Palatino Linotype" w:cs="Palatino Linotype"/>
          <w:i/>
          <w:color w:val="000000"/>
          <w:szCs w:val="22"/>
        </w:rPr>
        <w:t>Podrá concesionarse a terceros la prestación de servicios públicos municipales, a excepción de los de Seguridad Pública y Tránsito, prefiriéndose en igualdad de circunstancias a vecinos del municipio.</w:t>
      </w:r>
    </w:p>
    <w:p w:rsidR="00705170" w:rsidRDefault="001D19D5">
      <w:pPr>
        <w:pBdr>
          <w:top w:val="nil"/>
          <w:left w:val="nil"/>
          <w:bottom w:val="nil"/>
          <w:right w:val="nil"/>
          <w:between w:val="nil"/>
        </w:pBdr>
        <w:spacing w:after="240"/>
        <w:rPr>
          <w:rFonts w:eastAsia="Palatino Linotype" w:cs="Palatino Linotype"/>
          <w:color w:val="1B1B1A"/>
          <w:szCs w:val="22"/>
        </w:rPr>
      </w:pPr>
      <w:r>
        <w:rPr>
          <w:rFonts w:eastAsia="Palatino Linotype" w:cs="Palatino Linotype"/>
          <w:color w:val="000000"/>
          <w:szCs w:val="22"/>
        </w:rPr>
        <w:t>Por su parte los artículos 42 y 44 del B</w:t>
      </w:r>
      <w:r>
        <w:rPr>
          <w:rFonts w:eastAsia="Palatino Linotype" w:cs="Palatino Linotype"/>
          <w:color w:val="1B1B1A"/>
          <w:szCs w:val="22"/>
        </w:rPr>
        <w:t>ando Municipal de Policía y Gobierno de Temamatla, Estado de México, para el año dos mil veinticuatro, que refieren lo siguiente:</w:t>
      </w:r>
    </w:p>
    <w:p w:rsidR="00705170" w:rsidRDefault="001D19D5">
      <w:pPr>
        <w:pBdr>
          <w:top w:val="nil"/>
          <w:left w:val="nil"/>
          <w:bottom w:val="nil"/>
          <w:right w:val="nil"/>
          <w:between w:val="nil"/>
        </w:pBdr>
        <w:spacing w:line="240" w:lineRule="auto"/>
        <w:ind w:left="851" w:right="822"/>
        <w:rPr>
          <w:rFonts w:eastAsia="Palatino Linotype" w:cs="Palatino Linotype"/>
          <w:i/>
          <w:color w:val="000000"/>
          <w:szCs w:val="22"/>
        </w:rPr>
      </w:pPr>
      <w:r>
        <w:rPr>
          <w:rFonts w:eastAsia="Palatino Linotype" w:cs="Palatino Linotype"/>
          <w:b/>
          <w:i/>
          <w:color w:val="000000"/>
          <w:szCs w:val="22"/>
        </w:rPr>
        <w:t xml:space="preserve">Artículo 42.- </w:t>
      </w:r>
      <w:r>
        <w:rPr>
          <w:rFonts w:eastAsia="Palatino Linotype" w:cs="Palatino Linotype"/>
          <w:i/>
          <w:color w:val="000000"/>
          <w:szCs w:val="22"/>
        </w:rPr>
        <w:t>La Administración Pública del Municipio de Temamatla, Estado de México, ejecuta las obligaciones de ley y decisiones del Ayuntamiento, bajo una composición básica estructural y funcional, conformada por:</w:t>
      </w:r>
    </w:p>
    <w:p w:rsidR="00705170" w:rsidRDefault="001D19D5">
      <w:pPr>
        <w:pBdr>
          <w:top w:val="nil"/>
          <w:left w:val="nil"/>
          <w:bottom w:val="nil"/>
          <w:right w:val="nil"/>
          <w:between w:val="nil"/>
        </w:pBdr>
        <w:spacing w:line="240" w:lineRule="auto"/>
        <w:ind w:left="851" w:right="822"/>
        <w:rPr>
          <w:rFonts w:eastAsia="Palatino Linotype" w:cs="Palatino Linotype"/>
          <w:i/>
          <w:color w:val="000000"/>
          <w:szCs w:val="22"/>
        </w:rPr>
      </w:pPr>
      <w:r>
        <w:rPr>
          <w:rFonts w:eastAsia="Palatino Linotype" w:cs="Palatino Linotype"/>
          <w:i/>
          <w:color w:val="000000"/>
          <w:szCs w:val="22"/>
        </w:rPr>
        <w:t>I. Dependencias Administrativas;</w:t>
      </w:r>
    </w:p>
    <w:p w:rsidR="00705170" w:rsidRDefault="001D19D5">
      <w:pPr>
        <w:pBdr>
          <w:top w:val="nil"/>
          <w:left w:val="nil"/>
          <w:bottom w:val="nil"/>
          <w:right w:val="nil"/>
          <w:between w:val="nil"/>
        </w:pBdr>
        <w:spacing w:line="240" w:lineRule="auto"/>
        <w:ind w:left="851" w:right="822"/>
        <w:rPr>
          <w:rFonts w:eastAsia="Palatino Linotype" w:cs="Palatino Linotype"/>
          <w:i/>
          <w:color w:val="000000"/>
          <w:szCs w:val="22"/>
        </w:rPr>
      </w:pPr>
      <w:r>
        <w:rPr>
          <w:rFonts w:eastAsia="Palatino Linotype" w:cs="Palatino Linotype"/>
          <w:i/>
          <w:color w:val="000000"/>
          <w:szCs w:val="22"/>
        </w:rPr>
        <w:t>II. Organismos Descentralizados;</w:t>
      </w:r>
    </w:p>
    <w:p w:rsidR="00705170" w:rsidRDefault="001D19D5">
      <w:pPr>
        <w:pBdr>
          <w:top w:val="nil"/>
          <w:left w:val="nil"/>
          <w:bottom w:val="nil"/>
          <w:right w:val="nil"/>
          <w:between w:val="nil"/>
        </w:pBdr>
        <w:spacing w:line="240" w:lineRule="auto"/>
        <w:ind w:left="851" w:right="822"/>
        <w:rPr>
          <w:rFonts w:eastAsia="Palatino Linotype" w:cs="Palatino Linotype"/>
          <w:i/>
          <w:color w:val="000000"/>
          <w:szCs w:val="22"/>
        </w:rPr>
      </w:pPr>
      <w:r>
        <w:rPr>
          <w:rFonts w:eastAsia="Palatino Linotype" w:cs="Palatino Linotype"/>
          <w:i/>
          <w:color w:val="000000"/>
          <w:szCs w:val="22"/>
        </w:rPr>
        <w:t>III. Órganos Desconcentrados;</w:t>
      </w:r>
    </w:p>
    <w:p w:rsidR="00705170" w:rsidRDefault="001D19D5">
      <w:pPr>
        <w:pBdr>
          <w:top w:val="nil"/>
          <w:left w:val="nil"/>
          <w:bottom w:val="nil"/>
          <w:right w:val="nil"/>
          <w:between w:val="nil"/>
        </w:pBdr>
        <w:spacing w:line="240" w:lineRule="auto"/>
        <w:ind w:left="851" w:right="822"/>
        <w:rPr>
          <w:rFonts w:eastAsia="Palatino Linotype" w:cs="Palatino Linotype"/>
          <w:i/>
          <w:color w:val="000000"/>
          <w:szCs w:val="22"/>
        </w:rPr>
      </w:pPr>
      <w:r>
        <w:rPr>
          <w:rFonts w:eastAsia="Palatino Linotype" w:cs="Palatino Linotype"/>
          <w:i/>
          <w:color w:val="000000"/>
          <w:szCs w:val="22"/>
        </w:rPr>
        <w:t>IV. Órganos Autónomos;</w:t>
      </w:r>
    </w:p>
    <w:p w:rsidR="00705170" w:rsidRDefault="001D19D5">
      <w:pPr>
        <w:pBdr>
          <w:top w:val="nil"/>
          <w:left w:val="nil"/>
          <w:bottom w:val="nil"/>
          <w:right w:val="nil"/>
          <w:between w:val="nil"/>
        </w:pBdr>
        <w:spacing w:line="240" w:lineRule="auto"/>
        <w:ind w:left="851" w:right="822"/>
        <w:rPr>
          <w:rFonts w:eastAsia="Palatino Linotype" w:cs="Palatino Linotype"/>
          <w:i/>
          <w:color w:val="000000"/>
          <w:szCs w:val="22"/>
        </w:rPr>
      </w:pPr>
      <w:r>
        <w:rPr>
          <w:rFonts w:eastAsia="Palatino Linotype" w:cs="Palatino Linotype"/>
          <w:i/>
          <w:color w:val="000000"/>
          <w:szCs w:val="22"/>
        </w:rPr>
        <w:t>V. Autoridades Auxiliares del Ayuntamiento; y</w:t>
      </w:r>
    </w:p>
    <w:p w:rsidR="00705170" w:rsidRDefault="001D19D5">
      <w:pPr>
        <w:pBdr>
          <w:top w:val="nil"/>
          <w:left w:val="nil"/>
          <w:bottom w:val="nil"/>
          <w:right w:val="nil"/>
          <w:between w:val="nil"/>
        </w:pBdr>
        <w:spacing w:line="240" w:lineRule="auto"/>
        <w:ind w:left="851" w:right="822"/>
        <w:rPr>
          <w:rFonts w:eastAsia="Palatino Linotype" w:cs="Palatino Linotype"/>
          <w:i/>
          <w:color w:val="000000"/>
          <w:szCs w:val="22"/>
        </w:rPr>
      </w:pPr>
      <w:r>
        <w:rPr>
          <w:rFonts w:eastAsia="Palatino Linotype" w:cs="Palatino Linotype"/>
          <w:i/>
          <w:color w:val="000000"/>
          <w:szCs w:val="22"/>
        </w:rPr>
        <w:t>VI. Organizaciones de Participación Ciudadana.</w:t>
      </w:r>
    </w:p>
    <w:p w:rsidR="00705170" w:rsidRDefault="00705170">
      <w:pPr>
        <w:pBdr>
          <w:top w:val="nil"/>
          <w:left w:val="nil"/>
          <w:bottom w:val="nil"/>
          <w:right w:val="nil"/>
          <w:between w:val="nil"/>
        </w:pBdr>
        <w:spacing w:line="240" w:lineRule="auto"/>
        <w:ind w:left="851" w:right="822"/>
        <w:jc w:val="left"/>
        <w:rPr>
          <w:rFonts w:eastAsia="Palatino Linotype" w:cs="Palatino Linotype"/>
          <w:i/>
          <w:color w:val="000000"/>
          <w:szCs w:val="22"/>
        </w:rPr>
      </w:pPr>
    </w:p>
    <w:p w:rsidR="00705170" w:rsidRDefault="001D19D5">
      <w:pPr>
        <w:pBdr>
          <w:top w:val="nil"/>
          <w:left w:val="nil"/>
          <w:bottom w:val="nil"/>
          <w:right w:val="nil"/>
          <w:between w:val="nil"/>
        </w:pBdr>
        <w:spacing w:line="240" w:lineRule="auto"/>
        <w:ind w:left="851" w:right="822"/>
        <w:rPr>
          <w:rFonts w:eastAsia="Palatino Linotype" w:cs="Palatino Linotype"/>
          <w:i/>
          <w:color w:val="000000"/>
          <w:szCs w:val="22"/>
        </w:rPr>
      </w:pPr>
      <w:r>
        <w:rPr>
          <w:rFonts w:eastAsia="Palatino Linotype" w:cs="Palatino Linotype"/>
          <w:b/>
          <w:i/>
          <w:color w:val="000000"/>
          <w:szCs w:val="22"/>
        </w:rPr>
        <w:t>Artículo 44</w:t>
      </w:r>
      <w:r>
        <w:rPr>
          <w:rFonts w:eastAsia="Palatino Linotype" w:cs="Palatino Linotype"/>
          <w:i/>
          <w:color w:val="000000"/>
          <w:szCs w:val="22"/>
        </w:rPr>
        <w:t>. - Para el despacho, estudio y planeación de los diversos asuntos de la Administración Pública Municipal centralizada del Ayuntamiento de Temamatla, Estado de México contará con las siguientes Dependencias Administrativas Centralizadas:</w:t>
      </w:r>
    </w:p>
    <w:p w:rsidR="00705170" w:rsidRDefault="001D19D5">
      <w:pPr>
        <w:pBdr>
          <w:top w:val="nil"/>
          <w:left w:val="nil"/>
          <w:bottom w:val="nil"/>
          <w:right w:val="nil"/>
          <w:between w:val="nil"/>
        </w:pBdr>
        <w:spacing w:line="240" w:lineRule="auto"/>
        <w:ind w:left="851" w:right="822"/>
        <w:rPr>
          <w:rFonts w:eastAsia="Palatino Linotype" w:cs="Palatino Linotype"/>
          <w:i/>
          <w:color w:val="000000"/>
          <w:szCs w:val="22"/>
        </w:rPr>
      </w:pPr>
      <w:r>
        <w:rPr>
          <w:rFonts w:eastAsia="Palatino Linotype" w:cs="Palatino Linotype"/>
          <w:i/>
          <w:color w:val="000000"/>
          <w:szCs w:val="22"/>
        </w:rPr>
        <w:t>I. Secretaría del Ayuntamiento;</w:t>
      </w:r>
    </w:p>
    <w:p w:rsidR="00705170" w:rsidRDefault="001D19D5">
      <w:pPr>
        <w:pBdr>
          <w:top w:val="nil"/>
          <w:left w:val="nil"/>
          <w:bottom w:val="nil"/>
          <w:right w:val="nil"/>
          <w:between w:val="nil"/>
        </w:pBdr>
        <w:spacing w:line="240" w:lineRule="auto"/>
        <w:ind w:left="851" w:right="822"/>
        <w:rPr>
          <w:rFonts w:eastAsia="Palatino Linotype" w:cs="Palatino Linotype"/>
          <w:i/>
          <w:color w:val="000000"/>
          <w:szCs w:val="22"/>
        </w:rPr>
      </w:pPr>
      <w:r>
        <w:rPr>
          <w:rFonts w:eastAsia="Palatino Linotype" w:cs="Palatino Linotype"/>
          <w:i/>
          <w:color w:val="000000"/>
          <w:szCs w:val="22"/>
        </w:rPr>
        <w:t>II. Tesorería Municipal;</w:t>
      </w:r>
    </w:p>
    <w:p w:rsidR="00705170" w:rsidRDefault="001D19D5">
      <w:pPr>
        <w:pBdr>
          <w:top w:val="nil"/>
          <w:left w:val="nil"/>
          <w:bottom w:val="nil"/>
          <w:right w:val="nil"/>
          <w:between w:val="nil"/>
        </w:pBdr>
        <w:spacing w:line="240" w:lineRule="auto"/>
        <w:ind w:left="851" w:right="822"/>
        <w:rPr>
          <w:rFonts w:eastAsia="Palatino Linotype" w:cs="Palatino Linotype"/>
          <w:i/>
          <w:color w:val="000000"/>
          <w:szCs w:val="22"/>
        </w:rPr>
      </w:pPr>
      <w:r>
        <w:rPr>
          <w:rFonts w:eastAsia="Palatino Linotype" w:cs="Palatino Linotype"/>
          <w:i/>
          <w:color w:val="000000"/>
          <w:szCs w:val="22"/>
        </w:rPr>
        <w:t>III. Dirección de Obra Pública, Desarrollo Urbano y Ecología;</w:t>
      </w:r>
    </w:p>
    <w:p w:rsidR="00705170" w:rsidRDefault="001D19D5">
      <w:pPr>
        <w:pBdr>
          <w:top w:val="nil"/>
          <w:left w:val="nil"/>
          <w:bottom w:val="nil"/>
          <w:right w:val="nil"/>
          <w:between w:val="nil"/>
        </w:pBdr>
        <w:spacing w:line="240" w:lineRule="auto"/>
        <w:ind w:left="851" w:right="822"/>
        <w:rPr>
          <w:rFonts w:eastAsia="Palatino Linotype" w:cs="Palatino Linotype"/>
          <w:i/>
          <w:color w:val="000000"/>
          <w:szCs w:val="22"/>
        </w:rPr>
      </w:pPr>
      <w:r>
        <w:rPr>
          <w:rFonts w:eastAsia="Palatino Linotype" w:cs="Palatino Linotype"/>
          <w:i/>
          <w:color w:val="000000"/>
          <w:szCs w:val="22"/>
        </w:rPr>
        <w:t>IV. Dirección de Desarrollo Económico;</w:t>
      </w:r>
    </w:p>
    <w:p w:rsidR="00705170" w:rsidRDefault="001D19D5">
      <w:pPr>
        <w:pBdr>
          <w:top w:val="nil"/>
          <w:left w:val="nil"/>
          <w:bottom w:val="nil"/>
          <w:right w:val="nil"/>
          <w:between w:val="nil"/>
        </w:pBdr>
        <w:spacing w:line="240" w:lineRule="auto"/>
        <w:ind w:left="851" w:right="822"/>
        <w:rPr>
          <w:rFonts w:eastAsia="Palatino Linotype" w:cs="Palatino Linotype"/>
          <w:i/>
          <w:color w:val="000000"/>
          <w:szCs w:val="22"/>
        </w:rPr>
      </w:pPr>
      <w:r>
        <w:rPr>
          <w:rFonts w:eastAsia="Palatino Linotype" w:cs="Palatino Linotype"/>
          <w:i/>
          <w:color w:val="000000"/>
          <w:szCs w:val="22"/>
        </w:rPr>
        <w:t>V. Contraloría Interna Municipal;</w:t>
      </w:r>
    </w:p>
    <w:p w:rsidR="00705170" w:rsidRDefault="001D19D5">
      <w:pPr>
        <w:pBdr>
          <w:top w:val="nil"/>
          <w:left w:val="nil"/>
          <w:bottom w:val="nil"/>
          <w:right w:val="nil"/>
          <w:between w:val="nil"/>
        </w:pBdr>
        <w:spacing w:line="240" w:lineRule="auto"/>
        <w:ind w:left="851" w:right="822"/>
        <w:rPr>
          <w:rFonts w:eastAsia="Palatino Linotype" w:cs="Palatino Linotype"/>
          <w:i/>
          <w:color w:val="000000"/>
          <w:szCs w:val="22"/>
        </w:rPr>
      </w:pPr>
      <w:r>
        <w:rPr>
          <w:rFonts w:eastAsia="Palatino Linotype" w:cs="Palatino Linotype"/>
          <w:i/>
          <w:color w:val="000000"/>
          <w:szCs w:val="22"/>
        </w:rPr>
        <w:t>VI. Dirección de Servicios Públicos;</w:t>
      </w:r>
    </w:p>
    <w:p w:rsidR="00705170" w:rsidRDefault="001D19D5">
      <w:pPr>
        <w:pBdr>
          <w:top w:val="nil"/>
          <w:left w:val="nil"/>
          <w:bottom w:val="nil"/>
          <w:right w:val="nil"/>
          <w:between w:val="nil"/>
        </w:pBdr>
        <w:spacing w:line="240" w:lineRule="auto"/>
        <w:ind w:left="851" w:right="822"/>
        <w:rPr>
          <w:rFonts w:eastAsia="Palatino Linotype" w:cs="Palatino Linotype"/>
          <w:i/>
          <w:color w:val="000000"/>
          <w:szCs w:val="22"/>
        </w:rPr>
      </w:pPr>
      <w:r>
        <w:rPr>
          <w:rFonts w:eastAsia="Palatino Linotype" w:cs="Palatino Linotype"/>
          <w:i/>
          <w:color w:val="000000"/>
          <w:szCs w:val="22"/>
        </w:rPr>
        <w:lastRenderedPageBreak/>
        <w:t>VII. Dirección de Seguridad Pública Municipal;</w:t>
      </w:r>
    </w:p>
    <w:p w:rsidR="00705170" w:rsidRDefault="001D19D5">
      <w:pPr>
        <w:pBdr>
          <w:top w:val="nil"/>
          <w:left w:val="nil"/>
          <w:bottom w:val="nil"/>
          <w:right w:val="nil"/>
          <w:between w:val="nil"/>
        </w:pBdr>
        <w:spacing w:line="240" w:lineRule="auto"/>
        <w:ind w:left="851" w:right="822"/>
        <w:jc w:val="left"/>
        <w:rPr>
          <w:rFonts w:eastAsia="Palatino Linotype" w:cs="Palatino Linotype"/>
          <w:i/>
          <w:color w:val="000000"/>
          <w:szCs w:val="22"/>
        </w:rPr>
      </w:pPr>
      <w:r>
        <w:rPr>
          <w:rFonts w:eastAsia="Palatino Linotype" w:cs="Palatino Linotype"/>
          <w:i/>
          <w:color w:val="000000"/>
          <w:szCs w:val="22"/>
        </w:rPr>
        <w:t>VIII. Dirección de Administración;</w:t>
      </w:r>
    </w:p>
    <w:p w:rsidR="00705170" w:rsidRDefault="001D19D5">
      <w:pPr>
        <w:pBdr>
          <w:top w:val="nil"/>
          <w:left w:val="nil"/>
          <w:bottom w:val="nil"/>
          <w:right w:val="nil"/>
          <w:between w:val="nil"/>
        </w:pBdr>
        <w:spacing w:line="240" w:lineRule="auto"/>
        <w:ind w:left="851" w:right="822"/>
        <w:jc w:val="left"/>
        <w:rPr>
          <w:rFonts w:eastAsia="Palatino Linotype" w:cs="Palatino Linotype"/>
          <w:i/>
          <w:color w:val="000000"/>
          <w:szCs w:val="22"/>
        </w:rPr>
      </w:pPr>
      <w:r>
        <w:rPr>
          <w:rFonts w:eastAsia="Palatino Linotype" w:cs="Palatino Linotype"/>
          <w:i/>
          <w:color w:val="000000"/>
          <w:szCs w:val="22"/>
        </w:rPr>
        <w:t>IX. Dirección de Desarrollo Social;</w:t>
      </w:r>
    </w:p>
    <w:p w:rsidR="00705170" w:rsidRDefault="001D19D5">
      <w:pPr>
        <w:pBdr>
          <w:top w:val="nil"/>
          <w:left w:val="nil"/>
          <w:bottom w:val="nil"/>
          <w:right w:val="nil"/>
          <w:between w:val="nil"/>
        </w:pBdr>
        <w:spacing w:line="240" w:lineRule="auto"/>
        <w:ind w:left="851" w:right="822"/>
        <w:jc w:val="left"/>
        <w:rPr>
          <w:rFonts w:eastAsia="Palatino Linotype" w:cs="Palatino Linotype"/>
          <w:i/>
          <w:color w:val="000000"/>
          <w:szCs w:val="22"/>
        </w:rPr>
      </w:pPr>
      <w:r>
        <w:rPr>
          <w:rFonts w:eastAsia="Palatino Linotype" w:cs="Palatino Linotype"/>
          <w:i/>
          <w:color w:val="000000"/>
          <w:szCs w:val="22"/>
        </w:rPr>
        <w:t>X. Dirección de Educación y Cultura;</w:t>
      </w:r>
    </w:p>
    <w:p w:rsidR="00705170" w:rsidRDefault="001D19D5">
      <w:pPr>
        <w:pBdr>
          <w:top w:val="nil"/>
          <w:left w:val="nil"/>
          <w:bottom w:val="nil"/>
          <w:right w:val="nil"/>
          <w:between w:val="nil"/>
        </w:pBdr>
        <w:spacing w:line="240" w:lineRule="auto"/>
        <w:ind w:left="851" w:right="822"/>
        <w:jc w:val="left"/>
        <w:rPr>
          <w:rFonts w:eastAsia="Palatino Linotype" w:cs="Palatino Linotype"/>
          <w:i/>
          <w:color w:val="000000"/>
          <w:szCs w:val="22"/>
        </w:rPr>
      </w:pPr>
      <w:r>
        <w:rPr>
          <w:rFonts w:eastAsia="Palatino Linotype" w:cs="Palatino Linotype"/>
          <w:i/>
          <w:color w:val="000000"/>
          <w:szCs w:val="22"/>
        </w:rPr>
        <w:t>XI. Dirección Jurídica Municipal;</w:t>
      </w:r>
    </w:p>
    <w:p w:rsidR="00705170" w:rsidRDefault="001D19D5">
      <w:pPr>
        <w:pBdr>
          <w:top w:val="nil"/>
          <w:left w:val="nil"/>
          <w:bottom w:val="nil"/>
          <w:right w:val="nil"/>
          <w:between w:val="nil"/>
        </w:pBdr>
        <w:spacing w:line="240" w:lineRule="auto"/>
        <w:ind w:left="851" w:right="822"/>
        <w:jc w:val="left"/>
        <w:rPr>
          <w:rFonts w:eastAsia="Palatino Linotype" w:cs="Palatino Linotype"/>
          <w:i/>
          <w:color w:val="000000"/>
          <w:szCs w:val="22"/>
        </w:rPr>
      </w:pPr>
      <w:r>
        <w:rPr>
          <w:rFonts w:eastAsia="Palatino Linotype" w:cs="Palatino Linotype"/>
          <w:i/>
          <w:color w:val="000000"/>
          <w:szCs w:val="22"/>
        </w:rPr>
        <w:t>XII. Dirección de Salud;</w:t>
      </w:r>
    </w:p>
    <w:p w:rsidR="00705170" w:rsidRDefault="001D19D5">
      <w:pPr>
        <w:pBdr>
          <w:top w:val="nil"/>
          <w:left w:val="nil"/>
          <w:bottom w:val="nil"/>
          <w:right w:val="nil"/>
          <w:between w:val="nil"/>
        </w:pBdr>
        <w:spacing w:line="240" w:lineRule="auto"/>
        <w:ind w:left="851" w:right="822"/>
        <w:jc w:val="left"/>
        <w:rPr>
          <w:rFonts w:eastAsia="Palatino Linotype" w:cs="Palatino Linotype"/>
          <w:i/>
          <w:color w:val="000000"/>
          <w:szCs w:val="22"/>
        </w:rPr>
      </w:pPr>
      <w:r>
        <w:rPr>
          <w:rFonts w:eastAsia="Palatino Linotype" w:cs="Palatino Linotype"/>
          <w:i/>
          <w:color w:val="000000"/>
          <w:szCs w:val="22"/>
        </w:rPr>
        <w:t>XIII. Oficialía Mediadora, Conciliadora y Calificadora;</w:t>
      </w:r>
    </w:p>
    <w:p w:rsidR="00705170" w:rsidRDefault="001D19D5">
      <w:pPr>
        <w:pBdr>
          <w:top w:val="nil"/>
          <w:left w:val="nil"/>
          <w:bottom w:val="nil"/>
          <w:right w:val="nil"/>
          <w:between w:val="nil"/>
        </w:pBdr>
        <w:spacing w:line="240" w:lineRule="auto"/>
        <w:ind w:left="851" w:right="822"/>
        <w:jc w:val="left"/>
        <w:rPr>
          <w:rFonts w:eastAsia="Palatino Linotype" w:cs="Palatino Linotype"/>
          <w:i/>
          <w:color w:val="000000"/>
          <w:szCs w:val="22"/>
        </w:rPr>
      </w:pPr>
      <w:r>
        <w:rPr>
          <w:rFonts w:eastAsia="Palatino Linotype" w:cs="Palatino Linotype"/>
          <w:i/>
          <w:color w:val="000000"/>
          <w:szCs w:val="22"/>
        </w:rPr>
        <w:t>XIV. Dirección General de Mejora Regulatoria e Información, Planeación,</w:t>
      </w:r>
    </w:p>
    <w:p w:rsidR="00705170" w:rsidRDefault="001D19D5">
      <w:pPr>
        <w:pBdr>
          <w:top w:val="nil"/>
          <w:left w:val="nil"/>
          <w:bottom w:val="nil"/>
          <w:right w:val="nil"/>
          <w:between w:val="nil"/>
        </w:pBdr>
        <w:spacing w:line="240" w:lineRule="auto"/>
        <w:ind w:left="851" w:right="822"/>
        <w:jc w:val="left"/>
        <w:rPr>
          <w:rFonts w:eastAsia="Palatino Linotype" w:cs="Palatino Linotype"/>
          <w:i/>
          <w:color w:val="000000"/>
          <w:szCs w:val="22"/>
        </w:rPr>
      </w:pPr>
      <w:r>
        <w:rPr>
          <w:rFonts w:eastAsia="Palatino Linotype" w:cs="Palatino Linotype"/>
          <w:i/>
          <w:color w:val="000000"/>
          <w:szCs w:val="22"/>
        </w:rPr>
        <w:t>Programación, Evaluación; y</w:t>
      </w:r>
    </w:p>
    <w:p w:rsidR="00705170" w:rsidRDefault="001D19D5">
      <w:pPr>
        <w:pBdr>
          <w:top w:val="nil"/>
          <w:left w:val="nil"/>
          <w:bottom w:val="nil"/>
          <w:right w:val="nil"/>
          <w:between w:val="nil"/>
        </w:pBdr>
        <w:spacing w:line="240" w:lineRule="auto"/>
        <w:ind w:left="851" w:right="822"/>
        <w:jc w:val="left"/>
        <w:rPr>
          <w:rFonts w:eastAsia="Palatino Linotype" w:cs="Palatino Linotype"/>
          <w:i/>
          <w:color w:val="000000"/>
          <w:szCs w:val="22"/>
        </w:rPr>
      </w:pPr>
      <w:r>
        <w:rPr>
          <w:rFonts w:eastAsia="Palatino Linotype" w:cs="Palatino Linotype"/>
          <w:i/>
          <w:color w:val="000000"/>
          <w:szCs w:val="22"/>
        </w:rPr>
        <w:t>XV. Dirección de Protección Civil;</w:t>
      </w:r>
    </w:p>
    <w:p w:rsidR="00705170" w:rsidRDefault="001D19D5">
      <w:pPr>
        <w:pBdr>
          <w:top w:val="nil"/>
          <w:left w:val="nil"/>
          <w:bottom w:val="nil"/>
          <w:right w:val="nil"/>
          <w:between w:val="nil"/>
        </w:pBdr>
        <w:spacing w:line="240" w:lineRule="auto"/>
        <w:ind w:left="851" w:right="822"/>
        <w:jc w:val="left"/>
        <w:rPr>
          <w:rFonts w:eastAsia="Palatino Linotype" w:cs="Palatino Linotype"/>
          <w:i/>
          <w:color w:val="000000"/>
          <w:szCs w:val="22"/>
        </w:rPr>
      </w:pPr>
      <w:r>
        <w:rPr>
          <w:rFonts w:eastAsia="Palatino Linotype" w:cs="Palatino Linotype"/>
          <w:i/>
          <w:color w:val="000000"/>
          <w:szCs w:val="22"/>
        </w:rPr>
        <w:t>XVI. Unidad Municipal de Transparencia y Acceso a la Información;</w:t>
      </w:r>
    </w:p>
    <w:p w:rsidR="00705170" w:rsidRDefault="001D19D5">
      <w:pPr>
        <w:pBdr>
          <w:top w:val="nil"/>
          <w:left w:val="nil"/>
          <w:bottom w:val="nil"/>
          <w:right w:val="nil"/>
          <w:between w:val="nil"/>
        </w:pBdr>
        <w:spacing w:line="240" w:lineRule="auto"/>
        <w:ind w:left="851" w:right="822"/>
        <w:jc w:val="left"/>
        <w:rPr>
          <w:rFonts w:eastAsia="Palatino Linotype" w:cs="Palatino Linotype"/>
          <w:i/>
          <w:color w:val="000000"/>
          <w:szCs w:val="22"/>
        </w:rPr>
      </w:pPr>
      <w:r>
        <w:rPr>
          <w:rFonts w:eastAsia="Palatino Linotype" w:cs="Palatino Linotype"/>
          <w:i/>
          <w:color w:val="000000"/>
          <w:szCs w:val="22"/>
        </w:rPr>
        <w:t>XVII. Secretario Técnico del Consejo Municipal de Seguridad Pública;</w:t>
      </w:r>
    </w:p>
    <w:p w:rsidR="00705170" w:rsidRDefault="001D19D5">
      <w:pPr>
        <w:pBdr>
          <w:top w:val="nil"/>
          <w:left w:val="nil"/>
          <w:bottom w:val="nil"/>
          <w:right w:val="nil"/>
          <w:between w:val="nil"/>
        </w:pBdr>
        <w:spacing w:line="240" w:lineRule="auto"/>
        <w:ind w:left="851" w:right="822"/>
        <w:jc w:val="left"/>
        <w:rPr>
          <w:rFonts w:eastAsia="Palatino Linotype" w:cs="Palatino Linotype"/>
          <w:i/>
          <w:color w:val="000000"/>
          <w:szCs w:val="22"/>
        </w:rPr>
      </w:pPr>
      <w:r>
        <w:rPr>
          <w:rFonts w:eastAsia="Palatino Linotype" w:cs="Palatino Linotype"/>
          <w:i/>
          <w:color w:val="000000"/>
          <w:szCs w:val="22"/>
        </w:rPr>
        <w:t>XVIII. Instituto Municipal de la Juventud;</w:t>
      </w:r>
    </w:p>
    <w:p w:rsidR="00705170" w:rsidRDefault="001D19D5">
      <w:pPr>
        <w:pBdr>
          <w:top w:val="nil"/>
          <w:left w:val="nil"/>
          <w:bottom w:val="nil"/>
          <w:right w:val="nil"/>
          <w:between w:val="nil"/>
        </w:pBdr>
        <w:spacing w:line="240" w:lineRule="auto"/>
        <w:ind w:left="851" w:right="822"/>
        <w:jc w:val="left"/>
        <w:rPr>
          <w:rFonts w:eastAsia="Palatino Linotype" w:cs="Palatino Linotype"/>
          <w:i/>
          <w:color w:val="000000"/>
          <w:szCs w:val="22"/>
        </w:rPr>
      </w:pPr>
      <w:r>
        <w:rPr>
          <w:rFonts w:eastAsia="Palatino Linotype" w:cs="Palatino Linotype"/>
          <w:i/>
          <w:color w:val="000000"/>
          <w:szCs w:val="22"/>
        </w:rPr>
        <w:t>XIX. Oficialía del Registro Civil;</w:t>
      </w:r>
    </w:p>
    <w:p w:rsidR="00705170" w:rsidRDefault="001D19D5">
      <w:pPr>
        <w:pBdr>
          <w:top w:val="nil"/>
          <w:left w:val="nil"/>
          <w:bottom w:val="nil"/>
          <w:right w:val="nil"/>
          <w:between w:val="nil"/>
        </w:pBdr>
        <w:spacing w:line="240" w:lineRule="auto"/>
        <w:ind w:left="851" w:right="822"/>
        <w:rPr>
          <w:rFonts w:eastAsia="Palatino Linotype" w:cs="Palatino Linotype"/>
          <w:i/>
          <w:color w:val="000000"/>
          <w:szCs w:val="22"/>
        </w:rPr>
      </w:pPr>
      <w:r>
        <w:rPr>
          <w:rFonts w:eastAsia="Palatino Linotype" w:cs="Palatino Linotype"/>
          <w:i/>
          <w:color w:val="000000"/>
          <w:szCs w:val="22"/>
        </w:rPr>
        <w:t>XX. Área Coordinadora de Archivos; y</w:t>
      </w:r>
    </w:p>
    <w:p w:rsidR="00705170" w:rsidRDefault="001D19D5">
      <w:pPr>
        <w:pBdr>
          <w:top w:val="nil"/>
          <w:left w:val="nil"/>
          <w:bottom w:val="nil"/>
          <w:right w:val="nil"/>
          <w:between w:val="nil"/>
        </w:pBdr>
        <w:spacing w:after="240" w:line="240" w:lineRule="auto"/>
        <w:ind w:left="851" w:right="822"/>
        <w:rPr>
          <w:rFonts w:eastAsia="Palatino Linotype" w:cs="Palatino Linotype"/>
          <w:i/>
          <w:color w:val="000000"/>
          <w:szCs w:val="22"/>
        </w:rPr>
      </w:pPr>
      <w:r>
        <w:rPr>
          <w:rFonts w:eastAsia="Palatino Linotype" w:cs="Palatino Linotype"/>
          <w:i/>
          <w:color w:val="000000"/>
          <w:szCs w:val="22"/>
        </w:rPr>
        <w:t>XXI. Unidad Municipal de Bienestar y Protección Animal.</w:t>
      </w:r>
    </w:p>
    <w:p w:rsidR="00705170" w:rsidRDefault="001D19D5">
      <w:pPr>
        <w:widowControl w:val="0"/>
        <w:pBdr>
          <w:top w:val="nil"/>
          <w:left w:val="nil"/>
          <w:bottom w:val="nil"/>
          <w:right w:val="nil"/>
          <w:between w:val="nil"/>
        </w:pBdr>
        <w:rPr>
          <w:rFonts w:eastAsia="Palatino Linotype" w:cs="Palatino Linotype"/>
          <w:color w:val="000000"/>
          <w:szCs w:val="22"/>
        </w:rPr>
      </w:pPr>
      <w:r>
        <w:rPr>
          <w:rFonts w:eastAsia="Palatino Linotype" w:cs="Palatino Linotype"/>
          <w:color w:val="000000"/>
          <w:szCs w:val="22"/>
        </w:rPr>
        <w:t xml:space="preserve">Disposiciones normativas de las cuales se advierte que el Ayuntamiento de Temamatla para el cumplimiento de sus atribuciones contara con diversas Unidades Administrativas dentro de la cuales destacan las Dependencias Administrativas Centralizadas, para el caso que nos ocupa la </w:t>
      </w:r>
      <w:r>
        <w:rPr>
          <w:rFonts w:eastAsia="Palatino Linotype" w:cs="Palatino Linotype"/>
          <w:b/>
          <w:color w:val="000000"/>
          <w:szCs w:val="22"/>
        </w:rPr>
        <w:t>Dirección de Servicios Públicos.</w:t>
      </w:r>
    </w:p>
    <w:p w:rsidR="00705170" w:rsidRDefault="00705170">
      <w:pPr>
        <w:widowControl w:val="0"/>
        <w:pBdr>
          <w:top w:val="nil"/>
          <w:left w:val="nil"/>
          <w:bottom w:val="nil"/>
          <w:right w:val="nil"/>
          <w:between w:val="nil"/>
        </w:pBdr>
        <w:rPr>
          <w:rFonts w:eastAsia="Palatino Linotype" w:cs="Palatino Linotype"/>
          <w:color w:val="000000"/>
          <w:szCs w:val="22"/>
        </w:rPr>
      </w:pPr>
    </w:p>
    <w:p w:rsidR="00705170" w:rsidRDefault="001D19D5">
      <w:pPr>
        <w:ind w:right="-28"/>
      </w:pPr>
      <w:r>
        <w:t>Precisado lo anterior y del análisis a la respuesta emitida por el Servidor Público Habilitado se advierte que no se pronunció respecto de las estadística de fugas de agua registradas en el territorio municipal durante la administración 2022-2024, por lo tanto, su respuesta no agotó los principios de congruencia y exhaustividad, resultando aplicable el Criterio de interpretación, con clave de control SO/002/2017 emitido por el Peno del Instituto Nacional de Transparencia y Acceso a la Información y Protección de Datos Personales, INAI, de rubro y texto siguientes:</w:t>
      </w:r>
    </w:p>
    <w:p w:rsidR="00705170" w:rsidRDefault="00705170">
      <w:pPr>
        <w:ind w:right="-28"/>
      </w:pPr>
    </w:p>
    <w:p w:rsidR="00705170" w:rsidRDefault="001D19D5">
      <w:pPr>
        <w:spacing w:line="240" w:lineRule="auto"/>
        <w:ind w:left="851" w:right="822"/>
        <w:rPr>
          <w:i/>
        </w:rPr>
      </w:pPr>
      <w:r>
        <w:rPr>
          <w:i/>
        </w:rPr>
        <w:lastRenderedPageBreak/>
        <w:t>“</w:t>
      </w:r>
      <w:r>
        <w:rPr>
          <w:b/>
          <w:i/>
        </w:rPr>
        <w:t>Congruencia y exhaustividad. Sus alcances para garantizar el derecho de acceso a la información</w:t>
      </w:r>
      <w:r>
        <w:rPr>
          <w:i/>
        </w:rPr>
        <w:t xml:space="preserve">. De conformidad con el artículo 3 de la Ley Federal de Procedimiento Administrativo, de aplicación supletoria a la Ley Federal de Transparencia y Acceso a la Información Pública, en términos de su artículo 7; todo acto administrativo debe cumplir con los principios de congruencia y exhaustividad. Para el efectivo ejercicio del derecho de acceso a la información, </w:t>
      </w:r>
      <w:r>
        <w:rPr>
          <w:b/>
          <w:i/>
        </w:rPr>
        <w:t>la congruencia implica que exista concordancia entre el requerimiento formulado por el particular y la respuesta proporcionada por el sujeto obligado</w:t>
      </w:r>
      <w:r>
        <w:rPr>
          <w:i/>
        </w:rPr>
        <w:t xml:space="preserve">; mientras que </w:t>
      </w:r>
      <w:r>
        <w:rPr>
          <w:b/>
          <w:i/>
        </w:rPr>
        <w:t>la exhaustividad significa que dicha respuesta se refiera expresamente a cada uno de los puntos solicitados.</w:t>
      </w:r>
      <w:r>
        <w:rPr>
          <w:i/>
        </w:rPr>
        <w:t xml:space="preserve"> Por lo anterior, los sujetos obligados cumplirán con los principios de congruencia y exhaustividad, cuando las respuestas que emitan guarden una relación lógica con lo solicitado y atiendan de manera puntual y expresa, cada uno de los contenidos de información.”</w:t>
      </w:r>
    </w:p>
    <w:p w:rsidR="00705170" w:rsidRDefault="00705170">
      <w:pPr>
        <w:ind w:right="-28"/>
      </w:pPr>
    </w:p>
    <w:p w:rsidR="00705170" w:rsidRDefault="001D19D5">
      <w:r>
        <w:t>Es importante señalar que, el Recurrente solicita información estadística. En ese sentido, resulta necesario traer a colación, por analogía el criterio 11/09 del Instituto Federal de Acceso a la Información y Protección de Datos, que establece lo siguiente:</w:t>
      </w:r>
    </w:p>
    <w:p w:rsidR="00705170" w:rsidRDefault="00705170">
      <w:pPr>
        <w:ind w:right="-93"/>
      </w:pPr>
    </w:p>
    <w:p w:rsidR="00705170" w:rsidRDefault="001D19D5">
      <w:pPr>
        <w:spacing w:line="240" w:lineRule="auto"/>
        <w:ind w:left="851" w:right="822"/>
        <w:rPr>
          <w:i/>
          <w:sz w:val="20"/>
        </w:rPr>
      </w:pPr>
      <w:r>
        <w:rPr>
          <w:b/>
          <w:i/>
        </w:rPr>
        <w:t xml:space="preserve">La información estadística es de naturaleza pública, independientemente de la materia con la que  se encuentre  vinculada. </w:t>
      </w:r>
      <w:r>
        <w:rPr>
          <w:i/>
        </w:rPr>
        <w:t>Considerando que la información   estadística   es   el   producto   de   un   conjunto   de   resultados cuantitativos obtenidos de un proceso sistemático de captación de datos primarios obtenidos sobre hechos que constan en documentos que las dependencias y entidades poseen, derivado del ejercicio de sus atribuciones, y que el artículo 7, fracción XVII de la Ley Federal de Transparencia y Acceso a la Información Pública Gubernamental establece que los sujetos obligados deberán poner a disposición del público, entre otra, la relativa a la que con base en la información estadística, responda a las preguntas hechas con más frecuencia por el público, es posible afirmar que la información estadística es de naturaleza pública. Lo anterior se debe también a que, por definición, los datos estadísticos no se encuentran individualizados o personalizados a casos o situaciones específicas que pudieran llegar a justificar su clasificación.</w:t>
      </w:r>
    </w:p>
    <w:p w:rsidR="00705170" w:rsidRDefault="00705170">
      <w:pPr>
        <w:ind w:right="-93"/>
      </w:pPr>
    </w:p>
    <w:p w:rsidR="00705170" w:rsidRDefault="001D19D5">
      <w:pPr>
        <w:ind w:right="-93"/>
      </w:pPr>
      <w:r>
        <w:lastRenderedPageBreak/>
        <w:t xml:space="preserve">De lo previo, se desprende que </w:t>
      </w:r>
      <w:r>
        <w:rPr>
          <w:b/>
        </w:rPr>
        <w:t>la información estadística es de naturaleza pública,</w:t>
      </w:r>
      <w:r>
        <w:t xml:space="preserve"> al ser el producto de un conjunto de resultados cuantitativos obtenidos de un proceso sistemático de captación de datos primarios obtenidos sobre hechos que constan en la documentación que los sujetos obligados poseen, por lo que, dichos datos no se encuentran individualizados o personalizados.</w:t>
      </w:r>
    </w:p>
    <w:p w:rsidR="00705170" w:rsidRDefault="00705170">
      <w:pPr>
        <w:ind w:right="-93"/>
      </w:pPr>
    </w:p>
    <w:p w:rsidR="00705170" w:rsidRDefault="001D19D5">
      <w:pPr>
        <w:widowControl w:val="0"/>
      </w:pPr>
      <w:r>
        <w:t>Así, se considera que, para atender los requerimientos  de información, el Sujeto Obligado deberá realizar una búsqueda exhaustiva y razonable, en términos del artículo 162 de la Ley de Transparencia y Acceso a la Información Pública del Estado de México y Municipios, en la Dirección de Servicios Públicos, en términos del artículo 162 de la Ley de Transparencia y Acceso a la Información Pública del Estado de México y Municipios, a efecto de que proporcione</w:t>
      </w:r>
      <w:r>
        <w:rPr>
          <w:color w:val="000000"/>
        </w:rPr>
        <w:t xml:space="preserve"> información estadística, respecto de fugas de agua registradas en el territorio municipal durante el periodo comprendido del primero de enero de dos mil veintidós y el diecinueve de septiembre de dos mil veinticuatro.</w:t>
      </w:r>
    </w:p>
    <w:p w:rsidR="00705170" w:rsidRDefault="00705170">
      <w:pPr>
        <w:widowControl w:val="0"/>
      </w:pPr>
    </w:p>
    <w:p w:rsidR="00705170" w:rsidRDefault="001D19D5">
      <w:pPr>
        <w:spacing w:after="240"/>
        <w:rPr>
          <w:sz w:val="24"/>
          <w:szCs w:val="24"/>
        </w:rPr>
      </w:pPr>
      <w:r>
        <w:rPr>
          <w:sz w:val="24"/>
          <w:szCs w:val="24"/>
        </w:rPr>
        <w:t xml:space="preserve">No pasa inadvertido para este Órgano Garante que </w:t>
      </w:r>
      <w:r>
        <w:rPr>
          <w:b/>
          <w:sz w:val="24"/>
          <w:szCs w:val="24"/>
        </w:rPr>
        <w:t xml:space="preserve">LA PARTE RECURRENTE </w:t>
      </w:r>
      <w:r>
        <w:rPr>
          <w:sz w:val="24"/>
          <w:szCs w:val="24"/>
        </w:rPr>
        <w:t xml:space="preserve">en sus Razones o Motivos de Inconformidad señaló que </w:t>
      </w:r>
      <w:r>
        <w:rPr>
          <w:b/>
          <w:sz w:val="24"/>
          <w:szCs w:val="24"/>
          <w:u w:val="single"/>
        </w:rPr>
        <w:t>mapeo de incidencia, bitácora o respaldo de las fugas atendidas durante la administración 2022 2024</w:t>
      </w:r>
      <w:r>
        <w:rPr>
          <w:sz w:val="24"/>
          <w:szCs w:val="24"/>
        </w:rPr>
        <w:t xml:space="preserve">, en esa tesitura, es dable señalar que en el presente caso, </w:t>
      </w:r>
      <w:r>
        <w:rPr>
          <w:b/>
          <w:sz w:val="24"/>
          <w:szCs w:val="24"/>
        </w:rPr>
        <w:t xml:space="preserve">a través de lo manifestado por la parte ofendida, en el Recurso de Revisión que nos ocupa, se está ante nuevos requerimientos, mismos que no pueden ser atendidos dado que no fueron solicitados inicialmente, lo que se le conoce también como </w:t>
      </w:r>
      <w:r>
        <w:rPr>
          <w:b/>
          <w:i/>
          <w:sz w:val="24"/>
          <w:szCs w:val="24"/>
        </w:rPr>
        <w:t xml:space="preserve">plus </w:t>
      </w:r>
      <w:proofErr w:type="spellStart"/>
      <w:r>
        <w:rPr>
          <w:b/>
          <w:i/>
          <w:sz w:val="24"/>
          <w:szCs w:val="24"/>
        </w:rPr>
        <w:t>petitio</w:t>
      </w:r>
      <w:proofErr w:type="spellEnd"/>
      <w:r>
        <w:rPr>
          <w:b/>
          <w:sz w:val="24"/>
          <w:szCs w:val="24"/>
        </w:rPr>
        <w:t xml:space="preserve">. </w:t>
      </w:r>
      <w:r>
        <w:rPr>
          <w:color w:val="000000"/>
          <w:sz w:val="24"/>
          <w:szCs w:val="24"/>
        </w:rPr>
        <w:t xml:space="preserve">Sirve de apoyo a lo anterior por analogía, la Jurisprudencia No. 29 visible a foja 19 del Apéndice </w:t>
      </w:r>
      <w:r>
        <w:rPr>
          <w:color w:val="000000"/>
          <w:sz w:val="24"/>
          <w:szCs w:val="24"/>
        </w:rPr>
        <w:lastRenderedPageBreak/>
        <w:t>al Semanario Judicial de la Federación 1917-1995, Torno VI, Materia Común, Primera Parte, Tesis de la Suprema Corte de Justicia, que señala:</w:t>
      </w:r>
    </w:p>
    <w:p w:rsidR="00705170" w:rsidRDefault="001D19D5">
      <w:pPr>
        <w:spacing w:line="240" w:lineRule="auto"/>
        <w:ind w:left="851" w:right="822"/>
        <w:rPr>
          <w:i/>
          <w:color w:val="000000"/>
        </w:rPr>
      </w:pPr>
      <w:r>
        <w:rPr>
          <w:b/>
          <w:i/>
          <w:color w:val="000000"/>
        </w:rPr>
        <w:t>"AGRAVIOS EN LA REVISION. DEBEN ESTAR EN RELACION DIRECTA CON LOS FUNDAMENTOS Y CONSIDERACIONES DE LA SENTENCIA.-</w:t>
      </w:r>
      <w:r>
        <w:rPr>
          <w:i/>
          <w:color w:val="000000"/>
        </w:rPr>
        <w:t xml:space="preserve"> Los agravios deben estar en relación directa e inmediata con los fundamentos contenidos en la sentencia que se recurre, y forzosamente deben contener, no sólo la cita de las disposiciones legales que se estimen infringidas y su concepto, sino también la concordancia entre aquellas, este y las consideraciones que fundamenten esa propia sentencia, pues de adoptar lo contrario, resultaría la introducción de nuevas cuestiones en la revisión, que no constituyen su materia, toda vez que esta se limita al estudio integral del fallo que se combate, con vista de los motivos de inconformidad que plantean los recurrentes.</w:t>
      </w:r>
      <w:r>
        <w:rPr>
          <w:b/>
          <w:i/>
          <w:color w:val="000000"/>
        </w:rPr>
        <w:t>"</w:t>
      </w:r>
    </w:p>
    <w:p w:rsidR="00705170" w:rsidRDefault="00705170">
      <w:pPr>
        <w:rPr>
          <w:sz w:val="24"/>
          <w:szCs w:val="24"/>
        </w:rPr>
      </w:pPr>
    </w:p>
    <w:p w:rsidR="00705170" w:rsidRDefault="001D19D5">
      <w:pPr>
        <w:spacing w:after="240"/>
        <w:rPr>
          <w:sz w:val="24"/>
          <w:szCs w:val="24"/>
        </w:rPr>
      </w:pPr>
      <w:r>
        <w:rPr>
          <w:color w:val="000000"/>
          <w:sz w:val="24"/>
          <w:szCs w:val="24"/>
        </w:rPr>
        <w:t>Asimismo, cabe por analogía en el presente asunto el fallo emitido por el Segundo Tribunal Colegiado del Cuarto Circuito, recaído en el amparo directo 277/88, que establece:</w:t>
      </w:r>
    </w:p>
    <w:p w:rsidR="00705170" w:rsidRDefault="001D19D5">
      <w:pPr>
        <w:spacing w:line="240" w:lineRule="auto"/>
        <w:ind w:left="851" w:right="822"/>
        <w:rPr>
          <w:b/>
          <w:color w:val="000000"/>
        </w:rPr>
      </w:pPr>
      <w:r>
        <w:rPr>
          <w:b/>
          <w:color w:val="000000"/>
        </w:rPr>
        <w:t>“</w:t>
      </w:r>
      <w:r>
        <w:rPr>
          <w:b/>
          <w:i/>
          <w:color w:val="000000"/>
        </w:rPr>
        <w:t>JUICIO DE NULIDAD LITIS EN EL. Interpretación de los artículos 215 y 237 DEL CÓDIGO FISCAL DE LA FEDERACIÓN.-</w:t>
      </w:r>
      <w:r>
        <w:rPr>
          <w:i/>
          <w:color w:val="000000"/>
        </w:rPr>
        <w:t xml:space="preserve"> El actual Código Fiscal de la Federación no contempla literalmente la hipótesis legal regulada en el artículo 219 del Código Fiscal de 1967, en el que se estima que la resolución impugnada deberá ser apreciada en los términos en que lo fue ante la autoridad administrativa; sin embargo el artículo 237 de dicho ordenamiento en vigor establece que las sentencias del Tribunal Fiscal de la Federación se fundarán en derecho y examinarán todos y cada uno de los puntos controvertidos, del acto impugnado de donde se sigue que, interpretando conjuntamente los artículos 215 y 237, del Código Fiscal vigente, la autoridad en su contestación a la demanda no podrá cambiar los fundamentos de derecho dados en la resolución y, por su parte, la actora no podrá introducir en su demanda cuestiones diversas a las planteadas originalmente ante la autoridad administrativa, pues de seguirse un criterio contrario, el juzgador tendría que analizar el acto combatido a la luz de argumentos que no fueron del conocimiento de la autoridad o, en su caso, de aquéllos que no fueron expuestos en la propia </w:t>
      </w:r>
      <w:r>
        <w:rPr>
          <w:i/>
          <w:color w:val="000000"/>
        </w:rPr>
        <w:lastRenderedPageBreak/>
        <w:t>resolución, con lo cual no se examinarían todos y cada uno de los hechos y puntos controvertidos del acto impugnado, tal como establece el artículo 237 mencionado. Por último cabe señalar que dicha regla admite la excepción relativa a cuestiones y pruebas supervenientes- Visible en el S.J.F., Octava Época, Tomo VII, enero de 1991, pág. 294.</w:t>
      </w:r>
      <w:r>
        <w:rPr>
          <w:b/>
          <w:color w:val="000000"/>
        </w:rPr>
        <w:t>”</w:t>
      </w:r>
    </w:p>
    <w:p w:rsidR="00705170" w:rsidRDefault="00705170">
      <w:pPr>
        <w:rPr>
          <w:sz w:val="24"/>
          <w:szCs w:val="24"/>
        </w:rPr>
      </w:pPr>
    </w:p>
    <w:p w:rsidR="00705170" w:rsidRDefault="001D19D5">
      <w:pPr>
        <w:rPr>
          <w:sz w:val="24"/>
          <w:szCs w:val="24"/>
        </w:rPr>
      </w:pPr>
      <w:r>
        <w:rPr>
          <w:color w:val="000000"/>
          <w:sz w:val="24"/>
          <w:szCs w:val="24"/>
        </w:rPr>
        <w:t xml:space="preserve">Por lo anterior, se establece que, el Recurso de Revisión presentado por </w:t>
      </w:r>
      <w:r>
        <w:rPr>
          <w:b/>
          <w:color w:val="000000"/>
          <w:sz w:val="24"/>
          <w:szCs w:val="24"/>
        </w:rPr>
        <w:t>LA RECURRENTE</w:t>
      </w:r>
      <w:r>
        <w:rPr>
          <w:color w:val="000000"/>
          <w:sz w:val="24"/>
          <w:szCs w:val="24"/>
        </w:rPr>
        <w:t xml:space="preserve"> no debe variar el fondo de la </w:t>
      </w:r>
      <w:proofErr w:type="spellStart"/>
      <w:r>
        <w:rPr>
          <w:color w:val="000000"/>
          <w:sz w:val="24"/>
          <w:szCs w:val="24"/>
        </w:rPr>
        <w:t>litis</w:t>
      </w:r>
      <w:proofErr w:type="spellEnd"/>
      <w:r>
        <w:rPr>
          <w:color w:val="000000"/>
          <w:sz w:val="24"/>
          <w:szCs w:val="24"/>
        </w:rPr>
        <w:t>, de tal manera que, los argumentos planteados por la particular en su inconformidad respecto que no adjunta mapeo de incidencia, bitácora o respaldo de las fugas atendidas durante la administración 2022 2024, resultan notoriamente improcedentes, pues este Órgano Garante se encuentra imposibilitado para satisfacer requerimientos que no fueron formulados en tiempo y forma, desde la solicitud primigenia.</w:t>
      </w:r>
    </w:p>
    <w:p w:rsidR="00705170" w:rsidRDefault="00705170">
      <w:pPr>
        <w:rPr>
          <w:sz w:val="24"/>
          <w:szCs w:val="24"/>
        </w:rPr>
      </w:pPr>
    </w:p>
    <w:p w:rsidR="00705170" w:rsidRDefault="001D19D5">
      <w:pPr>
        <w:rPr>
          <w:sz w:val="24"/>
          <w:szCs w:val="24"/>
        </w:rPr>
      </w:pPr>
      <w:r>
        <w:rPr>
          <w:color w:val="000000"/>
          <w:sz w:val="24"/>
          <w:szCs w:val="24"/>
        </w:rPr>
        <w:t>Tiene aplicación al respecto por analogía, la tesis aislada número I.8o.A.136 A, de la Novena Época, publicada en el Semanario Oficial de la Federación y su Gaceta Tomo XXIX, marzo de 2009, página 2887, con número de registro 167607, que lleva por rubro y texto los siguientes:</w:t>
      </w:r>
    </w:p>
    <w:p w:rsidR="00705170" w:rsidRDefault="00705170">
      <w:pPr>
        <w:rPr>
          <w:color w:val="000000"/>
          <w:sz w:val="24"/>
          <w:szCs w:val="24"/>
        </w:rPr>
      </w:pPr>
    </w:p>
    <w:p w:rsidR="00705170" w:rsidRDefault="001D19D5">
      <w:pPr>
        <w:spacing w:line="240" w:lineRule="auto"/>
        <w:ind w:left="851" w:right="902"/>
        <w:rPr>
          <w:b/>
          <w:i/>
          <w:color w:val="000000"/>
        </w:rPr>
      </w:pPr>
      <w:r>
        <w:rPr>
          <w:b/>
          <w:i/>
          <w:color w:val="000000"/>
        </w:rPr>
        <w:t xml:space="preserve">“TRANSPARENCIA Y ACCESO A LA INFORMACIÓN PÚBLICA GUBERNAMENTAL. LOS ARTÍCULOS 1, 2 Y 6 DE LA LEY FEDERAL RELATIVA, NO DEBEN INTERPRETARSE EN EL SENTIDO DE PERMITIR AL GOBERNADO QUE A SU ARBITRIO SOLICITE COPIA DE DOCUMENTOS QUE NO OBREN EN LOS EXPEDIENTES DE LOS SUJETOS OBLIGADOS, O SEAN DISTINTOS A LOS DE SU PETICIÓN INICIAL. </w:t>
      </w:r>
      <w:r>
        <w:rPr>
          <w:i/>
          <w:color w:val="000000"/>
        </w:rPr>
        <w:t xml:space="preserve">Si bien es cierto que los artículos 1 y 2 de la Ley Federal de Transparencia y Acceso a la Información Pública Gubernamental establecen, respectivamente, que dicho ordenamiento tiene como finalidad proveer lo necesario para garantizar el </w:t>
      </w:r>
      <w:r>
        <w:rPr>
          <w:i/>
          <w:color w:val="000000"/>
        </w:rPr>
        <w:lastRenderedPageBreak/>
        <w:t>acceso de toda persona a la información en posesión de los Poderes de la Unión, los órganos constitucionales autónomos o con autonomía legal y cualquier otra entidad federal, así como que toda la información gubernamental a que se refiere dicha ley es pública y los particulares tendrán acceso a ella en los términos que en ésta se señalen y que, por otra parte, el precepto 6de la propia legislación prevé el principio de máxima publicidad y disponibilidad de la información en posesión de los sujetos obligados; también lo es que ello no implica que tales numerales deban interpretarse en el sentido de permitir al gobernado que a su arbitrio solicite copia de documentos que no obren en los expedientes de los sujetos obligados, o sean distintos a los de su petición inicial, pues ello contravendría el artículo 42 de la citada ley, que señala que las dependencias y entidades sólo estarán obligadas a entregar los documentos que se encuentren en sus archivos -los solicitados- y que la obligación de acceso a la información se dará por cumplida cuando se pongan a disposición del solicitante para consulta en el sitio donde se encuentren.</w:t>
      </w:r>
      <w:r>
        <w:rPr>
          <w:i/>
          <w:color w:val="000000"/>
        </w:rPr>
        <w:br/>
        <w:t>OCTAVO TRIBUNAL COLEGIADO EN MATERIA ADMINISTRATIVA DEL PRIMER CIRCUITO.</w:t>
      </w:r>
      <w:r>
        <w:rPr>
          <w:b/>
          <w:i/>
          <w:color w:val="000000"/>
        </w:rPr>
        <w:t>”</w:t>
      </w:r>
    </w:p>
    <w:p w:rsidR="00705170" w:rsidRDefault="00705170">
      <w:pPr>
        <w:spacing w:line="240" w:lineRule="auto"/>
        <w:ind w:left="851" w:right="902"/>
        <w:rPr>
          <w:b/>
          <w:i/>
          <w:color w:val="000000"/>
        </w:rPr>
      </w:pPr>
    </w:p>
    <w:p w:rsidR="00705170" w:rsidRDefault="001D19D5">
      <w:pPr>
        <w:rPr>
          <w:sz w:val="24"/>
          <w:szCs w:val="24"/>
        </w:rPr>
      </w:pPr>
      <w:r>
        <w:rPr>
          <w:color w:val="000000"/>
          <w:sz w:val="24"/>
          <w:szCs w:val="24"/>
        </w:rPr>
        <w:t xml:space="preserve">Así mismo ha sido criterio del Instituto Nacional de Transparencia, Acceso a la Información y Protección de Datos Personales bajo el número 27/10, que </w:t>
      </w:r>
      <w:r>
        <w:rPr>
          <w:color w:val="000000"/>
          <w:sz w:val="24"/>
          <w:szCs w:val="24"/>
          <w:u w:val="single"/>
        </w:rPr>
        <w:t>resulta improcedente ampliar las solicitudes de Información Pública o de Datos Personales a través de la interposición del Recurso de Revisión</w:t>
      </w:r>
      <w:r>
        <w:rPr>
          <w:color w:val="000000"/>
          <w:sz w:val="24"/>
          <w:szCs w:val="24"/>
        </w:rPr>
        <w:t xml:space="preserve">, como se estima acontece en el presente asunto, al aumentar datos a la solicitud inicial, </w:t>
      </w:r>
      <w:r>
        <w:rPr>
          <w:b/>
          <w:color w:val="000000"/>
          <w:sz w:val="24"/>
          <w:szCs w:val="24"/>
        </w:rPr>
        <w:t>por lo que se insiste no se puede entrar al estudio de la información novedosa</w:t>
      </w:r>
      <w:r>
        <w:rPr>
          <w:color w:val="000000"/>
          <w:sz w:val="24"/>
          <w:szCs w:val="24"/>
        </w:rPr>
        <w:t>, criterio que es de la literalidad siguiente:</w:t>
      </w:r>
    </w:p>
    <w:p w:rsidR="00705170" w:rsidRDefault="00705170">
      <w:pPr>
        <w:rPr>
          <w:sz w:val="16"/>
          <w:szCs w:val="16"/>
        </w:rPr>
      </w:pPr>
    </w:p>
    <w:p w:rsidR="00705170" w:rsidRDefault="001D19D5">
      <w:pPr>
        <w:spacing w:line="240" w:lineRule="auto"/>
        <w:ind w:left="788" w:right="902"/>
        <w:rPr>
          <w:b/>
          <w:i/>
          <w:color w:val="000000"/>
        </w:rPr>
      </w:pPr>
      <w:r>
        <w:rPr>
          <w:b/>
          <w:i/>
          <w:color w:val="000000"/>
        </w:rPr>
        <w:t>“Es improcedente ampliar las solicitudes de acceso a información pública o datos personales, a través de la interposición del recurso de revisión.</w:t>
      </w:r>
      <w:r>
        <w:rPr>
          <w:i/>
          <w:color w:val="000000"/>
        </w:rPr>
        <w:t xml:space="preserve"> En aquellos casos en los que los recurrentes amplíen los alcances de su solicitud de información o acceso a datos personales a través de su recurso de revisión, esta ampliación no podrá constituir materia del procedimiento a sustanciarse por el Instituto Federal de Acceso a la Información y Protección de Datos. Lo anterior, sin </w:t>
      </w:r>
      <w:r>
        <w:rPr>
          <w:i/>
          <w:color w:val="000000"/>
        </w:rPr>
        <w:lastRenderedPageBreak/>
        <w:t>perjuicio de que los recurrentes puedan ejercer su derecho a realizar una nueva solicitud en términos de la Ley de la materia.</w:t>
      </w:r>
      <w:r>
        <w:rPr>
          <w:b/>
          <w:i/>
          <w:color w:val="000000"/>
        </w:rPr>
        <w:t>”</w:t>
      </w:r>
    </w:p>
    <w:p w:rsidR="00705170" w:rsidRDefault="00705170">
      <w:pPr>
        <w:widowControl w:val="0"/>
        <w:rPr>
          <w:sz w:val="18"/>
          <w:szCs w:val="18"/>
        </w:rPr>
      </w:pPr>
    </w:p>
    <w:p w:rsidR="00705170" w:rsidRDefault="00705170">
      <w:pPr>
        <w:widowControl w:val="0"/>
        <w:rPr>
          <w:sz w:val="18"/>
          <w:szCs w:val="18"/>
        </w:rPr>
      </w:pPr>
    </w:p>
    <w:p w:rsidR="00705170" w:rsidRDefault="00705170">
      <w:pPr>
        <w:widowControl w:val="0"/>
        <w:rPr>
          <w:sz w:val="18"/>
          <w:szCs w:val="18"/>
        </w:rPr>
      </w:pPr>
    </w:p>
    <w:p w:rsidR="00705170" w:rsidRDefault="001D19D5">
      <w:pPr>
        <w:widowControl w:val="0"/>
        <w:pBdr>
          <w:top w:val="nil"/>
          <w:left w:val="nil"/>
          <w:bottom w:val="nil"/>
          <w:right w:val="nil"/>
          <w:between w:val="nil"/>
        </w:pBdr>
        <w:rPr>
          <w:rFonts w:eastAsia="Palatino Linotype" w:cs="Palatino Linotype"/>
          <w:color w:val="000000"/>
          <w:szCs w:val="22"/>
        </w:rPr>
      </w:pPr>
      <w:r>
        <w:rPr>
          <w:rFonts w:eastAsia="Palatino Linotype" w:cs="Palatino Linotype"/>
          <w:color w:val="000000"/>
          <w:szCs w:val="22"/>
        </w:rPr>
        <w:t xml:space="preserve">Finalmente, por cuanto hace a la solicitud de información </w:t>
      </w:r>
      <w:r>
        <w:rPr>
          <w:rFonts w:eastAsia="Palatino Linotype" w:cs="Palatino Linotype"/>
          <w:b/>
          <w:color w:val="000000"/>
          <w:szCs w:val="22"/>
        </w:rPr>
        <w:t>00532/TEMAMATL/IP/2024</w:t>
      </w:r>
      <w:r>
        <w:rPr>
          <w:rFonts w:eastAsia="Palatino Linotype" w:cs="Palatino Linotype"/>
          <w:color w:val="000000"/>
          <w:szCs w:val="22"/>
        </w:rPr>
        <w:t xml:space="preserve">, respecto de los formatos de informe mensual de reparaciones o mantenimiento (IMROM), enviado de manera mensual en la información contable que integra la cuenta pública durante los años 2022, 2023 y 2024, </w:t>
      </w:r>
      <w:r>
        <w:rPr>
          <w:rFonts w:eastAsia="Palatino Linotype" w:cs="Palatino Linotype"/>
          <w:b/>
          <w:color w:val="000000"/>
          <w:szCs w:val="22"/>
        </w:rPr>
        <w:t>EL SUJETO OBLIGADO</w:t>
      </w:r>
      <w:r>
        <w:rPr>
          <w:rFonts w:eastAsia="Palatino Linotype" w:cs="Palatino Linotype"/>
          <w:color w:val="000000"/>
          <w:szCs w:val="22"/>
        </w:rPr>
        <w:t xml:space="preserve"> omitió pronunciarse al respecto pues se advierte que remitió información que no guarda relación con lo solicitado y a través del informe justificado ratifico su respuesta inicial.</w:t>
      </w:r>
    </w:p>
    <w:p w:rsidR="00705170" w:rsidRDefault="00705170">
      <w:pPr>
        <w:widowControl w:val="0"/>
        <w:pBdr>
          <w:top w:val="nil"/>
          <w:left w:val="nil"/>
          <w:bottom w:val="nil"/>
          <w:right w:val="nil"/>
          <w:between w:val="nil"/>
        </w:pBdr>
        <w:rPr>
          <w:rFonts w:eastAsia="Palatino Linotype" w:cs="Palatino Linotype"/>
          <w:color w:val="000000"/>
          <w:sz w:val="16"/>
          <w:szCs w:val="16"/>
        </w:rPr>
      </w:pPr>
    </w:p>
    <w:p w:rsidR="00705170" w:rsidRDefault="001D19D5">
      <w:pPr>
        <w:widowControl w:val="0"/>
        <w:pBdr>
          <w:top w:val="nil"/>
          <w:left w:val="nil"/>
          <w:bottom w:val="nil"/>
          <w:right w:val="nil"/>
          <w:between w:val="nil"/>
        </w:pBdr>
        <w:rPr>
          <w:rFonts w:eastAsia="Palatino Linotype" w:cs="Palatino Linotype"/>
          <w:color w:val="000000"/>
          <w:szCs w:val="22"/>
        </w:rPr>
      </w:pPr>
      <w:r>
        <w:rPr>
          <w:rFonts w:eastAsia="Palatino Linotype" w:cs="Palatino Linotype"/>
          <w:color w:val="000000"/>
          <w:szCs w:val="22"/>
        </w:rPr>
        <w:t>En ese orden este Órgano Garante procedió a la búsqueda de información respecto a los Informes Mensuales de Reparaciones y Mantenimientos (IMROM), localizando los Documentos de Apoyo elaborados por el Órgano Superior de Fiscalización del Estado de México para el año 2024, concretamente el Instructivo Modulo 4 del que se advierte lo siguiente:</w:t>
      </w:r>
    </w:p>
    <w:p w:rsidR="00705170" w:rsidRDefault="001D19D5">
      <w:pPr>
        <w:widowControl w:val="0"/>
        <w:pBdr>
          <w:top w:val="nil"/>
          <w:left w:val="nil"/>
          <w:bottom w:val="nil"/>
          <w:right w:val="nil"/>
          <w:between w:val="nil"/>
        </w:pBdr>
        <w:jc w:val="center"/>
        <w:rPr>
          <w:rFonts w:eastAsia="Palatino Linotype" w:cs="Palatino Linotype"/>
          <w:color w:val="000000"/>
          <w:szCs w:val="22"/>
        </w:rPr>
      </w:pPr>
      <w:r>
        <w:rPr>
          <w:rFonts w:eastAsia="Palatino Linotype" w:cs="Palatino Linotype"/>
          <w:noProof/>
          <w:color w:val="000000"/>
          <w:szCs w:val="22"/>
          <w:lang w:eastAsia="es-MX"/>
        </w:rPr>
        <w:drawing>
          <wp:inline distT="0" distB="0" distL="0" distR="0">
            <wp:extent cx="5742940" cy="2348865"/>
            <wp:effectExtent l="0" t="0" r="0" b="0"/>
            <wp:docPr id="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a:stretch>
                      <a:fillRect/>
                    </a:stretch>
                  </pic:blipFill>
                  <pic:spPr>
                    <a:xfrm>
                      <a:off x="0" y="0"/>
                      <a:ext cx="5742940" cy="2348865"/>
                    </a:xfrm>
                    <a:prstGeom prst="rect">
                      <a:avLst/>
                    </a:prstGeom>
                    <a:ln/>
                  </pic:spPr>
                </pic:pic>
              </a:graphicData>
            </a:graphic>
          </wp:inline>
        </w:drawing>
      </w:r>
      <w:r>
        <w:rPr>
          <w:noProof/>
          <w:lang w:eastAsia="es-MX"/>
        </w:rPr>
        <mc:AlternateContent>
          <mc:Choice Requires="wpg">
            <w:drawing>
              <wp:anchor distT="0" distB="0" distL="114300" distR="114300" simplePos="0" relativeHeight="251658240" behindDoc="0" locked="0" layoutInCell="1" hidden="0" allowOverlap="1">
                <wp:simplePos x="0" y="0"/>
                <wp:positionH relativeFrom="column">
                  <wp:posOffset>825500</wp:posOffset>
                </wp:positionH>
                <wp:positionV relativeFrom="paragraph">
                  <wp:posOffset>546100</wp:posOffset>
                </wp:positionV>
                <wp:extent cx="640497" cy="272007"/>
                <wp:effectExtent l="0" t="0" r="0" b="0"/>
                <wp:wrapNone/>
                <wp:docPr id="7" name="Flecha derecha 7"/>
                <wp:cNvGraphicFramePr/>
                <a:graphic xmlns:a="http://schemas.openxmlformats.org/drawingml/2006/main">
                  <a:graphicData uri="http://schemas.microsoft.com/office/word/2010/wordprocessingShape">
                    <wps:wsp>
                      <wps:cNvSpPr/>
                      <wps:spPr>
                        <a:xfrm>
                          <a:off x="5032102" y="3650347"/>
                          <a:ext cx="627797" cy="259307"/>
                        </a:xfrm>
                        <a:prstGeom prst="rightArrow">
                          <a:avLst>
                            <a:gd name="adj1" fmla="val 50000"/>
                            <a:gd name="adj2" fmla="val 50000"/>
                          </a:avLst>
                        </a:prstGeom>
                        <a:solidFill>
                          <a:srgbClr val="FF0000"/>
                        </a:solidFill>
                        <a:ln w="12700" cap="flat" cmpd="sng">
                          <a:solidFill>
                            <a:srgbClr val="FF0000"/>
                          </a:solidFill>
                          <a:prstDash val="solid"/>
                          <a:miter lim="800000"/>
                          <a:headEnd type="none" w="sm" len="sm"/>
                          <a:tailEnd type="none" w="sm" len="sm"/>
                        </a:ln>
                      </wps:spPr>
                      <wps:txbx>
                        <w:txbxContent>
                          <w:p w:rsidR="00705170" w:rsidRDefault="00705170">
                            <w:pPr>
                              <w:spacing w:line="240" w:lineRule="auto"/>
                              <w:jc w:val="left"/>
                              <w:textDirection w:val="btLr"/>
                            </w:pPr>
                          </w:p>
                        </w:txbxContent>
                      </wps:txbx>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825500</wp:posOffset>
                </wp:positionH>
                <wp:positionV relativeFrom="paragraph">
                  <wp:posOffset>546100</wp:posOffset>
                </wp:positionV>
                <wp:extent cx="640497" cy="272007"/>
                <wp:effectExtent b="0" l="0" r="0" t="0"/>
                <wp:wrapNone/>
                <wp:docPr id="7" name="image3.png"/>
                <a:graphic>
                  <a:graphicData uri="http://schemas.openxmlformats.org/drawingml/2006/picture">
                    <pic:pic>
                      <pic:nvPicPr>
                        <pic:cNvPr id="0" name="image3.png"/>
                        <pic:cNvPicPr preferRelativeResize="0"/>
                      </pic:nvPicPr>
                      <pic:blipFill>
                        <a:blip r:embed="rId12"/>
                        <a:srcRect/>
                        <a:stretch>
                          <a:fillRect/>
                        </a:stretch>
                      </pic:blipFill>
                      <pic:spPr>
                        <a:xfrm>
                          <a:off x="0" y="0"/>
                          <a:ext cx="640497" cy="272007"/>
                        </a:xfrm>
                        <a:prstGeom prst="rect"/>
                        <a:ln/>
                      </pic:spPr>
                    </pic:pic>
                  </a:graphicData>
                </a:graphic>
              </wp:anchor>
            </w:drawing>
          </mc:Fallback>
        </mc:AlternateContent>
      </w:r>
    </w:p>
    <w:p w:rsidR="00705170" w:rsidRDefault="00705170">
      <w:pPr>
        <w:widowControl w:val="0"/>
        <w:pBdr>
          <w:top w:val="nil"/>
          <w:left w:val="nil"/>
          <w:bottom w:val="nil"/>
          <w:right w:val="nil"/>
          <w:between w:val="nil"/>
        </w:pBdr>
        <w:rPr>
          <w:rFonts w:eastAsia="Palatino Linotype" w:cs="Palatino Linotype"/>
          <w:color w:val="000000"/>
          <w:szCs w:val="22"/>
        </w:rPr>
      </w:pPr>
    </w:p>
    <w:p w:rsidR="00705170" w:rsidRDefault="001D19D5">
      <w:pPr>
        <w:widowControl w:val="0"/>
        <w:spacing w:after="240"/>
      </w:pPr>
      <w:r>
        <w:t>Cuyo objetivo es el brindar un control del grado de avance físico y financiero que guarda cada una de las Reparaciones y Mantenimientos de los Municipios y Organismos Descentralizados, formato que deberá elaborarse mensualmente y deberá estar integrado al Informe Trimestral, ya sea que estos hayan tenido movimiento o no durante el trimestre en revisión.</w:t>
      </w:r>
    </w:p>
    <w:p w:rsidR="00705170" w:rsidRDefault="001D19D5">
      <w:pPr>
        <w:widowControl w:val="0"/>
        <w:spacing w:after="240"/>
      </w:pPr>
      <w:r>
        <w:t>Por lo que en ese contexto es dable traer a colación lo previsto por los artículos 93 y 95 de la Ley Orgánica Municipal que establecen lo siguiente:</w:t>
      </w:r>
    </w:p>
    <w:p w:rsidR="00705170" w:rsidRDefault="001D19D5">
      <w:pPr>
        <w:widowControl w:val="0"/>
        <w:pBdr>
          <w:top w:val="nil"/>
          <w:left w:val="nil"/>
          <w:bottom w:val="nil"/>
          <w:right w:val="nil"/>
          <w:between w:val="nil"/>
        </w:pBdr>
        <w:spacing w:line="240" w:lineRule="auto"/>
        <w:ind w:left="851" w:right="822"/>
        <w:rPr>
          <w:rFonts w:eastAsia="Palatino Linotype" w:cs="Palatino Linotype"/>
          <w:i/>
          <w:color w:val="000000"/>
          <w:szCs w:val="22"/>
        </w:rPr>
      </w:pPr>
      <w:r>
        <w:rPr>
          <w:rFonts w:eastAsia="Palatino Linotype" w:cs="Palatino Linotype"/>
          <w:b/>
          <w:i/>
          <w:color w:val="000000"/>
          <w:szCs w:val="22"/>
        </w:rPr>
        <w:t xml:space="preserve">Artículo 93.- </w:t>
      </w:r>
      <w:r>
        <w:rPr>
          <w:rFonts w:eastAsia="Palatino Linotype" w:cs="Palatino Linotype"/>
          <w:i/>
          <w:color w:val="000000"/>
          <w:szCs w:val="22"/>
        </w:rPr>
        <w:t>La tesorería municipal es el órgano encargado de la recaudación de los ingresos municipales y responsable de realizar las erogaciones que haga el ayuntamiento.</w:t>
      </w:r>
    </w:p>
    <w:p w:rsidR="00705170" w:rsidRDefault="00705170">
      <w:pPr>
        <w:widowControl w:val="0"/>
        <w:pBdr>
          <w:top w:val="nil"/>
          <w:left w:val="nil"/>
          <w:bottom w:val="nil"/>
          <w:right w:val="nil"/>
          <w:between w:val="nil"/>
        </w:pBdr>
        <w:spacing w:line="240" w:lineRule="auto"/>
        <w:ind w:left="851" w:right="822"/>
        <w:rPr>
          <w:rFonts w:eastAsia="Palatino Linotype" w:cs="Palatino Linotype"/>
          <w:i/>
          <w:color w:val="000000"/>
          <w:szCs w:val="22"/>
        </w:rPr>
      </w:pPr>
    </w:p>
    <w:p w:rsidR="00705170" w:rsidRDefault="001D19D5">
      <w:pPr>
        <w:widowControl w:val="0"/>
        <w:pBdr>
          <w:top w:val="nil"/>
          <w:left w:val="nil"/>
          <w:bottom w:val="nil"/>
          <w:right w:val="nil"/>
          <w:between w:val="nil"/>
        </w:pBdr>
        <w:spacing w:line="240" w:lineRule="auto"/>
        <w:ind w:left="851" w:right="822"/>
        <w:rPr>
          <w:rFonts w:eastAsia="Palatino Linotype" w:cs="Palatino Linotype"/>
          <w:i/>
          <w:color w:val="000000"/>
          <w:szCs w:val="22"/>
        </w:rPr>
      </w:pPr>
      <w:r>
        <w:rPr>
          <w:rFonts w:eastAsia="Palatino Linotype" w:cs="Palatino Linotype"/>
          <w:b/>
          <w:i/>
          <w:color w:val="000000"/>
          <w:szCs w:val="22"/>
        </w:rPr>
        <w:t>Artículo 95.-</w:t>
      </w:r>
      <w:r>
        <w:rPr>
          <w:rFonts w:eastAsia="Palatino Linotype" w:cs="Palatino Linotype"/>
          <w:i/>
          <w:color w:val="000000"/>
          <w:szCs w:val="22"/>
        </w:rPr>
        <w:t xml:space="preserve"> Son atribuciones del tesorero municipal:</w:t>
      </w:r>
    </w:p>
    <w:p w:rsidR="00705170" w:rsidRDefault="00705170">
      <w:pPr>
        <w:widowControl w:val="0"/>
        <w:pBdr>
          <w:top w:val="nil"/>
          <w:left w:val="nil"/>
          <w:bottom w:val="nil"/>
          <w:right w:val="nil"/>
          <w:between w:val="nil"/>
        </w:pBdr>
        <w:spacing w:line="240" w:lineRule="auto"/>
        <w:ind w:left="851" w:right="822"/>
        <w:rPr>
          <w:rFonts w:eastAsia="Palatino Linotype" w:cs="Palatino Linotype"/>
          <w:i/>
          <w:color w:val="000000"/>
          <w:szCs w:val="22"/>
        </w:rPr>
      </w:pPr>
    </w:p>
    <w:p w:rsidR="00705170" w:rsidRDefault="001D19D5">
      <w:pPr>
        <w:widowControl w:val="0"/>
        <w:pBdr>
          <w:top w:val="nil"/>
          <w:left w:val="nil"/>
          <w:bottom w:val="nil"/>
          <w:right w:val="nil"/>
          <w:between w:val="nil"/>
        </w:pBdr>
        <w:spacing w:line="240" w:lineRule="auto"/>
        <w:ind w:left="851" w:right="822"/>
        <w:rPr>
          <w:rFonts w:eastAsia="Palatino Linotype" w:cs="Palatino Linotype"/>
          <w:b/>
          <w:i/>
          <w:color w:val="000000"/>
          <w:szCs w:val="22"/>
        </w:rPr>
      </w:pPr>
      <w:r>
        <w:rPr>
          <w:rFonts w:eastAsia="Palatino Linotype" w:cs="Palatino Linotype"/>
          <w:b/>
          <w:i/>
          <w:color w:val="000000"/>
          <w:szCs w:val="22"/>
        </w:rPr>
        <w:t>I. Administrar la hacienda pública municipal, de conformidad con las disposiciones legales aplicables;</w:t>
      </w:r>
    </w:p>
    <w:p w:rsidR="00705170" w:rsidRDefault="001D19D5">
      <w:pPr>
        <w:widowControl w:val="0"/>
        <w:pBdr>
          <w:top w:val="nil"/>
          <w:left w:val="nil"/>
          <w:bottom w:val="nil"/>
          <w:right w:val="nil"/>
          <w:between w:val="nil"/>
        </w:pBdr>
        <w:spacing w:line="240" w:lineRule="auto"/>
        <w:ind w:left="851" w:right="822"/>
        <w:rPr>
          <w:rFonts w:eastAsia="Palatino Linotype" w:cs="Palatino Linotype"/>
          <w:i/>
          <w:color w:val="000000"/>
          <w:szCs w:val="22"/>
        </w:rPr>
      </w:pPr>
      <w:r>
        <w:rPr>
          <w:rFonts w:eastAsia="Palatino Linotype" w:cs="Palatino Linotype"/>
          <w:i/>
          <w:color w:val="000000"/>
          <w:szCs w:val="22"/>
        </w:rPr>
        <w:t>(…)</w:t>
      </w:r>
    </w:p>
    <w:p w:rsidR="00705170" w:rsidRDefault="001D19D5">
      <w:pPr>
        <w:widowControl w:val="0"/>
        <w:pBdr>
          <w:top w:val="nil"/>
          <w:left w:val="nil"/>
          <w:bottom w:val="nil"/>
          <w:right w:val="nil"/>
          <w:between w:val="nil"/>
        </w:pBdr>
        <w:spacing w:line="240" w:lineRule="auto"/>
        <w:ind w:left="851" w:right="822"/>
        <w:rPr>
          <w:rFonts w:eastAsia="Palatino Linotype" w:cs="Palatino Linotype"/>
          <w:b/>
          <w:i/>
          <w:color w:val="000000"/>
          <w:szCs w:val="22"/>
        </w:rPr>
      </w:pPr>
      <w:r>
        <w:rPr>
          <w:rFonts w:eastAsia="Palatino Linotype" w:cs="Palatino Linotype"/>
          <w:b/>
          <w:i/>
          <w:color w:val="000000"/>
          <w:szCs w:val="22"/>
        </w:rPr>
        <w:t>IV. Llevar los registros contables, financieros y administrativos de los ingresos, egresos, e inventarios;</w:t>
      </w:r>
    </w:p>
    <w:p w:rsidR="00705170" w:rsidRDefault="001D19D5">
      <w:pPr>
        <w:widowControl w:val="0"/>
        <w:pBdr>
          <w:top w:val="nil"/>
          <w:left w:val="nil"/>
          <w:bottom w:val="nil"/>
          <w:right w:val="nil"/>
          <w:between w:val="nil"/>
        </w:pBdr>
        <w:spacing w:line="240" w:lineRule="auto"/>
        <w:ind w:left="851" w:right="822"/>
        <w:rPr>
          <w:rFonts w:eastAsia="Palatino Linotype" w:cs="Palatino Linotype"/>
          <w:b/>
          <w:i/>
          <w:color w:val="000000"/>
          <w:szCs w:val="22"/>
        </w:rPr>
      </w:pPr>
      <w:r>
        <w:rPr>
          <w:rFonts w:eastAsia="Palatino Linotype" w:cs="Palatino Linotype"/>
          <w:b/>
          <w:i/>
          <w:color w:val="000000"/>
          <w:szCs w:val="22"/>
        </w:rPr>
        <w:t>(…)</w:t>
      </w:r>
    </w:p>
    <w:p w:rsidR="00705170" w:rsidRDefault="00705170">
      <w:pPr>
        <w:widowControl w:val="0"/>
        <w:pBdr>
          <w:top w:val="nil"/>
          <w:left w:val="nil"/>
          <w:bottom w:val="nil"/>
          <w:right w:val="nil"/>
          <w:between w:val="nil"/>
        </w:pBdr>
        <w:rPr>
          <w:rFonts w:eastAsia="Palatino Linotype" w:cs="Palatino Linotype"/>
          <w:color w:val="000000"/>
          <w:szCs w:val="22"/>
        </w:rPr>
      </w:pPr>
    </w:p>
    <w:p w:rsidR="00705170" w:rsidRDefault="001D19D5">
      <w:pPr>
        <w:widowControl w:val="0"/>
        <w:pBdr>
          <w:top w:val="nil"/>
          <w:left w:val="nil"/>
          <w:bottom w:val="nil"/>
          <w:right w:val="nil"/>
          <w:between w:val="nil"/>
        </w:pBdr>
        <w:rPr>
          <w:rFonts w:eastAsia="Palatino Linotype" w:cs="Palatino Linotype"/>
          <w:color w:val="000000"/>
          <w:szCs w:val="22"/>
        </w:rPr>
      </w:pPr>
      <w:r>
        <w:rPr>
          <w:rFonts w:eastAsia="Palatino Linotype" w:cs="Palatino Linotype"/>
          <w:color w:val="000000"/>
          <w:szCs w:val="22"/>
        </w:rPr>
        <w:t>Por su parte el Bando Municipal de Policía y Gobierno 2024 del Municipio de Temamatla, establecen en sus artículos 57, 58 y 59 lo siguiente:</w:t>
      </w:r>
    </w:p>
    <w:p w:rsidR="00705170" w:rsidRDefault="00705170">
      <w:pPr>
        <w:widowControl w:val="0"/>
        <w:pBdr>
          <w:top w:val="nil"/>
          <w:left w:val="nil"/>
          <w:bottom w:val="nil"/>
          <w:right w:val="nil"/>
          <w:between w:val="nil"/>
        </w:pBdr>
        <w:rPr>
          <w:rFonts w:eastAsia="Palatino Linotype" w:cs="Palatino Linotype"/>
          <w:color w:val="000000"/>
          <w:szCs w:val="22"/>
        </w:rPr>
      </w:pPr>
    </w:p>
    <w:p w:rsidR="00705170" w:rsidRDefault="001D19D5">
      <w:pPr>
        <w:widowControl w:val="0"/>
        <w:pBdr>
          <w:top w:val="nil"/>
          <w:left w:val="nil"/>
          <w:bottom w:val="nil"/>
          <w:right w:val="nil"/>
          <w:between w:val="nil"/>
        </w:pBdr>
        <w:spacing w:line="240" w:lineRule="auto"/>
        <w:ind w:left="851" w:right="822"/>
        <w:rPr>
          <w:rFonts w:eastAsia="Palatino Linotype" w:cs="Palatino Linotype"/>
          <w:i/>
          <w:color w:val="000000"/>
          <w:szCs w:val="22"/>
        </w:rPr>
      </w:pPr>
      <w:r>
        <w:rPr>
          <w:rFonts w:eastAsia="Palatino Linotype" w:cs="Palatino Linotype"/>
          <w:b/>
          <w:i/>
          <w:color w:val="000000"/>
          <w:szCs w:val="22"/>
        </w:rPr>
        <w:t>Artículo 57.-</w:t>
      </w:r>
      <w:r>
        <w:rPr>
          <w:rFonts w:eastAsia="Palatino Linotype" w:cs="Palatino Linotype"/>
          <w:i/>
          <w:color w:val="000000"/>
          <w:szCs w:val="22"/>
        </w:rPr>
        <w:t xml:space="preserve"> La Tesorería Municipal se encargará de la recaudación de los ingresos municipales y es responsable de realizar las erogaciones que haga el Ayuntamiento.</w:t>
      </w:r>
    </w:p>
    <w:p w:rsidR="00705170" w:rsidRDefault="00705170">
      <w:pPr>
        <w:widowControl w:val="0"/>
        <w:pBdr>
          <w:top w:val="nil"/>
          <w:left w:val="nil"/>
          <w:bottom w:val="nil"/>
          <w:right w:val="nil"/>
          <w:between w:val="nil"/>
        </w:pBdr>
        <w:spacing w:line="240" w:lineRule="auto"/>
        <w:ind w:left="851" w:right="822"/>
        <w:rPr>
          <w:rFonts w:eastAsia="Palatino Linotype" w:cs="Palatino Linotype"/>
          <w:i/>
          <w:color w:val="000000"/>
          <w:szCs w:val="22"/>
        </w:rPr>
      </w:pPr>
    </w:p>
    <w:p w:rsidR="00705170" w:rsidRDefault="001D19D5">
      <w:pPr>
        <w:widowControl w:val="0"/>
        <w:pBdr>
          <w:top w:val="nil"/>
          <w:left w:val="nil"/>
          <w:bottom w:val="nil"/>
          <w:right w:val="nil"/>
          <w:between w:val="nil"/>
        </w:pBdr>
        <w:spacing w:line="240" w:lineRule="auto"/>
        <w:ind w:left="851" w:right="822"/>
        <w:rPr>
          <w:rFonts w:eastAsia="Palatino Linotype" w:cs="Palatino Linotype"/>
          <w:i/>
          <w:color w:val="000000"/>
          <w:szCs w:val="22"/>
        </w:rPr>
      </w:pPr>
      <w:r>
        <w:rPr>
          <w:rFonts w:eastAsia="Palatino Linotype" w:cs="Palatino Linotype"/>
          <w:b/>
          <w:i/>
          <w:color w:val="000000"/>
          <w:szCs w:val="22"/>
        </w:rPr>
        <w:t>Artículo 58.-</w:t>
      </w:r>
      <w:r>
        <w:rPr>
          <w:rFonts w:eastAsia="Palatino Linotype" w:cs="Palatino Linotype"/>
          <w:i/>
          <w:color w:val="000000"/>
          <w:szCs w:val="22"/>
        </w:rPr>
        <w:t xml:space="preserve"> La Tesorería Municipal aplicará las disposiciones financieras, de disciplina y de contabilidad del gasto público inherentes a su encargo, acorde a la legislación aplicable y vigente.</w:t>
      </w:r>
    </w:p>
    <w:p w:rsidR="00705170" w:rsidRDefault="00705170">
      <w:pPr>
        <w:widowControl w:val="0"/>
        <w:pBdr>
          <w:top w:val="nil"/>
          <w:left w:val="nil"/>
          <w:bottom w:val="nil"/>
          <w:right w:val="nil"/>
          <w:between w:val="nil"/>
        </w:pBdr>
        <w:spacing w:line="240" w:lineRule="auto"/>
        <w:ind w:left="851" w:right="822"/>
        <w:rPr>
          <w:rFonts w:eastAsia="Palatino Linotype" w:cs="Palatino Linotype"/>
          <w:i/>
          <w:color w:val="000000"/>
          <w:szCs w:val="22"/>
        </w:rPr>
      </w:pPr>
    </w:p>
    <w:p w:rsidR="00705170" w:rsidRDefault="001D19D5">
      <w:pPr>
        <w:widowControl w:val="0"/>
        <w:pBdr>
          <w:top w:val="nil"/>
          <w:left w:val="nil"/>
          <w:bottom w:val="nil"/>
          <w:right w:val="nil"/>
          <w:between w:val="nil"/>
        </w:pBdr>
        <w:spacing w:line="240" w:lineRule="auto"/>
        <w:ind w:left="851" w:right="822"/>
        <w:rPr>
          <w:rFonts w:eastAsia="Palatino Linotype" w:cs="Palatino Linotype"/>
          <w:i/>
          <w:color w:val="000000"/>
          <w:szCs w:val="22"/>
        </w:rPr>
      </w:pPr>
      <w:r>
        <w:rPr>
          <w:rFonts w:eastAsia="Palatino Linotype" w:cs="Palatino Linotype"/>
          <w:b/>
          <w:i/>
          <w:color w:val="000000"/>
          <w:szCs w:val="22"/>
        </w:rPr>
        <w:lastRenderedPageBreak/>
        <w:t>Artículo 59.-</w:t>
      </w:r>
      <w:r>
        <w:rPr>
          <w:rFonts w:eastAsia="Palatino Linotype" w:cs="Palatino Linotype"/>
          <w:i/>
          <w:color w:val="000000"/>
          <w:szCs w:val="22"/>
        </w:rPr>
        <w:t xml:space="preserve"> La Tesorería Municipal, administra la hacienda pública de acuerdo a</w:t>
      </w:r>
    </w:p>
    <w:p w:rsidR="00705170" w:rsidRDefault="001D19D5">
      <w:pPr>
        <w:widowControl w:val="0"/>
        <w:pBdr>
          <w:top w:val="nil"/>
          <w:left w:val="nil"/>
          <w:bottom w:val="nil"/>
          <w:right w:val="nil"/>
          <w:between w:val="nil"/>
        </w:pBdr>
        <w:spacing w:line="240" w:lineRule="auto"/>
        <w:ind w:left="851" w:right="822"/>
        <w:rPr>
          <w:rFonts w:eastAsia="Palatino Linotype" w:cs="Palatino Linotype"/>
          <w:color w:val="000000"/>
          <w:szCs w:val="22"/>
        </w:rPr>
      </w:pPr>
      <w:proofErr w:type="gramStart"/>
      <w:r>
        <w:rPr>
          <w:rFonts w:eastAsia="Palatino Linotype" w:cs="Palatino Linotype"/>
          <w:i/>
          <w:color w:val="000000"/>
          <w:szCs w:val="22"/>
        </w:rPr>
        <w:t>las</w:t>
      </w:r>
      <w:proofErr w:type="gramEnd"/>
      <w:r>
        <w:rPr>
          <w:rFonts w:eastAsia="Palatino Linotype" w:cs="Palatino Linotype"/>
          <w:i/>
          <w:color w:val="000000"/>
          <w:szCs w:val="22"/>
        </w:rPr>
        <w:t xml:space="preserve"> disposiciones normativas aplicables.</w:t>
      </w:r>
    </w:p>
    <w:p w:rsidR="00705170" w:rsidRDefault="001D19D5">
      <w:r>
        <w:t xml:space="preserve">Referido lo anterior, es necesario hacer referencia al </w:t>
      </w:r>
      <w:r>
        <w:rPr>
          <w:b/>
        </w:rPr>
        <w:t>procedimiento de búsqueda que deben de seguir los Sujetos Obligados para localizar la información</w:t>
      </w:r>
      <w:r>
        <w:t>, el cual se encuentra previsto en los artículos 160 y 162 de la Ley de Transparencia local, mismo que es el siguiente:</w:t>
      </w:r>
    </w:p>
    <w:p w:rsidR="00705170" w:rsidRDefault="00705170"/>
    <w:p w:rsidR="00705170" w:rsidRDefault="001D19D5">
      <w:pPr>
        <w:numPr>
          <w:ilvl w:val="0"/>
          <w:numId w:val="2"/>
        </w:numPr>
      </w:pPr>
      <w:r>
        <w:t>Las Unidades de Transparencia garantizarán que las solicitudes de acceso a la información se turnen a todas las áreas competentes que cuenten con la información o deban tenerla de acuerdo a las facultades, competencias y funciones-, con el objeto de que dichas áreas realicen una búsqueda exhaustiva y razonable de la información requerida, y</w:t>
      </w:r>
    </w:p>
    <w:p w:rsidR="00705170" w:rsidRDefault="00705170">
      <w:pPr>
        <w:ind w:left="720"/>
      </w:pPr>
    </w:p>
    <w:p w:rsidR="00705170" w:rsidRDefault="001D19D5">
      <w:pPr>
        <w:numPr>
          <w:ilvl w:val="0"/>
          <w:numId w:val="2"/>
        </w:numPr>
        <w:spacing w:after="240"/>
      </w:pPr>
      <w:r>
        <w:t>Los sujetos obligados otorgaran acceso a los documentos que se encuentren en sus archivos o que estén obligados a documentar de acuerdo con sus facultades, competencias o funciones, en el formato en que el solicitante manifieste, de entre aquellos formatos existentes.</w:t>
      </w:r>
    </w:p>
    <w:p w:rsidR="00705170" w:rsidRDefault="001D19D5">
      <w:pPr>
        <w:ind w:right="-28"/>
      </w:pPr>
      <w:r>
        <w:t xml:space="preserve">Así, este Órgano Garante considera que </w:t>
      </w:r>
      <w:r>
        <w:rPr>
          <w:b/>
        </w:rPr>
        <w:t>EL SUJETO OBLIGADO</w:t>
      </w:r>
      <w:r>
        <w:t xml:space="preserve"> no cumplió con el procedimiento de búsqueda exhaustiva y razonable, pues no gestionó la solicitud de información en las diversas unidades en donde pudiera obrar la citada información, las cuales de manera enunciativa más no limitativa puede ser: </w:t>
      </w:r>
      <w:r>
        <w:rPr>
          <w:i/>
        </w:rPr>
        <w:t xml:space="preserve">La Tesorería Municipal </w:t>
      </w:r>
      <w:r>
        <w:t>o cualquier área donde de acuerdo a sus facultades se cuente con la información solicitada.</w:t>
      </w:r>
    </w:p>
    <w:p w:rsidR="00705170" w:rsidRDefault="00705170">
      <w:pPr>
        <w:widowControl w:val="0"/>
        <w:pBdr>
          <w:top w:val="nil"/>
          <w:left w:val="nil"/>
          <w:bottom w:val="nil"/>
          <w:right w:val="nil"/>
          <w:between w:val="nil"/>
        </w:pBdr>
        <w:rPr>
          <w:rFonts w:eastAsia="Palatino Linotype" w:cs="Palatino Linotype"/>
          <w:color w:val="000000"/>
          <w:szCs w:val="22"/>
        </w:rPr>
      </w:pPr>
    </w:p>
    <w:p w:rsidR="00705170" w:rsidRDefault="001D19D5">
      <w:pPr>
        <w:widowControl w:val="0"/>
        <w:pBdr>
          <w:top w:val="nil"/>
          <w:left w:val="nil"/>
          <w:bottom w:val="nil"/>
          <w:right w:val="nil"/>
          <w:between w:val="nil"/>
        </w:pBdr>
        <w:rPr>
          <w:rFonts w:eastAsia="Palatino Linotype" w:cs="Palatino Linotype"/>
          <w:color w:val="000000"/>
          <w:szCs w:val="22"/>
        </w:rPr>
      </w:pPr>
      <w:r>
        <w:rPr>
          <w:rFonts w:eastAsia="Palatino Linotype" w:cs="Palatino Linotype"/>
          <w:color w:val="000000"/>
          <w:szCs w:val="22"/>
        </w:rPr>
        <w:t xml:space="preserve">Por lo anteriormente descrito este instituto estima pertinente ordenar la entrega previa búsqueda exhaustiva y razonable de ser procedente en versión pública los formatos de informe mensual de reparación y mantenimiento (IMROM), enviados mensualmente al </w:t>
      </w:r>
      <w:r>
        <w:rPr>
          <w:rFonts w:eastAsia="Palatino Linotype" w:cs="Palatino Linotype"/>
          <w:color w:val="000000"/>
          <w:szCs w:val="22"/>
        </w:rPr>
        <w:lastRenderedPageBreak/>
        <w:t>Órgano Superior de Fiscalización por el periodo comprendido del primero de enero de dos mil veintidós al cuatro de octubre de dos mil veinticuatro.</w:t>
      </w:r>
    </w:p>
    <w:p w:rsidR="00705170" w:rsidRDefault="00705170">
      <w:pPr>
        <w:widowControl w:val="0"/>
        <w:pBdr>
          <w:top w:val="nil"/>
          <w:left w:val="nil"/>
          <w:bottom w:val="nil"/>
          <w:right w:val="nil"/>
          <w:between w:val="nil"/>
        </w:pBdr>
        <w:rPr>
          <w:rFonts w:eastAsia="Palatino Linotype" w:cs="Palatino Linotype"/>
          <w:color w:val="000000"/>
          <w:szCs w:val="22"/>
        </w:rPr>
      </w:pPr>
    </w:p>
    <w:p w:rsidR="00705170" w:rsidRDefault="001D19D5">
      <w:pPr>
        <w:pStyle w:val="Ttulo3"/>
      </w:pPr>
      <w:bookmarkStart w:id="38" w:name="_heading=h.ihv636" w:colFirst="0" w:colLast="0"/>
      <w:bookmarkEnd w:id="38"/>
      <w:r>
        <w:t>d) Versión pública</w:t>
      </w:r>
    </w:p>
    <w:p w:rsidR="00705170" w:rsidRDefault="001D19D5">
      <w:r>
        <w:t xml:space="preserve">Para el caso de que el o los documentos de los cuales se ordena su entrega contengan datos personales susceptibles de ser testados, deberán ser entregados en </w:t>
      </w:r>
      <w:r>
        <w:rPr>
          <w:b/>
        </w:rPr>
        <w:t>versión pública</w:t>
      </w:r>
      <w:r>
        <w:t>, pues el derecho de acceso a la información tiene como limitante el respeto a la intimidad y a la vida privada de las personas, es por ello que este Instituto debe cuidar que los datos personales que obren en poder de los Sujetos Obligados sean protegidos y únicamente se den a conocer aquéllos que abonen a la rendición de cuentas y a la transparencia en el ejercicio de las atribuciones que tienen conferidas. 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rsidR="00705170" w:rsidRDefault="00705170"/>
    <w:p w:rsidR="00705170" w:rsidRDefault="001D19D5">
      <w:r>
        <w:t>A este respecto, los artículos 3, fracciones IX, XX, XXI y XLV; 51 y 52 de la Ley de Transparencia y Acceso a la Información Pública del Estado de México y Municipios establecen:</w:t>
      </w:r>
    </w:p>
    <w:p w:rsidR="00705170" w:rsidRDefault="00705170">
      <w:pPr>
        <w:spacing w:line="240" w:lineRule="auto"/>
        <w:ind w:left="851" w:right="822"/>
      </w:pPr>
    </w:p>
    <w:p w:rsidR="00705170" w:rsidRDefault="001D19D5">
      <w:pPr>
        <w:pStyle w:val="Puesto"/>
        <w:ind w:left="851" w:right="822"/>
      </w:pPr>
      <w:r>
        <w:rPr>
          <w:b/>
        </w:rPr>
        <w:t xml:space="preserve">“Artículo 3. </w:t>
      </w:r>
      <w:r>
        <w:t xml:space="preserve">Para los efectos de la presente Ley se entenderá por: </w:t>
      </w:r>
    </w:p>
    <w:p w:rsidR="00705170" w:rsidRDefault="001D19D5">
      <w:pPr>
        <w:pStyle w:val="Puesto"/>
        <w:ind w:left="851" w:right="822"/>
      </w:pPr>
      <w:r>
        <w:rPr>
          <w:b/>
        </w:rPr>
        <w:t>IX.</w:t>
      </w:r>
      <w:r>
        <w:t xml:space="preserve"> </w:t>
      </w:r>
      <w:r>
        <w:rPr>
          <w:b/>
        </w:rPr>
        <w:t xml:space="preserve">Datos personales: </w:t>
      </w:r>
      <w:r>
        <w:t xml:space="preserve">La información concerniente a una persona, identificada o identificable según lo dispuesto por la Ley de Protección de Datos Personales del Estado de México; </w:t>
      </w:r>
    </w:p>
    <w:p w:rsidR="00705170" w:rsidRDefault="00705170">
      <w:pPr>
        <w:spacing w:line="240" w:lineRule="auto"/>
        <w:ind w:left="851" w:right="822"/>
      </w:pPr>
    </w:p>
    <w:p w:rsidR="00705170" w:rsidRDefault="001D19D5">
      <w:pPr>
        <w:pStyle w:val="Puesto"/>
        <w:ind w:left="851" w:right="822"/>
      </w:pPr>
      <w:r>
        <w:rPr>
          <w:b/>
        </w:rPr>
        <w:t>XX.</w:t>
      </w:r>
      <w:r>
        <w:t xml:space="preserve"> </w:t>
      </w:r>
      <w:r>
        <w:rPr>
          <w:b/>
        </w:rPr>
        <w:t>Información clasificada:</w:t>
      </w:r>
      <w:r>
        <w:t xml:space="preserve"> Aquella considerada por la presente Ley como reservada o confidencial; </w:t>
      </w:r>
    </w:p>
    <w:p w:rsidR="00705170" w:rsidRDefault="00705170">
      <w:pPr>
        <w:spacing w:line="240" w:lineRule="auto"/>
        <w:ind w:left="851" w:right="822"/>
      </w:pPr>
    </w:p>
    <w:p w:rsidR="00705170" w:rsidRDefault="001D19D5">
      <w:pPr>
        <w:pStyle w:val="Puesto"/>
        <w:ind w:left="851" w:right="822"/>
      </w:pPr>
      <w:r>
        <w:rPr>
          <w:b/>
        </w:rPr>
        <w:t>XXI.</w:t>
      </w:r>
      <w:r>
        <w:t xml:space="preserve"> </w:t>
      </w:r>
      <w:r>
        <w:rPr>
          <w:b/>
        </w:rPr>
        <w:t>Información confidencial</w:t>
      </w:r>
      <w:r>
        <w:t xml:space="preserve">: Se considera como información confidencial los secretos bancario, fiduciario, industrial, comercial, fiscal, bursátil y postal, cuya </w:t>
      </w:r>
      <w:r>
        <w:lastRenderedPageBreak/>
        <w:t xml:space="preserve">titularidad corresponda a particulares, sujetos de derecho internacional o a sujetos obligados cuando no involucren el ejercicio de recursos públicos; </w:t>
      </w:r>
    </w:p>
    <w:p w:rsidR="00705170" w:rsidRDefault="00705170">
      <w:pPr>
        <w:spacing w:line="240" w:lineRule="auto"/>
        <w:ind w:left="851" w:right="822"/>
      </w:pPr>
    </w:p>
    <w:p w:rsidR="00705170" w:rsidRDefault="001D19D5">
      <w:pPr>
        <w:pStyle w:val="Puesto"/>
        <w:ind w:left="851" w:right="822"/>
      </w:pPr>
      <w:r>
        <w:rPr>
          <w:b/>
        </w:rPr>
        <w:t>XLV. Versión pública:</w:t>
      </w:r>
      <w:r>
        <w:t xml:space="preserve"> Documento en el que se elimine, suprime o borra la información clasificada como reservada o confidencial para permitir su acceso. </w:t>
      </w:r>
    </w:p>
    <w:p w:rsidR="00705170" w:rsidRDefault="00705170">
      <w:pPr>
        <w:spacing w:line="240" w:lineRule="auto"/>
        <w:ind w:left="851" w:right="822"/>
      </w:pPr>
    </w:p>
    <w:p w:rsidR="00705170" w:rsidRDefault="001D19D5">
      <w:pPr>
        <w:pStyle w:val="Puesto"/>
        <w:ind w:left="851" w:right="822"/>
      </w:pPr>
      <w:r>
        <w:rPr>
          <w:b/>
        </w:rPr>
        <w:t>Artículo 51.</w:t>
      </w:r>
      <w:r>
        <w:t xml:space="preserve"> Los sujetos obligados designaran a un responsable para atender la Unidad de Transparencia, quien fungirá como enlace entre éstos y los solicitantes. Dicha Unidad será la encargada de tramitar internamente la solicitud de información </w:t>
      </w:r>
      <w:r>
        <w:rPr>
          <w:b/>
        </w:rPr>
        <w:t xml:space="preserve">y tendrá la responsabilidad de verificar en cada caso que la misma no sea confidencial o reservada. </w:t>
      </w:r>
      <w:r>
        <w:t>Dicha Unidad contará con las facultades internas necesarias para gestionar la atención a las solicitudes de información en los términos de la Ley General y la presente Ley.</w:t>
      </w:r>
    </w:p>
    <w:p w:rsidR="00705170" w:rsidRDefault="00705170">
      <w:pPr>
        <w:spacing w:line="240" w:lineRule="auto"/>
        <w:ind w:left="851" w:right="822"/>
      </w:pPr>
    </w:p>
    <w:p w:rsidR="00705170" w:rsidRDefault="001D19D5">
      <w:pPr>
        <w:pStyle w:val="Puesto"/>
        <w:ind w:left="851" w:right="822"/>
      </w:pPr>
      <w:r>
        <w:rPr>
          <w:b/>
        </w:rPr>
        <w:t>Artículo 52.</w:t>
      </w:r>
      <w:r>
        <w:t xml:space="preserve"> Las solicitudes de acceso a la información y las respuestas que se les dé, incluyendo, en su caso, </w:t>
      </w:r>
      <w:r>
        <w:rPr>
          <w:u w:val="single"/>
        </w:rPr>
        <w:t>la información entregada, así como las resoluciones a los recursos que en su caso se promuevan serán públicas, y de ser el caso que contenga datos personales que deban ser protegidos se podrá dar su acceso en su versión pública</w:t>
      </w:r>
      <w:r>
        <w:t xml:space="preserve">, siempre y cuando la resolución de referencia se someta a un proceso de disociación, es decir, no haga identificable al titular de tales datos personales.” </w:t>
      </w:r>
      <w:r>
        <w:rPr>
          <w:i w:val="0"/>
        </w:rPr>
        <w:t>(Énfasis añadido)</w:t>
      </w:r>
    </w:p>
    <w:p w:rsidR="00705170" w:rsidRDefault="00705170"/>
    <w:p w:rsidR="00705170" w:rsidRDefault="001D19D5">
      <w:r>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considerando además, que conforme al principio de finalidad, todo tratamiento de datos personales que se efectúe deberá estar justificado en la Ley, lo anterior en términos de lo dispuesto por el artículo 22, párrafo primero, relacionado con el 38 de la Ley de Protección de Datos Personales en Posesión de Sujetos Obligados del Estado de México y Municipios, los cuales se transcriben para mayor referencia: </w:t>
      </w:r>
    </w:p>
    <w:p w:rsidR="00705170" w:rsidRDefault="00705170"/>
    <w:p w:rsidR="00705170" w:rsidRDefault="001D19D5">
      <w:pPr>
        <w:pStyle w:val="Puesto"/>
        <w:tabs>
          <w:tab w:val="left" w:pos="8222"/>
        </w:tabs>
        <w:ind w:left="851" w:right="822"/>
      </w:pPr>
      <w:r>
        <w:rPr>
          <w:b/>
        </w:rPr>
        <w:lastRenderedPageBreak/>
        <w:t>“Artículo 22.</w:t>
      </w:r>
      <w:r>
        <w:t xml:space="preserve"> Todo tratamiento de datos personales que efectúe el responsable deberá estar justificado por finalidades concretas, lícitas, explícitas y legítimas, relacionadas con las atribuciones que la normatividad aplicable les confiera. </w:t>
      </w:r>
    </w:p>
    <w:p w:rsidR="00705170" w:rsidRDefault="00705170">
      <w:pPr>
        <w:tabs>
          <w:tab w:val="left" w:pos="8222"/>
        </w:tabs>
        <w:spacing w:line="240" w:lineRule="auto"/>
        <w:ind w:left="851" w:right="822"/>
      </w:pPr>
    </w:p>
    <w:p w:rsidR="00705170" w:rsidRDefault="001D19D5">
      <w:pPr>
        <w:pStyle w:val="Puesto"/>
        <w:tabs>
          <w:tab w:val="left" w:pos="8222"/>
        </w:tabs>
        <w:ind w:left="851" w:right="822"/>
      </w:pPr>
      <w:r>
        <w:rPr>
          <w:b/>
        </w:rPr>
        <w:t>Artículo 38.</w:t>
      </w:r>
      <w:r>
        <w:t xml:space="preserve"> Con independencia del tipo de sistema y base de datos en el que se encuentren los datos personales o el tipo de tratamiento que se efectúe, el responsable adoptará, establecerá, mantendrá y documentará las medidas de seguridad administrativas, físicas y técnicas para garantizar la integridad, confidencialidad y disponibilidad de los datos personales, a través de controles y acciones que eviten su daño, alteración, pérdida, destrucción, o el uso, transferencia, acceso o cualquier tratamiento no autorizado o ilícito, de conformidad con lo dispuesto en los lineamientos que al efecto se expidan.</w:t>
      </w:r>
      <w:r>
        <w:rPr>
          <w:b/>
        </w:rPr>
        <w:t>”</w:t>
      </w:r>
      <w:r>
        <w:t xml:space="preserve"> </w:t>
      </w:r>
    </w:p>
    <w:p w:rsidR="00705170" w:rsidRDefault="00705170">
      <w:pPr>
        <w:rPr>
          <w:i/>
        </w:rPr>
      </w:pPr>
    </w:p>
    <w:p w:rsidR="00705170" w:rsidRDefault="001D19D5">
      <w:r>
        <w:t xml:space="preserve">De este modo, en armonía entre los principios constitucionales de máxima publicidad y de protección de datos personales, la Ley de la materia permite la elaboración de versiones públicas en las que se suprima aquella información relacionada con la vida privada de los particulares toda vez que ésta tiene por objeto proteger datos personales, entendiéndose por tales, aquéllos que hacen identificable a una persona. </w:t>
      </w:r>
    </w:p>
    <w:p w:rsidR="00705170" w:rsidRDefault="00705170"/>
    <w:p w:rsidR="00705170" w:rsidRDefault="001D19D5">
      <w:r>
        <w:t xml:space="preserve">Lo anterior es así, en virtud de que toda la información relativa a una persona física o jurídico colectiva que le pueda hacer identificada o identificable constituye un dato personal en términos del artículo 4, fracción XI de la Ley de Protección de Datos Personales en Posesión de Sujetos Obligados del Estado de México y Municipios; por consiguiente, se trata de información confidencial que debe ser protegida por </w:t>
      </w:r>
      <w:r>
        <w:rPr>
          <w:b/>
        </w:rPr>
        <w:t>EL SUJETO OBLIGADO,</w:t>
      </w:r>
      <w:r>
        <w:t xml:space="preserve"> por lo que, todo dato personal susceptible de clasificación debe ser protegido.</w:t>
      </w:r>
    </w:p>
    <w:p w:rsidR="00705170" w:rsidRDefault="00705170"/>
    <w:p w:rsidR="00705170" w:rsidRDefault="001D19D5">
      <w:r>
        <w:t xml:space="preserve">La finalidad de la versión pública es salvaguardar la vida, integridad, seguridad, patrimonio y privacidad de las personas; de tal manera que, todo aquello que no tenga por objeto proteger </w:t>
      </w:r>
      <w:r>
        <w:lastRenderedPageBreak/>
        <w:t>lo anterior, es susceptible de ser entregado. En otras palabras, la protección de datos personales es una derivación del derecho a la intimidad.</w:t>
      </w:r>
    </w:p>
    <w:p w:rsidR="00705170" w:rsidRDefault="00705170"/>
    <w:p w:rsidR="00705170" w:rsidRDefault="001D19D5">
      <w:r>
        <w:t>Asimismo, es importante señalar que dicha clasificación se tiene que efectuar mediante la forma y formalidades que la ley de la materia impone; es decir, mediante acuerdo debidamente fundado y motivado de su Comité de Transparencia, en términos de los artículos 49, fracción VIII y 132, fracciones II y III de la Ley de Transparencia y Acceso a la Información Pública del Estado de México y Municipios, así como los numerales Segundo, fracción XVIII,  y del Cuarto al Décimo Primero de los Lineamientos Generales en materia de Clasificación y Desclasificación de la Información, así como para la elaboración de Versiones Públicas, que literalmente expresan:</w:t>
      </w:r>
    </w:p>
    <w:p w:rsidR="00705170" w:rsidRDefault="00705170"/>
    <w:p w:rsidR="00705170" w:rsidRDefault="001D19D5">
      <w:pPr>
        <w:spacing w:line="240" w:lineRule="auto"/>
        <w:ind w:left="851" w:right="822"/>
        <w:jc w:val="center"/>
        <w:rPr>
          <w:b/>
          <w:i/>
        </w:rPr>
      </w:pPr>
      <w:r>
        <w:rPr>
          <w:b/>
          <w:i/>
        </w:rPr>
        <w:t>Ley de Transparencia y Acceso a la Información Pública del Estado de México y Municipios</w:t>
      </w:r>
    </w:p>
    <w:p w:rsidR="00705170" w:rsidRDefault="00705170">
      <w:pPr>
        <w:spacing w:line="240" w:lineRule="auto"/>
        <w:ind w:left="851" w:right="822"/>
      </w:pPr>
    </w:p>
    <w:p w:rsidR="00705170" w:rsidRDefault="001D19D5">
      <w:pPr>
        <w:pStyle w:val="Puesto"/>
        <w:ind w:left="851" w:right="822"/>
      </w:pPr>
      <w:r>
        <w:rPr>
          <w:b/>
        </w:rPr>
        <w:t xml:space="preserve">“Artículo 49. </w:t>
      </w:r>
      <w:r>
        <w:t>Los Comités de Transparencia tendrán las siguientes atribuciones:</w:t>
      </w:r>
    </w:p>
    <w:p w:rsidR="00705170" w:rsidRDefault="001D19D5">
      <w:pPr>
        <w:pStyle w:val="Puesto"/>
        <w:ind w:left="851" w:right="822"/>
      </w:pPr>
      <w:r>
        <w:rPr>
          <w:b/>
        </w:rPr>
        <w:t>VIII.</w:t>
      </w:r>
      <w:r>
        <w:t xml:space="preserve"> Aprobar, modificar o revocar la clasificación de la información;</w:t>
      </w:r>
    </w:p>
    <w:p w:rsidR="00705170" w:rsidRDefault="00705170">
      <w:pPr>
        <w:spacing w:line="240" w:lineRule="auto"/>
        <w:ind w:left="851" w:right="822"/>
      </w:pPr>
    </w:p>
    <w:p w:rsidR="00705170" w:rsidRDefault="001D19D5">
      <w:pPr>
        <w:pStyle w:val="Puesto"/>
        <w:ind w:left="851" w:right="822"/>
      </w:pPr>
      <w:r>
        <w:rPr>
          <w:b/>
        </w:rPr>
        <w:t>Artículo 132.</w:t>
      </w:r>
      <w:r>
        <w:t xml:space="preserve"> La clasificación de la información se llevará a cabo en el momento en que:</w:t>
      </w:r>
    </w:p>
    <w:p w:rsidR="00705170" w:rsidRDefault="001D19D5">
      <w:pPr>
        <w:pStyle w:val="Puesto"/>
        <w:ind w:left="851" w:right="822"/>
      </w:pPr>
      <w:r>
        <w:rPr>
          <w:b/>
        </w:rPr>
        <w:t>I.</w:t>
      </w:r>
      <w:r>
        <w:t xml:space="preserve"> Se reciba una solicitud de acceso a la información;</w:t>
      </w:r>
    </w:p>
    <w:p w:rsidR="00705170" w:rsidRDefault="001D19D5">
      <w:pPr>
        <w:pStyle w:val="Puesto"/>
        <w:ind w:left="851" w:right="822"/>
      </w:pPr>
      <w:r>
        <w:rPr>
          <w:b/>
        </w:rPr>
        <w:t>II.</w:t>
      </w:r>
      <w:r>
        <w:t xml:space="preserve"> Se determine mediante resolución de autoridad competente; o</w:t>
      </w:r>
    </w:p>
    <w:p w:rsidR="00705170" w:rsidRDefault="001D19D5">
      <w:pPr>
        <w:pStyle w:val="Puesto"/>
        <w:ind w:left="851" w:right="822"/>
        <w:rPr>
          <w:b/>
        </w:rPr>
      </w:pPr>
      <w:r>
        <w:rPr>
          <w:b/>
        </w:rPr>
        <w:t>III.</w:t>
      </w:r>
      <w:r>
        <w:t xml:space="preserve"> Se generen versiones públicas para dar cumplimiento a las obligaciones de transparencia previstas en esta Ley.</w:t>
      </w:r>
      <w:r>
        <w:rPr>
          <w:b/>
        </w:rPr>
        <w:t>”</w:t>
      </w:r>
    </w:p>
    <w:p w:rsidR="00705170" w:rsidRDefault="00705170">
      <w:pPr>
        <w:spacing w:line="240" w:lineRule="auto"/>
        <w:ind w:left="851" w:right="822"/>
      </w:pPr>
    </w:p>
    <w:p w:rsidR="00705170" w:rsidRDefault="001D19D5">
      <w:pPr>
        <w:pStyle w:val="Puesto"/>
        <w:ind w:left="851" w:right="822"/>
      </w:pPr>
      <w:r>
        <w:rPr>
          <w:b/>
        </w:rPr>
        <w:t>“Segundo. -</w:t>
      </w:r>
      <w:r>
        <w:t xml:space="preserve"> Para efectos de los presentes Lineamientos Generales, se entenderá por:</w:t>
      </w:r>
    </w:p>
    <w:p w:rsidR="00705170" w:rsidRDefault="001D19D5">
      <w:pPr>
        <w:pStyle w:val="Puesto"/>
        <w:ind w:left="851" w:right="822"/>
      </w:pPr>
      <w:r>
        <w:rPr>
          <w:b/>
        </w:rPr>
        <w:t>XVIII.</w:t>
      </w:r>
      <w:r>
        <w:t xml:space="preserve">  </w:t>
      </w:r>
      <w:r>
        <w:rPr>
          <w:b/>
        </w:rPr>
        <w:t>Versión pública:</w:t>
      </w:r>
      <w:r>
        <w:t xml:space="preserve">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rsidR="00705170" w:rsidRDefault="00705170">
      <w:pPr>
        <w:pStyle w:val="Puesto"/>
        <w:ind w:left="851" w:right="822"/>
      </w:pPr>
    </w:p>
    <w:p w:rsidR="00705170" w:rsidRDefault="001D19D5">
      <w:pPr>
        <w:pStyle w:val="Puesto"/>
        <w:ind w:left="851" w:right="822"/>
        <w:rPr>
          <w:b/>
        </w:rPr>
      </w:pPr>
      <w:r>
        <w:rPr>
          <w:b/>
        </w:rPr>
        <w:lastRenderedPageBreak/>
        <w:t>Lineamientos Generales en materia de Clasificación y Desclasificación de la Información</w:t>
      </w:r>
    </w:p>
    <w:p w:rsidR="00705170" w:rsidRDefault="00705170">
      <w:pPr>
        <w:pStyle w:val="Puesto"/>
        <w:ind w:left="851" w:right="822"/>
      </w:pPr>
    </w:p>
    <w:p w:rsidR="00705170" w:rsidRDefault="001D19D5">
      <w:pPr>
        <w:pStyle w:val="Puesto"/>
        <w:ind w:left="851" w:right="822"/>
      </w:pPr>
      <w:r>
        <w:rPr>
          <w:b/>
        </w:rPr>
        <w:t>Cuarto.</w:t>
      </w:r>
      <w:r>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rsidR="00705170" w:rsidRDefault="001D19D5">
      <w:pPr>
        <w:pStyle w:val="Puesto"/>
        <w:ind w:left="851" w:right="822"/>
      </w:pPr>
      <w:r>
        <w:t>Los sujetos obligados deberán aplicar, de manera estricta, las excepciones al derecho de acceso a la información y sólo podrán invocarlas cuando acrediten su procedencia.</w:t>
      </w:r>
    </w:p>
    <w:p w:rsidR="00705170" w:rsidRDefault="00705170">
      <w:pPr>
        <w:spacing w:line="240" w:lineRule="auto"/>
        <w:ind w:left="851" w:right="822"/>
      </w:pPr>
    </w:p>
    <w:p w:rsidR="00705170" w:rsidRDefault="001D19D5">
      <w:pPr>
        <w:pStyle w:val="Puesto"/>
        <w:ind w:left="851" w:right="822"/>
      </w:pPr>
      <w:r>
        <w:rPr>
          <w:b/>
        </w:rPr>
        <w:t>Quinto.</w:t>
      </w:r>
      <w:r>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rsidR="00705170" w:rsidRDefault="00705170">
      <w:pPr>
        <w:spacing w:line="240" w:lineRule="auto"/>
        <w:ind w:left="851" w:right="822"/>
      </w:pPr>
    </w:p>
    <w:p w:rsidR="00705170" w:rsidRDefault="001D19D5">
      <w:pPr>
        <w:pStyle w:val="Puesto"/>
        <w:ind w:left="851" w:right="822"/>
      </w:pPr>
      <w:r>
        <w:rPr>
          <w:b/>
        </w:rPr>
        <w:t>Sexto.</w:t>
      </w:r>
      <w:r>
        <w:t xml:space="preserve"> Se deroga.</w:t>
      </w:r>
    </w:p>
    <w:p w:rsidR="00705170" w:rsidRDefault="00705170">
      <w:pPr>
        <w:spacing w:line="240" w:lineRule="auto"/>
        <w:ind w:left="851" w:right="822"/>
      </w:pPr>
    </w:p>
    <w:p w:rsidR="00705170" w:rsidRDefault="001D19D5">
      <w:pPr>
        <w:pStyle w:val="Puesto"/>
        <w:ind w:left="851" w:right="822"/>
      </w:pPr>
      <w:r>
        <w:rPr>
          <w:b/>
        </w:rPr>
        <w:t>Séptimo.</w:t>
      </w:r>
      <w:r>
        <w:t xml:space="preserve"> La clasificación de la información se llevará a cabo en el momento en que:</w:t>
      </w:r>
    </w:p>
    <w:p w:rsidR="00705170" w:rsidRDefault="001D19D5">
      <w:pPr>
        <w:pStyle w:val="Puesto"/>
        <w:ind w:left="851" w:right="822"/>
      </w:pPr>
      <w:r>
        <w:rPr>
          <w:b/>
        </w:rPr>
        <w:t>I.</w:t>
      </w:r>
      <w:r>
        <w:t xml:space="preserve">        Se reciba una solicitud de acceso a la información;</w:t>
      </w:r>
    </w:p>
    <w:p w:rsidR="00705170" w:rsidRDefault="001D19D5">
      <w:pPr>
        <w:pStyle w:val="Puesto"/>
        <w:ind w:left="851" w:right="822"/>
      </w:pPr>
      <w:r>
        <w:rPr>
          <w:b/>
        </w:rPr>
        <w:t>II.</w:t>
      </w:r>
      <w:r>
        <w:t xml:space="preserve">       Se determine mediante resolución del Comité de Transparencia, el órgano garante competente, o en cumplimiento a una sentencia del Poder Judicial; o</w:t>
      </w:r>
    </w:p>
    <w:p w:rsidR="00705170" w:rsidRDefault="001D19D5">
      <w:pPr>
        <w:pStyle w:val="Puesto"/>
        <w:ind w:left="851" w:right="822"/>
      </w:pPr>
      <w:r>
        <w:rPr>
          <w:b/>
        </w:rPr>
        <w:t>III.</w:t>
      </w:r>
      <w:r>
        <w:t xml:space="preserve">      Se generen versiones públicas para dar cumplimiento a las obligaciones de transparencia previstas en la Ley General, la Ley Federal y las correspondientes de las entidades federativas.</w:t>
      </w:r>
    </w:p>
    <w:p w:rsidR="00705170" w:rsidRDefault="001D19D5">
      <w:pPr>
        <w:pStyle w:val="Puesto"/>
        <w:ind w:left="851" w:right="822"/>
      </w:pPr>
      <w:r>
        <w:t xml:space="preserve">Los titulares de las áreas deberán revisar la información requerida al momento de la recepción de una solicitud de acceso, para verificar, conforme a su naturaleza, si encuadra en una causal de reserva o de confidencialidad. </w:t>
      </w:r>
    </w:p>
    <w:p w:rsidR="00705170" w:rsidRDefault="00705170">
      <w:pPr>
        <w:spacing w:line="240" w:lineRule="auto"/>
        <w:ind w:left="851" w:right="822"/>
      </w:pPr>
    </w:p>
    <w:p w:rsidR="00705170" w:rsidRDefault="001D19D5">
      <w:pPr>
        <w:pStyle w:val="Puesto"/>
        <w:ind w:left="851" w:right="822"/>
      </w:pPr>
      <w:r>
        <w:rPr>
          <w:b/>
        </w:rPr>
        <w:t>Octavo.</w:t>
      </w:r>
      <w:r>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rsidR="00705170" w:rsidRDefault="001D19D5">
      <w:pPr>
        <w:pStyle w:val="Puesto"/>
        <w:ind w:left="851" w:right="822"/>
      </w:pPr>
      <w:r>
        <w:lastRenderedPageBreak/>
        <w:t>Para motivar la clasificación se deberán señalar las razones o circunstancias especiales que lo llevaron a concluir que el caso particular se ajusta al supuesto previsto por la norma legal invocada como fundamento.</w:t>
      </w:r>
    </w:p>
    <w:p w:rsidR="00705170" w:rsidRDefault="001D19D5">
      <w:pPr>
        <w:pStyle w:val="Puesto"/>
        <w:ind w:left="851" w:right="822"/>
      </w:pPr>
      <w:r>
        <w:t xml:space="preserve">En caso de referirse a información reservada, la motivación de la clasificación deberá comprender el análisis de la prueba del daño a que hace referencia el artículo 104 de la Ley General, en relación con el artículo trigésimo tercero de los presentes lineamientos, así como las circunstancias que justifican el establecimiento de determinado plazo de reserva. </w:t>
      </w:r>
    </w:p>
    <w:p w:rsidR="00705170" w:rsidRDefault="001D19D5">
      <w:pPr>
        <w:pStyle w:val="Puesto"/>
        <w:ind w:left="851" w:right="822"/>
      </w:pPr>
      <w:r>
        <w:rPr>
          <w:b/>
        </w:rPr>
        <w:t>Noveno.</w:t>
      </w:r>
      <w:r>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rsidR="00705170" w:rsidRDefault="00705170">
      <w:pPr>
        <w:spacing w:line="240" w:lineRule="auto"/>
        <w:ind w:left="851" w:right="822"/>
      </w:pPr>
    </w:p>
    <w:p w:rsidR="00705170" w:rsidRDefault="001D19D5">
      <w:pPr>
        <w:pStyle w:val="Puesto"/>
        <w:ind w:left="851" w:right="822"/>
      </w:pPr>
      <w:r>
        <w:rPr>
          <w:b/>
        </w:rPr>
        <w:t>Décimo.</w:t>
      </w:r>
      <w:r>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 Lineamientos para la Organización y Conservación de Archivos y demás normatividad aplicable.</w:t>
      </w:r>
    </w:p>
    <w:p w:rsidR="00705170" w:rsidRDefault="001D19D5">
      <w:pPr>
        <w:pStyle w:val="Puesto"/>
        <w:ind w:left="851" w:right="822"/>
      </w:pPr>
      <w:r>
        <w:t>En ausencia de los titulares de las áreas, la información será clasificada o desclasificada por la persona que lo supla, en términos de la normativa que rija la actuación del sujeto obligado.</w:t>
      </w:r>
    </w:p>
    <w:p w:rsidR="00705170" w:rsidRDefault="001D19D5">
      <w:pPr>
        <w:pStyle w:val="Puesto"/>
        <w:ind w:left="851" w:right="822"/>
        <w:rPr>
          <w:b/>
        </w:rPr>
      </w:pPr>
      <w:r>
        <w:rPr>
          <w:b/>
        </w:rPr>
        <w:t>Décimo primero.</w:t>
      </w:r>
      <w:r>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r>
        <w:rPr>
          <w:b/>
        </w:rPr>
        <w:t>”</w:t>
      </w:r>
    </w:p>
    <w:p w:rsidR="00705170" w:rsidRDefault="00705170"/>
    <w:p w:rsidR="00705170" w:rsidRDefault="001D19D5">
      <w:r>
        <w:t xml:space="preserve">Consecuentemente, se destaca que la versión pública que elabore </w:t>
      </w:r>
      <w:r>
        <w:rPr>
          <w:b/>
        </w:rPr>
        <w:t>EL SUJETO OBLIGADO</w:t>
      </w:r>
      <w:r>
        <w:t xml:space="preserve"> debe cumplir con las formalidades exigidas en la Ley, por lo que para tal efecto emitirá el </w:t>
      </w:r>
      <w:r>
        <w:rPr>
          <w:b/>
        </w:rPr>
        <w:t>Acuerdo del Comité de Transparencia</w:t>
      </w:r>
      <w:r>
        <w:t xml:space="preserve"> en términos de los artículos 122 y 124 de la Ley de Transparencia y Acceso a la Información Pública del Estado de México y Municipios, con el cual sustentará la clasificación de datos y con ello la "versión pública" de los documentos materia de la solicitud, ya que de no hacerlo implica que lo entregado no es legal ni </w:t>
      </w:r>
      <w:r>
        <w:lastRenderedPageBreak/>
        <w:t>formalmente una versión pública, sino más bien una documentación ilegible, incompleta o tachada; pues no se señalan las razones por las que no se aprecian determinados datos -ya sea porque se testan o suprimen- lo cual deja al solicitante en estado de incertidumbre, al no conocer o comprender porque no aparecen en la documentación respectiva, es decir, si no se exponen de manera puntual las razones, se estaría violentando desde un inicio el derecho de acceso a la información del solicitante.</w:t>
      </w:r>
    </w:p>
    <w:p w:rsidR="00705170" w:rsidRDefault="001D19D5">
      <w:pPr>
        <w:pStyle w:val="Ttulo3"/>
      </w:pPr>
      <w:bookmarkStart w:id="39" w:name="_heading=h.32hioqz" w:colFirst="0" w:colLast="0"/>
      <w:bookmarkEnd w:id="39"/>
      <w:r>
        <w:t>f) Conclusión</w:t>
      </w:r>
    </w:p>
    <w:p w:rsidR="00705170" w:rsidRDefault="001D19D5">
      <w:pPr>
        <w:widowControl w:val="0"/>
        <w:tabs>
          <w:tab w:val="left" w:pos="1701"/>
          <w:tab w:val="left" w:pos="1843"/>
        </w:tabs>
      </w:pPr>
      <w:r>
        <w:t xml:space="preserve">En razón de lo anteriormente expuesto, este Instituto estima que las razones o motivos de inconformidad hechos valer por </w:t>
      </w:r>
      <w:r>
        <w:rPr>
          <w:b/>
        </w:rPr>
        <w:t>LA PARTE RECURRENTE</w:t>
      </w:r>
      <w:r>
        <w:t xml:space="preserve"> devienen </w:t>
      </w:r>
      <w:r>
        <w:rPr>
          <w:b/>
        </w:rPr>
        <w:t>fundadas</w:t>
      </w:r>
      <w:r>
        <w:t xml:space="preserve"> y suficientes para </w:t>
      </w:r>
      <w:r>
        <w:rPr>
          <w:b/>
        </w:rPr>
        <w:t>MODIFICAR</w:t>
      </w:r>
      <w:r>
        <w:t xml:space="preserve"> la respuesta del </w:t>
      </w:r>
      <w:r>
        <w:rPr>
          <w:b/>
        </w:rPr>
        <w:t>SUJETO OBLIGADO</w:t>
      </w:r>
      <w:r>
        <w:t xml:space="preserve"> en el Recurso de Revisión </w:t>
      </w:r>
      <w:r>
        <w:rPr>
          <w:b/>
        </w:rPr>
        <w:t>06202/INFOEM/IP/RR/2024</w:t>
      </w:r>
      <w:r>
        <w:t xml:space="preserve"> y ordenarle haga entrega de la información descrita en el presente Considerando y por lo que hace al Recurso de Revisión </w:t>
      </w:r>
      <w:r>
        <w:rPr>
          <w:b/>
        </w:rPr>
        <w:t xml:space="preserve">06249/INFOEM/IP/RR/2024 </w:t>
      </w:r>
      <w:r>
        <w:t>se considera que las razones o motivos de inconformidad planteadas por</w:t>
      </w:r>
      <w:r>
        <w:rPr>
          <w:b/>
        </w:rPr>
        <w:t xml:space="preserve"> LA PARTE RECURRENTE</w:t>
      </w:r>
      <w:r>
        <w:t xml:space="preserve"> resultan </w:t>
      </w:r>
      <w:r>
        <w:rPr>
          <w:b/>
        </w:rPr>
        <w:t>fundadas</w:t>
      </w:r>
      <w:r>
        <w:t xml:space="preserve"> y suficientes para </w:t>
      </w:r>
      <w:r>
        <w:rPr>
          <w:b/>
        </w:rPr>
        <w:t>REVOCAR</w:t>
      </w:r>
      <w:r>
        <w:t xml:space="preserve">; la respuesta del </w:t>
      </w:r>
      <w:r>
        <w:rPr>
          <w:b/>
        </w:rPr>
        <w:t>SUJETO OBLIGADO</w:t>
      </w:r>
      <w:r>
        <w:t xml:space="preserve"> por lo que en consecuencia, este Órgano Garante determina</w:t>
      </w:r>
      <w:r>
        <w:rPr>
          <w:b/>
        </w:rPr>
        <w:t xml:space="preserve"> </w:t>
      </w:r>
      <w:r>
        <w:t>ordenarle haga entrega de la información descrita en el presente Considerando</w:t>
      </w:r>
      <w:r>
        <w:rPr>
          <w:b/>
        </w:rPr>
        <w:t>.</w:t>
      </w:r>
    </w:p>
    <w:p w:rsidR="00705170" w:rsidRDefault="00705170">
      <w:pPr>
        <w:widowControl w:val="0"/>
        <w:tabs>
          <w:tab w:val="left" w:pos="1701"/>
          <w:tab w:val="left" w:pos="1843"/>
        </w:tabs>
      </w:pPr>
    </w:p>
    <w:p w:rsidR="00705170" w:rsidRDefault="001D19D5">
      <w:pPr>
        <w:ind w:right="-93"/>
      </w:pPr>
      <w:r>
        <w:t>Así, con fundamento en lo establecido en los artículos 5, párrafos trigésimos segundos,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p w:rsidR="00705170" w:rsidRDefault="00705170">
      <w:pPr>
        <w:ind w:right="-93"/>
      </w:pPr>
    </w:p>
    <w:p w:rsidR="00705170" w:rsidRDefault="001D19D5">
      <w:pPr>
        <w:pStyle w:val="Ttulo1"/>
      </w:pPr>
      <w:bookmarkStart w:id="40" w:name="_heading=h.1hmsyys" w:colFirst="0" w:colLast="0"/>
      <w:bookmarkEnd w:id="40"/>
      <w:r>
        <w:lastRenderedPageBreak/>
        <w:t>RESUELVE</w:t>
      </w:r>
    </w:p>
    <w:p w:rsidR="00705170" w:rsidRDefault="00705170">
      <w:pPr>
        <w:ind w:right="113"/>
        <w:rPr>
          <w:b/>
          <w:sz w:val="18"/>
          <w:szCs w:val="18"/>
        </w:rPr>
      </w:pPr>
    </w:p>
    <w:p w:rsidR="00705170" w:rsidRDefault="001D19D5">
      <w:r>
        <w:rPr>
          <w:b/>
        </w:rPr>
        <w:t xml:space="preserve">PRIMERO. </w:t>
      </w:r>
      <w:r>
        <w:t xml:space="preserve">Se </w:t>
      </w:r>
      <w:r>
        <w:rPr>
          <w:b/>
        </w:rPr>
        <w:t>MODIFICA</w:t>
      </w:r>
      <w:r>
        <w:t xml:space="preserve"> la respuesta entregada por el </w:t>
      </w:r>
      <w:r>
        <w:rPr>
          <w:b/>
        </w:rPr>
        <w:t>SUJETO OBLIGADO</w:t>
      </w:r>
      <w:r>
        <w:t xml:space="preserve"> en la solicitud de información </w:t>
      </w:r>
      <w:r>
        <w:rPr>
          <w:b/>
        </w:rPr>
        <w:t>00213/TEMAMATL/IP/2024</w:t>
      </w:r>
      <w:r>
        <w:t xml:space="preserve">, por resultar </w:t>
      </w:r>
      <w:r>
        <w:rPr>
          <w:b/>
        </w:rPr>
        <w:t>FUNDADAS</w:t>
      </w:r>
      <w:r>
        <w:t xml:space="preserve"> las razones o motivos de inconformidad hechos valer por </w:t>
      </w:r>
      <w:r>
        <w:rPr>
          <w:b/>
        </w:rPr>
        <w:t>LA PARTE RECURRENTE</w:t>
      </w:r>
      <w:r>
        <w:t xml:space="preserve"> en el Recurso de Revisión </w:t>
      </w:r>
      <w:r>
        <w:rPr>
          <w:b/>
        </w:rPr>
        <w:t>06202/INFOEM/IP/RR/2024</w:t>
      </w:r>
      <w:r>
        <w:rPr>
          <w:color w:val="000000"/>
        </w:rPr>
        <w:t>,</w:t>
      </w:r>
      <w:r>
        <w:rPr>
          <w:b/>
          <w:color w:val="0D0D0D"/>
        </w:rPr>
        <w:t xml:space="preserve"> </w:t>
      </w:r>
      <w:r>
        <w:t xml:space="preserve">en términos del considerando </w:t>
      </w:r>
      <w:r>
        <w:rPr>
          <w:b/>
        </w:rPr>
        <w:t>SEGUNDO</w:t>
      </w:r>
      <w:r>
        <w:t xml:space="preserve"> de la presente Resolución.</w:t>
      </w:r>
    </w:p>
    <w:p w:rsidR="00705170" w:rsidRDefault="00705170">
      <w:pPr>
        <w:widowControl w:val="0"/>
        <w:rPr>
          <w:b/>
          <w:sz w:val="18"/>
          <w:szCs w:val="18"/>
        </w:rPr>
      </w:pPr>
    </w:p>
    <w:p w:rsidR="00705170" w:rsidRDefault="001D19D5">
      <w:pPr>
        <w:widowControl w:val="0"/>
      </w:pPr>
      <w:r>
        <w:rPr>
          <w:b/>
        </w:rPr>
        <w:t>SEGUNDO.</w:t>
      </w:r>
      <w:r>
        <w:t xml:space="preserve"> Se </w:t>
      </w:r>
      <w:r>
        <w:rPr>
          <w:b/>
        </w:rPr>
        <w:t>ORDENA</w:t>
      </w:r>
      <w:r>
        <w:t xml:space="preserve"> al </w:t>
      </w:r>
      <w:r>
        <w:rPr>
          <w:b/>
        </w:rPr>
        <w:t>SUJETO OBLIGADO</w:t>
      </w:r>
      <w:r>
        <w:t>, a efecto de que, previa búsqueda exhaustiva y razonable de la información, entregue a través del SAIMEX, lo siguiente:</w:t>
      </w:r>
    </w:p>
    <w:p w:rsidR="00705170" w:rsidRDefault="00705170">
      <w:pPr>
        <w:widowControl w:val="0"/>
      </w:pPr>
    </w:p>
    <w:p w:rsidR="00705170" w:rsidRDefault="001D19D5">
      <w:pPr>
        <w:pStyle w:val="Puesto"/>
        <w:tabs>
          <w:tab w:val="left" w:pos="8222"/>
        </w:tabs>
        <w:ind w:left="851" w:right="822"/>
      </w:pPr>
      <w:r>
        <w:t>El o los documentos donde conste la estadística de fugas de agua registradas en el territorio municipal durante la presente administración, del primero de enero de dos mil veintidós al diecinueve de septiembre de dos mil veinticuatro.</w:t>
      </w:r>
    </w:p>
    <w:p w:rsidR="00705170" w:rsidRDefault="00705170">
      <w:pPr>
        <w:pStyle w:val="Puesto"/>
        <w:tabs>
          <w:tab w:val="left" w:pos="8222"/>
        </w:tabs>
        <w:ind w:left="851" w:right="822"/>
      </w:pPr>
    </w:p>
    <w:p w:rsidR="00705170" w:rsidRDefault="001D19D5">
      <w:pPr>
        <w:pStyle w:val="Puesto"/>
        <w:tabs>
          <w:tab w:val="left" w:pos="8222"/>
        </w:tabs>
        <w:ind w:left="851" w:right="822"/>
      </w:pPr>
      <w:r>
        <w:t xml:space="preserve">Para el caso de que la información que se ordenada no obre en los archivos del </w:t>
      </w:r>
      <w:r>
        <w:rPr>
          <w:b/>
        </w:rPr>
        <w:t>SUJETO OBLIGADO</w:t>
      </w:r>
      <w:r>
        <w:t xml:space="preserve"> por no haberse generado, bastará con que se haga del conocimiento a </w:t>
      </w:r>
      <w:r>
        <w:rPr>
          <w:b/>
        </w:rPr>
        <w:t>LA PARTE RECURRENTE</w:t>
      </w:r>
      <w:r>
        <w:t>.</w:t>
      </w:r>
    </w:p>
    <w:p w:rsidR="00705170" w:rsidRDefault="00705170">
      <w:pPr>
        <w:widowControl w:val="0"/>
      </w:pPr>
    </w:p>
    <w:p w:rsidR="00705170" w:rsidRDefault="00705170">
      <w:pPr>
        <w:widowControl w:val="0"/>
      </w:pPr>
    </w:p>
    <w:p w:rsidR="00705170" w:rsidRDefault="001D19D5">
      <w:pPr>
        <w:widowControl w:val="0"/>
      </w:pPr>
      <w:r>
        <w:rPr>
          <w:b/>
        </w:rPr>
        <w:t>TERCERO</w:t>
      </w:r>
      <w:r>
        <w:t xml:space="preserve">. Se </w:t>
      </w:r>
      <w:r>
        <w:rPr>
          <w:b/>
        </w:rPr>
        <w:t xml:space="preserve">REVOCA </w:t>
      </w:r>
      <w:r>
        <w:t xml:space="preserve">la respuesta entregada por el </w:t>
      </w:r>
      <w:r>
        <w:rPr>
          <w:b/>
        </w:rPr>
        <w:t>SUJETO OBLIGADO</w:t>
      </w:r>
      <w:r>
        <w:t xml:space="preserve"> en la solicitud de información </w:t>
      </w:r>
      <w:r>
        <w:rPr>
          <w:b/>
        </w:rPr>
        <w:t>00532/TEMAMATL/IP/2024</w:t>
      </w:r>
      <w:r>
        <w:t xml:space="preserve">, por resultar </w:t>
      </w:r>
      <w:r>
        <w:rPr>
          <w:b/>
        </w:rPr>
        <w:t>FUNDADAS</w:t>
      </w:r>
      <w:r>
        <w:t xml:space="preserve"> las razones o motivos de inconformidad hechos valer por </w:t>
      </w:r>
      <w:r>
        <w:rPr>
          <w:b/>
        </w:rPr>
        <w:t>LA PARTE RECURRENTE</w:t>
      </w:r>
      <w:r>
        <w:t xml:space="preserve"> en el Recurso de Revisión </w:t>
      </w:r>
      <w:r>
        <w:rPr>
          <w:b/>
        </w:rPr>
        <w:t>06249/INFOEM/IP/RR/2024</w:t>
      </w:r>
      <w:r>
        <w:t>,</w:t>
      </w:r>
      <w:r>
        <w:rPr>
          <w:b/>
        </w:rPr>
        <w:t xml:space="preserve"> </w:t>
      </w:r>
      <w:r>
        <w:t xml:space="preserve">en términos del considerando </w:t>
      </w:r>
      <w:r>
        <w:rPr>
          <w:b/>
        </w:rPr>
        <w:t>SEGUNDO</w:t>
      </w:r>
      <w:r>
        <w:t xml:space="preserve"> de la presente Resolución.</w:t>
      </w:r>
    </w:p>
    <w:p w:rsidR="00705170" w:rsidRDefault="00705170">
      <w:pPr>
        <w:widowControl w:val="0"/>
        <w:rPr>
          <w:sz w:val="18"/>
          <w:szCs w:val="18"/>
        </w:rPr>
      </w:pPr>
    </w:p>
    <w:p w:rsidR="00705170" w:rsidRDefault="001D19D5">
      <w:pPr>
        <w:rPr>
          <w:b/>
        </w:rPr>
      </w:pPr>
      <w:r>
        <w:rPr>
          <w:b/>
        </w:rPr>
        <w:lastRenderedPageBreak/>
        <w:t>CUARTO.</w:t>
      </w:r>
      <w:r>
        <w:t xml:space="preserve"> Se </w:t>
      </w:r>
      <w:r>
        <w:rPr>
          <w:b/>
        </w:rPr>
        <w:t xml:space="preserve">ORDENA </w:t>
      </w:r>
      <w:r>
        <w:t xml:space="preserve">al </w:t>
      </w:r>
      <w:r>
        <w:rPr>
          <w:b/>
        </w:rPr>
        <w:t>SUJETO OBLIGADO</w:t>
      </w:r>
      <w:r>
        <w:t xml:space="preserve">, a efecto de que, entregue previa búsqueda exhaustiva y razonable a través del Sistema de Acceso a la Información Mexiquense </w:t>
      </w:r>
      <w:r>
        <w:rPr>
          <w:b/>
        </w:rPr>
        <w:t>(SAIMEX)</w:t>
      </w:r>
      <w:r>
        <w:t xml:space="preserve">, en su caso en </w:t>
      </w:r>
      <w:r>
        <w:rPr>
          <w:b/>
        </w:rPr>
        <w:t xml:space="preserve">versión pública </w:t>
      </w:r>
      <w:r>
        <w:t>lo siguiente:</w:t>
      </w:r>
      <w:r>
        <w:rPr>
          <w:b/>
        </w:rPr>
        <w:t xml:space="preserve"> </w:t>
      </w:r>
    </w:p>
    <w:p w:rsidR="00705170" w:rsidRDefault="00705170"/>
    <w:p w:rsidR="00705170" w:rsidRDefault="001D19D5">
      <w:pPr>
        <w:pStyle w:val="Puesto"/>
        <w:tabs>
          <w:tab w:val="left" w:pos="8222"/>
        </w:tabs>
        <w:ind w:left="851" w:right="822"/>
      </w:pPr>
      <w:r>
        <w:t>Los formatos de informe mensual de reparación y mantenimiento (IMROM), enviados mensualmente al Órgano Superior de Fiscalización por el periodo comprendido del primero de enero de dos mil veintidós al cuatro de octubre de dos mil veinticuatro de ser procedente en versión pública.</w:t>
      </w:r>
    </w:p>
    <w:p w:rsidR="00705170" w:rsidRDefault="00705170"/>
    <w:p w:rsidR="00705170" w:rsidRDefault="001D19D5">
      <w:pPr>
        <w:tabs>
          <w:tab w:val="left" w:pos="8222"/>
        </w:tabs>
        <w:spacing w:line="240" w:lineRule="auto"/>
        <w:ind w:left="851" w:right="822"/>
        <w:rPr>
          <w:i/>
        </w:rPr>
      </w:pPr>
      <w:r>
        <w:rPr>
          <w:i/>
        </w:rPr>
        <w:t xml:space="preserve">Debiendo notificar al </w:t>
      </w:r>
      <w:r>
        <w:rPr>
          <w:b/>
          <w:i/>
        </w:rPr>
        <w:t>RECURRENTE</w:t>
      </w:r>
      <w:r>
        <w:rPr>
          <w:i/>
        </w:rPr>
        <w:t xml:space="preserve"> el Acuerdo de Clasificación de la información que en su caso emita el Comité de Transparencia con motivo de la versión pública.</w:t>
      </w:r>
    </w:p>
    <w:p w:rsidR="00705170" w:rsidRDefault="00705170">
      <w:pPr>
        <w:tabs>
          <w:tab w:val="left" w:pos="8222"/>
        </w:tabs>
        <w:spacing w:line="240" w:lineRule="auto"/>
        <w:ind w:left="851" w:right="822"/>
        <w:rPr>
          <w:i/>
        </w:rPr>
      </w:pPr>
    </w:p>
    <w:p w:rsidR="00705170" w:rsidRDefault="001D19D5">
      <w:r>
        <w:rPr>
          <w:b/>
        </w:rPr>
        <w:t>QUINTO.</w:t>
      </w:r>
      <w:r>
        <w:t xml:space="preserve"> </w:t>
      </w:r>
      <w:r>
        <w:rPr>
          <w:b/>
        </w:rPr>
        <w:t xml:space="preserve">Notifíquese </w:t>
      </w:r>
      <w:r>
        <w:t>vía Sistema de Acceso a la Información Mexiquense (</w:t>
      </w:r>
      <w:r>
        <w:rPr>
          <w:b/>
        </w:rPr>
        <w:t>SAIMEX)</w:t>
      </w:r>
      <w:r>
        <w:rPr>
          <w:highlight w:val="white"/>
        </w:rPr>
        <w:t xml:space="preserve"> la presente resolución al Titular de la Unidad de Transparencia del Sujeto Obligado</w:t>
      </w:r>
      <w:r>
        <w:t xml:space="preserve">, para que conforme al artículo 186 último párrafo, 189 segundo párrafo y 194 de la Ley de Transparencia y Acceso a la Información Pública del Estado de México y Municipios, dé cumplimiento a lo ordenado dentro del plazo de </w:t>
      </w:r>
      <w:r>
        <w:rPr>
          <w:b/>
        </w:rPr>
        <w:t>diez días hábiles</w:t>
      </w:r>
      <w:r>
        <w:t xml:space="preserve">, e informe a este Instituto en un plazo de </w:t>
      </w:r>
      <w:r>
        <w:rPr>
          <w:b/>
        </w:rPr>
        <w:t>tres días hábiles</w:t>
      </w:r>
      <w:r>
        <w:t xml:space="preserve"> siguientes, sobre el cumplimiento dado a la presente. Asimismo,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rsidR="00705170" w:rsidRDefault="00705170"/>
    <w:p w:rsidR="00705170" w:rsidRDefault="001D19D5">
      <w:pPr>
        <w:rPr>
          <w:b/>
        </w:rPr>
      </w:pPr>
      <w:r>
        <w:rPr>
          <w:b/>
        </w:rPr>
        <w:t>SEXTO.</w:t>
      </w:r>
      <w:r>
        <w:t xml:space="preserve"> Notifíquese a </w:t>
      </w:r>
      <w:r>
        <w:rPr>
          <w:b/>
        </w:rPr>
        <w:t>LA PARTE RECURRENTE</w:t>
      </w:r>
      <w:r>
        <w:t xml:space="preserve"> la presente resolución vía Sistema de Acceso a la Información Mexiquense </w:t>
      </w:r>
      <w:r>
        <w:rPr>
          <w:b/>
        </w:rPr>
        <w:t>(SAIMEX).</w:t>
      </w:r>
    </w:p>
    <w:p w:rsidR="00705170" w:rsidRDefault="00705170"/>
    <w:p w:rsidR="00705170" w:rsidRDefault="001D19D5">
      <w:r>
        <w:rPr>
          <w:b/>
        </w:rPr>
        <w:lastRenderedPageBreak/>
        <w:t>SÉPTIMO</w:t>
      </w:r>
      <w:r>
        <w:t xml:space="preserve">. Hágase del conocimiento a </w:t>
      </w:r>
      <w:r>
        <w:rPr>
          <w:b/>
        </w:rPr>
        <w:t>LA PARTE RECURRENTE</w:t>
      </w:r>
      <w:r>
        <w:t xml:space="preserve"> que, de conformidad con lo establecido en el artículo 196 de la Ley de Transparencia y Acceso a la Información Pública del Estado de México y Municipios, podrá impugnar la presente resolución vía Juicio de Amparo en los términos de las leyes aplicables.</w:t>
      </w:r>
    </w:p>
    <w:p w:rsidR="00705170" w:rsidRDefault="00705170"/>
    <w:p w:rsidR="00705170" w:rsidRDefault="001D19D5">
      <w:r>
        <w:rPr>
          <w:b/>
        </w:rPr>
        <w:t>OCTAVO.</w:t>
      </w:r>
      <w:r>
        <w:t xml:space="preserve"> De conformidad con el artículo 198 de la Ley de Transparencia y Acceso a la Información Pública del Estado de México y Municipios, el </w:t>
      </w:r>
      <w:r>
        <w:rPr>
          <w:b/>
        </w:rPr>
        <w:t>SUJETO OBLIGADO</w:t>
      </w:r>
      <w:r>
        <w:t xml:space="preserve"> podrá solicitar una ampliación de plazo de manera fundada y motivada, para el cumplimiento de la presente resolución.</w:t>
      </w:r>
    </w:p>
    <w:p w:rsidR="00705170" w:rsidRDefault="00705170"/>
    <w:p w:rsidR="00705170" w:rsidRDefault="001D19D5">
      <w: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TRIGÉSIMA OCTAVA SESIÓN ORDINARIA, CELEBRADA EL SEIS DE NOVIEMBRE DE DOS MIL VEINTICUATRO ANTE EL SECRETARIO TÉCNICO DEL PLENO, ALEXIS TAPIA RAMÍREZ.</w:t>
      </w:r>
    </w:p>
    <w:p w:rsidR="00705170" w:rsidRDefault="001D19D5">
      <w:pPr>
        <w:ind w:right="-93"/>
      </w:pPr>
      <w:r>
        <w:rPr>
          <w:sz w:val="20"/>
        </w:rPr>
        <w:t>SCMM/AGZ/DEMF/CMP</w:t>
      </w:r>
    </w:p>
    <w:p w:rsidR="00705170" w:rsidRDefault="00705170">
      <w:pPr>
        <w:ind w:right="-93"/>
      </w:pPr>
    </w:p>
    <w:p w:rsidR="00705170" w:rsidRDefault="00705170">
      <w:pPr>
        <w:ind w:right="-93"/>
      </w:pPr>
    </w:p>
    <w:p w:rsidR="00705170" w:rsidRDefault="00705170">
      <w:pPr>
        <w:ind w:right="-93"/>
      </w:pPr>
    </w:p>
    <w:p w:rsidR="00705170" w:rsidRDefault="00705170">
      <w:pPr>
        <w:ind w:right="-93"/>
      </w:pPr>
    </w:p>
    <w:p w:rsidR="00705170" w:rsidRDefault="00705170">
      <w:pPr>
        <w:ind w:right="-93"/>
      </w:pPr>
    </w:p>
    <w:p w:rsidR="00705170" w:rsidRDefault="00705170">
      <w:pPr>
        <w:ind w:right="-93"/>
      </w:pPr>
    </w:p>
    <w:p w:rsidR="00705170" w:rsidRDefault="00705170">
      <w:pPr>
        <w:tabs>
          <w:tab w:val="center" w:pos="4568"/>
        </w:tabs>
        <w:ind w:right="-93"/>
      </w:pPr>
    </w:p>
    <w:p w:rsidR="00705170" w:rsidRDefault="00705170">
      <w:pPr>
        <w:tabs>
          <w:tab w:val="center" w:pos="4568"/>
        </w:tabs>
        <w:ind w:right="-93"/>
      </w:pPr>
    </w:p>
    <w:p w:rsidR="00705170" w:rsidRDefault="00705170">
      <w:pPr>
        <w:tabs>
          <w:tab w:val="center" w:pos="4568"/>
        </w:tabs>
        <w:ind w:right="-93"/>
      </w:pPr>
    </w:p>
    <w:p w:rsidR="00705170" w:rsidRDefault="00705170">
      <w:pPr>
        <w:tabs>
          <w:tab w:val="center" w:pos="4568"/>
        </w:tabs>
        <w:ind w:right="-93"/>
      </w:pPr>
    </w:p>
    <w:p w:rsidR="00705170" w:rsidRDefault="00705170">
      <w:pPr>
        <w:tabs>
          <w:tab w:val="center" w:pos="4568"/>
        </w:tabs>
        <w:ind w:right="-93"/>
      </w:pPr>
    </w:p>
    <w:p w:rsidR="00705170" w:rsidRDefault="00705170">
      <w:pPr>
        <w:tabs>
          <w:tab w:val="center" w:pos="4568"/>
        </w:tabs>
        <w:ind w:right="-93"/>
      </w:pPr>
    </w:p>
    <w:p w:rsidR="00705170" w:rsidRDefault="00705170">
      <w:pPr>
        <w:tabs>
          <w:tab w:val="center" w:pos="4568"/>
        </w:tabs>
        <w:ind w:right="-93"/>
      </w:pPr>
    </w:p>
    <w:p w:rsidR="00705170" w:rsidRDefault="00705170">
      <w:pPr>
        <w:tabs>
          <w:tab w:val="center" w:pos="4568"/>
        </w:tabs>
        <w:ind w:right="-93"/>
      </w:pPr>
    </w:p>
    <w:p w:rsidR="00705170" w:rsidRDefault="00705170">
      <w:pPr>
        <w:tabs>
          <w:tab w:val="center" w:pos="4568"/>
        </w:tabs>
        <w:ind w:right="-93"/>
      </w:pPr>
    </w:p>
    <w:p w:rsidR="00705170" w:rsidRDefault="00705170">
      <w:pPr>
        <w:tabs>
          <w:tab w:val="center" w:pos="4568"/>
        </w:tabs>
        <w:ind w:right="-93"/>
      </w:pPr>
    </w:p>
    <w:p w:rsidR="00705170" w:rsidRDefault="00705170">
      <w:pPr>
        <w:tabs>
          <w:tab w:val="center" w:pos="4568"/>
        </w:tabs>
        <w:ind w:right="-93"/>
      </w:pPr>
    </w:p>
    <w:p w:rsidR="00705170" w:rsidRDefault="00705170">
      <w:pPr>
        <w:tabs>
          <w:tab w:val="center" w:pos="4568"/>
        </w:tabs>
        <w:ind w:right="-93"/>
      </w:pPr>
    </w:p>
    <w:p w:rsidR="00705170" w:rsidRDefault="00705170">
      <w:pPr>
        <w:tabs>
          <w:tab w:val="center" w:pos="4568"/>
        </w:tabs>
        <w:ind w:right="-93"/>
      </w:pPr>
    </w:p>
    <w:p w:rsidR="00705170" w:rsidRDefault="00705170">
      <w:pPr>
        <w:tabs>
          <w:tab w:val="center" w:pos="4568"/>
        </w:tabs>
        <w:ind w:right="-93"/>
      </w:pPr>
    </w:p>
    <w:p w:rsidR="00705170" w:rsidRDefault="00705170">
      <w:pPr>
        <w:tabs>
          <w:tab w:val="center" w:pos="4568"/>
        </w:tabs>
        <w:ind w:right="-93"/>
      </w:pPr>
    </w:p>
    <w:p w:rsidR="00705170" w:rsidRDefault="00705170">
      <w:pPr>
        <w:tabs>
          <w:tab w:val="center" w:pos="4568"/>
        </w:tabs>
        <w:ind w:right="-93"/>
      </w:pPr>
    </w:p>
    <w:p w:rsidR="00705170" w:rsidRDefault="00705170"/>
    <w:sectPr w:rsidR="00705170">
      <w:footerReference w:type="default" r:id="rId13"/>
      <w:pgSz w:w="12240" w:h="15840"/>
      <w:pgMar w:top="2552" w:right="1608" w:bottom="1701" w:left="1588" w:header="709" w:footer="737"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2837" w:rsidRDefault="000A2837">
      <w:pPr>
        <w:spacing w:line="240" w:lineRule="auto"/>
      </w:pPr>
      <w:r>
        <w:separator/>
      </w:r>
    </w:p>
  </w:endnote>
  <w:endnote w:type="continuationSeparator" w:id="0">
    <w:p w:rsidR="000A2837" w:rsidRDefault="000A28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ptos Display">
    <w:altName w:val="Arial"/>
    <w:charset w:val="00"/>
    <w:family w:val="swiss"/>
    <w:pitch w:val="variable"/>
    <w:sig w:usb0="00000001"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ptos">
    <w:altName w:val="Arial"/>
    <w:charset w:val="00"/>
    <w:family w:val="swiss"/>
    <w:pitch w:val="variable"/>
    <w:sig w:usb0="00000001"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ontserrat Medium">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5170" w:rsidRDefault="00705170">
    <w:pPr>
      <w:tabs>
        <w:tab w:val="center" w:pos="4550"/>
        <w:tab w:val="left" w:pos="5818"/>
      </w:tabs>
      <w:ind w:right="260"/>
      <w:jc w:val="right"/>
      <w:rPr>
        <w:color w:val="071320"/>
        <w:sz w:val="24"/>
        <w:szCs w:val="24"/>
      </w:rPr>
    </w:pPr>
  </w:p>
  <w:p w:rsidR="00705170" w:rsidRDefault="00705170">
    <w:pPr>
      <w:pBdr>
        <w:top w:val="nil"/>
        <w:left w:val="nil"/>
        <w:bottom w:val="nil"/>
        <w:right w:val="nil"/>
        <w:between w:val="nil"/>
      </w:pBdr>
      <w:tabs>
        <w:tab w:val="center" w:pos="4419"/>
        <w:tab w:val="right" w:pos="8838"/>
      </w:tabs>
      <w:rPr>
        <w:rFonts w:eastAsia="Palatino Linotype" w:cs="Palatino Linotype"/>
        <w:color w:val="000000"/>
        <w:szCs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5170" w:rsidRDefault="001D19D5">
    <w:pPr>
      <w:tabs>
        <w:tab w:val="center" w:pos="4550"/>
        <w:tab w:val="left" w:pos="5818"/>
      </w:tabs>
      <w:ind w:right="260"/>
      <w:jc w:val="right"/>
      <w:rPr>
        <w:color w:val="071320"/>
        <w:sz w:val="24"/>
        <w:szCs w:val="24"/>
      </w:rPr>
    </w:pPr>
    <w:r>
      <w:rPr>
        <w:color w:val="2C7FCE"/>
        <w:sz w:val="24"/>
        <w:szCs w:val="24"/>
      </w:rPr>
      <w:t xml:space="preserve">Página </w:t>
    </w:r>
    <w:r>
      <w:rPr>
        <w:color w:val="0A1D30"/>
        <w:sz w:val="24"/>
        <w:szCs w:val="24"/>
      </w:rPr>
      <w:fldChar w:fldCharType="begin"/>
    </w:r>
    <w:r>
      <w:rPr>
        <w:color w:val="0A1D30"/>
        <w:sz w:val="24"/>
        <w:szCs w:val="24"/>
      </w:rPr>
      <w:instrText>PAGE</w:instrText>
    </w:r>
    <w:r>
      <w:rPr>
        <w:color w:val="0A1D30"/>
        <w:sz w:val="24"/>
        <w:szCs w:val="24"/>
      </w:rPr>
      <w:fldChar w:fldCharType="separate"/>
    </w:r>
    <w:r w:rsidR="009E3084">
      <w:rPr>
        <w:noProof/>
        <w:color w:val="0A1D30"/>
        <w:sz w:val="24"/>
        <w:szCs w:val="24"/>
      </w:rPr>
      <w:t>41</w:t>
    </w:r>
    <w:r>
      <w:rPr>
        <w:color w:val="0A1D30"/>
        <w:sz w:val="24"/>
        <w:szCs w:val="24"/>
      </w:rPr>
      <w:fldChar w:fldCharType="end"/>
    </w:r>
    <w:r>
      <w:rPr>
        <w:color w:val="0A1D30"/>
        <w:sz w:val="24"/>
        <w:szCs w:val="24"/>
      </w:rPr>
      <w:t xml:space="preserve"> | </w:t>
    </w:r>
    <w:r>
      <w:rPr>
        <w:color w:val="0A1D30"/>
        <w:sz w:val="24"/>
        <w:szCs w:val="24"/>
      </w:rPr>
      <w:fldChar w:fldCharType="begin"/>
    </w:r>
    <w:r>
      <w:rPr>
        <w:color w:val="0A1D30"/>
        <w:sz w:val="24"/>
        <w:szCs w:val="24"/>
      </w:rPr>
      <w:instrText>NUMPAGES</w:instrText>
    </w:r>
    <w:r>
      <w:rPr>
        <w:color w:val="0A1D30"/>
        <w:sz w:val="24"/>
        <w:szCs w:val="24"/>
      </w:rPr>
      <w:fldChar w:fldCharType="separate"/>
    </w:r>
    <w:r w:rsidR="009E3084">
      <w:rPr>
        <w:noProof/>
        <w:color w:val="0A1D30"/>
        <w:sz w:val="24"/>
        <w:szCs w:val="24"/>
      </w:rPr>
      <w:t>43</w:t>
    </w:r>
    <w:r>
      <w:rPr>
        <w:color w:val="0A1D30"/>
        <w:sz w:val="24"/>
        <w:szCs w:val="24"/>
      </w:rPr>
      <w:fldChar w:fldCharType="end"/>
    </w:r>
  </w:p>
  <w:p w:rsidR="00705170" w:rsidRDefault="00705170">
    <w:pPr>
      <w:pBdr>
        <w:top w:val="nil"/>
        <w:left w:val="nil"/>
        <w:bottom w:val="nil"/>
        <w:right w:val="nil"/>
        <w:between w:val="nil"/>
      </w:pBdr>
      <w:tabs>
        <w:tab w:val="center" w:pos="4419"/>
        <w:tab w:val="right" w:pos="8838"/>
      </w:tabs>
      <w:rPr>
        <w:rFonts w:eastAsia="Palatino Linotype" w:cs="Palatino Linotype"/>
        <w:color w:val="000000"/>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2837" w:rsidRDefault="000A2837">
      <w:pPr>
        <w:spacing w:line="240" w:lineRule="auto"/>
      </w:pPr>
      <w:r>
        <w:separator/>
      </w:r>
    </w:p>
  </w:footnote>
  <w:footnote w:type="continuationSeparator" w:id="0">
    <w:p w:rsidR="000A2837" w:rsidRDefault="000A283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5170" w:rsidRDefault="00705170">
    <w:pPr>
      <w:widowControl w:val="0"/>
      <w:pBdr>
        <w:top w:val="nil"/>
        <w:left w:val="nil"/>
        <w:bottom w:val="nil"/>
        <w:right w:val="nil"/>
        <w:between w:val="nil"/>
      </w:pBdr>
      <w:spacing w:line="276" w:lineRule="auto"/>
      <w:jc w:val="left"/>
    </w:pPr>
  </w:p>
  <w:tbl>
    <w:tblPr>
      <w:tblStyle w:val="a2"/>
      <w:tblW w:w="6129" w:type="dxa"/>
      <w:jc w:val="right"/>
      <w:tblInd w:w="0" w:type="dxa"/>
      <w:tblBorders>
        <w:top w:val="nil"/>
        <w:left w:val="nil"/>
        <w:bottom w:val="nil"/>
        <w:right w:val="nil"/>
        <w:insideH w:val="nil"/>
        <w:insideV w:val="nil"/>
      </w:tblBorders>
      <w:tblLayout w:type="fixed"/>
      <w:tblLook w:val="0400" w:firstRow="0" w:lastRow="0" w:firstColumn="0" w:lastColumn="0" w:noHBand="0" w:noVBand="1"/>
    </w:tblPr>
    <w:tblGrid>
      <w:gridCol w:w="2727"/>
      <w:gridCol w:w="3402"/>
    </w:tblGrid>
    <w:tr w:rsidR="00705170">
      <w:trPr>
        <w:trHeight w:val="144"/>
        <w:jc w:val="right"/>
      </w:trPr>
      <w:tc>
        <w:tcPr>
          <w:tcW w:w="2727" w:type="dxa"/>
        </w:tcPr>
        <w:p w:rsidR="00705170" w:rsidRPr="00E56184" w:rsidRDefault="001D19D5">
          <w:pPr>
            <w:tabs>
              <w:tab w:val="right" w:pos="8838"/>
            </w:tabs>
            <w:ind w:left="-74" w:right="-105"/>
            <w:rPr>
              <w:rFonts w:ascii="Palatino Linotype" w:hAnsi="Palatino Linotype"/>
              <w:b/>
            </w:rPr>
          </w:pPr>
          <w:r w:rsidRPr="00E56184">
            <w:rPr>
              <w:rFonts w:ascii="Palatino Linotype" w:hAnsi="Palatino Linotype"/>
              <w:b/>
            </w:rPr>
            <w:t>Recurso de Revisión:</w:t>
          </w:r>
        </w:p>
      </w:tc>
      <w:tc>
        <w:tcPr>
          <w:tcW w:w="3402" w:type="dxa"/>
        </w:tcPr>
        <w:p w:rsidR="00705170" w:rsidRPr="00E56184" w:rsidRDefault="001D19D5">
          <w:pPr>
            <w:tabs>
              <w:tab w:val="right" w:pos="8838"/>
            </w:tabs>
            <w:ind w:left="-74" w:right="-105"/>
            <w:rPr>
              <w:rFonts w:ascii="Palatino Linotype" w:hAnsi="Palatino Linotype"/>
            </w:rPr>
          </w:pPr>
          <w:r w:rsidRPr="00E56184">
            <w:rPr>
              <w:rFonts w:ascii="Palatino Linotype" w:hAnsi="Palatino Linotype"/>
            </w:rPr>
            <w:t>06202/INFOEM/IP/RR/2024 y acumulado</w:t>
          </w:r>
        </w:p>
      </w:tc>
    </w:tr>
    <w:tr w:rsidR="00705170">
      <w:trPr>
        <w:trHeight w:val="283"/>
        <w:jc w:val="right"/>
      </w:trPr>
      <w:tc>
        <w:tcPr>
          <w:tcW w:w="2727" w:type="dxa"/>
        </w:tcPr>
        <w:p w:rsidR="00705170" w:rsidRPr="00E56184" w:rsidRDefault="001D19D5">
          <w:pPr>
            <w:tabs>
              <w:tab w:val="right" w:pos="8838"/>
            </w:tabs>
            <w:ind w:left="-74" w:right="-105"/>
            <w:rPr>
              <w:rFonts w:ascii="Palatino Linotype" w:hAnsi="Palatino Linotype"/>
              <w:b/>
            </w:rPr>
          </w:pPr>
          <w:r w:rsidRPr="00E56184">
            <w:rPr>
              <w:rFonts w:ascii="Palatino Linotype" w:hAnsi="Palatino Linotype"/>
              <w:b/>
            </w:rPr>
            <w:t>Sujeto Obligado:</w:t>
          </w:r>
        </w:p>
      </w:tc>
      <w:tc>
        <w:tcPr>
          <w:tcW w:w="3402" w:type="dxa"/>
        </w:tcPr>
        <w:p w:rsidR="00705170" w:rsidRPr="00E56184" w:rsidRDefault="001D19D5">
          <w:pPr>
            <w:tabs>
              <w:tab w:val="right" w:pos="8838"/>
            </w:tabs>
            <w:ind w:left="-108" w:right="-105"/>
            <w:rPr>
              <w:rFonts w:ascii="Palatino Linotype" w:hAnsi="Palatino Linotype"/>
            </w:rPr>
          </w:pPr>
          <w:r w:rsidRPr="00E56184">
            <w:rPr>
              <w:rFonts w:ascii="Palatino Linotype" w:hAnsi="Palatino Linotype"/>
            </w:rPr>
            <w:t>Ayuntamiento de Temamatla</w:t>
          </w:r>
        </w:p>
      </w:tc>
    </w:tr>
    <w:tr w:rsidR="00705170">
      <w:trPr>
        <w:trHeight w:val="283"/>
        <w:jc w:val="right"/>
      </w:trPr>
      <w:tc>
        <w:tcPr>
          <w:tcW w:w="2727" w:type="dxa"/>
        </w:tcPr>
        <w:p w:rsidR="00705170" w:rsidRPr="00E56184" w:rsidRDefault="001D19D5">
          <w:pPr>
            <w:tabs>
              <w:tab w:val="right" w:pos="8838"/>
            </w:tabs>
            <w:ind w:left="-74" w:right="-105"/>
            <w:rPr>
              <w:rFonts w:ascii="Palatino Linotype" w:hAnsi="Palatino Linotype"/>
              <w:b/>
            </w:rPr>
          </w:pPr>
          <w:r w:rsidRPr="00E56184">
            <w:rPr>
              <w:rFonts w:ascii="Palatino Linotype" w:hAnsi="Palatino Linotype"/>
              <w:b/>
            </w:rPr>
            <w:t>Comisionada Ponente:</w:t>
          </w:r>
        </w:p>
      </w:tc>
      <w:tc>
        <w:tcPr>
          <w:tcW w:w="3402" w:type="dxa"/>
        </w:tcPr>
        <w:p w:rsidR="00705170" w:rsidRPr="00E56184" w:rsidRDefault="001D19D5">
          <w:pPr>
            <w:tabs>
              <w:tab w:val="right" w:pos="8838"/>
            </w:tabs>
            <w:ind w:left="-108" w:right="-105"/>
            <w:rPr>
              <w:rFonts w:ascii="Palatino Linotype" w:hAnsi="Palatino Linotype"/>
            </w:rPr>
          </w:pPr>
          <w:r w:rsidRPr="00E56184">
            <w:rPr>
              <w:rFonts w:ascii="Palatino Linotype" w:hAnsi="Palatino Linotype"/>
            </w:rPr>
            <w:t>Sharon Cristina Morales Martínez</w:t>
          </w:r>
        </w:p>
      </w:tc>
    </w:tr>
  </w:tbl>
  <w:p w:rsidR="00705170" w:rsidRDefault="001D19D5">
    <w:pPr>
      <w:pBdr>
        <w:top w:val="nil"/>
        <w:left w:val="nil"/>
        <w:bottom w:val="nil"/>
        <w:right w:val="nil"/>
        <w:between w:val="nil"/>
      </w:pBdr>
      <w:tabs>
        <w:tab w:val="center" w:pos="4419"/>
        <w:tab w:val="right" w:pos="8838"/>
        <w:tab w:val="center" w:pos="4522"/>
        <w:tab w:val="left" w:pos="6203"/>
      </w:tabs>
      <w:rPr>
        <w:rFonts w:eastAsia="Palatino Linotype" w:cs="Palatino Linotype"/>
        <w:color w:val="000000"/>
        <w:sz w:val="14"/>
        <w:szCs w:val="14"/>
      </w:rPr>
    </w:pPr>
    <w:r>
      <w:rPr>
        <w:rFonts w:ascii="Garamond" w:eastAsia="Garamond" w:hAnsi="Garamond" w:cs="Garamond"/>
        <w:noProof/>
        <w:color w:val="000000"/>
        <w:sz w:val="16"/>
        <w:szCs w:val="16"/>
        <w:lang w:eastAsia="es-MX"/>
      </w:rPr>
      <w:drawing>
        <wp:anchor distT="0" distB="0" distL="0" distR="0" simplePos="0" relativeHeight="251657216" behindDoc="1" locked="0" layoutInCell="1" hidden="0" allowOverlap="1">
          <wp:simplePos x="0" y="0"/>
          <wp:positionH relativeFrom="margin">
            <wp:align>center</wp:align>
          </wp:positionH>
          <wp:positionV relativeFrom="margin">
            <wp:posOffset>-1782444</wp:posOffset>
          </wp:positionV>
          <wp:extent cx="8426450" cy="10972800"/>
          <wp:effectExtent l="0" t="0" r="0" b="0"/>
          <wp:wrapNone/>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8426450" cy="10972800"/>
                  </a:xfrm>
                  <a:prstGeom prst="rect">
                    <a:avLst/>
                  </a:prstGeom>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5170" w:rsidRDefault="000A2837">
    <w:pPr>
      <w:widowControl w:val="0"/>
      <w:pBdr>
        <w:top w:val="nil"/>
        <w:left w:val="nil"/>
        <w:bottom w:val="nil"/>
        <w:right w:val="nil"/>
        <w:between w:val="nil"/>
      </w:pBdr>
      <w:spacing w:line="276" w:lineRule="auto"/>
      <w:jc w:val="left"/>
      <w:rPr>
        <w:rFonts w:eastAsia="Palatino Linotype" w:cs="Palatino Linotype"/>
        <w:color w:val="000000"/>
        <w:sz w:val="14"/>
        <w:szCs w:val="14"/>
      </w:rPr>
    </w:pPr>
    <w:r>
      <w:rPr>
        <w:rFonts w:eastAsia="Palatino Linotype" w:cs="Palatino Linotype"/>
        <w:color w:val="000000"/>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79.4pt;margin-top:-195.85pt;width:663.5pt;height:12in;z-index:-251658240;mso-position-horizontal-relative:margin;mso-position-vertical-relative:margin">
          <v:imagedata r:id="rId1" o:title="image1"/>
          <w10:wrap anchorx="margin" anchory="margin"/>
        </v:shape>
      </w:pict>
    </w:r>
  </w:p>
  <w:tbl>
    <w:tblPr>
      <w:tblStyle w:val="a3"/>
      <w:tblW w:w="6661" w:type="dxa"/>
      <w:tblInd w:w="2552" w:type="dxa"/>
      <w:tblLayout w:type="fixed"/>
      <w:tblLook w:val="0400" w:firstRow="0" w:lastRow="0" w:firstColumn="0" w:lastColumn="0" w:noHBand="0" w:noVBand="1"/>
    </w:tblPr>
    <w:tblGrid>
      <w:gridCol w:w="283"/>
      <w:gridCol w:w="6378"/>
    </w:tblGrid>
    <w:tr w:rsidR="00705170">
      <w:trPr>
        <w:trHeight w:val="1435"/>
      </w:trPr>
      <w:tc>
        <w:tcPr>
          <w:tcW w:w="283" w:type="dxa"/>
          <w:shd w:val="clear" w:color="auto" w:fill="auto"/>
        </w:tcPr>
        <w:p w:rsidR="00705170" w:rsidRDefault="00705170">
          <w:pPr>
            <w:tabs>
              <w:tab w:val="right" w:pos="4273"/>
            </w:tabs>
            <w:rPr>
              <w:rFonts w:ascii="Garamond" w:eastAsia="Garamond" w:hAnsi="Garamond" w:cs="Garamond"/>
            </w:rPr>
          </w:pPr>
        </w:p>
      </w:tc>
      <w:tc>
        <w:tcPr>
          <w:tcW w:w="6379" w:type="dxa"/>
          <w:shd w:val="clear" w:color="auto" w:fill="auto"/>
        </w:tcPr>
        <w:p w:rsidR="00705170" w:rsidRDefault="00705170">
          <w:pPr>
            <w:widowControl w:val="0"/>
            <w:pBdr>
              <w:top w:val="nil"/>
              <w:left w:val="nil"/>
              <w:bottom w:val="nil"/>
              <w:right w:val="nil"/>
              <w:between w:val="nil"/>
            </w:pBdr>
            <w:spacing w:line="276" w:lineRule="auto"/>
            <w:jc w:val="left"/>
            <w:rPr>
              <w:rFonts w:ascii="Garamond" w:eastAsia="Garamond" w:hAnsi="Garamond" w:cs="Garamond"/>
            </w:rPr>
          </w:pPr>
        </w:p>
        <w:tbl>
          <w:tblPr>
            <w:tblStyle w:val="a4"/>
            <w:tblW w:w="9531"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2727"/>
            <w:gridCol w:w="3402"/>
            <w:gridCol w:w="3402"/>
          </w:tblGrid>
          <w:tr w:rsidR="00705170">
            <w:trPr>
              <w:trHeight w:val="144"/>
            </w:trPr>
            <w:tc>
              <w:tcPr>
                <w:tcW w:w="2727" w:type="dxa"/>
              </w:tcPr>
              <w:p w:rsidR="00705170" w:rsidRPr="00E56184" w:rsidRDefault="001D19D5">
                <w:pPr>
                  <w:tabs>
                    <w:tab w:val="right" w:pos="8838"/>
                  </w:tabs>
                  <w:ind w:left="-74" w:right="-105"/>
                  <w:rPr>
                    <w:rFonts w:ascii="Palatino Linotype" w:hAnsi="Palatino Linotype"/>
                    <w:b/>
                  </w:rPr>
                </w:pPr>
                <w:bookmarkStart w:id="1" w:name="_heading=h.41mghml" w:colFirst="0" w:colLast="0"/>
                <w:bookmarkEnd w:id="1"/>
                <w:r w:rsidRPr="00E56184">
                  <w:rPr>
                    <w:rFonts w:ascii="Palatino Linotype" w:hAnsi="Palatino Linotype"/>
                    <w:b/>
                  </w:rPr>
                  <w:t>Recurso de Revisión:</w:t>
                </w:r>
              </w:p>
            </w:tc>
            <w:tc>
              <w:tcPr>
                <w:tcW w:w="3402" w:type="dxa"/>
              </w:tcPr>
              <w:p w:rsidR="00705170" w:rsidRPr="00E56184" w:rsidRDefault="001D19D5">
                <w:pPr>
                  <w:tabs>
                    <w:tab w:val="right" w:pos="8838"/>
                  </w:tabs>
                  <w:ind w:left="-74" w:right="-105"/>
                  <w:rPr>
                    <w:rFonts w:ascii="Palatino Linotype" w:hAnsi="Palatino Linotype"/>
                  </w:rPr>
                </w:pPr>
                <w:r w:rsidRPr="00E56184">
                  <w:rPr>
                    <w:rFonts w:ascii="Palatino Linotype" w:hAnsi="Palatino Linotype"/>
                  </w:rPr>
                  <w:t>06202/INFOEM/IP/RR/2024 y acumulado</w:t>
                </w:r>
              </w:p>
            </w:tc>
            <w:tc>
              <w:tcPr>
                <w:tcW w:w="3402" w:type="dxa"/>
              </w:tcPr>
              <w:p w:rsidR="00705170" w:rsidRDefault="00705170">
                <w:pPr>
                  <w:tabs>
                    <w:tab w:val="right" w:pos="8838"/>
                  </w:tabs>
                  <w:ind w:left="-74" w:right="-105"/>
                </w:pPr>
              </w:p>
            </w:tc>
          </w:tr>
          <w:tr w:rsidR="00705170">
            <w:trPr>
              <w:trHeight w:val="144"/>
            </w:trPr>
            <w:tc>
              <w:tcPr>
                <w:tcW w:w="2727" w:type="dxa"/>
              </w:tcPr>
              <w:p w:rsidR="00705170" w:rsidRPr="00E56184" w:rsidRDefault="001D19D5">
                <w:pPr>
                  <w:tabs>
                    <w:tab w:val="right" w:pos="8838"/>
                  </w:tabs>
                  <w:ind w:left="-74" w:right="-105"/>
                  <w:rPr>
                    <w:rFonts w:ascii="Palatino Linotype" w:hAnsi="Palatino Linotype"/>
                    <w:b/>
                  </w:rPr>
                </w:pPr>
                <w:bookmarkStart w:id="2" w:name="_heading=h.2grqrue" w:colFirst="0" w:colLast="0"/>
                <w:bookmarkEnd w:id="2"/>
                <w:r w:rsidRPr="00E56184">
                  <w:rPr>
                    <w:rFonts w:ascii="Palatino Linotype" w:hAnsi="Palatino Linotype"/>
                    <w:b/>
                  </w:rPr>
                  <w:t>Recurrente:</w:t>
                </w:r>
              </w:p>
            </w:tc>
            <w:tc>
              <w:tcPr>
                <w:tcW w:w="3402" w:type="dxa"/>
              </w:tcPr>
              <w:p w:rsidR="00705170" w:rsidRPr="00E56184" w:rsidRDefault="00705170">
                <w:pPr>
                  <w:tabs>
                    <w:tab w:val="right" w:pos="8838"/>
                  </w:tabs>
                  <w:ind w:left="-108" w:right="-105"/>
                  <w:rPr>
                    <w:rFonts w:ascii="Palatino Linotype" w:hAnsi="Palatino Linotype"/>
                  </w:rPr>
                </w:pPr>
              </w:p>
            </w:tc>
            <w:tc>
              <w:tcPr>
                <w:tcW w:w="3402" w:type="dxa"/>
              </w:tcPr>
              <w:p w:rsidR="00705170" w:rsidRDefault="00705170">
                <w:pPr>
                  <w:tabs>
                    <w:tab w:val="left" w:pos="3122"/>
                    <w:tab w:val="right" w:pos="8838"/>
                  </w:tabs>
                  <w:ind w:left="-105" w:right="-105"/>
                </w:pPr>
              </w:p>
            </w:tc>
          </w:tr>
          <w:tr w:rsidR="00705170">
            <w:trPr>
              <w:trHeight w:val="283"/>
            </w:trPr>
            <w:tc>
              <w:tcPr>
                <w:tcW w:w="2727" w:type="dxa"/>
              </w:tcPr>
              <w:p w:rsidR="00705170" w:rsidRPr="00E56184" w:rsidRDefault="001D19D5">
                <w:pPr>
                  <w:tabs>
                    <w:tab w:val="right" w:pos="8838"/>
                  </w:tabs>
                  <w:ind w:left="-74" w:right="-105"/>
                  <w:rPr>
                    <w:rFonts w:ascii="Palatino Linotype" w:hAnsi="Palatino Linotype"/>
                    <w:b/>
                  </w:rPr>
                </w:pPr>
                <w:r w:rsidRPr="00E56184">
                  <w:rPr>
                    <w:rFonts w:ascii="Palatino Linotype" w:hAnsi="Palatino Linotype"/>
                    <w:b/>
                  </w:rPr>
                  <w:t>Sujeto Obligado:</w:t>
                </w:r>
              </w:p>
            </w:tc>
            <w:tc>
              <w:tcPr>
                <w:tcW w:w="3402" w:type="dxa"/>
              </w:tcPr>
              <w:p w:rsidR="00705170" w:rsidRPr="00E56184" w:rsidRDefault="001D19D5">
                <w:pPr>
                  <w:tabs>
                    <w:tab w:val="right" w:pos="8838"/>
                  </w:tabs>
                  <w:ind w:left="-74" w:right="-105"/>
                  <w:rPr>
                    <w:rFonts w:ascii="Palatino Linotype" w:hAnsi="Palatino Linotype"/>
                  </w:rPr>
                </w:pPr>
                <w:bookmarkStart w:id="3" w:name="_heading=h.vx1227" w:colFirst="0" w:colLast="0"/>
                <w:bookmarkEnd w:id="3"/>
                <w:r w:rsidRPr="00E56184">
                  <w:rPr>
                    <w:rFonts w:ascii="Palatino Linotype" w:hAnsi="Palatino Linotype"/>
                  </w:rPr>
                  <w:t>Ayuntamiento de Temamatla</w:t>
                </w:r>
              </w:p>
            </w:tc>
            <w:tc>
              <w:tcPr>
                <w:tcW w:w="3402" w:type="dxa"/>
              </w:tcPr>
              <w:p w:rsidR="00705170" w:rsidRDefault="00705170">
                <w:pPr>
                  <w:tabs>
                    <w:tab w:val="left" w:pos="2834"/>
                    <w:tab w:val="right" w:pos="8838"/>
                  </w:tabs>
                  <w:ind w:left="-108" w:right="-105"/>
                </w:pPr>
              </w:p>
            </w:tc>
          </w:tr>
          <w:tr w:rsidR="00705170">
            <w:trPr>
              <w:trHeight w:val="283"/>
            </w:trPr>
            <w:tc>
              <w:tcPr>
                <w:tcW w:w="2727" w:type="dxa"/>
              </w:tcPr>
              <w:p w:rsidR="00705170" w:rsidRPr="00E56184" w:rsidRDefault="001D19D5">
                <w:pPr>
                  <w:tabs>
                    <w:tab w:val="right" w:pos="8838"/>
                  </w:tabs>
                  <w:ind w:left="-74" w:right="-105"/>
                  <w:rPr>
                    <w:rFonts w:ascii="Palatino Linotype" w:hAnsi="Palatino Linotype"/>
                    <w:b/>
                  </w:rPr>
                </w:pPr>
                <w:r w:rsidRPr="00E56184">
                  <w:rPr>
                    <w:rFonts w:ascii="Palatino Linotype" w:hAnsi="Palatino Linotype"/>
                    <w:b/>
                  </w:rPr>
                  <w:t>Comisionada Ponente:</w:t>
                </w:r>
              </w:p>
            </w:tc>
            <w:tc>
              <w:tcPr>
                <w:tcW w:w="3402" w:type="dxa"/>
              </w:tcPr>
              <w:p w:rsidR="00705170" w:rsidRPr="00E56184" w:rsidRDefault="001D19D5">
                <w:pPr>
                  <w:tabs>
                    <w:tab w:val="right" w:pos="8838"/>
                  </w:tabs>
                  <w:ind w:left="-108" w:right="-105"/>
                  <w:rPr>
                    <w:rFonts w:ascii="Palatino Linotype" w:hAnsi="Palatino Linotype"/>
                  </w:rPr>
                </w:pPr>
                <w:r w:rsidRPr="00E56184">
                  <w:rPr>
                    <w:rFonts w:ascii="Palatino Linotype" w:hAnsi="Palatino Linotype"/>
                  </w:rPr>
                  <w:t>Sharon Cristina Morales Martínez</w:t>
                </w:r>
              </w:p>
            </w:tc>
            <w:tc>
              <w:tcPr>
                <w:tcW w:w="3402" w:type="dxa"/>
              </w:tcPr>
              <w:p w:rsidR="00705170" w:rsidRDefault="00705170">
                <w:pPr>
                  <w:tabs>
                    <w:tab w:val="right" w:pos="8838"/>
                  </w:tabs>
                  <w:ind w:left="-108" w:right="-105"/>
                </w:pPr>
              </w:p>
            </w:tc>
          </w:tr>
        </w:tbl>
        <w:p w:rsidR="00705170" w:rsidRDefault="00705170">
          <w:pPr>
            <w:tabs>
              <w:tab w:val="right" w:pos="8838"/>
            </w:tabs>
            <w:ind w:left="-28"/>
            <w:rPr>
              <w:rFonts w:ascii="Arial" w:eastAsia="Arial" w:hAnsi="Arial" w:cs="Arial"/>
              <w:b/>
            </w:rPr>
          </w:pPr>
        </w:p>
      </w:tc>
    </w:tr>
  </w:tbl>
  <w:p w:rsidR="00705170" w:rsidRDefault="00705170">
    <w:pPr>
      <w:pBdr>
        <w:top w:val="nil"/>
        <w:left w:val="nil"/>
        <w:bottom w:val="nil"/>
        <w:right w:val="nil"/>
        <w:between w:val="nil"/>
      </w:pBdr>
      <w:tabs>
        <w:tab w:val="center" w:pos="4419"/>
        <w:tab w:val="right" w:pos="8838"/>
        <w:tab w:val="left" w:pos="2957"/>
      </w:tabs>
      <w:rPr>
        <w:rFonts w:eastAsia="Palatino Linotype" w:cs="Palatino Linotype"/>
        <w:color w:val="000000"/>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597AB5"/>
    <w:multiLevelType w:val="multilevel"/>
    <w:tmpl w:val="81BA5044"/>
    <w:lvl w:ilvl="0">
      <w:start w:val="1"/>
      <w:numFmt w:val="decimal"/>
      <w:lvlText w:val="%1."/>
      <w:lvlJc w:val="left"/>
      <w:pPr>
        <w:ind w:left="720" w:hanging="36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54BB5AAC"/>
    <w:multiLevelType w:val="multilevel"/>
    <w:tmpl w:val="96B045B2"/>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5170"/>
    <w:rsid w:val="000A2837"/>
    <w:rsid w:val="001743D7"/>
    <w:rsid w:val="001D19D5"/>
    <w:rsid w:val="00705170"/>
    <w:rsid w:val="009E3084"/>
    <w:rsid w:val="00E5618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B464F6AD-6F98-4497-842D-569C390EB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alatino Linotype" w:eastAsia="Palatino Linotype" w:hAnsi="Palatino Linotype" w:cs="Palatino Linotype"/>
        <w:sz w:val="22"/>
        <w:szCs w:val="22"/>
        <w:lang w:val="es-MX" w:eastAsia="es-MX"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168C"/>
    <w:rPr>
      <w:rFonts w:eastAsia="Times New Roman" w:cs="Times New Roman"/>
      <w:szCs w:val="20"/>
      <w:lang w:eastAsia="es-ES"/>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aliases w:val="Cita textual"/>
    <w:next w:val="Normal"/>
    <w:link w:val="PuestoCar"/>
    <w:uiPriority w:val="10"/>
    <w:qFormat/>
    <w:rsid w:val="002B7C6F"/>
    <w:pPr>
      <w:spacing w:line="240" w:lineRule="auto"/>
      <w:ind w:left="567" w:right="567"/>
      <w:contextualSpacing/>
    </w:pPr>
    <w:rPr>
      <w:rFonts w:eastAsiaTheme="majorEastAsia" w:cstheme="majorBidi"/>
      <w:i/>
      <w:kern w:val="28"/>
      <w:szCs w:val="56"/>
      <w:lang w:eastAsia="es-ES"/>
    </w:rPr>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rPr>
  </w:style>
  <w:style w:type="paragraph" w:styleId="Subttulo">
    <w:name w:val="Subtitle"/>
    <w:basedOn w:val="Normal"/>
    <w:next w:val="Normal"/>
    <w:link w:val="SubttuloCar"/>
    <w:rPr>
      <w:color w:val="595959"/>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line="240" w:lineRule="auto"/>
    </w:pPr>
    <w:rPr>
      <w:rFonts w:eastAsia="Times New Roman" w:cs="Times New Roman"/>
      <w:szCs w:val="20"/>
      <w:lang w:eastAsia="es-ES"/>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rPr>
  </w:style>
  <w:style w:type="paragraph" w:styleId="Sinespaciado">
    <w:name w:val="No Spacing"/>
    <w:uiPriority w:val="1"/>
    <w:qFormat/>
    <w:rsid w:val="00AF03C4"/>
    <w:pPr>
      <w:spacing w:line="240" w:lineRule="auto"/>
    </w:pPr>
    <w:rPr>
      <w:rFonts w:eastAsia="Times New Roman" w:cs="Times New Roman"/>
      <w:szCs w:val="20"/>
      <w:lang w:eastAsia="es-E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1E0CFD"/>
    <w:pPr>
      <w:spacing w:line="240" w:lineRule="auto"/>
    </w:pPr>
    <w:rPr>
      <w:sz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1E0CFD"/>
    <w:rPr>
      <w:rFonts w:ascii="Palatino Linotype" w:eastAsia="Times New Roman" w:hAnsi="Palatino Linotype" w:cs="Times New Roman"/>
      <w:kern w:val="0"/>
      <w:sz w:val="20"/>
      <w:szCs w:val="20"/>
      <w:lang w:eastAsia="es-ES"/>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iPriority w:val="99"/>
    <w:unhideWhenUsed/>
    <w:qFormat/>
    <w:rsid w:val="001E0CFD"/>
    <w:rPr>
      <w:vertAlign w:val="superscript"/>
    </w:rPr>
  </w:style>
  <w:style w:type="paragraph" w:styleId="Textodeglobo">
    <w:name w:val="Balloon Text"/>
    <w:basedOn w:val="Normal"/>
    <w:link w:val="TextodegloboCar"/>
    <w:uiPriority w:val="99"/>
    <w:semiHidden/>
    <w:unhideWhenUsed/>
    <w:rsid w:val="007E07E1"/>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E07E1"/>
    <w:rPr>
      <w:rFonts w:ascii="Segoe UI" w:eastAsia="Times New Roman" w:hAnsi="Segoe UI" w:cs="Segoe UI"/>
      <w:kern w:val="0"/>
      <w:sz w:val="18"/>
      <w:szCs w:val="18"/>
      <w:lang w:eastAsia="es-ES"/>
    </w:rPr>
  </w:style>
  <w:style w:type="paragraph" w:customStyle="1" w:styleId="Citas">
    <w:name w:val="Citas"/>
    <w:basedOn w:val="Normal"/>
    <w:qFormat/>
    <w:rsid w:val="001D56CC"/>
    <w:pPr>
      <w:spacing w:before="240" w:after="160"/>
      <w:ind w:left="851" w:right="851"/>
    </w:pPr>
    <w:rPr>
      <w:rFonts w:eastAsiaTheme="minorHAnsi" w:cs="Arial"/>
      <w:i/>
      <w:szCs w:val="22"/>
      <w:lang w:eastAsia="en-US"/>
    </w:rPr>
  </w:style>
  <w:style w:type="character" w:customStyle="1" w:styleId="selectable-text">
    <w:name w:val="selectable-text"/>
    <w:basedOn w:val="Fuentedeprrafopredeter"/>
    <w:rsid w:val="0068301E"/>
  </w:style>
  <w:style w:type="table" w:customStyle="1" w:styleId="5">
    <w:name w:val="5"/>
    <w:basedOn w:val="Tablanormal"/>
    <w:rsid w:val="00410CD0"/>
    <w:pPr>
      <w:spacing w:line="240" w:lineRule="auto"/>
    </w:pPr>
    <w:rPr>
      <w:rFonts w:ascii="Arial" w:eastAsia="Arial" w:hAnsi="Arial" w:cs="Arial"/>
    </w:rPr>
    <w:tblPr>
      <w:tblStyleRowBandSize w:val="1"/>
      <w:tblStyleColBandSize w:val="1"/>
      <w:tblInd w:w="0" w:type="nil"/>
      <w:tblCellMar>
        <w:top w:w="100" w:type="dxa"/>
        <w:left w:w="115" w:type="dxa"/>
        <w:bottom w:w="100" w:type="dxa"/>
        <w:right w:w="115" w:type="dxa"/>
      </w:tblCellMar>
    </w:tblPr>
  </w:style>
  <w:style w:type="paragraph" w:styleId="NormalWeb">
    <w:name w:val="Normal (Web)"/>
    <w:basedOn w:val="Normal"/>
    <w:uiPriority w:val="99"/>
    <w:semiHidden/>
    <w:unhideWhenUsed/>
    <w:rsid w:val="00935D55"/>
    <w:pPr>
      <w:spacing w:before="100" w:beforeAutospacing="1" w:after="100" w:afterAutospacing="1" w:line="240" w:lineRule="auto"/>
      <w:jc w:val="left"/>
    </w:pPr>
    <w:rPr>
      <w:rFonts w:ascii="Times New Roman" w:hAnsi="Times New Roman"/>
      <w:sz w:val="24"/>
      <w:szCs w:val="24"/>
    </w:rPr>
  </w:style>
  <w:style w:type="paragraph" w:customStyle="1" w:styleId="Default">
    <w:name w:val="Default"/>
    <w:rsid w:val="005B3915"/>
    <w:pPr>
      <w:autoSpaceDE w:val="0"/>
      <w:autoSpaceDN w:val="0"/>
      <w:adjustRightInd w:val="0"/>
      <w:spacing w:line="240" w:lineRule="auto"/>
    </w:pPr>
    <w:rPr>
      <w:rFonts w:ascii="Montserrat Medium" w:hAnsi="Montserrat Medium" w:cs="Montserrat Medium"/>
      <w:color w:val="000000"/>
      <w:sz w:val="24"/>
      <w:szCs w:val="24"/>
    </w:rPr>
  </w:style>
  <w:style w:type="table" w:customStyle="1" w:styleId="a">
    <w:basedOn w:val="TableNormal"/>
    <w:pPr>
      <w:spacing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0">
    <w:basedOn w:val="TableNormal"/>
    <w:pPr>
      <w:spacing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1">
    <w:basedOn w:val="TableNormal"/>
    <w:pPr>
      <w:spacing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2">
    <w:basedOn w:val="TableNormal"/>
    <w:pPr>
      <w:spacing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pPr>
      <w:spacing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0.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xB2bNe+NGlySNa5LY8iMFXF7cSg==">CgMxLjA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MXk4MTB0dzIJaC40aTdvamhwMgloLjJ4Y3l0cGkyCWguMWNpOTN4YjIJaC4zd2h3bWw0MgloLjJibjZ3c3gyCGgucXNoNzBxMgloLjNhczRwb2oyCWguMXB4ZXp3YzIJaC40OXgyaWs1MgloLjJwMmNzcnkyCWguMTQ3bjJ6cjIJaC4zbzdhbG5rMgloLjIzY2t2dmQyCGguaWh2NjM2MgloLjMyaGlvcXoyCWguMWhtc3l5czIJaC40MW1naG1sMgloLjJncnFydWUyCGgudngxMjI3OAByITE5N1RVeEFBYk9md0NVVVBjS2lQOXAxZklHenpRV05J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43</Pages>
  <Words>10775</Words>
  <Characters>59268</Characters>
  <Application>Microsoft Office Word</Application>
  <DocSecurity>0</DocSecurity>
  <Lines>493</Lines>
  <Paragraphs>139</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69904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 Gutierrez Zarate</dc:creator>
  <cp:lastModifiedBy>infoem607b</cp:lastModifiedBy>
  <cp:revision>4</cp:revision>
  <cp:lastPrinted>2024-11-07T19:36:00Z</cp:lastPrinted>
  <dcterms:created xsi:type="dcterms:W3CDTF">2024-10-31T18:22:00Z</dcterms:created>
  <dcterms:modified xsi:type="dcterms:W3CDTF">2024-11-07T19:36:00Z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