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27" w:rsidRDefault="005B1F82">
      <w:pPr>
        <w:spacing w:before="240" w:after="240" w:line="360" w:lineRule="auto"/>
        <w:jc w:val="both"/>
        <w:rPr>
          <w:rFonts w:ascii="Palatino Linotype" w:eastAsia="Palatino Linotype" w:hAnsi="Palatino Linotype" w:cs="Palatino Linotype"/>
          <w:sz w:val="24"/>
          <w:szCs w:val="24"/>
        </w:rPr>
      </w:pPr>
      <w:bookmarkStart w:id="0" w:name="_heading=h.gjdgxs" w:colFirst="0" w:colLast="0"/>
      <w:bookmarkEnd w:id="0"/>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veintiocho (28) de agosto de dos mil veinticuatro.</w:t>
      </w:r>
    </w:p>
    <w:p w:rsidR="00285427" w:rsidRDefault="005B1F82">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VISTOS los</w:t>
      </w:r>
      <w:r>
        <w:rPr>
          <w:rFonts w:ascii="Palatino Linotype" w:eastAsia="Palatino Linotype" w:hAnsi="Palatino Linotype" w:cs="Palatino Linotype"/>
          <w:color w:val="000000"/>
          <w:sz w:val="24"/>
          <w:szCs w:val="24"/>
        </w:rPr>
        <w:t xml:space="preserve"> expedientes electrónicos formados con motivo de los recurso de revisión </w:t>
      </w:r>
      <w:r>
        <w:rPr>
          <w:rFonts w:ascii="Palatino Linotype" w:eastAsia="Palatino Linotype" w:hAnsi="Palatino Linotype" w:cs="Palatino Linotype"/>
          <w:b/>
          <w:color w:val="000000"/>
          <w:sz w:val="24"/>
          <w:szCs w:val="24"/>
        </w:rPr>
        <w:t xml:space="preserve">04423/INFOEM/IP/RR/2024, 04424/INFOEM/IP/RR/2024, 04425/INFOEM/IP/RR/2024 y, 04426/INFOEM/IP/RR/2024 </w:t>
      </w:r>
      <w:r>
        <w:rPr>
          <w:rFonts w:ascii="Palatino Linotype" w:eastAsia="Palatino Linotype" w:hAnsi="Palatino Linotype" w:cs="Palatino Linotype"/>
          <w:color w:val="000000"/>
          <w:sz w:val="24"/>
          <w:szCs w:val="24"/>
        </w:rPr>
        <w:t xml:space="preserve">promovidos por </w:t>
      </w:r>
      <w:r>
        <w:rPr>
          <w:rFonts w:ascii="Palatino Linotype" w:eastAsia="Palatino Linotype" w:hAnsi="Palatino Linotype" w:cs="Palatino Linotype"/>
          <w:b/>
          <w:color w:val="000000"/>
          <w:sz w:val="24"/>
          <w:szCs w:val="24"/>
        </w:rPr>
        <w:t xml:space="preserve">una persona que no </w:t>
      </w:r>
      <w:r>
        <w:rPr>
          <w:rFonts w:ascii="Palatino Linotype" w:eastAsia="Palatino Linotype" w:hAnsi="Palatino Linotype" w:cs="Palatino Linotype"/>
          <w:b/>
          <w:sz w:val="24"/>
          <w:szCs w:val="24"/>
        </w:rPr>
        <w:t>registró</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sz w:val="24"/>
          <w:szCs w:val="24"/>
        </w:rPr>
        <w:t>nombre alguno</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en contra de la falta de respuestas del </w:t>
      </w:r>
      <w:r>
        <w:rPr>
          <w:rFonts w:ascii="Palatino Linotype" w:eastAsia="Palatino Linotype" w:hAnsi="Palatino Linotype" w:cs="Palatino Linotype"/>
          <w:b/>
          <w:color w:val="000000"/>
          <w:sz w:val="24"/>
          <w:szCs w:val="24"/>
        </w:rPr>
        <w:t>Ayuntamiento de San Felipe del Progreso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 con base en los siguientes:</w:t>
      </w:r>
    </w:p>
    <w:p w:rsidR="00285427" w:rsidRDefault="005B1F82">
      <w:pPr>
        <w:pStyle w:val="Ttulo1"/>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N</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T</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E</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C</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E</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D</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E</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N</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T</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E</w:t>
      </w:r>
      <w:r w:rsidR="00F50A3C">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S</w:t>
      </w:r>
    </w:p>
    <w:p w:rsidR="00285427" w:rsidRDefault="00285427">
      <w:pPr>
        <w:rPr>
          <w:rFonts w:ascii="Palatino Linotype" w:eastAsia="Palatino Linotype" w:hAnsi="Palatino Linotype" w:cs="Palatino Linotype"/>
          <w:sz w:val="24"/>
          <w:szCs w:val="24"/>
        </w:rPr>
      </w:pPr>
    </w:p>
    <w:p w:rsidR="00285427" w:rsidRDefault="005B1F8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veinte de junio de dos mil veinticuatro, se presentaron las solicitudes de acceso a la información pública,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registradas con el número </w:t>
      </w:r>
      <w:r>
        <w:rPr>
          <w:rFonts w:ascii="Palatino Linotype" w:eastAsia="Palatino Linotype" w:hAnsi="Palatino Linotype" w:cs="Palatino Linotype"/>
          <w:b/>
          <w:color w:val="000000"/>
          <w:sz w:val="24"/>
          <w:szCs w:val="24"/>
        </w:rPr>
        <w:t>00088/FELIPRO/IP/2024, 00089/FELIPRO/IP/2024, 00090/FELIPRO/IP/2024 y 00091/FELIPRO/IP/2024</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 xml:space="preserve">en las que </w:t>
      </w:r>
      <w:r>
        <w:rPr>
          <w:rFonts w:ascii="Palatino Linotype" w:eastAsia="Palatino Linotype" w:hAnsi="Palatino Linotype" w:cs="Palatino Linotype"/>
          <w:color w:val="000000"/>
          <w:sz w:val="24"/>
          <w:szCs w:val="24"/>
        </w:rPr>
        <w:t>solicitó lo siguiente:</w:t>
      </w:r>
    </w:p>
    <w:p w:rsidR="00285427" w:rsidRPr="00F50A3C" w:rsidRDefault="005B1F82" w:rsidP="00F50A3C">
      <w:pPr>
        <w:pStyle w:val="Prrafodelista"/>
        <w:numPr>
          <w:ilvl w:val="0"/>
          <w:numId w:val="9"/>
        </w:numPr>
        <w:ind w:right="567"/>
        <w:jc w:val="both"/>
        <w:rPr>
          <w:rFonts w:ascii="Palatino Linotype" w:eastAsia="Palatino Linotype" w:hAnsi="Palatino Linotype" w:cs="Palatino Linotype"/>
          <w:i/>
          <w:sz w:val="24"/>
        </w:rPr>
      </w:pPr>
      <w:r w:rsidRPr="00F50A3C">
        <w:rPr>
          <w:rFonts w:ascii="Palatino Linotype" w:eastAsia="Palatino Linotype" w:hAnsi="Palatino Linotype" w:cs="Palatino Linotype"/>
          <w:b/>
          <w:sz w:val="24"/>
        </w:rPr>
        <w:t>00088/FELIPRO/IP/2024</w:t>
      </w:r>
      <w:r w:rsidRPr="00F50A3C">
        <w:rPr>
          <w:rFonts w:ascii="Palatino Linotype" w:eastAsia="Palatino Linotype" w:hAnsi="Palatino Linotype" w:cs="Palatino Linotype"/>
          <w:i/>
          <w:sz w:val="24"/>
        </w:rPr>
        <w:t xml:space="preserve"> </w:t>
      </w:r>
    </w:p>
    <w:p w:rsidR="00285427" w:rsidRDefault="005B1F82">
      <w:pPr>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“Solicito las reglas de operación de cada programa social implementado en 2020, los criterios de elegibilidad y selección de beneficiarios, el listado completo de beneficiarios por programa, y el monto y tipo de apoyos otorgados a cada beneficiario.” (Sic)</w:t>
      </w:r>
    </w:p>
    <w:p w:rsidR="00285427" w:rsidRDefault="00285427">
      <w:pPr>
        <w:ind w:left="567" w:right="567"/>
        <w:jc w:val="both"/>
        <w:rPr>
          <w:rFonts w:ascii="Palatino Linotype" w:eastAsia="Palatino Linotype" w:hAnsi="Palatino Linotype" w:cs="Palatino Linotype"/>
          <w:i/>
          <w:sz w:val="24"/>
          <w:szCs w:val="24"/>
        </w:rPr>
      </w:pPr>
    </w:p>
    <w:p w:rsidR="00285427" w:rsidRDefault="00285427">
      <w:pPr>
        <w:ind w:left="567" w:right="567"/>
        <w:jc w:val="both"/>
        <w:rPr>
          <w:rFonts w:ascii="Palatino Linotype" w:eastAsia="Palatino Linotype" w:hAnsi="Palatino Linotype" w:cs="Palatino Linotype"/>
          <w:i/>
          <w:sz w:val="24"/>
          <w:szCs w:val="24"/>
        </w:rPr>
      </w:pPr>
    </w:p>
    <w:p w:rsidR="00285427" w:rsidRDefault="005B1F82">
      <w:pPr>
        <w:numPr>
          <w:ilvl w:val="0"/>
          <w:numId w:val="4"/>
        </w:numPr>
        <w:pBdr>
          <w:top w:val="nil"/>
          <w:left w:val="nil"/>
          <w:bottom w:val="nil"/>
          <w:right w:val="nil"/>
          <w:between w:val="nil"/>
        </w:pBdr>
        <w:ind w:right="567"/>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00089/FELIPRO/IP/2024</w:t>
      </w:r>
    </w:p>
    <w:p w:rsidR="00285427" w:rsidRDefault="005B1F82">
      <w:pPr>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“Solicito las reglas de operación de cada programa social implementado en 2021, los criterios de elegibilidad y selección de beneficiarios, el listado completo de beneficiarios por programa, y el monto y tipo de apoyos otorgados a cada beneficiario.” (Sic)</w:t>
      </w:r>
    </w:p>
    <w:p w:rsidR="00F50A3C" w:rsidRDefault="00F50A3C">
      <w:pPr>
        <w:ind w:left="567" w:right="567"/>
        <w:jc w:val="both"/>
        <w:rPr>
          <w:rFonts w:ascii="Palatino Linotype" w:eastAsia="Palatino Linotype" w:hAnsi="Palatino Linotype" w:cs="Palatino Linotype"/>
          <w:i/>
          <w:sz w:val="24"/>
          <w:szCs w:val="24"/>
        </w:rPr>
      </w:pPr>
    </w:p>
    <w:p w:rsidR="00285427" w:rsidRDefault="005B1F82">
      <w:pPr>
        <w:numPr>
          <w:ilvl w:val="0"/>
          <w:numId w:val="4"/>
        </w:numPr>
        <w:pBdr>
          <w:top w:val="nil"/>
          <w:left w:val="nil"/>
          <w:bottom w:val="nil"/>
          <w:right w:val="nil"/>
          <w:between w:val="nil"/>
        </w:pBdr>
        <w:ind w:right="567"/>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00090/FELIPRO/IP/2024</w:t>
      </w:r>
    </w:p>
    <w:p w:rsidR="00285427" w:rsidRDefault="005B1F82">
      <w:pPr>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“Solicito las reglas de operación de cada programa social implementado en 2022, los criterios de elegibilidad y selección de beneficiarios, el listado completo de beneficiarios por programa, y el monto y tipo de apoyos otorgados a cada beneficiario” (Sic)</w:t>
      </w:r>
    </w:p>
    <w:p w:rsidR="00285427" w:rsidRDefault="00285427">
      <w:pPr>
        <w:ind w:left="567" w:right="567"/>
        <w:jc w:val="both"/>
        <w:rPr>
          <w:rFonts w:ascii="Palatino Linotype" w:eastAsia="Palatino Linotype" w:hAnsi="Palatino Linotype" w:cs="Palatino Linotype"/>
          <w:b/>
          <w:sz w:val="24"/>
          <w:szCs w:val="24"/>
        </w:rPr>
      </w:pPr>
    </w:p>
    <w:p w:rsidR="00285427" w:rsidRDefault="00285427">
      <w:pPr>
        <w:ind w:left="567" w:right="567"/>
        <w:jc w:val="both"/>
        <w:rPr>
          <w:rFonts w:ascii="Palatino Linotype" w:eastAsia="Palatino Linotype" w:hAnsi="Palatino Linotype" w:cs="Palatino Linotype"/>
          <w:b/>
          <w:sz w:val="24"/>
          <w:szCs w:val="24"/>
        </w:rPr>
      </w:pPr>
    </w:p>
    <w:p w:rsidR="00285427" w:rsidRDefault="005B1F82">
      <w:pPr>
        <w:numPr>
          <w:ilvl w:val="0"/>
          <w:numId w:val="4"/>
        </w:numPr>
        <w:pBdr>
          <w:top w:val="nil"/>
          <w:left w:val="nil"/>
          <w:bottom w:val="nil"/>
          <w:right w:val="nil"/>
          <w:between w:val="nil"/>
        </w:pBdr>
        <w:ind w:right="567"/>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00091/FELIPRO/IP/2024</w:t>
      </w:r>
    </w:p>
    <w:p w:rsidR="00285427" w:rsidRDefault="005B1F82">
      <w:pPr>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“Solicito las reglas de operación de cada programa social implementado en 2023, los criterios de elegibilidad y selección de beneficiarios, el listado completo de beneficiarios por programa, y el monto y tipo de apoyos otorgados a cada beneficiario.” (Sic)</w:t>
      </w:r>
    </w:p>
    <w:p w:rsidR="00285427" w:rsidRDefault="00285427">
      <w:pPr>
        <w:ind w:left="567" w:right="567"/>
        <w:jc w:val="both"/>
        <w:rPr>
          <w:rFonts w:ascii="Palatino Linotype" w:eastAsia="Palatino Linotype" w:hAnsi="Palatino Linotype" w:cs="Palatino Linotype"/>
          <w:b/>
          <w:sz w:val="24"/>
          <w:szCs w:val="24"/>
        </w:rPr>
      </w:pPr>
    </w:p>
    <w:p w:rsidR="00285427" w:rsidRDefault="00285427">
      <w:pPr>
        <w:ind w:left="567" w:right="567"/>
        <w:jc w:val="both"/>
        <w:rPr>
          <w:rFonts w:ascii="Palatino Linotype" w:eastAsia="Palatino Linotype" w:hAnsi="Palatino Linotype" w:cs="Palatino Linotype"/>
          <w:b/>
          <w:sz w:val="24"/>
          <w:szCs w:val="24"/>
        </w:rPr>
      </w:pPr>
    </w:p>
    <w:p w:rsidR="00285427" w:rsidRPr="00F50A3C" w:rsidRDefault="005B1F8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Señaló como modalidad de entrega de la información a través del </w:t>
      </w:r>
      <w:r>
        <w:rPr>
          <w:rFonts w:ascii="Palatino Linotype" w:eastAsia="Palatino Linotype" w:hAnsi="Palatino Linotype" w:cs="Palatino Linotype"/>
          <w:b/>
          <w:color w:val="000000"/>
          <w:sz w:val="24"/>
          <w:szCs w:val="24"/>
        </w:rPr>
        <w:t>SAIMEX.</w:t>
      </w:r>
    </w:p>
    <w:p w:rsidR="00F50A3C" w:rsidRDefault="00F50A3C" w:rsidP="00F50A3C">
      <w:pPr>
        <w:pBdr>
          <w:top w:val="nil"/>
          <w:left w:val="nil"/>
          <w:bottom w:val="nil"/>
          <w:right w:val="nil"/>
          <w:between w:val="nil"/>
        </w:pBdr>
        <w:spacing w:line="360" w:lineRule="auto"/>
        <w:jc w:val="both"/>
        <w:rPr>
          <w:color w:val="000000"/>
        </w:rPr>
      </w:pPr>
    </w:p>
    <w:p w:rsidR="00285427" w:rsidRDefault="005B1F8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El Sujeto Obligado no emitió respuestas a las solicitudes.</w:t>
      </w:r>
    </w:p>
    <w:p w:rsidR="00285427" w:rsidRDefault="00285427">
      <w:pPr>
        <w:pBdr>
          <w:top w:val="nil"/>
          <w:left w:val="nil"/>
          <w:bottom w:val="nil"/>
          <w:right w:val="nil"/>
          <w:between w:val="nil"/>
        </w:pBdr>
        <w:spacing w:line="360" w:lineRule="auto"/>
        <w:ind w:left="4613"/>
        <w:jc w:val="both"/>
        <w:rPr>
          <w:rFonts w:ascii="Palatino Linotype" w:eastAsia="Palatino Linotype" w:hAnsi="Palatino Linotype" w:cs="Palatino Linotype"/>
          <w:sz w:val="24"/>
          <w:szCs w:val="24"/>
        </w:rPr>
      </w:pPr>
    </w:p>
    <w:p w:rsidR="00285427" w:rsidRDefault="005B1F82">
      <w:pPr>
        <w:numPr>
          <w:ilvl w:val="0"/>
          <w:numId w:val="7"/>
        </w:numPr>
        <w:pBdr>
          <w:top w:val="nil"/>
          <w:left w:val="nil"/>
          <w:bottom w:val="nil"/>
          <w:right w:val="nil"/>
          <w:between w:val="nil"/>
        </w:pBdr>
        <w:spacing w:line="360" w:lineRule="auto"/>
        <w:ind w:left="0" w:firstLine="0"/>
        <w:jc w:val="both"/>
        <w:rPr>
          <w:color w:val="000000"/>
        </w:rPr>
      </w:pPr>
      <w:bookmarkStart w:id="2" w:name="_heading=h.1fob9te" w:colFirst="0" w:colLast="0"/>
      <w:bookmarkEnd w:id="2"/>
      <w:r>
        <w:rPr>
          <w:rFonts w:ascii="Palatino Linotype" w:eastAsia="Palatino Linotype" w:hAnsi="Palatino Linotype" w:cs="Palatino Linotype"/>
          <w:color w:val="000000"/>
          <w:sz w:val="24"/>
          <w:szCs w:val="24"/>
        </w:rPr>
        <w:t xml:space="preserve">El doce (12) de julio de dos mil veinticuatro,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los recursos de revisión, en contra de la falta de respuestas y, señaló y todos y cada uno de los recursos de revisión objeto de acumulación:</w:t>
      </w:r>
    </w:p>
    <w:p w:rsidR="00285427" w:rsidRDefault="005B1F82">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“no hubo respuesta a la solicitud”</w:t>
      </w:r>
    </w:p>
    <w:p w:rsidR="00285427" w:rsidRDefault="005B1F82">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b/>
          <w:i/>
          <w:color w:val="2F5496"/>
          <w:sz w:val="22"/>
          <w:szCs w:val="22"/>
        </w:rPr>
        <w:t xml:space="preserve"> </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i/>
          <w:color w:val="000000"/>
          <w:sz w:val="22"/>
          <w:szCs w:val="22"/>
        </w:rPr>
        <w:t>no hubo respuesta a la solicitud"</w:t>
      </w:r>
    </w:p>
    <w:p w:rsidR="00285427" w:rsidRDefault="0028542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4"/>
          <w:szCs w:val="24"/>
        </w:rPr>
      </w:pPr>
    </w:p>
    <w:p w:rsidR="00285427" w:rsidRDefault="005B1F8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Se registraron los recursos de revisión bajo los números de expediente al rubro indicados,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sz w:val="24"/>
          <w:szCs w:val="24"/>
        </w:rPr>
        <w:t>turna</w:t>
      </w:r>
      <w:r>
        <w:rPr>
          <w:rFonts w:ascii="Palatino Linotype" w:eastAsia="Palatino Linotype" w:hAnsi="Palatino Linotype" w:cs="Palatino Linotype"/>
          <w:color w:val="000000"/>
          <w:sz w:val="24"/>
          <w:szCs w:val="24"/>
        </w:rPr>
        <w:t xml:space="preserve">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sz w:val="24"/>
          <w:szCs w:val="24"/>
        </w:rPr>
        <w:t>para</w:t>
      </w:r>
      <w:r>
        <w:rPr>
          <w:rFonts w:ascii="Palatino Linotype" w:eastAsia="Palatino Linotype" w:hAnsi="Palatino Linotype" w:cs="Palatino Linotype"/>
          <w:color w:val="000000"/>
          <w:sz w:val="24"/>
          <w:szCs w:val="24"/>
        </w:rPr>
        <w:t xml:space="preserve"> su análisis.</w:t>
      </w:r>
    </w:p>
    <w:p w:rsidR="00285427" w:rsidRDefault="00285427">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285427" w:rsidRPr="00F50A3C" w:rsidRDefault="005B1F8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La Comisionada Ponente con fundamento en lo dispuesto por el artículo 185 fracción II de la ley de la materia, a través del acuerdo de admisión de fecha diecisiete y diecinueve de julio de dos mil veinticuatro,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sz w:val="24"/>
          <w:szCs w:val="24"/>
        </w:rPr>
        <w:t>manifestara</w:t>
      </w:r>
      <w:r>
        <w:rPr>
          <w:rFonts w:ascii="Palatino Linotype" w:eastAsia="Palatino Linotype" w:hAnsi="Palatino Linotype" w:cs="Palatino Linotype"/>
          <w:color w:val="000000"/>
          <w:sz w:val="24"/>
          <w:szCs w:val="24"/>
        </w:rPr>
        <w:t xml:space="preserve"> lo que a derecho </w:t>
      </w:r>
      <w:r>
        <w:rPr>
          <w:rFonts w:ascii="Palatino Linotype" w:eastAsia="Palatino Linotype" w:hAnsi="Palatino Linotype" w:cs="Palatino Linotype"/>
          <w:sz w:val="24"/>
          <w:szCs w:val="24"/>
        </w:rPr>
        <w:t>conviniera</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ofreciera</w:t>
      </w:r>
      <w:r>
        <w:rPr>
          <w:rFonts w:ascii="Palatino Linotype" w:eastAsia="Palatino Linotype" w:hAnsi="Palatino Linotype" w:cs="Palatino Linotype"/>
          <w:color w:val="000000"/>
          <w:sz w:val="24"/>
          <w:szCs w:val="24"/>
        </w:rPr>
        <w:t xml:space="preserve">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presentará</w:t>
      </w:r>
      <w:r>
        <w:rPr>
          <w:rFonts w:ascii="Palatino Linotype" w:eastAsia="Palatino Linotype" w:hAnsi="Palatino Linotype" w:cs="Palatino Linotype"/>
          <w:color w:val="000000"/>
          <w:sz w:val="24"/>
          <w:szCs w:val="24"/>
        </w:rPr>
        <w:t xml:space="preserve"> el informe justificado procedente.</w:t>
      </w:r>
    </w:p>
    <w:p w:rsidR="00F50A3C" w:rsidRDefault="00F50A3C" w:rsidP="00F50A3C">
      <w:pPr>
        <w:pBdr>
          <w:top w:val="nil"/>
          <w:left w:val="nil"/>
          <w:bottom w:val="nil"/>
          <w:right w:val="nil"/>
          <w:between w:val="nil"/>
        </w:pBdr>
        <w:spacing w:line="360" w:lineRule="auto"/>
        <w:jc w:val="both"/>
        <w:rPr>
          <w:color w:val="000000"/>
        </w:rPr>
      </w:pPr>
    </w:p>
    <w:p w:rsidR="00285427" w:rsidRDefault="005B1F82">
      <w:pPr>
        <w:numPr>
          <w:ilvl w:val="0"/>
          <w:numId w:val="7"/>
        </w:numPr>
        <w:pBdr>
          <w:top w:val="nil"/>
          <w:left w:val="nil"/>
          <w:bottom w:val="nil"/>
          <w:right w:val="nil"/>
          <w:between w:val="nil"/>
        </w:pBdr>
        <w:spacing w:after="240" w:line="360" w:lineRule="auto"/>
        <w:ind w:left="0" w:hanging="11"/>
        <w:jc w:val="both"/>
        <w:rPr>
          <w:color w:val="000000"/>
        </w:rPr>
      </w:pPr>
      <w:r>
        <w:rPr>
          <w:rFonts w:ascii="Palatino Linotype" w:eastAsia="Palatino Linotype" w:hAnsi="Palatino Linotype" w:cs="Palatino Linotype"/>
          <w:color w:val="000000"/>
          <w:sz w:val="24"/>
          <w:szCs w:val="24"/>
        </w:rPr>
        <w:t xml:space="preserve">En la Vigésima Séptima Sesión Ordinaria de fecha siete (7) de agosto de dos mil veinticuatro, el Pleno de este Órgano Garante acordó la acumulación de los recursos de revisión </w:t>
      </w:r>
      <w:r>
        <w:rPr>
          <w:rFonts w:ascii="Palatino Linotype" w:eastAsia="Palatino Linotype" w:hAnsi="Palatino Linotype" w:cs="Palatino Linotype"/>
          <w:b/>
          <w:color w:val="000000"/>
          <w:sz w:val="24"/>
          <w:szCs w:val="24"/>
        </w:rPr>
        <w:t xml:space="preserve">04423/INFOEM/IP/RR/2024, 04424/INFOEM/IP/RR/2024, 04425/INFOEM/IP/RR/2024 y, 04426/INFOEM/IP/RR/2024 a la </w:t>
      </w:r>
      <w:r>
        <w:rPr>
          <w:rFonts w:ascii="Palatino Linotype" w:eastAsia="Palatino Linotype" w:hAnsi="Palatino Linotype" w:cs="Palatino Linotype"/>
          <w:color w:val="000000"/>
          <w:sz w:val="24"/>
          <w:szCs w:val="24"/>
        </w:rPr>
        <w:t>Comisionada</w:t>
      </w:r>
      <w:r>
        <w:rPr>
          <w:rFonts w:ascii="Palatino Linotype" w:eastAsia="Palatino Linotype" w:hAnsi="Palatino Linotype" w:cs="Palatino Linotype"/>
          <w:b/>
          <w:color w:val="000000"/>
          <w:sz w:val="24"/>
          <w:szCs w:val="24"/>
        </w:rPr>
        <w:t xml:space="preserve"> María del Rosario Mejía Ayala </w:t>
      </w:r>
      <w:r>
        <w:rPr>
          <w:rFonts w:ascii="Palatino Linotype" w:eastAsia="Palatino Linotype" w:hAnsi="Palatino Linotype" w:cs="Palatino Linotype"/>
          <w:color w:val="000000"/>
          <w:sz w:val="24"/>
          <w:szCs w:val="24"/>
        </w:rPr>
        <w:t xml:space="preserve">a efecto de presentar al Pleno el proyecto de resolución correspondiente y de conformidad con el numeral ONCE inciso c) de los </w:t>
      </w:r>
      <w:r>
        <w:rPr>
          <w:rFonts w:ascii="Palatino Linotype" w:eastAsia="Palatino Linotype" w:hAnsi="Palatino Linotype" w:cs="Palatino Linotype"/>
          <w:b/>
          <w:color w:val="000000"/>
          <w:sz w:val="24"/>
          <w:szCs w:val="24"/>
        </w:rPr>
        <w:t>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que señala:</w:t>
      </w:r>
    </w:p>
    <w:p w:rsidR="00285427" w:rsidRDefault="005B1F82">
      <w:pPr>
        <w:spacing w:before="240"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ONCE.</w:t>
      </w:r>
      <w:r>
        <w:rPr>
          <w:rFonts w:ascii="Palatino Linotype" w:eastAsia="Palatino Linotype" w:hAnsi="Palatino Linotype" w:cs="Palatino Linotype"/>
          <w:i/>
          <w:sz w:val="22"/>
          <w:szCs w:val="22"/>
        </w:rPr>
        <w:t xml:space="preserve"> El Instituto, para mejor resolver y evitar la emisión de resoluciones contradictorias, podrá acordar la acumulación de los expedientes de recursos de revisión, de oficio o a petición de parte cuando:</w:t>
      </w:r>
    </w:p>
    <w:p w:rsidR="00285427" w:rsidRDefault="005B1F82">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Cuando se trate del mismo solicitante, el mismo SUJETO OBLIGADO, aunque se trate de solicitudes diversas;</w:t>
      </w:r>
    </w:p>
    <w:p w:rsidR="00285427" w:rsidRDefault="005B1F82">
      <w:pPr>
        <w:spacing w:after="240" w:line="360"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rsidR="00285427" w:rsidRDefault="005B1F82">
      <w:pPr>
        <w:numPr>
          <w:ilvl w:val="0"/>
          <w:numId w:val="7"/>
        </w:numPr>
        <w:pBdr>
          <w:top w:val="nil"/>
          <w:left w:val="nil"/>
          <w:bottom w:val="nil"/>
          <w:right w:val="nil"/>
          <w:between w:val="nil"/>
        </w:pBdr>
        <w:tabs>
          <w:tab w:val="center" w:pos="567"/>
          <w:tab w:val="right" w:pos="8504"/>
        </w:tabs>
        <w:spacing w:line="360" w:lineRule="auto"/>
        <w:ind w:left="0" w:firstLine="0"/>
        <w:jc w:val="both"/>
        <w:rPr>
          <w:color w:val="000000"/>
        </w:rPr>
      </w:pPr>
      <w:r>
        <w:rPr>
          <w:rFonts w:ascii="Palatino Linotype" w:eastAsia="Palatino Linotype" w:hAnsi="Palatino Linotype" w:cs="Palatino Linotype"/>
          <w:color w:val="000000"/>
          <w:sz w:val="24"/>
          <w:szCs w:val="24"/>
        </w:rPr>
        <w:t xml:space="preserve">Razón por la cual, por resultar conveniente su trámite de forma unificada para mejor resolver y evitar la emisión de resoluciones contradictorias, fue procedente que este Órgano Garante </w:t>
      </w:r>
      <w:r>
        <w:rPr>
          <w:rFonts w:ascii="Palatino Linotype" w:eastAsia="Palatino Linotype" w:hAnsi="Palatino Linotype" w:cs="Palatino Linotype"/>
          <w:sz w:val="24"/>
          <w:szCs w:val="24"/>
        </w:rPr>
        <w:t>realizará</w:t>
      </w:r>
      <w:r>
        <w:rPr>
          <w:rFonts w:ascii="Palatino Linotype" w:eastAsia="Palatino Linotype" w:hAnsi="Palatino Linotype" w:cs="Palatino Linotype"/>
          <w:color w:val="000000"/>
          <w:sz w:val="24"/>
          <w:szCs w:val="24"/>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285427" w:rsidRDefault="005B1F82">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rsidR="00285427" w:rsidRDefault="005B1F82">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autoridad administrativa o el Tribunal </w:t>
      </w:r>
      <w:r>
        <w:rPr>
          <w:rFonts w:ascii="Palatino Linotype" w:eastAsia="Palatino Linotype" w:hAnsi="Palatino Linotype" w:cs="Palatino Linotype"/>
          <w:b/>
          <w:i/>
          <w:sz w:val="22"/>
          <w:szCs w:val="22"/>
          <w:u w:val="single"/>
        </w:rPr>
        <w:t>acordarán la acumulación de los expedientes</w:t>
      </w:r>
      <w:r>
        <w:rPr>
          <w:rFonts w:ascii="Palatino Linotype" w:eastAsia="Palatino Linotype" w:hAnsi="Palatino Linotype" w:cs="Palatino Linotype"/>
          <w:b/>
          <w:i/>
          <w:sz w:val="22"/>
          <w:szCs w:val="22"/>
        </w:rPr>
        <w:t xml:space="preserve"> del procedimiento y proceso administrativo que ante ellos se sigan, de oficio</w:t>
      </w:r>
      <w:r>
        <w:rPr>
          <w:rFonts w:ascii="Palatino Linotype" w:eastAsia="Palatino Linotype" w:hAnsi="Palatino Linotype" w:cs="Palatino Linotype"/>
          <w:i/>
          <w:sz w:val="22"/>
          <w:szCs w:val="22"/>
        </w:rPr>
        <w:t xml:space="preserve"> o a petición de parte, </w:t>
      </w:r>
      <w:r>
        <w:rPr>
          <w:rFonts w:ascii="Palatino Linotype" w:eastAsia="Palatino Linotype" w:hAnsi="Palatino Linotype" w:cs="Palatino Linotype"/>
          <w:b/>
          <w:i/>
          <w:sz w:val="22"/>
          <w:szCs w:val="22"/>
          <w:u w:val="single"/>
        </w:rPr>
        <w:t>cuando las partes</w:t>
      </w:r>
      <w:r>
        <w:rPr>
          <w:rFonts w:ascii="Palatino Linotype" w:eastAsia="Palatino Linotype" w:hAnsi="Palatino Linotype" w:cs="Palatino Linotype"/>
          <w:i/>
          <w:sz w:val="22"/>
          <w:szCs w:val="22"/>
        </w:rPr>
        <w:t xml:space="preserve"> o los actos administrativos </w:t>
      </w:r>
      <w:r>
        <w:rPr>
          <w:rFonts w:ascii="Palatino Linotype" w:eastAsia="Palatino Linotype" w:hAnsi="Palatino Linotype" w:cs="Palatino Linotype"/>
          <w:b/>
          <w:i/>
          <w:sz w:val="22"/>
          <w:szCs w:val="22"/>
          <w:u w:val="single"/>
        </w:rPr>
        <w:t>sean iguales</w:t>
      </w:r>
      <w:r>
        <w:rPr>
          <w:rFonts w:ascii="Palatino Linotype" w:eastAsia="Palatino Linotype" w:hAnsi="Palatino Linotype" w:cs="Palatino Linotype"/>
          <w:i/>
          <w:sz w:val="22"/>
          <w:szCs w:val="22"/>
        </w:rPr>
        <w:t xml:space="preserve">, se trate de actos conexos o </w:t>
      </w:r>
      <w:r>
        <w:rPr>
          <w:rFonts w:ascii="Palatino Linotype" w:eastAsia="Palatino Linotype" w:hAnsi="Palatino Linotype" w:cs="Palatino Linotype"/>
          <w:b/>
          <w:i/>
          <w:sz w:val="22"/>
          <w:szCs w:val="22"/>
          <w:u w:val="single"/>
        </w:rPr>
        <w:t>resulte conveniente el trámite unificado de los asuntos, para evitar la emisión de resoluciones contradictorias</w:t>
      </w:r>
      <w:r>
        <w:rPr>
          <w:rFonts w:ascii="Palatino Linotype" w:eastAsia="Palatino Linotype" w:hAnsi="Palatino Linotype" w:cs="Palatino Linotype"/>
          <w:i/>
          <w:sz w:val="22"/>
          <w:szCs w:val="22"/>
        </w:rPr>
        <w:t>. La misma regla se aplicará, en lo conducente, para la separación de los expedientes.”</w:t>
      </w:r>
    </w:p>
    <w:p w:rsidR="00285427" w:rsidRDefault="00285427">
      <w:pPr>
        <w:spacing w:line="360" w:lineRule="auto"/>
        <w:ind w:left="567" w:right="567"/>
        <w:jc w:val="both"/>
        <w:rPr>
          <w:rFonts w:ascii="Palatino Linotype" w:eastAsia="Palatino Linotype" w:hAnsi="Palatino Linotype" w:cs="Palatino Linotype"/>
          <w:i/>
          <w:sz w:val="22"/>
          <w:szCs w:val="22"/>
        </w:rPr>
      </w:pPr>
    </w:p>
    <w:p w:rsidR="00285427" w:rsidRDefault="005B1F82">
      <w:pPr>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Ley de Transparencia y Acceso a la Información Pública del Estado de México y Municipios </w:t>
      </w:r>
    </w:p>
    <w:p w:rsidR="00285427" w:rsidRDefault="005B1F82">
      <w:pPr>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195. </w:t>
      </w:r>
      <w:r>
        <w:rPr>
          <w:rFonts w:ascii="Palatino Linotype" w:eastAsia="Palatino Linotype" w:hAnsi="Palatino Linotype" w:cs="Palatino Linotype"/>
          <w:i/>
          <w:sz w:val="22"/>
          <w:szCs w:val="22"/>
        </w:rPr>
        <w:t>En la tramitación del recurso de revisión se aplicarán supletoriamente las disposiciones contenidas en el Código de Procedimientos Administrativos del Estado de México.”</w:t>
      </w:r>
    </w:p>
    <w:p w:rsidR="00285427" w:rsidRDefault="005B1F82">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rsidR="00285427" w:rsidRDefault="005B1F82">
      <w:pPr>
        <w:numPr>
          <w:ilvl w:val="0"/>
          <w:numId w:val="7"/>
        </w:numPr>
        <w:tabs>
          <w:tab w:val="left" w:pos="284"/>
        </w:tabs>
        <w:spacing w:before="240" w:after="240" w:line="360" w:lineRule="auto"/>
        <w:ind w:left="0" w:firstLine="0"/>
        <w:jc w:val="both"/>
        <w:rPr>
          <w:color w:val="000000"/>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no rindió informe justificado para manifestar lo que a su derecho conviniera; por su parte el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no presentó alegatos ni ofreció medios de prueba, según constancias del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i/>
          <w:color w:val="000000"/>
          <w:sz w:val="24"/>
          <w:szCs w:val="24"/>
        </w:rPr>
        <w:t>.</w:t>
      </w:r>
    </w:p>
    <w:p w:rsidR="00285427" w:rsidRDefault="005B1F82">
      <w:pPr>
        <w:numPr>
          <w:ilvl w:val="0"/>
          <w:numId w:val="7"/>
        </w:numPr>
        <w:pBdr>
          <w:top w:val="nil"/>
          <w:left w:val="nil"/>
          <w:bottom w:val="nil"/>
          <w:right w:val="nil"/>
          <w:between w:val="nil"/>
        </w:pBdr>
        <w:tabs>
          <w:tab w:val="left" w:pos="284"/>
        </w:tabs>
        <w:spacing w:line="360" w:lineRule="auto"/>
        <w:ind w:left="0" w:firstLine="0"/>
        <w:jc w:val="both"/>
        <w:rPr>
          <w:color w:val="000000"/>
        </w:rPr>
      </w:pPr>
      <w:r>
        <w:rPr>
          <w:rFonts w:ascii="Palatino Linotype" w:eastAsia="Palatino Linotype" w:hAnsi="Palatino Linotype" w:cs="Palatino Linotype"/>
          <w:color w:val="222222"/>
          <w:sz w:val="24"/>
          <w:szCs w:val="24"/>
        </w:rPr>
        <w:lastRenderedPageBreak/>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rsidR="00285427" w:rsidRDefault="005B1F82">
      <w:pPr>
        <w:pBdr>
          <w:top w:val="nil"/>
          <w:left w:val="nil"/>
          <w:bottom w:val="nil"/>
          <w:right w:val="nil"/>
          <w:between w:val="nil"/>
        </w:pBdr>
        <w:shd w:val="clear" w:color="auto" w:fill="FFFFFF"/>
        <w:tabs>
          <w:tab w:val="left" w:pos="284"/>
        </w:tabs>
        <w:spacing w:line="360" w:lineRule="auto"/>
        <w:ind w:left="567" w:right="567"/>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b/>
          <w:i/>
          <w:color w:val="222222"/>
          <w:sz w:val="22"/>
          <w:szCs w:val="22"/>
        </w:rPr>
        <w:t>QUEJA, RECURSO DE. LA OMISION DE RENDIR EL INFORME RESPECTIVO NO IMPIDE QUE SE RESUELV</w:t>
      </w:r>
      <w:r>
        <w:rPr>
          <w:rFonts w:ascii="Palatino Linotype" w:eastAsia="Palatino Linotype" w:hAnsi="Palatino Linotype" w:cs="Palatino Linotype"/>
          <w:i/>
          <w:color w:val="222222"/>
          <w:sz w:val="22"/>
          <w:szCs w:val="22"/>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rsidR="00285427" w:rsidRDefault="00285427">
      <w:pPr>
        <w:pBdr>
          <w:top w:val="nil"/>
          <w:left w:val="nil"/>
          <w:bottom w:val="nil"/>
          <w:right w:val="nil"/>
          <w:between w:val="nil"/>
        </w:pBdr>
        <w:shd w:val="clear" w:color="auto" w:fill="FFFFFF"/>
        <w:tabs>
          <w:tab w:val="left" w:pos="284"/>
        </w:tabs>
        <w:spacing w:line="360" w:lineRule="auto"/>
        <w:ind w:right="567"/>
        <w:jc w:val="both"/>
        <w:rPr>
          <w:rFonts w:ascii="Palatino Linotype" w:eastAsia="Palatino Linotype" w:hAnsi="Palatino Linotype" w:cs="Palatino Linotype"/>
          <w:color w:val="222222"/>
          <w:sz w:val="24"/>
          <w:szCs w:val="24"/>
        </w:rPr>
      </w:pPr>
    </w:p>
    <w:p w:rsidR="00285427" w:rsidRDefault="005B1F82">
      <w:pPr>
        <w:numPr>
          <w:ilvl w:val="0"/>
          <w:numId w:val="7"/>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222222"/>
          <w:sz w:val="24"/>
          <w:szCs w:val="24"/>
        </w:rPr>
        <w:t>Por lo cual se reitera, que la falta de informe justificado no impide que este Órgano Garante conozca y resuelva el recurso de revisión, solo propicia que el </w:t>
      </w:r>
      <w:r>
        <w:rPr>
          <w:rFonts w:ascii="Palatino Linotype" w:eastAsia="Palatino Linotype" w:hAnsi="Palatino Linotype" w:cs="Palatino Linotype"/>
          <w:b/>
          <w:color w:val="222222"/>
          <w:sz w:val="24"/>
          <w:szCs w:val="24"/>
        </w:rPr>
        <w:t>SUJETO OBLIGADO</w:t>
      </w:r>
      <w:r>
        <w:rPr>
          <w:rFonts w:ascii="Palatino Linotype" w:eastAsia="Palatino Linotype" w:hAnsi="Palatino Linotype" w:cs="Palatino Linotype"/>
          <w:color w:val="222222"/>
          <w:sz w:val="24"/>
          <w:szCs w:val="24"/>
        </w:rPr>
        <w:t> pierda la oportunidad de justificar su falta de respuesta y manifestar lo que a su derecho convenga.</w:t>
      </w:r>
    </w:p>
    <w:p w:rsidR="00285427" w:rsidRDefault="0028542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p>
    <w:p w:rsidR="00285427" w:rsidRPr="00F50A3C" w:rsidRDefault="005B1F82">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sz w:val="24"/>
          <w:szCs w:val="24"/>
        </w:rPr>
        <w:lastRenderedPageBreak/>
        <w:t xml:space="preserve">El catorce (14) de agosto de dos mil veinticuatro, la Comisionada Ponente decretó el cierre de instrucción. Por lo que </w:t>
      </w:r>
      <w:r>
        <w:rPr>
          <w:rFonts w:ascii="Palatino Linotype" w:eastAsia="Palatino Linotype" w:hAnsi="Palatino Linotype" w:cs="Palatino Linotype"/>
          <w:sz w:val="24"/>
          <w:szCs w:val="24"/>
        </w:rPr>
        <w:t>tornó</w:t>
      </w:r>
      <w:r>
        <w:rPr>
          <w:rFonts w:ascii="Palatino Linotype" w:eastAsia="Palatino Linotype" w:hAnsi="Palatino Linotype" w:cs="Palatino Linotype"/>
          <w:color w:val="000000"/>
          <w:sz w:val="24"/>
          <w:szCs w:val="24"/>
        </w:rPr>
        <w:t xml:space="preserve"> la presente resolución para su aprobación.</w:t>
      </w:r>
    </w:p>
    <w:p w:rsidR="00F50A3C" w:rsidRDefault="00F50A3C" w:rsidP="00F50A3C">
      <w:pPr>
        <w:pStyle w:val="Prrafodelista"/>
        <w:rPr>
          <w:color w:val="000000"/>
        </w:rPr>
      </w:pPr>
    </w:p>
    <w:p w:rsidR="00F50A3C" w:rsidRDefault="00F50A3C" w:rsidP="00F50A3C">
      <w:pPr>
        <w:pBdr>
          <w:top w:val="nil"/>
          <w:left w:val="nil"/>
          <w:bottom w:val="nil"/>
          <w:right w:val="nil"/>
          <w:between w:val="nil"/>
        </w:pBdr>
        <w:spacing w:line="360" w:lineRule="auto"/>
        <w:jc w:val="both"/>
        <w:rPr>
          <w:color w:val="000000"/>
        </w:rPr>
      </w:pPr>
    </w:p>
    <w:p w:rsidR="00285427" w:rsidRDefault="005B1F82">
      <w:pPr>
        <w:pStyle w:val="Ttulo1"/>
        <w:jc w:val="center"/>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 xml:space="preserve">C O N S I D E R A N D O </w:t>
      </w:r>
    </w:p>
    <w:p w:rsidR="00285427" w:rsidRDefault="00285427">
      <w:pPr>
        <w:rPr>
          <w:rFonts w:ascii="Palatino Linotype" w:eastAsia="Palatino Linotype" w:hAnsi="Palatino Linotype" w:cs="Palatino Linotype"/>
          <w:sz w:val="24"/>
          <w:szCs w:val="24"/>
        </w:rPr>
      </w:pPr>
    </w:p>
    <w:p w:rsidR="00285427" w:rsidRDefault="005B1F82">
      <w:pPr>
        <w:pStyle w:val="Ttulo2"/>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rsidR="00285427" w:rsidRDefault="005B1F82">
      <w:pPr>
        <w:numPr>
          <w:ilvl w:val="0"/>
          <w:numId w:val="7"/>
        </w:numPr>
        <w:pBdr>
          <w:top w:val="nil"/>
          <w:left w:val="nil"/>
          <w:bottom w:val="nil"/>
          <w:right w:val="nil"/>
          <w:between w:val="nil"/>
        </w:pBdr>
        <w:spacing w:before="240" w:line="360" w:lineRule="auto"/>
        <w:ind w:left="0" w:firstLine="0"/>
        <w:jc w:val="both"/>
        <w:rPr>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sz w:val="24"/>
          <w:szCs w:val="24"/>
        </w:rPr>
        <w:t>Constitución Política de los Estados Unidos Mexicanos</w:t>
      </w:r>
      <w:r>
        <w:rPr>
          <w:rFonts w:ascii="Palatino Linotype" w:eastAsia="Palatino Linotype" w:hAnsi="Palatino Linotype" w:cs="Palatino Linotype"/>
          <w:color w:val="000000"/>
          <w:sz w:val="24"/>
          <w:szCs w:val="24"/>
        </w:rPr>
        <w:t xml:space="preserve">; 5, párrafos </w:t>
      </w:r>
      <w:r>
        <w:rPr>
          <w:rFonts w:ascii="Palatino Linotype" w:eastAsia="Palatino Linotype" w:hAnsi="Palatino Linotype" w:cs="Palatino Linotype"/>
          <w:color w:val="222222"/>
          <w:sz w:val="24"/>
          <w:szCs w:val="24"/>
        </w:rPr>
        <w:t>trigésimo segundo, trigésimo tercero y trigésimo cuarto fracciones</w:t>
      </w:r>
      <w:r>
        <w:rPr>
          <w:rFonts w:ascii="Palatino Linotype" w:eastAsia="Palatino Linotype" w:hAnsi="Palatino Linotype" w:cs="Palatino Linotype"/>
          <w:color w:val="000000"/>
          <w:sz w:val="24"/>
          <w:szCs w:val="24"/>
        </w:rPr>
        <w:t xml:space="preserve"> IV y V de la </w:t>
      </w:r>
      <w:r>
        <w:rPr>
          <w:rFonts w:ascii="Palatino Linotype" w:eastAsia="Palatino Linotype" w:hAnsi="Palatino Linotype" w:cs="Palatino Linotype"/>
          <w:b/>
          <w:color w:val="000000"/>
          <w:sz w:val="24"/>
          <w:szCs w:val="24"/>
        </w:rPr>
        <w:t>Constitución Política del Estado Libre y Soberano de México</w:t>
      </w:r>
      <w:r>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y 7, 9 fracciones I y XXIII, y 11 del </w:t>
      </w:r>
      <w:r>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sz w:val="24"/>
          <w:szCs w:val="24"/>
        </w:rPr>
        <w:t>.</w:t>
      </w:r>
    </w:p>
    <w:p w:rsidR="00285427" w:rsidRDefault="0028542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4"/>
          <w:szCs w:val="24"/>
        </w:rPr>
      </w:pPr>
    </w:p>
    <w:p w:rsidR="00285427" w:rsidRDefault="005B1F82">
      <w:pPr>
        <w:pStyle w:val="Ttulo2"/>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rsidR="00285427" w:rsidRDefault="005B1F82">
      <w:pPr>
        <w:numPr>
          <w:ilvl w:val="0"/>
          <w:numId w:val="7"/>
        </w:numPr>
        <w:tabs>
          <w:tab w:val="left" w:pos="284"/>
        </w:tabs>
        <w:spacing w:before="240" w:line="360" w:lineRule="auto"/>
        <w:ind w:left="0" w:firstLine="0"/>
        <w:jc w:val="both"/>
        <w:rPr>
          <w:color w:val="000000"/>
        </w:rPr>
      </w:pPr>
      <w:r>
        <w:rPr>
          <w:rFonts w:ascii="Palatino Linotype" w:eastAsia="Palatino Linotype" w:hAnsi="Palatino Linotype" w:cs="Palatino Linotype"/>
          <w:sz w:val="24"/>
          <w:szCs w:val="24"/>
        </w:rPr>
        <w:t xml:space="preserve">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entregar la respuesta a una solicitud de información pública, es de quince días hábiles posteriores a la presentación de ésta; por lo que, transcurrido este término, cuando no entregue la respuesta </w:t>
      </w:r>
      <w:r>
        <w:rPr>
          <w:rFonts w:ascii="Palatino Linotype" w:eastAsia="Palatino Linotype" w:hAnsi="Palatino Linotype" w:cs="Palatino Linotype"/>
          <w:sz w:val="24"/>
          <w:szCs w:val="24"/>
        </w:rPr>
        <w:lastRenderedPageBreak/>
        <w:t xml:space="preserve">a la solicitud dentro del plazo previsto en la Ley, la solicitud se entenderá negada y el solicitante podrá interponer el recurso de revisión previsto en el ordenamiento en cita.  </w:t>
      </w:r>
    </w:p>
    <w:p w:rsidR="00285427" w:rsidRDefault="00285427">
      <w:pPr>
        <w:tabs>
          <w:tab w:val="left" w:pos="284"/>
        </w:tabs>
        <w:spacing w:line="360" w:lineRule="auto"/>
        <w:jc w:val="both"/>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line="360" w:lineRule="auto"/>
        <w:ind w:left="0" w:firstLine="0"/>
        <w:jc w:val="both"/>
        <w:rPr>
          <w:color w:val="000000"/>
        </w:rPr>
      </w:pPr>
      <w:r>
        <w:rPr>
          <w:rFonts w:ascii="Palatino Linotype" w:eastAsia="Palatino Linotype" w:hAnsi="Palatino Linotype" w:cs="Palatino Linotype"/>
          <w:sz w:val="24"/>
          <w:szCs w:val="24"/>
        </w:rPr>
        <w:t xml:space="preserve">Por ende, se constituye la figura jurídica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cuya esencia es atribuir un efecto negativo al silencio de la autoridad administrativa frente a las instancias y solicitudes que hagan los particulares, lo cual encuentra sustento en lo que establece el artículo </w:t>
      </w:r>
      <w:r>
        <w:rPr>
          <w:rFonts w:ascii="Palatino Linotype" w:eastAsia="Palatino Linotype" w:hAnsi="Palatino Linotype" w:cs="Palatino Linotype"/>
          <w:b/>
          <w:sz w:val="24"/>
          <w:szCs w:val="24"/>
        </w:rPr>
        <w:t>178</w:t>
      </w:r>
      <w:r>
        <w:rPr>
          <w:rFonts w:ascii="Palatino Linotype" w:eastAsia="Palatino Linotype" w:hAnsi="Palatino Linotype" w:cs="Palatino Linotype"/>
          <w:sz w:val="24"/>
          <w:szCs w:val="24"/>
        </w:rPr>
        <w:t xml:space="preserve"> segundo párrafo de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highlight w:val="white"/>
        </w:rPr>
        <w:t xml:space="preserve">, que dispone; ante la falta de respuesta del </w:t>
      </w:r>
      <w:r>
        <w:rPr>
          <w:rFonts w:ascii="Palatino Linotype" w:eastAsia="Palatino Linotype" w:hAnsi="Palatino Linotype" w:cs="Palatino Linotype"/>
          <w:b/>
          <w:color w:val="000000"/>
          <w:sz w:val="24"/>
          <w:szCs w:val="24"/>
          <w:highlight w:val="white"/>
        </w:rPr>
        <w:t>SUJETO OBLIGADO,</w:t>
      </w:r>
      <w:r>
        <w:rPr>
          <w:rFonts w:ascii="Palatino Linotype" w:eastAsia="Palatino Linotype" w:hAnsi="Palatino Linotype" w:cs="Palatino Linotype"/>
          <w:color w:val="000000"/>
          <w:sz w:val="24"/>
          <w:szCs w:val="24"/>
          <w:highlight w:val="white"/>
        </w:rPr>
        <w:t xml:space="preserve"> dentro de los plazos establecidos en esta Ley, a una solicitud de acceso a la información pública, el recurso </w:t>
      </w:r>
      <w:r>
        <w:rPr>
          <w:rFonts w:ascii="Palatino Linotype" w:eastAsia="Palatino Linotype" w:hAnsi="Palatino Linotype" w:cs="Palatino Linotype"/>
          <w:b/>
          <w:color w:val="000000"/>
          <w:sz w:val="24"/>
          <w:szCs w:val="24"/>
          <w:highlight w:val="white"/>
        </w:rPr>
        <w:t xml:space="preserve">podrá ser interpuesto en cualquier momento. </w:t>
      </w:r>
    </w:p>
    <w:p w:rsidR="00285427" w:rsidRDefault="00285427">
      <w:pPr>
        <w:tabs>
          <w:tab w:val="left" w:pos="284"/>
        </w:tabs>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line="360" w:lineRule="auto"/>
        <w:ind w:left="0" w:firstLine="0"/>
        <w:jc w:val="both"/>
        <w:rPr>
          <w:color w:val="000000"/>
        </w:rPr>
      </w:pPr>
      <w:r>
        <w:rPr>
          <w:rFonts w:ascii="Palatino Linotype" w:eastAsia="Palatino Linotype" w:hAnsi="Palatino Linotype" w:cs="Palatino Linotype"/>
          <w:sz w:val="24"/>
          <w:szCs w:val="24"/>
        </w:rPr>
        <w:t xml:space="preserve">Por lo que, tratándose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veinticuatro de abril de dos mil quince, relativo a la interposición del recurso de revisión en cualquier tiempo cuando exista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que señala:</w:t>
      </w:r>
    </w:p>
    <w:p w:rsidR="00285427" w:rsidRDefault="005B1F82">
      <w:pPr>
        <w:tabs>
          <w:tab w:val="left" w:pos="284"/>
          <w:tab w:val="left" w:pos="7655"/>
        </w:tabs>
        <w:spacing w:after="240" w:line="360" w:lineRule="auto"/>
        <w:ind w:left="567" w:right="822"/>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rsidR="00285427" w:rsidRDefault="005B1F82">
      <w:pPr>
        <w:tabs>
          <w:tab w:val="left" w:pos="284"/>
          <w:tab w:val="left" w:pos="7655"/>
        </w:tabs>
        <w:spacing w:before="240" w:after="240" w:line="360" w:lineRule="auto"/>
        <w:ind w:left="567" w:right="82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w:t>
      </w:r>
      <w:r>
        <w:rPr>
          <w:rFonts w:ascii="Palatino Linotype" w:eastAsia="Palatino Linotype" w:hAnsi="Palatino Linotype" w:cs="Palatino Linotype"/>
          <w:i/>
          <w:sz w:val="22"/>
          <w:szCs w:val="22"/>
        </w:rPr>
        <w:lastRenderedPageBreak/>
        <w:t>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285427" w:rsidRDefault="005B1F82">
      <w:pPr>
        <w:numPr>
          <w:ilvl w:val="0"/>
          <w:numId w:val="7"/>
        </w:numPr>
        <w:tabs>
          <w:tab w:val="left" w:pos="284"/>
        </w:tabs>
        <w:spacing w:before="240" w:line="360" w:lineRule="auto"/>
        <w:ind w:left="0" w:firstLine="0"/>
        <w:jc w:val="both"/>
        <w:rPr>
          <w:color w:val="000000"/>
        </w:rPr>
      </w:pPr>
      <w:r>
        <w:rPr>
          <w:rFonts w:ascii="Palatino Linotype" w:eastAsia="Palatino Linotype" w:hAnsi="Palatino Linotype" w:cs="Palatino Linotype"/>
          <w:color w:val="000000"/>
          <w:sz w:val="24"/>
          <w:szCs w:val="24"/>
        </w:rPr>
        <w:t xml:space="preserve">Lo anterior, se explica porque la </w:t>
      </w:r>
      <w:r>
        <w:rPr>
          <w:rFonts w:ascii="Palatino Linotype" w:eastAsia="Palatino Linotype" w:hAnsi="Palatino Linotype" w:cs="Palatino Linotype"/>
          <w:b/>
          <w:color w:val="000000"/>
          <w:sz w:val="24"/>
          <w:szCs w:val="24"/>
          <w:u w:val="single"/>
        </w:rPr>
        <w:t>posible ausencia</w:t>
      </w:r>
      <w:r>
        <w:rPr>
          <w:rFonts w:ascii="Palatino Linotype" w:eastAsia="Palatino Linotype" w:hAnsi="Palatino Linotype" w:cs="Palatino Linotype"/>
          <w:color w:val="000000"/>
          <w:sz w:val="24"/>
          <w:szCs w:val="24"/>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w:t>
      </w:r>
    </w:p>
    <w:p w:rsidR="00285427" w:rsidRDefault="00285427">
      <w:pPr>
        <w:tabs>
          <w:tab w:val="left" w:pos="284"/>
        </w:tabs>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after="240" w:line="360" w:lineRule="auto"/>
        <w:ind w:left="0" w:right="49" w:firstLine="0"/>
        <w:jc w:val="both"/>
        <w:rPr>
          <w:rFonts w:ascii="Palatino Linotype" w:eastAsia="Palatino Linotype" w:hAnsi="Palatino Linotype" w:cs="Palatino Linotype"/>
          <w:b/>
        </w:rPr>
      </w:pPr>
      <w:r>
        <w:rPr>
          <w:rFonts w:ascii="Palatino Linotype" w:eastAsia="Palatino Linotype" w:hAnsi="Palatino Linotype" w:cs="Palatino Linotype"/>
          <w:sz w:val="24"/>
          <w:szCs w:val="24"/>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85427" w:rsidRDefault="005B1F82">
      <w:pPr>
        <w:pStyle w:val="Ttulo1"/>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Planteamiento de la Litis </w:t>
      </w:r>
    </w:p>
    <w:p w:rsidR="00285427" w:rsidRDefault="005B1F82">
      <w:pPr>
        <w:numPr>
          <w:ilvl w:val="0"/>
          <w:numId w:val="7"/>
        </w:numPr>
        <w:pBdr>
          <w:top w:val="nil"/>
          <w:left w:val="nil"/>
          <w:bottom w:val="nil"/>
          <w:right w:val="nil"/>
          <w:between w:val="nil"/>
        </w:pBdr>
        <w:spacing w:before="240" w:after="240" w:line="360" w:lineRule="auto"/>
        <w:ind w:left="0" w:right="49" w:firstLine="0"/>
        <w:jc w:val="both"/>
        <w:rPr>
          <w:color w:val="000000"/>
        </w:rPr>
      </w:pPr>
      <w:r>
        <w:rPr>
          <w:rFonts w:ascii="Palatino Linotype" w:eastAsia="Palatino Linotype" w:hAnsi="Palatino Linotype" w:cs="Palatino Linotype"/>
          <w:color w:val="000000"/>
          <w:sz w:val="24"/>
          <w:szCs w:val="24"/>
        </w:rPr>
        <w:t>El recurrente solicitó lo ya transcrito en el anterior Párrafo 2. El Sujeto Obligado no entregó respuestas a las solicitudes, motivo de inconformidad el recurrente.</w:t>
      </w:r>
    </w:p>
    <w:p w:rsidR="00285427" w:rsidRDefault="005B1F82">
      <w:pPr>
        <w:numPr>
          <w:ilvl w:val="0"/>
          <w:numId w:val="7"/>
        </w:numPr>
        <w:tabs>
          <w:tab w:val="left" w:pos="284"/>
        </w:tabs>
        <w:spacing w:before="240" w:after="240" w:line="360" w:lineRule="auto"/>
        <w:ind w:left="0" w:firstLine="0"/>
        <w:jc w:val="both"/>
      </w:pPr>
      <w:r>
        <w:rPr>
          <w:rFonts w:ascii="Palatino Linotype" w:eastAsia="Palatino Linotype" w:hAnsi="Palatino Linotype" w:cs="Palatino Linotype"/>
          <w:sz w:val="24"/>
          <w:szCs w:val="24"/>
        </w:rPr>
        <w:lastRenderedPageBreak/>
        <w:t>Por lo tanto, el presente recurso de revisión se circunscribe en determinar si se actualiza las causales de procedencia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contenidas en el artículo 179 fracciones VII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w:t>
      </w:r>
    </w:p>
    <w:p w:rsidR="00285427" w:rsidRDefault="00285427">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285427" w:rsidRDefault="005B1F82">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Estudio y resolución del asunto</w:t>
      </w:r>
    </w:p>
    <w:p w:rsidR="00285427" w:rsidRDefault="005B1F82">
      <w:pPr>
        <w:keepNext/>
        <w:keepLines/>
        <w:numPr>
          <w:ilvl w:val="1"/>
          <w:numId w:val="7"/>
        </w:numPr>
        <w:tabs>
          <w:tab w:val="left" w:pos="284"/>
        </w:tabs>
        <w:spacing w:before="40"/>
        <w:ind w:left="0" w:firstLine="0"/>
        <w:jc w:val="both"/>
        <w:rPr>
          <w:rFonts w:ascii="Palatino Linotype" w:eastAsia="Palatino Linotype" w:hAnsi="Palatino Linotype" w:cs="Palatino Linotype"/>
          <w:b/>
          <w:sz w:val="24"/>
          <w:szCs w:val="24"/>
        </w:rPr>
      </w:pPr>
      <w:bookmarkStart w:id="8" w:name="_heading=h.4d34og8" w:colFirst="0" w:colLast="0"/>
      <w:bookmarkEnd w:id="8"/>
      <w:r>
        <w:rPr>
          <w:rFonts w:ascii="Palatino Linotype" w:eastAsia="Palatino Linotype" w:hAnsi="Palatino Linotype" w:cs="Palatino Linotype"/>
          <w:b/>
          <w:sz w:val="24"/>
          <w:szCs w:val="24"/>
        </w:rPr>
        <w:t xml:space="preserve">Del deber de las autoridades de promover, respetar, proteger y garantizar el derecho de acceso a la información pública. </w:t>
      </w:r>
    </w:p>
    <w:p w:rsidR="00285427" w:rsidRDefault="00285427">
      <w:pPr>
        <w:tabs>
          <w:tab w:val="left" w:pos="284"/>
        </w:tabs>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rPr>
          <w:color w:val="000000"/>
        </w:rPr>
      </w:pPr>
      <w:r>
        <w:rPr>
          <w:rFonts w:ascii="Palatino Linotype" w:eastAsia="Palatino Linotype" w:hAnsi="Palatino Linotype" w:cs="Palatino Linotype"/>
          <w:sz w:val="24"/>
          <w:szCs w:val="24"/>
        </w:rPr>
        <w:t xml:space="preserve">Es menester precisar que este </w:t>
      </w:r>
      <w:r>
        <w:rPr>
          <w:rFonts w:ascii="Palatino Linotype" w:eastAsia="Palatino Linotype" w:hAnsi="Palatino Linotype" w:cs="Palatino Linotype"/>
          <w:color w:val="000000"/>
          <w:sz w:val="24"/>
          <w:szCs w:val="24"/>
        </w:rPr>
        <w:t xml:space="preserve">Órgano Garante parte de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Pr>
          <w:rFonts w:ascii="Palatino Linotype" w:eastAsia="Palatino Linotype" w:hAnsi="Palatino Linotype" w:cs="Palatino Linotype"/>
          <w:b/>
          <w:color w:val="000000"/>
          <w:sz w:val="24"/>
          <w:szCs w:val="24"/>
        </w:rPr>
        <w:t xml:space="preserve">Constitución Política de los Estados Unidos Mexicanos </w:t>
      </w:r>
      <w:r>
        <w:rPr>
          <w:rFonts w:ascii="Palatino Linotype" w:eastAsia="Palatino Linotype" w:hAnsi="Palatino Linotype" w:cs="Palatino Linotype"/>
          <w:color w:val="000000"/>
          <w:sz w:val="24"/>
          <w:szCs w:val="24"/>
        </w:rPr>
        <w:t xml:space="preserve">al señalar la obligación de “promover, </w:t>
      </w:r>
      <w:r>
        <w:rPr>
          <w:rFonts w:ascii="Palatino Linotype" w:eastAsia="Palatino Linotype" w:hAnsi="Palatino Linotype" w:cs="Palatino Linotype"/>
          <w:b/>
          <w:color w:val="000000"/>
          <w:sz w:val="24"/>
          <w:szCs w:val="24"/>
        </w:rPr>
        <w:t>respetar</w:t>
      </w:r>
      <w:r>
        <w:rPr>
          <w:rFonts w:ascii="Palatino Linotype" w:eastAsia="Palatino Linotype" w:hAnsi="Palatino Linotype" w:cs="Palatino Linotype"/>
          <w:color w:val="000000"/>
          <w:sz w:val="24"/>
          <w:szCs w:val="24"/>
        </w:rPr>
        <w:t xml:space="preserve">, proteger y </w:t>
      </w:r>
      <w:r>
        <w:rPr>
          <w:rFonts w:ascii="Palatino Linotype" w:eastAsia="Palatino Linotype" w:hAnsi="Palatino Linotype" w:cs="Palatino Linotype"/>
          <w:b/>
          <w:color w:val="000000"/>
          <w:sz w:val="24"/>
          <w:szCs w:val="24"/>
        </w:rPr>
        <w:t>garantizar</w:t>
      </w:r>
      <w:r>
        <w:rPr>
          <w:rFonts w:ascii="Palatino Linotype" w:eastAsia="Palatino Linotype" w:hAnsi="Palatino Linotype" w:cs="Palatino Linotype"/>
          <w:color w:val="000000"/>
          <w:sz w:val="24"/>
          <w:szCs w:val="24"/>
        </w:rPr>
        <w:t xml:space="preserve"> los derechos humanos”, entre los cuales se encuentra dicho derecho. </w:t>
      </w:r>
    </w:p>
    <w:p w:rsidR="00285427" w:rsidRDefault="00285427">
      <w:pPr>
        <w:tabs>
          <w:tab w:val="left" w:pos="284"/>
        </w:tabs>
        <w:spacing w:line="360" w:lineRule="auto"/>
        <w:ind w:right="49"/>
        <w:jc w:val="both"/>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Definiendo el Derecho de Acceso a la Información Pública como: </w:t>
      </w:r>
      <w:r>
        <w:rPr>
          <w:rFonts w:ascii="Palatino Linotype" w:eastAsia="Palatino Linotype" w:hAnsi="Palatino Linotype" w:cs="Palatino Linotype"/>
          <w:i/>
          <w:color w:val="000000"/>
          <w:sz w:val="24"/>
          <w:szCs w:val="24"/>
        </w:rPr>
        <w:t>La igualdad de oportunidades para recibir, buscar e impartir información</w:t>
      </w:r>
      <w:r>
        <w:rPr>
          <w:rFonts w:ascii="Palatino Linotype" w:eastAsia="Palatino Linotype" w:hAnsi="Palatino Linotype" w:cs="Palatino Linotype"/>
          <w:i/>
          <w:color w:val="000000"/>
          <w:sz w:val="24"/>
          <w:szCs w:val="24"/>
          <w:vertAlign w:val="superscript"/>
        </w:rPr>
        <w:footnoteReference w:id="2"/>
      </w:r>
      <w:r>
        <w:rPr>
          <w:rFonts w:ascii="Palatino Linotype" w:eastAsia="Palatino Linotype" w:hAnsi="Palatino Linotype" w:cs="Palatino Linotype"/>
          <w:i/>
          <w:color w:val="000000"/>
          <w:sz w:val="24"/>
          <w:szCs w:val="24"/>
        </w:rPr>
        <w:t xml:space="preserve">en posesión de cualquier autoridad, entidad, órgano y organismo de los poderes Ejecutivo, Legislativo y Judicial, órganos autónomos, </w:t>
      </w:r>
      <w:r>
        <w:rPr>
          <w:rFonts w:ascii="Palatino Linotype" w:eastAsia="Palatino Linotype" w:hAnsi="Palatino Linotype" w:cs="Palatino Linotype"/>
          <w:i/>
          <w:color w:val="000000"/>
          <w:sz w:val="24"/>
          <w:szCs w:val="24"/>
        </w:rPr>
        <w:lastRenderedPageBreak/>
        <w:t>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sz w:val="24"/>
          <w:szCs w:val="24"/>
          <w:vertAlign w:val="superscript"/>
        </w:rPr>
        <w:footnoteReference w:id="3"/>
      </w:r>
      <w:r>
        <w:rPr>
          <w:rFonts w:ascii="Palatino Linotype" w:eastAsia="Palatino Linotype" w:hAnsi="Palatino Linotype" w:cs="Palatino Linotype"/>
          <w:color w:val="000000"/>
          <w:sz w:val="24"/>
          <w:szCs w:val="24"/>
        </w:rPr>
        <w:t>que se constituye como una herramienta fundamental para ejercer</w:t>
      </w:r>
      <w:r>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sz w:val="24"/>
          <w:szCs w:val="24"/>
          <w:vertAlign w:val="superscript"/>
        </w:rPr>
        <w:footnoteReference w:id="4"/>
      </w:r>
      <w:r>
        <w:rPr>
          <w:rFonts w:ascii="Palatino Linotype" w:eastAsia="Palatino Linotype" w:hAnsi="Palatino Linotype" w:cs="Palatino Linotype"/>
          <w:color w:val="000000"/>
          <w:sz w:val="24"/>
          <w:szCs w:val="24"/>
        </w:rPr>
        <w:t>fomentando</w:t>
      </w:r>
      <w:r>
        <w:rPr>
          <w:rFonts w:ascii="Palatino Linotype" w:eastAsia="Palatino Linotype" w:hAnsi="Palatino Linotype" w:cs="Palatino Linotype"/>
          <w:i/>
          <w:color w:val="000000"/>
          <w:sz w:val="24"/>
          <w:szCs w:val="24"/>
        </w:rPr>
        <w:t xml:space="preserve"> la transparencia de las actividades estatales y </w:t>
      </w:r>
      <w:r>
        <w:rPr>
          <w:rFonts w:ascii="Palatino Linotype" w:eastAsia="Palatino Linotype" w:hAnsi="Palatino Linotype" w:cs="Palatino Linotype"/>
          <w:color w:val="000000"/>
          <w:sz w:val="24"/>
          <w:szCs w:val="24"/>
        </w:rPr>
        <w:t>promoviendo</w:t>
      </w:r>
      <w:r>
        <w:rPr>
          <w:rFonts w:ascii="Palatino Linotype" w:eastAsia="Palatino Linotype" w:hAnsi="Palatino Linotype" w:cs="Palatino Linotype"/>
          <w:i/>
          <w:color w:val="000000"/>
          <w:sz w:val="24"/>
          <w:szCs w:val="24"/>
        </w:rPr>
        <w:t xml:space="preserve"> la responsabilidad de los funcionarios sobre su gestión pública,</w:t>
      </w:r>
      <w:r>
        <w:rPr>
          <w:rFonts w:ascii="Palatino Linotype" w:eastAsia="Palatino Linotype" w:hAnsi="Palatino Linotype" w:cs="Palatino Linotype"/>
          <w:i/>
          <w:color w:val="000000"/>
          <w:sz w:val="24"/>
          <w:szCs w:val="24"/>
          <w:vertAlign w:val="superscript"/>
        </w:rPr>
        <w:footnoteReference w:id="5"/>
      </w:r>
      <w:r>
        <w:rPr>
          <w:rFonts w:ascii="Palatino Linotype" w:eastAsia="Palatino Linotype" w:hAnsi="Palatino Linotype" w:cs="Palatino Linotype"/>
          <w:color w:val="000000"/>
          <w:sz w:val="24"/>
          <w:szCs w:val="24"/>
        </w:rPr>
        <w:t>que permite</w:t>
      </w:r>
      <w:r>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rsidR="00285427" w:rsidRDefault="00285427">
      <w:pPr>
        <w:tabs>
          <w:tab w:val="left" w:pos="284"/>
        </w:tabs>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Por lo anterior, 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rsidR="00285427" w:rsidRDefault="005B1F82">
      <w:pPr>
        <w:tabs>
          <w:tab w:val="left" w:pos="284"/>
        </w:tabs>
        <w:spacing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w:t>
      </w: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Por lo tanto, derivado de lo señalado con anterioridad la actuación del </w:t>
      </w:r>
      <w:r>
        <w:rPr>
          <w:rFonts w:ascii="Palatino Linotype" w:eastAsia="Palatino Linotype" w:hAnsi="Palatino Linotype" w:cs="Palatino Linotype"/>
          <w:b/>
          <w:sz w:val="24"/>
          <w:szCs w:val="24"/>
        </w:rPr>
        <w:t>Ayuntamiento de San Felipe del Progreso</w:t>
      </w:r>
      <w:r>
        <w:rPr>
          <w:rFonts w:ascii="Palatino Linotype" w:eastAsia="Palatino Linotype" w:hAnsi="Palatino Linotype" w:cs="Palatino Linotype"/>
          <w:sz w:val="24"/>
          <w:szCs w:val="24"/>
        </w:rPr>
        <w:t xml:space="preserve"> 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rsidR="00285427" w:rsidRDefault="00285427">
      <w:pPr>
        <w:tabs>
          <w:tab w:val="left" w:pos="284"/>
        </w:tabs>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 xml:space="preserve">Ante tal afectación, el artículo primero Constitucional de forma clara y precisa dispone que como consecuencia de la obligación que tienen las autoridades de promover, respetar, proteger y garantizar el derecho humano; el Estado deberá </w:t>
      </w:r>
      <w:r>
        <w:rPr>
          <w:rFonts w:ascii="Palatino Linotype" w:eastAsia="Palatino Linotype" w:hAnsi="Palatino Linotype" w:cs="Palatino Linotype"/>
          <w:sz w:val="24"/>
          <w:szCs w:val="24"/>
          <w:u w:val="single"/>
        </w:rPr>
        <w:t>prevenir, investigar, sancionar y reparar las violaciones a los derechos humanos</w:t>
      </w:r>
      <w:r>
        <w:rPr>
          <w:rFonts w:ascii="Palatino Linotype" w:eastAsia="Palatino Linotype" w:hAnsi="Palatino Linotype" w:cs="Palatino Linotype"/>
          <w:sz w:val="24"/>
          <w:szCs w:val="24"/>
        </w:rPr>
        <w:t xml:space="preserve">. </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Pr>
          <w:rFonts w:ascii="Palatino Linotype" w:eastAsia="Palatino Linotype" w:hAnsi="Palatino Linotype" w:cs="Palatino Linotype"/>
          <w:i/>
          <w:sz w:val="24"/>
          <w:szCs w:val="24"/>
        </w:rPr>
        <w:t>por los principios de simplicidad, rapidez gratuidad del procedimiento, auxilio y orientación a los particulares</w:t>
      </w:r>
      <w:r>
        <w:rPr>
          <w:rFonts w:ascii="Palatino Linotype" w:eastAsia="Palatino Linotype" w:hAnsi="Palatino Linotype" w:cs="Palatino Linotype"/>
          <w:sz w:val="24"/>
          <w:szCs w:val="24"/>
        </w:rPr>
        <w:t xml:space="preserve">, contemplando el derecho de las personas con discapacidad y hablantes de lengua indígena. </w:t>
      </w:r>
    </w:p>
    <w:p w:rsidR="00285427" w:rsidRDefault="00285427">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before="240" w:line="360" w:lineRule="auto"/>
        <w:ind w:left="0" w:firstLine="0"/>
        <w:jc w:val="both"/>
      </w:pPr>
      <w:r>
        <w:rPr>
          <w:rFonts w:ascii="Palatino Linotype" w:eastAsia="Palatino Linotype" w:hAnsi="Palatino Linotype" w:cs="Palatino Linotype"/>
          <w:sz w:val="24"/>
          <w:szCs w:val="24"/>
        </w:rPr>
        <w:t xml:space="preserve">Es así que la </w:t>
      </w:r>
      <w:r>
        <w:rPr>
          <w:rFonts w:ascii="Palatino Linotype" w:eastAsia="Palatino Linotype" w:hAnsi="Palatino Linotype" w:cs="Palatino Linotype"/>
          <w:b/>
          <w:sz w:val="24"/>
          <w:szCs w:val="24"/>
        </w:rPr>
        <w:t xml:space="preserve">Ley de Transparencia y Acceso a la Información Pública del Estado de México y Municipios, </w:t>
      </w:r>
      <w:r>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establece que </w:t>
      </w:r>
      <w:r>
        <w:rPr>
          <w:rFonts w:ascii="Palatino Linotype" w:eastAsia="Palatino Linotype" w:hAnsi="Palatino Linotype" w:cs="Palatino Linotype"/>
          <w:b/>
          <w:i/>
          <w:sz w:val="24"/>
          <w:szCs w:val="24"/>
          <w:u w:val="single"/>
        </w:rPr>
        <w:t>el recurso de revisión es la garantía secundaria</w:t>
      </w:r>
      <w:r>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Pr>
          <w:rFonts w:ascii="Palatino Linotype" w:eastAsia="Palatino Linotype" w:hAnsi="Palatino Linotype" w:cs="Palatino Linotype"/>
          <w:b/>
          <w:sz w:val="24"/>
          <w:szCs w:val="24"/>
        </w:rPr>
        <w:t>, s</w:t>
      </w:r>
      <w:r>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rsidR="00285427" w:rsidRDefault="00285427">
      <w:pPr>
        <w:tabs>
          <w:tab w:val="left" w:pos="284"/>
        </w:tabs>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 xml:space="preserve">Establecido lo anterior, resulta evidente que las razones o motivos de inconformidad hechos valer en el recurso de revisión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debido 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Dicha omisión implica un incumplimiento de las obligaciones que la Ley de Transparencia y Acceso a la Información del Estado de México y Municipios le impone al </w:t>
      </w:r>
      <w:r>
        <w:rPr>
          <w:rFonts w:ascii="Palatino Linotype" w:eastAsia="Palatino Linotype" w:hAnsi="Palatino Linotype" w:cs="Palatino Linotype"/>
          <w:b/>
          <w:sz w:val="24"/>
          <w:szCs w:val="24"/>
        </w:rPr>
        <w:t xml:space="preserve">Ayuntamiento de San Felipe del Progreso </w:t>
      </w:r>
      <w:r>
        <w:rPr>
          <w:rFonts w:ascii="Palatino Linotype" w:eastAsia="Palatino Linotype" w:hAnsi="Palatino Linotype" w:cs="Palatino Linotype"/>
          <w:sz w:val="24"/>
          <w:szCs w:val="24"/>
        </w:rPr>
        <w:t>como sujeto obligado, de conformidad con el artículo 23 fracción IV, que a la letra dice:</w:t>
      </w:r>
    </w:p>
    <w:p w:rsidR="00285427" w:rsidRDefault="005B1F82">
      <w:pPr>
        <w:tabs>
          <w:tab w:val="left" w:pos="284"/>
        </w:tabs>
        <w:spacing w:line="360" w:lineRule="auto"/>
        <w:ind w:left="567" w:right="567"/>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23.</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Son </w:t>
      </w:r>
      <w:r>
        <w:rPr>
          <w:rFonts w:ascii="Palatino Linotype" w:eastAsia="Palatino Linotype" w:hAnsi="Palatino Linotype" w:cs="Palatino Linotype"/>
          <w:b/>
          <w:i/>
          <w:sz w:val="22"/>
          <w:szCs w:val="22"/>
          <w:u w:val="single"/>
        </w:rPr>
        <w:t>sujetos obligados a transparentar y permitir el acceso a su información</w:t>
      </w:r>
      <w:r>
        <w:rPr>
          <w:rFonts w:ascii="Palatino Linotype" w:eastAsia="Palatino Linotype" w:hAnsi="Palatino Linotype" w:cs="Palatino Linotype"/>
          <w:b/>
          <w:i/>
          <w:sz w:val="22"/>
          <w:szCs w:val="22"/>
        </w:rPr>
        <w:t xml:space="preserve"> y proteger los datos personales que obren en su poder: </w:t>
      </w:r>
    </w:p>
    <w:p w:rsidR="00285427" w:rsidRDefault="005B1F82">
      <w:pPr>
        <w:tabs>
          <w:tab w:val="left" w:pos="284"/>
        </w:tabs>
        <w:spacing w:line="360" w:lineRule="auto"/>
        <w:ind w:left="567" w:right="56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tabs>
          <w:tab w:val="left" w:pos="284"/>
        </w:tabs>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Los ayuntamientos y las dependencias, organismos, órganos y entidades de la administración municipal;</w:t>
      </w:r>
    </w:p>
    <w:p w:rsidR="00285427" w:rsidRDefault="005B1F82">
      <w:pPr>
        <w:tabs>
          <w:tab w:val="left" w:pos="284"/>
        </w:tabs>
        <w:ind w:lef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rsidR="00285427" w:rsidRDefault="00285427">
      <w:pPr>
        <w:tabs>
          <w:tab w:val="left" w:pos="284"/>
        </w:tabs>
        <w:rPr>
          <w:rFonts w:ascii="Palatino Linotype" w:eastAsia="Palatino Linotype" w:hAnsi="Palatino Linotype" w:cs="Palatino Linotype"/>
          <w:sz w:val="24"/>
          <w:szCs w:val="24"/>
        </w:rPr>
      </w:pPr>
    </w:p>
    <w:p w:rsidR="00285427" w:rsidRPr="00F50A3C"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Así en calidad de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el </w:t>
      </w:r>
      <w:r>
        <w:rPr>
          <w:rFonts w:ascii="Palatino Linotype" w:eastAsia="Palatino Linotype" w:hAnsi="Palatino Linotype" w:cs="Palatino Linotype"/>
          <w:b/>
          <w:sz w:val="24"/>
          <w:szCs w:val="24"/>
        </w:rPr>
        <w:t xml:space="preserve">Ayuntamiento de San Felipe del Progreso </w:t>
      </w:r>
      <w:r>
        <w:rPr>
          <w:rFonts w:ascii="Palatino Linotype" w:eastAsia="Palatino Linotype" w:hAnsi="Palatino Linotype" w:cs="Palatino Linotype"/>
          <w:sz w:val="24"/>
          <w:szCs w:val="24"/>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rsidR="00F50A3C" w:rsidRDefault="00F50A3C" w:rsidP="00F50A3C">
      <w:pPr>
        <w:tabs>
          <w:tab w:val="left" w:pos="284"/>
        </w:tabs>
        <w:spacing w:line="360" w:lineRule="auto"/>
        <w:jc w:val="both"/>
      </w:pPr>
    </w:p>
    <w:p w:rsidR="00285427" w:rsidRDefault="005B1F82">
      <w:pPr>
        <w:tabs>
          <w:tab w:val="left" w:pos="284"/>
        </w:tabs>
        <w:spacing w:line="360" w:lineRule="auto"/>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Constitución Política de los Estados Unidos Mexicanos</w:t>
      </w:r>
    </w:p>
    <w:p w:rsidR="00285427" w:rsidRDefault="00285427">
      <w:pPr>
        <w:tabs>
          <w:tab w:val="left" w:pos="284"/>
        </w:tabs>
        <w:spacing w:line="360" w:lineRule="auto"/>
        <w:ind w:left="567" w:right="567"/>
        <w:jc w:val="both"/>
        <w:rPr>
          <w:rFonts w:ascii="Palatino Linotype" w:eastAsia="Palatino Linotype" w:hAnsi="Palatino Linotype" w:cs="Palatino Linotype"/>
          <w:i/>
          <w:sz w:val="22"/>
          <w:szCs w:val="22"/>
        </w:rPr>
      </w:pPr>
    </w:p>
    <w:p w:rsidR="00285427" w:rsidRDefault="005B1F82">
      <w:pPr>
        <w:tabs>
          <w:tab w:val="left" w:pos="284"/>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285427" w:rsidRDefault="005B1F82">
      <w:pPr>
        <w:tabs>
          <w:tab w:val="left" w:pos="284"/>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285427" w:rsidRDefault="00285427">
      <w:pPr>
        <w:tabs>
          <w:tab w:val="left" w:pos="284"/>
        </w:tabs>
        <w:spacing w:line="360" w:lineRule="auto"/>
        <w:ind w:left="567" w:right="567"/>
        <w:jc w:val="both"/>
        <w:rPr>
          <w:rFonts w:ascii="Palatino Linotype" w:eastAsia="Palatino Linotype" w:hAnsi="Palatino Linotype" w:cs="Palatino Linotype"/>
          <w:b/>
          <w:i/>
          <w:sz w:val="22"/>
          <w:szCs w:val="22"/>
        </w:rPr>
      </w:pP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85427" w:rsidRDefault="00285427">
      <w:pPr>
        <w:tabs>
          <w:tab w:val="left" w:pos="284"/>
        </w:tabs>
        <w:spacing w:line="360" w:lineRule="auto"/>
        <w:ind w:left="567" w:right="567"/>
        <w:jc w:val="both"/>
        <w:rPr>
          <w:rFonts w:ascii="Palatino Linotype" w:eastAsia="Palatino Linotype" w:hAnsi="Palatino Linotype" w:cs="Palatino Linotype"/>
          <w:i/>
          <w:sz w:val="22"/>
          <w:szCs w:val="22"/>
        </w:rPr>
      </w:pP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rsidR="00285427" w:rsidRDefault="00285427">
      <w:pPr>
        <w:tabs>
          <w:tab w:val="left" w:pos="284"/>
        </w:tabs>
        <w:spacing w:line="360" w:lineRule="auto"/>
        <w:ind w:left="567" w:right="567"/>
        <w:jc w:val="both"/>
        <w:rPr>
          <w:rFonts w:ascii="Palatino Linotype" w:eastAsia="Palatino Linotype" w:hAnsi="Palatino Linotype" w:cs="Palatino Linotype"/>
          <w:b/>
          <w:i/>
          <w:sz w:val="22"/>
          <w:szCs w:val="22"/>
        </w:rPr>
      </w:pPr>
    </w:p>
    <w:p w:rsidR="00285427" w:rsidRDefault="005B1F82">
      <w:pPr>
        <w:tabs>
          <w:tab w:val="left" w:pos="284"/>
        </w:tabs>
        <w:spacing w:line="360" w:lineRule="auto"/>
        <w:ind w:left="567" w:right="567"/>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rsidR="00F50A3C" w:rsidRDefault="00F50A3C">
      <w:pPr>
        <w:tabs>
          <w:tab w:val="left" w:pos="284"/>
        </w:tabs>
        <w:spacing w:line="360" w:lineRule="auto"/>
        <w:ind w:left="567" w:right="567"/>
        <w:jc w:val="both"/>
        <w:rPr>
          <w:rFonts w:ascii="Palatino Linotype" w:eastAsia="Palatino Linotype" w:hAnsi="Palatino Linotype" w:cs="Palatino Linotype"/>
          <w:i/>
          <w:sz w:val="22"/>
          <w:szCs w:val="22"/>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8.</w:t>
      </w:r>
      <w:r>
        <w:rPr>
          <w:rFonts w:ascii="Palatino Linotype" w:eastAsia="Palatino Linotype" w:hAnsi="Palatino Linotype" w:cs="Palatino Linotype"/>
          <w:i/>
          <w:sz w:val="22"/>
          <w:szCs w:val="22"/>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rsidR="00285427" w:rsidRDefault="00285427">
      <w:pPr>
        <w:tabs>
          <w:tab w:val="left" w:pos="284"/>
        </w:tabs>
        <w:spacing w:line="360" w:lineRule="auto"/>
        <w:ind w:left="567" w:right="567"/>
        <w:jc w:val="both"/>
        <w:rPr>
          <w:rFonts w:ascii="Palatino Linotype" w:eastAsia="Palatino Linotype" w:hAnsi="Palatino Linotype" w:cs="Palatino Linotype"/>
          <w:i/>
          <w:sz w:val="22"/>
          <w:szCs w:val="22"/>
        </w:rPr>
      </w:pP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En la aplicación e interpretación de la presente Ley deberá prevalecer el principio de máxima publicidad</w:t>
      </w:r>
      <w:r>
        <w:rPr>
          <w:rFonts w:ascii="Palatino Linotype" w:eastAsia="Palatino Linotype" w:hAnsi="Palatino Linotype" w:cs="Palatino Linotype"/>
          <w:i/>
          <w:sz w:val="22"/>
          <w:szCs w:val="22"/>
        </w:rPr>
        <w:t>,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rsidR="00285427" w:rsidRDefault="00285427">
      <w:pPr>
        <w:tabs>
          <w:tab w:val="left" w:pos="284"/>
        </w:tabs>
        <w:spacing w:line="360" w:lineRule="auto"/>
        <w:ind w:left="567" w:right="567"/>
        <w:jc w:val="both"/>
        <w:rPr>
          <w:rFonts w:ascii="Palatino Linotype" w:eastAsia="Palatino Linotype" w:hAnsi="Palatino Linotype" w:cs="Palatino Linotype"/>
          <w:i/>
          <w:sz w:val="22"/>
          <w:szCs w:val="22"/>
        </w:rPr>
      </w:pP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Para el caso de la interpretación se podrá tomar en cuenta los criterios, determinaciones y opiniones de los organismos nacionales e internacionales, en materia de transparencia y el derecho de acceso a la información.”</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rsidR="00285427" w:rsidRDefault="00285427">
      <w:pPr>
        <w:tabs>
          <w:tab w:val="left" w:pos="284"/>
        </w:tabs>
        <w:spacing w:line="360" w:lineRule="auto"/>
        <w:ind w:right="567"/>
        <w:jc w:val="both"/>
        <w:rPr>
          <w:rFonts w:ascii="Palatino Linotype" w:eastAsia="Palatino Linotype" w:hAnsi="Palatino Linotype" w:cs="Palatino Linotype"/>
          <w:i/>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Por tanto, en cumplimiento a las obligaciones que la Constitución Federal , la Constitución Estatal y la Ley de la materia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o de vía directa  que le sean presentadas en ejercicio del derecho humano de acceso a la información pública, lo cual, en el caso no aconteció, pues tal y como se ha acreditado de la revisión del expediente electrónico formado en el </w:t>
      </w:r>
      <w:r>
        <w:rPr>
          <w:rFonts w:ascii="Palatino Linotype" w:eastAsia="Palatino Linotype" w:hAnsi="Palatino Linotype" w:cs="Palatino Linotype"/>
          <w:b/>
          <w:sz w:val="24"/>
          <w:szCs w:val="24"/>
        </w:rPr>
        <w:t>SAIME</w:t>
      </w:r>
      <w:r>
        <w:rPr>
          <w:rFonts w:ascii="Palatino Linotype" w:eastAsia="Palatino Linotype" w:hAnsi="Palatino Linotype" w:cs="Palatino Linotype"/>
          <w:sz w:val="24"/>
          <w:szCs w:val="24"/>
        </w:rPr>
        <w:t xml:space="preserv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lastRenderedPageBreak/>
        <w:t xml:space="preserve">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w:t>
      </w:r>
      <w:r>
        <w:rPr>
          <w:rFonts w:ascii="Palatino Linotype" w:eastAsia="Palatino Linotype" w:hAnsi="Palatino Linotype" w:cs="Palatino Linotype"/>
          <w:sz w:val="24"/>
          <w:szCs w:val="24"/>
        </w:rPr>
        <w:t>transparentar</w:t>
      </w:r>
      <w:r>
        <w:rPr>
          <w:rFonts w:ascii="Palatino Linotype" w:eastAsia="Palatino Linotype" w:hAnsi="Palatino Linotype" w:cs="Palatino Linotype"/>
          <w:color w:val="000000"/>
          <w:sz w:val="24"/>
          <w:szCs w:val="24"/>
        </w:rPr>
        <w:t xml:space="preserve"> la gestión pública y mejorar la toma decisiones, a través de la difusión de la información que obra en poder de los Sujetos Obligados.</w:t>
      </w:r>
    </w:p>
    <w:p w:rsidR="00285427" w:rsidRDefault="00285427">
      <w:pPr>
        <w:tabs>
          <w:tab w:val="left" w:pos="284"/>
        </w:tabs>
        <w:spacing w:line="360" w:lineRule="auto"/>
        <w:ind w:right="49"/>
        <w:jc w:val="both"/>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rsidR="00285427" w:rsidRDefault="005B1F82">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Unidades de Transparencia tendrán las siguientes funciones:</w:t>
      </w:r>
    </w:p>
    <w:p w:rsidR="00285427" w:rsidRDefault="005B1F82">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II. Recibir, tramitar y dar respuesta a las solicitudes de acceso a la información</w:t>
      </w: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Realizar, con efectividad, los trámites internos necesarios para la atención de las solicitudes de acceso a la información;</w:t>
      </w:r>
    </w:p>
    <w:p w:rsidR="00285427" w:rsidRDefault="005B1F82">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Fomentar la transparencia y accesibilidad al interior del sujeto obligado;”</w:t>
      </w:r>
    </w:p>
    <w:p w:rsidR="00285427" w:rsidRDefault="00285427">
      <w:pPr>
        <w:tabs>
          <w:tab w:val="left" w:pos="284"/>
        </w:tabs>
        <w:spacing w:line="360" w:lineRule="auto"/>
        <w:ind w:right="49"/>
        <w:jc w:val="both"/>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Pr>
          <w:rFonts w:ascii="Palatino Linotype" w:eastAsia="Palatino Linotype" w:hAnsi="Palatino Linotype" w:cs="Palatino Linotype"/>
          <w:i/>
          <w:sz w:val="24"/>
          <w:szCs w:val="24"/>
        </w:rPr>
        <w:t xml:space="preserve">en el ámbito de sus atribuciones, </w:t>
      </w:r>
      <w:r>
        <w:rPr>
          <w:rFonts w:ascii="Palatino Linotype" w:eastAsia="Palatino Linotype" w:hAnsi="Palatino Linotype" w:cs="Palatino Linotype"/>
          <w:b/>
          <w:i/>
          <w:sz w:val="24"/>
          <w:szCs w:val="24"/>
        </w:rPr>
        <w:t>de promover</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respetar, proteger y</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garantizar</w:t>
      </w:r>
      <w:r>
        <w:rPr>
          <w:rFonts w:ascii="Palatino Linotype" w:eastAsia="Palatino Linotype" w:hAnsi="Palatino Linotype" w:cs="Palatino Linotype"/>
          <w:i/>
          <w:sz w:val="24"/>
          <w:szCs w:val="24"/>
        </w:rPr>
        <w:t xml:space="preserve"> los derechos </w:t>
      </w:r>
      <w:r>
        <w:rPr>
          <w:rFonts w:ascii="Palatino Linotype" w:eastAsia="Palatino Linotype" w:hAnsi="Palatino Linotype" w:cs="Palatino Linotype"/>
          <w:i/>
          <w:sz w:val="24"/>
          <w:szCs w:val="24"/>
        </w:rPr>
        <w:lastRenderedPageBreak/>
        <w:t xml:space="preserve">humanos. </w:t>
      </w:r>
      <w:r>
        <w:rPr>
          <w:rFonts w:ascii="Palatino Linotype" w:eastAsia="Palatino Linotype" w:hAnsi="Palatino Linotype" w:cs="Palatino Linotype"/>
          <w:sz w:val="24"/>
          <w:szCs w:val="24"/>
        </w:rPr>
        <w:t xml:space="preserve">En este mismo sentido, debe considerarse que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w:t>
      </w:r>
      <w:r>
        <w:rPr>
          <w:rFonts w:ascii="Palatino Linotype" w:eastAsia="Palatino Linotype" w:hAnsi="Palatino Linotype" w:cs="Palatino Linotype"/>
          <w:b/>
          <w:i/>
          <w:sz w:val="24"/>
          <w:szCs w:val="24"/>
        </w:rPr>
        <w:t>la información es la garantía</w:t>
      </w:r>
      <w:r>
        <w:rPr>
          <w:rFonts w:ascii="Palatino Linotype" w:eastAsia="Palatino Linotype" w:hAnsi="Palatino Linotype" w:cs="Palatino Linotype"/>
          <w:i/>
          <w:sz w:val="24"/>
          <w:szCs w:val="24"/>
        </w:rPr>
        <w:t xml:space="preserve"> primaria del derecho en cuestión.</w:t>
      </w:r>
      <w:r>
        <w:rPr>
          <w:rFonts w:ascii="Palatino Linotype" w:eastAsia="Palatino Linotype" w:hAnsi="Palatino Linotype" w:cs="Palatino Linotype"/>
          <w:sz w:val="24"/>
          <w:szCs w:val="24"/>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Pr>
          <w:rFonts w:ascii="Palatino Linotype" w:eastAsia="Palatino Linotype" w:hAnsi="Palatino Linotype" w:cs="Palatino Linotype"/>
          <w:i/>
          <w:sz w:val="24"/>
          <w:szCs w:val="24"/>
        </w:rPr>
        <w:t>investigar, sancionar y reparar las violaciones a los derechos humanos.</w:t>
      </w:r>
      <w:r>
        <w:rPr>
          <w:rFonts w:ascii="Palatino Linotype" w:eastAsia="Palatino Linotype" w:hAnsi="Palatino Linotype" w:cs="Palatino Linotype"/>
          <w:sz w:val="24"/>
          <w:szCs w:val="24"/>
        </w:rPr>
        <w:t xml:space="preserve"> </w:t>
      </w:r>
    </w:p>
    <w:p w:rsidR="00285427" w:rsidRDefault="00285427">
      <w:pPr>
        <w:tabs>
          <w:tab w:val="left" w:pos="284"/>
        </w:tabs>
        <w:spacing w:line="360" w:lineRule="auto"/>
        <w:ind w:left="4613" w:right="49"/>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rsidR="00285427" w:rsidRDefault="00285427">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285427" w:rsidRDefault="005B1F82">
      <w:pPr>
        <w:keepNext/>
        <w:keepLines/>
        <w:numPr>
          <w:ilvl w:val="0"/>
          <w:numId w:val="1"/>
        </w:numPr>
        <w:tabs>
          <w:tab w:val="left" w:pos="284"/>
        </w:tabs>
        <w:spacing w:before="240"/>
        <w:ind w:left="0" w:firstLine="0"/>
        <w:rPr>
          <w:rFonts w:ascii="Palatino Linotype" w:eastAsia="Palatino Linotype" w:hAnsi="Palatino Linotype" w:cs="Palatino Linotype"/>
          <w:b/>
          <w:sz w:val="24"/>
          <w:szCs w:val="24"/>
        </w:rPr>
      </w:pPr>
      <w:bookmarkStart w:id="9" w:name="_heading=h.2s8eyo1" w:colFirst="0" w:colLast="0"/>
      <w:bookmarkEnd w:id="9"/>
      <w:r>
        <w:rPr>
          <w:rFonts w:ascii="Palatino Linotype" w:eastAsia="Palatino Linotype" w:hAnsi="Palatino Linotype" w:cs="Palatino Linotype"/>
          <w:b/>
          <w:sz w:val="24"/>
          <w:szCs w:val="24"/>
        </w:rPr>
        <w:t>Sobre la respuesta que se emita a la solicitud.</w:t>
      </w:r>
    </w:p>
    <w:p w:rsidR="00285427" w:rsidRDefault="005B1F82">
      <w:pPr>
        <w:numPr>
          <w:ilvl w:val="0"/>
          <w:numId w:val="7"/>
        </w:numPr>
        <w:tabs>
          <w:tab w:val="left" w:pos="284"/>
        </w:tabs>
        <w:spacing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 xml:space="preserve">En cumplimiento a esta resolución,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deberá dar atención </w:t>
      </w:r>
      <w:r>
        <w:rPr>
          <w:rFonts w:ascii="Palatino Linotype" w:eastAsia="Palatino Linotype" w:hAnsi="Palatino Linotype" w:cs="Palatino Linotype"/>
          <w:sz w:val="24"/>
          <w:szCs w:val="24"/>
        </w:rPr>
        <w:t>a la solicitud de información, sin que sea materia de este recurso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analizar 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prejuzgar si la información que le fue solicitada se encuentra en sus archivos o le corresponde generarla, puesto que el silencio administrativo que hizo patente al omitir dar respuesta, trae como </w:t>
      </w:r>
      <w:r>
        <w:rPr>
          <w:rFonts w:ascii="Palatino Linotype" w:eastAsia="Palatino Linotype" w:hAnsi="Palatino Linotype" w:cs="Palatino Linotype"/>
          <w:sz w:val="24"/>
          <w:szCs w:val="24"/>
        </w:rPr>
        <w:lastRenderedPageBreak/>
        <w:t>consecuencia que se le ordene dar atención a la solicitud, lo cual deberá llevar a cabo en ejercicio de sus competencias, atribuciones y funciones y con arreglo a lo dispuesto por la ley de la materia.</w:t>
      </w:r>
    </w:p>
    <w:p w:rsidR="00285427" w:rsidRDefault="00285427">
      <w:pPr>
        <w:tabs>
          <w:tab w:val="left" w:pos="284"/>
        </w:tabs>
        <w:spacing w:line="360" w:lineRule="auto"/>
        <w:ind w:right="49"/>
        <w:jc w:val="both"/>
        <w:rPr>
          <w:rFonts w:ascii="Palatino Linotype" w:eastAsia="Palatino Linotype" w:hAnsi="Palatino Linotype" w:cs="Palatino Linotype"/>
          <w:b/>
          <w:color w:val="000000"/>
          <w:sz w:val="24"/>
          <w:szCs w:val="24"/>
        </w:rPr>
      </w:pPr>
    </w:p>
    <w:p w:rsidR="00285427" w:rsidRDefault="005B1F82">
      <w:pPr>
        <w:numPr>
          <w:ilvl w:val="0"/>
          <w:numId w:val="7"/>
        </w:numPr>
        <w:tabs>
          <w:tab w:val="left" w:pos="284"/>
        </w:tabs>
        <w:spacing w:line="360" w:lineRule="auto"/>
        <w:ind w:left="0" w:right="4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sz w:val="24"/>
          <w:szCs w:val="24"/>
        </w:rPr>
        <w:t>En este caso, el Sujeto Obligado deberá de sustanciar todo el procedimiento de acceso a la información pública verificando si la información que le ha sido requerida corresponde al ejercicio de sus facultades, competencias o funciones.</w:t>
      </w:r>
    </w:p>
    <w:p w:rsidR="00285427" w:rsidRDefault="00285427">
      <w:pPr>
        <w:tabs>
          <w:tab w:val="left" w:pos="284"/>
        </w:tabs>
        <w:spacing w:line="360" w:lineRule="auto"/>
        <w:ind w:right="49"/>
        <w:jc w:val="both"/>
        <w:rPr>
          <w:rFonts w:ascii="Palatino Linotype" w:eastAsia="Palatino Linotype" w:hAnsi="Palatino Linotype" w:cs="Palatino Linotype"/>
          <w:b/>
          <w:color w:val="000000"/>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rsidR="00285427" w:rsidRDefault="00285427">
      <w:pPr>
        <w:tabs>
          <w:tab w:val="left" w:pos="284"/>
        </w:tabs>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lastRenderedPageBreak/>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rsidR="00285427" w:rsidRDefault="00285427">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Es importante también señalar que, la respuesta que dará en cumplimiento a la presente resolución, </w:t>
      </w:r>
      <w:r>
        <w:rPr>
          <w:rFonts w:ascii="Palatino Linotype" w:eastAsia="Palatino Linotype" w:hAnsi="Palatino Linotype" w:cs="Palatino Linotype"/>
          <w:b/>
          <w:color w:val="000000"/>
          <w:sz w:val="24"/>
          <w:szCs w:val="24"/>
        </w:rPr>
        <w:t>deberá ajustarse a lo dispuesto a los criterios y precedentes que este Órgano Garante ha resuelto y aprobado,</w:t>
      </w:r>
      <w:r>
        <w:rPr>
          <w:rFonts w:ascii="Palatino Linotype" w:eastAsia="Palatino Linotype" w:hAnsi="Palatino Linotype" w:cs="Palatino Linotype"/>
          <w:color w:val="000000"/>
          <w:sz w:val="24"/>
          <w:szCs w:val="24"/>
        </w:rPr>
        <w:t xml:space="preserve"> es decir, por lo que constituye una alta responsabilidad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proporcionar la información que atienda la presente, ajustándose a la normatividad establecida y a los distintos asuntos de los cuales este órgano colegiado ha conocido. </w:t>
      </w:r>
    </w:p>
    <w:p w:rsidR="00285427" w:rsidRDefault="00285427">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Por lo que tratándose del tema o temas que se requieran en las solicitudes, el sujeto obligado deberá en todo momento ajustarse además de la normatividad aplicable a los asuntos, a las resoluciones aprobadas.</w:t>
      </w:r>
    </w:p>
    <w:p w:rsidR="00285427" w:rsidRDefault="00285427">
      <w:pPr>
        <w:tabs>
          <w:tab w:val="left" w:pos="284"/>
        </w:tabs>
        <w:spacing w:line="360" w:lineRule="auto"/>
        <w:ind w:left="4613" w:right="49"/>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En consecuencia, para responder a la solicitud de acceso a la información en cuestión el Sujeto Obligado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Una vez que la información sea localizada, los servidores públicos habilitados deberán de valorar si se entrega en su totalidad, en versión pública o si es susceptible de clasificarse, según lo que se describe en la sección siguiente. </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rsidR="00285427" w:rsidRDefault="00285427">
      <w:pPr>
        <w:tabs>
          <w:tab w:val="left" w:pos="284"/>
        </w:tabs>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rsidR="00285427" w:rsidRDefault="005B1F82">
      <w:pPr>
        <w:tabs>
          <w:tab w:val="left" w:pos="284"/>
          <w:tab w:val="left" w:pos="8080"/>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 xml:space="preserve"> Se presume que la información debe existir si se refiere a las facultades, competencias y funciones que los ordenamientos jurídicos aplicables otorgan a los sujetos obligados.</w:t>
      </w:r>
    </w:p>
    <w:p w:rsidR="00285427" w:rsidRDefault="00285427">
      <w:pPr>
        <w:tabs>
          <w:tab w:val="left" w:pos="284"/>
          <w:tab w:val="left" w:pos="8080"/>
        </w:tabs>
        <w:spacing w:line="360" w:lineRule="auto"/>
        <w:ind w:left="567" w:right="567"/>
        <w:jc w:val="both"/>
        <w:rPr>
          <w:rFonts w:ascii="Palatino Linotype" w:eastAsia="Palatino Linotype" w:hAnsi="Palatino Linotype" w:cs="Palatino Linotype"/>
          <w:i/>
          <w:sz w:val="22"/>
          <w:szCs w:val="22"/>
        </w:rPr>
      </w:pPr>
    </w:p>
    <w:p w:rsidR="00285427" w:rsidRDefault="005B1F82">
      <w:pPr>
        <w:tabs>
          <w:tab w:val="left" w:pos="284"/>
          <w:tab w:val="left" w:pos="8080"/>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En los casos en que ciertas facultades, competencias o funciones no se hayan ejercido, se debe motivar la respuesta en función de las causas que motiven tal circunstancia. </w:t>
      </w:r>
    </w:p>
    <w:p w:rsidR="00285427" w:rsidRDefault="00285427">
      <w:pPr>
        <w:tabs>
          <w:tab w:val="left" w:pos="284"/>
          <w:tab w:val="left" w:pos="8080"/>
        </w:tabs>
        <w:spacing w:line="360" w:lineRule="auto"/>
        <w:ind w:left="567" w:right="567"/>
        <w:jc w:val="both"/>
        <w:rPr>
          <w:rFonts w:ascii="Palatino Linotype" w:eastAsia="Palatino Linotype" w:hAnsi="Palatino Linotype" w:cs="Palatino Linotype"/>
          <w:i/>
          <w:sz w:val="22"/>
          <w:szCs w:val="22"/>
        </w:rPr>
      </w:pPr>
    </w:p>
    <w:p w:rsidR="00285427" w:rsidRDefault="005B1F82">
      <w:pPr>
        <w:tabs>
          <w:tab w:val="left" w:pos="284"/>
          <w:tab w:val="left" w:pos="8080"/>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285427" w:rsidRDefault="00285427">
      <w:pPr>
        <w:tabs>
          <w:tab w:val="left" w:pos="284"/>
        </w:tabs>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El primer supuesto, que corresponde a lo señalado en su segundo párrafo, alude a actos no realizados y contemplados en alguna hipótesis jurídica: </w:t>
      </w:r>
    </w:p>
    <w:p w:rsidR="00285427" w:rsidRDefault="005B1F82">
      <w:pPr>
        <w:numPr>
          <w:ilvl w:val="0"/>
          <w:numId w:val="2"/>
        </w:numPr>
        <w:tabs>
          <w:tab w:val="left" w:pos="284"/>
        </w:tabs>
        <w:spacing w:line="360" w:lineRule="auto"/>
        <w:ind w:left="284" w:right="70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Cuya realización dependa de que un tercero demande la emisión de un acto de autoridad, la expedición de una licencia, por ejemplo; </w:t>
      </w:r>
    </w:p>
    <w:p w:rsidR="00285427" w:rsidRDefault="005B1F82">
      <w:pPr>
        <w:numPr>
          <w:ilvl w:val="0"/>
          <w:numId w:val="2"/>
        </w:numPr>
        <w:tabs>
          <w:tab w:val="left" w:pos="284"/>
        </w:tabs>
        <w:spacing w:line="360" w:lineRule="auto"/>
        <w:ind w:left="284" w:right="70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un acontecimiento de realización probable, la Cuenta Pública correspondiente a un ejercicio fiscal en curso; o</w:t>
      </w:r>
    </w:p>
    <w:p w:rsidR="00285427" w:rsidRDefault="005B1F82">
      <w:pPr>
        <w:numPr>
          <w:ilvl w:val="0"/>
          <w:numId w:val="2"/>
        </w:numPr>
        <w:tabs>
          <w:tab w:val="left" w:pos="284"/>
        </w:tabs>
        <w:spacing w:before="240" w:line="360" w:lineRule="auto"/>
        <w:ind w:left="284" w:right="70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facultad potestativa, la firma de convenios de colaboración.</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 xml:space="preserve">El segundo supuesto, que corresponde a lo señalado en su último párrafo del artículo antes referido, alude a: </w:t>
      </w:r>
    </w:p>
    <w:p w:rsidR="00285427" w:rsidRDefault="005B1F82">
      <w:pPr>
        <w:numPr>
          <w:ilvl w:val="0"/>
          <w:numId w:val="5"/>
        </w:numPr>
        <w:tabs>
          <w:tab w:val="left" w:pos="851"/>
          <w:tab w:val="left" w:pos="7655"/>
        </w:tabs>
        <w:spacing w:line="360" w:lineRule="auto"/>
        <w:ind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Actos realizados sobre los cuales: </w:t>
      </w:r>
    </w:p>
    <w:p w:rsidR="00285427" w:rsidRDefault="005B1F82">
      <w:pPr>
        <w:numPr>
          <w:ilvl w:val="0"/>
          <w:numId w:val="3"/>
        </w:numPr>
        <w:tabs>
          <w:tab w:val="left" w:pos="851"/>
          <w:tab w:val="left" w:pos="7655"/>
        </w:tabs>
        <w:spacing w:line="360" w:lineRule="auto"/>
        <w:ind w:left="567" w:right="70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se generó, poseyó o administró el documento que registre la información solicitada; </w:t>
      </w:r>
    </w:p>
    <w:p w:rsidR="00285427" w:rsidRDefault="005B1F82">
      <w:pPr>
        <w:tabs>
          <w:tab w:val="left" w:pos="851"/>
          <w:tab w:val="left" w:pos="7655"/>
        </w:tabs>
        <w:spacing w:line="360" w:lineRule="auto"/>
        <w:ind w:left="567" w:right="70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Habiendo sido generada, poseída o administrada, no se cuenta con la información solicitada.</w:t>
      </w:r>
    </w:p>
    <w:p w:rsidR="00285427" w:rsidRDefault="00285427">
      <w:pPr>
        <w:tabs>
          <w:tab w:val="left" w:pos="851"/>
          <w:tab w:val="left" w:pos="7655"/>
        </w:tabs>
        <w:spacing w:line="360" w:lineRule="auto"/>
        <w:ind w:left="567" w:right="709"/>
        <w:jc w:val="both"/>
        <w:rPr>
          <w:rFonts w:ascii="Palatino Linotype" w:eastAsia="Palatino Linotype" w:hAnsi="Palatino Linotype" w:cs="Palatino Linotype"/>
          <w:sz w:val="22"/>
          <w:szCs w:val="22"/>
        </w:rPr>
      </w:pPr>
    </w:p>
    <w:p w:rsidR="00285427" w:rsidRDefault="005B1F82">
      <w:pPr>
        <w:tabs>
          <w:tab w:val="left" w:pos="851"/>
          <w:tab w:val="left" w:pos="7655"/>
        </w:tabs>
        <w:spacing w:line="360"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2.  El sujeto obligado fue omiso en el ejercicio de una facultad, competencia o atribución inexcusable. </w:t>
      </w:r>
    </w:p>
    <w:p w:rsidR="00285427" w:rsidRDefault="00285427">
      <w:pPr>
        <w:tabs>
          <w:tab w:val="left" w:pos="284"/>
        </w:tabs>
        <w:spacing w:line="360" w:lineRule="auto"/>
        <w:jc w:val="both"/>
        <w:rPr>
          <w:rFonts w:ascii="Palatino Linotype" w:eastAsia="Palatino Linotype" w:hAnsi="Palatino Linotype" w:cs="Palatino Linotype"/>
          <w:sz w:val="22"/>
          <w:szCs w:val="22"/>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rsidR="00285427" w:rsidRDefault="00285427">
      <w:pPr>
        <w:tabs>
          <w:tab w:val="left" w:pos="284"/>
        </w:tabs>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la sección siguiente o, en su defecto, </w:t>
      </w:r>
      <w:r>
        <w:rPr>
          <w:rFonts w:ascii="Palatino Linotype" w:eastAsia="Palatino Linotype" w:hAnsi="Palatino Linotype" w:cs="Palatino Linotype"/>
          <w:b/>
          <w:sz w:val="24"/>
          <w:szCs w:val="24"/>
        </w:rPr>
        <w:t>de no localizar la información que debía tener, procediendo según lo refieren los párrafos segundo o tercero del artículo 19 de la Ley de Transparencia y Acceso a la Información Pública</w:t>
      </w:r>
      <w:r>
        <w:rPr>
          <w:rFonts w:ascii="Palatino Linotype" w:eastAsia="Palatino Linotype" w:hAnsi="Palatino Linotype" w:cs="Palatino Linotype"/>
          <w:sz w:val="24"/>
          <w:szCs w:val="24"/>
        </w:rPr>
        <w:t>, pero emitiendo una respuesta.</w:t>
      </w:r>
    </w:p>
    <w:p w:rsidR="00285427" w:rsidRDefault="005B1F82">
      <w:pPr>
        <w:keepNext/>
        <w:keepLines/>
        <w:tabs>
          <w:tab w:val="left" w:pos="284"/>
        </w:tabs>
        <w:spacing w:before="40"/>
        <w:rPr>
          <w:rFonts w:ascii="Palatino Linotype" w:eastAsia="Palatino Linotype" w:hAnsi="Palatino Linotype" w:cs="Palatino Linotype"/>
          <w:b/>
          <w:sz w:val="24"/>
          <w:szCs w:val="24"/>
        </w:rPr>
      </w:pPr>
      <w:bookmarkStart w:id="10" w:name="_heading=h.17dp8vu" w:colFirst="0" w:colLast="0"/>
      <w:bookmarkEnd w:id="10"/>
      <w:r>
        <w:rPr>
          <w:rFonts w:ascii="Palatino Linotype" w:eastAsia="Palatino Linotype" w:hAnsi="Palatino Linotype" w:cs="Palatino Linotype"/>
          <w:b/>
          <w:sz w:val="24"/>
          <w:szCs w:val="24"/>
        </w:rPr>
        <w:lastRenderedPageBreak/>
        <w:t>IV. Análisis al que debe someterse la información antes de su entrega.</w:t>
      </w: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w:t>
      </w:r>
      <w:r>
        <w:rPr>
          <w:rFonts w:ascii="Palatino Linotype" w:eastAsia="Palatino Linotype" w:hAnsi="Palatino Linotype" w:cs="Palatino Linotype"/>
          <w:i/>
          <w:color w:val="000000"/>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Pr>
          <w:rFonts w:ascii="Palatino Linotype" w:eastAsia="Palatino Linotype" w:hAnsi="Palatino Linotype" w:cs="Palatino Linotype"/>
          <w:i/>
          <w:color w:val="000000"/>
          <w:sz w:val="22"/>
          <w:szCs w:val="22"/>
        </w:rPr>
        <w:lastRenderedPageBreak/>
        <w:t>excepcionalmente como reservada temporalmente por razones de interés público, en los términos de las causas legítimas y estrictamente necesarias previstas por esta Ley.</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285427" w:rsidRDefault="00285427">
      <w:pPr>
        <w:tabs>
          <w:tab w:val="left" w:pos="284"/>
        </w:tabs>
        <w:spacing w:line="360" w:lineRule="auto"/>
        <w:ind w:left="567" w:right="618"/>
        <w:jc w:val="both"/>
        <w:rPr>
          <w:rFonts w:ascii="Palatino Linotype" w:eastAsia="Palatino Linotype" w:hAnsi="Palatino Linotype" w:cs="Palatino Linotype"/>
          <w:i/>
          <w:color w:val="000000"/>
          <w:sz w:val="22"/>
          <w:szCs w:val="22"/>
        </w:rPr>
      </w:pP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122.</w:t>
      </w:r>
      <w:r>
        <w:rPr>
          <w:rFonts w:ascii="Palatino Linotype" w:eastAsia="Palatino Linotype" w:hAnsi="Palatino Linotype" w:cs="Palatino Linotype"/>
          <w:i/>
          <w:color w:val="000000"/>
          <w:sz w:val="22"/>
          <w:szCs w:val="22"/>
        </w:rPr>
        <w:t xml:space="preserve"> La clasificación es el proceso mediante el cual el sujeto obligado determina que la información en su poder actualiza alguno de los supuestos de reserva o confidencialidad, de conformidad con lo dispuesto en el presente título.</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supuestos de reserva o confidencialidad previstos en las leyes deberán ser acordes con las bases, principios y disposiciones establecidos en la Ley General y, en ningún caso, podrán contravenirla.</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titulares de las áreas de los sujetos obligados serán los responsables de clasificar la información, de conformidad con lo dispuesto en la presente Ley y demás disposiciones jurídicas aplicables.</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285427" w:rsidRDefault="00285427">
      <w:pPr>
        <w:tabs>
          <w:tab w:val="left" w:pos="284"/>
        </w:tabs>
        <w:spacing w:line="360" w:lineRule="auto"/>
        <w:ind w:left="567" w:right="618"/>
        <w:jc w:val="both"/>
        <w:rPr>
          <w:rFonts w:ascii="Palatino Linotype" w:eastAsia="Palatino Linotype" w:hAnsi="Palatino Linotype" w:cs="Palatino Linotype"/>
          <w:i/>
          <w:color w:val="000000"/>
          <w:sz w:val="22"/>
          <w:szCs w:val="22"/>
        </w:rPr>
      </w:pP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140.</w:t>
      </w:r>
      <w:r>
        <w:rPr>
          <w:rFonts w:ascii="Palatino Linotype" w:eastAsia="Palatino Linotype" w:hAnsi="Palatino Linotype" w:cs="Palatino Linotype"/>
          <w:i/>
          <w:color w:val="000000"/>
          <w:sz w:val="22"/>
          <w:szCs w:val="22"/>
        </w:rPr>
        <w:t xml:space="preserve"> El acceso a la información pública será restringido excepcionalmente, cuando por razones de interés público, ésta sea clasificada como reservada, conforme a los criterios siguientes:</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Comprometa la seguridad pública y cuente con un propósito genuino y un efecto demostrable;</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Pueda menoscabar la conducción de las negociaciones y relaciones internacionales;</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Ponga en riesgo la vida, la seguridad o la salud de una persona física;</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Aquella cuya divulgación obstruya o pueda causar un serio perjuicio a:</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 Las actividades de fiscalización, verificación, inspección, comprobación y auditoría sobre el cumplimiento de las Leyes; o</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 La recaudación de las contribuciones.</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La que contengan las opiniones, recomendaciones o puntos de vista que formen parte del proceso deliberativo de los servidores públicos, hasta en tanto sea adoptada la decisión definitiva, la cual deberá estar documentada;</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Vulnere la conducción de los expedientes judiciales o de los procedimientos administrativos seguidos en forma de juicio, en tanto no hayan quedado firmes;</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Se encuentre contenida dentro de las investigaciones de hechos que la Ley señale como delitos y se tramiten ante el Ministerio Público;</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XI. Las que por disposición expresa de una ley tengan tal carácter, siempre que sean acordes con las bases, principios y disposiciones establecidos en esta Ley y no la contravengan; así como las previstas en tratados internacionales.”</w:t>
      </w:r>
    </w:p>
    <w:p w:rsidR="00285427" w:rsidRDefault="00285427">
      <w:pPr>
        <w:tabs>
          <w:tab w:val="left" w:pos="284"/>
        </w:tabs>
        <w:spacing w:line="360" w:lineRule="auto"/>
        <w:ind w:left="567" w:right="618"/>
        <w:jc w:val="both"/>
        <w:rPr>
          <w:rFonts w:ascii="Palatino Linotype" w:eastAsia="Palatino Linotype" w:hAnsi="Palatino Linotype" w:cs="Palatino Linotype"/>
          <w:i/>
          <w:color w:val="000000"/>
          <w:sz w:val="22"/>
          <w:szCs w:val="22"/>
        </w:rPr>
      </w:pPr>
    </w:p>
    <w:p w:rsidR="00285427" w:rsidRDefault="005B1F82">
      <w:pPr>
        <w:tabs>
          <w:tab w:val="left" w:pos="284"/>
        </w:tabs>
        <w:spacing w:line="360" w:lineRule="auto"/>
        <w:ind w:left="567" w:right="618"/>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141.</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Las causales de reserva previstas en este Capítulo se deberán fundar y motivar, a través de la aplicación de la prueba de daño a la que se hace referencia en el presente Título.”</w:t>
      </w:r>
    </w:p>
    <w:p w:rsidR="00285427" w:rsidRDefault="005B1F82">
      <w:pPr>
        <w:tabs>
          <w:tab w:val="left" w:pos="284"/>
        </w:tabs>
        <w:spacing w:line="360" w:lineRule="auto"/>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(Énfasis añadido) </w:t>
      </w:r>
    </w:p>
    <w:p w:rsidR="00285427" w:rsidRDefault="00285427">
      <w:pPr>
        <w:tabs>
          <w:tab w:val="left" w:pos="284"/>
        </w:tabs>
        <w:spacing w:line="360" w:lineRule="auto"/>
        <w:ind w:left="567" w:right="618"/>
        <w:jc w:val="both"/>
        <w:rPr>
          <w:rFonts w:ascii="Palatino Linotype" w:eastAsia="Palatino Linotype" w:hAnsi="Palatino Linotype" w:cs="Palatino Linotype"/>
          <w:i/>
          <w:sz w:val="22"/>
          <w:szCs w:val="22"/>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w:t>
      </w:r>
      <w:r>
        <w:rPr>
          <w:rFonts w:ascii="Palatino Linotype" w:eastAsia="Palatino Linotype" w:hAnsi="Palatino Linotype" w:cs="Palatino Linotype"/>
          <w:sz w:val="24"/>
          <w:szCs w:val="24"/>
        </w:rPr>
        <w:lastRenderedPageBreak/>
        <w:t>el contenido de cada solicitud para determinar, en caso de no entregar la información, que efectivamente se vulneraría cualquiera de los supuestos consagrados en la ley.</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sz w:val="24"/>
          <w:szCs w:val="24"/>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rsidR="00285427" w:rsidRDefault="00285427">
      <w:pPr>
        <w:tabs>
          <w:tab w:val="left" w:pos="284"/>
        </w:tabs>
        <w:spacing w:line="360" w:lineRule="auto"/>
        <w:ind w:right="49"/>
        <w:jc w:val="both"/>
        <w:rPr>
          <w:rFonts w:ascii="Palatino Linotype" w:eastAsia="Palatino Linotype" w:hAnsi="Palatino Linotype" w:cs="Palatino Linotype"/>
          <w:color w:val="000000"/>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rsidR="00285427" w:rsidRDefault="00285427">
      <w:pPr>
        <w:tabs>
          <w:tab w:val="left" w:pos="284"/>
        </w:tabs>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 xml:space="preserve">De tal manera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deberá dar atención a la solicitud de información, lo cual deberá realizar con arreglo al procedimiento establecido en la Ley que ha sido descrito en esta resolución y de manera fundada y motivada.</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rsidR="00285427" w:rsidRDefault="005B1F82">
      <w:pPr>
        <w:tabs>
          <w:tab w:val="left" w:pos="284"/>
        </w:tabs>
        <w:spacing w:line="360" w:lineRule="auto"/>
        <w:ind w:left="567" w:right="61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16.</w:t>
      </w:r>
      <w:r>
        <w:rPr>
          <w:rFonts w:ascii="Palatino Linotype" w:eastAsia="Palatino Linotype" w:hAnsi="Palatino Linotype" w:cs="Palatino Linotype"/>
          <w:i/>
          <w:color w:val="000000"/>
          <w:sz w:val="22"/>
          <w:szCs w:val="22"/>
        </w:rPr>
        <w:t xml:space="preserve"> Nadie puede ser molestado en su persona, familia, domicilio, papeles o posesiones, </w:t>
      </w:r>
      <w:r>
        <w:rPr>
          <w:rFonts w:ascii="Palatino Linotype" w:eastAsia="Palatino Linotype" w:hAnsi="Palatino Linotype" w:cs="Palatino Linotype"/>
          <w:b/>
          <w:i/>
          <w:color w:val="000000"/>
          <w:sz w:val="22"/>
          <w:szCs w:val="22"/>
        </w:rPr>
        <w:t>sino en virtud de mandamiento escrito de la autoridad competente, que funde y motive la causa legal del procedimiento</w:t>
      </w:r>
      <w:r>
        <w:rPr>
          <w:rFonts w:ascii="Palatino Linotype" w:eastAsia="Palatino Linotype" w:hAnsi="Palatino Linotype" w:cs="Palatino Linotype"/>
          <w:i/>
          <w:color w:val="000000"/>
          <w:sz w:val="22"/>
          <w:szCs w:val="22"/>
        </w:rPr>
        <w:t>.”</w:t>
      </w:r>
    </w:p>
    <w:p w:rsidR="00285427" w:rsidRDefault="005B1F82">
      <w:pPr>
        <w:tabs>
          <w:tab w:val="left" w:pos="284"/>
        </w:tabs>
        <w:spacing w:line="360" w:lineRule="auto"/>
        <w:ind w:left="567" w:right="61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(Énfasis añadido) </w:t>
      </w:r>
    </w:p>
    <w:p w:rsidR="00285427" w:rsidRDefault="00285427">
      <w:pPr>
        <w:shd w:val="clear" w:color="auto" w:fill="FFFFFF"/>
        <w:tabs>
          <w:tab w:val="left" w:pos="284"/>
        </w:tabs>
        <w:spacing w:line="360" w:lineRule="auto"/>
        <w:jc w:val="both"/>
        <w:rPr>
          <w:rFonts w:ascii="Palatino Linotype" w:eastAsia="Palatino Linotype" w:hAnsi="Palatino Linotype" w:cs="Palatino Linotype"/>
          <w:color w:val="222222"/>
          <w:sz w:val="24"/>
          <w:szCs w:val="24"/>
        </w:rPr>
      </w:pPr>
    </w:p>
    <w:p w:rsidR="00285427" w:rsidRDefault="005B1F82">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rsidR="00285427" w:rsidRDefault="00285427">
      <w:pPr>
        <w:tabs>
          <w:tab w:val="left" w:pos="284"/>
        </w:tabs>
        <w:spacing w:line="360" w:lineRule="auto"/>
        <w:jc w:val="both"/>
        <w:rPr>
          <w:rFonts w:ascii="Palatino Linotype" w:eastAsia="Palatino Linotype" w:hAnsi="Palatino Linotype" w:cs="Palatino Linotype"/>
          <w:color w:val="222222"/>
          <w:sz w:val="24"/>
          <w:szCs w:val="24"/>
        </w:rPr>
      </w:pPr>
    </w:p>
    <w:p w:rsidR="00285427" w:rsidRDefault="005B1F82">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t>Entonces, la fundamentación y motivación consiste en la obligación que tiene todo ente público de expresar los preceptos jurídicos aplicables al asunto motivo del acto y las razones o argumentos de su actuar.</w:t>
      </w:r>
    </w:p>
    <w:p w:rsidR="00285427" w:rsidRDefault="005B1F82">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lastRenderedPageBreak/>
        <w:t>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rsidR="00285427" w:rsidRDefault="00285427">
      <w:pPr>
        <w:tabs>
          <w:tab w:val="left" w:pos="284"/>
        </w:tabs>
        <w:spacing w:line="360" w:lineRule="auto"/>
        <w:jc w:val="both"/>
        <w:rPr>
          <w:rFonts w:ascii="Palatino Linotype" w:eastAsia="Palatino Linotype" w:hAnsi="Palatino Linotype" w:cs="Palatino Linotype"/>
          <w:color w:val="222222"/>
          <w:sz w:val="24"/>
          <w:szCs w:val="24"/>
        </w:rPr>
      </w:pPr>
    </w:p>
    <w:p w:rsidR="00285427" w:rsidRDefault="005B1F82">
      <w:pPr>
        <w:numPr>
          <w:ilvl w:val="0"/>
          <w:numId w:val="7"/>
        </w:numPr>
        <w:tabs>
          <w:tab w:val="left" w:pos="284"/>
        </w:tabs>
        <w:spacing w:line="360" w:lineRule="auto"/>
        <w:ind w:left="0" w:firstLine="0"/>
        <w:jc w:val="both"/>
        <w:rPr>
          <w:color w:val="222222"/>
        </w:rPr>
      </w:pPr>
      <w:r>
        <w:rPr>
          <w:rFonts w:ascii="Palatino Linotype" w:eastAsia="Palatino Linotype" w:hAnsi="Palatino Linotype" w:cs="Palatino Linotype"/>
          <w:color w:val="222222"/>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rsidR="00285427" w:rsidRDefault="00285427">
      <w:pPr>
        <w:tabs>
          <w:tab w:val="left" w:pos="284"/>
        </w:tabs>
        <w:rPr>
          <w:rFonts w:ascii="Palatino Linotype" w:eastAsia="Palatino Linotype" w:hAnsi="Palatino Linotype" w:cs="Palatino Linotype"/>
          <w:color w:val="222222"/>
          <w:sz w:val="24"/>
          <w:szCs w:val="24"/>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222222"/>
          <w:sz w:val="24"/>
          <w:szCs w:val="24"/>
        </w:rPr>
        <w:t xml:space="preserve">Es así que a través de la presente resolución, se hace del conocimiento del </w:t>
      </w:r>
      <w:r>
        <w:rPr>
          <w:rFonts w:ascii="Palatino Linotype" w:eastAsia="Palatino Linotype" w:hAnsi="Palatino Linotype" w:cs="Palatino Linotype"/>
          <w:b/>
          <w:color w:val="222222"/>
          <w:sz w:val="24"/>
          <w:szCs w:val="24"/>
        </w:rPr>
        <w:t>SUJETO OBLIGADO</w:t>
      </w:r>
      <w:r>
        <w:rPr>
          <w:rFonts w:ascii="Palatino Linotype" w:eastAsia="Palatino Linotype" w:hAnsi="Palatino Linotype" w:cs="Palatino Linotype"/>
          <w:color w:val="222222"/>
          <w:sz w:val="24"/>
          <w:szCs w:val="24"/>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rsidR="00285427" w:rsidRDefault="005B1F82">
      <w:pPr>
        <w:keepNext/>
        <w:keepLines/>
        <w:tabs>
          <w:tab w:val="left" w:pos="284"/>
        </w:tabs>
        <w:spacing w:before="240"/>
        <w:rPr>
          <w:rFonts w:ascii="Palatino Linotype" w:eastAsia="Palatino Linotype" w:hAnsi="Palatino Linotype" w:cs="Palatino Linotype"/>
          <w:sz w:val="24"/>
          <w:szCs w:val="24"/>
        </w:rPr>
      </w:pPr>
      <w:bookmarkStart w:id="11" w:name="_heading=h.3rdcrjn" w:colFirst="0" w:colLast="0"/>
      <w:bookmarkEnd w:id="11"/>
      <w:r>
        <w:rPr>
          <w:rFonts w:ascii="Palatino Linotype" w:eastAsia="Palatino Linotype" w:hAnsi="Palatino Linotype" w:cs="Palatino Linotype"/>
          <w:b/>
          <w:sz w:val="24"/>
          <w:szCs w:val="24"/>
        </w:rPr>
        <w:lastRenderedPageBreak/>
        <w:t>QUINTO. El cumplimiento a esta resolución es susceptible de ser impugnado.</w:t>
      </w: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La respuesta que den los sujetos obligados derivada </w:t>
      </w:r>
      <w:r>
        <w:rPr>
          <w:rFonts w:ascii="Palatino Linotype" w:eastAsia="Palatino Linotype" w:hAnsi="Palatino Linotype" w:cs="Palatino Linotype"/>
          <w:b/>
          <w:i/>
          <w:sz w:val="22"/>
          <w:szCs w:val="22"/>
          <w:u w:val="single"/>
        </w:rPr>
        <w:t>de la resolución</w:t>
      </w:r>
      <w:r>
        <w:rPr>
          <w:rFonts w:ascii="Palatino Linotype" w:eastAsia="Palatino Linotype" w:hAnsi="Palatino Linotype" w:cs="Palatino Linotype"/>
          <w:i/>
          <w:sz w:val="22"/>
          <w:szCs w:val="22"/>
        </w:rPr>
        <w:t xml:space="preserve"> a un recurso de revisión que proceda por las causales señaladas en las fracciones </w:t>
      </w:r>
      <w:r>
        <w:rPr>
          <w:rFonts w:ascii="Palatino Linotype" w:eastAsia="Palatino Linotype" w:hAnsi="Palatino Linotype" w:cs="Palatino Linotype"/>
          <w:i/>
          <w:sz w:val="22"/>
          <w:szCs w:val="22"/>
          <w:u w:val="single"/>
        </w:rPr>
        <w:t xml:space="preserve">IV, VII, IX, X, XI y XII </w:t>
      </w:r>
      <w:r>
        <w:rPr>
          <w:rFonts w:ascii="Palatino Linotype" w:eastAsia="Palatino Linotype" w:hAnsi="Palatino Linotype" w:cs="Palatino Linotype"/>
          <w:i/>
          <w:sz w:val="22"/>
          <w:szCs w:val="22"/>
        </w:rPr>
        <w:t xml:space="preserve">es </w:t>
      </w:r>
      <w:r>
        <w:rPr>
          <w:rFonts w:ascii="Palatino Linotype" w:eastAsia="Palatino Linotype" w:hAnsi="Palatino Linotype" w:cs="Palatino Linotype"/>
          <w:i/>
          <w:sz w:val="22"/>
          <w:szCs w:val="22"/>
          <w:u w:val="single"/>
        </w:rPr>
        <w:t>susceptible de ser impugnada</w:t>
      </w:r>
      <w:r>
        <w:rPr>
          <w:rFonts w:ascii="Palatino Linotype" w:eastAsia="Palatino Linotype" w:hAnsi="Palatino Linotype" w:cs="Palatino Linotype"/>
          <w:i/>
          <w:sz w:val="22"/>
          <w:szCs w:val="22"/>
        </w:rPr>
        <w:t xml:space="preserve"> de nueva cuenta, mediante recurso de revisión, ante el Instituto. </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 Es así que en este asunto en el que se está ante la presencia de una falta de respuesta  y una falta de trámite a  la solicitud de información por parte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se encuadra en los supuestos que contempla el artículo 179 en sus fracciones VII y XI, mismas que señalan lo siguiente:</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179. El recurso de revisión es un medio de protección que la Ley otorga a los particulares, para hacer valer su derecho de acceso a la información pública, y procederá en contra de las siguientes causas:</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 La falta de respuesta a una solicitud de acceso a la información;</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5B1F82">
      <w:pPr>
        <w:tabs>
          <w:tab w:val="left" w:pos="284"/>
        </w:tabs>
        <w:spacing w:line="360"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XI. La falta de trámite a una solicitud;</w:t>
      </w:r>
    </w:p>
    <w:p w:rsidR="00285427" w:rsidRDefault="005B1F82">
      <w:pPr>
        <w:tabs>
          <w:tab w:val="left" w:pos="284"/>
        </w:tabs>
        <w:spacing w:line="360"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lastRenderedPageBreak/>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numPr>
          <w:ilvl w:val="0"/>
          <w:numId w:val="7"/>
        </w:numPr>
        <w:tabs>
          <w:tab w:val="left" w:pos="284"/>
        </w:tabs>
        <w:spacing w:line="360" w:lineRule="auto"/>
        <w:ind w:left="0" w:firstLine="0"/>
        <w:jc w:val="both"/>
      </w:pPr>
      <w:r>
        <w:rPr>
          <w:rFonts w:ascii="Palatino Linotype" w:eastAsia="Palatino Linotype" w:hAnsi="Palatino Linotype" w:cs="Palatino Linotype"/>
          <w:sz w:val="24"/>
          <w:szCs w:val="24"/>
        </w:rPr>
        <w:t xml:space="preserve">El último párrafo del artículo 179 de la ley de la materia, se configura entonces en aquellos casos en donde los </w:t>
      </w:r>
      <w:r>
        <w:rPr>
          <w:rFonts w:ascii="Palatino Linotype" w:eastAsia="Palatino Linotype" w:hAnsi="Palatino Linotype" w:cs="Palatino Linotype"/>
          <w:b/>
          <w:sz w:val="24"/>
          <w:szCs w:val="24"/>
          <w:u w:val="single"/>
        </w:rPr>
        <w:t>sujetos obligados emiten respuesta derivada de una resolución a un recurso de revisión que proceda por la causal prevista en las fracciones VII y  XI de la Ley en cita como es este el caso</w:t>
      </w:r>
      <w:r>
        <w:rPr>
          <w:rFonts w:ascii="Palatino Linotype" w:eastAsia="Palatino Linotype" w:hAnsi="Palatino Linotype" w:cs="Palatino Linotype"/>
          <w:sz w:val="24"/>
          <w:szCs w:val="24"/>
        </w:rPr>
        <w:t xml:space="preserve">, dicha respuesta es susceptible de ser impugnada de nueva cuenta, mediante recurso de revisión ante el Instituto. Esto es, que el acto que genere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Pr>
          <w:rFonts w:ascii="Palatino Linotype" w:eastAsia="Palatino Linotype" w:hAnsi="Palatino Linotype" w:cs="Palatino Linotype"/>
          <w:b/>
          <w:sz w:val="24"/>
          <w:szCs w:val="24"/>
        </w:rPr>
        <w:t>queda al alcance de la persona la interposición de un nuevo recurso de revisión</w:t>
      </w:r>
      <w:r>
        <w:rPr>
          <w:rFonts w:ascii="Palatino Linotype" w:eastAsia="Palatino Linotype" w:hAnsi="Palatino Linotype" w:cs="Palatino Linotype"/>
          <w:sz w:val="24"/>
          <w:szCs w:val="24"/>
        </w:rPr>
        <w:t xml:space="preserve"> que independiente del que se resuelve en este instrumento, versará sobre la revisión de la respuesta que le sea entregada. Lo cual </w:t>
      </w:r>
      <w:r>
        <w:rPr>
          <w:rFonts w:ascii="Palatino Linotype" w:eastAsia="Palatino Linotype" w:hAnsi="Palatino Linotype" w:cs="Palatino Linotype"/>
          <w:sz w:val="24"/>
          <w:szCs w:val="24"/>
        </w:rPr>
        <w:lastRenderedPageBreak/>
        <w:t>proporciona al particular una herramienta para defender su Derecho de Acceso a la Información ante un posible cumplimiento defectuoso de la presente.</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keepNext/>
        <w:keepLines/>
        <w:tabs>
          <w:tab w:val="left" w:pos="284"/>
        </w:tabs>
        <w:rPr>
          <w:rFonts w:ascii="Palatino Linotype" w:eastAsia="Palatino Linotype" w:hAnsi="Palatino Linotype" w:cs="Palatino Linotype"/>
          <w:b/>
          <w:sz w:val="24"/>
          <w:szCs w:val="24"/>
        </w:rPr>
      </w:pPr>
      <w:bookmarkStart w:id="12" w:name="_heading=h.26in1rg" w:colFirst="0" w:colLast="0"/>
      <w:bookmarkEnd w:id="12"/>
      <w:r>
        <w:rPr>
          <w:rFonts w:ascii="Palatino Linotype" w:eastAsia="Palatino Linotype" w:hAnsi="Palatino Linotype" w:cs="Palatino Linotype"/>
          <w:b/>
          <w:sz w:val="24"/>
          <w:szCs w:val="24"/>
        </w:rPr>
        <w:t>SEXTO. Vista a los órganos de control interno.</w:t>
      </w:r>
    </w:p>
    <w:p w:rsidR="00285427" w:rsidRDefault="005B1F82">
      <w:pPr>
        <w:numPr>
          <w:ilvl w:val="0"/>
          <w:numId w:val="7"/>
        </w:numPr>
        <w:tabs>
          <w:tab w:val="left" w:pos="284"/>
        </w:tabs>
        <w:spacing w:line="360" w:lineRule="auto"/>
        <w:ind w:left="0" w:firstLine="0"/>
        <w:jc w:val="both"/>
      </w:pPr>
      <w:bookmarkStart w:id="13" w:name="_heading=h.lnxbz9" w:colFirst="0" w:colLast="0"/>
      <w:bookmarkEnd w:id="13"/>
      <w:r>
        <w:rPr>
          <w:rFonts w:ascii="Palatino Linotype" w:eastAsia="Palatino Linotype" w:hAnsi="Palatino Linotype" w:cs="Palatino Linotype"/>
          <w:color w:val="000000"/>
          <w:sz w:val="24"/>
          <w:szCs w:val="24"/>
        </w:rPr>
        <w:t>La Ley de Transparencia y Acceso a la Información Pública del Estado de México y Municipios en los artículos 222 fracción I y II, 162 y 59 fracción I y II establecen lo siguiente:</w:t>
      </w: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222. Son causas de responsabilidad administrativa de los servidores públicos de los sujetos obligados, por incumplimiento de las obligaciones establecidas en la materia de la presente Ley, las siguientes:</w:t>
      </w: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Cualquier acto u omisión que provoque la suspensión o deficiencia en la atención de las solicitudes de información; </w:t>
      </w: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La falta de respuesta a las solicitudes de información en los plazos señalados en la normatividad aplicable;</w:t>
      </w: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 XXI. …</w:t>
      </w: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285427" w:rsidRDefault="00285427">
      <w:pPr>
        <w:spacing w:line="360" w:lineRule="auto"/>
        <w:ind w:left="567" w:right="616"/>
        <w:jc w:val="both"/>
        <w:rPr>
          <w:rFonts w:ascii="Palatino Linotype" w:eastAsia="Palatino Linotype" w:hAnsi="Palatino Linotype" w:cs="Palatino Linotype"/>
          <w:i/>
          <w:color w:val="000000"/>
          <w:sz w:val="22"/>
          <w:szCs w:val="22"/>
        </w:rPr>
      </w:pP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59. Los servidores públicos habilitados tendrán las funciones siguientes:</w:t>
      </w:r>
    </w:p>
    <w:p w:rsidR="00285427" w:rsidRDefault="00285427">
      <w:pPr>
        <w:spacing w:line="360" w:lineRule="auto"/>
        <w:ind w:left="567" w:right="616"/>
        <w:jc w:val="both"/>
        <w:rPr>
          <w:rFonts w:ascii="Palatino Linotype" w:eastAsia="Palatino Linotype" w:hAnsi="Palatino Linotype" w:cs="Palatino Linotype"/>
          <w:i/>
          <w:color w:val="000000"/>
          <w:sz w:val="22"/>
          <w:szCs w:val="22"/>
        </w:rPr>
      </w:pP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Localizar la información que le solicite la Unidad de Transparencia; </w:t>
      </w: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 VII. …”</w:t>
      </w:r>
    </w:p>
    <w:p w:rsidR="00285427" w:rsidRDefault="005B1F82">
      <w:pPr>
        <w:spacing w:line="360" w:lineRule="auto"/>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rsidR="00285427" w:rsidRDefault="00285427">
      <w:pPr>
        <w:ind w:left="1418" w:right="51"/>
        <w:jc w:val="both"/>
        <w:rPr>
          <w:rFonts w:ascii="Palatino Linotype" w:eastAsia="Palatino Linotype" w:hAnsi="Palatino Linotype" w:cs="Palatino Linotype"/>
          <w:color w:val="000000"/>
          <w:sz w:val="24"/>
          <w:szCs w:val="24"/>
        </w:rPr>
      </w:pPr>
    </w:p>
    <w:p w:rsidR="00285427" w:rsidRDefault="005B1F82">
      <w:pPr>
        <w:numPr>
          <w:ilvl w:val="0"/>
          <w:numId w:val="7"/>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La omisión a las obligaciones, tanto del Titular de la Unidad de Transparencia como de los servidores públicos habilitados puede causar la suspensión, deficiencia o </w:t>
      </w:r>
      <w:r>
        <w:rPr>
          <w:rFonts w:ascii="Palatino Linotype" w:eastAsia="Palatino Linotype" w:hAnsi="Palatino Linotype" w:cs="Palatino Linotype"/>
          <w:b/>
          <w:color w:val="000000"/>
          <w:sz w:val="24"/>
          <w:szCs w:val="24"/>
        </w:rPr>
        <w:t>la falta de respuesta a las solicitudes de acceso a la información</w:t>
      </w:r>
      <w:r>
        <w:rPr>
          <w:rFonts w:ascii="Palatino Linotype" w:eastAsia="Palatino Linotype" w:hAnsi="Palatino Linotype" w:cs="Palatino Linotype"/>
          <w:color w:val="000000"/>
          <w:sz w:val="24"/>
          <w:szCs w:val="24"/>
        </w:rPr>
        <w:t xml:space="preserve"> que formulen los particulares, siendo esto una causa de responsabilidad.</w:t>
      </w:r>
    </w:p>
    <w:p w:rsidR="00285427" w:rsidRDefault="0028542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4"/>
          <w:szCs w:val="24"/>
        </w:rPr>
      </w:pPr>
    </w:p>
    <w:p w:rsidR="00285427" w:rsidRDefault="005B1F82">
      <w:pPr>
        <w:numPr>
          <w:ilvl w:val="0"/>
          <w:numId w:val="7"/>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En el presente asunto en particular, se tiene que el Titular de la Unidad de Transparencia no </w:t>
      </w:r>
      <w:r>
        <w:rPr>
          <w:rFonts w:ascii="Palatino Linotype" w:eastAsia="Palatino Linotype" w:hAnsi="Palatino Linotype" w:cs="Palatino Linotype"/>
          <w:sz w:val="24"/>
          <w:szCs w:val="24"/>
        </w:rPr>
        <w:t>turnar</w:t>
      </w:r>
      <w:r>
        <w:rPr>
          <w:rFonts w:ascii="Palatino Linotype" w:eastAsia="Palatino Linotype" w:hAnsi="Palatino Linotype" w:cs="Palatino Linotype"/>
          <w:color w:val="000000"/>
          <w:sz w:val="24"/>
          <w:szCs w:val="24"/>
        </w:rPr>
        <w:t xml:space="preserve"> la solicitud al Servidor Público Habilitado.</w:t>
      </w:r>
    </w:p>
    <w:p w:rsidR="00285427" w:rsidRDefault="00285427">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285427" w:rsidRDefault="005B1F82">
      <w:pPr>
        <w:numPr>
          <w:ilvl w:val="0"/>
          <w:numId w:val="7"/>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Se tiene que el Titular de la Unidad de Transparencia incumplió con sus funciones, atribuciones y competencias, al no dar trámite a la solicitud, lo cual tuvo como consecuencia la falta de respuesta a ambas solicitudes.</w:t>
      </w:r>
    </w:p>
    <w:p w:rsidR="00285427" w:rsidRDefault="00285427">
      <w:pPr>
        <w:pBdr>
          <w:top w:val="nil"/>
          <w:left w:val="nil"/>
          <w:bottom w:val="nil"/>
          <w:right w:val="nil"/>
          <w:between w:val="nil"/>
        </w:pBdr>
        <w:ind w:left="720"/>
        <w:rPr>
          <w:rFonts w:ascii="Palatino Linotype" w:eastAsia="Palatino Linotype" w:hAnsi="Palatino Linotype" w:cs="Palatino Linotype"/>
          <w:color w:val="000000"/>
          <w:sz w:val="24"/>
          <w:szCs w:val="24"/>
        </w:rPr>
      </w:pPr>
    </w:p>
    <w:p w:rsidR="00285427" w:rsidRDefault="005B1F82">
      <w:pPr>
        <w:numPr>
          <w:ilvl w:val="0"/>
          <w:numId w:val="7"/>
        </w:numPr>
        <w:pBdr>
          <w:top w:val="nil"/>
          <w:left w:val="nil"/>
          <w:bottom w:val="nil"/>
          <w:right w:val="nil"/>
          <w:between w:val="nil"/>
        </w:pBdr>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Entonces, la falta de respuesta a las solicitudes de acceso a la información pública por parte del Sujeto Obligado actualiza una causa de responsabilidad, por lo que, de acuerdo a los artículos 190 y 36 fracción X, de la Ley de </w:t>
      </w:r>
      <w:r>
        <w:rPr>
          <w:rFonts w:ascii="Palatino Linotype" w:eastAsia="Palatino Linotype" w:hAnsi="Palatino Linotype" w:cs="Palatino Linotype"/>
          <w:sz w:val="24"/>
          <w:szCs w:val="24"/>
        </w:rPr>
        <w:t>Transparencia</w:t>
      </w:r>
      <w:r>
        <w:rPr>
          <w:rFonts w:ascii="Palatino Linotype" w:eastAsia="Palatino Linotype" w:hAnsi="Palatino Linotype" w:cs="Palatino Linotype"/>
          <w:color w:val="000000"/>
          <w:sz w:val="24"/>
          <w:szCs w:val="24"/>
        </w:rPr>
        <w:t xml:space="preserve"> y Acceso a la Información Pública del Estado de México y Municipios, la Secretaría Técnica del Pleno hará del conocimiento del órgano interno de control competente, para que inicie, en su caso, el procedimiento de responsabilidad respectivo.</w:t>
      </w:r>
    </w:p>
    <w:p w:rsidR="00285427" w:rsidRDefault="005B1F82">
      <w:pPr>
        <w:pStyle w:val="Ttulo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SÉPTIMO. De la versión pública.</w:t>
      </w:r>
    </w:p>
    <w:p w:rsidR="00285427" w:rsidRDefault="00285427">
      <w:pPr>
        <w:rPr>
          <w:sz w:val="24"/>
          <w:szCs w:val="24"/>
        </w:rPr>
      </w:pPr>
    </w:p>
    <w:p w:rsidR="00285427" w:rsidRDefault="005B1F82">
      <w:pPr>
        <w:pStyle w:val="Ttulo1"/>
        <w:numPr>
          <w:ilvl w:val="0"/>
          <w:numId w:val="6"/>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4" w:name="_heading=h.35nkun2" w:colFirst="0" w:colLast="0"/>
      <w:bookmarkEnd w:id="14"/>
      <w:r>
        <w:rPr>
          <w:rFonts w:ascii="Palatino Linotype" w:eastAsia="Palatino Linotype" w:hAnsi="Palatino Linotype" w:cs="Palatino Linotype"/>
          <w:b/>
          <w:color w:val="000000"/>
          <w:sz w:val="24"/>
          <w:szCs w:val="24"/>
        </w:rPr>
        <w:t xml:space="preserve">Nociones generales. </w:t>
      </w:r>
    </w:p>
    <w:p w:rsidR="00285427" w:rsidRDefault="005B1F82">
      <w:pPr>
        <w:numPr>
          <w:ilvl w:val="0"/>
          <w:numId w:val="7"/>
        </w:numPr>
        <w:pBdr>
          <w:top w:val="nil"/>
          <w:left w:val="nil"/>
          <w:bottom w:val="nil"/>
          <w:right w:val="nil"/>
          <w:between w:val="nil"/>
        </w:pBd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Debe destacarse que, debido a la naturaleza de la información solicitada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rsidR="00285427" w:rsidRDefault="00285427">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highlight w:val="yellow"/>
        </w:rPr>
      </w:pPr>
    </w:p>
    <w:p w:rsidR="00285427" w:rsidRDefault="005B1F82">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sz w:val="24"/>
          <w:szCs w:val="24"/>
        </w:rPr>
        <w:t xml:space="preserve">No pasa desapercibido para este Órgano Garante que los </w:t>
      </w:r>
      <w:r>
        <w:rPr>
          <w:rFonts w:ascii="Palatino Linotype" w:eastAsia="Palatino Linotype" w:hAnsi="Palatino Linotype" w:cs="Palatino Linotype"/>
          <w:b/>
          <w:color w:val="000000"/>
          <w:sz w:val="24"/>
          <w:szCs w:val="24"/>
        </w:rPr>
        <w:t xml:space="preserve">Sujetos Obligados </w:t>
      </w:r>
      <w:r>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882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285427" w:rsidTr="00F50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285427" w:rsidRDefault="005B1F82">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990" w:type="dxa"/>
          </w:tcPr>
          <w:p w:rsidR="00285427" w:rsidRDefault="005B1F82">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85427" w:rsidRDefault="005B1F82">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Al hacerlo tienen que precisar de qué información se trata, señalando el supuesto de clasificación (confidencialidad o reserva).</w:t>
            </w:r>
          </w:p>
          <w:p w:rsidR="00285427" w:rsidRDefault="005B1F82">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Además, se debe señalar el procedimiento, de los tres que establecen los artículos 132 y 106 de la Ley Estatal y General, respectivamente.</w:t>
            </w:r>
          </w:p>
          <w:p w:rsidR="00285427" w:rsidRDefault="005B1F82">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u w:val="single"/>
              </w:rPr>
              <w:t xml:space="preserve">no se puede hacer un </w:t>
            </w:r>
            <w:r>
              <w:rPr>
                <w:rFonts w:ascii="Palatino Linotype" w:eastAsia="Palatino Linotype" w:hAnsi="Palatino Linotype" w:cs="Palatino Linotype"/>
                <w:b w:val="0"/>
                <w:sz w:val="20"/>
                <w:szCs w:val="20"/>
                <w:u w:val="single"/>
              </w:rPr>
              <w:lastRenderedPageBreak/>
              <w:t>acuerdo para clasificar de manera general todos los documentos de un expediente o área, sin</w:t>
            </w:r>
            <w:r>
              <w:rPr>
                <w:rFonts w:ascii="Palatino Linotype" w:eastAsia="Palatino Linotype" w:hAnsi="Palatino Linotype" w:cs="Palatino Linotype"/>
                <w:b w:val="0"/>
                <w:sz w:val="20"/>
                <w:szCs w:val="20"/>
              </w:rPr>
              <w:t xml:space="preserve"> individualizar su análisis y tampoco se puede hacer un acuerdo por cada dato que se vaya a clasificar dentro de un documento con diez datos, por ejemplo, susceptibles de ser clasificados.</w:t>
            </w:r>
          </w:p>
        </w:tc>
      </w:tr>
      <w:tr w:rsidR="00285427" w:rsidTr="00F50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285427" w:rsidRDefault="005B1F82">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990" w:type="dxa"/>
          </w:tcPr>
          <w:p w:rsidR="00285427" w:rsidRDefault="005B1F8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rsidR="00285427" w:rsidRDefault="005B1F8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85427" w:rsidRDefault="005B1F82">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85427" w:rsidTr="00F50A3C">
        <w:tc>
          <w:tcPr>
            <w:cnfStyle w:val="001000000000" w:firstRow="0" w:lastRow="0" w:firstColumn="1" w:lastColumn="0" w:oddVBand="0" w:evenVBand="0" w:oddHBand="0" w:evenHBand="0" w:firstRowFirstColumn="0" w:firstRowLastColumn="0" w:lastRowFirstColumn="0" w:lastRowLastColumn="0"/>
            <w:tcW w:w="1838" w:type="dxa"/>
          </w:tcPr>
          <w:p w:rsidR="00285427" w:rsidRDefault="005B1F82">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6990" w:type="dxa"/>
          </w:tcPr>
          <w:p w:rsidR="00285427" w:rsidRDefault="005B1F8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rsidR="00285427" w:rsidRDefault="005B1F8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rsidR="00285427" w:rsidRDefault="005B1F82">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 decisión de aprobar, modificar o revocar la clasificación deberá de asentarse en un documento que registre la determinación a la que se llegue </w:t>
            </w:r>
            <w:r>
              <w:rPr>
                <w:rFonts w:ascii="Palatino Linotype" w:eastAsia="Palatino Linotype" w:hAnsi="Palatino Linotype" w:cs="Palatino Linotype"/>
                <w:sz w:val="20"/>
                <w:szCs w:val="20"/>
              </w:rPr>
              <w:lastRenderedPageBreak/>
              <w:t>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85427" w:rsidTr="00F50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285427" w:rsidRDefault="00285427">
            <w:pPr>
              <w:tabs>
                <w:tab w:val="left" w:pos="284"/>
              </w:tabs>
              <w:spacing w:line="360" w:lineRule="auto"/>
              <w:rPr>
                <w:rFonts w:ascii="Palatino Linotype" w:eastAsia="Palatino Linotype" w:hAnsi="Palatino Linotype" w:cs="Palatino Linotype"/>
                <w:sz w:val="20"/>
                <w:szCs w:val="20"/>
              </w:rPr>
            </w:pPr>
          </w:p>
          <w:p w:rsidR="00285427" w:rsidRDefault="005B1F82">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6990" w:type="dxa"/>
          </w:tcPr>
          <w:p w:rsidR="00285427" w:rsidRDefault="005B1F8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rsidR="00285427" w:rsidRDefault="005B1F8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85427" w:rsidRDefault="005B1F8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85427" w:rsidRDefault="005B1F8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rsidR="00285427" w:rsidRDefault="005B1F82">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85427" w:rsidTr="00F50A3C">
        <w:tc>
          <w:tcPr>
            <w:cnfStyle w:val="001000000000" w:firstRow="0" w:lastRow="0" w:firstColumn="1" w:lastColumn="0" w:oddVBand="0" w:evenVBand="0" w:oddHBand="0" w:evenHBand="0" w:firstRowFirstColumn="0" w:firstRowLastColumn="0" w:lastRowFirstColumn="0" w:lastRowLastColumn="0"/>
            <w:tcW w:w="1838" w:type="dxa"/>
          </w:tcPr>
          <w:p w:rsidR="00285427" w:rsidRDefault="005B1F82">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e</w:t>
            </w:r>
            <w:r>
              <w:rPr>
                <w:rFonts w:ascii="Palatino Linotype" w:eastAsia="Palatino Linotype" w:hAnsi="Palatino Linotype" w:cs="Palatino Linotype"/>
                <w:sz w:val="20"/>
                <w:szCs w:val="20"/>
              </w:rPr>
              <w:t xml:space="preserve">) Condiciones especiales de la clasificación de la información como confidencial. </w:t>
            </w:r>
          </w:p>
        </w:tc>
        <w:tc>
          <w:tcPr>
            <w:tcW w:w="6990" w:type="dxa"/>
          </w:tcPr>
          <w:p w:rsidR="00285427" w:rsidRDefault="005B1F8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rsidR="00285427" w:rsidRDefault="005B1F82">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85427" w:rsidRDefault="005B1F82">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85427" w:rsidRDefault="00285427">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rsidR="0096725C" w:rsidRDefault="0096725C">
      <w:pPr>
        <w:pBdr>
          <w:top w:val="nil"/>
          <w:left w:val="nil"/>
          <w:bottom w:val="nil"/>
          <w:right w:val="nil"/>
          <w:between w:val="nil"/>
        </w:pBdr>
        <w:tabs>
          <w:tab w:val="left" w:pos="284"/>
        </w:tabs>
        <w:rPr>
          <w:rFonts w:ascii="Palatino Linotype" w:eastAsia="Palatino Linotype" w:hAnsi="Palatino Linotype" w:cs="Palatino Linotype"/>
          <w:color w:val="000000"/>
          <w:sz w:val="24"/>
          <w:szCs w:val="24"/>
        </w:rPr>
      </w:pPr>
    </w:p>
    <w:p w:rsidR="00285427" w:rsidRPr="0096725C" w:rsidRDefault="005B1F82">
      <w:pPr>
        <w:numPr>
          <w:ilvl w:val="0"/>
          <w:numId w:val="7"/>
        </w:numPr>
        <w:pBdr>
          <w:top w:val="nil"/>
          <w:left w:val="nil"/>
          <w:bottom w:val="nil"/>
          <w:right w:val="nil"/>
          <w:between w:val="nil"/>
        </w:pBdr>
        <w:tabs>
          <w:tab w:val="left" w:pos="284"/>
        </w:tabs>
        <w:spacing w:line="360" w:lineRule="auto"/>
        <w:ind w:left="0" w:firstLine="0"/>
        <w:jc w:val="both"/>
        <w:rPr>
          <w:color w:val="000000"/>
        </w:rPr>
      </w:pPr>
      <w:r>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6725C" w:rsidRDefault="0096725C" w:rsidP="0096725C">
      <w:pPr>
        <w:pBdr>
          <w:top w:val="nil"/>
          <w:left w:val="nil"/>
          <w:bottom w:val="nil"/>
          <w:right w:val="nil"/>
          <w:between w:val="nil"/>
        </w:pBdr>
        <w:tabs>
          <w:tab w:val="left" w:pos="284"/>
        </w:tabs>
        <w:spacing w:line="360" w:lineRule="auto"/>
        <w:jc w:val="both"/>
        <w:rPr>
          <w:color w:val="000000"/>
        </w:rPr>
      </w:pPr>
    </w:p>
    <w:p w:rsidR="00285427" w:rsidRDefault="005B1F82">
      <w:pPr>
        <w:numPr>
          <w:ilvl w:val="0"/>
          <w:numId w:val="7"/>
        </w:numPr>
        <w:pBdr>
          <w:top w:val="nil"/>
          <w:left w:val="nil"/>
          <w:bottom w:val="nil"/>
          <w:right w:val="nil"/>
          <w:between w:val="nil"/>
        </w:pBdr>
        <w:tabs>
          <w:tab w:val="left" w:pos="567"/>
        </w:tabs>
        <w:spacing w:line="360" w:lineRule="auto"/>
        <w:ind w:left="0" w:firstLine="0"/>
        <w:jc w:val="both"/>
        <w:rPr>
          <w:color w:val="000000"/>
        </w:rPr>
      </w:pPr>
      <w:r>
        <w:rPr>
          <w:rFonts w:ascii="Palatino Linotype" w:eastAsia="Palatino Linotype" w:hAnsi="Palatino Linotype" w:cs="Palatino Linotype"/>
          <w:color w:val="222222"/>
          <w:sz w:val="24"/>
          <w:szCs w:val="24"/>
        </w:rPr>
        <w:lastRenderedPageBreak/>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rsidR="00285427" w:rsidRDefault="005B1F82">
      <w:pPr>
        <w:pStyle w:val="Ttulo1"/>
        <w:jc w:val="center"/>
        <w:rPr>
          <w:rFonts w:ascii="Palatino Linotype" w:eastAsia="Palatino Linotype" w:hAnsi="Palatino Linotype" w:cs="Palatino Linotype"/>
          <w:b/>
          <w:color w:val="000000"/>
          <w:sz w:val="24"/>
          <w:szCs w:val="24"/>
        </w:rPr>
      </w:pPr>
      <w:bookmarkStart w:id="15" w:name="_heading=h.1ksv4uv" w:colFirst="0" w:colLast="0"/>
      <w:bookmarkEnd w:id="15"/>
      <w:r>
        <w:rPr>
          <w:rFonts w:ascii="Palatino Linotype" w:eastAsia="Palatino Linotype" w:hAnsi="Palatino Linotype" w:cs="Palatino Linotype"/>
          <w:b/>
          <w:color w:val="000000"/>
          <w:sz w:val="24"/>
          <w:szCs w:val="24"/>
        </w:rPr>
        <w:t>R E S O L U T I V O S</w:t>
      </w:r>
    </w:p>
    <w:p w:rsidR="00285427" w:rsidRDefault="00285427">
      <w:pPr>
        <w:keepNext/>
        <w:keepLines/>
        <w:spacing w:line="360" w:lineRule="auto"/>
        <w:jc w:val="center"/>
        <w:rPr>
          <w:rFonts w:ascii="Palatino Linotype" w:eastAsia="Palatino Linotype" w:hAnsi="Palatino Linotype" w:cs="Palatino Linotype"/>
          <w:b/>
          <w:sz w:val="24"/>
          <w:szCs w:val="24"/>
        </w:rPr>
      </w:pPr>
    </w:p>
    <w:p w:rsidR="00285427" w:rsidRDefault="005B1F82">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los recursos de revisión </w:t>
      </w:r>
      <w:r>
        <w:rPr>
          <w:rFonts w:ascii="Palatino Linotype" w:eastAsia="Palatino Linotype" w:hAnsi="Palatino Linotype" w:cs="Palatino Linotype"/>
          <w:b/>
          <w:sz w:val="24"/>
          <w:szCs w:val="24"/>
        </w:rPr>
        <w:t xml:space="preserve">04423/INFOEM/IP/RR/2024, 04424/INFOEM/IP/RR/2024, 04425/INFOEM/IP/RR/2024 </w:t>
      </w:r>
      <w:r>
        <w:rPr>
          <w:rFonts w:ascii="Palatino Linotype" w:eastAsia="Palatino Linotype" w:hAnsi="Palatino Linotype" w:cs="Palatino Linotype"/>
          <w:sz w:val="24"/>
          <w:szCs w:val="24"/>
        </w:rPr>
        <w:t>y,</w:t>
      </w:r>
      <w:r>
        <w:rPr>
          <w:rFonts w:ascii="Palatino Linotype" w:eastAsia="Palatino Linotype" w:hAnsi="Palatino Linotype" w:cs="Palatino Linotype"/>
          <w:b/>
          <w:sz w:val="24"/>
          <w:szCs w:val="24"/>
        </w:rPr>
        <w:t xml:space="preserve"> 04426/INFOEM/IP/RR/2024 </w:t>
      </w:r>
      <w:r>
        <w:rPr>
          <w:rFonts w:ascii="Palatino Linotype" w:eastAsia="Palatino Linotype" w:hAnsi="Palatino Linotype" w:cs="Palatino Linotype"/>
          <w:sz w:val="24"/>
          <w:szCs w:val="24"/>
        </w:rPr>
        <w:t xml:space="preserve">en términos del </w:t>
      </w:r>
      <w:r>
        <w:rPr>
          <w:rFonts w:ascii="Palatino Linotype" w:eastAsia="Palatino Linotype" w:hAnsi="Palatino Linotype" w:cs="Palatino Linotype"/>
          <w:b/>
          <w:sz w:val="24"/>
          <w:szCs w:val="24"/>
        </w:rPr>
        <w:t xml:space="preserve">Considerando CUARTO y SÉPTIMO </w:t>
      </w:r>
      <w:r>
        <w:rPr>
          <w:rFonts w:ascii="Palatino Linotype" w:eastAsia="Palatino Linotype" w:hAnsi="Palatino Linotype" w:cs="Palatino Linotype"/>
          <w:sz w:val="24"/>
          <w:szCs w:val="24"/>
        </w:rPr>
        <w:t xml:space="preserve">de la presente resolución. </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SEGUNDO.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 xml:space="preserve">ORDENA </w:t>
      </w:r>
      <w:r>
        <w:rPr>
          <w:rFonts w:ascii="Palatino Linotype" w:eastAsia="Palatino Linotype" w:hAnsi="Palatino Linotype" w:cs="Palatino Linotype"/>
          <w:sz w:val="24"/>
          <w:szCs w:val="24"/>
        </w:rPr>
        <w:t xml:space="preserve">al </w:t>
      </w:r>
      <w:r>
        <w:rPr>
          <w:rFonts w:ascii="Palatino Linotype" w:eastAsia="Palatino Linotype" w:hAnsi="Palatino Linotype" w:cs="Palatino Linotype"/>
          <w:b/>
          <w:sz w:val="24"/>
          <w:szCs w:val="24"/>
        </w:rPr>
        <w:t xml:space="preserve">Ayuntamiento de San Felipe del Progreso </w:t>
      </w:r>
      <w:r>
        <w:rPr>
          <w:rFonts w:ascii="Palatino Linotype" w:eastAsia="Palatino Linotype" w:hAnsi="Palatino Linotype" w:cs="Palatino Linotype"/>
          <w:sz w:val="24"/>
          <w:szCs w:val="24"/>
        </w:rPr>
        <w:t xml:space="preserve">dar atención a las solicitudes de información </w:t>
      </w:r>
      <w:r>
        <w:rPr>
          <w:rFonts w:ascii="Palatino Linotype" w:eastAsia="Palatino Linotype" w:hAnsi="Palatino Linotype" w:cs="Palatino Linotype"/>
          <w:b/>
          <w:sz w:val="24"/>
          <w:szCs w:val="24"/>
        </w:rPr>
        <w:t xml:space="preserve">00088/FELIPRO/IP/2024, 00089/FELIPRO/IP/2024, 00090/FELIPRO/IP/2024 y 00091/FELIPRO/IP/2024  </w:t>
      </w:r>
      <w:r>
        <w:rPr>
          <w:rFonts w:ascii="Palatino Linotype" w:eastAsia="Palatino Linotype" w:hAnsi="Palatino Linotype" w:cs="Palatino Linotype"/>
          <w:sz w:val="24"/>
          <w:szCs w:val="24"/>
        </w:rPr>
        <w:t>y, en su caso, entregar la información en la modalidad Sistema de Acceso a Información Mexiquense (</w:t>
      </w:r>
      <w:r>
        <w:rPr>
          <w:rFonts w:ascii="Palatino Linotype" w:eastAsia="Palatino Linotype" w:hAnsi="Palatino Linotype" w:cs="Palatino Linotype"/>
          <w:b/>
          <w:sz w:val="24"/>
          <w:szCs w:val="24"/>
        </w:rPr>
        <w:t>SAIMEX).</w:t>
      </w:r>
    </w:p>
    <w:p w:rsidR="00285427" w:rsidRDefault="00285427">
      <w:pPr>
        <w:tabs>
          <w:tab w:val="left" w:pos="284"/>
        </w:tabs>
        <w:spacing w:line="360" w:lineRule="auto"/>
        <w:jc w:val="both"/>
        <w:rPr>
          <w:rFonts w:ascii="Palatino Linotype" w:eastAsia="Palatino Linotype" w:hAnsi="Palatino Linotype" w:cs="Palatino Linotype"/>
          <w:sz w:val="24"/>
          <w:szCs w:val="24"/>
        </w:rPr>
      </w:pPr>
    </w:p>
    <w:p w:rsidR="00285427" w:rsidRDefault="005B1F82">
      <w:pPr>
        <w:tabs>
          <w:tab w:val="left" w:pos="284"/>
          <w:tab w:val="left" w:pos="8080"/>
        </w:tabs>
        <w:spacing w:line="360" w:lineRule="auto"/>
        <w:ind w:right="49"/>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highlight w:val="white"/>
        </w:rPr>
        <w:t>dé cumplimiento a lo ordenado dentro del plazo de diez días hábiles,</w:t>
      </w:r>
      <w:r>
        <w:rPr>
          <w:rFonts w:ascii="Palatino Linotype" w:eastAsia="Palatino Linotype" w:hAnsi="Palatino Linotype" w:cs="Palatino Linotype"/>
          <w:color w:val="222222"/>
          <w:sz w:val="24"/>
          <w:szCs w:val="24"/>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Pr>
          <w:rFonts w:ascii="Palatino Linotype" w:eastAsia="Palatino Linotype" w:hAnsi="Palatino Linotype" w:cs="Palatino Linotype"/>
          <w:color w:val="222222"/>
          <w:sz w:val="24"/>
          <w:szCs w:val="24"/>
          <w:highlight w:val="white"/>
        </w:rPr>
        <w:lastRenderedPageBreak/>
        <w:t>216 de la Ley  de Transparencia y Acceso a la Información Pública del Estado de México y Municipios</w:t>
      </w:r>
    </w:p>
    <w:p w:rsidR="00285427" w:rsidRDefault="00285427">
      <w:pPr>
        <w:shd w:val="clear" w:color="auto" w:fill="FFFFFF"/>
        <w:tabs>
          <w:tab w:val="left" w:pos="284"/>
        </w:tabs>
        <w:spacing w:line="360" w:lineRule="auto"/>
        <w:jc w:val="both"/>
        <w:rPr>
          <w:rFonts w:ascii="Palatino Linotype" w:eastAsia="Palatino Linotype" w:hAnsi="Palatino Linotype" w:cs="Palatino Linotype"/>
          <w:b/>
          <w:sz w:val="24"/>
          <w:szCs w:val="24"/>
        </w:rPr>
      </w:pPr>
    </w:p>
    <w:p w:rsidR="00285427" w:rsidRDefault="005B1F82">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b/>
          <w:color w:val="222222"/>
          <w:sz w:val="24"/>
          <w:szCs w:val="24"/>
        </w:rPr>
        <w:t xml:space="preserve">Notifíquese </w:t>
      </w:r>
      <w:r>
        <w:rPr>
          <w:rFonts w:ascii="Palatino Linotype" w:eastAsia="Palatino Linotype" w:hAnsi="Palatino Linotype" w:cs="Palatino Linotype"/>
          <w:color w:val="222222"/>
          <w:sz w:val="24"/>
          <w:szCs w:val="24"/>
        </w:rPr>
        <w:t xml:space="preserve">al </w:t>
      </w:r>
      <w:r>
        <w:rPr>
          <w:rFonts w:ascii="Palatino Linotype" w:eastAsia="Palatino Linotype" w:hAnsi="Palatino Linotype" w:cs="Palatino Linotype"/>
          <w:b/>
          <w:color w:val="222222"/>
          <w:sz w:val="24"/>
          <w:szCs w:val="24"/>
        </w:rPr>
        <w:t xml:space="preserve">RECURRENTE </w:t>
      </w:r>
      <w:r>
        <w:rPr>
          <w:rFonts w:ascii="Palatino Linotype" w:eastAsia="Palatino Linotype" w:hAnsi="Palatino Linotype" w:cs="Palatino Linotype"/>
          <w:sz w:val="24"/>
          <w:szCs w:val="24"/>
        </w:rPr>
        <w:t>la presente resolución a través del Sistema de Acceso a la Información Mexiquense (SAIMEX).</w:t>
      </w:r>
    </w:p>
    <w:p w:rsidR="00285427" w:rsidRDefault="00285427">
      <w:pPr>
        <w:shd w:val="clear" w:color="auto" w:fill="FFFFFF"/>
        <w:tabs>
          <w:tab w:val="left" w:pos="284"/>
        </w:tabs>
        <w:spacing w:line="360" w:lineRule="auto"/>
        <w:jc w:val="both"/>
        <w:rPr>
          <w:rFonts w:ascii="Palatino Linotype" w:eastAsia="Palatino Linotype" w:hAnsi="Palatino Linotype" w:cs="Palatino Linotype"/>
          <w:sz w:val="24"/>
          <w:szCs w:val="24"/>
        </w:rPr>
      </w:pPr>
    </w:p>
    <w:p w:rsidR="00285427" w:rsidRDefault="005B1F82">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Se hace del conocimiento del</w:t>
      </w:r>
      <w:r>
        <w:rPr>
          <w:rFonts w:ascii="Palatino Linotype" w:eastAsia="Palatino Linotype" w:hAnsi="Palatino Linotype" w:cs="Palatino Linotype"/>
          <w:b/>
          <w:sz w:val="24"/>
          <w:szCs w:val="24"/>
        </w:rPr>
        <w:t xml:space="preserve"> RECURRENTE </w:t>
      </w:r>
      <w:r>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285427" w:rsidRDefault="00285427">
      <w:pPr>
        <w:shd w:val="clear" w:color="auto" w:fill="FFFFFF"/>
        <w:tabs>
          <w:tab w:val="left" w:pos="284"/>
        </w:tabs>
        <w:spacing w:line="360" w:lineRule="auto"/>
        <w:jc w:val="both"/>
        <w:rPr>
          <w:rFonts w:ascii="Palatino Linotype" w:eastAsia="Palatino Linotype" w:hAnsi="Palatino Linotype" w:cs="Palatino Linotype"/>
          <w:sz w:val="24"/>
          <w:szCs w:val="24"/>
        </w:rPr>
      </w:pPr>
    </w:p>
    <w:p w:rsidR="00285427" w:rsidRDefault="005B1F82">
      <w:pPr>
        <w:shd w:val="clear" w:color="auto" w:fill="FFFFFF"/>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Hágase del conocimiento</w:t>
      </w:r>
      <w:r>
        <w:rPr>
          <w:rFonts w:ascii="Palatino Linotype" w:eastAsia="Palatino Linotype" w:hAnsi="Palatino Linotype" w:cs="Palatino Linotype"/>
          <w:b/>
          <w:sz w:val="24"/>
          <w:szCs w:val="24"/>
        </w:rPr>
        <w:t> </w:t>
      </w:r>
      <w:r>
        <w:rPr>
          <w:rFonts w:ascii="Palatino Linotype" w:eastAsia="Palatino Linotype" w:hAnsi="Palatino Linotype" w:cs="Palatino Linotype"/>
          <w:sz w:val="24"/>
          <w:szCs w:val="24"/>
        </w:rPr>
        <w:t>del </w:t>
      </w:r>
      <w:r>
        <w:rPr>
          <w:rFonts w:ascii="Palatino Linotype" w:eastAsia="Palatino Linotype" w:hAnsi="Palatino Linotype" w:cs="Palatino Linotype"/>
          <w:b/>
          <w:color w:val="222222"/>
          <w:sz w:val="24"/>
          <w:szCs w:val="24"/>
        </w:rPr>
        <w:t>RECURRENTE</w:t>
      </w:r>
      <w:r>
        <w:rPr>
          <w:rFonts w:ascii="Palatino Linotype" w:eastAsia="Palatino Linotype" w:hAnsi="Palatino Linotype" w:cs="Palatino Linotype"/>
          <w:b/>
          <w:sz w:val="24"/>
          <w:szCs w:val="24"/>
        </w:rPr>
        <w:t> </w:t>
      </w:r>
      <w:r>
        <w:rPr>
          <w:rFonts w:ascii="Palatino Linotype" w:eastAsia="Palatino Linotype" w:hAnsi="Palatino Linotype" w:cs="Palatino Linotype"/>
          <w:sz w:val="24"/>
          <w:szCs w:val="24"/>
        </w:rPr>
        <w:t>que la respuesta que dé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rsidR="00285427" w:rsidRDefault="00285427">
      <w:pPr>
        <w:shd w:val="clear" w:color="auto" w:fill="FFFFFF"/>
        <w:tabs>
          <w:tab w:val="left" w:pos="284"/>
        </w:tabs>
        <w:spacing w:line="360" w:lineRule="auto"/>
        <w:jc w:val="both"/>
        <w:rPr>
          <w:rFonts w:ascii="Palatino Linotype" w:eastAsia="Palatino Linotype" w:hAnsi="Palatino Linotype" w:cs="Palatino Linotype"/>
          <w:sz w:val="24"/>
          <w:szCs w:val="24"/>
        </w:rPr>
      </w:pPr>
    </w:p>
    <w:p w:rsidR="00285427" w:rsidRDefault="005B1F82">
      <w:pPr>
        <w:shd w:val="clear" w:color="auto" w:fill="FFFFFF"/>
        <w:tabs>
          <w:tab w:val="left" w:pos="284"/>
        </w:tabs>
        <w:spacing w:line="360" w:lineRule="auto"/>
        <w:jc w:val="both"/>
        <w:rPr>
          <w:rFonts w:ascii="Palatino Linotype" w:eastAsia="Palatino Linotype" w:hAnsi="Palatino Linotype" w:cs="Palatino Linotype"/>
          <w:sz w:val="24"/>
          <w:szCs w:val="24"/>
          <w:highlight w:val="yellow"/>
        </w:rPr>
      </w:pPr>
      <w:r>
        <w:rPr>
          <w:rFonts w:ascii="Palatino Linotype" w:eastAsia="Palatino Linotype" w:hAnsi="Palatino Linotype" w:cs="Palatino Linotype"/>
          <w:b/>
          <w:sz w:val="24"/>
          <w:szCs w:val="24"/>
        </w:rPr>
        <w:t>SÉPTIMO</w:t>
      </w:r>
      <w:r>
        <w:rPr>
          <w:rFonts w:ascii="Palatino Linotype" w:eastAsia="Palatino Linotype" w:hAnsi="Palatino Linotype" w:cs="Palatino Linotype"/>
          <w:sz w:val="24"/>
          <w:szCs w:val="24"/>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Pr>
          <w:rFonts w:ascii="Palatino Linotype" w:eastAsia="Palatino Linotype" w:hAnsi="Palatino Linotype" w:cs="Palatino Linotype"/>
          <w:b/>
          <w:sz w:val="24"/>
          <w:szCs w:val="24"/>
        </w:rPr>
        <w:t>Considerando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SEXTO </w:t>
      </w:r>
      <w:r>
        <w:rPr>
          <w:rFonts w:ascii="Palatino Linotype" w:eastAsia="Palatino Linotype" w:hAnsi="Palatino Linotype" w:cs="Palatino Linotype"/>
          <w:sz w:val="24"/>
          <w:szCs w:val="24"/>
        </w:rPr>
        <w:t>de la presente Resolución.</w:t>
      </w:r>
    </w:p>
    <w:p w:rsidR="002A4391" w:rsidRPr="002A4391" w:rsidRDefault="002A4391" w:rsidP="002A4391">
      <w:pPr>
        <w:spacing w:line="360" w:lineRule="auto"/>
        <w:ind w:firstLine="1"/>
        <w:jc w:val="both"/>
        <w:rPr>
          <w:rFonts w:ascii="Palatino Linotype" w:hAnsi="Palatino Linotype"/>
          <w:sz w:val="22"/>
        </w:rPr>
      </w:pPr>
      <w:r w:rsidRPr="002A4391">
        <w:rPr>
          <w:rFonts w:ascii="Palatino Linotype" w:hAnsi="Palatino Linotype"/>
          <w:sz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VEINTIOCHO (28) DE AGOSTO DE DOS MIL VEINTICUATRO, ANTE EL SECRETARIO TÉCNICO DEL PLENO ALEXIS TAPIA RAMÍREZ. </w:t>
      </w:r>
    </w:p>
    <w:p w:rsidR="00285427" w:rsidRDefault="00285427">
      <w:pPr>
        <w:spacing w:before="240" w:after="360" w:line="360" w:lineRule="auto"/>
        <w:jc w:val="both"/>
        <w:rPr>
          <w:rFonts w:ascii="Palatino Linotype" w:eastAsia="Palatino Linotype" w:hAnsi="Palatino Linotype" w:cs="Palatino Linotype"/>
          <w:color w:val="222222"/>
          <w:sz w:val="24"/>
          <w:szCs w:val="24"/>
        </w:rPr>
      </w:pPr>
    </w:p>
    <w:p w:rsidR="00285427" w:rsidRDefault="00285427">
      <w:pPr>
        <w:spacing w:before="240" w:after="360" w:line="360" w:lineRule="auto"/>
        <w:jc w:val="both"/>
        <w:rPr>
          <w:rFonts w:ascii="Palatino Linotype" w:eastAsia="Palatino Linotype" w:hAnsi="Palatino Linotype" w:cs="Palatino Linotype"/>
          <w:color w:val="222222"/>
          <w:sz w:val="24"/>
          <w:szCs w:val="24"/>
        </w:rPr>
      </w:pPr>
    </w:p>
    <w:p w:rsidR="00285427" w:rsidRDefault="00285427">
      <w:pPr>
        <w:spacing w:before="240" w:after="360" w:line="360" w:lineRule="auto"/>
        <w:jc w:val="both"/>
        <w:rPr>
          <w:rFonts w:ascii="Palatino Linotype" w:eastAsia="Palatino Linotype" w:hAnsi="Palatino Linotype" w:cs="Palatino Linotype"/>
          <w:color w:val="222222"/>
          <w:sz w:val="24"/>
          <w:szCs w:val="24"/>
        </w:rPr>
      </w:pPr>
    </w:p>
    <w:p w:rsidR="00285427" w:rsidRDefault="00285427">
      <w:pPr>
        <w:spacing w:before="240" w:after="360" w:line="360" w:lineRule="auto"/>
        <w:jc w:val="both"/>
        <w:rPr>
          <w:rFonts w:ascii="Palatino Linotype" w:eastAsia="Palatino Linotype" w:hAnsi="Palatino Linotype" w:cs="Palatino Linotype"/>
          <w:color w:val="222222"/>
          <w:sz w:val="24"/>
          <w:szCs w:val="24"/>
        </w:rPr>
      </w:pPr>
    </w:p>
    <w:p w:rsidR="00285427" w:rsidRDefault="00285427">
      <w:pPr>
        <w:spacing w:before="240" w:after="360" w:line="360" w:lineRule="auto"/>
        <w:jc w:val="both"/>
        <w:rPr>
          <w:rFonts w:ascii="Palatino Linotype" w:eastAsia="Palatino Linotype" w:hAnsi="Palatino Linotype" w:cs="Palatino Linotype"/>
          <w:color w:val="222222"/>
          <w:sz w:val="24"/>
          <w:szCs w:val="24"/>
        </w:rPr>
      </w:pPr>
    </w:p>
    <w:p w:rsidR="00285427" w:rsidRDefault="00285427">
      <w:pPr>
        <w:spacing w:before="240" w:after="360" w:line="360" w:lineRule="auto"/>
        <w:jc w:val="both"/>
        <w:rPr>
          <w:rFonts w:ascii="Palatino Linotype" w:eastAsia="Palatino Linotype" w:hAnsi="Palatino Linotype" w:cs="Palatino Linotype"/>
          <w:color w:val="222222"/>
          <w:sz w:val="24"/>
          <w:szCs w:val="24"/>
        </w:rPr>
      </w:pPr>
    </w:p>
    <w:p w:rsidR="00285427" w:rsidRDefault="00285427">
      <w:pPr>
        <w:spacing w:before="240" w:after="360" w:line="360" w:lineRule="auto"/>
        <w:jc w:val="both"/>
        <w:rPr>
          <w:rFonts w:ascii="Palatino Linotype" w:eastAsia="Palatino Linotype" w:hAnsi="Palatino Linotype" w:cs="Palatino Linotype"/>
          <w:color w:val="222222"/>
          <w:sz w:val="24"/>
          <w:szCs w:val="24"/>
        </w:rPr>
      </w:pPr>
    </w:p>
    <w:p w:rsidR="00285427" w:rsidRDefault="00285427">
      <w:pPr>
        <w:spacing w:before="240" w:after="360" w:line="360" w:lineRule="auto"/>
        <w:jc w:val="both"/>
        <w:rPr>
          <w:rFonts w:ascii="Palatino Linotype" w:eastAsia="Palatino Linotype" w:hAnsi="Palatino Linotype" w:cs="Palatino Linotype"/>
          <w:color w:val="222222"/>
          <w:sz w:val="24"/>
          <w:szCs w:val="24"/>
        </w:rPr>
      </w:pPr>
    </w:p>
    <w:p w:rsidR="00427E27" w:rsidRDefault="00427E27">
      <w:pPr>
        <w:spacing w:before="240" w:after="360" w:line="360" w:lineRule="auto"/>
        <w:jc w:val="both"/>
        <w:rPr>
          <w:rFonts w:ascii="Palatino Linotype" w:eastAsia="Palatino Linotype" w:hAnsi="Palatino Linotype" w:cs="Palatino Linotype"/>
          <w:color w:val="222222"/>
          <w:sz w:val="24"/>
          <w:szCs w:val="24"/>
        </w:rPr>
      </w:pPr>
    </w:p>
    <w:p w:rsidR="00427E27" w:rsidRDefault="00427E27">
      <w:pPr>
        <w:spacing w:before="240" w:after="360" w:line="360" w:lineRule="auto"/>
        <w:jc w:val="both"/>
        <w:rPr>
          <w:rFonts w:ascii="Palatino Linotype" w:eastAsia="Palatino Linotype" w:hAnsi="Palatino Linotype" w:cs="Palatino Linotype"/>
          <w:color w:val="222222"/>
          <w:sz w:val="24"/>
          <w:szCs w:val="24"/>
        </w:rPr>
      </w:pPr>
    </w:p>
    <w:p w:rsidR="00427E27" w:rsidRDefault="00427E27">
      <w:pPr>
        <w:spacing w:before="240" w:after="360" w:line="360" w:lineRule="auto"/>
        <w:jc w:val="both"/>
        <w:rPr>
          <w:rFonts w:ascii="Palatino Linotype" w:eastAsia="Palatino Linotype" w:hAnsi="Palatino Linotype" w:cs="Palatino Linotype"/>
          <w:color w:val="222222"/>
          <w:sz w:val="24"/>
          <w:szCs w:val="24"/>
        </w:rPr>
      </w:pPr>
    </w:p>
    <w:p w:rsidR="00427E27" w:rsidRDefault="00427E27">
      <w:pPr>
        <w:spacing w:before="240" w:after="360" w:line="360" w:lineRule="auto"/>
        <w:jc w:val="both"/>
        <w:rPr>
          <w:rFonts w:ascii="Palatino Linotype" w:eastAsia="Palatino Linotype" w:hAnsi="Palatino Linotype" w:cs="Palatino Linotype"/>
          <w:color w:val="222222"/>
          <w:sz w:val="24"/>
          <w:szCs w:val="24"/>
        </w:rPr>
      </w:pPr>
      <w:bookmarkStart w:id="16" w:name="_GoBack"/>
      <w:bookmarkEnd w:id="16"/>
    </w:p>
    <w:p w:rsidR="00285427" w:rsidRDefault="00285427">
      <w:pPr>
        <w:spacing w:before="240" w:after="360" w:line="360" w:lineRule="auto"/>
        <w:jc w:val="both"/>
        <w:rPr>
          <w:rFonts w:ascii="Palatino Linotype" w:eastAsia="Palatino Linotype" w:hAnsi="Palatino Linotype" w:cs="Palatino Linotype"/>
          <w:color w:val="222222"/>
          <w:sz w:val="24"/>
          <w:szCs w:val="24"/>
        </w:rPr>
      </w:pPr>
    </w:p>
    <w:sectPr w:rsidR="00285427" w:rsidSect="00F50A3C">
      <w:headerReference w:type="even" r:id="rId8"/>
      <w:headerReference w:type="default" r:id="rId9"/>
      <w:footerReference w:type="default" r:id="rId10"/>
      <w:headerReference w:type="first" r:id="rId11"/>
      <w:footerReference w:type="first" r:id="rId12"/>
      <w:pgSz w:w="12240" w:h="15840"/>
      <w:pgMar w:top="80" w:right="1041"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DA2" w:rsidRDefault="000C5DA2">
      <w:r>
        <w:separator/>
      </w:r>
    </w:p>
  </w:endnote>
  <w:endnote w:type="continuationSeparator" w:id="0">
    <w:p w:rsidR="000C5DA2" w:rsidRDefault="000C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27" w:rsidRDefault="00285427">
    <w:pPr>
      <w:pBdr>
        <w:top w:val="nil"/>
        <w:left w:val="nil"/>
        <w:bottom w:val="nil"/>
        <w:right w:val="nil"/>
        <w:between w:val="nil"/>
      </w:pBdr>
      <w:tabs>
        <w:tab w:val="center" w:pos="4419"/>
        <w:tab w:val="right" w:pos="8838"/>
      </w:tabs>
      <w:jc w:val="right"/>
      <w:rPr>
        <w:color w:val="000000"/>
      </w:rPr>
    </w:pPr>
  </w:p>
  <w:p w:rsidR="00285427" w:rsidRDefault="005B1F8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7E27">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7E27">
      <w:rPr>
        <w:b/>
        <w:noProof/>
        <w:color w:val="000000"/>
        <w:sz w:val="24"/>
        <w:szCs w:val="24"/>
      </w:rPr>
      <w:t>41</w:t>
    </w:r>
    <w:r>
      <w:rPr>
        <w:b/>
        <w:color w:val="000000"/>
        <w:sz w:val="24"/>
        <w:szCs w:val="24"/>
      </w:rPr>
      <w:fldChar w:fldCharType="end"/>
    </w:r>
  </w:p>
  <w:p w:rsidR="00285427" w:rsidRDefault="00285427">
    <w:pPr>
      <w:pBdr>
        <w:top w:val="nil"/>
        <w:left w:val="nil"/>
        <w:bottom w:val="nil"/>
        <w:right w:val="nil"/>
        <w:between w:val="nil"/>
      </w:pBdr>
      <w:tabs>
        <w:tab w:val="center" w:pos="4419"/>
        <w:tab w:val="right" w:pos="8838"/>
      </w:tabs>
      <w:rPr>
        <w:color w:val="000000"/>
      </w:rPr>
    </w:pPr>
  </w:p>
  <w:p w:rsidR="00285427" w:rsidRDefault="00285427"/>
  <w:p w:rsidR="00285427" w:rsidRDefault="00285427"/>
  <w:p w:rsidR="00285427" w:rsidRDefault="002854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27" w:rsidRDefault="005B1F8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7E2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7E27">
      <w:rPr>
        <w:b/>
        <w:noProof/>
        <w:color w:val="000000"/>
        <w:sz w:val="24"/>
        <w:szCs w:val="24"/>
      </w:rPr>
      <w:t>41</w:t>
    </w:r>
    <w:r>
      <w:rPr>
        <w:b/>
        <w:color w:val="000000"/>
        <w:sz w:val="24"/>
        <w:szCs w:val="24"/>
      </w:rPr>
      <w:fldChar w:fldCharType="end"/>
    </w:r>
  </w:p>
  <w:p w:rsidR="00285427" w:rsidRDefault="00285427">
    <w:pPr>
      <w:pBdr>
        <w:top w:val="nil"/>
        <w:left w:val="nil"/>
        <w:bottom w:val="nil"/>
        <w:right w:val="nil"/>
        <w:between w:val="nil"/>
      </w:pBdr>
      <w:tabs>
        <w:tab w:val="center" w:pos="4419"/>
        <w:tab w:val="right" w:pos="8838"/>
      </w:tabs>
      <w:rPr>
        <w:color w:val="000000"/>
      </w:rPr>
    </w:pPr>
  </w:p>
  <w:p w:rsidR="00285427" w:rsidRDefault="00285427"/>
  <w:p w:rsidR="00285427" w:rsidRDefault="00285427"/>
  <w:p w:rsidR="00285427" w:rsidRDefault="002854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DA2" w:rsidRDefault="000C5DA2">
      <w:r>
        <w:separator/>
      </w:r>
    </w:p>
  </w:footnote>
  <w:footnote w:type="continuationSeparator" w:id="0">
    <w:p w:rsidR="000C5DA2" w:rsidRDefault="000C5DA2">
      <w:r>
        <w:continuationSeparator/>
      </w:r>
    </w:p>
  </w:footnote>
  <w:footnote w:id="1">
    <w:p w:rsidR="00285427" w:rsidRDefault="005B1F8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rsidR="00285427" w:rsidRDefault="005B1F82">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3">
    <w:p w:rsidR="00285427" w:rsidRDefault="005B1F82">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4">
    <w:p w:rsidR="00285427" w:rsidRDefault="005B1F82">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5">
    <w:p w:rsidR="00285427" w:rsidRDefault="005B1F82">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27" w:rsidRDefault="000C5DA2">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rsidR="00285427" w:rsidRDefault="00285427"/>
  <w:p w:rsidR="00285427" w:rsidRDefault="00285427"/>
  <w:p w:rsidR="00285427" w:rsidRDefault="002854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11701" w:type="dxa"/>
      <w:tblInd w:w="-1276" w:type="dxa"/>
      <w:tblLayout w:type="fixed"/>
      <w:tblLook w:val="0400" w:firstRow="0" w:lastRow="0" w:firstColumn="0" w:lastColumn="0" w:noHBand="0" w:noVBand="1"/>
    </w:tblPr>
    <w:tblGrid>
      <w:gridCol w:w="3121"/>
      <w:gridCol w:w="8580"/>
    </w:tblGrid>
    <w:tr w:rsidR="00285427" w:rsidTr="00F50A3C">
      <w:trPr>
        <w:trHeight w:val="1435"/>
      </w:trPr>
      <w:tc>
        <w:tcPr>
          <w:tcW w:w="3121" w:type="dxa"/>
          <w:shd w:val="clear" w:color="auto" w:fill="auto"/>
        </w:tcPr>
        <w:p w:rsidR="00285427" w:rsidRDefault="00285427">
          <w:pPr>
            <w:tabs>
              <w:tab w:val="right" w:pos="4273"/>
            </w:tabs>
            <w:rPr>
              <w:rFonts w:ascii="Garamond" w:eastAsia="Garamond" w:hAnsi="Garamond" w:cs="Garamond"/>
              <w:sz w:val="16"/>
              <w:szCs w:val="16"/>
            </w:rPr>
          </w:pPr>
        </w:p>
      </w:tc>
      <w:tc>
        <w:tcPr>
          <w:tcW w:w="8580" w:type="dxa"/>
          <w:shd w:val="clear" w:color="auto" w:fill="auto"/>
        </w:tcPr>
        <w:tbl>
          <w:tblPr>
            <w:tblStyle w:val="a1"/>
            <w:tblW w:w="6735" w:type="dxa"/>
            <w:tblInd w:w="875" w:type="dxa"/>
            <w:tblBorders>
              <w:top w:val="nil"/>
              <w:left w:val="nil"/>
              <w:bottom w:val="nil"/>
              <w:right w:val="nil"/>
              <w:insideH w:val="nil"/>
              <w:insideV w:val="nil"/>
            </w:tblBorders>
            <w:tblLayout w:type="fixed"/>
            <w:tblLook w:val="0400" w:firstRow="0" w:lastRow="0" w:firstColumn="0" w:lastColumn="0" w:noHBand="0" w:noVBand="1"/>
          </w:tblPr>
          <w:tblGrid>
            <w:gridCol w:w="2595"/>
            <w:gridCol w:w="4140"/>
          </w:tblGrid>
          <w:tr w:rsidR="00285427" w:rsidTr="00F50A3C">
            <w:trPr>
              <w:trHeight w:val="338"/>
            </w:trPr>
            <w:tc>
              <w:tcPr>
                <w:tcW w:w="2595" w:type="dxa"/>
              </w:tcPr>
              <w:p w:rsidR="00285427" w:rsidRDefault="005B1F8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0" w:type="dxa"/>
              </w:tcPr>
              <w:p w:rsidR="00285427" w:rsidRDefault="005B1F82">
                <w:pPr>
                  <w:tabs>
                    <w:tab w:val="right" w:pos="8838"/>
                  </w:tabs>
                  <w:ind w:right="-1633"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04423/INFOEM/IP/RR/2024</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y Acumulados</w:t>
                </w:r>
              </w:p>
            </w:tc>
          </w:tr>
          <w:tr w:rsidR="00285427" w:rsidTr="00F50A3C">
            <w:trPr>
              <w:trHeight w:val="283"/>
            </w:trPr>
            <w:tc>
              <w:tcPr>
                <w:tcW w:w="2595" w:type="dxa"/>
              </w:tcPr>
              <w:p w:rsidR="00285427" w:rsidRDefault="005B1F82">
                <w:pPr>
                  <w:tabs>
                    <w:tab w:val="right" w:pos="8838"/>
                  </w:tabs>
                  <w:ind w:right="-105"/>
                  <w:rPr>
                    <w:rFonts w:ascii="Palatino Linotype" w:eastAsia="Palatino Linotype" w:hAnsi="Palatino Linotype" w:cs="Palatino Linotype"/>
                    <w:b/>
                    <w:sz w:val="22"/>
                    <w:szCs w:val="22"/>
                  </w:rPr>
                </w:pPr>
                <w:bookmarkStart w:id="17" w:name="_heading=h.44sinio" w:colFirst="0" w:colLast="0"/>
                <w:bookmarkEnd w:id="17"/>
                <w:r>
                  <w:rPr>
                    <w:rFonts w:ascii="Palatino Linotype" w:eastAsia="Palatino Linotype" w:hAnsi="Palatino Linotype" w:cs="Palatino Linotype"/>
                    <w:b/>
                    <w:sz w:val="22"/>
                    <w:szCs w:val="22"/>
                  </w:rPr>
                  <w:t>Sujeto Obligado:</w:t>
                </w:r>
              </w:p>
            </w:tc>
            <w:tc>
              <w:tcPr>
                <w:tcW w:w="4140" w:type="dxa"/>
              </w:tcPr>
              <w:p w:rsidR="00285427" w:rsidRDefault="005B1F82">
                <w:pPr>
                  <w:tabs>
                    <w:tab w:val="left" w:pos="2834"/>
                    <w:tab w:val="right" w:pos="8838"/>
                  </w:tabs>
                  <w:ind w:left="-113" w:right="-163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San Felipe del Progreso</w:t>
                </w:r>
              </w:p>
            </w:tc>
          </w:tr>
          <w:tr w:rsidR="00285427" w:rsidTr="00F50A3C">
            <w:trPr>
              <w:trHeight w:val="283"/>
            </w:trPr>
            <w:tc>
              <w:tcPr>
                <w:tcW w:w="2595" w:type="dxa"/>
              </w:tcPr>
              <w:p w:rsidR="00285427" w:rsidRDefault="005B1F8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0" w:type="dxa"/>
              </w:tcPr>
              <w:p w:rsidR="00285427" w:rsidRDefault="005B1F82">
                <w:pPr>
                  <w:tabs>
                    <w:tab w:val="right" w:pos="8838"/>
                  </w:tabs>
                  <w:ind w:left="-113" w:right="-1633"/>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rsidR="00285427" w:rsidRDefault="00285427">
          <w:pPr>
            <w:tabs>
              <w:tab w:val="right" w:pos="8838"/>
            </w:tabs>
            <w:ind w:left="-28"/>
            <w:jc w:val="both"/>
            <w:rPr>
              <w:rFonts w:ascii="Arial" w:eastAsia="Arial" w:hAnsi="Arial" w:cs="Arial"/>
              <w:b/>
              <w:sz w:val="22"/>
              <w:szCs w:val="22"/>
            </w:rPr>
          </w:pPr>
        </w:p>
      </w:tc>
    </w:tr>
  </w:tbl>
  <w:p w:rsidR="00285427" w:rsidRPr="00F50A3C" w:rsidRDefault="000C5DA2" w:rsidP="00F50A3C">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0.05pt;margin-top:-127.35pt;width:663.5pt;height:12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440" w:type="dxa"/>
      <w:tblInd w:w="0" w:type="dxa"/>
      <w:tblLayout w:type="fixed"/>
      <w:tblLook w:val="0400" w:firstRow="0" w:lastRow="0" w:firstColumn="0" w:lastColumn="0" w:noHBand="0" w:noVBand="1"/>
    </w:tblPr>
    <w:tblGrid>
      <w:gridCol w:w="1560"/>
      <w:gridCol w:w="8880"/>
    </w:tblGrid>
    <w:tr w:rsidR="00285427">
      <w:trPr>
        <w:trHeight w:val="1435"/>
      </w:trPr>
      <w:tc>
        <w:tcPr>
          <w:tcW w:w="1560" w:type="dxa"/>
          <w:shd w:val="clear" w:color="auto" w:fill="auto"/>
        </w:tcPr>
        <w:p w:rsidR="00285427" w:rsidRDefault="00285427">
          <w:pPr>
            <w:tabs>
              <w:tab w:val="right" w:pos="4273"/>
            </w:tabs>
            <w:rPr>
              <w:rFonts w:ascii="Garamond" w:eastAsia="Garamond" w:hAnsi="Garamond" w:cs="Garamond"/>
              <w:sz w:val="22"/>
              <w:szCs w:val="22"/>
            </w:rPr>
          </w:pPr>
        </w:p>
      </w:tc>
      <w:tc>
        <w:tcPr>
          <w:tcW w:w="8880" w:type="dxa"/>
          <w:shd w:val="clear" w:color="auto" w:fill="auto"/>
        </w:tcPr>
        <w:tbl>
          <w:tblPr>
            <w:tblStyle w:val="a3"/>
            <w:tblW w:w="8940" w:type="dxa"/>
            <w:tblInd w:w="1586" w:type="dxa"/>
            <w:tblBorders>
              <w:top w:val="nil"/>
              <w:left w:val="nil"/>
              <w:bottom w:val="nil"/>
              <w:right w:val="nil"/>
              <w:insideH w:val="nil"/>
              <w:insideV w:val="nil"/>
            </w:tblBorders>
            <w:tblLayout w:type="fixed"/>
            <w:tblLook w:val="0400" w:firstRow="0" w:lastRow="0" w:firstColumn="0" w:lastColumn="0" w:noHBand="0" w:noVBand="1"/>
          </w:tblPr>
          <w:tblGrid>
            <w:gridCol w:w="2445"/>
            <w:gridCol w:w="4350"/>
            <w:gridCol w:w="2145"/>
          </w:tblGrid>
          <w:tr w:rsidR="00285427" w:rsidTr="00F50A3C">
            <w:trPr>
              <w:trHeight w:val="144"/>
            </w:trPr>
            <w:tc>
              <w:tcPr>
                <w:tcW w:w="2445" w:type="dxa"/>
              </w:tcPr>
              <w:p w:rsidR="00285427" w:rsidRDefault="005B1F82">
                <w:pPr>
                  <w:tabs>
                    <w:tab w:val="right" w:pos="8838"/>
                  </w:tabs>
                  <w:ind w:left="-74" w:right="-105"/>
                  <w:rPr>
                    <w:rFonts w:ascii="Palatino Linotype" w:eastAsia="Palatino Linotype" w:hAnsi="Palatino Linotype" w:cs="Palatino Linotype"/>
                    <w:b/>
                    <w:sz w:val="22"/>
                    <w:szCs w:val="22"/>
                  </w:rPr>
                </w:pPr>
                <w:bookmarkStart w:id="18" w:name="_heading=h.2jxsxqh" w:colFirst="0" w:colLast="0"/>
                <w:bookmarkEnd w:id="18"/>
                <w:r>
                  <w:rPr>
                    <w:rFonts w:ascii="Palatino Linotype" w:eastAsia="Palatino Linotype" w:hAnsi="Palatino Linotype" w:cs="Palatino Linotype"/>
                    <w:b/>
                    <w:sz w:val="22"/>
                    <w:szCs w:val="22"/>
                  </w:rPr>
                  <w:t>Recurso de Revisión:</w:t>
                </w:r>
              </w:p>
            </w:tc>
            <w:tc>
              <w:tcPr>
                <w:tcW w:w="4350" w:type="dxa"/>
              </w:tcPr>
              <w:p w:rsidR="00285427" w:rsidRDefault="005B1F82">
                <w:pPr>
                  <w:tabs>
                    <w:tab w:val="right" w:pos="8838"/>
                  </w:tabs>
                  <w:ind w:left="-3" w:right="-15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04423/INFOEM/IP/RR/2024 y Acumulados</w:t>
                </w:r>
              </w:p>
            </w:tc>
            <w:tc>
              <w:tcPr>
                <w:tcW w:w="2145" w:type="dxa"/>
              </w:tcPr>
              <w:p w:rsidR="00285427" w:rsidRDefault="00285427">
                <w:pPr>
                  <w:tabs>
                    <w:tab w:val="right" w:pos="8838"/>
                  </w:tabs>
                  <w:ind w:left="-74" w:right="-105"/>
                  <w:jc w:val="both"/>
                  <w:rPr>
                    <w:rFonts w:ascii="Palatino Linotype" w:eastAsia="Palatino Linotype" w:hAnsi="Palatino Linotype" w:cs="Palatino Linotype"/>
                    <w:sz w:val="22"/>
                    <w:szCs w:val="22"/>
                  </w:rPr>
                </w:pPr>
              </w:p>
            </w:tc>
          </w:tr>
          <w:tr w:rsidR="00285427" w:rsidTr="00F50A3C">
            <w:trPr>
              <w:trHeight w:val="144"/>
            </w:trPr>
            <w:tc>
              <w:tcPr>
                <w:tcW w:w="2445" w:type="dxa"/>
              </w:tcPr>
              <w:p w:rsidR="00285427" w:rsidRDefault="005B1F82">
                <w:pPr>
                  <w:tabs>
                    <w:tab w:val="right" w:pos="8838"/>
                  </w:tabs>
                  <w:ind w:left="-74" w:right="-105"/>
                  <w:rPr>
                    <w:rFonts w:ascii="Palatino Linotype" w:eastAsia="Palatino Linotype" w:hAnsi="Palatino Linotype" w:cs="Palatino Linotype"/>
                    <w:b/>
                    <w:sz w:val="22"/>
                    <w:szCs w:val="22"/>
                  </w:rPr>
                </w:pPr>
                <w:bookmarkStart w:id="19" w:name="_heading=h.z337ya" w:colFirst="0" w:colLast="0"/>
                <w:bookmarkEnd w:id="19"/>
                <w:r>
                  <w:rPr>
                    <w:rFonts w:ascii="Palatino Linotype" w:eastAsia="Palatino Linotype" w:hAnsi="Palatino Linotype" w:cs="Palatino Linotype"/>
                    <w:b/>
                    <w:sz w:val="22"/>
                    <w:szCs w:val="22"/>
                  </w:rPr>
                  <w:t>Recurrente:</w:t>
                </w:r>
              </w:p>
            </w:tc>
            <w:tc>
              <w:tcPr>
                <w:tcW w:w="4350" w:type="dxa"/>
              </w:tcPr>
              <w:p w:rsidR="00285427" w:rsidRDefault="00285427">
                <w:pPr>
                  <w:tabs>
                    <w:tab w:val="left" w:pos="3122"/>
                    <w:tab w:val="right" w:pos="8838"/>
                  </w:tabs>
                  <w:ind w:right="-1513"/>
                  <w:rPr>
                    <w:rFonts w:ascii="Palatino Linotype" w:eastAsia="Palatino Linotype" w:hAnsi="Palatino Linotype" w:cs="Palatino Linotype"/>
                    <w:sz w:val="22"/>
                    <w:szCs w:val="22"/>
                  </w:rPr>
                </w:pPr>
              </w:p>
            </w:tc>
            <w:tc>
              <w:tcPr>
                <w:tcW w:w="2145" w:type="dxa"/>
              </w:tcPr>
              <w:p w:rsidR="00285427" w:rsidRDefault="00285427">
                <w:pPr>
                  <w:tabs>
                    <w:tab w:val="left" w:pos="3122"/>
                    <w:tab w:val="right" w:pos="8838"/>
                  </w:tabs>
                  <w:ind w:right="-105"/>
                  <w:jc w:val="both"/>
                  <w:rPr>
                    <w:rFonts w:ascii="Palatino Linotype" w:eastAsia="Palatino Linotype" w:hAnsi="Palatino Linotype" w:cs="Palatino Linotype"/>
                    <w:sz w:val="22"/>
                    <w:szCs w:val="22"/>
                  </w:rPr>
                </w:pPr>
              </w:p>
            </w:tc>
          </w:tr>
          <w:tr w:rsidR="00285427" w:rsidTr="00F50A3C">
            <w:trPr>
              <w:trHeight w:val="283"/>
            </w:trPr>
            <w:tc>
              <w:tcPr>
                <w:tcW w:w="2445" w:type="dxa"/>
              </w:tcPr>
              <w:p w:rsidR="00285427" w:rsidRDefault="005B1F8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50" w:type="dxa"/>
              </w:tcPr>
              <w:p w:rsidR="00285427" w:rsidRDefault="005B1F82">
                <w:pPr>
                  <w:tabs>
                    <w:tab w:val="left" w:pos="2834"/>
                    <w:tab w:val="right" w:pos="8838"/>
                  </w:tabs>
                  <w:ind w:left="-3" w:right="-15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San Felipe del Progreso</w:t>
                </w:r>
              </w:p>
            </w:tc>
            <w:tc>
              <w:tcPr>
                <w:tcW w:w="2145" w:type="dxa"/>
              </w:tcPr>
              <w:p w:rsidR="00285427" w:rsidRDefault="00285427">
                <w:pPr>
                  <w:tabs>
                    <w:tab w:val="left" w:pos="2834"/>
                    <w:tab w:val="right" w:pos="8838"/>
                  </w:tabs>
                  <w:ind w:left="-74" w:right="-105"/>
                  <w:jc w:val="both"/>
                  <w:rPr>
                    <w:rFonts w:ascii="Palatino Linotype" w:eastAsia="Palatino Linotype" w:hAnsi="Palatino Linotype" w:cs="Palatino Linotype"/>
                    <w:sz w:val="22"/>
                    <w:szCs w:val="22"/>
                  </w:rPr>
                </w:pPr>
              </w:p>
            </w:tc>
          </w:tr>
          <w:tr w:rsidR="00285427" w:rsidTr="00F50A3C">
            <w:trPr>
              <w:trHeight w:val="283"/>
            </w:trPr>
            <w:tc>
              <w:tcPr>
                <w:tcW w:w="2445" w:type="dxa"/>
              </w:tcPr>
              <w:p w:rsidR="00285427" w:rsidRDefault="005B1F8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50" w:type="dxa"/>
              </w:tcPr>
              <w:p w:rsidR="00285427" w:rsidRDefault="005B1F82">
                <w:pPr>
                  <w:tabs>
                    <w:tab w:val="right" w:pos="8838"/>
                  </w:tabs>
                  <w:ind w:left="-3" w:right="-15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145" w:type="dxa"/>
              </w:tcPr>
              <w:p w:rsidR="00285427" w:rsidRDefault="00285427">
                <w:pPr>
                  <w:tabs>
                    <w:tab w:val="right" w:pos="8838"/>
                  </w:tabs>
                  <w:ind w:left="-74" w:right="-105"/>
                  <w:jc w:val="both"/>
                  <w:rPr>
                    <w:rFonts w:ascii="Palatino Linotype" w:eastAsia="Palatino Linotype" w:hAnsi="Palatino Linotype" w:cs="Palatino Linotype"/>
                    <w:sz w:val="22"/>
                    <w:szCs w:val="22"/>
                  </w:rPr>
                </w:pPr>
              </w:p>
            </w:tc>
          </w:tr>
        </w:tbl>
        <w:p w:rsidR="00285427" w:rsidRDefault="00285427">
          <w:pPr>
            <w:tabs>
              <w:tab w:val="right" w:pos="8838"/>
            </w:tabs>
            <w:ind w:left="-28"/>
            <w:jc w:val="both"/>
            <w:rPr>
              <w:rFonts w:ascii="Arial" w:eastAsia="Arial" w:hAnsi="Arial" w:cs="Arial"/>
              <w:b/>
              <w:sz w:val="22"/>
              <w:szCs w:val="22"/>
            </w:rPr>
          </w:pPr>
        </w:p>
      </w:tc>
    </w:tr>
  </w:tbl>
  <w:p w:rsidR="00285427" w:rsidRPr="00F50A3C" w:rsidRDefault="000C5DA2" w:rsidP="00F50A3C">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5.8pt;margin-top:-131.55pt;width:663.5pt;height:12in;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560"/>
    <w:multiLevelType w:val="multilevel"/>
    <w:tmpl w:val="5F441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D7454B6"/>
    <w:multiLevelType w:val="multilevel"/>
    <w:tmpl w:val="05C22E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1D15AA"/>
    <w:multiLevelType w:val="multilevel"/>
    <w:tmpl w:val="AB5EB5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59FB3831"/>
    <w:multiLevelType w:val="hybridMultilevel"/>
    <w:tmpl w:val="FE4AF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1CB735B"/>
    <w:multiLevelType w:val="multilevel"/>
    <w:tmpl w:val="99503D3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628550F2"/>
    <w:multiLevelType w:val="multilevel"/>
    <w:tmpl w:val="316A24A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5C915BC"/>
    <w:multiLevelType w:val="multilevel"/>
    <w:tmpl w:val="EC8C4FF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7">
    <w:nsid w:val="67CC5CE4"/>
    <w:multiLevelType w:val="multilevel"/>
    <w:tmpl w:val="DE445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E8D4955"/>
    <w:multiLevelType w:val="multilevel"/>
    <w:tmpl w:val="FF3C47CC"/>
    <w:lvl w:ilvl="0">
      <w:start w:val="2"/>
      <w:numFmt w:val="upperRoman"/>
      <w:pStyle w:val="Listaconvietas2"/>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num>
  <w:num w:numId="2">
    <w:abstractNumId w:val="6"/>
  </w:num>
  <w:num w:numId="3">
    <w:abstractNumId w:val="4"/>
  </w:num>
  <w:num w:numId="4">
    <w:abstractNumId w:val="0"/>
  </w:num>
  <w:num w:numId="5">
    <w:abstractNumId w:val="7"/>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27"/>
    <w:rsid w:val="000A3DF4"/>
    <w:rsid w:val="000C5DA2"/>
    <w:rsid w:val="00285427"/>
    <w:rsid w:val="002A4391"/>
    <w:rsid w:val="00427E27"/>
    <w:rsid w:val="005B1F82"/>
    <w:rsid w:val="0096725C"/>
    <w:rsid w:val="00F50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AFB5290-955B-4931-9EEE-951B2B41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rPr>
      <w:rFonts w:ascii="Calibri" w:eastAsia="Calibri" w:hAnsi="Calibri" w:cs="Calibri"/>
      <w:color w:val="000000"/>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2pYdZ1Ka77mRjANFLCwIDMin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BaE9aU2ZaSzRlaFYwMV80V0pfMUJtMER0ZGlsTUp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9657</Words>
  <Characters>53116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USUARIO</cp:lastModifiedBy>
  <cp:revision>4</cp:revision>
  <cp:lastPrinted>2024-08-29T22:18:00Z</cp:lastPrinted>
  <dcterms:created xsi:type="dcterms:W3CDTF">2024-08-15T21:21:00Z</dcterms:created>
  <dcterms:modified xsi:type="dcterms:W3CDTF">2024-08-29T22:18:00Z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