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FCF" w:rsidRPr="00FA7506" w:rsidRDefault="00ED2233">
      <w:pPr>
        <w:tabs>
          <w:tab w:val="left" w:pos="3465"/>
        </w:tabs>
        <w:spacing w:line="360" w:lineRule="auto"/>
        <w:jc w:val="both"/>
        <w:rPr>
          <w:rFonts w:ascii="Palatino Linotype" w:eastAsia="Palatino Linotype" w:hAnsi="Palatino Linotype" w:cs="Palatino Linotype"/>
        </w:rPr>
      </w:pPr>
      <w:r w:rsidRPr="00FA750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veintisiete</w:t>
      </w:r>
      <w:r w:rsidR="00EA5B46" w:rsidRPr="00FA7506">
        <w:rPr>
          <w:rFonts w:ascii="Palatino Linotype" w:eastAsia="Palatino Linotype" w:hAnsi="Palatino Linotype" w:cs="Palatino Linotype"/>
        </w:rPr>
        <w:t xml:space="preserve"> (27)</w:t>
      </w:r>
      <w:r w:rsidRPr="00FA7506">
        <w:rPr>
          <w:rFonts w:ascii="Palatino Linotype" w:eastAsia="Palatino Linotype" w:hAnsi="Palatino Linotype" w:cs="Palatino Linotype"/>
        </w:rPr>
        <w:t xml:space="preserve"> de noviembre de dos mil veinticuatro.</w:t>
      </w:r>
    </w:p>
    <w:p w:rsidR="00892FCF" w:rsidRPr="00FA7506" w:rsidRDefault="00892FCF">
      <w:pPr>
        <w:tabs>
          <w:tab w:val="left" w:pos="3465"/>
        </w:tabs>
        <w:spacing w:line="360" w:lineRule="auto"/>
        <w:jc w:val="both"/>
        <w:rPr>
          <w:rFonts w:ascii="Palatino Linotype" w:eastAsia="Palatino Linotype" w:hAnsi="Palatino Linotype" w:cs="Palatino Linotype"/>
        </w:rPr>
      </w:pPr>
    </w:p>
    <w:p w:rsidR="00892FCF" w:rsidRPr="00FA7506" w:rsidRDefault="00ED2233">
      <w:pPr>
        <w:spacing w:line="360" w:lineRule="auto"/>
        <w:jc w:val="both"/>
        <w:rPr>
          <w:rFonts w:ascii="Palatino Linotype" w:eastAsia="Palatino Linotype" w:hAnsi="Palatino Linotype" w:cs="Palatino Linotype"/>
        </w:rPr>
      </w:pPr>
      <w:r w:rsidRPr="00FA7506">
        <w:rPr>
          <w:rFonts w:ascii="Palatino Linotype" w:eastAsia="Palatino Linotype" w:hAnsi="Palatino Linotype" w:cs="Palatino Linotype"/>
          <w:b/>
        </w:rPr>
        <w:t>VISTO</w:t>
      </w:r>
      <w:r w:rsidRPr="00FA7506">
        <w:rPr>
          <w:rFonts w:ascii="Palatino Linotype" w:eastAsia="Palatino Linotype" w:hAnsi="Palatino Linotype" w:cs="Palatino Linotype"/>
        </w:rPr>
        <w:t xml:space="preserve"> el expediente electrónico formado con motivo del recurso de revisión </w:t>
      </w:r>
      <w:r w:rsidRPr="00FA7506">
        <w:rPr>
          <w:rFonts w:ascii="Palatino Linotype" w:eastAsia="Palatino Linotype" w:hAnsi="Palatino Linotype" w:cs="Palatino Linotype"/>
          <w:b/>
        </w:rPr>
        <w:t xml:space="preserve">05928/INFOEM/IP/RR/2024, </w:t>
      </w:r>
      <w:r w:rsidRPr="00FA7506">
        <w:rPr>
          <w:rFonts w:ascii="Palatino Linotype" w:eastAsia="Palatino Linotype" w:hAnsi="Palatino Linotype" w:cs="Palatino Linotype"/>
        </w:rPr>
        <w:t>promovido por</w:t>
      </w:r>
      <w:r w:rsidR="00EA5B46" w:rsidRPr="00FA7506">
        <w:rPr>
          <w:rFonts w:ascii="Palatino Linotype" w:eastAsia="Palatino Linotype" w:hAnsi="Palatino Linotype" w:cs="Palatino Linotype"/>
          <w:b/>
        </w:rPr>
        <w:t xml:space="preserve"> una persona que no proporcionó nombre alguno</w:t>
      </w:r>
      <w:r w:rsidRPr="00FA7506">
        <w:rPr>
          <w:rFonts w:ascii="Palatino Linotype" w:eastAsia="Palatino Linotype" w:hAnsi="Palatino Linotype" w:cs="Palatino Linotype"/>
        </w:rPr>
        <w:t xml:space="preserve">, a quien en lo sucesivo se le identificará como </w:t>
      </w:r>
      <w:r w:rsidRPr="00FA7506">
        <w:rPr>
          <w:rFonts w:ascii="Palatino Linotype" w:eastAsia="Palatino Linotype" w:hAnsi="Palatino Linotype" w:cs="Palatino Linotype"/>
          <w:b/>
        </w:rPr>
        <w:t>EL RECURRENTE</w:t>
      </w:r>
      <w:r w:rsidRPr="00FA7506">
        <w:rPr>
          <w:rFonts w:ascii="Palatino Linotype" w:eastAsia="Palatino Linotype" w:hAnsi="Palatino Linotype" w:cs="Palatino Linotype"/>
        </w:rPr>
        <w:t xml:space="preserve">, en contra de la respuesta del </w:t>
      </w:r>
      <w:r w:rsidRPr="00FA7506">
        <w:rPr>
          <w:rFonts w:ascii="Palatino Linotype" w:eastAsia="Palatino Linotype" w:hAnsi="Palatino Linotype" w:cs="Palatino Linotype"/>
          <w:b/>
        </w:rPr>
        <w:t xml:space="preserve">Ayuntamiento de Toluca, </w:t>
      </w:r>
      <w:r w:rsidRPr="00FA7506">
        <w:rPr>
          <w:rFonts w:ascii="Palatino Linotype" w:eastAsia="Palatino Linotype" w:hAnsi="Palatino Linotype" w:cs="Palatino Linotype"/>
        </w:rPr>
        <w:t xml:space="preserve">en </w:t>
      </w:r>
      <w:r w:rsidR="00EA5B46" w:rsidRPr="00FA7506">
        <w:rPr>
          <w:rFonts w:ascii="Palatino Linotype" w:eastAsia="Palatino Linotype" w:hAnsi="Palatino Linotype" w:cs="Palatino Linotype"/>
        </w:rPr>
        <w:t>adelante</w:t>
      </w:r>
      <w:r w:rsidRPr="00FA7506">
        <w:rPr>
          <w:rFonts w:ascii="Palatino Linotype" w:eastAsia="Palatino Linotype" w:hAnsi="Palatino Linotype" w:cs="Palatino Linotype"/>
        </w:rPr>
        <w:t xml:space="preserve"> el</w:t>
      </w:r>
      <w:r w:rsidRPr="00FA7506">
        <w:rPr>
          <w:rFonts w:ascii="Palatino Linotype" w:eastAsia="Palatino Linotype" w:hAnsi="Palatino Linotype" w:cs="Palatino Linotype"/>
          <w:b/>
        </w:rPr>
        <w:t xml:space="preserve"> SUJETO OBLIGADO</w:t>
      </w:r>
      <w:r w:rsidRPr="00FA7506">
        <w:rPr>
          <w:rFonts w:ascii="Palatino Linotype" w:eastAsia="Palatino Linotype" w:hAnsi="Palatino Linotype" w:cs="Palatino Linotype"/>
        </w:rPr>
        <w:t>, se procede a dictar la presente resolución, con base en los siguientes:</w:t>
      </w:r>
    </w:p>
    <w:p w:rsidR="00892FCF" w:rsidRPr="00FA7506" w:rsidRDefault="00892FCF">
      <w:pPr>
        <w:spacing w:line="360" w:lineRule="auto"/>
        <w:jc w:val="both"/>
        <w:rPr>
          <w:rFonts w:ascii="Palatino Linotype" w:eastAsia="Palatino Linotype" w:hAnsi="Palatino Linotype" w:cs="Palatino Linotype"/>
          <w:b/>
        </w:rPr>
      </w:pPr>
    </w:p>
    <w:p w:rsidR="00892FCF" w:rsidRPr="00FA7506" w:rsidRDefault="00ED2233">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FA7506">
        <w:rPr>
          <w:rFonts w:ascii="Palatino Linotype" w:eastAsia="Palatino Linotype" w:hAnsi="Palatino Linotype" w:cs="Palatino Linotype"/>
          <w:b/>
          <w:color w:val="000000"/>
          <w:sz w:val="24"/>
          <w:szCs w:val="24"/>
        </w:rPr>
        <w:t>A</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N</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T</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E</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C</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E</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D</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E</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N</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T</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E</w:t>
      </w:r>
      <w:r w:rsidR="00EA5B46" w:rsidRPr="00FA7506">
        <w:rPr>
          <w:rFonts w:ascii="Palatino Linotype" w:eastAsia="Palatino Linotype" w:hAnsi="Palatino Linotype" w:cs="Palatino Linotype"/>
          <w:b/>
          <w:color w:val="000000"/>
          <w:sz w:val="24"/>
          <w:szCs w:val="24"/>
        </w:rPr>
        <w:t xml:space="preserve"> </w:t>
      </w:r>
      <w:r w:rsidRPr="00FA7506">
        <w:rPr>
          <w:rFonts w:ascii="Palatino Linotype" w:eastAsia="Palatino Linotype" w:hAnsi="Palatino Linotype" w:cs="Palatino Linotype"/>
          <w:b/>
          <w:color w:val="000000"/>
          <w:sz w:val="24"/>
          <w:szCs w:val="24"/>
        </w:rPr>
        <w:t>S</w:t>
      </w:r>
    </w:p>
    <w:p w:rsidR="00892FCF" w:rsidRPr="00FA7506" w:rsidRDefault="00892FCF"/>
    <w:p w:rsidR="00892FCF" w:rsidRPr="00FA7506" w:rsidRDefault="00ED223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t xml:space="preserve">El día </w:t>
      </w:r>
      <w:r w:rsidRPr="00FA7506">
        <w:rPr>
          <w:rFonts w:ascii="Palatino Linotype" w:eastAsia="Palatino Linotype" w:hAnsi="Palatino Linotype" w:cs="Palatino Linotype"/>
          <w:b/>
          <w:color w:val="000000"/>
        </w:rPr>
        <w:t>veintiséis de agosto de dos mil veinticuatro</w:t>
      </w:r>
      <w:r w:rsidRPr="00FA7506">
        <w:rPr>
          <w:rFonts w:ascii="Palatino Linotype" w:eastAsia="Palatino Linotype" w:hAnsi="Palatino Linotype" w:cs="Palatino Linotype"/>
          <w:color w:val="000000"/>
        </w:rPr>
        <w:t xml:space="preserve">, se presentó ante el </w:t>
      </w:r>
      <w:r w:rsidRPr="00FA7506">
        <w:rPr>
          <w:rFonts w:ascii="Palatino Linotype" w:eastAsia="Palatino Linotype" w:hAnsi="Palatino Linotype" w:cs="Palatino Linotype"/>
          <w:b/>
          <w:color w:val="000000"/>
        </w:rPr>
        <w:t>SUJETO OBLIGADO</w:t>
      </w:r>
      <w:r w:rsidRPr="00FA7506">
        <w:rPr>
          <w:rFonts w:ascii="Palatino Linotype" w:eastAsia="Palatino Linotype" w:hAnsi="Palatino Linotype" w:cs="Palatino Linotype"/>
          <w:color w:val="000000"/>
        </w:rPr>
        <w:t xml:space="preserve"> vía SAIMEX, la solicitud de información pública registrada con el número </w:t>
      </w:r>
      <w:r w:rsidRPr="00FA7506">
        <w:rPr>
          <w:rFonts w:ascii="Palatino Linotype" w:eastAsia="Palatino Linotype" w:hAnsi="Palatino Linotype" w:cs="Palatino Linotype"/>
          <w:b/>
          <w:color w:val="000000"/>
        </w:rPr>
        <w:t>01964/TOLUCA/IP/2024</w:t>
      </w:r>
      <w:r w:rsidRPr="00FA7506">
        <w:rPr>
          <w:rFonts w:ascii="Palatino Linotype" w:eastAsia="Palatino Linotype" w:hAnsi="Palatino Linotype" w:cs="Palatino Linotype"/>
          <w:color w:val="000000"/>
        </w:rPr>
        <w:t xml:space="preserve">; </w:t>
      </w:r>
      <w:r w:rsidR="00EA5B46" w:rsidRPr="00FA7506">
        <w:rPr>
          <w:rFonts w:ascii="Palatino Linotype" w:eastAsia="Palatino Linotype" w:hAnsi="Palatino Linotype" w:cs="Palatino Linotype"/>
          <w:color w:val="000000"/>
        </w:rPr>
        <w:t>en la que</w:t>
      </w:r>
      <w:r w:rsidRPr="00FA7506">
        <w:rPr>
          <w:rFonts w:ascii="Palatino Linotype" w:eastAsia="Palatino Linotype" w:hAnsi="Palatino Linotype" w:cs="Palatino Linotype"/>
          <w:color w:val="000000"/>
        </w:rPr>
        <w:t xml:space="preserve"> se solicitó la siguiente información:</w:t>
      </w:r>
    </w:p>
    <w:p w:rsidR="00892FCF" w:rsidRPr="00FA7506" w:rsidRDefault="00892FC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892FCF" w:rsidRPr="00FA7506" w:rsidRDefault="00ED2233">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i/>
          <w:color w:val="000000"/>
        </w:rPr>
        <w:t xml:space="preserve">“De la Unidad Deportiva ubicada en San Pablo </w:t>
      </w:r>
      <w:proofErr w:type="spellStart"/>
      <w:r w:rsidRPr="00FA7506">
        <w:rPr>
          <w:rFonts w:ascii="Palatino Linotype" w:eastAsia="Palatino Linotype" w:hAnsi="Palatino Linotype" w:cs="Palatino Linotype"/>
          <w:i/>
          <w:color w:val="000000"/>
        </w:rPr>
        <w:t>Autopan</w:t>
      </w:r>
      <w:proofErr w:type="spellEnd"/>
      <w:r w:rsidRPr="00FA7506">
        <w:rPr>
          <w:rFonts w:ascii="Palatino Linotype" w:eastAsia="Palatino Linotype" w:hAnsi="Palatino Linotype" w:cs="Palatino Linotype"/>
          <w:i/>
          <w:color w:val="000000"/>
        </w:rPr>
        <w:t>: Documento con el que se acredite la propiedad. Acta de Cabildo en el que se aprobó la obra. Nombre de los responsables que tienen lo tienen bajo su resguardo. Servidor o servidores públicos a quien se le tenga que girar oficio para realizar una actividad y el fúndame legalmente. No son incompetentes para dar respuesta, el Secretario del Ayuntamiento o alguna de las sindicaturas tiene bajo su resguardo la información</w:t>
      </w:r>
      <w:proofErr w:type="gramStart"/>
      <w:r w:rsidRPr="00FA7506">
        <w:rPr>
          <w:rFonts w:ascii="Palatino Linotype" w:eastAsia="Palatino Linotype" w:hAnsi="Palatino Linotype" w:cs="Palatino Linotype"/>
          <w:i/>
          <w:color w:val="000000"/>
        </w:rPr>
        <w:t>..”</w:t>
      </w:r>
      <w:proofErr w:type="gramEnd"/>
    </w:p>
    <w:p w:rsidR="00892FCF" w:rsidRPr="00FA7506" w:rsidRDefault="00892FCF">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rsidR="00892FCF" w:rsidRPr="00FA7506" w:rsidRDefault="00ED2233">
      <w:pPr>
        <w:numPr>
          <w:ilvl w:val="0"/>
          <w:numId w:val="5"/>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lastRenderedPageBreak/>
        <w:t xml:space="preserve">Se eligió modalidad de entrega de la información: </w:t>
      </w:r>
      <w:r w:rsidRPr="00FA7506">
        <w:rPr>
          <w:rFonts w:ascii="Palatino Linotype" w:eastAsia="Palatino Linotype" w:hAnsi="Palatino Linotype" w:cs="Palatino Linotype"/>
          <w:b/>
          <w:color w:val="000000"/>
        </w:rPr>
        <w:t xml:space="preserve">Vía Sistema de Acceso a la Información (SAIMEX) </w:t>
      </w:r>
    </w:p>
    <w:p w:rsidR="00892FCF" w:rsidRPr="00FA7506" w:rsidRDefault="00892FCF">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rsidR="00892FCF" w:rsidRPr="00FA7506" w:rsidRDefault="00ED223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FA7506">
        <w:rPr>
          <w:rFonts w:ascii="Palatino Linotype" w:eastAsia="Palatino Linotype" w:hAnsi="Palatino Linotype" w:cs="Palatino Linotype"/>
          <w:color w:val="000000"/>
        </w:rPr>
        <w:t xml:space="preserve">El </w:t>
      </w:r>
      <w:r w:rsidRPr="00FA7506">
        <w:rPr>
          <w:rFonts w:ascii="Palatino Linotype" w:eastAsia="Palatino Linotype" w:hAnsi="Palatino Linotype" w:cs="Palatino Linotype"/>
          <w:b/>
          <w:color w:val="000000"/>
        </w:rPr>
        <w:t>veintisiete de agosto de dos mil veinticuatro</w:t>
      </w:r>
      <w:r w:rsidRPr="00FA7506">
        <w:rPr>
          <w:rFonts w:ascii="Palatino Linotype" w:eastAsia="Palatino Linotype" w:hAnsi="Palatino Linotype" w:cs="Palatino Linotype"/>
          <w:color w:val="000000"/>
        </w:rPr>
        <w:t xml:space="preserve">, el </w:t>
      </w:r>
      <w:r w:rsidRPr="00FA7506">
        <w:rPr>
          <w:rFonts w:ascii="Palatino Linotype" w:eastAsia="Palatino Linotype" w:hAnsi="Palatino Linotype" w:cs="Palatino Linotype"/>
          <w:b/>
          <w:color w:val="000000"/>
        </w:rPr>
        <w:t>SUJETO OBLIGADO</w:t>
      </w:r>
      <w:r w:rsidRPr="00FA7506">
        <w:rPr>
          <w:rFonts w:ascii="Palatino Linotype" w:eastAsia="Palatino Linotype" w:hAnsi="Palatino Linotype" w:cs="Palatino Linotype"/>
          <w:color w:val="000000"/>
        </w:rPr>
        <w:t xml:space="preserve">, giro el requerimiento de información para que fuera atendida la solicitud de información </w:t>
      </w:r>
      <w:r w:rsidRPr="00FA7506">
        <w:rPr>
          <w:rFonts w:ascii="Palatino Linotype" w:eastAsia="Palatino Linotype" w:hAnsi="Palatino Linotype" w:cs="Palatino Linotype"/>
          <w:b/>
          <w:color w:val="000000"/>
        </w:rPr>
        <w:t xml:space="preserve">01964/TOLUCA/IP/2024. </w:t>
      </w:r>
    </w:p>
    <w:p w:rsidR="00892FCF" w:rsidRPr="00FA7506" w:rsidRDefault="00ED223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r w:rsidRPr="00FA7506">
        <w:rPr>
          <w:rFonts w:ascii="Palatino Linotype" w:eastAsia="Palatino Linotype" w:hAnsi="Palatino Linotype" w:cs="Palatino Linotype"/>
          <w:color w:val="000000"/>
        </w:rPr>
        <w:t xml:space="preserve"> </w:t>
      </w:r>
    </w:p>
    <w:p w:rsidR="00892FCF" w:rsidRPr="00FA7506" w:rsidRDefault="00ED223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FA7506">
        <w:rPr>
          <w:rFonts w:ascii="Palatino Linotype" w:eastAsia="Palatino Linotype" w:hAnsi="Palatino Linotype" w:cs="Palatino Linotype"/>
          <w:color w:val="000000"/>
        </w:rPr>
        <w:t xml:space="preserve">El </w:t>
      </w:r>
      <w:r w:rsidRPr="00FA7506">
        <w:rPr>
          <w:rFonts w:ascii="Palatino Linotype" w:eastAsia="Palatino Linotype" w:hAnsi="Palatino Linotype" w:cs="Palatino Linotype"/>
          <w:b/>
          <w:color w:val="000000"/>
        </w:rPr>
        <w:t xml:space="preserve">diecisiete de septiembre de dos mil veinticuatro, </w:t>
      </w:r>
      <w:r w:rsidRPr="00FA7506">
        <w:rPr>
          <w:rFonts w:ascii="Palatino Linotype" w:eastAsia="Palatino Linotype" w:hAnsi="Palatino Linotype" w:cs="Palatino Linotype"/>
          <w:color w:val="000000"/>
        </w:rPr>
        <w:t xml:space="preserve">el </w:t>
      </w:r>
      <w:r w:rsidRPr="00FA7506">
        <w:rPr>
          <w:rFonts w:ascii="Palatino Linotype" w:eastAsia="Palatino Linotype" w:hAnsi="Palatino Linotype" w:cs="Palatino Linotype"/>
          <w:b/>
          <w:color w:val="000000"/>
        </w:rPr>
        <w:t xml:space="preserve">SUJETO OBLIGADO </w:t>
      </w:r>
      <w:r w:rsidRPr="00FA7506">
        <w:rPr>
          <w:rFonts w:ascii="Palatino Linotype" w:eastAsia="Palatino Linotype" w:hAnsi="Palatino Linotype" w:cs="Palatino Linotype"/>
          <w:color w:val="000000"/>
        </w:rPr>
        <w:t xml:space="preserve">emitió el acuerdo de prórroga para que fuera atendida la solicitud de información </w:t>
      </w:r>
      <w:r w:rsidRPr="00FA7506">
        <w:rPr>
          <w:rFonts w:ascii="Palatino Linotype" w:eastAsia="Palatino Linotype" w:hAnsi="Palatino Linotype" w:cs="Palatino Linotype"/>
          <w:b/>
          <w:color w:val="000000"/>
        </w:rPr>
        <w:t xml:space="preserve">01964/TOLUCA/IP/2024. </w:t>
      </w:r>
    </w:p>
    <w:p w:rsidR="00892FCF" w:rsidRPr="00FA7506" w:rsidRDefault="00892FC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rsidR="00892FCF" w:rsidRPr="00FA7506" w:rsidRDefault="00ED223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FA7506">
        <w:rPr>
          <w:rFonts w:ascii="Palatino Linotype" w:eastAsia="Palatino Linotype" w:hAnsi="Palatino Linotype" w:cs="Palatino Linotype"/>
          <w:color w:val="000000"/>
        </w:rPr>
        <w:t xml:space="preserve">El </w:t>
      </w:r>
      <w:r w:rsidRPr="00FA7506">
        <w:rPr>
          <w:rFonts w:ascii="Palatino Linotype" w:eastAsia="Palatino Linotype" w:hAnsi="Palatino Linotype" w:cs="Palatino Linotype"/>
          <w:b/>
          <w:color w:val="000000"/>
        </w:rPr>
        <w:t xml:space="preserve">veintiséis de septiembre de dos mil veinticuatro, </w:t>
      </w:r>
      <w:r w:rsidRPr="00FA7506">
        <w:rPr>
          <w:rFonts w:ascii="Palatino Linotype" w:eastAsia="Palatino Linotype" w:hAnsi="Palatino Linotype" w:cs="Palatino Linotype"/>
          <w:color w:val="000000"/>
        </w:rPr>
        <w:t xml:space="preserve">el </w:t>
      </w:r>
      <w:r w:rsidRPr="00FA7506">
        <w:rPr>
          <w:rFonts w:ascii="Palatino Linotype" w:eastAsia="Palatino Linotype" w:hAnsi="Palatino Linotype" w:cs="Palatino Linotype"/>
          <w:b/>
          <w:color w:val="000000"/>
        </w:rPr>
        <w:t xml:space="preserve">SUJETO OBLIGADO </w:t>
      </w:r>
      <w:r w:rsidRPr="00FA7506">
        <w:rPr>
          <w:rFonts w:ascii="Palatino Linotype" w:eastAsia="Palatino Linotype" w:hAnsi="Palatino Linotype" w:cs="Palatino Linotype"/>
          <w:color w:val="000000"/>
        </w:rPr>
        <w:t xml:space="preserve">dio respuesta por medio de cuatro archivos electrónicos en formato </w:t>
      </w:r>
      <w:proofErr w:type="spellStart"/>
      <w:r w:rsidRPr="00FA7506">
        <w:rPr>
          <w:rFonts w:ascii="Palatino Linotype" w:eastAsia="Palatino Linotype" w:hAnsi="Palatino Linotype" w:cs="Palatino Linotype"/>
          <w:color w:val="000000"/>
        </w:rPr>
        <w:t>pdf</w:t>
      </w:r>
      <w:proofErr w:type="spellEnd"/>
      <w:r w:rsidRPr="00FA7506">
        <w:rPr>
          <w:rFonts w:ascii="Palatino Linotype" w:eastAsia="Palatino Linotype" w:hAnsi="Palatino Linotype" w:cs="Palatino Linotype"/>
          <w:color w:val="000000"/>
        </w:rPr>
        <w:t xml:space="preserve">, cuyo contenido grosso modo es el siguiente. </w:t>
      </w:r>
    </w:p>
    <w:p w:rsidR="00892FCF" w:rsidRPr="00FA7506" w:rsidRDefault="00ED2233">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rPr>
      </w:pPr>
      <w:bookmarkStart w:id="1" w:name="_heading=h.30j0zll" w:colFirst="0" w:colLast="0"/>
      <w:bookmarkEnd w:id="1"/>
      <w:r w:rsidRPr="00FA7506">
        <w:rPr>
          <w:rFonts w:ascii="Palatino Linotype" w:eastAsia="Palatino Linotype" w:hAnsi="Palatino Linotype" w:cs="Palatino Linotype"/>
          <w:b/>
          <w:i/>
          <w:color w:val="000000"/>
          <w:sz w:val="22"/>
        </w:rPr>
        <w:t xml:space="preserve">SA anexo SAIMEX 1964-2.pdf: </w:t>
      </w:r>
      <w:r w:rsidRPr="00FA7506">
        <w:rPr>
          <w:rFonts w:ascii="Palatino Linotype" w:eastAsia="Palatino Linotype" w:hAnsi="Palatino Linotype" w:cs="Palatino Linotype"/>
          <w:i/>
          <w:color w:val="000000"/>
          <w:sz w:val="22"/>
        </w:rPr>
        <w:t xml:space="preserve">Acta de la Trigésima Quinta Sesión Ordinaria del once de junio de dos mil diez, mediante el cual se observa que el punto siete del orden del día se aprueban la obras para realizar en el dos mil diez, entre las que se observan la Construcción de la  Unidad Deportiva y su monto autorizado. </w:t>
      </w:r>
    </w:p>
    <w:p w:rsidR="00892FCF" w:rsidRPr="00FA7506" w:rsidRDefault="00ED2233">
      <w:pP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 xml:space="preserve">SA anexo SAIMEX 1964-1: </w:t>
      </w:r>
      <w:r w:rsidRPr="00FA7506">
        <w:rPr>
          <w:rFonts w:ascii="Palatino Linotype" w:eastAsia="Palatino Linotype" w:hAnsi="Palatino Linotype" w:cs="Palatino Linotype"/>
          <w:i/>
          <w:color w:val="000000"/>
          <w:sz w:val="22"/>
        </w:rPr>
        <w:t xml:space="preserve">consistente en el instrumento notarial relativo a los contratos de compra venta entre el Ayuntamiento de Toluca y los Vendedores, de los cuales no se observa el dato, toda vez que el SUJETO OBLIGADO lo clasifico como reservado. </w:t>
      </w:r>
    </w:p>
    <w:p w:rsidR="00892FCF" w:rsidRPr="00FA7506" w:rsidRDefault="00ED2233">
      <w:pPr>
        <w:ind w:left="1134" w:right="900"/>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Acta 733: </w:t>
      </w:r>
      <w:r w:rsidRPr="00FA7506">
        <w:rPr>
          <w:rFonts w:ascii="Palatino Linotype" w:eastAsia="Palatino Linotype" w:hAnsi="Palatino Linotype" w:cs="Palatino Linotype"/>
          <w:i/>
          <w:color w:val="000000"/>
          <w:sz w:val="22"/>
        </w:rPr>
        <w:t>Acta de la Trigésima Tercera Sesión Extraordinaria del Comité de Transparencia, mediante el cual aprueban la clasificación como confidencial de datos relacionados con el nombre, domicilio, lugar y fecha de nacimiento, estado civil, ocupación, registro federal de contribuyentes, CURP, clave catastral y número de credencial para votar.</w:t>
      </w:r>
      <w:r w:rsidRPr="00FA7506">
        <w:rPr>
          <w:rFonts w:ascii="Palatino Linotype" w:eastAsia="Palatino Linotype" w:hAnsi="Palatino Linotype" w:cs="Palatino Linotype"/>
          <w:b/>
          <w:i/>
          <w:color w:val="000000"/>
          <w:sz w:val="22"/>
        </w:rPr>
        <w:t xml:space="preserve">  </w:t>
      </w:r>
    </w:p>
    <w:p w:rsidR="00892FCF" w:rsidRPr="00FA7506" w:rsidRDefault="00ED2233">
      <w:pP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 xml:space="preserve">Respuesta 01964_24 (1): </w:t>
      </w:r>
      <w:r w:rsidRPr="00FA7506">
        <w:rPr>
          <w:rFonts w:ascii="Palatino Linotype" w:eastAsia="Palatino Linotype" w:hAnsi="Palatino Linotype" w:cs="Palatino Linotype"/>
          <w:i/>
          <w:color w:val="000000"/>
          <w:sz w:val="22"/>
        </w:rPr>
        <w:t xml:space="preserve">oficio de la Titular de la Unidad de Transparencia, mediante el cual refiere que la Secretaría del Ayuntamiento remite el Acta de Sesión y el Instrumento Notarial número diecisiete que acredita la propiedad de la Unidad Deportiva ubicada en San Pablo </w:t>
      </w:r>
      <w:proofErr w:type="spellStart"/>
      <w:r w:rsidRPr="00FA7506">
        <w:rPr>
          <w:rFonts w:ascii="Palatino Linotype" w:eastAsia="Palatino Linotype" w:hAnsi="Palatino Linotype" w:cs="Palatino Linotype"/>
          <w:i/>
          <w:color w:val="000000"/>
          <w:sz w:val="22"/>
        </w:rPr>
        <w:t>Autopan</w:t>
      </w:r>
      <w:proofErr w:type="spellEnd"/>
      <w:r w:rsidRPr="00FA7506">
        <w:rPr>
          <w:rFonts w:ascii="Palatino Linotype" w:eastAsia="Palatino Linotype" w:hAnsi="Palatino Linotype" w:cs="Palatino Linotype"/>
          <w:i/>
          <w:color w:val="000000"/>
          <w:sz w:val="22"/>
        </w:rPr>
        <w:t xml:space="preserve">. </w:t>
      </w:r>
    </w:p>
    <w:p w:rsidR="00892FCF" w:rsidRPr="00FA7506" w:rsidRDefault="00ED2233">
      <w:pP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lastRenderedPageBreak/>
        <w:t xml:space="preserve">Del Resguardo refieren que es propiedad municipal y que por lo tanto </w:t>
      </w:r>
      <w:proofErr w:type="spellStart"/>
      <w:r w:rsidRPr="00FA7506">
        <w:rPr>
          <w:rFonts w:ascii="Palatino Linotype" w:eastAsia="Palatino Linotype" w:hAnsi="Palatino Linotype" w:cs="Palatino Linotype"/>
          <w:b/>
          <w:i/>
          <w:color w:val="000000"/>
          <w:sz w:val="22"/>
        </w:rPr>
        <w:t>esta</w:t>
      </w:r>
      <w:proofErr w:type="spellEnd"/>
      <w:r w:rsidRPr="00FA7506">
        <w:rPr>
          <w:rFonts w:ascii="Palatino Linotype" w:eastAsia="Palatino Linotype" w:hAnsi="Palatino Linotype" w:cs="Palatino Linotype"/>
          <w:b/>
          <w:i/>
          <w:color w:val="000000"/>
          <w:sz w:val="22"/>
        </w:rPr>
        <w:t xml:space="preserve"> a resguardo del Ayuntamiento de Toluca.</w:t>
      </w:r>
      <w:r w:rsidRPr="00FA7506">
        <w:rPr>
          <w:rFonts w:ascii="Palatino Linotype" w:eastAsia="Palatino Linotype" w:hAnsi="Palatino Linotype" w:cs="Palatino Linotype"/>
          <w:i/>
          <w:color w:val="000000"/>
          <w:sz w:val="22"/>
        </w:rPr>
        <w:t xml:space="preserve">  </w:t>
      </w:r>
    </w:p>
    <w:p w:rsidR="00892FCF" w:rsidRPr="00FA7506" w:rsidRDefault="00892FCF">
      <w:pPr>
        <w:pBdr>
          <w:top w:val="nil"/>
          <w:left w:val="nil"/>
          <w:bottom w:val="nil"/>
          <w:right w:val="nil"/>
          <w:between w:val="nil"/>
        </w:pBdr>
        <w:tabs>
          <w:tab w:val="left" w:pos="0"/>
        </w:tabs>
        <w:spacing w:line="360" w:lineRule="auto"/>
        <w:ind w:left="1134" w:right="49"/>
        <w:jc w:val="both"/>
        <w:rPr>
          <w:rFonts w:ascii="Palatino Linotype" w:eastAsia="Palatino Linotype" w:hAnsi="Palatino Linotype" w:cs="Palatino Linotype"/>
          <w:i/>
          <w:color w:val="000000"/>
        </w:rPr>
      </w:pPr>
    </w:p>
    <w:p w:rsidR="00892FCF" w:rsidRPr="00FA7506" w:rsidRDefault="00ED223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FA7506">
        <w:rPr>
          <w:rFonts w:ascii="Palatino Linotype" w:eastAsia="Palatino Linotype" w:hAnsi="Palatino Linotype" w:cs="Palatino Linotype"/>
          <w:color w:val="000000"/>
        </w:rPr>
        <w:t>El</w:t>
      </w:r>
      <w:r w:rsidRPr="00FA7506">
        <w:rPr>
          <w:rFonts w:ascii="Palatino Linotype" w:eastAsia="Palatino Linotype" w:hAnsi="Palatino Linotype" w:cs="Palatino Linotype"/>
          <w:b/>
          <w:color w:val="000000"/>
        </w:rPr>
        <w:t xml:space="preserve"> treinta de septiembre de dos mil veinticuatro</w:t>
      </w:r>
      <w:r w:rsidRPr="00FA7506">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rsidR="00892FCF" w:rsidRPr="00FA7506" w:rsidRDefault="00ED2233" w:rsidP="00021853">
      <w:pPr>
        <w:pStyle w:val="Prrafodelista"/>
        <w:numPr>
          <w:ilvl w:val="0"/>
          <w:numId w:val="10"/>
        </w:numPr>
        <w:pBdr>
          <w:top w:val="nil"/>
          <w:left w:val="nil"/>
          <w:bottom w:val="nil"/>
          <w:right w:val="nil"/>
          <w:between w:val="nil"/>
        </w:pBdr>
        <w:spacing w:line="360" w:lineRule="auto"/>
        <w:ind w:right="900"/>
        <w:jc w:val="both"/>
        <w:rPr>
          <w:rFonts w:ascii="Palatino Linotype" w:eastAsia="Palatino Linotype" w:hAnsi="Palatino Linotype" w:cs="Palatino Linotype"/>
          <w:i/>
          <w:color w:val="000000"/>
        </w:rPr>
      </w:pPr>
      <w:bookmarkStart w:id="2" w:name="_heading=h.1fob9te" w:colFirst="0" w:colLast="0"/>
      <w:bookmarkEnd w:id="2"/>
      <w:r w:rsidRPr="00FA7506">
        <w:rPr>
          <w:rFonts w:ascii="Palatino Linotype" w:eastAsia="Palatino Linotype" w:hAnsi="Palatino Linotype" w:cs="Palatino Linotype"/>
          <w:b/>
          <w:color w:val="000000"/>
        </w:rPr>
        <w:t xml:space="preserve">Acto impugnado: </w:t>
      </w:r>
      <w:r w:rsidRPr="00FA7506">
        <w:rPr>
          <w:rFonts w:ascii="Palatino Linotype" w:eastAsia="Palatino Linotype" w:hAnsi="Palatino Linotype" w:cs="Palatino Linotype"/>
          <w:i/>
          <w:color w:val="000000"/>
        </w:rPr>
        <w:t>“No entrega todo”</w:t>
      </w:r>
    </w:p>
    <w:p w:rsidR="00892FCF" w:rsidRPr="00FA7506" w:rsidRDefault="00ED2233" w:rsidP="00021853">
      <w:pPr>
        <w:pStyle w:val="Prrafodelista"/>
        <w:numPr>
          <w:ilvl w:val="0"/>
          <w:numId w:val="10"/>
        </w:numPr>
        <w:pBdr>
          <w:top w:val="nil"/>
          <w:left w:val="nil"/>
          <w:bottom w:val="nil"/>
          <w:right w:val="nil"/>
          <w:between w:val="nil"/>
        </w:pBdr>
        <w:tabs>
          <w:tab w:val="left" w:pos="7020"/>
        </w:tabs>
        <w:spacing w:line="360" w:lineRule="auto"/>
        <w:ind w:right="900"/>
        <w:jc w:val="both"/>
        <w:rPr>
          <w:rFonts w:ascii="Palatino Linotype" w:eastAsia="Palatino Linotype" w:hAnsi="Palatino Linotype" w:cs="Palatino Linotype"/>
          <w:b/>
          <w:i/>
          <w:color w:val="000000"/>
        </w:rPr>
      </w:pPr>
      <w:bookmarkStart w:id="3" w:name="_heading=h.3znysh7" w:colFirst="0" w:colLast="0"/>
      <w:bookmarkEnd w:id="3"/>
      <w:r w:rsidRPr="00FA7506">
        <w:rPr>
          <w:rFonts w:ascii="Palatino Linotype" w:eastAsia="Palatino Linotype" w:hAnsi="Palatino Linotype" w:cs="Palatino Linotype"/>
          <w:b/>
          <w:color w:val="000000"/>
        </w:rPr>
        <w:t xml:space="preserve">Razones o Motivos de inconformidad: </w:t>
      </w:r>
      <w:r w:rsidRPr="00FA7506">
        <w:rPr>
          <w:rFonts w:ascii="Palatino Linotype" w:eastAsia="Palatino Linotype" w:hAnsi="Palatino Linotype" w:cs="Palatino Linotype"/>
          <w:i/>
          <w:color w:val="000000"/>
        </w:rPr>
        <w:t>“No entrega todo</w:t>
      </w:r>
    </w:p>
    <w:p w:rsidR="00892FCF" w:rsidRPr="00FA7506" w:rsidRDefault="00892FCF">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FA7506">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Pr="00FA7506">
        <w:rPr>
          <w:rFonts w:ascii="Palatino Linotype" w:eastAsia="Palatino Linotype" w:hAnsi="Palatino Linotype" w:cs="Palatino Linotype"/>
          <w:b/>
          <w:color w:val="000000"/>
        </w:rPr>
        <w:t>siete de octubre de dos mil veinticuatro</w:t>
      </w:r>
      <w:r w:rsidRPr="00FA7506">
        <w:rPr>
          <w:rFonts w:ascii="Palatino Linotype" w:eastAsia="Palatino Linotype" w:hAnsi="Palatino Linotype" w:cs="Palatino Linotype"/>
          <w:color w:val="000000"/>
        </w:rPr>
        <w:t xml:space="preserve">, puso a disposición de las partes el expediente electrónico vía </w:t>
      </w:r>
      <w:r w:rsidRPr="00FA7506">
        <w:rPr>
          <w:rFonts w:ascii="Palatino Linotype" w:eastAsia="Palatino Linotype" w:hAnsi="Palatino Linotype" w:cs="Palatino Linotype"/>
          <w:b/>
          <w:color w:val="000000"/>
        </w:rPr>
        <w:t xml:space="preserve">SAIMEX </w:t>
      </w:r>
      <w:r w:rsidRPr="00FA7506">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Pr="00FA7506">
        <w:rPr>
          <w:rFonts w:ascii="Palatino Linotype" w:eastAsia="Palatino Linotype" w:hAnsi="Palatino Linotype" w:cs="Palatino Linotype"/>
          <w:b/>
          <w:color w:val="000000"/>
        </w:rPr>
        <w:t>SUJETO OBLIGADO</w:t>
      </w:r>
      <w:r w:rsidRPr="00FA7506">
        <w:rPr>
          <w:rFonts w:ascii="Palatino Linotype" w:eastAsia="Palatino Linotype" w:hAnsi="Palatino Linotype" w:cs="Palatino Linotype"/>
          <w:color w:val="000000"/>
        </w:rPr>
        <w:t xml:space="preserve"> presentará el Informe Justificado procedente.</w:t>
      </w:r>
    </w:p>
    <w:p w:rsidR="00892FCF" w:rsidRPr="00FA7506" w:rsidRDefault="00892FC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t xml:space="preserve">De lo </w:t>
      </w:r>
      <w:r w:rsidRPr="00FA7506">
        <w:rPr>
          <w:rFonts w:ascii="Palatino Linotype" w:eastAsia="Palatino Linotype" w:hAnsi="Palatino Linotype" w:cs="Palatino Linotype"/>
          <w:b/>
          <w:color w:val="000000"/>
        </w:rPr>
        <w:t>anterior</w:t>
      </w:r>
      <w:r w:rsidRPr="00FA7506">
        <w:rPr>
          <w:rFonts w:ascii="Palatino Linotype" w:eastAsia="Palatino Linotype" w:hAnsi="Palatino Linotype" w:cs="Palatino Linotype"/>
          <w:color w:val="000000"/>
        </w:rPr>
        <w:t xml:space="preserve">, el </w:t>
      </w:r>
      <w:r w:rsidRPr="00FA7506">
        <w:rPr>
          <w:rFonts w:ascii="Palatino Linotype" w:eastAsia="Palatino Linotype" w:hAnsi="Palatino Linotype" w:cs="Palatino Linotype"/>
          <w:b/>
          <w:color w:val="000000"/>
        </w:rPr>
        <w:t xml:space="preserve">SUJETO OBLIGADO el dieciséis de octubre de dos mil veinticuatro,  </w:t>
      </w:r>
      <w:r w:rsidRPr="00FA7506">
        <w:rPr>
          <w:rFonts w:ascii="Palatino Linotype" w:eastAsia="Palatino Linotype" w:hAnsi="Palatino Linotype" w:cs="Palatino Linotype"/>
          <w:color w:val="000000"/>
        </w:rPr>
        <w:t xml:space="preserve">entrego un archivo  electrónico en formato </w:t>
      </w:r>
      <w:proofErr w:type="spellStart"/>
      <w:r w:rsidRPr="00FA7506">
        <w:rPr>
          <w:rFonts w:ascii="Palatino Linotype" w:eastAsia="Palatino Linotype" w:hAnsi="Palatino Linotype" w:cs="Palatino Linotype"/>
          <w:color w:val="000000"/>
        </w:rPr>
        <w:t>pdf</w:t>
      </w:r>
      <w:proofErr w:type="spellEnd"/>
      <w:r w:rsidRPr="00FA7506">
        <w:rPr>
          <w:rFonts w:ascii="Palatino Linotype" w:eastAsia="Palatino Linotype" w:hAnsi="Palatino Linotype" w:cs="Palatino Linotype"/>
          <w:color w:val="000000"/>
        </w:rPr>
        <w:t>, cuyo contenido grosso modo es el siguiente.</w:t>
      </w:r>
      <w:r w:rsidRPr="00FA7506">
        <w:rPr>
          <w:rFonts w:ascii="Palatino Linotype" w:eastAsia="Palatino Linotype" w:hAnsi="Palatino Linotype" w:cs="Palatino Linotype"/>
          <w:b/>
          <w:color w:val="000000"/>
        </w:rPr>
        <w:t xml:space="preserve"> </w:t>
      </w:r>
    </w:p>
    <w:p w:rsidR="00892FCF" w:rsidRPr="00FA7506" w:rsidRDefault="00ED2233" w:rsidP="00021853">
      <w:pPr>
        <w:pBdr>
          <w:top w:val="nil"/>
          <w:left w:val="nil"/>
          <w:bottom w:val="nil"/>
          <w:right w:val="nil"/>
          <w:between w:val="nil"/>
        </w:pBdr>
        <w:ind w:left="1134" w:right="850"/>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05928</w:t>
      </w:r>
      <w:proofErr w:type="gramStart"/>
      <w:r w:rsidRPr="00FA7506">
        <w:rPr>
          <w:rFonts w:ascii="Palatino Linotype" w:eastAsia="Palatino Linotype" w:hAnsi="Palatino Linotype" w:cs="Palatino Linotype"/>
          <w:b/>
          <w:i/>
          <w:color w:val="000000"/>
          <w:sz w:val="22"/>
        </w:rPr>
        <w:t>.pdf</w:t>
      </w:r>
      <w:proofErr w:type="gramEnd"/>
      <w:r w:rsidRPr="00FA7506">
        <w:rPr>
          <w:rFonts w:ascii="Palatino Linotype" w:eastAsia="Palatino Linotype" w:hAnsi="Palatino Linotype" w:cs="Palatino Linotype"/>
          <w:b/>
          <w:i/>
          <w:color w:val="000000"/>
          <w:sz w:val="22"/>
        </w:rPr>
        <w:t xml:space="preserve">: </w:t>
      </w:r>
      <w:r w:rsidRPr="00FA7506">
        <w:rPr>
          <w:rFonts w:ascii="Palatino Linotype" w:eastAsia="Palatino Linotype" w:hAnsi="Palatino Linotype" w:cs="Palatino Linotype"/>
          <w:i/>
          <w:color w:val="000000"/>
          <w:sz w:val="22"/>
        </w:rPr>
        <w:t xml:space="preserve">informe justificado mediante el cual el </w:t>
      </w:r>
      <w:r w:rsidRPr="00FA7506">
        <w:rPr>
          <w:rFonts w:ascii="Palatino Linotype" w:eastAsia="Palatino Linotype" w:hAnsi="Palatino Linotype" w:cs="Palatino Linotype"/>
          <w:b/>
          <w:i/>
          <w:color w:val="000000"/>
          <w:sz w:val="22"/>
        </w:rPr>
        <w:t xml:space="preserve">SUJETO OBLIGADO </w:t>
      </w:r>
      <w:r w:rsidRPr="00FA7506">
        <w:rPr>
          <w:rFonts w:ascii="Palatino Linotype" w:eastAsia="Palatino Linotype" w:hAnsi="Palatino Linotype" w:cs="Palatino Linotype"/>
          <w:i/>
          <w:color w:val="000000"/>
          <w:sz w:val="22"/>
        </w:rPr>
        <w:t xml:space="preserve">ratifica la respuesta inicial. </w:t>
      </w:r>
    </w:p>
    <w:p w:rsidR="00892FCF" w:rsidRPr="00FA7506" w:rsidRDefault="00892FCF">
      <w:pPr>
        <w:pBdr>
          <w:top w:val="nil"/>
          <w:left w:val="nil"/>
          <w:bottom w:val="nil"/>
          <w:right w:val="nil"/>
          <w:between w:val="nil"/>
        </w:pBdr>
        <w:ind w:left="1134"/>
        <w:rPr>
          <w:rFonts w:ascii="Palatino Linotype" w:eastAsia="Palatino Linotype" w:hAnsi="Palatino Linotype" w:cs="Palatino Linotype"/>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t xml:space="preserve">Por su parte el </w:t>
      </w:r>
      <w:r w:rsidRPr="00FA7506">
        <w:rPr>
          <w:rFonts w:ascii="Palatino Linotype" w:eastAsia="Palatino Linotype" w:hAnsi="Palatino Linotype" w:cs="Palatino Linotype"/>
          <w:b/>
          <w:color w:val="000000"/>
        </w:rPr>
        <w:t xml:space="preserve">RECURRENTE </w:t>
      </w:r>
      <w:r w:rsidRPr="00FA7506">
        <w:rPr>
          <w:rFonts w:ascii="Palatino Linotype" w:eastAsia="Palatino Linotype" w:hAnsi="Palatino Linotype" w:cs="Palatino Linotype"/>
          <w:color w:val="000000"/>
        </w:rPr>
        <w:t xml:space="preserve">dejo de realizar manifestaciones que a su derecho conviniera y asistiera. </w:t>
      </w:r>
    </w:p>
    <w:p w:rsidR="00892FCF" w:rsidRPr="00FA7506" w:rsidRDefault="00892FCF">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4" w:name="_heading=h.2et92p0" w:colFirst="0" w:colLast="0"/>
      <w:bookmarkEnd w:id="4"/>
      <w:r w:rsidRPr="00FA7506">
        <w:rPr>
          <w:rFonts w:ascii="Palatino Linotype" w:eastAsia="Palatino Linotype" w:hAnsi="Palatino Linotype" w:cs="Palatino Linotype"/>
          <w:color w:val="000000"/>
        </w:rPr>
        <w:lastRenderedPageBreak/>
        <w:t xml:space="preserve">Seguidamente, mediante acuerdo de fecha </w:t>
      </w:r>
      <w:r w:rsidRPr="00FA7506">
        <w:rPr>
          <w:rFonts w:ascii="Palatino Linotype" w:eastAsia="Palatino Linotype" w:hAnsi="Palatino Linotype" w:cs="Palatino Linotype"/>
          <w:b/>
          <w:color w:val="000000"/>
        </w:rPr>
        <w:t>veintiséis de noviembre de dos mil veinticuatro</w:t>
      </w:r>
      <w:r w:rsidRPr="00FA7506">
        <w:rPr>
          <w:rFonts w:ascii="Palatino Linotype" w:eastAsia="Palatino Linotype" w:hAnsi="Palatino Linotype" w:cs="Palatino Linotype"/>
          <w:color w:val="000000"/>
        </w:rPr>
        <w:t xml:space="preserve"> se decretó el cierre de instrucción, por lo que no habiendo más que hacer constar, y------------------------------------------------------------------------------------------</w:t>
      </w:r>
      <w:r w:rsidR="00021853" w:rsidRPr="00FA7506">
        <w:rPr>
          <w:rFonts w:ascii="Palatino Linotype" w:eastAsia="Palatino Linotype" w:hAnsi="Palatino Linotype" w:cs="Palatino Linotype"/>
          <w:color w:val="000000"/>
        </w:rPr>
        <w:t>-----------------</w:t>
      </w:r>
    </w:p>
    <w:p w:rsidR="00892FCF" w:rsidRPr="00FA7506" w:rsidRDefault="00892FCF">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892FCF" w:rsidRPr="00FA7506" w:rsidRDefault="00ED2233">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FA7506">
        <w:rPr>
          <w:rFonts w:ascii="Palatino Linotype" w:eastAsia="Palatino Linotype" w:hAnsi="Palatino Linotype" w:cs="Palatino Linotype"/>
          <w:b/>
          <w:color w:val="000000"/>
        </w:rPr>
        <w:t>C</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O</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N</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S</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I</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D</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E</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R</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A</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N</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D</w:t>
      </w:r>
      <w:r w:rsidR="00021853"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b/>
          <w:color w:val="000000"/>
        </w:rPr>
        <w:t>O</w:t>
      </w:r>
      <w:r w:rsidR="00021853" w:rsidRPr="00FA7506">
        <w:rPr>
          <w:rFonts w:ascii="Palatino Linotype" w:eastAsia="Palatino Linotype" w:hAnsi="Palatino Linotype" w:cs="Palatino Linotype"/>
          <w:b/>
          <w:color w:val="000000"/>
        </w:rPr>
        <w:t xml:space="preserve"> </w:t>
      </w:r>
    </w:p>
    <w:p w:rsidR="00892FCF" w:rsidRPr="00FA7506" w:rsidRDefault="00892FCF">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892FCF" w:rsidRPr="00FA7506" w:rsidRDefault="00ED2233">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sidRPr="00FA7506">
        <w:rPr>
          <w:rFonts w:ascii="Palatino Linotype" w:eastAsia="Palatino Linotype" w:hAnsi="Palatino Linotype" w:cs="Palatino Linotype"/>
          <w:b/>
          <w:color w:val="000000"/>
          <w:sz w:val="24"/>
          <w:szCs w:val="24"/>
        </w:rPr>
        <w:t>PRIMERO. De la competencia</w:t>
      </w:r>
    </w:p>
    <w:p w:rsidR="00892FCF" w:rsidRPr="00FA7506" w:rsidRDefault="00ED22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892FCF" w:rsidRPr="00FA7506" w:rsidRDefault="00892FC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92FCF" w:rsidRPr="00FA7506" w:rsidRDefault="00ED2233">
      <w:pPr>
        <w:pStyle w:val="Ttulo2"/>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sidRPr="00FA7506">
        <w:rPr>
          <w:rFonts w:ascii="Palatino Linotype" w:eastAsia="Palatino Linotype" w:hAnsi="Palatino Linotype" w:cs="Palatino Linotype"/>
          <w:b/>
          <w:color w:val="000000"/>
          <w:sz w:val="24"/>
          <w:szCs w:val="24"/>
        </w:rPr>
        <w:t>SEGUNDO. De la oportunidad y procedencia.</w:t>
      </w:r>
    </w:p>
    <w:p w:rsidR="00892FCF" w:rsidRPr="00FA7506" w:rsidRDefault="00ED22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t xml:space="preserve">El medio de impugnación fue presentado a través del </w:t>
      </w:r>
      <w:r w:rsidRPr="00FA7506">
        <w:rPr>
          <w:rFonts w:ascii="Palatino Linotype" w:eastAsia="Palatino Linotype" w:hAnsi="Palatino Linotype" w:cs="Palatino Linotype"/>
          <w:b/>
          <w:color w:val="000000"/>
        </w:rPr>
        <w:t>SAIMEX,</w:t>
      </w:r>
      <w:r w:rsidRPr="00FA7506">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FA7506">
        <w:rPr>
          <w:rFonts w:ascii="Palatino Linotype" w:eastAsia="Palatino Linotype" w:hAnsi="Palatino Linotype" w:cs="Palatino Linotype"/>
          <w:b/>
          <w:color w:val="000000"/>
        </w:rPr>
        <w:t>SUJETO OBLIGADO</w:t>
      </w:r>
      <w:r w:rsidRPr="00FA7506">
        <w:rPr>
          <w:rFonts w:ascii="Palatino Linotype" w:eastAsia="Palatino Linotype" w:hAnsi="Palatino Linotype" w:cs="Palatino Linotype"/>
          <w:color w:val="000000"/>
        </w:rPr>
        <w:t xml:space="preserve"> entregó su respuesta el </w:t>
      </w:r>
      <w:r w:rsidRPr="00FA7506">
        <w:rPr>
          <w:rFonts w:ascii="Palatino Linotype" w:eastAsia="Palatino Linotype" w:hAnsi="Palatino Linotype" w:cs="Palatino Linotype"/>
          <w:b/>
          <w:color w:val="000000"/>
        </w:rPr>
        <w:t>veintiséis de septiembre de dos mil veinticuatro</w:t>
      </w:r>
      <w:r w:rsidRPr="00FA7506">
        <w:rPr>
          <w:rFonts w:ascii="Palatino Linotype" w:eastAsia="Palatino Linotype" w:hAnsi="Palatino Linotype" w:cs="Palatino Linotype"/>
          <w:color w:val="000000"/>
        </w:rPr>
        <w:t xml:space="preserve">, de tal forma que el plazo para interponer el recurso de revisión transcurrió del </w:t>
      </w:r>
      <w:r w:rsidRPr="00FA7506">
        <w:rPr>
          <w:rFonts w:ascii="Palatino Linotype" w:eastAsia="Palatino Linotype" w:hAnsi="Palatino Linotype" w:cs="Palatino Linotype"/>
          <w:b/>
          <w:color w:val="000000"/>
        </w:rPr>
        <w:t xml:space="preserve">veintisiete de septiembre al dieciocho </w:t>
      </w:r>
      <w:r w:rsidRPr="00FA7506">
        <w:rPr>
          <w:rFonts w:ascii="Palatino Linotype" w:eastAsia="Palatino Linotype" w:hAnsi="Palatino Linotype" w:cs="Palatino Linotype"/>
          <w:b/>
          <w:color w:val="000000"/>
        </w:rPr>
        <w:lastRenderedPageBreak/>
        <w:t>de octubre de dos mil veinticuatro</w:t>
      </w:r>
      <w:r w:rsidRPr="00FA7506">
        <w:rPr>
          <w:rFonts w:ascii="Palatino Linotype" w:eastAsia="Palatino Linotype" w:hAnsi="Palatino Linotype" w:cs="Palatino Linotype"/>
          <w:color w:val="000000"/>
        </w:rPr>
        <w:t xml:space="preserve">; en consecuencia, el ahora </w:t>
      </w:r>
      <w:r w:rsidRPr="00FA7506">
        <w:rPr>
          <w:rFonts w:ascii="Palatino Linotype" w:eastAsia="Palatino Linotype" w:hAnsi="Palatino Linotype" w:cs="Palatino Linotype"/>
          <w:b/>
          <w:color w:val="000000"/>
        </w:rPr>
        <w:t>RECURRENTE</w:t>
      </w:r>
      <w:r w:rsidRPr="00FA7506">
        <w:rPr>
          <w:rFonts w:ascii="Palatino Linotype" w:eastAsia="Palatino Linotype" w:hAnsi="Palatino Linotype" w:cs="Palatino Linotype"/>
          <w:color w:val="000000"/>
        </w:rPr>
        <w:t xml:space="preserve"> presentó su inconformidad el día </w:t>
      </w:r>
      <w:r w:rsidRPr="00FA7506">
        <w:rPr>
          <w:rFonts w:ascii="Palatino Linotype" w:eastAsia="Palatino Linotype" w:hAnsi="Palatino Linotype" w:cs="Palatino Linotype"/>
          <w:b/>
          <w:color w:val="000000"/>
        </w:rPr>
        <w:t>treinta de septiembre de dos mil veinticuatro</w:t>
      </w:r>
      <w:r w:rsidRPr="00FA7506">
        <w:rPr>
          <w:rFonts w:ascii="Palatino Linotype" w:eastAsia="Palatino Linotype" w:hAnsi="Palatino Linotype" w:cs="Palatino Linotype"/>
          <w:color w:val="000000"/>
        </w:rPr>
        <w:t>; por lo que se estima que la inconformidad se presentó dentro del lapso legalmente establecido para tal efecto.</w:t>
      </w:r>
    </w:p>
    <w:p w:rsidR="00892FCF" w:rsidRPr="00FA7506" w:rsidRDefault="00892FC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color w:val="000000"/>
        </w:rPr>
      </w:pPr>
      <w:r w:rsidRPr="00FA7506">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w:t>
      </w:r>
      <w:r w:rsidRPr="00FA7506">
        <w:rPr>
          <w:rFonts w:ascii="Palatino Linotype" w:eastAsia="Palatino Linotype" w:hAnsi="Palatino Linotype" w:cs="Palatino Linotype"/>
          <w:b/>
          <w:i/>
          <w:color w:val="000000"/>
          <w:sz w:val="22"/>
        </w:rPr>
        <w:t>Las solicitudes anónimas</w:t>
      </w:r>
      <w:r w:rsidRPr="00FA7506">
        <w:rPr>
          <w:rFonts w:ascii="Palatino Linotype" w:eastAsia="Palatino Linotype" w:hAnsi="Palatino Linotype" w:cs="Palatino Linotype"/>
          <w:i/>
          <w:color w:val="000000"/>
          <w:sz w:val="22"/>
        </w:rPr>
        <w:t xml:space="preserve">, con nombre incompleto o seudónimo </w:t>
      </w:r>
      <w:r w:rsidRPr="00FA7506">
        <w:rPr>
          <w:rFonts w:ascii="Palatino Linotype" w:eastAsia="Palatino Linotype" w:hAnsi="Palatino Linotype" w:cs="Palatino Linotype"/>
          <w:b/>
          <w:i/>
          <w:color w:val="000000"/>
          <w:sz w:val="22"/>
        </w:rPr>
        <w:t>serán procedentes para su trámite por parte del sujeto obligado ante quien se presente</w:t>
      </w:r>
      <w:r w:rsidRPr="00FA7506">
        <w:rPr>
          <w:rFonts w:ascii="Palatino Linotype" w:eastAsia="Palatino Linotype" w:hAnsi="Palatino Linotype" w:cs="Palatino Linotype"/>
          <w:i/>
          <w:color w:val="000000"/>
          <w:sz w:val="22"/>
        </w:rPr>
        <w:t>. No podrá requerirse información adicional con motivo del nombre proporcionado por el solicitante.”</w:t>
      </w:r>
    </w:p>
    <w:p w:rsidR="00892FCF" w:rsidRPr="00FA7506" w:rsidRDefault="00892FCF">
      <w:pPr>
        <w:pBdr>
          <w:top w:val="nil"/>
          <w:left w:val="nil"/>
          <w:bottom w:val="nil"/>
          <w:right w:val="nil"/>
          <w:between w:val="nil"/>
        </w:pBdr>
        <w:ind w:right="-787"/>
        <w:rPr>
          <w:rFonts w:ascii="Palatino Linotype" w:eastAsia="Palatino Linotype" w:hAnsi="Palatino Linotype" w:cs="Palatino Linotype"/>
          <w:i/>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color w:val="000000"/>
        </w:rPr>
      </w:pPr>
      <w:r w:rsidRPr="00FA7506">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w:t>
      </w:r>
      <w:r w:rsidRPr="00FA7506">
        <w:rPr>
          <w:rFonts w:ascii="Palatino Linotype" w:eastAsia="Palatino Linotype" w:hAnsi="Palatino Linotype" w:cs="Palatino Linotype"/>
          <w:b/>
          <w:i/>
          <w:color w:val="000000"/>
          <w:sz w:val="22"/>
        </w:rPr>
        <w:t>Artículo 6.-</w:t>
      </w:r>
      <w:r w:rsidRPr="00FA7506">
        <w:rPr>
          <w:rFonts w:ascii="Palatino Linotype" w:eastAsia="Palatino Linotype" w:hAnsi="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92FCF" w:rsidRPr="00FA7506" w:rsidRDefault="00ED2233">
      <w:pPr>
        <w:pBdr>
          <w:top w:val="nil"/>
          <w:left w:val="nil"/>
          <w:bottom w:val="nil"/>
          <w:right w:val="nil"/>
          <w:between w:val="nil"/>
        </w:pBdr>
        <w:spacing w:after="120"/>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Para efectos de lo dispuesto en el presente artículo se observará lo siguiente:</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A. Para el ejercicio del derecho de acceso a la información, la Federación, los Estados y el Distrito Federal, en el ámbito de sus respectivas competencias, se regirán por los siguientes principios y bases:</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III. Toda persona, sin necesidad de acreditar interés alguno o justificar su utilización, tendrá acceso gratuito a la información pública, a sus datos personales o a la rectificación de éstos.”(Sic)</w:t>
      </w:r>
    </w:p>
    <w:p w:rsidR="00892FCF" w:rsidRPr="00FA7506" w:rsidRDefault="00892FCF">
      <w:pPr>
        <w:pBdr>
          <w:top w:val="nil"/>
          <w:left w:val="nil"/>
          <w:bottom w:val="nil"/>
          <w:right w:val="nil"/>
          <w:between w:val="nil"/>
        </w:pBdr>
        <w:ind w:left="360" w:right="-787" w:hanging="76"/>
        <w:rPr>
          <w:rFonts w:ascii="Palatino Linotype" w:eastAsia="Palatino Linotype" w:hAnsi="Palatino Linotype" w:cs="Palatino Linotype"/>
          <w:i/>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color w:val="000000"/>
        </w:rPr>
      </w:pPr>
      <w:r w:rsidRPr="00FA7506">
        <w:rPr>
          <w:rFonts w:ascii="Palatino Linotype" w:eastAsia="Palatino Linotype" w:hAnsi="Palatino Linotype" w:cs="Palatino Linotype"/>
          <w:color w:val="000000"/>
        </w:rPr>
        <w:lastRenderedPageBreak/>
        <w:t>Así como el artículo 5 fracción III, párrafo vigésimo noveno, trigésimo y trigésimo primero, de la Constitución Política del Estado Libre y Soberano de México, que determina lo siguiente:</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w:t>
      </w:r>
      <w:r w:rsidRPr="00FA7506">
        <w:rPr>
          <w:rFonts w:ascii="Palatino Linotype" w:eastAsia="Palatino Linotype" w:hAnsi="Palatino Linotype" w:cs="Palatino Linotype"/>
          <w:b/>
          <w:i/>
          <w:color w:val="000000"/>
          <w:sz w:val="22"/>
        </w:rPr>
        <w:t>Artículo 5.-</w:t>
      </w:r>
      <w:r w:rsidRPr="00FA7506">
        <w:rPr>
          <w:rFonts w:ascii="Palatino Linotype" w:eastAsia="Palatino Linotype" w:hAnsi="Palatino Linotype" w:cs="Palatino Linotype"/>
          <w:i/>
          <w:color w:val="000000"/>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Toda persona en el Estado de México, tiene derecho al libre acceso a la información plural y oportuna, así como a buscar recibir y difundir información e ideas de toda índole por cualquier medio de expresión.</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El derecho a la información será garantizado por el Estado. La ley establecerá las previsiones que permitan asegurar la protección, el respeto y la difusión de este derecho.</w:t>
      </w:r>
    </w:p>
    <w:p w:rsidR="00892FCF" w:rsidRPr="00FA7506" w:rsidRDefault="00892FCF">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892FCF" w:rsidRPr="00FA7506" w:rsidRDefault="00892FCF">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color w:val="000000"/>
        </w:rPr>
      </w:pPr>
      <w:r w:rsidRPr="00FA7506">
        <w:rPr>
          <w:rFonts w:ascii="Palatino Linotype" w:eastAsia="Palatino Linotype" w:hAnsi="Palatino Linotype" w:cs="Palatino Linotype"/>
          <w:color w:val="000000"/>
        </w:rPr>
        <w:lastRenderedPageBreak/>
        <w:t>Por otra parte, del contenido del artículo 1 de la Constitución Política de los Estados Unidos mexicanos, se destaca lo siguiente:</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w:t>
      </w:r>
      <w:r w:rsidRPr="00FA7506">
        <w:rPr>
          <w:rFonts w:ascii="Palatino Linotype" w:eastAsia="Palatino Linotype" w:hAnsi="Palatino Linotype" w:cs="Palatino Linotype"/>
          <w:b/>
          <w:i/>
          <w:color w:val="000000"/>
          <w:sz w:val="22"/>
        </w:rPr>
        <w:t>Artículo 1</w:t>
      </w:r>
      <w:r w:rsidRPr="00FA7506">
        <w:rPr>
          <w:rFonts w:ascii="Palatino Linotype" w:eastAsia="Palatino Linotype" w:hAnsi="Palatino Linotype" w:cs="Palatino Linotype"/>
          <w:i/>
          <w:color w:val="000000"/>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Las normas relativas a los derechos humanos se interpretarán de conformidad con esta Constitución y con los tratados internacionales de la materia favoreciendo en todo tiempo a las personas la protección más amplia.</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892FCF" w:rsidRPr="00FA7506" w:rsidRDefault="00892FCF">
      <w:pPr>
        <w:pBdr>
          <w:top w:val="nil"/>
          <w:left w:val="nil"/>
          <w:bottom w:val="nil"/>
          <w:right w:val="nil"/>
          <w:between w:val="nil"/>
        </w:pBdr>
        <w:ind w:left="360" w:right="-787" w:firstLine="66"/>
        <w:rPr>
          <w:rFonts w:ascii="Palatino Linotype" w:eastAsia="Palatino Linotype" w:hAnsi="Palatino Linotype" w:cs="Palatino Linotype"/>
          <w:i/>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color w:val="000000"/>
        </w:rPr>
      </w:pPr>
      <w:r w:rsidRPr="00FA7506">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FA7506">
        <w:rPr>
          <w:rFonts w:ascii="Palatino Linotype" w:eastAsia="Palatino Linotype" w:hAnsi="Palatino Linotype" w:cs="Palatino Linotype"/>
          <w:i/>
          <w:color w:val="000000"/>
        </w:rPr>
        <w:t xml:space="preserve">derecho </w:t>
      </w:r>
      <w:r w:rsidRPr="00FA7506">
        <w:rPr>
          <w:rFonts w:ascii="Palatino Linotype" w:eastAsia="Palatino Linotype" w:hAnsi="Palatino Linotype" w:cs="Palatino Linotype"/>
          <w:color w:val="000000"/>
        </w:rPr>
        <w:t>fundamental</w:t>
      </w:r>
      <w:r w:rsidRPr="00FA7506">
        <w:rPr>
          <w:rFonts w:ascii="Palatino Linotype" w:eastAsia="Palatino Linotype" w:hAnsi="Palatino Linotype" w:cs="Palatino Linotype"/>
          <w:i/>
          <w:color w:val="000000"/>
        </w:rPr>
        <w:t xml:space="preserve"> exime a quien lo ejerce</w:t>
      </w:r>
      <w:r w:rsidRPr="00FA7506">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92FCF" w:rsidRPr="00FA7506" w:rsidRDefault="00892FC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892FCF" w:rsidRPr="00FA7506" w:rsidRDefault="00ED2233">
      <w:pPr>
        <w:numPr>
          <w:ilvl w:val="0"/>
          <w:numId w:val="1"/>
        </w:numPr>
        <w:pBdr>
          <w:top w:val="nil"/>
          <w:left w:val="nil"/>
          <w:bottom w:val="nil"/>
          <w:right w:val="nil"/>
          <w:between w:val="nil"/>
        </w:pBdr>
        <w:spacing w:line="360" w:lineRule="auto"/>
        <w:ind w:left="0" w:firstLine="0"/>
        <w:jc w:val="both"/>
        <w:rPr>
          <w:color w:val="000000"/>
        </w:rPr>
      </w:pPr>
      <w:r w:rsidRPr="00FA7506">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892FCF" w:rsidRPr="00FA7506" w:rsidRDefault="00892FCF">
      <w:pPr>
        <w:pBdr>
          <w:top w:val="nil"/>
          <w:left w:val="nil"/>
          <w:bottom w:val="nil"/>
          <w:right w:val="nil"/>
          <w:between w:val="nil"/>
        </w:pBdr>
        <w:ind w:left="720"/>
        <w:rPr>
          <w:color w:val="000000"/>
        </w:rPr>
      </w:pPr>
    </w:p>
    <w:p w:rsidR="00892FCF" w:rsidRPr="00FA7506" w:rsidRDefault="00892FCF">
      <w:pPr>
        <w:pBdr>
          <w:top w:val="nil"/>
          <w:left w:val="nil"/>
          <w:bottom w:val="nil"/>
          <w:right w:val="nil"/>
          <w:between w:val="nil"/>
        </w:pBdr>
        <w:spacing w:line="360" w:lineRule="auto"/>
        <w:jc w:val="both"/>
        <w:rPr>
          <w:color w:val="000000"/>
        </w:rPr>
      </w:pP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bookmarkStart w:id="7" w:name="_heading=h.1t3h5sf" w:colFirst="0" w:colLast="0"/>
      <w:bookmarkEnd w:id="7"/>
      <w:r w:rsidRPr="00FA7506">
        <w:rPr>
          <w:rFonts w:ascii="Palatino Linotype" w:eastAsia="Palatino Linotype" w:hAnsi="Palatino Linotype" w:cs="Palatino Linotype"/>
          <w:i/>
          <w:color w:val="000000"/>
          <w:sz w:val="22"/>
        </w:rPr>
        <w:lastRenderedPageBreak/>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92FCF" w:rsidRPr="00FA7506" w:rsidRDefault="00892FCF">
      <w:pPr>
        <w:pBdr>
          <w:top w:val="nil"/>
          <w:left w:val="nil"/>
          <w:bottom w:val="nil"/>
          <w:right w:val="nil"/>
          <w:between w:val="nil"/>
        </w:pBdr>
        <w:spacing w:line="360" w:lineRule="auto"/>
        <w:rPr>
          <w:rFonts w:ascii="Palatino Linotype" w:eastAsia="Palatino Linotype" w:hAnsi="Palatino Linotype" w:cs="Palatino Linotype"/>
          <w:color w:val="000000"/>
        </w:rPr>
      </w:pPr>
    </w:p>
    <w:p w:rsidR="00892FCF" w:rsidRPr="00FA7506" w:rsidRDefault="00ED2233">
      <w:pPr>
        <w:pStyle w:val="Ttulo1"/>
        <w:spacing w:before="0" w:line="360" w:lineRule="auto"/>
        <w:rPr>
          <w:rFonts w:ascii="Palatino Linotype" w:eastAsia="Palatino Linotype" w:hAnsi="Palatino Linotype" w:cs="Palatino Linotype"/>
          <w:b/>
          <w:color w:val="000000"/>
          <w:sz w:val="24"/>
          <w:szCs w:val="24"/>
        </w:rPr>
      </w:pPr>
      <w:bookmarkStart w:id="8" w:name="_heading=h.4d34og8" w:colFirst="0" w:colLast="0"/>
      <w:bookmarkEnd w:id="8"/>
      <w:r w:rsidRPr="00FA7506">
        <w:rPr>
          <w:rFonts w:ascii="Palatino Linotype" w:eastAsia="Palatino Linotype" w:hAnsi="Palatino Linotype" w:cs="Palatino Linotype"/>
          <w:b/>
          <w:color w:val="000000"/>
          <w:sz w:val="24"/>
          <w:szCs w:val="24"/>
        </w:rPr>
        <w:t xml:space="preserve">TERCERO. Del planteamiento de la </w:t>
      </w:r>
      <w:r w:rsidRPr="00FA7506">
        <w:rPr>
          <w:rFonts w:ascii="Palatino Linotype" w:eastAsia="Palatino Linotype" w:hAnsi="Palatino Linotype" w:cs="Palatino Linotype"/>
          <w:b/>
          <w:i/>
          <w:color w:val="000000"/>
          <w:sz w:val="24"/>
          <w:szCs w:val="24"/>
        </w:rPr>
        <w:t>Litis</w:t>
      </w:r>
      <w:r w:rsidRPr="00FA7506">
        <w:rPr>
          <w:rFonts w:ascii="Palatino Linotype" w:eastAsia="Palatino Linotype" w:hAnsi="Palatino Linotype" w:cs="Palatino Linotype"/>
          <w:b/>
          <w:color w:val="000000"/>
          <w:sz w:val="24"/>
          <w:szCs w:val="24"/>
        </w:rPr>
        <w:t>.</w:t>
      </w:r>
    </w:p>
    <w:p w:rsidR="00892FCF" w:rsidRPr="00FA7506" w:rsidRDefault="00ED22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9" w:name="_heading=h.2s8eyo1" w:colFirst="0" w:colLast="0"/>
      <w:bookmarkEnd w:id="9"/>
      <w:r w:rsidRPr="00FA7506">
        <w:rPr>
          <w:rFonts w:ascii="Palatino Linotype" w:eastAsia="Palatino Linotype" w:hAnsi="Palatino Linotype" w:cs="Palatino Linotype"/>
          <w:color w:val="000000"/>
        </w:rPr>
        <w:t>Se solicitó tener acceso, a la información que a continuación se desagrega:</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De la Unidad Deportiva ubicada en San Pablo </w:t>
      </w:r>
      <w:proofErr w:type="spellStart"/>
      <w:r w:rsidRPr="00FA7506">
        <w:rPr>
          <w:rFonts w:ascii="Palatino Linotype" w:eastAsia="Palatino Linotype" w:hAnsi="Palatino Linotype" w:cs="Palatino Linotype"/>
          <w:b/>
          <w:i/>
          <w:color w:val="000000"/>
          <w:sz w:val="22"/>
        </w:rPr>
        <w:t>Autopan</w:t>
      </w:r>
      <w:proofErr w:type="spellEnd"/>
      <w:r w:rsidRPr="00FA7506">
        <w:rPr>
          <w:rFonts w:ascii="Palatino Linotype" w:eastAsia="Palatino Linotype" w:hAnsi="Palatino Linotype" w:cs="Palatino Linotype"/>
          <w:b/>
          <w:i/>
          <w:color w:val="000000"/>
          <w:sz w:val="22"/>
        </w:rPr>
        <w:t xml:space="preserve">: </w:t>
      </w:r>
    </w:p>
    <w:p w:rsidR="00892FCF" w:rsidRPr="00FA7506" w:rsidRDefault="00ED2233">
      <w:pPr>
        <w:numPr>
          <w:ilvl w:val="0"/>
          <w:numId w:val="8"/>
        </w:numPr>
        <w:pBdr>
          <w:top w:val="nil"/>
          <w:left w:val="nil"/>
          <w:bottom w:val="nil"/>
          <w:right w:val="nil"/>
          <w:between w:val="nil"/>
        </w:pBdr>
        <w:ind w:right="900"/>
        <w:jc w:val="both"/>
        <w:rPr>
          <w:rFonts w:ascii="Palatino Linotype" w:eastAsia="Palatino Linotype" w:hAnsi="Palatino Linotype" w:cs="Palatino Linotype"/>
          <w:b/>
          <w:color w:val="000000"/>
          <w:sz w:val="22"/>
        </w:rPr>
      </w:pPr>
      <w:r w:rsidRPr="00FA7506">
        <w:rPr>
          <w:rFonts w:ascii="Palatino Linotype" w:eastAsia="Palatino Linotype" w:hAnsi="Palatino Linotype" w:cs="Palatino Linotype"/>
          <w:b/>
          <w:i/>
          <w:color w:val="000000"/>
          <w:sz w:val="22"/>
        </w:rPr>
        <w:t xml:space="preserve">Documento con el que se acredite la propiedad. </w:t>
      </w:r>
    </w:p>
    <w:p w:rsidR="00892FCF" w:rsidRPr="00FA7506" w:rsidRDefault="00892FCF">
      <w:pPr>
        <w:pBdr>
          <w:top w:val="nil"/>
          <w:left w:val="nil"/>
          <w:bottom w:val="nil"/>
          <w:right w:val="nil"/>
          <w:between w:val="nil"/>
        </w:pBdr>
        <w:ind w:left="1498" w:right="900"/>
        <w:jc w:val="both"/>
        <w:rPr>
          <w:rFonts w:ascii="Palatino Linotype" w:eastAsia="Palatino Linotype" w:hAnsi="Palatino Linotype" w:cs="Palatino Linotype"/>
          <w:b/>
          <w:color w:val="000000"/>
          <w:sz w:val="22"/>
        </w:rPr>
      </w:pPr>
    </w:p>
    <w:p w:rsidR="00892FCF" w:rsidRPr="00FA7506" w:rsidRDefault="00ED2233">
      <w:pPr>
        <w:numPr>
          <w:ilvl w:val="0"/>
          <w:numId w:val="8"/>
        </w:numPr>
        <w:pBdr>
          <w:top w:val="nil"/>
          <w:left w:val="nil"/>
          <w:bottom w:val="nil"/>
          <w:right w:val="nil"/>
          <w:between w:val="nil"/>
        </w:pBdr>
        <w:ind w:right="900"/>
        <w:jc w:val="both"/>
        <w:rPr>
          <w:rFonts w:ascii="Palatino Linotype" w:eastAsia="Palatino Linotype" w:hAnsi="Palatino Linotype" w:cs="Palatino Linotype"/>
          <w:b/>
          <w:color w:val="000000"/>
          <w:sz w:val="22"/>
        </w:rPr>
      </w:pPr>
      <w:r w:rsidRPr="00FA7506">
        <w:rPr>
          <w:rFonts w:ascii="Palatino Linotype" w:eastAsia="Palatino Linotype" w:hAnsi="Palatino Linotype" w:cs="Palatino Linotype"/>
          <w:b/>
          <w:i/>
          <w:color w:val="000000"/>
          <w:sz w:val="22"/>
        </w:rPr>
        <w:t xml:space="preserve">Acta de Cabildo en el que se aprobó la obra. </w:t>
      </w:r>
    </w:p>
    <w:p w:rsidR="00892FCF" w:rsidRPr="00FA7506" w:rsidRDefault="00892FCF">
      <w:pPr>
        <w:ind w:right="900"/>
        <w:jc w:val="both"/>
        <w:rPr>
          <w:rFonts w:ascii="Palatino Linotype" w:eastAsia="Palatino Linotype" w:hAnsi="Palatino Linotype" w:cs="Palatino Linotype"/>
          <w:b/>
          <w:sz w:val="22"/>
        </w:rPr>
      </w:pPr>
    </w:p>
    <w:p w:rsidR="00892FCF" w:rsidRPr="00FA7506" w:rsidRDefault="00ED2233">
      <w:pPr>
        <w:numPr>
          <w:ilvl w:val="0"/>
          <w:numId w:val="8"/>
        </w:numPr>
        <w:pBdr>
          <w:top w:val="nil"/>
          <w:left w:val="nil"/>
          <w:bottom w:val="nil"/>
          <w:right w:val="nil"/>
          <w:between w:val="nil"/>
        </w:pBdr>
        <w:ind w:right="900"/>
        <w:jc w:val="both"/>
        <w:rPr>
          <w:rFonts w:ascii="Palatino Linotype" w:eastAsia="Palatino Linotype" w:hAnsi="Palatino Linotype" w:cs="Palatino Linotype"/>
          <w:b/>
          <w:color w:val="000000"/>
          <w:sz w:val="22"/>
        </w:rPr>
      </w:pPr>
      <w:r w:rsidRPr="00FA7506">
        <w:rPr>
          <w:rFonts w:ascii="Palatino Linotype" w:eastAsia="Palatino Linotype" w:hAnsi="Palatino Linotype" w:cs="Palatino Linotype"/>
          <w:b/>
          <w:i/>
          <w:color w:val="000000"/>
          <w:sz w:val="22"/>
        </w:rPr>
        <w:t xml:space="preserve">Nombre de los responsables que tienen lo tienen bajo su resguardo. </w:t>
      </w:r>
    </w:p>
    <w:p w:rsidR="00892FCF" w:rsidRPr="00FA7506" w:rsidRDefault="00892FCF">
      <w:pPr>
        <w:ind w:right="900"/>
        <w:jc w:val="both"/>
        <w:rPr>
          <w:rFonts w:ascii="Palatino Linotype" w:eastAsia="Palatino Linotype" w:hAnsi="Palatino Linotype" w:cs="Palatino Linotype"/>
          <w:b/>
          <w:sz w:val="22"/>
        </w:rPr>
      </w:pPr>
    </w:p>
    <w:p w:rsidR="00892FCF" w:rsidRPr="00FA7506" w:rsidRDefault="00ED2233">
      <w:pPr>
        <w:numPr>
          <w:ilvl w:val="0"/>
          <w:numId w:val="8"/>
        </w:numPr>
        <w:pBdr>
          <w:top w:val="nil"/>
          <w:left w:val="nil"/>
          <w:bottom w:val="nil"/>
          <w:right w:val="nil"/>
          <w:between w:val="nil"/>
        </w:pBdr>
        <w:ind w:right="900"/>
        <w:jc w:val="both"/>
        <w:rPr>
          <w:rFonts w:ascii="Palatino Linotype" w:eastAsia="Palatino Linotype" w:hAnsi="Palatino Linotype" w:cs="Palatino Linotype"/>
          <w:b/>
          <w:color w:val="000000"/>
          <w:sz w:val="22"/>
        </w:rPr>
      </w:pPr>
      <w:r w:rsidRPr="00FA7506">
        <w:rPr>
          <w:rFonts w:ascii="Palatino Linotype" w:eastAsia="Palatino Linotype" w:hAnsi="Palatino Linotype" w:cs="Palatino Linotype"/>
          <w:b/>
          <w:i/>
          <w:color w:val="000000"/>
          <w:sz w:val="22"/>
        </w:rPr>
        <w:t xml:space="preserve">Servidor o servidores públicos a quien se le tenga que girar oficio para realizar una actividad y el fúndame legalmente. </w:t>
      </w:r>
    </w:p>
    <w:p w:rsidR="00892FCF" w:rsidRPr="00FA7506" w:rsidRDefault="00892FCF">
      <w:pPr>
        <w:spacing w:line="360" w:lineRule="auto"/>
        <w:ind w:left="708"/>
        <w:jc w:val="both"/>
        <w:rPr>
          <w:rFonts w:ascii="Palatino Linotype" w:eastAsia="Palatino Linotype" w:hAnsi="Palatino Linotype" w:cs="Palatino Linotype"/>
          <w:b/>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respuesta, 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remitió cuatro archivos electrónicos  en formato </w:t>
      </w:r>
      <w:proofErr w:type="spellStart"/>
      <w:r w:rsidRPr="00FA7506">
        <w:rPr>
          <w:rFonts w:ascii="Palatino Linotype" w:eastAsia="Palatino Linotype" w:hAnsi="Palatino Linotype" w:cs="Palatino Linotype"/>
        </w:rPr>
        <w:t>pdf</w:t>
      </w:r>
      <w:proofErr w:type="spellEnd"/>
      <w:r w:rsidRPr="00FA7506">
        <w:rPr>
          <w:rFonts w:ascii="Palatino Linotype" w:eastAsia="Palatino Linotype" w:hAnsi="Palatino Linotype" w:cs="Palatino Linotype"/>
        </w:rPr>
        <w:t xml:space="preserve"> cuyo contenido toral es el siguiente:</w:t>
      </w:r>
    </w:p>
    <w:p w:rsidR="00892FCF" w:rsidRPr="00FA7506" w:rsidRDefault="00ED2233">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lastRenderedPageBreak/>
        <w:t xml:space="preserve">SA anexo SAIMEX 1964-2.pdf: </w:t>
      </w:r>
      <w:r w:rsidRPr="00FA7506">
        <w:rPr>
          <w:rFonts w:ascii="Palatino Linotype" w:eastAsia="Palatino Linotype" w:hAnsi="Palatino Linotype" w:cs="Palatino Linotype"/>
          <w:i/>
          <w:color w:val="000000"/>
          <w:sz w:val="22"/>
        </w:rPr>
        <w:t xml:space="preserve">Acta de la Trigésima Quinta Sesión Ordinaria del once de junio de dos mil diez, mediante el cual se observa que el punto siete del orden del día se aprueban la obras para realizar en el dos mil diez, entre las que se observan la Construcción de la  Unidad Deportiva y su monto autorizado. </w:t>
      </w:r>
    </w:p>
    <w:p w:rsidR="00892FCF" w:rsidRPr="00FA7506" w:rsidRDefault="00ED2233">
      <w:pP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 xml:space="preserve">SA anexo SAIMEX 1964-1: </w:t>
      </w:r>
      <w:r w:rsidRPr="00FA7506">
        <w:rPr>
          <w:rFonts w:ascii="Palatino Linotype" w:eastAsia="Palatino Linotype" w:hAnsi="Palatino Linotype" w:cs="Palatino Linotype"/>
          <w:i/>
          <w:color w:val="000000"/>
          <w:sz w:val="22"/>
        </w:rPr>
        <w:t xml:space="preserve">consistente en el instrumento notarial relativo a los contratos de compra venta entre el Ayuntamiento de Toluca y los Vendedores, de los cuales no se observa el dato, toda vez que el SUJETO OBLIGADO lo clasifico como reservado. </w:t>
      </w:r>
    </w:p>
    <w:p w:rsidR="00892FCF" w:rsidRPr="00FA7506" w:rsidRDefault="00ED2233">
      <w:pPr>
        <w:ind w:left="1134" w:right="900"/>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Acta 733: </w:t>
      </w:r>
      <w:r w:rsidRPr="00FA7506">
        <w:rPr>
          <w:rFonts w:ascii="Palatino Linotype" w:eastAsia="Palatino Linotype" w:hAnsi="Palatino Linotype" w:cs="Palatino Linotype"/>
          <w:i/>
          <w:color w:val="000000"/>
          <w:sz w:val="22"/>
        </w:rPr>
        <w:t>Acta de la Trigésima Tercera Sesión Extraordinaria del Comité de Transparencia, mediante el cual aprueban la clasificación como confidencial de datos relacionados con el nombre, domicilio, lugar y fecha de nacimiento, estado civil, ocupación, registro federal de contribuyentes, CURP, clave catastral y número de credencial para votar.</w:t>
      </w:r>
      <w:r w:rsidRPr="00FA7506">
        <w:rPr>
          <w:rFonts w:ascii="Palatino Linotype" w:eastAsia="Palatino Linotype" w:hAnsi="Palatino Linotype" w:cs="Palatino Linotype"/>
          <w:b/>
          <w:i/>
          <w:color w:val="000000"/>
          <w:sz w:val="22"/>
        </w:rPr>
        <w:t xml:space="preserve">  </w:t>
      </w:r>
    </w:p>
    <w:p w:rsidR="00892FCF" w:rsidRPr="00FA7506" w:rsidRDefault="00ED2233">
      <w:pP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 xml:space="preserve">Respuesta 01964_24 (1): </w:t>
      </w:r>
      <w:r w:rsidRPr="00FA7506">
        <w:rPr>
          <w:rFonts w:ascii="Palatino Linotype" w:eastAsia="Palatino Linotype" w:hAnsi="Palatino Linotype" w:cs="Palatino Linotype"/>
          <w:i/>
          <w:color w:val="000000"/>
          <w:sz w:val="22"/>
        </w:rPr>
        <w:t xml:space="preserve">oficio de la Titular de la Unidad de Transparencia, mediante el cual refiere que la Secretaría del Ayuntamiento remite el Acta de Sesión y el Instrumento Notarial número diecisiete que acredita la propiedad de la Unidad Deportiva ubicada en San Pablo </w:t>
      </w:r>
      <w:proofErr w:type="spellStart"/>
      <w:r w:rsidRPr="00FA7506">
        <w:rPr>
          <w:rFonts w:ascii="Palatino Linotype" w:eastAsia="Palatino Linotype" w:hAnsi="Palatino Linotype" w:cs="Palatino Linotype"/>
          <w:i/>
          <w:color w:val="000000"/>
          <w:sz w:val="22"/>
        </w:rPr>
        <w:t>Autopan</w:t>
      </w:r>
      <w:proofErr w:type="spellEnd"/>
      <w:r w:rsidRPr="00FA7506">
        <w:rPr>
          <w:rFonts w:ascii="Palatino Linotype" w:eastAsia="Palatino Linotype" w:hAnsi="Palatino Linotype" w:cs="Palatino Linotype"/>
          <w:i/>
          <w:color w:val="000000"/>
          <w:sz w:val="22"/>
        </w:rPr>
        <w:t xml:space="preserve">. </w:t>
      </w:r>
    </w:p>
    <w:p w:rsidR="00892FCF" w:rsidRPr="00FA7506" w:rsidRDefault="00ED2233">
      <w:pP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 xml:space="preserve">Del Resguardo refieren que es propiedad municipal y que por lo tanto </w:t>
      </w:r>
      <w:proofErr w:type="spellStart"/>
      <w:r w:rsidRPr="00FA7506">
        <w:rPr>
          <w:rFonts w:ascii="Palatino Linotype" w:eastAsia="Palatino Linotype" w:hAnsi="Palatino Linotype" w:cs="Palatino Linotype"/>
          <w:b/>
          <w:i/>
          <w:color w:val="000000"/>
          <w:sz w:val="22"/>
        </w:rPr>
        <w:t>esta</w:t>
      </w:r>
      <w:proofErr w:type="spellEnd"/>
      <w:r w:rsidRPr="00FA7506">
        <w:rPr>
          <w:rFonts w:ascii="Palatino Linotype" w:eastAsia="Palatino Linotype" w:hAnsi="Palatino Linotype" w:cs="Palatino Linotype"/>
          <w:b/>
          <w:i/>
          <w:color w:val="000000"/>
          <w:sz w:val="22"/>
        </w:rPr>
        <w:t xml:space="preserve"> a resguardo del Ayuntamiento de Toluca.</w:t>
      </w:r>
      <w:r w:rsidRPr="00FA7506">
        <w:rPr>
          <w:rFonts w:ascii="Palatino Linotype" w:eastAsia="Palatino Linotype" w:hAnsi="Palatino Linotype" w:cs="Palatino Linotype"/>
          <w:i/>
          <w:color w:val="000000"/>
          <w:sz w:val="22"/>
        </w:rPr>
        <w:t xml:space="preserve">  </w:t>
      </w:r>
    </w:p>
    <w:p w:rsidR="00892FCF" w:rsidRPr="00FA7506" w:rsidRDefault="00892FCF">
      <w:pPr>
        <w:tabs>
          <w:tab w:val="left" w:pos="933"/>
        </w:tabs>
        <w:spacing w:line="360" w:lineRule="auto"/>
        <w:jc w:val="both"/>
        <w:rPr>
          <w:rFonts w:ascii="Palatino Linotype" w:eastAsia="Palatino Linotype" w:hAnsi="Palatino Linotype" w:cs="Palatino Linotype"/>
          <w:sz w:val="22"/>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dichas condiciones, la </w:t>
      </w:r>
      <w:r w:rsidRPr="00FA7506">
        <w:rPr>
          <w:rFonts w:ascii="Palatino Linotype" w:eastAsia="Palatino Linotype" w:hAnsi="Palatino Linotype" w:cs="Palatino Linotype"/>
          <w:i/>
        </w:rPr>
        <w:t>Litis</w:t>
      </w:r>
      <w:r w:rsidRPr="00FA7506">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FA7506">
        <w:rPr>
          <w:rFonts w:ascii="Palatino Linotype" w:eastAsia="Palatino Linotype" w:hAnsi="Palatino Linotype" w:cs="Palatino Linotype"/>
          <w:b/>
        </w:rPr>
        <w:t xml:space="preserve">fracción V </w:t>
      </w:r>
      <w:r w:rsidRPr="00FA7506">
        <w:rPr>
          <w:rFonts w:ascii="Palatino Linotype" w:eastAsia="Palatino Linotype" w:hAnsi="Palatino Linotype" w:cs="Palatino Linotype"/>
        </w:rPr>
        <w:t xml:space="preserve">de la </w:t>
      </w:r>
      <w:r w:rsidRPr="00FA7506">
        <w:rPr>
          <w:rFonts w:ascii="Palatino Linotype" w:eastAsia="Palatino Linotype" w:hAnsi="Palatino Linotype" w:cs="Palatino Linotype"/>
          <w:b/>
        </w:rPr>
        <w:t xml:space="preserve">Ley de Transparencia y Acceso a la Información Pública del Estado de </w:t>
      </w:r>
      <w:r w:rsidRPr="00FA7506">
        <w:rPr>
          <w:rFonts w:ascii="Palatino Linotype" w:eastAsia="Palatino Linotype" w:hAnsi="Palatino Linotype" w:cs="Palatino Linotype"/>
        </w:rPr>
        <w:t>México</w:t>
      </w:r>
      <w:r w:rsidRPr="00FA7506">
        <w:rPr>
          <w:rFonts w:ascii="Palatino Linotype" w:eastAsia="Palatino Linotype" w:hAnsi="Palatino Linotype" w:cs="Palatino Linotype"/>
          <w:b/>
        </w:rPr>
        <w:t xml:space="preserve"> y </w:t>
      </w:r>
      <w:r w:rsidRPr="00FA7506">
        <w:rPr>
          <w:rFonts w:ascii="Palatino Linotype" w:eastAsia="Palatino Linotype" w:hAnsi="Palatino Linotype" w:cs="Palatino Linotype"/>
        </w:rPr>
        <w:t xml:space="preserve">Municipios; </w:t>
      </w:r>
      <w:r w:rsidRPr="00FA7506">
        <w:rPr>
          <w:rFonts w:ascii="Palatino Linotype" w:eastAsia="Palatino Linotype" w:hAnsi="Palatino Linotype" w:cs="Palatino Linotype"/>
          <w:color w:val="000000"/>
        </w:rPr>
        <w:t xml:space="preserve">fracción que determina la hipótesis jurídica relativa a la entrega de información incompleta; </w:t>
      </w:r>
      <w:r w:rsidRPr="00FA7506">
        <w:rPr>
          <w:rFonts w:ascii="Palatino Linotype" w:eastAsia="Palatino Linotype" w:hAnsi="Palatino Linotype" w:cs="Palatino Linotype"/>
        </w:rPr>
        <w:t xml:space="preserve">contexto del cual se dolió </w:t>
      </w:r>
      <w:r w:rsidRPr="00FA7506">
        <w:rPr>
          <w:rFonts w:ascii="Palatino Linotype" w:eastAsia="Palatino Linotype" w:hAnsi="Palatino Linotype" w:cs="Palatino Linotype"/>
          <w:b/>
        </w:rPr>
        <w:t xml:space="preserve">EL RECURRENTE </w:t>
      </w:r>
      <w:r w:rsidRPr="00FA7506">
        <w:rPr>
          <w:rFonts w:ascii="Palatino Linotype" w:eastAsia="Palatino Linotype" w:hAnsi="Palatino Linotype" w:cs="Palatino Linotype"/>
        </w:rPr>
        <w:t>al momento de interponer su inconformidad.</w:t>
      </w:r>
      <w:r w:rsidRPr="00FA7506">
        <w:rPr>
          <w:rFonts w:ascii="Palatino Linotype" w:eastAsia="Palatino Linotype" w:hAnsi="Palatino Linotype" w:cs="Palatino Linotype"/>
          <w:color w:val="000000"/>
        </w:rPr>
        <w:t xml:space="preserve"> De modo tal que el presente recurso de revisión se abocara en determinar si el </w:t>
      </w:r>
      <w:r w:rsidRPr="00FA7506">
        <w:rPr>
          <w:rFonts w:ascii="Palatino Linotype" w:eastAsia="Palatino Linotype" w:hAnsi="Palatino Linotype" w:cs="Palatino Linotype"/>
          <w:b/>
          <w:color w:val="000000"/>
        </w:rPr>
        <w:t>SUJETO</w:t>
      </w:r>
      <w:r w:rsidRPr="00FA7506">
        <w:rPr>
          <w:rFonts w:ascii="Palatino Linotype" w:eastAsia="Palatino Linotype" w:hAnsi="Palatino Linotype" w:cs="Palatino Linotype"/>
          <w:color w:val="000000"/>
        </w:rPr>
        <w:t xml:space="preserve"> </w:t>
      </w:r>
      <w:r w:rsidRPr="00FA7506">
        <w:rPr>
          <w:rFonts w:ascii="Palatino Linotype" w:eastAsia="Palatino Linotype" w:hAnsi="Palatino Linotype" w:cs="Palatino Linotype"/>
          <w:b/>
          <w:color w:val="000000"/>
        </w:rPr>
        <w:t>OBLIGADO</w:t>
      </w:r>
      <w:r w:rsidRPr="00FA7506">
        <w:rPr>
          <w:rFonts w:ascii="Palatino Linotype" w:eastAsia="Palatino Linotype" w:hAnsi="Palatino Linotype" w:cs="Palatino Linotype"/>
          <w:color w:val="000000"/>
        </w:rPr>
        <w:t xml:space="preserve"> con su respuesta ciertamente actualiza la causal de procedencia</w:t>
      </w:r>
      <w:r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color w:val="000000"/>
        </w:rPr>
        <w:t xml:space="preserve">antes señalada. </w:t>
      </w:r>
    </w:p>
    <w:p w:rsidR="00892FCF" w:rsidRPr="00FA7506" w:rsidRDefault="00892FCF">
      <w:pPr>
        <w:spacing w:line="360" w:lineRule="auto"/>
        <w:rPr>
          <w:rFonts w:ascii="Palatino Linotype" w:eastAsia="Palatino Linotype" w:hAnsi="Palatino Linotype" w:cs="Palatino Linotype"/>
        </w:rPr>
      </w:pPr>
    </w:p>
    <w:p w:rsidR="00892FCF" w:rsidRPr="00FA7506" w:rsidRDefault="00ED2233">
      <w:pPr>
        <w:pStyle w:val="Ttulo2"/>
        <w:spacing w:before="0" w:line="360" w:lineRule="auto"/>
        <w:rPr>
          <w:rFonts w:ascii="Palatino Linotype" w:eastAsia="Palatino Linotype" w:hAnsi="Palatino Linotype" w:cs="Palatino Linotype"/>
          <w:b/>
          <w:color w:val="000000"/>
          <w:sz w:val="24"/>
          <w:szCs w:val="24"/>
        </w:rPr>
      </w:pPr>
      <w:bookmarkStart w:id="10" w:name="_heading=h.17dp8vu" w:colFirst="0" w:colLast="0"/>
      <w:bookmarkEnd w:id="10"/>
      <w:r w:rsidRPr="00FA7506">
        <w:rPr>
          <w:rFonts w:ascii="Palatino Linotype" w:eastAsia="Palatino Linotype" w:hAnsi="Palatino Linotype" w:cs="Palatino Linotype"/>
          <w:b/>
          <w:color w:val="000000"/>
          <w:sz w:val="24"/>
          <w:szCs w:val="24"/>
        </w:rPr>
        <w:lastRenderedPageBreak/>
        <w:t>CUARTO. Del estudio y resolución del asunto.</w:t>
      </w:r>
    </w:p>
    <w:p w:rsidR="00892FCF" w:rsidRPr="00FA7506" w:rsidRDefault="00ED2233">
      <w:pPr>
        <w:pStyle w:val="Ttulo1"/>
        <w:numPr>
          <w:ilvl w:val="0"/>
          <w:numId w:val="7"/>
        </w:numPr>
        <w:spacing w:before="0" w:after="240" w:line="360" w:lineRule="auto"/>
        <w:ind w:left="786" w:hanging="360"/>
        <w:rPr>
          <w:rFonts w:ascii="Palatino Linotype" w:eastAsia="Palatino Linotype" w:hAnsi="Palatino Linotype" w:cs="Palatino Linotype"/>
          <w:b/>
          <w:color w:val="000000"/>
          <w:sz w:val="24"/>
          <w:szCs w:val="24"/>
        </w:rPr>
      </w:pPr>
      <w:r w:rsidRPr="00FA7506">
        <w:rPr>
          <w:rFonts w:ascii="Palatino Linotype" w:eastAsia="Palatino Linotype" w:hAnsi="Palatino Linotype" w:cs="Palatino Linotype"/>
          <w:b/>
          <w:color w:val="000000"/>
          <w:sz w:val="24"/>
          <w:szCs w:val="24"/>
        </w:rPr>
        <w:t>Del derecho de acceso a la información.</w:t>
      </w: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before="240"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Definiendo el Derecho de Acceso a la Información Pública como: </w:t>
      </w:r>
      <w:r w:rsidRPr="00FA7506">
        <w:rPr>
          <w:rFonts w:ascii="Palatino Linotype" w:eastAsia="Palatino Linotype" w:hAnsi="Palatino Linotype" w:cs="Palatino Linotype"/>
          <w:i/>
          <w:color w:val="000000"/>
        </w:rPr>
        <w:t>La igualdad de oportunidades para recibir, buscar e impartir información</w:t>
      </w:r>
      <w:r w:rsidRPr="00FA7506">
        <w:rPr>
          <w:rFonts w:ascii="Palatino Linotype" w:eastAsia="Palatino Linotype" w:hAnsi="Palatino Linotype" w:cs="Palatino Linotype"/>
          <w:i/>
          <w:vertAlign w:val="superscript"/>
        </w:rPr>
        <w:footnoteReference w:id="1"/>
      </w:r>
      <w:r w:rsidRPr="00FA7506">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A7506">
        <w:rPr>
          <w:rFonts w:ascii="Palatino Linotype" w:eastAsia="Palatino Linotype" w:hAnsi="Palatino Linotype" w:cs="Palatino Linotype"/>
          <w:i/>
          <w:vertAlign w:val="superscript"/>
        </w:rPr>
        <w:footnoteReference w:id="2"/>
      </w:r>
      <w:r w:rsidRPr="00FA7506">
        <w:rPr>
          <w:rFonts w:ascii="Palatino Linotype" w:eastAsia="Palatino Linotype" w:hAnsi="Palatino Linotype" w:cs="Palatino Linotype"/>
          <w:color w:val="000000"/>
        </w:rPr>
        <w:t>que se constituye como una herramienta fundamental para ejercer</w:t>
      </w:r>
      <w:r w:rsidRPr="00FA7506">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FA7506">
        <w:rPr>
          <w:rFonts w:ascii="Palatino Linotype" w:eastAsia="Palatino Linotype" w:hAnsi="Palatino Linotype" w:cs="Palatino Linotype"/>
          <w:i/>
          <w:vertAlign w:val="superscript"/>
        </w:rPr>
        <w:footnoteReference w:id="3"/>
      </w:r>
      <w:r w:rsidRPr="00FA7506">
        <w:rPr>
          <w:rFonts w:ascii="Palatino Linotype" w:eastAsia="Palatino Linotype" w:hAnsi="Palatino Linotype" w:cs="Palatino Linotype"/>
          <w:color w:val="000000"/>
        </w:rPr>
        <w:t>fomentando</w:t>
      </w:r>
      <w:r w:rsidRPr="00FA7506">
        <w:rPr>
          <w:rFonts w:ascii="Palatino Linotype" w:eastAsia="Palatino Linotype" w:hAnsi="Palatino Linotype" w:cs="Palatino Linotype"/>
          <w:i/>
          <w:color w:val="000000"/>
        </w:rPr>
        <w:t xml:space="preserve"> la transparencia de las actividades estatales y </w:t>
      </w:r>
      <w:r w:rsidRPr="00FA7506">
        <w:rPr>
          <w:rFonts w:ascii="Palatino Linotype" w:eastAsia="Palatino Linotype" w:hAnsi="Palatino Linotype" w:cs="Palatino Linotype"/>
          <w:color w:val="000000"/>
        </w:rPr>
        <w:t>promoviendo</w:t>
      </w:r>
      <w:r w:rsidRPr="00FA7506">
        <w:rPr>
          <w:rFonts w:ascii="Palatino Linotype" w:eastAsia="Palatino Linotype" w:hAnsi="Palatino Linotype" w:cs="Palatino Linotype"/>
          <w:i/>
          <w:color w:val="000000"/>
        </w:rPr>
        <w:t xml:space="preserve"> la responsabilidad de los funcionarios sobre su gestión pública,</w:t>
      </w:r>
      <w:r w:rsidRPr="00FA7506">
        <w:rPr>
          <w:rFonts w:ascii="Palatino Linotype" w:eastAsia="Palatino Linotype" w:hAnsi="Palatino Linotype" w:cs="Palatino Linotype"/>
          <w:i/>
          <w:vertAlign w:val="superscript"/>
        </w:rPr>
        <w:footnoteReference w:id="4"/>
      </w:r>
      <w:r w:rsidRPr="00FA7506">
        <w:rPr>
          <w:rFonts w:ascii="Palatino Linotype" w:eastAsia="Palatino Linotype" w:hAnsi="Palatino Linotype" w:cs="Palatino Linotype"/>
          <w:color w:val="000000"/>
        </w:rPr>
        <w:t>que permite</w:t>
      </w:r>
      <w:r w:rsidRPr="00FA7506">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892FCF" w:rsidRPr="00FA7506" w:rsidRDefault="00ED2233">
      <w:pPr>
        <w:numPr>
          <w:ilvl w:val="0"/>
          <w:numId w:val="1"/>
        </w:numPr>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lastRenderedPageBreak/>
        <w:t>En México, además de los derechos, están reconocidas las garantías para su protección, en ese sentido el párrafo tercero de artículo primero de la Constitución Política de los Estados Unidos Mexicanos dispone lo siguiente:</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r w:rsidRPr="00FA7506">
        <w:rPr>
          <w:rFonts w:ascii="Palatino Linotype" w:eastAsia="Palatino Linotype" w:hAnsi="Palatino Linotype" w:cs="Palatino Linotype"/>
          <w:b/>
          <w:i/>
          <w:sz w:val="22"/>
        </w:rPr>
        <w:t>Artículo 1.-</w:t>
      </w:r>
      <w:r w:rsidRPr="00FA7506">
        <w:rPr>
          <w:rFonts w:ascii="Palatino Linotype" w:eastAsia="Palatino Linotype" w:hAnsi="Palatino Linotype" w:cs="Palatino Linotype"/>
          <w:i/>
          <w:sz w:val="22"/>
        </w:rPr>
        <w:t xml:space="preserve"> </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Todas las</w:t>
      </w:r>
      <w:r w:rsidRPr="00FA7506">
        <w:rPr>
          <w:rFonts w:ascii="Palatino Linotype" w:eastAsia="Palatino Linotype" w:hAnsi="Palatino Linotype" w:cs="Palatino Linotype"/>
          <w:sz w:val="22"/>
        </w:rPr>
        <w:t xml:space="preserve"> </w:t>
      </w:r>
      <w:r w:rsidRPr="00FA7506">
        <w:rPr>
          <w:rFonts w:ascii="Palatino Linotype" w:eastAsia="Palatino Linotype" w:hAnsi="Palatino Linotype" w:cs="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92FCF" w:rsidRPr="00FA7506" w:rsidRDefault="00ED2233">
      <w:pPr>
        <w:ind w:left="1134" w:right="900"/>
        <w:jc w:val="both"/>
        <w:rPr>
          <w:rFonts w:ascii="Palatino Linotype" w:eastAsia="Palatino Linotype" w:hAnsi="Palatino Linotype" w:cs="Palatino Linotype"/>
          <w:sz w:val="22"/>
        </w:rPr>
      </w:pPr>
      <w:r w:rsidRPr="00FA7506">
        <w:rPr>
          <w:rFonts w:ascii="Palatino Linotype" w:eastAsia="Palatino Linotype" w:hAnsi="Palatino Linotype" w:cs="Palatino Linotype"/>
          <w:i/>
          <w:sz w:val="22"/>
        </w:rPr>
        <w:t>(…)</w:t>
      </w:r>
      <w:r w:rsidRPr="00FA7506">
        <w:rPr>
          <w:rFonts w:ascii="Palatino Linotype" w:eastAsia="Palatino Linotype" w:hAnsi="Palatino Linotype" w:cs="Palatino Linotype"/>
          <w:sz w:val="22"/>
        </w:rPr>
        <w:t>”.</w:t>
      </w:r>
    </w:p>
    <w:p w:rsidR="00892FCF" w:rsidRPr="00FA7506" w:rsidRDefault="00892FCF">
      <w:pPr>
        <w:ind w:right="567"/>
        <w:jc w:val="both"/>
        <w:rPr>
          <w:rFonts w:ascii="Palatino Linotype" w:eastAsia="Palatino Linotype" w:hAnsi="Palatino Linotype" w:cs="Palatino Linotype"/>
          <w:b/>
          <w:sz w:val="22"/>
        </w:rPr>
      </w:pPr>
    </w:p>
    <w:p w:rsidR="00892FCF" w:rsidRPr="00FA7506" w:rsidRDefault="00ED2233">
      <w:pPr>
        <w:numPr>
          <w:ilvl w:val="0"/>
          <w:numId w:val="1"/>
        </w:numPr>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92FCF" w:rsidRPr="00FA7506" w:rsidRDefault="00892FCF">
      <w:pPr>
        <w:spacing w:line="360" w:lineRule="auto"/>
        <w:ind w:right="49"/>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92FCF" w:rsidRPr="00FA7506" w:rsidRDefault="00ED2233">
      <w:pPr>
        <w:spacing w:after="240"/>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Constitución Política de los Estados Unidos Mexicanos</w:t>
      </w:r>
    </w:p>
    <w:p w:rsidR="00892FCF" w:rsidRPr="00FA7506" w:rsidRDefault="00ED2233">
      <w:pPr>
        <w:spacing w:before="240" w:after="240"/>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“Artículo 6.</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Para efectos de lo dispuesto en el presente artículo se observará lo siguiente:</w:t>
      </w:r>
    </w:p>
    <w:p w:rsidR="00892FCF" w:rsidRPr="00FA7506" w:rsidRDefault="00ED2233">
      <w:pPr>
        <w:spacing w:before="240" w:after="240"/>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lastRenderedPageBreak/>
        <w:t>A</w:t>
      </w:r>
      <w:r w:rsidRPr="00FA7506">
        <w:rPr>
          <w:rFonts w:ascii="Palatino Linotype" w:eastAsia="Palatino Linotype" w:hAnsi="Palatino Linotype" w:cs="Palatino Linotype"/>
          <w:i/>
          <w:sz w:val="22"/>
        </w:rPr>
        <w:t xml:space="preserve">. </w:t>
      </w:r>
      <w:r w:rsidRPr="00FA7506">
        <w:rPr>
          <w:rFonts w:ascii="Palatino Linotype" w:eastAsia="Palatino Linotype" w:hAnsi="Palatino Linotype" w:cs="Palatino Linotype"/>
          <w:b/>
          <w:i/>
          <w:sz w:val="22"/>
        </w:rPr>
        <w:t>Para el ejercicio del derecho de acceso a la información</w:t>
      </w:r>
      <w:r w:rsidRPr="00FA7506">
        <w:rPr>
          <w:rFonts w:ascii="Palatino Linotype" w:eastAsia="Palatino Linotype" w:hAnsi="Palatino Linotype" w:cs="Palatino Linotype"/>
          <w:i/>
          <w:sz w:val="22"/>
        </w:rPr>
        <w:t xml:space="preserve">, la Federación y </w:t>
      </w:r>
      <w:r w:rsidRPr="00FA7506">
        <w:rPr>
          <w:rFonts w:ascii="Palatino Linotype" w:eastAsia="Palatino Linotype" w:hAnsi="Palatino Linotype" w:cs="Palatino Linotype"/>
          <w:b/>
          <w:i/>
          <w:sz w:val="22"/>
        </w:rPr>
        <w:t>las entidades federativas, en el ámbito de sus respectivas competencias, se regirán por los siguientes principios y bases:</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 xml:space="preserve">I. </w:t>
      </w:r>
      <w:r w:rsidRPr="00FA7506">
        <w:rPr>
          <w:rFonts w:ascii="Palatino Linotype" w:eastAsia="Palatino Linotype" w:hAnsi="Palatino Linotype" w:cs="Palatino Linotype"/>
          <w:b/>
          <w:i/>
          <w:sz w:val="22"/>
        </w:rPr>
        <w:tab/>
        <w:t>Toda la información en posesión de cualquier</w:t>
      </w:r>
      <w:r w:rsidRPr="00FA7506">
        <w:rPr>
          <w:rFonts w:ascii="Palatino Linotype" w:eastAsia="Palatino Linotype" w:hAnsi="Palatino Linotype" w:cs="Palatino Linotype"/>
          <w:i/>
          <w:sz w:val="22"/>
        </w:rPr>
        <w:t xml:space="preserve"> </w:t>
      </w:r>
      <w:r w:rsidRPr="00FA7506">
        <w:rPr>
          <w:rFonts w:ascii="Palatino Linotype" w:eastAsia="Palatino Linotype" w:hAnsi="Palatino Linotype" w:cs="Palatino Linotype"/>
          <w:b/>
          <w:i/>
          <w:sz w:val="22"/>
        </w:rPr>
        <w:t>autoridad</w:t>
      </w:r>
      <w:r w:rsidRPr="00FA7506">
        <w:rPr>
          <w:rFonts w:ascii="Palatino Linotype" w:eastAsia="Palatino Linotype" w:hAnsi="Palatino Linotype" w:cs="Palatino Linotype"/>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A7506">
        <w:rPr>
          <w:rFonts w:ascii="Palatino Linotype" w:eastAsia="Palatino Linotype" w:hAnsi="Palatino Linotype" w:cs="Palatino Linotype"/>
          <w:b/>
          <w:i/>
          <w:sz w:val="22"/>
        </w:rPr>
        <w:t>municipal</w:t>
      </w:r>
      <w:r w:rsidRPr="00FA7506">
        <w:rPr>
          <w:rFonts w:ascii="Palatino Linotype" w:eastAsia="Palatino Linotype" w:hAnsi="Palatino Linotype" w:cs="Palatino Linotype"/>
          <w:i/>
          <w:sz w:val="22"/>
        </w:rPr>
        <w:t xml:space="preserve">, </w:t>
      </w:r>
      <w:r w:rsidRPr="00FA7506">
        <w:rPr>
          <w:rFonts w:ascii="Palatino Linotype" w:eastAsia="Palatino Linotype" w:hAnsi="Palatino Linotype" w:cs="Palatino Linotype"/>
          <w:b/>
          <w:i/>
          <w:sz w:val="22"/>
        </w:rPr>
        <w:t>es pública</w:t>
      </w:r>
      <w:r w:rsidRPr="00FA7506">
        <w:rPr>
          <w:rFonts w:ascii="Palatino Linotype" w:eastAsia="Palatino Linotype" w:hAnsi="Palatino Linotype" w:cs="Palatino Linotype"/>
          <w:i/>
          <w:sz w:val="22"/>
        </w:rPr>
        <w:t xml:space="preserve"> y sólo podrá ser reservada temporalmente por razones de interés público y seguridad nacional, en los términos que fijen las leyes. </w:t>
      </w:r>
      <w:r w:rsidRPr="00FA7506">
        <w:rPr>
          <w:rFonts w:ascii="Palatino Linotype" w:eastAsia="Palatino Linotype" w:hAnsi="Palatino Linotype" w:cs="Palatino Linotype"/>
          <w:b/>
          <w:i/>
          <w:sz w:val="22"/>
        </w:rPr>
        <w:t>En la interpretación de este derecho deberá prevalecer el principio de máxima publicidad. Los sujetos obligados deberán documentar todo acto que derive del ejercicio de sus facultades, competencias o funciones</w:t>
      </w:r>
      <w:r w:rsidRPr="00FA7506">
        <w:rPr>
          <w:rFonts w:ascii="Palatino Linotype" w:eastAsia="Palatino Linotype" w:hAnsi="Palatino Linotype" w:cs="Palatino Linotype"/>
          <w:i/>
          <w:sz w:val="22"/>
        </w:rPr>
        <w:t>, la ley determinará los supuestos específicos bajo los cuales procederá la declaración de inexistencia de la información.”</w:t>
      </w:r>
    </w:p>
    <w:p w:rsidR="00892FCF" w:rsidRPr="00FA7506" w:rsidRDefault="00892FCF">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rPr>
      </w:pPr>
    </w:p>
    <w:p w:rsidR="00892FCF" w:rsidRPr="00FA7506" w:rsidRDefault="00ED2233">
      <w:pPr>
        <w:spacing w:before="240" w:after="240"/>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Constitución Política del Estado Libre y Soberano de México</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“Artículo 5</w:t>
      </w:r>
      <w:r w:rsidRPr="00FA7506">
        <w:rPr>
          <w:rFonts w:ascii="Palatino Linotype" w:eastAsia="Palatino Linotype" w:hAnsi="Palatino Linotype" w:cs="Palatino Linotype"/>
          <w:i/>
          <w:sz w:val="22"/>
        </w:rPr>
        <w:t xml:space="preserve">.- </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El derecho a la información será garantizado por el Estado. La ley establecerá las previsiones que permitan asegurar la protección, el respeto y la difusión de este derecho</w:t>
      </w:r>
      <w:r w:rsidRPr="00FA7506">
        <w:rPr>
          <w:rFonts w:ascii="Palatino Linotype" w:eastAsia="Palatino Linotype" w:hAnsi="Palatino Linotype" w:cs="Palatino Linotype"/>
          <w:i/>
          <w:sz w:val="22"/>
        </w:rPr>
        <w:t>.</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92FCF" w:rsidRPr="00FA7506" w:rsidRDefault="00ED2233">
      <w:pPr>
        <w:spacing w:before="240" w:after="240"/>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Este derecho se regirá por los principios y bases siguientes</w:t>
      </w:r>
      <w:r w:rsidRPr="00FA7506">
        <w:rPr>
          <w:rFonts w:ascii="Palatino Linotype" w:eastAsia="Palatino Linotype" w:hAnsi="Palatino Linotype" w:cs="Palatino Linotype"/>
          <w:i/>
          <w:sz w:val="22"/>
        </w:rPr>
        <w:t>:</w:t>
      </w:r>
    </w:p>
    <w:p w:rsidR="00892FCF" w:rsidRPr="00FA7506" w:rsidRDefault="00ED2233" w:rsidP="00021853">
      <w:pPr>
        <w:pStyle w:val="Prrafodelista"/>
        <w:numPr>
          <w:ilvl w:val="0"/>
          <w:numId w:val="11"/>
        </w:numPr>
        <w:spacing w:before="240" w:after="240"/>
        <w:ind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Toda la información en posesión de cualquier autoridad, entidad, órgano y organismos de los</w:t>
      </w:r>
      <w:r w:rsidRPr="00FA7506">
        <w:rPr>
          <w:rFonts w:ascii="Palatino Linotype" w:eastAsia="Palatino Linotype" w:hAnsi="Palatino Linotype" w:cs="Palatino Linotype"/>
          <w:i/>
          <w:sz w:val="22"/>
        </w:rPr>
        <w:t xml:space="preserve"> Poderes Ejecutivo, Legislativo y Judicial, órganos autónomos, partidos políticos, fideicomisos y fondos públicos estatales y </w:t>
      </w:r>
      <w:r w:rsidRPr="00FA7506">
        <w:rPr>
          <w:rFonts w:ascii="Palatino Linotype" w:eastAsia="Palatino Linotype" w:hAnsi="Palatino Linotype" w:cs="Palatino Linotype"/>
          <w:b/>
          <w:i/>
          <w:sz w:val="22"/>
        </w:rPr>
        <w:t>municipales</w:t>
      </w:r>
      <w:r w:rsidRPr="00FA7506">
        <w:rPr>
          <w:rFonts w:ascii="Palatino Linotype" w:eastAsia="Palatino Linotype" w:hAnsi="Palatino Linotype" w:cs="Palatino Linotype"/>
          <w:i/>
          <w:sz w:val="22"/>
        </w:rPr>
        <w:t xml:space="preserve">, así como del gobierno y de la administración pública municipal y sus organismos descentralizados, asimismo de cualquier persona física, jurídica colectiva o sindicato que reciba y ejerza recursos públicos o realice actos </w:t>
      </w:r>
      <w:r w:rsidRPr="00FA7506">
        <w:rPr>
          <w:rFonts w:ascii="Palatino Linotype" w:eastAsia="Palatino Linotype" w:hAnsi="Palatino Linotype" w:cs="Palatino Linotype"/>
          <w:i/>
          <w:sz w:val="22"/>
        </w:rPr>
        <w:lastRenderedPageBreak/>
        <w:t xml:space="preserve">de autoridad en el ámbito estatal y municipal, </w:t>
      </w:r>
      <w:r w:rsidRPr="00FA7506">
        <w:rPr>
          <w:rFonts w:ascii="Palatino Linotype" w:eastAsia="Palatino Linotype" w:hAnsi="Palatino Linotype" w:cs="Palatino Linotype"/>
          <w:b/>
          <w:i/>
          <w:sz w:val="22"/>
        </w:rPr>
        <w:t>es pública</w:t>
      </w:r>
      <w:r w:rsidRPr="00FA7506">
        <w:rPr>
          <w:rFonts w:ascii="Palatino Linotype" w:eastAsia="Palatino Linotype" w:hAnsi="Palatino Linotype" w:cs="Palatino Linotype"/>
          <w:i/>
          <w:sz w:val="22"/>
        </w:rPr>
        <w:t xml:space="preserve"> y sólo podrá ser reservada temporalmente por razones previstas en la Constitución Política de los Estados Unidos Mexicanos de interés público y seguridad, en los términos que fijen las leyes. </w:t>
      </w:r>
      <w:r w:rsidRPr="00FA7506">
        <w:rPr>
          <w:rFonts w:ascii="Palatino Linotype" w:eastAsia="Palatino Linotype" w:hAnsi="Palatino Linotype" w:cs="Palatino Linotype"/>
          <w:b/>
          <w:i/>
          <w:sz w:val="22"/>
        </w:rPr>
        <w:t>En la interpretación de este derecho deberá prevalecer el principio de máxima publicidad</w:t>
      </w:r>
      <w:r w:rsidRPr="00FA7506">
        <w:rPr>
          <w:rFonts w:ascii="Palatino Linotype" w:eastAsia="Palatino Linotype" w:hAnsi="Palatino Linotype" w:cs="Palatino Linotype"/>
          <w:i/>
          <w:sz w:val="22"/>
        </w:rPr>
        <w:t xml:space="preserve">. </w:t>
      </w:r>
      <w:r w:rsidRPr="00FA7506">
        <w:rPr>
          <w:rFonts w:ascii="Palatino Linotype" w:eastAsia="Palatino Linotype" w:hAnsi="Palatino Linotype" w:cs="Palatino Linotype"/>
          <w:b/>
          <w:i/>
          <w:sz w:val="22"/>
        </w:rPr>
        <w:t>Los sujetos obligados deberán documentar todo acto que derive del ejercicio de sus facultades, competencias o funciones</w:t>
      </w:r>
      <w:r w:rsidRPr="00FA7506">
        <w:rPr>
          <w:rFonts w:ascii="Palatino Linotype" w:eastAsia="Palatino Linotype" w:hAnsi="Palatino Linotype" w:cs="Palatino Linotype"/>
          <w:i/>
          <w:sz w:val="22"/>
        </w:rPr>
        <w:t>, la ley determinará los supuestos específicos bajo los cuales procederá la declaración de inexistencia de la información.”</w:t>
      </w:r>
    </w:p>
    <w:p w:rsidR="00021853" w:rsidRPr="00FA7506" w:rsidRDefault="00021853" w:rsidP="00021853">
      <w:pPr>
        <w:pStyle w:val="Prrafodelista"/>
        <w:spacing w:before="240" w:after="240"/>
        <w:ind w:left="1854" w:right="900"/>
        <w:jc w:val="both"/>
        <w:rPr>
          <w:rFonts w:ascii="Palatino Linotype" w:eastAsia="Palatino Linotype" w:hAnsi="Palatino Linotype" w:cs="Palatino Linotype"/>
          <w:i/>
          <w:sz w:val="22"/>
        </w:rPr>
      </w:pPr>
    </w:p>
    <w:p w:rsidR="00892FCF" w:rsidRPr="00FA7506" w:rsidRDefault="00ED2233">
      <w:pPr>
        <w:numPr>
          <w:ilvl w:val="0"/>
          <w:numId w:val="1"/>
        </w:numPr>
        <w:spacing w:before="240"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FA7506">
        <w:rPr>
          <w:rFonts w:ascii="Palatino Linotype" w:eastAsia="Palatino Linotype" w:hAnsi="Palatino Linotype" w:cs="Palatino Linotype"/>
          <w:i/>
        </w:rPr>
        <w:t>por los principios de simplicidad, rapidez gratuidad del procedimiento, auxilio y orientación a los particulares</w:t>
      </w:r>
      <w:r w:rsidRPr="00FA7506">
        <w:rPr>
          <w:rFonts w:ascii="Palatino Linotype" w:eastAsia="Palatino Linotype" w:hAnsi="Palatino Linotype" w:cs="Palatino Linotype"/>
        </w:rPr>
        <w:t>, contemplando el derecho de las personas con discapacidad y hablantes de lengua indígena.</w:t>
      </w:r>
    </w:p>
    <w:p w:rsidR="00892FCF" w:rsidRPr="00FA7506" w:rsidRDefault="00892FCF">
      <w:pPr>
        <w:spacing w:line="360" w:lineRule="auto"/>
        <w:ind w:right="49"/>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El Derecho de Acceso a la Información se garantiza y respeta oportunamente, y según lo que dispone la Ley, las </w:t>
      </w:r>
      <w:r w:rsidRPr="00FA7506">
        <w:rPr>
          <w:rFonts w:ascii="Palatino Linotype" w:eastAsia="Palatino Linotype" w:hAnsi="Palatino Linotype" w:cs="Palatino Linotype"/>
          <w:i/>
        </w:rPr>
        <w:t>solicitudes de acceso a la información</w:t>
      </w:r>
      <w:r w:rsidRPr="00FA7506">
        <w:rPr>
          <w:rFonts w:ascii="Palatino Linotype" w:eastAsia="Palatino Linotype" w:hAnsi="Palatino Linotype" w:cs="Palatino Linotype"/>
        </w:rPr>
        <w:t>.</w:t>
      </w:r>
    </w:p>
    <w:p w:rsidR="00892FCF" w:rsidRPr="00FA7506" w:rsidRDefault="00892FCF">
      <w:pPr>
        <w:spacing w:line="360" w:lineRule="auto"/>
        <w:ind w:right="49"/>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right="49" w:firstLine="0"/>
        <w:jc w:val="both"/>
        <w:rPr>
          <w:rFonts w:ascii="Palatino Linotype" w:eastAsia="Palatino Linotype" w:hAnsi="Palatino Linotype" w:cs="Palatino Linotype"/>
        </w:rPr>
      </w:pPr>
      <w:bookmarkStart w:id="11" w:name="_heading=h.3rdcrjn" w:colFirst="0" w:colLast="0"/>
      <w:bookmarkEnd w:id="11"/>
      <w:r w:rsidRPr="00FA7506">
        <w:rPr>
          <w:rFonts w:ascii="Palatino Linotype" w:eastAsia="Palatino Linotype" w:hAnsi="Palatino Linotype" w:cs="Palatino Linotype"/>
        </w:rPr>
        <w:t xml:space="preserve">Así entonces, se procede analizar, en primer lugar, si el </w:t>
      </w:r>
      <w:r w:rsidRPr="00FA7506">
        <w:rPr>
          <w:rFonts w:ascii="Palatino Linotype" w:eastAsia="Palatino Linotype" w:hAnsi="Palatino Linotype" w:cs="Palatino Linotype"/>
          <w:b/>
        </w:rPr>
        <w:t>SUJETO OBLIGADO</w:t>
      </w:r>
      <w:r w:rsidRPr="00FA7506">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92FCF" w:rsidRPr="00FA7506" w:rsidRDefault="00892FCF">
      <w:pPr>
        <w:spacing w:line="360" w:lineRule="auto"/>
        <w:ind w:right="49"/>
        <w:jc w:val="both"/>
        <w:rPr>
          <w:rFonts w:ascii="Palatino Linotype" w:eastAsia="Palatino Linotype" w:hAnsi="Palatino Linotype" w:cs="Palatino Linotype"/>
        </w:rPr>
      </w:pPr>
    </w:p>
    <w:p w:rsidR="00892FCF" w:rsidRPr="00FA7506" w:rsidRDefault="00ED2233">
      <w:pPr>
        <w:pStyle w:val="Ttulo1"/>
        <w:spacing w:before="0" w:after="240" w:line="360" w:lineRule="auto"/>
        <w:rPr>
          <w:rFonts w:ascii="Palatino Linotype" w:eastAsia="Palatino Linotype" w:hAnsi="Palatino Linotype" w:cs="Palatino Linotype"/>
          <w:b/>
          <w:color w:val="000000"/>
          <w:sz w:val="24"/>
          <w:szCs w:val="24"/>
        </w:rPr>
      </w:pPr>
      <w:bookmarkStart w:id="12" w:name="_heading=h.26in1rg" w:colFirst="0" w:colLast="0"/>
      <w:bookmarkEnd w:id="12"/>
      <w:r w:rsidRPr="00FA7506">
        <w:rPr>
          <w:rFonts w:ascii="Palatino Linotype" w:eastAsia="Palatino Linotype" w:hAnsi="Palatino Linotype" w:cs="Palatino Linotype"/>
          <w:b/>
          <w:color w:val="000000"/>
          <w:sz w:val="24"/>
          <w:szCs w:val="24"/>
        </w:rPr>
        <w:lastRenderedPageBreak/>
        <w:t>II. De la información solicitada y la respuesta del SUJETO OBLIGADO</w:t>
      </w: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color w:val="000000"/>
        </w:rPr>
        <w:t xml:space="preserve">Acotada la </w:t>
      </w:r>
      <w:r w:rsidRPr="00FA7506">
        <w:rPr>
          <w:rFonts w:ascii="Palatino Linotype" w:eastAsia="Palatino Linotype" w:hAnsi="Palatino Linotype" w:cs="Palatino Linotype"/>
          <w:i/>
          <w:color w:val="000000"/>
        </w:rPr>
        <w:t>Litis</w:t>
      </w:r>
      <w:r w:rsidRPr="00FA7506">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totalidad de la información solicitada</w:t>
      </w:r>
      <w:r w:rsidRPr="00FA7506">
        <w:rPr>
          <w:rFonts w:ascii="Palatino Linotype" w:eastAsia="Palatino Linotype" w:hAnsi="Palatino Linotype" w:cs="Palatino Linotype"/>
          <w:b/>
          <w:color w:val="000000"/>
        </w:rPr>
        <w:t xml:space="preserve">.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ese sentido, es importante recordar la información que fue solicitada por el </w:t>
      </w:r>
      <w:r w:rsidRPr="00FA7506">
        <w:rPr>
          <w:rFonts w:ascii="Palatino Linotype" w:eastAsia="Palatino Linotype" w:hAnsi="Palatino Linotype" w:cs="Palatino Linotype"/>
          <w:b/>
        </w:rPr>
        <w:t>RECURRENTE y la respuesta del SUJETO OBLIGADO</w:t>
      </w:r>
      <w:r w:rsidRPr="00FA7506">
        <w:rPr>
          <w:rFonts w:ascii="Palatino Linotype" w:eastAsia="Palatino Linotype" w:hAnsi="Palatino Linotype" w:cs="Palatino Linotype"/>
        </w:rPr>
        <w:t xml:space="preserve"> para establecer si con la información entregada se colmada el derecho de acceso a la información de lo solicitado. </w:t>
      </w:r>
    </w:p>
    <w:tbl>
      <w:tblPr>
        <w:tblStyle w:val="a"/>
        <w:tblW w:w="9497"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17"/>
        <w:gridCol w:w="3278"/>
        <w:gridCol w:w="3402"/>
      </w:tblGrid>
      <w:tr w:rsidR="00892FCF" w:rsidRPr="00FA7506" w:rsidTr="00021853">
        <w:tc>
          <w:tcPr>
            <w:tcW w:w="2817" w:type="dxa"/>
          </w:tcPr>
          <w:p w:rsidR="00892FCF" w:rsidRPr="00FA7506" w:rsidRDefault="00ED2233">
            <w:pPr>
              <w:ind w:right="616"/>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Información Solicitada</w:t>
            </w:r>
          </w:p>
        </w:tc>
        <w:tc>
          <w:tcPr>
            <w:tcW w:w="3278" w:type="dxa"/>
          </w:tcPr>
          <w:p w:rsidR="00892FCF" w:rsidRPr="00FA7506" w:rsidRDefault="00ED2233">
            <w:pPr>
              <w:ind w:right="616"/>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Respuesta del Sujeto Obligado </w:t>
            </w:r>
          </w:p>
        </w:tc>
        <w:tc>
          <w:tcPr>
            <w:tcW w:w="3402" w:type="dxa"/>
          </w:tcPr>
          <w:p w:rsidR="00892FCF" w:rsidRPr="00FA7506" w:rsidRDefault="00ED2233">
            <w:pPr>
              <w:ind w:right="616"/>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Colma </w:t>
            </w:r>
          </w:p>
        </w:tc>
      </w:tr>
      <w:tr w:rsidR="00892FCF" w:rsidRPr="00FA7506" w:rsidTr="00021853">
        <w:tc>
          <w:tcPr>
            <w:tcW w:w="2817" w:type="dxa"/>
          </w:tcPr>
          <w:p w:rsidR="00892FCF" w:rsidRPr="00FA7506" w:rsidRDefault="00ED2233">
            <w:pPr>
              <w:numPr>
                <w:ilvl w:val="0"/>
                <w:numId w:val="9"/>
              </w:numPr>
              <w:spacing w:line="259" w:lineRule="auto"/>
              <w:ind w:left="301" w:right="315"/>
              <w:jc w:val="both"/>
              <w:rPr>
                <w:rFonts w:ascii="Palatino Linotype" w:eastAsia="Palatino Linotype" w:hAnsi="Palatino Linotype" w:cs="Palatino Linotype"/>
                <w:b/>
                <w:sz w:val="22"/>
              </w:rPr>
            </w:pPr>
            <w:r w:rsidRPr="00FA7506">
              <w:rPr>
                <w:rFonts w:ascii="Palatino Linotype" w:eastAsia="Palatino Linotype" w:hAnsi="Palatino Linotype" w:cs="Palatino Linotype"/>
                <w:b/>
                <w:i/>
                <w:sz w:val="22"/>
              </w:rPr>
              <w:t xml:space="preserve">Documento con el que se acredite la propiedad. </w:t>
            </w:r>
          </w:p>
          <w:p w:rsidR="00892FCF" w:rsidRPr="00FA7506" w:rsidRDefault="00892FCF">
            <w:pPr>
              <w:ind w:right="616"/>
              <w:jc w:val="both"/>
              <w:rPr>
                <w:rFonts w:ascii="Palatino Linotype" w:eastAsia="Palatino Linotype" w:hAnsi="Palatino Linotype" w:cs="Palatino Linotype"/>
                <w:i/>
                <w:color w:val="000000"/>
                <w:sz w:val="22"/>
              </w:rPr>
            </w:pPr>
          </w:p>
        </w:tc>
        <w:tc>
          <w:tcPr>
            <w:tcW w:w="3278" w:type="dxa"/>
          </w:tcPr>
          <w:p w:rsidR="00892FCF" w:rsidRPr="00FA7506" w:rsidRDefault="00ED2233">
            <w:pPr>
              <w:ind w:right="21"/>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En respuesta por medio del Secretario del Ayuntamiento, se remite el Instrumento Número diecisiete de mil doscientos setenta y seis, expresión documental que acredita la propiedad del inmueble</w:t>
            </w:r>
          </w:p>
        </w:tc>
        <w:tc>
          <w:tcPr>
            <w:tcW w:w="3402" w:type="dxa"/>
          </w:tcPr>
          <w:p w:rsidR="00892FCF" w:rsidRPr="00FA7506" w:rsidRDefault="00ED2233">
            <w:pPr>
              <w:ind w:right="616"/>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Colma parcialmente, toda vez que del documento remitido se observa que de manera enunciativa más no limitativa se clasificaron los nombres de las personas vendedora, dato que deberá de ser público por haber participado en la entrega del bien que se utilizó para la Unidad Deportiva. </w:t>
            </w:r>
          </w:p>
        </w:tc>
      </w:tr>
      <w:tr w:rsidR="00892FCF" w:rsidRPr="00FA7506" w:rsidTr="00021853">
        <w:tc>
          <w:tcPr>
            <w:tcW w:w="2817" w:type="dxa"/>
          </w:tcPr>
          <w:p w:rsidR="00892FCF" w:rsidRPr="00FA7506" w:rsidRDefault="00ED2233">
            <w:pPr>
              <w:numPr>
                <w:ilvl w:val="0"/>
                <w:numId w:val="9"/>
              </w:numPr>
              <w:pBdr>
                <w:top w:val="nil"/>
                <w:left w:val="nil"/>
                <w:bottom w:val="nil"/>
                <w:right w:val="nil"/>
                <w:between w:val="nil"/>
              </w:pBdr>
              <w:ind w:left="443" w:right="8"/>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Acta de Cabildo en el que se aprobó la obra.</w:t>
            </w:r>
          </w:p>
        </w:tc>
        <w:tc>
          <w:tcPr>
            <w:tcW w:w="3278" w:type="dxa"/>
          </w:tcPr>
          <w:p w:rsidR="00892FCF" w:rsidRPr="00FA7506" w:rsidRDefault="00ED2233">
            <w:pPr>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Acta de la Trigésima Quinta Sesión Ordinaria del once de junio de dos mil diez, mediante el cual se observa que el punto siete del orden del día se aprueban las obras para realizar en el dos mil diez, entre las que se observan la Construcción de la  Unidad Deportiva y su monto autorizado.</w:t>
            </w:r>
          </w:p>
        </w:tc>
        <w:tc>
          <w:tcPr>
            <w:tcW w:w="3402" w:type="dxa"/>
          </w:tcPr>
          <w:p w:rsidR="00892FCF" w:rsidRPr="00FA7506" w:rsidRDefault="00ED2233">
            <w:pPr>
              <w:ind w:right="616"/>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Si colma</w:t>
            </w:r>
          </w:p>
        </w:tc>
      </w:tr>
      <w:tr w:rsidR="00892FCF" w:rsidRPr="00FA7506" w:rsidTr="00021853">
        <w:tc>
          <w:tcPr>
            <w:tcW w:w="2817" w:type="dxa"/>
          </w:tcPr>
          <w:p w:rsidR="00892FCF" w:rsidRPr="00FA7506" w:rsidRDefault="00892FCF">
            <w:pPr>
              <w:jc w:val="both"/>
              <w:rPr>
                <w:rFonts w:ascii="Palatino Linotype" w:eastAsia="Palatino Linotype" w:hAnsi="Palatino Linotype" w:cs="Palatino Linotype"/>
                <w:b/>
                <w:i/>
                <w:color w:val="000000"/>
                <w:sz w:val="22"/>
              </w:rPr>
            </w:pPr>
          </w:p>
          <w:p w:rsidR="00892FCF" w:rsidRPr="00FA7506" w:rsidRDefault="00ED2233">
            <w:pPr>
              <w:numPr>
                <w:ilvl w:val="0"/>
                <w:numId w:val="9"/>
              </w:numPr>
              <w:pBdr>
                <w:top w:val="nil"/>
                <w:left w:val="nil"/>
                <w:bottom w:val="nil"/>
                <w:right w:val="nil"/>
                <w:between w:val="nil"/>
              </w:pBdr>
              <w:ind w:left="301"/>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Nombre de los responsables que tienen lo tienen bajo su resguardo. </w:t>
            </w:r>
          </w:p>
          <w:p w:rsidR="00892FCF" w:rsidRPr="00FA7506" w:rsidRDefault="00892FCF">
            <w:pPr>
              <w:jc w:val="both"/>
              <w:rPr>
                <w:rFonts w:ascii="Palatino Linotype" w:eastAsia="Palatino Linotype" w:hAnsi="Palatino Linotype" w:cs="Palatino Linotype"/>
                <w:i/>
                <w:color w:val="000000"/>
                <w:sz w:val="22"/>
              </w:rPr>
            </w:pPr>
          </w:p>
        </w:tc>
        <w:tc>
          <w:tcPr>
            <w:tcW w:w="3278" w:type="dxa"/>
          </w:tcPr>
          <w:p w:rsidR="00892FCF" w:rsidRPr="00FA7506" w:rsidRDefault="00892FCF">
            <w:pPr>
              <w:ind w:right="616"/>
              <w:jc w:val="both"/>
              <w:rPr>
                <w:rFonts w:ascii="Palatino Linotype" w:eastAsia="Palatino Linotype" w:hAnsi="Palatino Linotype" w:cs="Palatino Linotype"/>
                <w:i/>
                <w:color w:val="000000"/>
                <w:sz w:val="22"/>
              </w:rPr>
            </w:pPr>
          </w:p>
          <w:p w:rsidR="00892FCF" w:rsidRPr="00FA7506" w:rsidRDefault="00ED2233">
            <w:pPr>
              <w:ind w:right="21"/>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Del Resguardo refieren que es propiedad municipal y que por lo tanto está a resguardo del Ayuntamiento de Toluca.</w:t>
            </w:r>
            <w:r w:rsidRPr="00FA7506">
              <w:rPr>
                <w:rFonts w:ascii="Palatino Linotype" w:eastAsia="Palatino Linotype" w:hAnsi="Palatino Linotype" w:cs="Palatino Linotype"/>
                <w:i/>
                <w:sz w:val="22"/>
              </w:rPr>
              <w:t xml:space="preserve">  </w:t>
            </w:r>
          </w:p>
          <w:p w:rsidR="00892FCF" w:rsidRPr="00FA7506" w:rsidRDefault="00892FCF">
            <w:pPr>
              <w:ind w:right="21"/>
              <w:jc w:val="both"/>
              <w:rPr>
                <w:rFonts w:ascii="Palatino Linotype" w:eastAsia="Palatino Linotype" w:hAnsi="Palatino Linotype" w:cs="Palatino Linotype"/>
                <w:sz w:val="22"/>
              </w:rPr>
            </w:pPr>
          </w:p>
        </w:tc>
        <w:tc>
          <w:tcPr>
            <w:tcW w:w="3402" w:type="dxa"/>
          </w:tcPr>
          <w:p w:rsidR="00892FCF" w:rsidRPr="00FA7506" w:rsidRDefault="00ED2233">
            <w:pPr>
              <w:ind w:right="616"/>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Si colma, toda vez que al ser un bien del municipio es el ayuntamiento quien lo resguarda.  </w:t>
            </w:r>
          </w:p>
        </w:tc>
      </w:tr>
      <w:tr w:rsidR="00892FCF" w:rsidRPr="00FA7506" w:rsidTr="00021853">
        <w:tc>
          <w:tcPr>
            <w:tcW w:w="2817" w:type="dxa"/>
          </w:tcPr>
          <w:p w:rsidR="00892FCF" w:rsidRPr="00FA7506" w:rsidRDefault="00ED2233">
            <w:pPr>
              <w:numPr>
                <w:ilvl w:val="0"/>
                <w:numId w:val="9"/>
              </w:numPr>
              <w:pBdr>
                <w:top w:val="nil"/>
                <w:left w:val="nil"/>
                <w:bottom w:val="nil"/>
                <w:right w:val="nil"/>
                <w:between w:val="nil"/>
              </w:pBdr>
              <w:ind w:left="301"/>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Servidor o servidores públicos a quien se le tenga que girar oficio para realizar una actividad y el fúndame legalmente</w:t>
            </w:r>
          </w:p>
        </w:tc>
        <w:tc>
          <w:tcPr>
            <w:tcW w:w="3278" w:type="dxa"/>
          </w:tcPr>
          <w:p w:rsidR="00892FCF" w:rsidRPr="00FA7506" w:rsidRDefault="00021853">
            <w:pPr>
              <w:ind w:right="83"/>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En respuesta se informa que</w:t>
            </w:r>
            <w:r w:rsidR="00ED2233" w:rsidRPr="00FA7506">
              <w:rPr>
                <w:rFonts w:ascii="Palatino Linotype" w:eastAsia="Palatino Linotype" w:hAnsi="Palatino Linotype" w:cs="Palatino Linotype"/>
                <w:i/>
                <w:color w:val="000000"/>
                <w:sz w:val="22"/>
              </w:rPr>
              <w:t xml:space="preserve"> de conformidad con el artículo 7.35 y 7.40 del Código Reglamentario Municipal de Toluca, las actividades en espacios públicos municipales se deberá de realizar conforme a la autorización emitida por el Secretario del Ayuntamiento oficios que se dirigen también al Presidente Municipal y al Director del Instituto Municipal de Cultura Física y Deporte de Toluca</w:t>
            </w:r>
          </w:p>
        </w:tc>
        <w:tc>
          <w:tcPr>
            <w:tcW w:w="3402" w:type="dxa"/>
          </w:tcPr>
          <w:p w:rsidR="00892FCF" w:rsidRPr="00FA7506" w:rsidRDefault="00ED2233">
            <w:pPr>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Si colma </w:t>
            </w:r>
          </w:p>
        </w:tc>
      </w:tr>
    </w:tbl>
    <w:p w:rsidR="00892FCF" w:rsidRPr="00FA7506" w:rsidRDefault="00892FCF">
      <w:pPr>
        <w:pBdr>
          <w:top w:val="nil"/>
          <w:left w:val="nil"/>
          <w:bottom w:val="nil"/>
          <w:right w:val="nil"/>
          <w:between w:val="nil"/>
        </w:pBdr>
        <w:ind w:left="720" w:right="616"/>
        <w:jc w:val="both"/>
        <w:rPr>
          <w:rFonts w:ascii="Palatino Linotype" w:eastAsia="Palatino Linotype" w:hAnsi="Palatino Linotype" w:cs="Palatino Linotype"/>
          <w:i/>
          <w:color w:val="000000"/>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De la tabla anterior, se observa que fueron colmados tres puntos de la solicitud de información de acuerdo al siguiente </w:t>
      </w:r>
      <w:r w:rsidR="00021853" w:rsidRPr="00FA7506">
        <w:rPr>
          <w:rFonts w:ascii="Palatino Linotype" w:eastAsia="Palatino Linotype" w:hAnsi="Palatino Linotype" w:cs="Palatino Linotype"/>
        </w:rPr>
        <w:t>análisis</w:t>
      </w:r>
      <w:r w:rsidRPr="00FA7506">
        <w:rPr>
          <w:rFonts w:ascii="Palatino Linotype" w:eastAsia="Palatino Linotype" w:hAnsi="Palatino Linotype" w:cs="Palatino Linotype"/>
        </w:rPr>
        <w:t xml:space="preserve">.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b/>
        </w:rPr>
      </w:pPr>
      <w:r w:rsidRPr="00FA7506">
        <w:rPr>
          <w:rFonts w:ascii="Palatino Linotype" w:eastAsia="Palatino Linotype" w:hAnsi="Palatino Linotype" w:cs="Palatino Linotype"/>
        </w:rPr>
        <w:t>Respecto al punto de “</w:t>
      </w:r>
      <w:r w:rsidRPr="00FA7506">
        <w:rPr>
          <w:rFonts w:ascii="Palatino Linotype" w:eastAsia="Palatino Linotype" w:hAnsi="Palatino Linotype" w:cs="Palatino Linotype"/>
          <w:b/>
          <w:i/>
        </w:rPr>
        <w:t xml:space="preserve">Acta de Cabildo en el que se aprobó la obra.”, </w:t>
      </w:r>
      <w:r w:rsidRPr="00FA7506">
        <w:rPr>
          <w:rFonts w:ascii="Palatino Linotype" w:eastAsia="Palatino Linotype" w:hAnsi="Palatino Linotype" w:cs="Palatino Linotype"/>
        </w:rPr>
        <w:t>de la Unidad Deportiva referida en la solicitud de información, se observa que dio respuesta el Secretario del Ayuntamiento, quien de acuerdo la Ley Orgánica Municipal del Estado de México</w:t>
      </w:r>
      <w:r w:rsidRPr="00FA7506">
        <w:rPr>
          <w:rFonts w:ascii="Palatino Linotype" w:eastAsia="Palatino Linotype" w:hAnsi="Palatino Linotype" w:cs="Palatino Linotype"/>
          <w:b/>
          <w:i/>
        </w:rPr>
        <w:t xml:space="preserve">, </w:t>
      </w:r>
      <w:r w:rsidRPr="00FA7506">
        <w:rPr>
          <w:rFonts w:ascii="Palatino Linotype" w:eastAsia="Palatino Linotype" w:hAnsi="Palatino Linotype" w:cs="Palatino Linotype"/>
        </w:rPr>
        <w:t xml:space="preserve">tiene las siguientes funciones. </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Artículo 91.-</w:t>
      </w:r>
      <w:r w:rsidRPr="00FA7506">
        <w:rPr>
          <w:rFonts w:ascii="Palatino Linotype" w:eastAsia="Palatino Linotype" w:hAnsi="Palatino Linotype" w:cs="Palatino Linotype"/>
          <w:i/>
          <w:sz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892FCF" w:rsidRPr="00FA7506" w:rsidRDefault="00ED2233">
      <w:pPr>
        <w:numPr>
          <w:ilvl w:val="0"/>
          <w:numId w:val="2"/>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Asistir a las sesiones del ayuntamiento y levantar las actas correspondientes</w:t>
      </w:r>
      <w:r w:rsidRPr="00FA7506">
        <w:rPr>
          <w:rFonts w:ascii="Palatino Linotype" w:eastAsia="Palatino Linotype" w:hAnsi="Palatino Linotype" w:cs="Palatino Linotype"/>
          <w:i/>
          <w:color w:val="000000"/>
          <w:sz w:val="22"/>
        </w:rPr>
        <w:t xml:space="preserve">;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lastRenderedPageBreak/>
        <w:t xml:space="preserve">II. Emitir los citatorios para la celebración de las sesiones de cabildo, convocadas legalmente;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III. Dar cuenta en la primera sesión de cada mes, del número y contenido de los expedientes pasados a comisión, con mención de los que hayan sido resueltos y de los pendientes;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IV. Llevar y conservar los libros de actas de cabildo, obteniendo las firmas de los asistentes a las sesiones;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V. Validar con su firma, los documentos oficiales emanados del ayuntamiento o de cualquiera de sus miembros</w:t>
      </w:r>
      <w:r w:rsidRPr="00FA7506">
        <w:rPr>
          <w:rFonts w:ascii="Palatino Linotype" w:eastAsia="Palatino Linotype" w:hAnsi="Palatino Linotype" w:cs="Palatino Linotype"/>
          <w:i/>
          <w:color w:val="000000"/>
          <w:sz w:val="22"/>
        </w:rPr>
        <w:t xml:space="preserve">;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VI. Tener a su cargo el archivo general del ayuntamiento;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VII. Controlar y distribuir la correspondencia oficial del ayuntamiento, dando cuenta diaria al presidente municipal para acordar su trámite;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VIII. Publicar los reglamentos, circulares y demás disposiciones municipales de observancia general;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IX. Compilar leyes, decretos, reglamentos, periódicos oficiales del estado, circulares y órdenes relativas a los distintos sectores de la administración pública municipal;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XII. Integrar un sistema de información que contenga datos de los aspectos socio-económicos básicos del municipio;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XIII. Ser responsable de la publicación de la Gaceta Municipal, así como de las publicaciones en los estrados de los Ayuntamientos; y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XIV. Las demás que le confieran esta Ley y disposiciones aplicables</w:t>
      </w:r>
    </w:p>
    <w:p w:rsidR="00892FCF" w:rsidRPr="00FA7506" w:rsidRDefault="00892FCF">
      <w:pPr>
        <w:spacing w:line="360" w:lineRule="auto"/>
        <w:jc w:val="both"/>
        <w:rPr>
          <w:rFonts w:ascii="Palatino Linotype" w:eastAsia="Palatino Linotype" w:hAnsi="Palatino Linotype" w:cs="Palatino Linotype"/>
          <w:b/>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lastRenderedPageBreak/>
        <w:t xml:space="preserve">De lo anterior, se colige que el Secretario del Ayuntamiento es el servidor público habilitado para conocer respecto de las Actas de Cabildo que se emiten por las sesiones realizadas por el </w:t>
      </w:r>
      <w:r w:rsidRPr="00FA7506">
        <w:rPr>
          <w:rFonts w:ascii="Palatino Linotype" w:eastAsia="Palatino Linotype" w:hAnsi="Palatino Linotype" w:cs="Palatino Linotype"/>
          <w:b/>
        </w:rPr>
        <w:t xml:space="preserve">SUJETO OBLIGADO.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i/>
        </w:rPr>
      </w:pPr>
      <w:r w:rsidRPr="00FA7506">
        <w:rPr>
          <w:rFonts w:ascii="Palatino Linotype" w:eastAsia="Palatino Linotype" w:hAnsi="Palatino Linotype" w:cs="Palatino Linotype"/>
        </w:rPr>
        <w:t xml:space="preserve">En ese sentido, se observa que de la respuesta emitida por el Secretario del Ayuntamiento como servidor público habilitado, remitió el Acta de la Trigésima Quinta Sesión Ordinaria del once de junio de dos mil diez, mediante el cual se observa que el punto siete del orden del día se aprueban la obras para realizar en el dos mil diez, entre las que se observan la Construcción de la  Unidad Deportiva y su monto autorizado. </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i/>
          <w:color w:val="000000"/>
        </w:rPr>
      </w:pPr>
    </w:p>
    <w:p w:rsidR="00892FCF" w:rsidRPr="00FA7506" w:rsidRDefault="00ED2233">
      <w:pPr>
        <w:spacing w:line="360" w:lineRule="auto"/>
        <w:jc w:val="center"/>
        <w:rPr>
          <w:rFonts w:ascii="Palatino Linotype" w:eastAsia="Palatino Linotype" w:hAnsi="Palatino Linotype" w:cs="Palatino Linotype"/>
          <w:i/>
        </w:rPr>
      </w:pPr>
      <w:r w:rsidRPr="00FA7506">
        <w:rPr>
          <w:rFonts w:ascii="Palatino Linotype" w:eastAsia="Palatino Linotype" w:hAnsi="Palatino Linotype" w:cs="Palatino Linotype"/>
          <w:i/>
          <w:noProof/>
        </w:rPr>
        <w:drawing>
          <wp:inline distT="0" distB="0" distL="0" distR="0">
            <wp:extent cx="3815509" cy="414404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15509" cy="4144046"/>
                    </a:xfrm>
                    <a:prstGeom prst="rect">
                      <a:avLst/>
                    </a:prstGeom>
                    <a:ln/>
                  </pic:spPr>
                </pic:pic>
              </a:graphicData>
            </a:graphic>
          </wp:inline>
        </w:drawing>
      </w: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lastRenderedPageBreak/>
        <w:t xml:space="preserve">De lo anterior expuesto por lo que respecta al Acta de Cabildo donde fue aprobada la construcción de la Unidad Deportiva referida en la solicitud de información se tiene por colmado.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b/>
          <w:i/>
        </w:rPr>
      </w:pPr>
      <w:r w:rsidRPr="00FA7506">
        <w:rPr>
          <w:rFonts w:ascii="Palatino Linotype" w:eastAsia="Palatino Linotype" w:hAnsi="Palatino Linotype" w:cs="Palatino Linotype"/>
        </w:rPr>
        <w:t>Ahora bien, por lo que respecta al “</w:t>
      </w:r>
      <w:r w:rsidRPr="00FA7506">
        <w:rPr>
          <w:rFonts w:ascii="Palatino Linotype" w:eastAsia="Palatino Linotype" w:hAnsi="Palatino Linotype" w:cs="Palatino Linotype"/>
          <w:b/>
          <w:i/>
        </w:rPr>
        <w:t xml:space="preserve">Nombre de los responsables que tienen lo tienen bajo su resguardo.”, </w:t>
      </w:r>
      <w:r w:rsidRPr="00FA7506">
        <w:rPr>
          <w:rFonts w:ascii="Palatino Linotype" w:eastAsia="Palatino Linotype" w:hAnsi="Palatino Linotype" w:cs="Palatino Linotype"/>
        </w:rPr>
        <w:t xml:space="preserve">el servidor público habilitado que es el Secretario de Ayuntamiento, refiere que al ser propiedad municipal se encuentra bajo el resguardo del Ayuntamiento de Toluca, situación que se confirma con el siguiente </w:t>
      </w:r>
      <w:r w:rsidR="00021853" w:rsidRPr="00FA7506">
        <w:rPr>
          <w:rFonts w:ascii="Palatino Linotype" w:eastAsia="Palatino Linotype" w:hAnsi="Palatino Linotype" w:cs="Palatino Linotype"/>
        </w:rPr>
        <w:t>análisis</w:t>
      </w:r>
      <w:r w:rsidRPr="00FA7506">
        <w:rPr>
          <w:rFonts w:ascii="Palatino Linotype" w:eastAsia="Palatino Linotype" w:hAnsi="Palatino Linotype" w:cs="Palatino Linotype"/>
        </w:rPr>
        <w:t xml:space="preserve">. </w:t>
      </w:r>
    </w:p>
    <w:p w:rsidR="00021853" w:rsidRPr="00FA7506" w:rsidRDefault="00021853" w:rsidP="00021853">
      <w:pPr>
        <w:spacing w:line="360" w:lineRule="auto"/>
        <w:jc w:val="both"/>
        <w:rPr>
          <w:rFonts w:ascii="Palatino Linotype" w:eastAsia="Palatino Linotype" w:hAnsi="Palatino Linotype" w:cs="Palatino Linotype"/>
          <w:b/>
          <w:i/>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ese sentido, de conformidad con los Lineamientos para el Registro y Control del Inventario y la Conciliación y Desincorporación de Bienes  Muebles e Inmuebles para las Entidades Fiscalizables Municipales del Estado de México, regula lo siguiente en cuanto al inventario de bienes inmuebles. </w:t>
      </w:r>
    </w:p>
    <w:p w:rsidR="00892FCF" w:rsidRPr="00FA7506" w:rsidRDefault="00ED2233">
      <w:pPr>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 xml:space="preserve">NOVENO: Para efectos de los presentes Lineamientos, se entenderá por: </w:t>
      </w:r>
    </w:p>
    <w:p w:rsidR="00892FCF" w:rsidRPr="00FA7506" w:rsidRDefault="00ED2233">
      <w:pPr>
        <w:ind w:left="1134" w:right="900"/>
        <w:jc w:val="both"/>
        <w:rPr>
          <w:i/>
          <w:sz w:val="22"/>
        </w:rPr>
      </w:pPr>
      <w:r w:rsidRPr="00FA7506">
        <w:rPr>
          <w:rFonts w:ascii="Palatino Linotype" w:eastAsia="Palatino Linotype" w:hAnsi="Palatino Linotype" w:cs="Palatino Linotype"/>
          <w:b/>
          <w:i/>
          <w:sz w:val="22"/>
        </w:rPr>
        <w:t>VI. BIEN INMUEBLE:</w:t>
      </w:r>
      <w:r w:rsidRPr="00FA7506">
        <w:rPr>
          <w:rFonts w:ascii="Palatino Linotype" w:eastAsia="Palatino Linotype" w:hAnsi="Palatino Linotype" w:cs="Palatino Linotype"/>
          <w:i/>
          <w:sz w:val="22"/>
        </w:rPr>
        <w:t xml:space="preserve"> Recurso físico que por su naturaleza de uso o consumo, no puede trasladarse de un lugar a otro;</w:t>
      </w:r>
      <w:r w:rsidRPr="00FA7506">
        <w:rPr>
          <w:i/>
          <w:sz w:val="22"/>
        </w:rPr>
        <w:t xml:space="preserve"> </w:t>
      </w:r>
    </w:p>
    <w:p w:rsidR="00892FCF" w:rsidRPr="00FA7506" w:rsidRDefault="00ED2233">
      <w:pPr>
        <w:ind w:left="1134" w:right="900"/>
        <w:jc w:val="both"/>
        <w:rPr>
          <w:b/>
          <w:i/>
          <w:sz w:val="22"/>
        </w:rPr>
      </w:pPr>
      <w:r w:rsidRPr="00FA7506">
        <w:rPr>
          <w:rFonts w:ascii="Palatino Linotype" w:eastAsia="Palatino Linotype" w:hAnsi="Palatino Linotype" w:cs="Palatino Linotype"/>
          <w:b/>
          <w:i/>
          <w:sz w:val="22"/>
        </w:rPr>
        <w:t>XXVI. EXPEDIENTE INDIVIDUAL POR BIEN:</w:t>
      </w:r>
      <w:r w:rsidRPr="00FA7506">
        <w:rPr>
          <w:rFonts w:ascii="Palatino Linotype" w:eastAsia="Palatino Linotype" w:hAnsi="Palatino Linotype" w:cs="Palatino Linotype"/>
          <w:i/>
          <w:sz w:val="22"/>
        </w:rPr>
        <w:t xml:space="preserve">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w:t>
      </w:r>
      <w:r w:rsidRPr="00FA7506">
        <w:rPr>
          <w:rFonts w:ascii="Palatino Linotype" w:eastAsia="Palatino Linotype" w:hAnsi="Palatino Linotype" w:cs="Palatino Linotype"/>
          <w:b/>
          <w:i/>
          <w:sz w:val="22"/>
        </w:rPr>
        <w:t>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w:t>
      </w:r>
      <w:r w:rsidRPr="00FA7506">
        <w:rPr>
          <w:b/>
          <w:i/>
          <w:sz w:val="22"/>
        </w:rPr>
        <w:t xml:space="preserve"> </w:t>
      </w:r>
    </w:p>
    <w:p w:rsidR="00892FCF" w:rsidRPr="00FA7506" w:rsidRDefault="00ED2233">
      <w:pPr>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XXXI. INVENTARIO DE BIENES INMUEBLES:</w:t>
      </w:r>
      <w:r w:rsidRPr="00FA7506">
        <w:rPr>
          <w:rFonts w:ascii="Palatino Linotype" w:eastAsia="Palatino Linotype" w:hAnsi="Palatino Linotype" w:cs="Palatino Linotype"/>
          <w:i/>
          <w:sz w:val="22"/>
        </w:rPr>
        <w:t xml:space="preserve"> </w:t>
      </w:r>
      <w:r w:rsidRPr="00FA7506">
        <w:rPr>
          <w:rFonts w:ascii="Palatino Linotype" w:eastAsia="Palatino Linotype" w:hAnsi="Palatino Linotype" w:cs="Palatino Linotype"/>
          <w:b/>
          <w:i/>
          <w:sz w:val="22"/>
        </w:rPr>
        <w:t xml:space="preserve">Es el documento en donde se registran todos los bienes inmuebles propiedad de las entidades fiscalizables, el cual deberá contener todas las características de identificación, tales como: nombre, zona, ubicación, medidas y colindancias, tipo de inmueble, superficie </w:t>
      </w:r>
      <w:r w:rsidRPr="00FA7506">
        <w:rPr>
          <w:rFonts w:ascii="Palatino Linotype" w:eastAsia="Palatino Linotype" w:hAnsi="Palatino Linotype" w:cs="Palatino Linotype"/>
          <w:b/>
          <w:i/>
          <w:sz w:val="22"/>
        </w:rPr>
        <w:lastRenderedPageBreak/>
        <w:t>construida, uso, medio de adquisición, situación legal, valor y todos los demás datos que se solicitan en la cédula correspondiente;</w:t>
      </w:r>
    </w:p>
    <w:p w:rsidR="00892FCF" w:rsidRPr="00FA7506" w:rsidRDefault="00892FCF">
      <w:pPr>
        <w:ind w:left="1134" w:right="900"/>
        <w:jc w:val="both"/>
        <w:rPr>
          <w:rFonts w:ascii="Palatino Linotype" w:eastAsia="Palatino Linotype" w:hAnsi="Palatino Linotype" w:cs="Palatino Linotype"/>
          <w:i/>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 De lo anterior, se observa que cada bien inmueble que forma parte del  Ayuntamiento de Toluca se apertura un expediente individual que contiene los documentos relativos a la adquisición, escritura pública a favor de la entidad fiscalizable.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esa línea, dichos Lineamientos también consideran que el inventario de bienes inmuebles es el documento en donde se registran todos los bienes inmuebles propiedad de las entidades fiscalizables, el cual deberá contener todas las características de identificación, tales como: </w:t>
      </w:r>
      <w:r w:rsidRPr="00FA7506">
        <w:rPr>
          <w:rFonts w:ascii="Palatino Linotype" w:eastAsia="Palatino Linotype" w:hAnsi="Palatino Linotype" w:cs="Palatino Linotype"/>
          <w:b/>
        </w:rPr>
        <w:t>nombre, zona, ubicación, medidas y colindancias, tipo de inmueble, superficie construida, uso, medio de adquisición, situación legal, valor y todos los demás datos que se solicitan en la cédula correspondiente</w:t>
      </w:r>
      <w:r w:rsidRPr="00FA7506">
        <w:rPr>
          <w:rFonts w:ascii="Palatino Linotype" w:eastAsia="Palatino Linotype" w:hAnsi="Palatino Linotype" w:cs="Palatino Linotype"/>
        </w:rPr>
        <w:t xml:space="preserve">. </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Seguidamente, el Capítulo XII de los Lineamientos para el Registro y Control del Inventario y la Conciliación y Desincorporación de Bienes  Muebles e Inmuebles para las Entidades Fiscalizables Municipales del Estado de México, regula lo siguiente en cuanto al inventario general de </w:t>
      </w:r>
      <w:r w:rsidRPr="00FA7506">
        <w:rPr>
          <w:rFonts w:ascii="Palatino Linotype" w:eastAsia="Palatino Linotype" w:hAnsi="Palatino Linotype" w:cs="Palatino Linotype"/>
          <w:b/>
        </w:rPr>
        <w:t xml:space="preserve">bienes inmuebles. </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VIGÉSIMO SÉPTIMO:</w:t>
      </w:r>
      <w:r w:rsidRPr="00FA7506">
        <w:rPr>
          <w:rFonts w:ascii="Palatino Linotype" w:eastAsia="Palatino Linotype" w:hAnsi="Palatino Linotype" w:cs="Palatino Linotype"/>
          <w:i/>
          <w:sz w:val="22"/>
        </w:rPr>
        <w:t xml:space="preserve"> 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w:t>
      </w:r>
      <w:r w:rsidRPr="00FA7506">
        <w:rPr>
          <w:rFonts w:ascii="Palatino Linotype" w:eastAsia="Palatino Linotype" w:hAnsi="Palatino Linotype" w:cs="Palatino Linotype"/>
          <w:b/>
          <w:i/>
          <w:sz w:val="22"/>
        </w:rPr>
        <w:t>en la cédula. (Anexo 3).</w:t>
      </w:r>
      <w:r w:rsidRPr="00FA7506">
        <w:rPr>
          <w:rFonts w:ascii="Palatino Linotype" w:eastAsia="Palatino Linotype" w:hAnsi="Palatino Linotype" w:cs="Palatino Linotype"/>
          <w:i/>
          <w:sz w:val="22"/>
        </w:rPr>
        <w:t xml:space="preserve"> </w:t>
      </w:r>
    </w:p>
    <w:p w:rsidR="00892FCF" w:rsidRPr="00FA7506" w:rsidRDefault="00ED2233">
      <w:pPr>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VIGÉSIMO OCTAVO:</w:t>
      </w:r>
      <w:r w:rsidRPr="00FA7506">
        <w:rPr>
          <w:rFonts w:ascii="Palatino Linotype" w:eastAsia="Palatino Linotype" w:hAnsi="Palatino Linotype" w:cs="Palatino Linotype"/>
          <w:i/>
          <w:sz w:val="22"/>
        </w:rPr>
        <w:t xml:space="preserve"> El responsable de la elaboración del inventario general de bienes inmuebles municipales, </w:t>
      </w:r>
      <w:r w:rsidRPr="00FA7506">
        <w:rPr>
          <w:rFonts w:ascii="Palatino Linotype" w:eastAsia="Palatino Linotype" w:hAnsi="Palatino Linotype" w:cs="Palatino Linotype"/>
          <w:b/>
          <w:i/>
          <w:sz w:val="22"/>
        </w:rPr>
        <w:t xml:space="preserve">es el secretario, con la intervención del síndico, y la participación del contralor interno, previamente realizarán una revisión física de todos los bienes inmuebles; al concluirlo deberán asentar sus firmas junto con la del presidente y tesorero. </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lastRenderedPageBreak/>
        <w:t xml:space="preserve">Para los organismos públicos descentralizados y fideicomisos públicos de carácter municipal, el responsable de la elaboración del inventario general de bienes inmuebles corresponde al director general o su equivalente, conjuntamente con el comisario y el órgano de control interno, debiendo firmarlo simultáneamente el tesorero. </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 xml:space="preserve">Se asegurarán los bienes inmuebles, conforme al estudio de viabilidad, así como a la suficiencia presupuestaria debidamente especificada y aprobada en la partida del gasto del presupuesto de egresos y dentro del programa correspondiente. </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VIGÉSIMO NOVENO:</w:t>
      </w:r>
      <w:r w:rsidRPr="00FA7506">
        <w:rPr>
          <w:rFonts w:ascii="Palatino Linotype" w:eastAsia="Palatino Linotype" w:hAnsi="Palatino Linotype" w:cs="Palatino Linotype"/>
          <w:i/>
          <w:sz w:val="22"/>
        </w:rPr>
        <w:t xml:space="preserve"> La elaboración de este inventario se realizará dos veces al año, y su aprobación por su órgano máximo de gobierno deberá ser, el primero a más tardar el último día hábil del mes de junio, el segundo el último día hábil del mes de diciembre. </w:t>
      </w:r>
    </w:p>
    <w:p w:rsidR="00892FCF" w:rsidRPr="00FA7506" w:rsidRDefault="00ED2233">
      <w:pPr>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TRIGÉSIMO:</w:t>
      </w:r>
      <w:r w:rsidRPr="00FA7506">
        <w:rPr>
          <w:rFonts w:ascii="Palatino Linotype" w:eastAsia="Palatino Linotype" w:hAnsi="Palatino Linotype" w:cs="Palatino Linotype"/>
          <w:i/>
          <w:sz w:val="22"/>
        </w:rPr>
        <w:t xml:space="preserve"> </w:t>
      </w:r>
      <w:r w:rsidRPr="00FA7506">
        <w:rPr>
          <w:rFonts w:ascii="Palatino Linotype" w:eastAsia="Palatino Linotype" w:hAnsi="Palatino Linotype" w:cs="Palatino Linotype"/>
          <w:b/>
          <w:i/>
          <w:sz w:val="22"/>
        </w:rPr>
        <w:t xml:space="preserve">El inventario de bienes inmuebles reflejará el monto total por los inmuebles propiedad de la Entidad Municipal, el cual obedece al valor de adquisición, el valor catastral al momento de su adquisición o bien, el valor razonable (el cual no deberá ser menor que el valor catastral). Dicho monto será independiente al valor catastral actualizado de cada uno de los bienes. </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b/>
          <w:i/>
          <w:sz w:val="22"/>
        </w:rPr>
        <w:t>TRIGÉSIMO PRIMERO:</w:t>
      </w:r>
      <w:r w:rsidRPr="00FA7506">
        <w:rPr>
          <w:rFonts w:ascii="Palatino Linotype" w:eastAsia="Palatino Linotype" w:hAnsi="Palatino Linotype" w:cs="Palatino Linotype"/>
          <w:i/>
          <w:sz w:val="22"/>
        </w:rPr>
        <w:t xml:space="preserve"> Los terrenos y los edificios se considerarán como activos independientes y su registro contable se hará por separado, aún a pesar de haber sido adquiridos conjuntamente. Con excepción de minas o canteras y salvo casos excepcionales, los terrenos tienen vida ilimitada.</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 xml:space="preserve"> Para el caso de bienes inmuebles, que se encuentren sujetos a algún gravamen, es de suma importancia que no se destinen recursos e gasto de inversión, en dichos bienes.</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 De lo expuesto, se colige que para el inventario de bienes inmuebles, no se asigna a un responsable como </w:t>
      </w:r>
      <w:proofErr w:type="spellStart"/>
      <w:r w:rsidRPr="00FA7506">
        <w:rPr>
          <w:rFonts w:ascii="Palatino Linotype" w:eastAsia="Palatino Linotype" w:hAnsi="Palatino Linotype" w:cs="Palatino Linotype"/>
        </w:rPr>
        <w:t>resguarda</w:t>
      </w:r>
      <w:r w:rsidR="00021853" w:rsidRPr="00FA7506">
        <w:rPr>
          <w:rFonts w:ascii="Palatino Linotype" w:eastAsia="Palatino Linotype" w:hAnsi="Palatino Linotype" w:cs="Palatino Linotype"/>
        </w:rPr>
        <w:t>ta</w:t>
      </w:r>
      <w:r w:rsidRPr="00FA7506">
        <w:rPr>
          <w:rFonts w:ascii="Palatino Linotype" w:eastAsia="Palatino Linotype" w:hAnsi="Palatino Linotype" w:cs="Palatino Linotype"/>
        </w:rPr>
        <w:t>rio</w:t>
      </w:r>
      <w:proofErr w:type="spellEnd"/>
      <w:r w:rsidRPr="00FA7506">
        <w:rPr>
          <w:rFonts w:ascii="Palatino Linotype" w:eastAsia="Palatino Linotype" w:hAnsi="Palatino Linotype" w:cs="Palatino Linotype"/>
        </w:rPr>
        <w:t xml:space="preserve">, toda vez que el fin del inventario es reflejar el monto toral de los inmuebles que son propiedad del Ayuntamiento de Toluca, situación que se comprueba con la siguiente captura de la cédula de datos que debe de contener de un bien inmueble. </w:t>
      </w:r>
      <w:r w:rsidRPr="00FA7506">
        <w:rPr>
          <w:noProof/>
        </w:rPr>
        <mc:AlternateContent>
          <mc:Choice Requires="wpg">
            <w:drawing>
              <wp:anchor distT="0" distB="0" distL="114300" distR="114300" simplePos="0" relativeHeight="251658240" behindDoc="0" locked="0" layoutInCell="1" hidden="0" allowOverlap="1">
                <wp:simplePos x="0" y="0"/>
                <wp:positionH relativeFrom="column">
                  <wp:posOffset>-355599</wp:posOffset>
                </wp:positionH>
                <wp:positionV relativeFrom="paragraph">
                  <wp:posOffset>1625600</wp:posOffset>
                </wp:positionV>
                <wp:extent cx="6679632" cy="2093984"/>
                <wp:effectExtent l="0" t="0" r="0" b="0"/>
                <wp:wrapNone/>
                <wp:docPr id="6" name="Conector recto de flecha 6"/>
                <wp:cNvGraphicFramePr/>
                <a:graphic xmlns:a="http://schemas.openxmlformats.org/drawingml/2006/main">
                  <a:graphicData uri="http://schemas.microsoft.com/office/word/2010/wordprocessingShape">
                    <wps:wsp>
                      <wps:cNvCnPr/>
                      <wps:spPr>
                        <a:xfrm>
                          <a:off x="2012534" y="2739358"/>
                          <a:ext cx="6666932" cy="2081284"/>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-355599</wp:posOffset>
                </wp:positionH>
                <wp:positionV relativeFrom="paragraph">
                  <wp:posOffset>1625600</wp:posOffset>
                </wp:positionV>
                <wp:extent cx="6679632" cy="2093984"/>
                <wp:effectExtent b="0" l="0" r="0" t="0"/>
                <wp:wrapNone/>
                <wp:docPr id="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679632" cy="2093984"/>
                        </a:xfrm>
                        <a:prstGeom prst="rect"/>
                        <a:ln/>
                      </pic:spPr>
                    </pic:pic>
                  </a:graphicData>
                </a:graphic>
              </wp:anchor>
            </w:drawing>
          </mc:Fallback>
        </mc:AlternateContent>
      </w:r>
    </w:p>
    <w:p w:rsidR="00892FCF" w:rsidRPr="00FA7506" w:rsidRDefault="00ED2233">
      <w:pPr>
        <w:spacing w:line="360" w:lineRule="auto"/>
        <w:jc w:val="center"/>
        <w:rPr>
          <w:rFonts w:ascii="Palatino Linotype" w:eastAsia="Palatino Linotype" w:hAnsi="Palatino Linotype" w:cs="Palatino Linotype"/>
        </w:rPr>
      </w:pPr>
      <w:r w:rsidRPr="00FA7506">
        <w:rPr>
          <w:rFonts w:ascii="Palatino Linotype" w:eastAsia="Palatino Linotype" w:hAnsi="Palatino Linotype" w:cs="Palatino Linotype"/>
          <w:noProof/>
        </w:rPr>
        <w:lastRenderedPageBreak/>
        <w:drawing>
          <wp:inline distT="0" distB="0" distL="0" distR="0">
            <wp:extent cx="3415516" cy="400061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415516" cy="4000614"/>
                    </a:xfrm>
                    <a:prstGeom prst="rect">
                      <a:avLst/>
                    </a:prstGeom>
                    <a:ln/>
                  </pic:spPr>
                </pic:pic>
              </a:graphicData>
            </a:graphic>
          </wp:inline>
        </w:drawing>
      </w:r>
    </w:p>
    <w:p w:rsidR="00021853" w:rsidRPr="00FA7506" w:rsidRDefault="00021853">
      <w:pPr>
        <w:spacing w:line="360" w:lineRule="auto"/>
        <w:jc w:val="center"/>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Por todo lo expuesto es que este punto de la solicitud de información si se tiene colmado, toda vez que 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refiere que al ser un bien municipal es el propio Ayuntamiento de Toluca el responsable de su resguardo.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Ahora bien, por cuanto hace a “</w:t>
      </w:r>
      <w:r w:rsidRPr="00FA7506">
        <w:rPr>
          <w:rFonts w:ascii="Palatino Linotype" w:eastAsia="Palatino Linotype" w:hAnsi="Palatino Linotype" w:cs="Palatino Linotype"/>
          <w:b/>
          <w:i/>
          <w:color w:val="000000"/>
        </w:rPr>
        <w:t>Servidor o servidores públicos a quien se le tenga que girar oficio para realizar una actividad y el fúndame legalmente</w:t>
      </w:r>
      <w:r w:rsidRPr="00FA7506">
        <w:rPr>
          <w:rFonts w:ascii="Palatino Linotype" w:eastAsia="Palatino Linotype" w:hAnsi="Palatino Linotype" w:cs="Palatino Linotype"/>
        </w:rPr>
        <w:t xml:space="preserve"> “en respuesta el Secretario del Ayuntamiento refiere que conformidad con el Código Reglamentario Municipal de Toluca, en su artículo 7.35 y 7.40 es el Secretario del Ayuntamiento quien autoriza los permisos en los espacios municipales, además informa que de dicho oficio se tendrá que </w:t>
      </w:r>
      <w:r w:rsidRPr="00FA7506">
        <w:rPr>
          <w:rFonts w:ascii="Palatino Linotype" w:eastAsia="Palatino Linotype" w:hAnsi="Palatino Linotype" w:cs="Palatino Linotype"/>
        </w:rPr>
        <w:lastRenderedPageBreak/>
        <w:t xml:space="preserve">girar copia al Presidente  Municipal y al Director del Instituto Municipal de Cultura Física y Deporte de Toluca.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DEL USO DE OTRAS INSTALACIONES MUNICIPALES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 xml:space="preserve">Artículo 7.35. Estas disposiciones regularán el uso y administración de las actividades que se realicen en las siguientes instalaciones: </w:t>
      </w:r>
    </w:p>
    <w:p w:rsidR="00892FCF" w:rsidRPr="00FA7506" w:rsidRDefault="00ED2233">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Plaza de los Mártires;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II. Plaza José María González </w:t>
      </w:r>
      <w:proofErr w:type="spellStart"/>
      <w:r w:rsidRPr="00FA7506">
        <w:rPr>
          <w:rFonts w:ascii="Palatino Linotype" w:eastAsia="Palatino Linotype" w:hAnsi="Palatino Linotype" w:cs="Palatino Linotype"/>
          <w:i/>
          <w:color w:val="000000"/>
          <w:sz w:val="22"/>
        </w:rPr>
        <w:t>Arratia</w:t>
      </w:r>
      <w:proofErr w:type="spellEnd"/>
      <w:r w:rsidRPr="00FA7506">
        <w:rPr>
          <w:rFonts w:ascii="Palatino Linotype" w:eastAsia="Palatino Linotype" w:hAnsi="Palatino Linotype" w:cs="Palatino Linotype"/>
          <w:i/>
          <w:color w:val="000000"/>
          <w:sz w:val="22"/>
        </w:rPr>
        <w:t xml:space="preserve">;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III. Plaza Fray Andrés de Castro; 199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IV. Parque Cuauhtémoc Alameda Central;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V. Plaza Estado de México dedicada a la comunidad libanesa de Toluca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VI. Concha Acústica, localizada en los Portales;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VII. Auditorio de la colonia La Cruz </w:t>
      </w:r>
      <w:proofErr w:type="spellStart"/>
      <w:r w:rsidRPr="00FA7506">
        <w:rPr>
          <w:rFonts w:ascii="Palatino Linotype" w:eastAsia="Palatino Linotype" w:hAnsi="Palatino Linotype" w:cs="Palatino Linotype"/>
          <w:i/>
          <w:color w:val="000000"/>
          <w:sz w:val="22"/>
        </w:rPr>
        <w:t>Comalco</w:t>
      </w:r>
      <w:proofErr w:type="spellEnd"/>
      <w:r w:rsidRPr="00FA7506">
        <w:rPr>
          <w:rFonts w:ascii="Palatino Linotype" w:eastAsia="Palatino Linotype" w:hAnsi="Palatino Linotype" w:cs="Palatino Linotype"/>
          <w:i/>
          <w:color w:val="000000"/>
          <w:sz w:val="22"/>
        </w:rPr>
        <w:t xml:space="preserve">;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VIII. Plaza Ángel María Garibay;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IX. Explanada frente al </w:t>
      </w:r>
      <w:proofErr w:type="spellStart"/>
      <w:r w:rsidRPr="00FA7506">
        <w:rPr>
          <w:rFonts w:ascii="Palatino Linotype" w:eastAsia="Palatino Linotype" w:hAnsi="Palatino Linotype" w:cs="Palatino Linotype"/>
          <w:i/>
          <w:color w:val="000000"/>
          <w:sz w:val="22"/>
        </w:rPr>
        <w:t>Cosmovitral</w:t>
      </w:r>
      <w:proofErr w:type="spellEnd"/>
      <w:r w:rsidRPr="00FA7506">
        <w:rPr>
          <w:rFonts w:ascii="Palatino Linotype" w:eastAsia="Palatino Linotype" w:hAnsi="Palatino Linotype" w:cs="Palatino Linotype"/>
          <w:i/>
          <w:color w:val="000000"/>
          <w:sz w:val="22"/>
        </w:rPr>
        <w:t xml:space="preserve">;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i/>
          <w:color w:val="000000"/>
          <w:sz w:val="22"/>
        </w:rPr>
        <w:t xml:space="preserve">X. Plaza España; XI. Andador Constitución; y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b/>
          <w:i/>
          <w:color w:val="000000"/>
          <w:sz w:val="22"/>
        </w:rPr>
      </w:pPr>
      <w:r w:rsidRPr="00FA7506">
        <w:rPr>
          <w:rFonts w:ascii="Palatino Linotype" w:eastAsia="Palatino Linotype" w:hAnsi="Palatino Linotype" w:cs="Palatino Linotype"/>
          <w:b/>
          <w:i/>
          <w:color w:val="000000"/>
          <w:sz w:val="22"/>
        </w:rPr>
        <w:t>XII. Otras instalaciones municipales similares.</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 xml:space="preserve">Artículo 7.36. </w:t>
      </w:r>
      <w:r w:rsidRPr="00FA7506">
        <w:rPr>
          <w:rFonts w:ascii="Palatino Linotype" w:eastAsia="Palatino Linotype" w:hAnsi="Palatino Linotype" w:cs="Palatino Linotype"/>
          <w:i/>
          <w:color w:val="000000"/>
          <w:sz w:val="22"/>
        </w:rPr>
        <w:t xml:space="preserve">Las actividades que podrán realizarse en las instalaciones municipales serán preferentemente de carácter económico, cultural o social, conforme al permiso otorgado por la Secretaría del Ayuntamiento, previo visto bueno de las dependencias municipales competentes. Se dará preferencia a las actividades que tengan un fin no lucrativo. </w:t>
      </w:r>
    </w:p>
    <w:p w:rsidR="00892FCF" w:rsidRPr="00FA7506" w:rsidRDefault="00ED2233">
      <w:pPr>
        <w:pBdr>
          <w:top w:val="nil"/>
          <w:left w:val="nil"/>
          <w:bottom w:val="nil"/>
          <w:right w:val="nil"/>
          <w:between w:val="nil"/>
        </w:pBdr>
        <w:ind w:left="1134" w:right="900"/>
        <w:jc w:val="both"/>
        <w:rPr>
          <w:rFonts w:ascii="Palatino Linotype" w:eastAsia="Palatino Linotype" w:hAnsi="Palatino Linotype" w:cs="Palatino Linotype"/>
          <w:i/>
          <w:color w:val="000000"/>
          <w:sz w:val="22"/>
        </w:rPr>
      </w:pPr>
      <w:r w:rsidRPr="00FA7506">
        <w:rPr>
          <w:rFonts w:ascii="Palatino Linotype" w:eastAsia="Palatino Linotype" w:hAnsi="Palatino Linotype" w:cs="Palatino Linotype"/>
          <w:b/>
          <w:i/>
          <w:color w:val="000000"/>
          <w:sz w:val="22"/>
        </w:rPr>
        <w:t xml:space="preserve">Artículo 7.37. </w:t>
      </w:r>
      <w:r w:rsidRPr="00FA7506">
        <w:rPr>
          <w:rFonts w:ascii="Palatino Linotype" w:eastAsia="Palatino Linotype" w:hAnsi="Palatino Linotype" w:cs="Palatino Linotype"/>
          <w:i/>
          <w:color w:val="000000"/>
          <w:sz w:val="22"/>
        </w:rPr>
        <w:t xml:space="preserve">La solicitud para el uso de alguna instalación municipal se presentará ante la Secretaría del Ayuntamiento, con mínimo de 15 días de anticipación, acompañando croquis de instalación, programa a desarrollar e indicando la superficie a ocupar. </w:t>
      </w:r>
    </w:p>
    <w:p w:rsidR="00892FCF" w:rsidRPr="00FA7506" w:rsidRDefault="00892FCF">
      <w:pPr>
        <w:pBdr>
          <w:top w:val="nil"/>
          <w:left w:val="nil"/>
          <w:bottom w:val="nil"/>
          <w:right w:val="nil"/>
          <w:between w:val="nil"/>
        </w:pBdr>
        <w:ind w:left="1134" w:right="900"/>
        <w:jc w:val="both"/>
        <w:rPr>
          <w:rFonts w:ascii="Palatino Linotype" w:eastAsia="Palatino Linotype" w:hAnsi="Palatino Linotype" w:cs="Palatino Linotype"/>
          <w:i/>
          <w:color w:val="000000"/>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De lo anterior, se observa que 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atendió este punto de la solicitud de información de manera puntual.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ese sentido de los incisos b), c) y d) de la solicitud de información se colige que 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atendió dichos puntos de la solicitud de acuerdo a su área habilitada, siendo la Secretaría del Ayuntamiento, situación por la cual se refiere que este Órgano Garante, no se encuentra facultado para dudar de la veracidad de la información entregada por los sujetos obligados. </w:t>
      </w: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b/>
        </w:rPr>
      </w:pPr>
      <w:r w:rsidRPr="00FA7506">
        <w:rPr>
          <w:rFonts w:ascii="Palatino Linotype" w:eastAsia="Palatino Linotype" w:hAnsi="Palatino Linotype" w:cs="Palatino Linotype"/>
        </w:rPr>
        <w:lastRenderedPageBreak/>
        <w:t>Ahora bien, por cuanto hace al “</w:t>
      </w:r>
      <w:r w:rsidRPr="00FA7506">
        <w:rPr>
          <w:rFonts w:ascii="Palatino Linotype" w:eastAsia="Palatino Linotype" w:hAnsi="Palatino Linotype" w:cs="Palatino Linotype"/>
          <w:b/>
          <w:i/>
        </w:rPr>
        <w:t xml:space="preserve">Documento con el que se acredite la propiedad.”, </w:t>
      </w:r>
      <w:r w:rsidRPr="00FA7506">
        <w:rPr>
          <w:rFonts w:ascii="Palatino Linotype" w:eastAsia="Palatino Linotype" w:hAnsi="Palatino Linotype" w:cs="Palatino Linotype"/>
        </w:rPr>
        <w:t xml:space="preserve">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por medio del  Secretario del Ayuntamiento como servidor público habilitado entrego el Instrumento número diecisiete mil doscientos setenta y seis por medio del cual se hace constar los contratos de compra venta entre el Ayuntamiento de Toluca, del cual se observa en la página que las empresas (de las cuales se clasificaron sus nombres como confidenciales) hicieron una donación al Ayuntamiento de Toluca que se encuentra ubicado en San Pablo </w:t>
      </w:r>
      <w:proofErr w:type="spellStart"/>
      <w:r w:rsidRPr="00FA7506">
        <w:rPr>
          <w:rFonts w:ascii="Palatino Linotype" w:eastAsia="Palatino Linotype" w:hAnsi="Palatino Linotype" w:cs="Palatino Linotype"/>
        </w:rPr>
        <w:t>Autopan</w:t>
      </w:r>
      <w:proofErr w:type="spellEnd"/>
      <w:r w:rsidRPr="00FA7506">
        <w:rPr>
          <w:rFonts w:ascii="Palatino Linotype" w:eastAsia="Palatino Linotype" w:hAnsi="Palatino Linotype" w:cs="Palatino Linotype"/>
        </w:rPr>
        <w:t xml:space="preserve"> y que será destinado para conformar la Unidad Deportiva. </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b/>
          <w:color w:val="000000"/>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b/>
        </w:rPr>
      </w:pPr>
      <w:r w:rsidRPr="00FA7506">
        <w:rPr>
          <w:rFonts w:ascii="Palatino Linotype" w:eastAsia="Palatino Linotype" w:hAnsi="Palatino Linotype" w:cs="Palatino Linotype"/>
        </w:rPr>
        <w:t xml:space="preserve">En esa línea, se debe de establecer que si bien es cierto 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remite el documento que acredita la propiedad del municipio, también lo es que no hizo la entrega en una correcta versión pública, toda vez que clasifico los nombres de las empresas, mismo que no debió de ser clasificado, toda vez que al ser información de un bien inmueble que fue donado al Ayuntamiento de Toluca, dichos nombres debieron de ser puestos a la vista del </w:t>
      </w:r>
      <w:r w:rsidRPr="00FA7506">
        <w:rPr>
          <w:rFonts w:ascii="Palatino Linotype" w:eastAsia="Palatino Linotype" w:hAnsi="Palatino Linotype" w:cs="Palatino Linotype"/>
          <w:b/>
        </w:rPr>
        <w:t xml:space="preserve">SOLICITANTE. </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numPr>
          <w:ilvl w:val="0"/>
          <w:numId w:val="1"/>
        </w:numPr>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De lo señalado, resulta oportuno traer a contexto lo establecido en la fracción XXXVIII del artículo 92 de la Ley de Transparencia y Acceso a la Información Pública de Estado de México y Municipios; precepto que describe la información documental que el sujeto obligado debe poseer y en su caso generar, toda vez que dicha información debe ser publica y accesible de manera permanente a cualquier persona, así dicho artículo establece que el inventario de bienes muebles e </w:t>
      </w:r>
      <w:r w:rsidRPr="00FA7506">
        <w:rPr>
          <w:rFonts w:ascii="Palatino Linotype" w:eastAsia="Palatino Linotype" w:hAnsi="Palatino Linotype" w:cs="Palatino Linotype"/>
          <w:b/>
        </w:rPr>
        <w:t>inmuebles en posesión y propiedad de los sujetos obligados</w:t>
      </w:r>
      <w:r w:rsidRPr="00FA7506">
        <w:rPr>
          <w:rFonts w:ascii="Palatino Linotype" w:eastAsia="Palatino Linotype" w:hAnsi="Palatino Linotype" w:cs="Palatino Linotype"/>
        </w:rPr>
        <w:t xml:space="preserve">, constituye una obligación de transparencia, y por ende, estos deberán poner a disposición del público de manera permanente y actualizada de forma sencilla, precisa y entendible, en los respectivos medios electrónicos, como se advierte enseguida: </w:t>
      </w:r>
    </w:p>
    <w:p w:rsidR="00892FCF" w:rsidRPr="00FA7506" w:rsidRDefault="00892FCF">
      <w:pPr>
        <w:ind w:left="1134" w:right="900"/>
        <w:jc w:val="both"/>
        <w:rPr>
          <w:rFonts w:ascii="Palatino Linotype" w:eastAsia="Palatino Linotype" w:hAnsi="Palatino Linotype" w:cs="Palatino Linotype"/>
        </w:rPr>
      </w:pP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lastRenderedPageBreak/>
        <w:t>“</w:t>
      </w:r>
      <w:r w:rsidRPr="00FA7506">
        <w:rPr>
          <w:rFonts w:ascii="Palatino Linotype" w:eastAsia="Palatino Linotype" w:hAnsi="Palatino Linotype" w:cs="Palatino Linotype"/>
          <w:b/>
          <w:i/>
          <w:sz w:val="22"/>
        </w:rPr>
        <w:t>Artículo 92</w:t>
      </w:r>
      <w:r w:rsidRPr="00FA7506">
        <w:rPr>
          <w:rFonts w:ascii="Palatino Linotype" w:eastAsia="Palatino Linotype" w:hAnsi="Palatino Linotype" w:cs="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92FCF" w:rsidRPr="00FA7506" w:rsidRDefault="00ED2233">
      <w:pPr>
        <w:ind w:left="1134" w:right="900"/>
        <w:jc w:val="both"/>
        <w:rPr>
          <w:rFonts w:ascii="Palatino Linotype" w:eastAsia="Palatino Linotype" w:hAnsi="Palatino Linotype" w:cs="Palatino Linotype"/>
          <w:sz w:val="22"/>
        </w:rPr>
      </w:pPr>
      <w:r w:rsidRPr="00FA7506">
        <w:rPr>
          <w:rFonts w:ascii="Palatino Linotype" w:eastAsia="Palatino Linotype" w:hAnsi="Palatino Linotype" w:cs="Palatino Linotype"/>
          <w:i/>
          <w:sz w:val="22"/>
        </w:rPr>
        <w:t>(…)</w:t>
      </w:r>
      <w:r w:rsidRPr="00FA7506">
        <w:rPr>
          <w:rFonts w:ascii="Palatino Linotype" w:eastAsia="Palatino Linotype" w:hAnsi="Palatino Linotype" w:cs="Palatino Linotype"/>
          <w:sz w:val="22"/>
        </w:rPr>
        <w:t xml:space="preserve"> </w:t>
      </w:r>
    </w:p>
    <w:p w:rsidR="00892FCF" w:rsidRPr="00FA7506" w:rsidRDefault="00ED2233">
      <w:pPr>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XXXVIII. El inventario de bienes muebles e inmuebles en posesión y propiedad;</w:t>
      </w:r>
    </w:p>
    <w:p w:rsidR="00892FCF" w:rsidRPr="00FA7506" w:rsidRDefault="00ED2233">
      <w:pPr>
        <w:ind w:left="1134" w:right="900"/>
        <w:jc w:val="both"/>
        <w:rPr>
          <w:rFonts w:ascii="Palatino Linotype" w:eastAsia="Palatino Linotype" w:hAnsi="Palatino Linotype" w:cs="Palatino Linotype"/>
          <w:i/>
          <w:sz w:val="22"/>
        </w:rPr>
      </w:pPr>
      <w:r w:rsidRPr="00FA7506">
        <w:rPr>
          <w:rFonts w:ascii="Palatino Linotype" w:eastAsia="Palatino Linotype" w:hAnsi="Palatino Linotype" w:cs="Palatino Linotype"/>
          <w:i/>
          <w:sz w:val="22"/>
        </w:rPr>
        <w:t>(…)”</w:t>
      </w:r>
    </w:p>
    <w:p w:rsidR="00892FCF" w:rsidRPr="00FA7506" w:rsidRDefault="00ED2233">
      <w:pPr>
        <w:ind w:left="1134" w:right="900"/>
        <w:jc w:val="both"/>
        <w:rPr>
          <w:rFonts w:ascii="Palatino Linotype" w:eastAsia="Palatino Linotype" w:hAnsi="Palatino Linotype" w:cs="Palatino Linotype"/>
          <w:b/>
          <w:i/>
          <w:sz w:val="22"/>
        </w:rPr>
      </w:pPr>
      <w:r w:rsidRPr="00FA7506">
        <w:rPr>
          <w:rFonts w:ascii="Palatino Linotype" w:eastAsia="Palatino Linotype" w:hAnsi="Palatino Linotype" w:cs="Palatino Linotype"/>
          <w:b/>
          <w:i/>
          <w:sz w:val="22"/>
        </w:rPr>
        <w:t xml:space="preserve">(Énfasis añadido)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Se refiere lo anterior, toda vez que los </w:t>
      </w:r>
      <w:r w:rsidRPr="00FA7506">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FA7506">
        <w:rPr>
          <w:rFonts w:ascii="Palatino Linotype" w:eastAsia="Palatino Linotype" w:hAnsi="Palatino Linotype" w:cs="Palatino Linotype"/>
        </w:rPr>
        <w:t xml:space="preserve">, que en su </w:t>
      </w:r>
      <w:r w:rsidRPr="00FA7506">
        <w:rPr>
          <w:rFonts w:ascii="Palatino Linotype" w:eastAsia="Palatino Linotype" w:hAnsi="Palatino Linotype" w:cs="Palatino Linotype"/>
          <w:i/>
        </w:rPr>
        <w:t>“Anexo I”</w:t>
      </w:r>
      <w:r w:rsidRPr="00FA7506">
        <w:rPr>
          <w:rFonts w:ascii="Palatino Linotype" w:eastAsia="Palatino Linotype" w:hAnsi="Palatino Linotype" w:cs="Palatino Linotype"/>
        </w:rPr>
        <w:t xml:space="preserve">, relacionado con artículo 70, de la Ley General de Transparencia, de forma análoga prevé en su fracción XXXIV, el inventario de bienes muebles e inmuebles en posesión y propiedad; respecto de la cual define la forma y criterios en que deberá ser publicada por los Sujetos Obligados, que en lo que al presente estudio interesa establece en sus “Criterios sustantivos de contenido”, mismos que señalan que la información que debe de ser pública en materia de bienes inmuebles es lo siguiente. </w:t>
      </w:r>
    </w:p>
    <w:p w:rsidR="00892FCF" w:rsidRPr="00FA7506" w:rsidRDefault="00ED2233" w:rsidP="00021853">
      <w:pPr>
        <w:spacing w:line="360" w:lineRule="auto"/>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XXXIV</w:t>
      </w:r>
      <w:r w:rsidRPr="00FA7506">
        <w:rPr>
          <w:rFonts w:ascii="Palatino Linotype" w:eastAsia="Palatino Linotype" w:hAnsi="Palatino Linotype" w:cs="Palatino Linotype"/>
          <w:i/>
          <w:sz w:val="22"/>
          <w:szCs w:val="22"/>
        </w:rPr>
        <w:t xml:space="preserve">. El inventario de bienes muebles e </w:t>
      </w:r>
      <w:r w:rsidRPr="00FA7506">
        <w:rPr>
          <w:rFonts w:ascii="Palatino Linotype" w:eastAsia="Palatino Linotype" w:hAnsi="Palatino Linotype" w:cs="Palatino Linotype"/>
          <w:b/>
          <w:i/>
          <w:sz w:val="22"/>
          <w:szCs w:val="22"/>
          <w:u w:val="single"/>
        </w:rPr>
        <w:t>inmuebles en posesión y propiedad Todos los sujetos obligados publicarán el inventario de bienes muebles e inmuebles que utilicen, tengan a su cargo y/o les hayan sido asignados para el ejercicio de sus funciones</w:t>
      </w:r>
      <w:r w:rsidRPr="00FA7506">
        <w:rPr>
          <w:rFonts w:ascii="Palatino Linotype" w:eastAsia="Palatino Linotype" w:hAnsi="Palatino Linotype" w:cs="Palatino Linotype"/>
          <w:i/>
          <w:sz w:val="22"/>
          <w:szCs w:val="22"/>
        </w:rPr>
        <w:t xml:space="preserve">; que destinen a un servicio público conforme a la normatividad aplicable o por cualquier concepto, </w:t>
      </w:r>
      <w:r w:rsidRPr="00FA7506">
        <w:rPr>
          <w:rFonts w:ascii="Palatino Linotype" w:eastAsia="Palatino Linotype" w:hAnsi="Palatino Linotype" w:cs="Palatino Linotype"/>
          <w:b/>
          <w:i/>
          <w:sz w:val="22"/>
          <w:szCs w:val="22"/>
          <w:u w:val="single"/>
        </w:rPr>
        <w:t>tanto si son propiedad del sujeto obligado como que se encuentren en posesión de éstos</w:t>
      </w:r>
      <w:r w:rsidRPr="00FA7506">
        <w:rPr>
          <w:rFonts w:ascii="Palatino Linotype" w:eastAsia="Palatino Linotype" w:hAnsi="Palatino Linotype" w:cs="Palatino Linotype"/>
          <w:i/>
          <w:sz w:val="22"/>
          <w:szCs w:val="22"/>
        </w:rPr>
        <w:t xml:space="preserve">. </w:t>
      </w: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lastRenderedPageBreak/>
        <w:t xml:space="preserve">Respecto de los bienes muebles se registrará tanto el mobiliario y equipo –incluido el de cómputo– como los vehículos y demás bienes muebles al servicio de los sujetos obligados, de conformidad con la Ley General de Contabilidad Gubernamental. </w:t>
      </w: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 Asimismo, el inventario contará con algunos de los elementos establecidos en el Acuerdo por el cual se emiten las Normas y Procedimientos para la Integración y Actualización del Sistema de Información Inmobiliaria Federal y Paraestatal, así como en la Ley General de Contabilidad Gubernamental. </w:t>
      </w: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También se registrarán los bienes muebles o inmuebles que, por su naturaleza sean inalienables e imprescriptibles, como pueden serlo los monumentos arqueológicos, históricos y artísticos de acuerdo con el registro auxiliar correspondiente. </w:t>
      </w: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Se incluirá un hipervínculo al Sistema de Información Inmobiliaria Federal y Paraestatal </w:t>
      </w:r>
      <w:proofErr w:type="spellStart"/>
      <w:r w:rsidRPr="00FA7506">
        <w:rPr>
          <w:rFonts w:ascii="Palatino Linotype" w:eastAsia="Palatino Linotype" w:hAnsi="Palatino Linotype" w:cs="Palatino Linotype"/>
          <w:i/>
          <w:sz w:val="22"/>
          <w:szCs w:val="22"/>
        </w:rPr>
        <w:t>u</w:t>
      </w:r>
      <w:proofErr w:type="spellEnd"/>
      <w:r w:rsidRPr="00FA7506">
        <w:rPr>
          <w:rFonts w:ascii="Palatino Linotype" w:eastAsia="Palatino Linotype" w:hAnsi="Palatino Linotype" w:cs="Palatino Linotype"/>
          <w:i/>
          <w:sz w:val="22"/>
          <w:szCs w:val="22"/>
        </w:rPr>
        <w:t xml:space="preserve"> homólogo de cada entidad federativa. Al ser éste un sistema de uso exclusivo de los sujetos obligados, la dependencia responsable de administrarlo deberá incluir una sección de consulta pública, contando para el desarrollo de la misma con un plazo no mayor de seis meses a partir de la entrada en vigor de estos Lineamientos. En caso de que algunos sujetos obligados no cuenten con un sistema como el aquí contemplado, considerarán incluir una nota fundamentada, motivada y actualizada al periodo que corresponda que así lo explique. En el inventario de bienes muebles de las instituciones de educación superior se harán públicas las colecciones y acervos de las mismas. </w:t>
      </w: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Adicionalmente se incluirá un inventario de altas, bajas y donaciones de bienes muebles e inmuebles, en caso de haberlas. También se dará a conocer el nombre del servidor(a) público(a) y/o toda persona que desempeñe un empleo, cargo o comisión y/o ejerza actos de autoridad, que funge como responsable inmobiliario, es decir, el encargado de la administración de los recursos materiales de las dependencias. En caso de que algún sujeto obligado utilice o tenga a su cargo bienes muebles o inmuebles sobre los cuales reportar su tenencia se encuentren reservados por motivos de Seguridad Nacional109, Seguridad Pública o de interés público, en la "Descripción del bien" o "Denominación del inmueble", según correspondas, se especificará en la descripción del bien la nota “bien número #”, indicando el número que se le asigne cronológicamente a cada bien, el cual no podrá ser el mismo para ningún otro del sujeto obligado por motivos de identificación única de éstos. A continuación, se registrará una nota en la que se especifique la fundamentación y motivación de la reserva de dicha información. </w:t>
      </w: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El resto de los datos requeridos acerca de tales bienes en los criterios pertenecientes a esta fracción serán considerados información pública, por lo que no estarán sujetos a reserva </w:t>
      </w:r>
      <w:r w:rsidRPr="00FA7506">
        <w:rPr>
          <w:rFonts w:ascii="Palatino Linotype" w:eastAsia="Palatino Linotype" w:hAnsi="Palatino Linotype" w:cs="Palatino Linotype"/>
          <w:i/>
          <w:sz w:val="22"/>
          <w:szCs w:val="22"/>
        </w:rPr>
        <w:lastRenderedPageBreak/>
        <w:t xml:space="preserve">alguna. En el caso de los bienes inmuebles se protegerán el domicilio y/o los elementos que denoten su ubicación exacta.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Criterios sustantivos de contenido</w:t>
      </w:r>
      <w:r w:rsidRPr="00FA7506">
        <w:rPr>
          <w:rFonts w:ascii="Palatino Linotype" w:eastAsia="Palatino Linotype" w:hAnsi="Palatino Linotype" w:cs="Palatino Linotype"/>
          <w:i/>
          <w:sz w:val="22"/>
          <w:szCs w:val="22"/>
        </w:rPr>
        <w:t xml:space="preserve"> </w:t>
      </w:r>
    </w:p>
    <w:p w:rsidR="00892FCF" w:rsidRPr="00FA7506" w:rsidRDefault="00892FCF" w:rsidP="00021853">
      <w:pPr>
        <w:ind w:left="567" w:right="850"/>
        <w:jc w:val="both"/>
        <w:rPr>
          <w:rFonts w:ascii="Palatino Linotype" w:eastAsia="Palatino Linotype" w:hAnsi="Palatino Linotype" w:cs="Palatino Linotype"/>
          <w:b/>
          <w:i/>
          <w:sz w:val="22"/>
          <w:szCs w:val="22"/>
          <w:u w:val="single"/>
        </w:rPr>
      </w:pP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u w:val="single"/>
        </w:rPr>
      </w:pPr>
      <w:r w:rsidRPr="00FA7506">
        <w:rPr>
          <w:rFonts w:ascii="Palatino Linotype" w:eastAsia="Palatino Linotype" w:hAnsi="Palatino Linotype" w:cs="Palatino Linotype"/>
          <w:b/>
          <w:i/>
          <w:sz w:val="22"/>
          <w:szCs w:val="22"/>
          <w:u w:val="single"/>
        </w:rPr>
        <w:t xml:space="preserve">Los datos correspondientes a los bienes inmuebles son: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22</w:t>
      </w:r>
      <w:r w:rsidRPr="00FA7506">
        <w:rPr>
          <w:rFonts w:ascii="Palatino Linotype" w:eastAsia="Palatino Linotype" w:hAnsi="Palatino Linotype" w:cs="Palatino Linotype"/>
          <w:i/>
          <w:sz w:val="22"/>
          <w:szCs w:val="22"/>
        </w:rPr>
        <w:t xml:space="preserve"> Ejercicio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23</w:t>
      </w:r>
      <w:r w:rsidRPr="00FA7506">
        <w:rPr>
          <w:rFonts w:ascii="Palatino Linotype" w:eastAsia="Palatino Linotype" w:hAnsi="Palatino Linotype" w:cs="Palatino Linotype"/>
          <w:i/>
          <w:sz w:val="22"/>
          <w:szCs w:val="22"/>
        </w:rPr>
        <w:t xml:space="preserve"> Periodo que se informa (fecha de inicio y fecha de término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24</w:t>
      </w:r>
      <w:r w:rsidRPr="00FA7506">
        <w:rPr>
          <w:rFonts w:ascii="Palatino Linotype" w:eastAsia="Palatino Linotype" w:hAnsi="Palatino Linotype" w:cs="Palatino Linotype"/>
          <w:i/>
          <w:sz w:val="22"/>
          <w:szCs w:val="22"/>
        </w:rPr>
        <w:t xml:space="preserve"> </w:t>
      </w:r>
      <w:r w:rsidRPr="00FA7506">
        <w:rPr>
          <w:rFonts w:ascii="Palatino Linotype" w:eastAsia="Palatino Linotype" w:hAnsi="Palatino Linotype" w:cs="Palatino Linotype"/>
          <w:b/>
          <w:i/>
          <w:sz w:val="22"/>
          <w:szCs w:val="22"/>
        </w:rPr>
        <w:t>Denominación del inmueble, en su caso</w:t>
      </w:r>
      <w:r w:rsidRPr="00FA7506">
        <w:rPr>
          <w:rFonts w:ascii="Palatino Linotype" w:eastAsia="Palatino Linotype" w:hAnsi="Palatino Linotype" w:cs="Palatino Linotype"/>
          <w:i/>
          <w:sz w:val="22"/>
          <w:szCs w:val="22"/>
        </w:rPr>
        <w:t xml:space="preserv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u w:val="single"/>
        </w:rPr>
      </w:pPr>
      <w:r w:rsidRPr="00FA7506">
        <w:rPr>
          <w:rFonts w:ascii="Palatino Linotype" w:eastAsia="Palatino Linotype" w:hAnsi="Palatino Linotype" w:cs="Palatino Linotype"/>
          <w:i/>
          <w:sz w:val="22"/>
          <w:szCs w:val="22"/>
          <w:u w:val="single"/>
        </w:rPr>
        <w:t xml:space="preserve">Criterio 25 Institución a cargo del inmueble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26</w:t>
      </w:r>
      <w:r w:rsidRPr="00FA7506">
        <w:rPr>
          <w:rFonts w:ascii="Palatino Linotype" w:eastAsia="Palatino Linotype" w:hAnsi="Palatino Linotype" w:cs="Palatino Linotype"/>
          <w:i/>
          <w:sz w:val="22"/>
          <w:szCs w:val="22"/>
        </w:rPr>
        <w:t xml:space="preserve"> </w:t>
      </w:r>
      <w:r w:rsidRPr="00FA7506">
        <w:rPr>
          <w:rFonts w:ascii="Palatino Linotype" w:eastAsia="Palatino Linotype" w:hAnsi="Palatino Linotype" w:cs="Palatino Linotype"/>
          <w:i/>
          <w:sz w:val="22"/>
          <w:szCs w:val="22"/>
          <w:u w:val="single"/>
        </w:rPr>
        <w:t>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r w:rsidRPr="00FA7506">
        <w:rPr>
          <w:rFonts w:ascii="Palatino Linotype" w:eastAsia="Palatino Linotype" w:hAnsi="Palatino Linotype" w:cs="Palatino Linotype"/>
          <w:i/>
          <w:sz w:val="22"/>
          <w:szCs w:val="22"/>
        </w:rPr>
        <w:t xml:space="preserv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27</w:t>
      </w:r>
      <w:r w:rsidRPr="00FA7506">
        <w:rPr>
          <w:rFonts w:ascii="Palatino Linotype" w:eastAsia="Palatino Linotype" w:hAnsi="Palatino Linotype" w:cs="Palatino Linotype"/>
          <w:i/>
          <w:sz w:val="22"/>
          <w:szCs w:val="22"/>
        </w:rPr>
        <w:t xml:space="preserve"> Domicilio en el extranjero. En caso de que el inmueble se ubique en otro país, se deberá incluir el domicilio el cual deberá incluir por lo menos: país, ciudad, calle y número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2</w:t>
      </w:r>
      <w:r w:rsidRPr="00FA7506">
        <w:rPr>
          <w:rFonts w:ascii="Palatino Linotype" w:eastAsia="Palatino Linotype" w:hAnsi="Palatino Linotype" w:cs="Palatino Linotype"/>
          <w:i/>
          <w:sz w:val="22"/>
          <w:szCs w:val="22"/>
        </w:rPr>
        <w:t xml:space="preserve">8 Naturaleza del inmueble (catálogo): Urbana/Rústica (de conformidad con el artículo 66, fracción IV, del Reglamento del Registro Público de la Propiedad Federal)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29</w:t>
      </w:r>
      <w:r w:rsidRPr="00FA7506">
        <w:rPr>
          <w:rFonts w:ascii="Palatino Linotype" w:eastAsia="Palatino Linotype" w:hAnsi="Palatino Linotype" w:cs="Palatino Linotype"/>
          <w:i/>
          <w:sz w:val="22"/>
          <w:szCs w:val="22"/>
        </w:rPr>
        <w:t xml:space="preserve"> Carácter del monumento (catálogo): Arqueológico/Histórico/Artístico (para el caso de inmuebles que hayan sido declarados monumentos arqueológicos, históricos o artísticos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30</w:t>
      </w:r>
      <w:r w:rsidRPr="00FA7506">
        <w:rPr>
          <w:rFonts w:ascii="Palatino Linotype" w:eastAsia="Palatino Linotype" w:hAnsi="Palatino Linotype" w:cs="Palatino Linotype"/>
          <w:i/>
          <w:sz w:val="22"/>
          <w:szCs w:val="22"/>
        </w:rPr>
        <w:t xml:space="preserve"> </w:t>
      </w:r>
      <w:r w:rsidRPr="00FA7506">
        <w:rPr>
          <w:rFonts w:ascii="Palatino Linotype" w:eastAsia="Palatino Linotype" w:hAnsi="Palatino Linotype" w:cs="Palatino Linotype"/>
          <w:b/>
          <w:i/>
          <w:sz w:val="22"/>
          <w:szCs w:val="22"/>
        </w:rPr>
        <w:t>Tipo de inmueble</w:t>
      </w:r>
      <w:r w:rsidRPr="00FA7506">
        <w:rPr>
          <w:rFonts w:ascii="Palatino Linotype" w:eastAsia="Palatino Linotype" w:hAnsi="Palatino Linotype" w:cs="Palatino Linotype"/>
          <w:i/>
          <w:sz w:val="22"/>
          <w:szCs w:val="22"/>
        </w:rPr>
        <w:t xml:space="preserve"> (catálogo): edificación/terreno/mixto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31</w:t>
      </w:r>
      <w:r w:rsidRPr="00FA7506">
        <w:rPr>
          <w:rFonts w:ascii="Palatino Linotype" w:eastAsia="Palatino Linotype" w:hAnsi="Palatino Linotype" w:cs="Palatino Linotype"/>
          <w:i/>
          <w:sz w:val="22"/>
          <w:szCs w:val="22"/>
        </w:rPr>
        <w:t xml:space="preserve"> </w:t>
      </w:r>
      <w:r w:rsidRPr="00FA7506">
        <w:rPr>
          <w:rFonts w:ascii="Palatino Linotype" w:eastAsia="Palatino Linotype" w:hAnsi="Palatino Linotype" w:cs="Palatino Linotype"/>
          <w:i/>
          <w:sz w:val="22"/>
          <w:szCs w:val="22"/>
          <w:u w:val="single"/>
        </w:rPr>
        <w:t>Uso del inmueble</w:t>
      </w:r>
      <w:r w:rsidRPr="00FA7506">
        <w:rPr>
          <w:rFonts w:ascii="Palatino Linotype" w:eastAsia="Palatino Linotype" w:hAnsi="Palatino Linotype" w:cs="Palatino Linotype"/>
          <w:i/>
          <w:sz w:val="22"/>
          <w:szCs w:val="22"/>
        </w:rPr>
        <w:t xml:space="preserv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32</w:t>
      </w:r>
      <w:r w:rsidRPr="00FA7506">
        <w:rPr>
          <w:rFonts w:ascii="Palatino Linotype" w:eastAsia="Palatino Linotype" w:hAnsi="Palatino Linotype" w:cs="Palatino Linotype"/>
          <w:i/>
          <w:sz w:val="22"/>
          <w:szCs w:val="22"/>
        </w:rPr>
        <w:t xml:space="preserve"> </w:t>
      </w:r>
      <w:r w:rsidRPr="00FA7506">
        <w:rPr>
          <w:rFonts w:ascii="Palatino Linotype" w:eastAsia="Palatino Linotype" w:hAnsi="Palatino Linotype" w:cs="Palatino Linotype"/>
          <w:b/>
          <w:i/>
          <w:sz w:val="22"/>
          <w:szCs w:val="22"/>
          <w:u w:val="single"/>
        </w:rPr>
        <w:t xml:space="preserve">Operación que da origen a la propiedad o posesión del inmueble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t>Criterio 33</w:t>
      </w:r>
      <w:r w:rsidRPr="00FA7506">
        <w:rPr>
          <w:rFonts w:ascii="Palatino Linotype" w:eastAsia="Palatino Linotype" w:hAnsi="Palatino Linotype" w:cs="Palatino Linotype"/>
          <w:i/>
          <w:sz w:val="22"/>
          <w:szCs w:val="22"/>
        </w:rPr>
        <w:t xml:space="preserve"> Valor catastral o último avalúo del inmueble </w:t>
      </w: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rPr>
        <w:lastRenderedPageBreak/>
        <w:t>Criterio 34</w:t>
      </w:r>
      <w:r w:rsidRPr="00FA7506">
        <w:rPr>
          <w:rFonts w:ascii="Palatino Linotype" w:eastAsia="Palatino Linotype" w:hAnsi="Palatino Linotype" w:cs="Palatino Linotype"/>
          <w:i/>
          <w:sz w:val="22"/>
          <w:szCs w:val="22"/>
        </w:rPr>
        <w:t xml:space="preserve"> </w:t>
      </w:r>
      <w:r w:rsidRPr="00FA7506">
        <w:rPr>
          <w:rFonts w:ascii="Palatino Linotype" w:eastAsia="Palatino Linotype" w:hAnsi="Palatino Linotype" w:cs="Palatino Linotype"/>
          <w:b/>
          <w:i/>
          <w:sz w:val="22"/>
          <w:szCs w:val="22"/>
          <w:u w:val="single"/>
        </w:rPr>
        <w:t>Título por el cual se acredite la propiedad o posesión del inmueble por parte del Gobierno Federal, las entidades federativas o los municipios, a la fecha de actualización de la información</w:t>
      </w:r>
      <w:r w:rsidRPr="00FA7506">
        <w:rPr>
          <w:rFonts w:ascii="Palatino Linotype" w:eastAsia="Palatino Linotype" w:hAnsi="Palatino Linotype" w:cs="Palatino Linotype"/>
          <w:i/>
          <w:sz w:val="22"/>
          <w:szCs w:val="22"/>
        </w:rPr>
        <w:t xml:space="preserv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35 Hipervínculo al Sistema de Información Inmobiliaria Federal y Paraestatal </w:t>
      </w:r>
      <w:proofErr w:type="spellStart"/>
      <w:r w:rsidRPr="00FA7506">
        <w:rPr>
          <w:rFonts w:ascii="Palatino Linotype" w:eastAsia="Palatino Linotype" w:hAnsi="Palatino Linotype" w:cs="Palatino Linotype"/>
          <w:i/>
          <w:sz w:val="22"/>
          <w:szCs w:val="22"/>
        </w:rPr>
        <w:t>u</w:t>
      </w:r>
      <w:proofErr w:type="spellEnd"/>
      <w:r w:rsidRPr="00FA7506">
        <w:rPr>
          <w:rFonts w:ascii="Palatino Linotype" w:eastAsia="Palatino Linotype" w:hAnsi="Palatino Linotype" w:cs="Palatino Linotype"/>
          <w:i/>
          <w:sz w:val="22"/>
          <w:szCs w:val="22"/>
        </w:rPr>
        <w:t xml:space="preserve"> homólogo de cada entidad federativa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36 Área de adscripción del servidor público /o toda persona que desempeñe un empleo, cargo o comisión y/o ejerza actos de autoridad (de acuerdo con el catálogo de áreas o puestos que funge como responsable inmobiliario)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u w:val="single"/>
        </w:rPr>
      </w:pPr>
      <w:r w:rsidRPr="00FA7506">
        <w:rPr>
          <w:rFonts w:ascii="Palatino Linotype" w:eastAsia="Palatino Linotype" w:hAnsi="Palatino Linotype" w:cs="Palatino Linotype"/>
          <w:b/>
          <w:i/>
          <w:sz w:val="22"/>
          <w:szCs w:val="22"/>
          <w:u w:val="single"/>
        </w:rPr>
        <w:t xml:space="preserve">Inventario semestral de altas practicadas a los bienes inmuebles especificando: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37 Ejercicio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38 Periodo que se informa (fecha de inicio y fecha de término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39 Descripción del bien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40 Causa de alta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u w:val="single"/>
        </w:rPr>
      </w:pPr>
      <w:r w:rsidRPr="00FA7506">
        <w:rPr>
          <w:rFonts w:ascii="Palatino Linotype" w:eastAsia="Palatino Linotype" w:hAnsi="Palatino Linotype" w:cs="Palatino Linotype"/>
          <w:b/>
          <w:i/>
          <w:sz w:val="22"/>
          <w:szCs w:val="22"/>
          <w:u w:val="single"/>
        </w:rPr>
        <w:t xml:space="preserve">Criterio 41 Fecha de alta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42 Valor del bien a la fecha del alta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u w:val="single"/>
        </w:rPr>
      </w:pPr>
      <w:r w:rsidRPr="00FA7506">
        <w:rPr>
          <w:rFonts w:ascii="Palatino Linotype" w:eastAsia="Palatino Linotype" w:hAnsi="Palatino Linotype" w:cs="Palatino Linotype"/>
          <w:b/>
          <w:i/>
          <w:sz w:val="22"/>
          <w:szCs w:val="22"/>
          <w:u w:val="single"/>
        </w:rPr>
        <w:t xml:space="preserve">Inventario semestral de bajas practicadas a los bienes inmuebles especificando: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43 Ejercicio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44 Periodo que se informa (fecha de inicio y fecha de término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45 Descripción del bien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46 Causa de baja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47 Fecha de baja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lastRenderedPageBreak/>
        <w:t xml:space="preserve">Criterio 48 Valor del inmueble a la fecha de la baja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u w:val="single"/>
        </w:rPr>
      </w:pPr>
      <w:r w:rsidRPr="00FA7506">
        <w:rPr>
          <w:rFonts w:ascii="Palatino Linotype" w:eastAsia="Palatino Linotype" w:hAnsi="Palatino Linotype" w:cs="Palatino Linotype"/>
          <w:b/>
          <w:i/>
          <w:sz w:val="22"/>
          <w:szCs w:val="22"/>
          <w:u w:val="single"/>
        </w:rPr>
        <w:t xml:space="preserve">La información respecto de los bienes muebles e inmuebles donados es la siguiente: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49 Ejercicio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50 Periodo que se informa (fecha de inicio y fecha de término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51 Descripción del bien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52 Actividades a las que se destinará el bien donado (catálogo): Educativas/Culturales/De salud/De investigación científica/De aplicación de nuevas tecnologías/De beneficencia/Prestación de servicios sociales/Ayuda humanitaria/Otra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rPr>
      </w:pPr>
      <w:r w:rsidRPr="00FA7506">
        <w:rPr>
          <w:rFonts w:ascii="Palatino Linotype" w:eastAsia="Palatino Linotype" w:hAnsi="Palatino Linotype" w:cs="Palatino Linotype"/>
          <w:b/>
          <w:i/>
          <w:sz w:val="22"/>
          <w:szCs w:val="22"/>
        </w:rPr>
        <w:t xml:space="preserve">Criterio 53 Personería jurídica del donatario (catálogo): Persona física/Persona moral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rPr>
      </w:pPr>
      <w:r w:rsidRPr="00FA7506">
        <w:rPr>
          <w:rFonts w:ascii="Palatino Linotype" w:eastAsia="Palatino Linotype" w:hAnsi="Palatino Linotype" w:cs="Palatino Linotype"/>
          <w:b/>
          <w:i/>
          <w:sz w:val="22"/>
          <w:szCs w:val="22"/>
        </w:rPr>
        <w:t xml:space="preserve">Criterio 54 En caso de persona física: Nombre (nombre[s], primer apellido, segundo apellido) </w:t>
      </w:r>
    </w:p>
    <w:p w:rsidR="00892FCF" w:rsidRPr="00FA7506" w:rsidRDefault="00892FCF" w:rsidP="00021853">
      <w:pPr>
        <w:ind w:left="567" w:right="850"/>
        <w:jc w:val="both"/>
        <w:rPr>
          <w:rFonts w:ascii="Palatino Linotype" w:eastAsia="Palatino Linotype" w:hAnsi="Palatino Linotype" w:cs="Palatino Linotype"/>
          <w:b/>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rPr>
      </w:pPr>
      <w:r w:rsidRPr="00FA7506">
        <w:rPr>
          <w:rFonts w:ascii="Palatino Linotype" w:eastAsia="Palatino Linotype" w:hAnsi="Palatino Linotype" w:cs="Palatino Linotype"/>
          <w:b/>
          <w:i/>
          <w:sz w:val="22"/>
          <w:szCs w:val="22"/>
        </w:rPr>
        <w:t xml:space="preserve">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 </w:t>
      </w:r>
    </w:p>
    <w:p w:rsidR="00892FCF" w:rsidRPr="00FA7506" w:rsidRDefault="00892FCF" w:rsidP="00021853">
      <w:pPr>
        <w:ind w:left="567" w:right="850"/>
        <w:jc w:val="both"/>
        <w:rPr>
          <w:rFonts w:ascii="Palatino Linotype" w:eastAsia="Palatino Linotype" w:hAnsi="Palatino Linotype" w:cs="Palatino Linotype"/>
          <w:b/>
          <w:i/>
          <w:sz w:val="22"/>
          <w:szCs w:val="22"/>
        </w:rPr>
      </w:pPr>
    </w:p>
    <w:p w:rsidR="00892FCF" w:rsidRPr="00FA7506" w:rsidRDefault="00ED2233" w:rsidP="00021853">
      <w:pPr>
        <w:ind w:left="567" w:right="850"/>
        <w:jc w:val="both"/>
        <w:rPr>
          <w:rFonts w:ascii="Palatino Linotype" w:eastAsia="Palatino Linotype" w:hAnsi="Palatino Linotype" w:cs="Palatino Linotype"/>
          <w:b/>
          <w:i/>
          <w:sz w:val="22"/>
          <w:szCs w:val="22"/>
        </w:rPr>
      </w:pPr>
      <w:r w:rsidRPr="00FA7506">
        <w:rPr>
          <w:rFonts w:ascii="Palatino Linotype" w:eastAsia="Palatino Linotype" w:hAnsi="Palatino Linotype" w:cs="Palatino Linotype"/>
          <w:b/>
          <w:i/>
          <w:sz w:val="22"/>
          <w:szCs w:val="22"/>
        </w:rPr>
        <w:t xml:space="preserve">Criterio 56 Denominación o razón social del donatario113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57 Valor de adquisición o valor de inventario del bien donado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Criterio 58 Fecha de firma del contrato de donación, signado por la autoridad pública o representante legal de la institución donante, así como por el donatario114. En su caso, la fecha de publicación del Acuerdo presidencial en el DOF con el formato día/mes/año</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 Criterio 59 Hipervínculo al Acuerdo presidencial respectivo, en el caso de donaciones a gobiernos e instituciones extranjeros o a organizaciones internacionales para ayuda humanitaria o investigación científica</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b/>
          <w:i/>
          <w:sz w:val="22"/>
          <w:szCs w:val="22"/>
          <w:u w:val="single"/>
        </w:rPr>
        <w:lastRenderedPageBreak/>
        <w:t>Criterios adjetivos de actualización</w:t>
      </w:r>
      <w:r w:rsidRPr="00FA7506">
        <w:rPr>
          <w:rFonts w:ascii="Palatino Linotype" w:eastAsia="Palatino Linotype" w:hAnsi="Palatino Linotype" w:cs="Palatino Linotype"/>
          <w:i/>
          <w:sz w:val="22"/>
          <w:szCs w:val="22"/>
        </w:rPr>
        <w:t xml:space="preserve">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60 Periodo de actualización de la información: semestral; en su caso, 30 días hábiles después de adquirir o dar de baja algún bien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61 La información deberá estar actualizada al periodo que corresponde de acuerdo con la Tabla de actualización y conservación de la información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62 Conservar en el sitio de Internet y a través de la Plataforma Nacional la información de acuerdo con la Tabla de actualización y conservación de la información Criterios adjetivos de confiabilidad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63 Área(s) responsable(s) que genera(n), posee(n), publica(n) y/o actualiza(n) la información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64 Fecha de actualización de la información publicada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65 Fecha de validación de la información publicada con el formato día/mes/año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66 Nota. Este criterio se cumple en caso de que sea necesario que el sujeto obligado incluya alguna aclaración relativa a la información publicada y/o explicación por la falta de información Criterios adjetivos de formato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 xml:space="preserve">Criterio 67 La información publicada se organiza mediante los formatos 34a al 34g, en los que se incluyen todos los campos especificados en los criterios sustantivos de contenido </w:t>
      </w:r>
    </w:p>
    <w:p w:rsidR="00892FCF" w:rsidRPr="00FA7506" w:rsidRDefault="00892FCF" w:rsidP="00021853">
      <w:pPr>
        <w:ind w:left="567" w:right="850"/>
        <w:jc w:val="both"/>
        <w:rPr>
          <w:rFonts w:ascii="Palatino Linotype" w:eastAsia="Palatino Linotype" w:hAnsi="Palatino Linotype" w:cs="Palatino Linotype"/>
          <w:i/>
          <w:sz w:val="22"/>
          <w:szCs w:val="22"/>
        </w:rPr>
      </w:pPr>
    </w:p>
    <w:p w:rsidR="00892FCF" w:rsidRPr="00FA7506" w:rsidRDefault="00ED2233" w:rsidP="00021853">
      <w:pPr>
        <w:ind w:left="567" w:right="850"/>
        <w:jc w:val="both"/>
        <w:rPr>
          <w:rFonts w:ascii="Palatino Linotype" w:eastAsia="Palatino Linotype" w:hAnsi="Palatino Linotype" w:cs="Palatino Linotype"/>
          <w:i/>
          <w:sz w:val="22"/>
          <w:szCs w:val="22"/>
        </w:rPr>
      </w:pPr>
      <w:r w:rsidRPr="00FA7506">
        <w:rPr>
          <w:rFonts w:ascii="Palatino Linotype" w:eastAsia="Palatino Linotype" w:hAnsi="Palatino Linotype" w:cs="Palatino Linotype"/>
          <w:i/>
          <w:sz w:val="22"/>
          <w:szCs w:val="22"/>
        </w:rPr>
        <w:t>Criterio 68 El soporte de la información permite su reutilización</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De lo anterior, se observa que de acuerdo a los Lineamientos citados cuando un bien es donado, se tiene que dar a conocer el nombre de las personas físicas o jurídicas colectivas que realizaron la donación del inmueble.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lastRenderedPageBreak/>
        <w:t xml:space="preserve">En ese sentido, con la información remitida se observa que el bien inmueble referido en la solicitud de información fue donado al Ayuntamiento de Toluca, tal y como se muestra en la siguiente captura de pantalla. </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spacing w:line="360" w:lineRule="auto"/>
        <w:jc w:val="center"/>
        <w:rPr>
          <w:rFonts w:ascii="Palatino Linotype" w:eastAsia="Palatino Linotype" w:hAnsi="Palatino Linotype" w:cs="Palatino Linotype"/>
        </w:rPr>
      </w:pPr>
      <w:r w:rsidRPr="00FA7506">
        <w:rPr>
          <w:rFonts w:ascii="Palatino Linotype" w:eastAsia="Palatino Linotype" w:hAnsi="Palatino Linotype" w:cs="Palatino Linotype"/>
          <w:noProof/>
        </w:rPr>
        <w:drawing>
          <wp:inline distT="0" distB="0" distL="0" distR="0">
            <wp:extent cx="3830046" cy="2969391"/>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30046" cy="2969391"/>
                    </a:xfrm>
                    <a:prstGeom prst="rect">
                      <a:avLst/>
                    </a:prstGeom>
                    <a:ln/>
                  </pic:spPr>
                </pic:pic>
              </a:graphicData>
            </a:graphic>
          </wp:inline>
        </w:drawing>
      </w:r>
    </w:p>
    <w:p w:rsidR="00021853" w:rsidRPr="00FA7506" w:rsidRDefault="00021853">
      <w:pPr>
        <w:spacing w:line="360" w:lineRule="auto"/>
        <w:jc w:val="center"/>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esa línea, se observa que 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entrego el documento que acredita la propiedad del bien inmueble referido en la solicitud de información, del cual se observa que de manera enunciativa más no limitativa </w:t>
      </w:r>
      <w:r w:rsidR="00021853" w:rsidRPr="00FA7506">
        <w:rPr>
          <w:rFonts w:ascii="Palatino Linotype" w:eastAsia="Palatino Linotype" w:hAnsi="Palatino Linotype" w:cs="Palatino Linotype"/>
        </w:rPr>
        <w:t xml:space="preserve">clasificó datos que no debieron </w:t>
      </w:r>
      <w:r w:rsidRPr="00FA7506">
        <w:rPr>
          <w:rFonts w:ascii="Palatino Linotype" w:eastAsia="Palatino Linotype" w:hAnsi="Palatino Linotype" w:cs="Palatino Linotype"/>
        </w:rPr>
        <w:t>ser clasi</w:t>
      </w:r>
      <w:r w:rsidR="00021853" w:rsidRPr="00FA7506">
        <w:rPr>
          <w:rFonts w:ascii="Palatino Linotype" w:eastAsia="Palatino Linotype" w:hAnsi="Palatino Linotype" w:cs="Palatino Linotype"/>
        </w:rPr>
        <w:t xml:space="preserve">ficados como </w:t>
      </w:r>
      <w:r w:rsidRPr="00FA7506">
        <w:rPr>
          <w:rFonts w:ascii="Palatino Linotype" w:eastAsia="Palatino Linotype" w:hAnsi="Palatino Linotype" w:cs="Palatino Linotype"/>
        </w:rPr>
        <w:t xml:space="preserve">es el nombre de las </w:t>
      </w:r>
      <w:r w:rsidR="00021853" w:rsidRPr="00FA7506">
        <w:rPr>
          <w:rFonts w:ascii="Palatino Linotype" w:eastAsia="Palatino Linotype" w:hAnsi="Palatino Linotype" w:cs="Palatino Linotype"/>
        </w:rPr>
        <w:t>empresas</w:t>
      </w:r>
      <w:r w:rsidRPr="00FA7506">
        <w:rPr>
          <w:rFonts w:ascii="Palatino Linotype" w:eastAsia="Palatino Linotype" w:hAnsi="Palatino Linotype" w:cs="Palatino Linotype"/>
        </w:rPr>
        <w:t xml:space="preserve"> que procedieron a hacer la donación del terreno utilizado en donde se ubica la Unidad Deportiva referida en la solicitud de información.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numPr>
          <w:ilvl w:val="0"/>
          <w:numId w:val="1"/>
        </w:numPr>
        <w:spacing w:line="360" w:lineRule="auto"/>
        <w:ind w:left="0"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En ese sentido, se colige que el </w:t>
      </w:r>
      <w:r w:rsidRPr="00FA7506">
        <w:rPr>
          <w:rFonts w:ascii="Palatino Linotype" w:eastAsia="Palatino Linotype" w:hAnsi="Palatino Linotype" w:cs="Palatino Linotype"/>
          <w:b/>
        </w:rPr>
        <w:t xml:space="preserve">SUJETO OBLIGADO </w:t>
      </w:r>
      <w:r w:rsidRPr="00FA7506">
        <w:rPr>
          <w:rFonts w:ascii="Palatino Linotype" w:eastAsia="Palatino Linotype" w:hAnsi="Palatino Linotype" w:cs="Palatino Linotype"/>
        </w:rPr>
        <w:t xml:space="preserve">colmo parcialmente el derecho de acceso a la información del </w:t>
      </w:r>
      <w:r w:rsidRPr="00FA7506">
        <w:rPr>
          <w:rFonts w:ascii="Palatino Linotype" w:eastAsia="Palatino Linotype" w:hAnsi="Palatino Linotype" w:cs="Palatino Linotype"/>
          <w:b/>
        </w:rPr>
        <w:t xml:space="preserve">RECURRENTE </w:t>
      </w:r>
      <w:r w:rsidRPr="00FA7506">
        <w:rPr>
          <w:rFonts w:ascii="Palatino Linotype" w:eastAsia="Palatino Linotype" w:hAnsi="Palatino Linotype" w:cs="Palatino Linotype"/>
        </w:rPr>
        <w:t xml:space="preserve">situación por la cual se deberá de entregar el </w:t>
      </w:r>
      <w:r w:rsidRPr="00FA7506">
        <w:rPr>
          <w:rFonts w:ascii="Palatino Linotype" w:eastAsia="Palatino Linotype" w:hAnsi="Palatino Linotype" w:cs="Palatino Linotype"/>
        </w:rPr>
        <w:lastRenderedPageBreak/>
        <w:t xml:space="preserve">documento que acredita la propiedad del bien referido en la solicitud de información en un correcta versión pública. </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spacing w:line="360" w:lineRule="auto"/>
        <w:jc w:val="both"/>
        <w:rPr>
          <w:rFonts w:ascii="Palatino Linotype" w:eastAsia="Palatino Linotype" w:hAnsi="Palatino Linotype" w:cs="Palatino Linotype"/>
        </w:rPr>
      </w:pPr>
      <w:bookmarkStart w:id="13" w:name="_heading=h.lnxbz9" w:colFirst="0" w:colLast="0"/>
      <w:bookmarkEnd w:id="13"/>
      <w:r w:rsidRPr="00FA7506">
        <w:rPr>
          <w:rFonts w:ascii="Palatino Linotype" w:eastAsia="Palatino Linotype" w:hAnsi="Palatino Linotype" w:cs="Palatino Linotype"/>
          <w:b/>
        </w:rPr>
        <w:t>QUINTO. De la versión pública.</w:t>
      </w:r>
    </w:p>
    <w:p w:rsidR="00892FCF" w:rsidRPr="00FA7506" w:rsidRDefault="00ED2233">
      <w:pPr>
        <w:pStyle w:val="Ttulo1"/>
        <w:numPr>
          <w:ilvl w:val="0"/>
          <w:numId w:val="4"/>
        </w:numPr>
        <w:tabs>
          <w:tab w:val="left" w:pos="284"/>
        </w:tabs>
        <w:spacing w:before="0" w:after="0" w:line="360" w:lineRule="auto"/>
        <w:ind w:left="0" w:firstLine="0"/>
        <w:rPr>
          <w:rFonts w:ascii="Palatino Linotype" w:eastAsia="Palatino Linotype" w:hAnsi="Palatino Linotype" w:cs="Palatino Linotype"/>
          <w:b/>
          <w:color w:val="000000"/>
          <w:sz w:val="24"/>
          <w:szCs w:val="24"/>
        </w:rPr>
      </w:pPr>
      <w:bookmarkStart w:id="14" w:name="_heading=h.35nkun2" w:colFirst="0" w:colLast="0"/>
      <w:bookmarkEnd w:id="14"/>
      <w:r w:rsidRPr="00FA7506">
        <w:rPr>
          <w:rFonts w:ascii="Palatino Linotype" w:eastAsia="Palatino Linotype" w:hAnsi="Palatino Linotype" w:cs="Palatino Linotype"/>
          <w:b/>
          <w:color w:val="000000"/>
          <w:sz w:val="24"/>
          <w:szCs w:val="24"/>
        </w:rPr>
        <w:t xml:space="preserve">Nociones generales. </w:t>
      </w:r>
    </w:p>
    <w:p w:rsidR="00892FCF" w:rsidRPr="00FA7506" w:rsidRDefault="00ED2233">
      <w:pPr>
        <w:numPr>
          <w:ilvl w:val="0"/>
          <w:numId w:val="1"/>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t>Debe destacarse que, debido a la naturaleza de la información solicitada,</w:t>
      </w:r>
      <w:r w:rsidRPr="00FA7506">
        <w:rPr>
          <w:rFonts w:ascii="Palatino Linotype" w:eastAsia="Palatino Linotype" w:hAnsi="Palatino Linotype" w:cs="Palatino Linotype"/>
          <w:b/>
          <w:color w:val="000000"/>
        </w:rPr>
        <w:t xml:space="preserve"> </w:t>
      </w:r>
      <w:r w:rsidRPr="00FA7506">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FA7506">
        <w:rPr>
          <w:rFonts w:ascii="Palatino Linotype" w:eastAsia="Palatino Linotype" w:hAnsi="Palatino Linotype" w:cs="Palatino Linotype"/>
          <w:b/>
          <w:color w:val="000000"/>
        </w:rPr>
        <w:t xml:space="preserve">Sujeto Obligado </w:t>
      </w:r>
      <w:r w:rsidRPr="00FA7506">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892FCF" w:rsidRPr="00FA7506" w:rsidRDefault="00892FCF">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892FCF" w:rsidRPr="00FA7506" w:rsidRDefault="00ED2233">
      <w:pPr>
        <w:numPr>
          <w:ilvl w:val="0"/>
          <w:numId w:val="1"/>
        </w:numPr>
        <w:tabs>
          <w:tab w:val="left" w:pos="284"/>
        </w:tabs>
        <w:spacing w:line="360" w:lineRule="auto"/>
        <w:ind w:left="0" w:right="49"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color w:val="000000"/>
        </w:rPr>
        <w:t xml:space="preserve">No pasa desapercibido para este Órgano Garante que los </w:t>
      </w:r>
      <w:r w:rsidRPr="00FA7506">
        <w:rPr>
          <w:rFonts w:ascii="Palatino Linotype" w:eastAsia="Palatino Linotype" w:hAnsi="Palatino Linotype" w:cs="Palatino Linotype"/>
          <w:b/>
          <w:color w:val="000000"/>
        </w:rPr>
        <w:t xml:space="preserve">Sujetos Obligados </w:t>
      </w:r>
      <w:r w:rsidRPr="00FA7506">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0"/>
        <w:tblW w:w="9214"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7376"/>
      </w:tblGrid>
      <w:tr w:rsidR="00892FCF" w:rsidRPr="00FA7506" w:rsidTr="00021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hanging="533"/>
              <w:rPr>
                <w:rFonts w:ascii="Palatino Linotype" w:eastAsia="Palatino Linotype" w:hAnsi="Palatino Linotype" w:cs="Palatino Linotype"/>
                <w:sz w:val="20"/>
              </w:rPr>
            </w:pPr>
            <w:r w:rsidRPr="00FA7506">
              <w:rPr>
                <w:rFonts w:ascii="Palatino Linotype" w:eastAsia="Palatino Linotype" w:hAnsi="Palatino Linotype" w:cs="Palatino Linotype"/>
                <w:sz w:val="20"/>
              </w:rPr>
              <w:t>a) Requisitos previos.</w:t>
            </w:r>
          </w:p>
        </w:tc>
        <w:tc>
          <w:tcPr>
            <w:tcW w:w="7376"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right="49" w:hanging="533"/>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92FCF" w:rsidRPr="00FA7506" w:rsidRDefault="00ED2233" w:rsidP="00021853">
            <w:pPr>
              <w:spacing w:line="360" w:lineRule="auto"/>
              <w:ind w:right="49" w:hanging="533"/>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Al hacerlo tienen que precisar de qué información se trata, señalando el supuesto de clasificación (confidencialidad o reserva).</w:t>
            </w:r>
          </w:p>
          <w:p w:rsidR="00892FCF" w:rsidRPr="00FA7506" w:rsidRDefault="00ED2233" w:rsidP="00021853">
            <w:pPr>
              <w:spacing w:line="360" w:lineRule="auto"/>
              <w:ind w:right="49" w:hanging="533"/>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Además, se debe señalar el procedimiento, de los tres que establecen los artículos 132 y 106 de la Ley Estatal y General, respectivamente.</w:t>
            </w:r>
          </w:p>
          <w:p w:rsidR="00892FCF" w:rsidRPr="00FA7506" w:rsidRDefault="00ED2233" w:rsidP="00021853">
            <w:pPr>
              <w:spacing w:line="360" w:lineRule="auto"/>
              <w:ind w:hanging="533"/>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rPr>
            </w:pPr>
            <w:r w:rsidRPr="00FA7506">
              <w:rPr>
                <w:rFonts w:ascii="Palatino Linotype" w:eastAsia="Palatino Linotype" w:hAnsi="Palatino Linotype" w:cs="Palatino Linotype"/>
                <w:color w:val="000000"/>
                <w:sz w:val="20"/>
              </w:rPr>
              <w:lastRenderedPageBreak/>
              <w:t xml:space="preserve">El último de estos requisitos previos consiste en que no se pueden emitir acuerdos de carácter general ni particular, esto es, </w:t>
            </w:r>
            <w:r w:rsidRPr="00FA7506">
              <w:rPr>
                <w:rFonts w:ascii="Palatino Linotype" w:eastAsia="Palatino Linotype" w:hAnsi="Palatino Linotype" w:cs="Palatino Linotype"/>
                <w:color w:val="000000"/>
                <w:sz w:val="20"/>
                <w:u w:val="single"/>
              </w:rPr>
              <w:t>no se puede hacer un acuerdo para clasificar de manera general todos los documentos de un expediente o área, sin</w:t>
            </w:r>
            <w:r w:rsidRPr="00FA7506">
              <w:rPr>
                <w:rFonts w:ascii="Palatino Linotype" w:eastAsia="Palatino Linotype" w:hAnsi="Palatino Linotype" w:cs="Palatino Linotype"/>
                <w:color w:val="000000"/>
                <w:sz w:val="20"/>
              </w:rPr>
              <w:t xml:space="preserve"> individualizar su análisis y tampoco se puede hacer un acuerdo por cada dato que se vaya a clasificar dentro de un documento con diez datos, por ejemplo, susceptibles de ser clasificados.</w:t>
            </w:r>
          </w:p>
        </w:tc>
      </w:tr>
      <w:tr w:rsidR="00892FCF" w:rsidRPr="00FA7506" w:rsidTr="00021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hanging="533"/>
              <w:rPr>
                <w:rFonts w:ascii="Palatino Linotype" w:eastAsia="Palatino Linotype" w:hAnsi="Palatino Linotype" w:cs="Palatino Linotype"/>
                <w:sz w:val="20"/>
              </w:rPr>
            </w:pPr>
            <w:r w:rsidRPr="00FA7506">
              <w:rPr>
                <w:rFonts w:ascii="Palatino Linotype" w:eastAsia="Palatino Linotype" w:hAnsi="Palatino Linotype" w:cs="Palatino Linotype"/>
                <w:sz w:val="20"/>
              </w:rPr>
              <w:lastRenderedPageBreak/>
              <w:t>b) Supuestos de clasificación.</w:t>
            </w:r>
          </w:p>
        </w:tc>
        <w:tc>
          <w:tcPr>
            <w:tcW w:w="7376"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right="49"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Las disposiciones constitucionales y legales en la materia establecen los dos supuestos generales para clasificar la información: por reserva y por confidencialidad.</w:t>
            </w:r>
          </w:p>
          <w:p w:rsidR="00892FCF" w:rsidRPr="00FA7506" w:rsidRDefault="00ED2233" w:rsidP="00021853">
            <w:pPr>
              <w:spacing w:line="360" w:lineRule="auto"/>
              <w:ind w:right="49"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92FCF" w:rsidRPr="00FA7506" w:rsidRDefault="00ED2233" w:rsidP="00021853">
            <w:pPr>
              <w:spacing w:line="360" w:lineRule="auto"/>
              <w:ind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rPr>
            </w:pPr>
            <w:r w:rsidRPr="00FA7506">
              <w:rPr>
                <w:rFonts w:ascii="Palatino Linotype" w:eastAsia="Palatino Linotype" w:hAnsi="Palatino Linotype" w:cs="Palatino Linotype"/>
                <w:color w:val="000000"/>
                <w:sz w:val="20"/>
              </w:rPr>
              <w:t xml:space="preserve">El </w:t>
            </w:r>
            <w:r w:rsidRPr="00FA7506">
              <w:rPr>
                <w:rFonts w:ascii="Palatino Linotype" w:eastAsia="Palatino Linotype" w:hAnsi="Palatino Linotype" w:cs="Palatino Linotype"/>
                <w:b/>
                <w:color w:val="000000"/>
                <w:sz w:val="20"/>
              </w:rPr>
              <w:t>Sujeto Obligado</w:t>
            </w:r>
            <w:r w:rsidRPr="00FA7506">
              <w:rPr>
                <w:rFonts w:ascii="Palatino Linotype" w:eastAsia="Palatino Linotype" w:hAnsi="Palatino Linotype" w:cs="Palatino Linotype"/>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92FCF" w:rsidRPr="00FA7506" w:rsidTr="00021853">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hanging="533"/>
              <w:rPr>
                <w:rFonts w:ascii="Palatino Linotype" w:eastAsia="Palatino Linotype" w:hAnsi="Palatino Linotype" w:cs="Palatino Linotype"/>
                <w:sz w:val="20"/>
              </w:rPr>
            </w:pPr>
            <w:r w:rsidRPr="00FA7506">
              <w:rPr>
                <w:rFonts w:ascii="Palatino Linotype" w:eastAsia="Palatino Linotype" w:hAnsi="Palatino Linotype" w:cs="Palatino Linotype"/>
                <w:sz w:val="20"/>
              </w:rPr>
              <w:t>c) Formalidades para emitir el acuerdo de clasificación.</w:t>
            </w:r>
          </w:p>
        </w:tc>
        <w:tc>
          <w:tcPr>
            <w:tcW w:w="7376"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right="49" w:hanging="533"/>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El Comité de Transparencia, según lo dispuesto en los artículos cuenta con las facultades para aprobar, modificar o revocar la clasificación de la información que haya propuesto. </w:t>
            </w:r>
          </w:p>
          <w:p w:rsidR="00892FCF" w:rsidRPr="00FA7506" w:rsidRDefault="00ED2233" w:rsidP="00021853">
            <w:pPr>
              <w:spacing w:line="360" w:lineRule="auto"/>
              <w:ind w:right="49" w:hanging="533"/>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Es necesario que </w:t>
            </w:r>
            <w:r w:rsidRPr="00FA7506">
              <w:rPr>
                <w:rFonts w:ascii="Palatino Linotype" w:eastAsia="Palatino Linotype" w:hAnsi="Palatino Linotype" w:cs="Palatino Linotype"/>
                <w:b/>
                <w:color w:val="000000"/>
                <w:sz w:val="20"/>
                <w:u w:val="single"/>
              </w:rPr>
              <w:t>el acto reúna con los requisitos elementales</w:t>
            </w:r>
            <w:r w:rsidRPr="00FA7506">
              <w:rPr>
                <w:rFonts w:ascii="Palatino Linotype" w:eastAsia="Palatino Linotype" w:hAnsi="Palatino Linotype" w:cs="Palatino Linotype"/>
                <w:color w:val="000000"/>
                <w:sz w:val="20"/>
              </w:rPr>
              <w:t>, entre ellos, que la autoridad que va a emitir el acto de autoridad sea la legalmente facultada para ello.</w:t>
            </w:r>
          </w:p>
          <w:p w:rsidR="00892FCF" w:rsidRPr="00FA7506" w:rsidRDefault="00ED2233" w:rsidP="00021853">
            <w:pPr>
              <w:spacing w:line="360" w:lineRule="auto"/>
              <w:ind w:hanging="533"/>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rPr>
            </w:pPr>
            <w:r w:rsidRPr="00FA7506">
              <w:rPr>
                <w:rFonts w:ascii="Palatino Linotype" w:eastAsia="Palatino Linotype" w:hAnsi="Palatino Linotype" w:cs="Palatino Linotype"/>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w:t>
            </w:r>
            <w:r w:rsidRPr="00FA7506">
              <w:rPr>
                <w:rFonts w:ascii="Palatino Linotype" w:eastAsia="Palatino Linotype" w:hAnsi="Palatino Linotype" w:cs="Palatino Linotype"/>
                <w:color w:val="000000"/>
                <w:sz w:val="20"/>
              </w:rPr>
              <w:lastRenderedPageBreak/>
              <w:t>las sesiones, se insiste, a partir de las decisiones adoptadas previamente por los titulares de áreas y que son sujetas a control, en primera instancia, por el Comité de Transparencia.</w:t>
            </w:r>
          </w:p>
        </w:tc>
      </w:tr>
      <w:tr w:rsidR="00892FCF" w:rsidRPr="00FA7506" w:rsidTr="00021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rsidR="00892FCF" w:rsidRPr="00FA7506" w:rsidRDefault="00892FCF" w:rsidP="00021853">
            <w:pPr>
              <w:spacing w:line="360" w:lineRule="auto"/>
              <w:ind w:hanging="533"/>
              <w:rPr>
                <w:rFonts w:ascii="Palatino Linotype" w:eastAsia="Palatino Linotype" w:hAnsi="Palatino Linotype" w:cs="Palatino Linotype"/>
                <w:sz w:val="20"/>
              </w:rPr>
            </w:pPr>
          </w:p>
          <w:p w:rsidR="00892FCF" w:rsidRPr="00FA7506" w:rsidRDefault="00ED2233" w:rsidP="00021853">
            <w:pPr>
              <w:spacing w:line="360" w:lineRule="auto"/>
              <w:ind w:hanging="533"/>
              <w:jc w:val="both"/>
              <w:rPr>
                <w:rFonts w:ascii="Palatino Linotype" w:eastAsia="Palatino Linotype" w:hAnsi="Palatino Linotype" w:cs="Palatino Linotype"/>
                <w:sz w:val="20"/>
              </w:rPr>
            </w:pPr>
            <w:r w:rsidRPr="00FA7506">
              <w:rPr>
                <w:rFonts w:ascii="Palatino Linotype" w:eastAsia="Palatino Linotype" w:hAnsi="Palatino Linotype" w:cs="Palatino Linotype"/>
                <w:color w:val="000000"/>
                <w:sz w:val="20"/>
              </w:rPr>
              <w:t xml:space="preserve">d) Requisitos de fondo del acuerdo de clasificación. </w:t>
            </w:r>
          </w:p>
        </w:tc>
        <w:tc>
          <w:tcPr>
            <w:tcW w:w="7376"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right="49"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A7506">
              <w:rPr>
                <w:rFonts w:ascii="Palatino Linotype" w:eastAsia="Palatino Linotype" w:hAnsi="Palatino Linotype" w:cs="Palatino Linotype"/>
                <w:b/>
                <w:color w:val="000000"/>
                <w:sz w:val="20"/>
              </w:rPr>
              <w:t>Sujetos Obligados</w:t>
            </w:r>
            <w:r w:rsidRPr="00FA7506">
              <w:rPr>
                <w:rFonts w:ascii="Palatino Linotype" w:eastAsia="Palatino Linotype" w:hAnsi="Palatino Linotype" w:cs="Palatino Linotype"/>
                <w:color w:val="000000"/>
                <w:sz w:val="20"/>
              </w:rPr>
              <w:t xml:space="preserve">, por lo que deberán fundar y motivar debidamente la clasificación. </w:t>
            </w:r>
          </w:p>
          <w:p w:rsidR="00892FCF" w:rsidRPr="00FA7506" w:rsidRDefault="00ED2233" w:rsidP="00021853">
            <w:pPr>
              <w:spacing w:line="360" w:lineRule="auto"/>
              <w:ind w:right="49"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De lo anterior, se desprende que para una correcta </w:t>
            </w:r>
            <w:r w:rsidRPr="00FA7506">
              <w:rPr>
                <w:rFonts w:ascii="Palatino Linotype" w:eastAsia="Palatino Linotype" w:hAnsi="Palatino Linotype" w:cs="Palatino Linotype"/>
                <w:b/>
                <w:color w:val="000000"/>
                <w:sz w:val="20"/>
              </w:rPr>
              <w:t>clasificación total o parcial</w:t>
            </w:r>
            <w:r w:rsidRPr="00FA7506">
              <w:rPr>
                <w:rFonts w:ascii="Palatino Linotype" w:eastAsia="Palatino Linotype" w:hAnsi="Palatino Linotype" w:cs="Palatino Linotype"/>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92FCF" w:rsidRPr="00FA7506" w:rsidRDefault="00ED2233" w:rsidP="00021853">
            <w:pPr>
              <w:spacing w:line="360" w:lineRule="auto"/>
              <w:ind w:right="49"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92FCF" w:rsidRPr="00FA7506" w:rsidRDefault="00ED2233" w:rsidP="00021853">
            <w:pPr>
              <w:spacing w:line="360" w:lineRule="auto"/>
              <w:ind w:right="49"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En ese mismo sentido, el numeral trigésimo tercero fracción V de los Lineamientos Generales, precisa que para motivar la clasificación se deben acreditar las circunstancias de tiempo, modo y lugar.</w:t>
            </w:r>
          </w:p>
          <w:p w:rsidR="00892FCF" w:rsidRPr="00FA7506" w:rsidRDefault="00ED2233" w:rsidP="00021853">
            <w:pPr>
              <w:spacing w:line="360" w:lineRule="auto"/>
              <w:ind w:right="49" w:hanging="533"/>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Ahora bien, </w:t>
            </w:r>
            <w:r w:rsidRPr="00FA7506">
              <w:rPr>
                <w:rFonts w:ascii="Palatino Linotype" w:eastAsia="Palatino Linotype" w:hAnsi="Palatino Linotype" w:cs="Palatino Linotype"/>
                <w:b/>
                <w:color w:val="000000"/>
                <w:sz w:val="20"/>
                <w:u w:val="single"/>
              </w:rPr>
              <w:t>para cada caso además de fundar y motivar</w:t>
            </w:r>
            <w:r w:rsidRPr="00FA7506">
              <w:rPr>
                <w:rFonts w:ascii="Palatino Linotype" w:eastAsia="Palatino Linotype" w:hAnsi="Palatino Linotype" w:cs="Palatino Linotype"/>
                <w:color w:val="000000"/>
                <w:sz w:val="20"/>
              </w:rPr>
              <w:t xml:space="preserve">, se debe identificar con claridad que datos contenidos en las documentales que son susceptibles de suprimirse, por ejemplo; Clave Única de Registro de Población (CURP), Registro Federal de Contribuyentes (R.F.C.), claves de seguros, préstamos o descuentos </w:t>
            </w:r>
            <w:r w:rsidRPr="00FA7506">
              <w:rPr>
                <w:rFonts w:ascii="Palatino Linotype" w:eastAsia="Palatino Linotype" w:hAnsi="Palatino Linotype" w:cs="Palatino Linotype"/>
                <w:color w:val="000000"/>
                <w:sz w:val="20"/>
              </w:rPr>
              <w:lastRenderedPageBreak/>
              <w:t>personales, secretos bancario, fiduciario, industrial, comercial, fiscal, bursátil y postal, cuya titularidad corresponda a particulares, entre otros.</w:t>
            </w:r>
          </w:p>
        </w:tc>
      </w:tr>
      <w:tr w:rsidR="00892FCF" w:rsidRPr="00FA7506" w:rsidTr="00021853">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right="49" w:hanging="533"/>
              <w:jc w:val="both"/>
              <w:rPr>
                <w:rFonts w:ascii="Palatino Linotype" w:eastAsia="Palatino Linotype" w:hAnsi="Palatino Linotype" w:cs="Palatino Linotype"/>
                <w:sz w:val="20"/>
              </w:rPr>
            </w:pPr>
            <w:r w:rsidRPr="00FA7506">
              <w:rPr>
                <w:rFonts w:ascii="Palatino Linotype" w:eastAsia="Palatino Linotype" w:hAnsi="Palatino Linotype" w:cs="Palatino Linotype"/>
                <w:sz w:val="20"/>
              </w:rPr>
              <w:lastRenderedPageBreak/>
              <w:t xml:space="preserve">e) Condiciones especiales de la clasificación de la información como confidencial. </w:t>
            </w:r>
          </w:p>
        </w:tc>
        <w:tc>
          <w:tcPr>
            <w:tcW w:w="7376" w:type="dxa"/>
            <w:tcBorders>
              <w:top w:val="single" w:sz="4" w:space="0" w:color="BFBFBF"/>
              <w:left w:val="single" w:sz="4" w:space="0" w:color="BFBFBF"/>
              <w:bottom w:val="single" w:sz="4" w:space="0" w:color="BFBFBF"/>
              <w:right w:val="single" w:sz="4" w:space="0" w:color="BFBFBF"/>
            </w:tcBorders>
          </w:tcPr>
          <w:p w:rsidR="00892FCF" w:rsidRPr="00FA7506" w:rsidRDefault="00ED2233" w:rsidP="00021853">
            <w:pPr>
              <w:spacing w:line="360" w:lineRule="auto"/>
              <w:ind w:right="49" w:hanging="533"/>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892FCF" w:rsidRPr="00FA7506" w:rsidRDefault="00ED2233" w:rsidP="00021853">
            <w:pPr>
              <w:spacing w:line="360" w:lineRule="auto"/>
              <w:ind w:right="49" w:hanging="533"/>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rPr>
            </w:pPr>
            <w:r w:rsidRPr="00FA7506">
              <w:rPr>
                <w:rFonts w:ascii="Palatino Linotype" w:eastAsia="Palatino Linotype" w:hAnsi="Palatino Linotype" w:cs="Palatino Linotype"/>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92FCF" w:rsidRPr="00FA7506" w:rsidRDefault="00ED2233" w:rsidP="00021853">
            <w:pPr>
              <w:spacing w:line="360" w:lineRule="auto"/>
              <w:ind w:hanging="533"/>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rPr>
            </w:pPr>
            <w:r w:rsidRPr="00FA7506">
              <w:rPr>
                <w:rFonts w:ascii="Palatino Linotype" w:eastAsia="Palatino Linotype" w:hAnsi="Palatino Linotype" w:cs="Palatino Linotype"/>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92FCF" w:rsidRPr="00FA7506" w:rsidRDefault="00892FCF">
      <w:pPr>
        <w:pBdr>
          <w:top w:val="nil"/>
          <w:left w:val="nil"/>
          <w:bottom w:val="nil"/>
          <w:right w:val="nil"/>
          <w:between w:val="nil"/>
        </w:pBdr>
        <w:tabs>
          <w:tab w:val="left" w:pos="284"/>
        </w:tabs>
        <w:rPr>
          <w:rFonts w:ascii="Palatino Linotype" w:eastAsia="Palatino Linotype" w:hAnsi="Palatino Linotype" w:cs="Palatino Linotype"/>
          <w:color w:val="000000"/>
        </w:rPr>
      </w:pPr>
    </w:p>
    <w:p w:rsidR="00892FCF" w:rsidRPr="00FA7506" w:rsidRDefault="00ED2233">
      <w:pPr>
        <w:numPr>
          <w:ilvl w:val="0"/>
          <w:numId w:val="1"/>
        </w:numPr>
        <w:tabs>
          <w:tab w:val="left" w:pos="284"/>
        </w:tabs>
        <w:spacing w:line="360" w:lineRule="auto"/>
        <w:ind w:left="0" w:right="49" w:firstLine="0"/>
        <w:jc w:val="both"/>
        <w:rPr>
          <w:rFonts w:ascii="Palatino Linotype" w:eastAsia="Palatino Linotype" w:hAnsi="Palatino Linotype" w:cs="Palatino Linotype"/>
          <w:color w:val="000000"/>
        </w:rPr>
      </w:pPr>
      <w:r w:rsidRPr="00FA7506">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numPr>
          <w:ilvl w:val="0"/>
          <w:numId w:val="1"/>
        </w:numPr>
        <w:tabs>
          <w:tab w:val="left" w:pos="284"/>
        </w:tabs>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t xml:space="preserve">Por lo tanto, en consecuencia y en mérito de lo expuesto en líneas anteriores, resultan fundadas las razones o motivos de inconformidad hechos valer por el </w:t>
      </w:r>
      <w:r w:rsidRPr="00FA7506">
        <w:rPr>
          <w:rFonts w:ascii="Palatino Linotype" w:eastAsia="Palatino Linotype" w:hAnsi="Palatino Linotype" w:cs="Palatino Linotype"/>
          <w:b/>
        </w:rPr>
        <w:t xml:space="preserve">RECURRENTE </w:t>
      </w:r>
      <w:r w:rsidRPr="00FA7506">
        <w:rPr>
          <w:rFonts w:ascii="Palatino Linotype" w:eastAsia="Palatino Linotype" w:hAnsi="Palatino Linotype" w:cs="Palatino Linotype"/>
        </w:rPr>
        <w:t xml:space="preserve">dentro del recurso de revisión </w:t>
      </w:r>
      <w:r w:rsidRPr="00FA7506">
        <w:rPr>
          <w:rFonts w:ascii="Palatino Linotype" w:eastAsia="Palatino Linotype" w:hAnsi="Palatino Linotype" w:cs="Palatino Linotype"/>
          <w:b/>
        </w:rPr>
        <w:t>05928/INFOEM/IP/RR/2024</w:t>
      </w:r>
      <w:r w:rsidRPr="00FA7506">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FA7506">
        <w:rPr>
          <w:rFonts w:ascii="Palatino Linotype" w:eastAsia="Palatino Linotype" w:hAnsi="Palatino Linotype" w:cs="Palatino Linotype"/>
          <w:b/>
        </w:rPr>
        <w:t xml:space="preserve">MODIFICA </w:t>
      </w:r>
      <w:r w:rsidRPr="00FA7506">
        <w:rPr>
          <w:rFonts w:ascii="Palatino Linotype" w:eastAsia="Palatino Linotype" w:hAnsi="Palatino Linotype" w:cs="Palatino Linotype"/>
        </w:rPr>
        <w:t>la respuesta a la solicitud de información</w:t>
      </w:r>
      <w:r w:rsidRPr="00FA7506">
        <w:rPr>
          <w:rFonts w:ascii="Palatino Linotype" w:eastAsia="Palatino Linotype" w:hAnsi="Palatino Linotype" w:cs="Palatino Linotype"/>
          <w:b/>
        </w:rPr>
        <w:t xml:space="preserve"> 01964/TOLUCA/IP/2024</w:t>
      </w:r>
      <w:r w:rsidRPr="00FA7506">
        <w:rPr>
          <w:rFonts w:ascii="Palatino Linotype" w:eastAsia="Palatino Linotype" w:hAnsi="Palatino Linotype" w:cs="Palatino Linotype"/>
        </w:rPr>
        <w:t>.</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bookmarkStart w:id="15" w:name="_heading=h.1ksv4uv" w:colFirst="0" w:colLast="0"/>
      <w:bookmarkEnd w:id="15"/>
    </w:p>
    <w:p w:rsidR="00892FCF" w:rsidRPr="00FA7506" w:rsidRDefault="00ED2233">
      <w:pPr>
        <w:numPr>
          <w:ilvl w:val="0"/>
          <w:numId w:val="1"/>
        </w:numPr>
        <w:tabs>
          <w:tab w:val="left" w:pos="284"/>
        </w:tabs>
        <w:spacing w:line="360" w:lineRule="auto"/>
        <w:ind w:left="0" w:right="49" w:firstLine="0"/>
        <w:jc w:val="both"/>
        <w:rPr>
          <w:rFonts w:ascii="Palatino Linotype" w:eastAsia="Palatino Linotype" w:hAnsi="Palatino Linotype" w:cs="Palatino Linotype"/>
        </w:rPr>
      </w:pPr>
      <w:r w:rsidRPr="00FA7506">
        <w:rPr>
          <w:rFonts w:ascii="Palatino Linotype" w:eastAsia="Palatino Linotype" w:hAnsi="Palatino Linotype" w:cs="Palatino Linotype"/>
        </w:rPr>
        <w:lastRenderedPageBreak/>
        <w:t xml:space="preserve">Por lo anteriormente expuesto y fundado, este </w:t>
      </w:r>
      <w:r w:rsidRPr="00FA7506">
        <w:rPr>
          <w:rFonts w:ascii="Palatino Linotype" w:eastAsia="Palatino Linotype" w:hAnsi="Palatino Linotype" w:cs="Palatino Linotype"/>
          <w:b/>
        </w:rPr>
        <w:t>ÓRGANO GARANTE</w:t>
      </w:r>
      <w:r w:rsidRPr="00FA7506">
        <w:rPr>
          <w:rFonts w:ascii="Palatino Linotype" w:eastAsia="Palatino Linotype" w:hAnsi="Palatino Linotype" w:cs="Palatino Linotype"/>
        </w:rPr>
        <w:t xml:space="preserve"> emite los siguientes:</w:t>
      </w:r>
    </w:p>
    <w:p w:rsidR="00892FCF" w:rsidRPr="00FA7506" w:rsidRDefault="00892FCF">
      <w:pPr>
        <w:pBdr>
          <w:top w:val="nil"/>
          <w:left w:val="nil"/>
          <w:bottom w:val="nil"/>
          <w:right w:val="nil"/>
          <w:between w:val="nil"/>
        </w:pBdr>
        <w:ind w:left="720"/>
        <w:rPr>
          <w:rFonts w:ascii="Palatino Linotype" w:eastAsia="Palatino Linotype" w:hAnsi="Palatino Linotype" w:cs="Palatino Linotype"/>
          <w:color w:val="000000"/>
        </w:rPr>
      </w:pPr>
    </w:p>
    <w:p w:rsidR="00892FCF" w:rsidRPr="00FA7506" w:rsidRDefault="00ED2233">
      <w:pPr>
        <w:pStyle w:val="Ttulo1"/>
        <w:spacing w:before="0" w:line="360" w:lineRule="auto"/>
        <w:jc w:val="center"/>
        <w:rPr>
          <w:rFonts w:ascii="Palatino Linotype" w:eastAsia="Palatino Linotype" w:hAnsi="Palatino Linotype" w:cs="Palatino Linotype"/>
          <w:b/>
          <w:color w:val="000000"/>
          <w:sz w:val="24"/>
          <w:szCs w:val="24"/>
        </w:rPr>
      </w:pPr>
      <w:r w:rsidRPr="00FA7506">
        <w:rPr>
          <w:rFonts w:ascii="Palatino Linotype" w:eastAsia="Palatino Linotype" w:hAnsi="Palatino Linotype" w:cs="Palatino Linotype"/>
          <w:b/>
          <w:color w:val="000000"/>
          <w:sz w:val="24"/>
          <w:szCs w:val="24"/>
        </w:rPr>
        <w:t>R E S O L U T I V O S</w:t>
      </w:r>
    </w:p>
    <w:p w:rsidR="00892FCF" w:rsidRPr="00FA7506" w:rsidRDefault="00892FCF">
      <w:pPr>
        <w:spacing w:line="360" w:lineRule="auto"/>
        <w:rPr>
          <w:rFonts w:ascii="Palatino Linotype" w:eastAsia="Palatino Linotype" w:hAnsi="Palatino Linotype" w:cs="Palatino Linotype"/>
        </w:rPr>
      </w:pPr>
    </w:p>
    <w:p w:rsidR="00892FCF" w:rsidRPr="00FA7506" w:rsidRDefault="00ED2233">
      <w:pPr>
        <w:spacing w:line="360" w:lineRule="auto"/>
        <w:jc w:val="both"/>
        <w:rPr>
          <w:rFonts w:ascii="Palatino Linotype" w:eastAsia="Palatino Linotype" w:hAnsi="Palatino Linotype" w:cs="Palatino Linotype"/>
        </w:rPr>
      </w:pPr>
      <w:r w:rsidRPr="00FA7506">
        <w:rPr>
          <w:rFonts w:ascii="Palatino Linotype" w:eastAsia="Palatino Linotype" w:hAnsi="Palatino Linotype" w:cs="Palatino Linotype"/>
          <w:b/>
        </w:rPr>
        <w:t>PRIMERO</w:t>
      </w:r>
      <w:r w:rsidRPr="00FA7506">
        <w:rPr>
          <w:rFonts w:ascii="Palatino Linotype" w:eastAsia="Palatino Linotype" w:hAnsi="Palatino Linotype" w:cs="Palatino Linotype"/>
        </w:rPr>
        <w:t xml:space="preserve">. Resultan fundadas las razones o motivos de inconformidad hechos valer en el Recurso de Revisión </w:t>
      </w:r>
      <w:r w:rsidRPr="00FA7506">
        <w:rPr>
          <w:rFonts w:ascii="Palatino Linotype" w:eastAsia="Palatino Linotype" w:hAnsi="Palatino Linotype" w:cs="Palatino Linotype"/>
          <w:b/>
        </w:rPr>
        <w:t xml:space="preserve">05928/INFOEM/IP/RR/2024, </w:t>
      </w:r>
      <w:r w:rsidRPr="00FA7506">
        <w:rPr>
          <w:rFonts w:ascii="Palatino Linotype" w:eastAsia="Palatino Linotype" w:hAnsi="Palatino Linotype" w:cs="Palatino Linotype"/>
        </w:rPr>
        <w:t xml:space="preserve">en términos de los Considerandos </w:t>
      </w:r>
      <w:r w:rsidRPr="00FA7506">
        <w:rPr>
          <w:rFonts w:ascii="Palatino Linotype" w:eastAsia="Palatino Linotype" w:hAnsi="Palatino Linotype" w:cs="Palatino Linotype"/>
          <w:b/>
        </w:rPr>
        <w:t xml:space="preserve">Cuarto y Quinto </w:t>
      </w:r>
      <w:r w:rsidRPr="00FA7506">
        <w:rPr>
          <w:rFonts w:ascii="Palatino Linotype" w:eastAsia="Palatino Linotype" w:hAnsi="Palatino Linotype" w:cs="Palatino Linotype"/>
        </w:rPr>
        <w:t xml:space="preserve">de la presente resolución. </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spacing w:line="360" w:lineRule="auto"/>
        <w:jc w:val="both"/>
        <w:rPr>
          <w:rFonts w:ascii="Palatino Linotype" w:eastAsia="Palatino Linotype" w:hAnsi="Palatino Linotype" w:cs="Palatino Linotype"/>
          <w:color w:val="000000"/>
        </w:rPr>
      </w:pPr>
      <w:bookmarkStart w:id="16" w:name="_heading=h.44sinio" w:colFirst="0" w:colLast="0"/>
      <w:bookmarkEnd w:id="16"/>
      <w:r w:rsidRPr="00FA7506">
        <w:rPr>
          <w:rFonts w:ascii="Palatino Linotype" w:eastAsia="Palatino Linotype" w:hAnsi="Palatino Linotype" w:cs="Palatino Linotype"/>
          <w:b/>
        </w:rPr>
        <w:t xml:space="preserve">SEGUNDO. </w:t>
      </w:r>
      <w:r w:rsidRPr="00FA7506">
        <w:rPr>
          <w:rFonts w:ascii="Palatino Linotype" w:eastAsia="Palatino Linotype" w:hAnsi="Palatino Linotype" w:cs="Palatino Linotype"/>
          <w:color w:val="000000"/>
        </w:rPr>
        <w:t xml:space="preserve">Se </w:t>
      </w:r>
      <w:r w:rsidRPr="00FA7506">
        <w:rPr>
          <w:rFonts w:ascii="Palatino Linotype" w:eastAsia="Palatino Linotype" w:hAnsi="Palatino Linotype" w:cs="Palatino Linotype"/>
          <w:b/>
          <w:color w:val="000000"/>
        </w:rPr>
        <w:t xml:space="preserve">MODIFICA </w:t>
      </w:r>
      <w:r w:rsidRPr="00FA7506">
        <w:rPr>
          <w:rFonts w:ascii="Palatino Linotype" w:eastAsia="Palatino Linotype" w:hAnsi="Palatino Linotype" w:cs="Palatino Linotype"/>
          <w:color w:val="000000"/>
        </w:rPr>
        <w:t xml:space="preserve">la respuesta emitida por el </w:t>
      </w:r>
      <w:r w:rsidRPr="00FA7506">
        <w:rPr>
          <w:rFonts w:ascii="Palatino Linotype" w:eastAsia="Palatino Linotype" w:hAnsi="Palatino Linotype" w:cs="Palatino Linotype"/>
          <w:b/>
          <w:color w:val="000000"/>
        </w:rPr>
        <w:t xml:space="preserve">Ayuntamiento de Toluca </w:t>
      </w:r>
      <w:r w:rsidRPr="00FA7506">
        <w:rPr>
          <w:rFonts w:ascii="Palatino Linotype" w:eastAsia="Palatino Linotype" w:hAnsi="Palatino Linotype" w:cs="Palatino Linotype"/>
          <w:color w:val="000000"/>
        </w:rPr>
        <w:t xml:space="preserve">y se </w:t>
      </w:r>
      <w:r w:rsidRPr="00FA7506">
        <w:rPr>
          <w:rFonts w:ascii="Palatino Linotype" w:eastAsia="Palatino Linotype" w:hAnsi="Palatino Linotype" w:cs="Palatino Linotype"/>
          <w:b/>
          <w:color w:val="000000"/>
        </w:rPr>
        <w:t>ORDENA</w:t>
      </w:r>
      <w:r w:rsidRPr="00FA7506">
        <w:rPr>
          <w:rFonts w:ascii="Palatino Linotype" w:eastAsia="Palatino Linotype" w:hAnsi="Palatino Linotype" w:cs="Palatino Linotype"/>
          <w:color w:val="000000"/>
        </w:rPr>
        <w:t xml:space="preserve"> entregar </w:t>
      </w:r>
      <w:r w:rsidRPr="00FA7506">
        <w:rPr>
          <w:rFonts w:ascii="Palatino Linotype" w:eastAsia="Palatino Linotype" w:hAnsi="Palatino Linotype" w:cs="Palatino Linotype"/>
          <w:b/>
          <w:color w:val="000000"/>
        </w:rPr>
        <w:t xml:space="preserve">vía SAIMEX,  </w:t>
      </w:r>
      <w:r w:rsidRPr="00FA7506">
        <w:rPr>
          <w:rFonts w:ascii="Palatino Linotype" w:eastAsia="Palatino Linotype" w:hAnsi="Palatino Linotype" w:cs="Palatino Linotype"/>
          <w:color w:val="000000"/>
        </w:rPr>
        <w:t xml:space="preserve">la siguiente información. </w:t>
      </w:r>
    </w:p>
    <w:p w:rsidR="00892FCF" w:rsidRPr="00FA7506" w:rsidRDefault="00892FCF">
      <w:pPr>
        <w:spacing w:line="360" w:lineRule="auto"/>
        <w:jc w:val="both"/>
        <w:rPr>
          <w:rFonts w:ascii="Palatino Linotype" w:eastAsia="Palatino Linotype" w:hAnsi="Palatino Linotype" w:cs="Palatino Linotype"/>
          <w:b/>
        </w:rPr>
      </w:pPr>
    </w:p>
    <w:p w:rsidR="00892FCF" w:rsidRPr="00FA7506" w:rsidRDefault="00ED223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17" w:name="_heading=h.2jxsxqh" w:colFirst="0" w:colLast="0"/>
      <w:bookmarkEnd w:id="17"/>
      <w:r w:rsidRPr="00FA7506">
        <w:rPr>
          <w:rFonts w:ascii="Palatino Linotype" w:eastAsia="Palatino Linotype" w:hAnsi="Palatino Linotype" w:cs="Palatino Linotype"/>
          <w:b/>
          <w:color w:val="000000"/>
        </w:rPr>
        <w:t xml:space="preserve">Documento que acredita la propiedad de la Unidad Deportiva ubicada en San Pablo </w:t>
      </w:r>
      <w:proofErr w:type="spellStart"/>
      <w:r w:rsidRPr="00FA7506">
        <w:rPr>
          <w:rFonts w:ascii="Palatino Linotype" w:eastAsia="Palatino Linotype" w:hAnsi="Palatino Linotype" w:cs="Palatino Linotype"/>
          <w:b/>
          <w:color w:val="000000"/>
        </w:rPr>
        <w:t>Autopan</w:t>
      </w:r>
      <w:proofErr w:type="spellEnd"/>
      <w:r w:rsidRPr="00FA7506">
        <w:rPr>
          <w:rFonts w:ascii="Palatino Linotype" w:eastAsia="Palatino Linotype" w:hAnsi="Palatino Linotype" w:cs="Palatino Linotype"/>
          <w:b/>
          <w:color w:val="000000"/>
        </w:rPr>
        <w:t xml:space="preserve">, entregado en respuesta en una correcta versión pública. </w:t>
      </w:r>
    </w:p>
    <w:p w:rsidR="00892FCF" w:rsidRPr="00FA7506" w:rsidRDefault="00892FCF">
      <w:pPr>
        <w:pBdr>
          <w:top w:val="nil"/>
          <w:left w:val="nil"/>
          <w:bottom w:val="nil"/>
          <w:right w:val="nil"/>
          <w:between w:val="nil"/>
        </w:pBdr>
        <w:spacing w:line="360" w:lineRule="auto"/>
        <w:jc w:val="both"/>
        <w:rPr>
          <w:rFonts w:ascii="Palatino Linotype" w:eastAsia="Palatino Linotype" w:hAnsi="Palatino Linotype" w:cs="Palatino Linotype"/>
          <w:b/>
        </w:rPr>
      </w:pPr>
      <w:bookmarkStart w:id="18" w:name="_heading=h.2r17pjfq7o1i" w:colFirst="0" w:colLast="0"/>
      <w:bookmarkEnd w:id="18"/>
    </w:p>
    <w:p w:rsidR="00892FCF" w:rsidRPr="00FA7506" w:rsidRDefault="00ED2233">
      <w:pPr>
        <w:spacing w:line="360" w:lineRule="auto"/>
        <w:ind w:right="40"/>
        <w:jc w:val="both"/>
        <w:rPr>
          <w:rFonts w:ascii="Palatino Linotype" w:eastAsia="Palatino Linotype" w:hAnsi="Palatino Linotype" w:cs="Palatino Linotype"/>
          <w:b/>
        </w:rPr>
      </w:pPr>
      <w:r w:rsidRPr="00FA7506">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892FCF" w:rsidRPr="00FA7506" w:rsidRDefault="00892FCF">
      <w:pPr>
        <w:tabs>
          <w:tab w:val="left" w:pos="8080"/>
        </w:tabs>
        <w:spacing w:line="360" w:lineRule="auto"/>
        <w:ind w:right="49"/>
        <w:jc w:val="both"/>
        <w:rPr>
          <w:rFonts w:ascii="Palatino Linotype" w:eastAsia="Palatino Linotype" w:hAnsi="Palatino Linotype" w:cs="Palatino Linotype"/>
        </w:rPr>
      </w:pPr>
      <w:bookmarkStart w:id="19" w:name="_heading=h.z337ya" w:colFirst="0" w:colLast="0"/>
      <w:bookmarkEnd w:id="19"/>
    </w:p>
    <w:p w:rsidR="00892FCF" w:rsidRPr="00FA7506" w:rsidRDefault="00ED2233">
      <w:pPr>
        <w:tabs>
          <w:tab w:val="left" w:pos="8080"/>
        </w:tabs>
        <w:spacing w:line="360" w:lineRule="auto"/>
        <w:ind w:right="49"/>
        <w:jc w:val="both"/>
        <w:rPr>
          <w:rFonts w:ascii="Palatino Linotype" w:eastAsia="Palatino Linotype" w:hAnsi="Palatino Linotype" w:cs="Palatino Linotype"/>
        </w:rPr>
      </w:pPr>
      <w:r w:rsidRPr="00FA7506">
        <w:rPr>
          <w:rFonts w:ascii="Palatino Linotype" w:eastAsia="Palatino Linotype" w:hAnsi="Palatino Linotype" w:cs="Palatino Linotype"/>
          <w:b/>
        </w:rPr>
        <w:t xml:space="preserve">TERCERO. </w:t>
      </w:r>
      <w:r w:rsidRPr="00FA7506">
        <w:rPr>
          <w:rFonts w:ascii="Palatino Linotype" w:eastAsia="Palatino Linotype" w:hAnsi="Palatino Linotype" w:cs="Palatino Linotype"/>
          <w:b/>
          <w:color w:val="222222"/>
        </w:rPr>
        <w:t>NOTIFÍQUESE</w:t>
      </w:r>
      <w:r w:rsidRPr="00FA7506">
        <w:rPr>
          <w:rFonts w:ascii="Palatino Linotype" w:eastAsia="Palatino Linotype" w:hAnsi="Palatino Linotype" w:cs="Palatino Linotype"/>
          <w:color w:val="222222"/>
        </w:rPr>
        <w:t xml:space="preserve"> </w:t>
      </w:r>
      <w:r w:rsidRPr="00FA7506">
        <w:rPr>
          <w:rFonts w:ascii="Palatino Linotype" w:eastAsia="Palatino Linotype" w:hAnsi="Palatino Linotype" w:cs="Palatino Linotype"/>
          <w:b/>
          <w:color w:val="222222"/>
        </w:rPr>
        <w:t>vía SAIMEX</w:t>
      </w:r>
      <w:r w:rsidRPr="00FA7506">
        <w:rPr>
          <w:rFonts w:ascii="Palatino Linotype" w:eastAsia="Palatino Linotype" w:hAnsi="Palatino Linotype" w:cs="Palatino Linotype"/>
          <w:color w:val="222222"/>
        </w:rPr>
        <w:t xml:space="preserve"> la presente resolución al Titular de la Unidad de Transparencia del Sujeto Obligado, para que conforme al artículo 186 último párrafo, 189 </w:t>
      </w:r>
      <w:r w:rsidRPr="00FA7506">
        <w:rPr>
          <w:rFonts w:ascii="Palatino Linotype" w:eastAsia="Palatino Linotype" w:hAnsi="Palatino Linotype" w:cs="Palatino Linotype"/>
          <w:color w:val="222222"/>
        </w:rPr>
        <w:lastRenderedPageBreak/>
        <w:t xml:space="preserve">segundo párrafo y 194 de la Ley de Transparencia y Acceso a la Información Pública del Estado de México y Municipios; </w:t>
      </w:r>
      <w:r w:rsidRPr="00FA7506">
        <w:rPr>
          <w:rFonts w:ascii="Palatino Linotype" w:eastAsia="Palatino Linotype" w:hAnsi="Palatino Linotype" w:cs="Palatino Linotype"/>
          <w:b/>
          <w:color w:val="222222"/>
        </w:rPr>
        <w:t>dé cumplimiento a lo ordenado dentro del plazo de diez días hábiles,</w:t>
      </w:r>
      <w:r w:rsidRPr="00FA7506">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FA7506">
        <w:rPr>
          <w:rFonts w:ascii="Palatino Linotype" w:eastAsia="Palatino Linotype" w:hAnsi="Palatino Linotype" w:cs="Palatino Linotype"/>
        </w:rPr>
        <w:t>.</w:t>
      </w:r>
    </w:p>
    <w:p w:rsidR="00892FCF" w:rsidRPr="00FA7506" w:rsidRDefault="00892FCF">
      <w:pPr>
        <w:tabs>
          <w:tab w:val="left" w:pos="8080"/>
        </w:tabs>
        <w:spacing w:line="360" w:lineRule="auto"/>
        <w:ind w:right="49"/>
        <w:jc w:val="both"/>
        <w:rPr>
          <w:rFonts w:ascii="Palatino Linotype" w:eastAsia="Palatino Linotype" w:hAnsi="Palatino Linotype" w:cs="Palatino Linotype"/>
        </w:rPr>
      </w:pPr>
    </w:p>
    <w:p w:rsidR="00892FCF" w:rsidRPr="00FA7506" w:rsidRDefault="00ED2233">
      <w:pPr>
        <w:spacing w:line="360" w:lineRule="auto"/>
        <w:jc w:val="both"/>
        <w:rPr>
          <w:rFonts w:ascii="Palatino Linotype" w:eastAsia="Palatino Linotype" w:hAnsi="Palatino Linotype" w:cs="Palatino Linotype"/>
        </w:rPr>
      </w:pPr>
      <w:r w:rsidRPr="00FA7506">
        <w:rPr>
          <w:rFonts w:ascii="Palatino Linotype" w:eastAsia="Palatino Linotype" w:hAnsi="Palatino Linotype" w:cs="Palatino Linotype"/>
          <w:b/>
        </w:rPr>
        <w:t xml:space="preserve">CUARTO. </w:t>
      </w:r>
      <w:r w:rsidRPr="00FA750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A7506">
        <w:rPr>
          <w:rFonts w:ascii="Palatino Linotype" w:eastAsia="Palatino Linotype" w:hAnsi="Palatino Linotype" w:cs="Palatino Linotype"/>
          <w:b/>
        </w:rPr>
        <w:t>SUJETO OBLIGADO</w:t>
      </w:r>
      <w:r w:rsidRPr="00FA7506">
        <w:rPr>
          <w:rFonts w:ascii="Palatino Linotype" w:eastAsia="Palatino Linotype" w:hAnsi="Palatino Linotype" w:cs="Palatino Linotype"/>
        </w:rPr>
        <w:t xml:space="preserve"> de manera fundada y motivada, podrá solicitar una ampliación de plazo para el cumplimiento de la presente resolución.</w:t>
      </w:r>
    </w:p>
    <w:p w:rsidR="00892FCF" w:rsidRPr="00FA7506" w:rsidRDefault="00892FCF">
      <w:pPr>
        <w:spacing w:line="360" w:lineRule="auto"/>
        <w:jc w:val="both"/>
        <w:rPr>
          <w:rFonts w:ascii="Palatino Linotype" w:eastAsia="Palatino Linotype" w:hAnsi="Palatino Linotype" w:cs="Palatino Linotype"/>
        </w:rPr>
      </w:pPr>
    </w:p>
    <w:p w:rsidR="00892FCF" w:rsidRPr="00FA7506" w:rsidRDefault="00ED2233">
      <w:pPr>
        <w:tabs>
          <w:tab w:val="left" w:pos="8080"/>
        </w:tabs>
        <w:spacing w:line="360" w:lineRule="auto"/>
        <w:ind w:right="49"/>
        <w:jc w:val="both"/>
        <w:rPr>
          <w:rFonts w:ascii="Palatino Linotype" w:eastAsia="Palatino Linotype" w:hAnsi="Palatino Linotype" w:cs="Palatino Linotype"/>
        </w:rPr>
      </w:pPr>
      <w:bookmarkStart w:id="20" w:name="_heading=h.3j2qqm3" w:colFirst="0" w:colLast="0"/>
      <w:bookmarkEnd w:id="20"/>
      <w:r w:rsidRPr="00FA7506">
        <w:rPr>
          <w:rFonts w:ascii="Palatino Linotype" w:eastAsia="Palatino Linotype" w:hAnsi="Palatino Linotype" w:cs="Palatino Linotype"/>
          <w:b/>
        </w:rPr>
        <w:t xml:space="preserve">QUINTO. </w:t>
      </w:r>
      <w:r w:rsidRPr="00FA7506">
        <w:rPr>
          <w:rFonts w:ascii="Palatino Linotype" w:eastAsia="Palatino Linotype" w:hAnsi="Palatino Linotype" w:cs="Palatino Linotype"/>
        </w:rPr>
        <w:t xml:space="preserve">Notifíquese a </w:t>
      </w:r>
      <w:r w:rsidRPr="00FA7506">
        <w:rPr>
          <w:rFonts w:ascii="Palatino Linotype" w:eastAsia="Palatino Linotype" w:hAnsi="Palatino Linotype" w:cs="Palatino Linotype"/>
          <w:b/>
        </w:rPr>
        <w:t>EL RECURRENTE</w:t>
      </w:r>
      <w:r w:rsidRPr="00FA7506">
        <w:rPr>
          <w:rFonts w:ascii="Palatino Linotype" w:eastAsia="Palatino Linotype" w:hAnsi="Palatino Linotype" w:cs="Palatino Linotype"/>
        </w:rPr>
        <w:t xml:space="preserve"> la presente resolución, vía SAIMEX.</w:t>
      </w:r>
    </w:p>
    <w:p w:rsidR="00892FCF" w:rsidRPr="00FA7506" w:rsidRDefault="00892FCF">
      <w:pPr>
        <w:tabs>
          <w:tab w:val="left" w:pos="8080"/>
        </w:tabs>
        <w:spacing w:line="360" w:lineRule="auto"/>
        <w:ind w:right="49"/>
        <w:jc w:val="both"/>
        <w:rPr>
          <w:rFonts w:ascii="Palatino Linotype" w:eastAsia="Palatino Linotype" w:hAnsi="Palatino Linotype" w:cs="Palatino Linotype"/>
        </w:rPr>
      </w:pPr>
    </w:p>
    <w:p w:rsidR="00892FCF" w:rsidRPr="00FA7506" w:rsidRDefault="00ED2233">
      <w:pPr>
        <w:shd w:val="clear" w:color="auto" w:fill="FFFFFF"/>
        <w:spacing w:line="360" w:lineRule="auto"/>
        <w:jc w:val="both"/>
        <w:rPr>
          <w:rFonts w:ascii="Palatino Linotype" w:eastAsia="Palatino Linotype" w:hAnsi="Palatino Linotype" w:cs="Palatino Linotype"/>
        </w:rPr>
      </w:pPr>
      <w:r w:rsidRPr="00FA7506">
        <w:rPr>
          <w:rFonts w:ascii="Palatino Linotype" w:eastAsia="Palatino Linotype" w:hAnsi="Palatino Linotype" w:cs="Palatino Linotype"/>
          <w:b/>
        </w:rPr>
        <w:t xml:space="preserve">SEXTO. </w:t>
      </w:r>
      <w:r w:rsidRPr="00FA7506">
        <w:rPr>
          <w:rFonts w:ascii="Palatino Linotype" w:eastAsia="Palatino Linotype" w:hAnsi="Palatino Linotype" w:cs="Palatino Linotype"/>
        </w:rPr>
        <w:t xml:space="preserve">Se hace del conocimiento de </w:t>
      </w:r>
      <w:r w:rsidRPr="00FA7506">
        <w:rPr>
          <w:rFonts w:ascii="Palatino Linotype" w:eastAsia="Palatino Linotype" w:hAnsi="Palatino Linotype" w:cs="Palatino Linotype"/>
          <w:b/>
        </w:rPr>
        <w:t>EL RECURRENTE</w:t>
      </w:r>
      <w:r w:rsidRPr="00FA7506">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92FCF" w:rsidRPr="00FA7506" w:rsidRDefault="00892FCF">
      <w:pPr>
        <w:shd w:val="clear" w:color="auto" w:fill="FFFFFF"/>
        <w:spacing w:line="360" w:lineRule="auto"/>
        <w:jc w:val="both"/>
        <w:rPr>
          <w:rFonts w:ascii="Palatino Linotype" w:eastAsia="Palatino Linotype" w:hAnsi="Palatino Linotype" w:cs="Palatino Linotype"/>
        </w:rPr>
      </w:pPr>
    </w:p>
    <w:p w:rsidR="00001AE9" w:rsidRPr="003C7186" w:rsidRDefault="00001AE9" w:rsidP="00001AE9">
      <w:pPr>
        <w:spacing w:line="360" w:lineRule="auto"/>
        <w:ind w:left="-142" w:right="-234" w:firstLine="1"/>
        <w:jc w:val="both"/>
        <w:rPr>
          <w:rFonts w:ascii="Palatino Linotype" w:hAnsi="Palatino Linotype"/>
        </w:rPr>
      </w:pPr>
      <w:r w:rsidRPr="00FA750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w:t>
      </w:r>
      <w:r w:rsidRPr="00FA7506">
        <w:rPr>
          <w:rFonts w:ascii="Palatino Linotype" w:hAnsi="Palatino Linotype"/>
        </w:rPr>
        <w:lastRenderedPageBreak/>
        <w:t>COMISIONADOS JOSÉ MARTÍNEZ VILCHIS; MARÍA DEL ROSARIO MEJÍA AYALA; SHARON CRISTINA MORALES MARTÍNEZ; LUIS GUSTAVO PARRA NORIEGA Y GUADALUPE RAMÍREZ PEÑA; EN LA CUADRAGÉSIMA PRIMERA SESIÓN ORDINARIA CELEBRADA EL VEINTISIETE (27) DE NOVIEMBRE DE DOS MIL VEINTICUATRO, ANTE EL SECRETARIO TÉCNICO DEL PLENO ALEXIS TAPIA RAMÍREZ.</w:t>
      </w:r>
      <w:bookmarkStart w:id="21" w:name="_GoBack"/>
      <w:bookmarkEnd w:id="21"/>
      <w:r w:rsidRPr="003C7186">
        <w:rPr>
          <w:rFonts w:ascii="Palatino Linotype" w:hAnsi="Palatino Linotype"/>
        </w:rPr>
        <w:t xml:space="preserve"> </w:t>
      </w: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jc w:val="both"/>
        <w:rPr>
          <w:rFonts w:ascii="Palatino Linotype" w:eastAsia="Palatino Linotype" w:hAnsi="Palatino Linotype" w:cs="Palatino Linotype"/>
        </w:rPr>
      </w:pPr>
    </w:p>
    <w:p w:rsidR="00892FCF" w:rsidRPr="00EA5B46" w:rsidRDefault="00892FCF">
      <w:pPr>
        <w:spacing w:line="360" w:lineRule="auto"/>
        <w:rPr>
          <w:rFonts w:ascii="Palatino Linotype" w:eastAsia="Palatino Linotype" w:hAnsi="Palatino Linotype" w:cs="Palatino Linotype"/>
        </w:rPr>
      </w:pPr>
    </w:p>
    <w:p w:rsidR="00892FCF" w:rsidRPr="00EA5B46" w:rsidRDefault="00892FCF">
      <w:pPr>
        <w:spacing w:line="360" w:lineRule="auto"/>
        <w:rPr>
          <w:rFonts w:ascii="Palatino Linotype" w:eastAsia="Palatino Linotype" w:hAnsi="Palatino Linotype" w:cs="Palatino Linotype"/>
        </w:rPr>
      </w:pPr>
    </w:p>
    <w:p w:rsidR="00892FCF" w:rsidRPr="00EA5B46" w:rsidRDefault="00892FCF">
      <w:pPr>
        <w:spacing w:line="360" w:lineRule="auto"/>
        <w:rPr>
          <w:rFonts w:ascii="Palatino Linotype" w:eastAsia="Palatino Linotype" w:hAnsi="Palatino Linotype" w:cs="Palatino Linotype"/>
        </w:rPr>
      </w:pPr>
    </w:p>
    <w:p w:rsidR="00892FCF" w:rsidRPr="00EA5B46" w:rsidRDefault="00892FCF">
      <w:pPr>
        <w:spacing w:line="360" w:lineRule="auto"/>
        <w:rPr>
          <w:rFonts w:ascii="Palatino Linotype" w:eastAsia="Palatino Linotype" w:hAnsi="Palatino Linotype" w:cs="Palatino Linotype"/>
        </w:rPr>
      </w:pPr>
    </w:p>
    <w:p w:rsidR="00892FCF" w:rsidRPr="00EA5B46" w:rsidRDefault="00892FCF">
      <w:pPr>
        <w:spacing w:line="360" w:lineRule="auto"/>
        <w:rPr>
          <w:rFonts w:ascii="Palatino Linotype" w:eastAsia="Palatino Linotype" w:hAnsi="Palatino Linotype" w:cs="Palatino Linotype"/>
        </w:rPr>
      </w:pPr>
    </w:p>
    <w:p w:rsidR="00892FCF" w:rsidRPr="00EA5B46" w:rsidRDefault="00892FCF">
      <w:pPr>
        <w:spacing w:line="360" w:lineRule="auto"/>
        <w:rPr>
          <w:rFonts w:ascii="Palatino Linotype" w:eastAsia="Palatino Linotype" w:hAnsi="Palatino Linotype" w:cs="Palatino Linotype"/>
        </w:rPr>
      </w:pPr>
    </w:p>
    <w:p w:rsidR="00892FCF" w:rsidRPr="00EA5B46" w:rsidRDefault="00892FCF">
      <w:pPr>
        <w:spacing w:line="360" w:lineRule="auto"/>
        <w:rPr>
          <w:rFonts w:ascii="Palatino Linotype" w:eastAsia="Palatino Linotype" w:hAnsi="Palatino Linotype" w:cs="Palatino Linotype"/>
        </w:rPr>
      </w:pPr>
    </w:p>
    <w:p w:rsidR="00892FCF" w:rsidRPr="00EA5B46" w:rsidRDefault="00ED2233">
      <w:pPr>
        <w:tabs>
          <w:tab w:val="left" w:pos="3374"/>
        </w:tabs>
        <w:spacing w:line="360" w:lineRule="auto"/>
        <w:rPr>
          <w:rFonts w:ascii="Palatino Linotype" w:eastAsia="Palatino Linotype" w:hAnsi="Palatino Linotype" w:cs="Palatino Linotype"/>
        </w:rPr>
      </w:pPr>
      <w:r w:rsidRPr="00EA5B46">
        <w:rPr>
          <w:rFonts w:ascii="Palatino Linotype" w:eastAsia="Palatino Linotype" w:hAnsi="Palatino Linotype" w:cs="Palatino Linotype"/>
        </w:rPr>
        <w:tab/>
      </w: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Pr>
        <w:tabs>
          <w:tab w:val="left" w:pos="3374"/>
        </w:tabs>
        <w:spacing w:line="360" w:lineRule="auto"/>
        <w:rPr>
          <w:rFonts w:ascii="Palatino Linotype" w:eastAsia="Palatino Linotype" w:hAnsi="Palatino Linotype" w:cs="Palatino Linotype"/>
        </w:rPr>
      </w:pPr>
    </w:p>
    <w:p w:rsidR="00892FCF" w:rsidRPr="00EA5B46" w:rsidRDefault="00892FCF"/>
    <w:p w:rsidR="00892FCF" w:rsidRPr="00EA5B46" w:rsidRDefault="00ED2233">
      <w:r w:rsidRPr="00EA5B46">
        <w:t xml:space="preserve">  </w:t>
      </w:r>
    </w:p>
    <w:p w:rsidR="00892FCF" w:rsidRPr="00EA5B46" w:rsidRDefault="00892FCF"/>
    <w:sectPr w:rsidR="00892FCF" w:rsidRPr="00EA5B46" w:rsidSect="00EA5B46">
      <w:headerReference w:type="even" r:id="rId12"/>
      <w:headerReference w:type="default" r:id="rId13"/>
      <w:footerReference w:type="default" r:id="rId14"/>
      <w:headerReference w:type="first" r:id="rId15"/>
      <w:footerReference w:type="first" r:id="rId16"/>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377" w:rsidRDefault="000C1377">
      <w:r>
        <w:separator/>
      </w:r>
    </w:p>
  </w:endnote>
  <w:endnote w:type="continuationSeparator" w:id="0">
    <w:p w:rsidR="000C1377" w:rsidRDefault="000C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FCF" w:rsidRDefault="00ED223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A7506">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A7506">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rsidR="00892FCF" w:rsidRDefault="00892FC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FCF" w:rsidRDefault="00ED223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A7506">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A7506">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rsidR="00892FCF" w:rsidRDefault="00892FC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377" w:rsidRDefault="000C1377">
      <w:r>
        <w:separator/>
      </w:r>
    </w:p>
  </w:footnote>
  <w:footnote w:type="continuationSeparator" w:id="0">
    <w:p w:rsidR="000C1377" w:rsidRDefault="000C1377">
      <w:r>
        <w:continuationSeparator/>
      </w:r>
    </w:p>
  </w:footnote>
  <w:footnote w:id="1">
    <w:p w:rsidR="00892FCF" w:rsidRDefault="00ED22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892FCF" w:rsidRDefault="00ED22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892FCF" w:rsidRDefault="00ED22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892FCF" w:rsidRDefault="00ED22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FCF" w:rsidRDefault="000C1377">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54" w:type="dxa"/>
      <w:tblInd w:w="3261" w:type="dxa"/>
      <w:tblLayout w:type="fixed"/>
      <w:tblLook w:val="0400" w:firstRow="0" w:lastRow="0" w:firstColumn="0" w:lastColumn="0" w:noHBand="0" w:noVBand="1"/>
    </w:tblPr>
    <w:tblGrid>
      <w:gridCol w:w="2976"/>
      <w:gridCol w:w="4678"/>
    </w:tblGrid>
    <w:tr w:rsidR="00892FCF" w:rsidTr="00EA5B46">
      <w:trPr>
        <w:trHeight w:val="227"/>
      </w:trPr>
      <w:tc>
        <w:tcPr>
          <w:tcW w:w="2976" w:type="dxa"/>
          <w:vAlign w:val="center"/>
        </w:tcPr>
        <w:p w:rsidR="00892FCF" w:rsidRDefault="00ED223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78" w:type="dxa"/>
          <w:vAlign w:val="center"/>
        </w:tcPr>
        <w:p w:rsidR="00892FCF" w:rsidRPr="00EA5B46" w:rsidRDefault="00ED2233" w:rsidP="00EA5B46">
          <w:pPr>
            <w:pBdr>
              <w:top w:val="nil"/>
              <w:left w:val="nil"/>
              <w:bottom w:val="nil"/>
              <w:right w:val="nil"/>
              <w:between w:val="nil"/>
            </w:pBdr>
            <w:tabs>
              <w:tab w:val="right" w:pos="8838"/>
            </w:tabs>
            <w:rPr>
              <w:rFonts w:ascii="Palatino Linotype" w:eastAsia="Palatino Linotype" w:hAnsi="Palatino Linotype" w:cs="Palatino Linotype"/>
              <w:color w:val="000000"/>
              <w:sz w:val="22"/>
              <w:szCs w:val="22"/>
              <w:highlight w:val="green"/>
            </w:rPr>
          </w:pPr>
          <w:r w:rsidRPr="00EA5B46">
            <w:rPr>
              <w:rFonts w:ascii="Palatino Linotype" w:eastAsia="Palatino Linotype" w:hAnsi="Palatino Linotype" w:cs="Palatino Linotype"/>
              <w:color w:val="000000"/>
              <w:sz w:val="22"/>
              <w:szCs w:val="22"/>
            </w:rPr>
            <w:t>05928/INFOEM/IP/RR/2024</w:t>
          </w:r>
        </w:p>
      </w:tc>
    </w:tr>
    <w:tr w:rsidR="00892FCF" w:rsidTr="00EA5B46">
      <w:trPr>
        <w:trHeight w:val="242"/>
      </w:trPr>
      <w:tc>
        <w:tcPr>
          <w:tcW w:w="2976" w:type="dxa"/>
          <w:vAlign w:val="center"/>
        </w:tcPr>
        <w:p w:rsidR="00892FCF" w:rsidRDefault="00ED223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78" w:type="dxa"/>
          <w:vAlign w:val="center"/>
        </w:tcPr>
        <w:p w:rsidR="00892FCF" w:rsidRPr="00EA5B46" w:rsidRDefault="00ED2233" w:rsidP="00EA5B46">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EA5B46">
            <w:rPr>
              <w:rFonts w:ascii="Palatino Linotype" w:eastAsia="Palatino Linotype" w:hAnsi="Palatino Linotype" w:cs="Palatino Linotype"/>
              <w:color w:val="000000"/>
              <w:sz w:val="22"/>
              <w:szCs w:val="22"/>
            </w:rPr>
            <w:t>Ayuntamiento de Toluca</w:t>
          </w:r>
        </w:p>
      </w:tc>
    </w:tr>
    <w:tr w:rsidR="00892FCF" w:rsidTr="00EA5B46">
      <w:trPr>
        <w:trHeight w:val="342"/>
      </w:trPr>
      <w:tc>
        <w:tcPr>
          <w:tcW w:w="2976" w:type="dxa"/>
          <w:vAlign w:val="center"/>
        </w:tcPr>
        <w:p w:rsidR="00892FCF" w:rsidRDefault="00ED223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78" w:type="dxa"/>
          <w:vAlign w:val="center"/>
        </w:tcPr>
        <w:p w:rsidR="00892FCF" w:rsidRPr="00EA5B46" w:rsidRDefault="00ED2233" w:rsidP="00EA5B46">
          <w:pPr>
            <w:pBdr>
              <w:top w:val="nil"/>
              <w:left w:val="nil"/>
              <w:bottom w:val="nil"/>
              <w:right w:val="nil"/>
              <w:between w:val="nil"/>
            </w:pBdr>
            <w:tabs>
              <w:tab w:val="right" w:pos="8838"/>
            </w:tabs>
            <w:rPr>
              <w:rFonts w:ascii="Palatino Linotype" w:eastAsia="Palatino Linotype" w:hAnsi="Palatino Linotype" w:cs="Palatino Linotype"/>
              <w:color w:val="000000"/>
              <w:sz w:val="22"/>
              <w:szCs w:val="22"/>
            </w:rPr>
          </w:pPr>
          <w:r w:rsidRPr="00EA5B46">
            <w:rPr>
              <w:rFonts w:ascii="Palatino Linotype" w:eastAsia="Palatino Linotype" w:hAnsi="Palatino Linotype" w:cs="Palatino Linotype"/>
              <w:color w:val="000000"/>
              <w:sz w:val="22"/>
              <w:szCs w:val="22"/>
            </w:rPr>
            <w:t>María del Rosario Mejía Ayala</w:t>
          </w:r>
        </w:p>
      </w:tc>
    </w:tr>
  </w:tbl>
  <w:p w:rsidR="00892FCF" w:rsidRDefault="000C1377">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43.6pt;margin-top:-123pt;width:609.4pt;height:793.75pt;z-index:-251659776;mso-position-horizontal-relative:margin;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654" w:type="dxa"/>
      <w:tblInd w:w="3544" w:type="dxa"/>
      <w:tblLayout w:type="fixed"/>
      <w:tblLook w:val="0400" w:firstRow="0" w:lastRow="0" w:firstColumn="0" w:lastColumn="0" w:noHBand="0" w:noVBand="1"/>
    </w:tblPr>
    <w:tblGrid>
      <w:gridCol w:w="2977"/>
      <w:gridCol w:w="4677"/>
    </w:tblGrid>
    <w:tr w:rsidR="00892FCF" w:rsidTr="00EA5B46">
      <w:trPr>
        <w:trHeight w:val="227"/>
      </w:trPr>
      <w:tc>
        <w:tcPr>
          <w:tcW w:w="2977" w:type="dxa"/>
          <w:vAlign w:val="center"/>
        </w:tcPr>
        <w:p w:rsidR="00892FCF" w:rsidRDefault="00ED223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77" w:type="dxa"/>
          <w:vAlign w:val="center"/>
        </w:tcPr>
        <w:p w:rsidR="00892FCF" w:rsidRPr="00EA5B46" w:rsidRDefault="00ED2233" w:rsidP="00EA5B46">
          <w:pPr>
            <w:pBdr>
              <w:top w:val="nil"/>
              <w:left w:val="nil"/>
              <w:bottom w:val="nil"/>
              <w:right w:val="nil"/>
              <w:between w:val="nil"/>
            </w:pBdr>
            <w:tabs>
              <w:tab w:val="right" w:pos="8838"/>
            </w:tabs>
            <w:rPr>
              <w:rFonts w:ascii="Palatino Linotype" w:eastAsia="Palatino Linotype" w:hAnsi="Palatino Linotype" w:cs="Palatino Linotype"/>
              <w:color w:val="000000"/>
              <w:sz w:val="22"/>
              <w:szCs w:val="22"/>
              <w:highlight w:val="green"/>
            </w:rPr>
          </w:pPr>
          <w:r w:rsidRPr="00EA5B46">
            <w:rPr>
              <w:rFonts w:ascii="Palatino Linotype" w:eastAsia="Palatino Linotype" w:hAnsi="Palatino Linotype" w:cs="Palatino Linotype"/>
              <w:color w:val="000000"/>
              <w:sz w:val="22"/>
              <w:szCs w:val="22"/>
            </w:rPr>
            <w:t>05928/INFOEM/IP/RR/2024</w:t>
          </w:r>
        </w:p>
      </w:tc>
    </w:tr>
    <w:tr w:rsidR="00892FCF" w:rsidTr="00EA5B46">
      <w:trPr>
        <w:trHeight w:val="242"/>
      </w:trPr>
      <w:tc>
        <w:tcPr>
          <w:tcW w:w="2977" w:type="dxa"/>
          <w:vAlign w:val="center"/>
        </w:tcPr>
        <w:p w:rsidR="00892FCF" w:rsidRDefault="00ED223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677" w:type="dxa"/>
        </w:tcPr>
        <w:p w:rsidR="00892FCF" w:rsidRPr="00EA5B46" w:rsidRDefault="00ED2233" w:rsidP="00EA5B46">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r w:rsidRPr="00EA5B46">
            <w:rPr>
              <w:rFonts w:ascii="Palatino Linotype" w:eastAsia="Palatino Linotype" w:hAnsi="Palatino Linotype" w:cs="Palatino Linotype"/>
              <w:color w:val="FF0000"/>
              <w:sz w:val="22"/>
              <w:szCs w:val="22"/>
            </w:rPr>
            <w:t> </w:t>
          </w:r>
        </w:p>
      </w:tc>
    </w:tr>
    <w:tr w:rsidR="00892FCF" w:rsidTr="00EA5B46">
      <w:trPr>
        <w:trHeight w:val="342"/>
      </w:trPr>
      <w:tc>
        <w:tcPr>
          <w:tcW w:w="2977" w:type="dxa"/>
          <w:vAlign w:val="center"/>
        </w:tcPr>
        <w:p w:rsidR="00892FCF" w:rsidRDefault="00ED223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77" w:type="dxa"/>
          <w:vAlign w:val="center"/>
        </w:tcPr>
        <w:p w:rsidR="00892FCF" w:rsidRPr="00EA5B46" w:rsidRDefault="00ED2233">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sidRPr="00EA5B46">
            <w:rPr>
              <w:rFonts w:ascii="Palatino Linotype" w:eastAsia="Palatino Linotype" w:hAnsi="Palatino Linotype" w:cs="Palatino Linotype"/>
              <w:color w:val="000000"/>
              <w:sz w:val="22"/>
              <w:szCs w:val="22"/>
            </w:rPr>
            <w:t>Ayuntamiento de Toluca</w:t>
          </w:r>
        </w:p>
      </w:tc>
    </w:tr>
    <w:tr w:rsidR="00892FCF" w:rsidTr="00EA5B46">
      <w:trPr>
        <w:trHeight w:val="342"/>
      </w:trPr>
      <w:tc>
        <w:tcPr>
          <w:tcW w:w="2977" w:type="dxa"/>
          <w:vAlign w:val="center"/>
        </w:tcPr>
        <w:p w:rsidR="00892FCF" w:rsidRDefault="00ED223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77" w:type="dxa"/>
          <w:vAlign w:val="center"/>
        </w:tcPr>
        <w:p w:rsidR="00892FCF" w:rsidRPr="00EA5B46" w:rsidRDefault="00ED223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sidRPr="00EA5B46">
            <w:rPr>
              <w:rFonts w:ascii="Palatino Linotype" w:eastAsia="Palatino Linotype" w:hAnsi="Palatino Linotype" w:cs="Palatino Linotype"/>
              <w:color w:val="000000"/>
              <w:sz w:val="22"/>
              <w:szCs w:val="22"/>
            </w:rPr>
            <w:t>María del Rosario Mejía Ayala</w:t>
          </w:r>
        </w:p>
      </w:tc>
    </w:tr>
  </w:tbl>
  <w:p w:rsidR="00892FCF" w:rsidRDefault="000C1377">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6.05pt;margin-top:-123.35pt;width:609.4pt;height:793.75pt;z-index:-251658752;mso-position-horizontal-relative:margin;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77EA"/>
    <w:multiLevelType w:val="multilevel"/>
    <w:tmpl w:val="3258C72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02372C4A"/>
    <w:multiLevelType w:val="multilevel"/>
    <w:tmpl w:val="96F00B0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04166205"/>
    <w:multiLevelType w:val="hybridMultilevel"/>
    <w:tmpl w:val="18E0898A"/>
    <w:lvl w:ilvl="0" w:tplc="11A2AF92">
      <w:start w:val="1"/>
      <w:numFmt w:val="upperRoman"/>
      <w:lvlText w:val="%1."/>
      <w:lvlJc w:val="left"/>
      <w:pPr>
        <w:ind w:left="1854" w:hanging="72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192F5672"/>
    <w:multiLevelType w:val="multilevel"/>
    <w:tmpl w:val="43C66DD0"/>
    <w:lvl w:ilvl="0">
      <w:start w:val="1"/>
      <w:numFmt w:val="lowerLetter"/>
      <w:lvlText w:val="%1)"/>
      <w:lvlJc w:val="left"/>
      <w:pPr>
        <w:ind w:left="1498" w:hanging="360"/>
      </w:pPr>
    </w:lvl>
    <w:lvl w:ilvl="1">
      <w:start w:val="1"/>
      <w:numFmt w:val="lowerLetter"/>
      <w:lvlText w:val="%2."/>
      <w:lvlJc w:val="left"/>
      <w:pPr>
        <w:ind w:left="2218" w:hanging="360"/>
      </w:pPr>
    </w:lvl>
    <w:lvl w:ilvl="2">
      <w:start w:val="1"/>
      <w:numFmt w:val="lowerRoman"/>
      <w:lvlText w:val="%3."/>
      <w:lvlJc w:val="right"/>
      <w:pPr>
        <w:ind w:left="2938" w:hanging="180"/>
      </w:pPr>
    </w:lvl>
    <w:lvl w:ilvl="3">
      <w:start w:val="1"/>
      <w:numFmt w:val="decimal"/>
      <w:lvlText w:val="%4."/>
      <w:lvlJc w:val="left"/>
      <w:pPr>
        <w:ind w:left="3658" w:hanging="360"/>
      </w:pPr>
    </w:lvl>
    <w:lvl w:ilvl="4">
      <w:start w:val="1"/>
      <w:numFmt w:val="lowerLetter"/>
      <w:lvlText w:val="%5."/>
      <w:lvlJc w:val="left"/>
      <w:pPr>
        <w:ind w:left="4378" w:hanging="360"/>
      </w:pPr>
    </w:lvl>
    <w:lvl w:ilvl="5">
      <w:start w:val="1"/>
      <w:numFmt w:val="lowerRoman"/>
      <w:lvlText w:val="%6."/>
      <w:lvlJc w:val="right"/>
      <w:pPr>
        <w:ind w:left="5098" w:hanging="180"/>
      </w:pPr>
    </w:lvl>
    <w:lvl w:ilvl="6">
      <w:start w:val="1"/>
      <w:numFmt w:val="decimal"/>
      <w:lvlText w:val="%7."/>
      <w:lvlJc w:val="left"/>
      <w:pPr>
        <w:ind w:left="5818" w:hanging="360"/>
      </w:pPr>
    </w:lvl>
    <w:lvl w:ilvl="7">
      <w:start w:val="1"/>
      <w:numFmt w:val="lowerLetter"/>
      <w:lvlText w:val="%8."/>
      <w:lvlJc w:val="left"/>
      <w:pPr>
        <w:ind w:left="6538" w:hanging="360"/>
      </w:pPr>
    </w:lvl>
    <w:lvl w:ilvl="8">
      <w:start w:val="1"/>
      <w:numFmt w:val="lowerRoman"/>
      <w:lvlText w:val="%9."/>
      <w:lvlJc w:val="right"/>
      <w:pPr>
        <w:ind w:left="7258" w:hanging="180"/>
      </w:pPr>
    </w:lvl>
  </w:abstractNum>
  <w:abstractNum w:abstractNumId="4" w15:restartNumberingAfterBreak="0">
    <w:nsid w:val="262D517A"/>
    <w:multiLevelType w:val="multilevel"/>
    <w:tmpl w:val="169CB4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B947AF"/>
    <w:multiLevelType w:val="multilevel"/>
    <w:tmpl w:val="983A4F58"/>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B21017B"/>
    <w:multiLevelType w:val="hybridMultilevel"/>
    <w:tmpl w:val="E3A2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0E3135"/>
    <w:multiLevelType w:val="multilevel"/>
    <w:tmpl w:val="D5AEF0C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9003AE"/>
    <w:multiLevelType w:val="multilevel"/>
    <w:tmpl w:val="B206198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9" w15:restartNumberingAfterBreak="0">
    <w:nsid w:val="56D56418"/>
    <w:multiLevelType w:val="multilevel"/>
    <w:tmpl w:val="4F8AE456"/>
    <w:lvl w:ilvl="0">
      <w:start w:val="1"/>
      <w:numFmt w:val="lowerLetter"/>
      <w:lvlText w:val="%1)"/>
      <w:lvlJc w:val="left"/>
      <w:pPr>
        <w:ind w:left="1498" w:hanging="360"/>
      </w:pPr>
    </w:lvl>
    <w:lvl w:ilvl="1">
      <w:start w:val="1"/>
      <w:numFmt w:val="lowerLetter"/>
      <w:lvlText w:val="%2."/>
      <w:lvlJc w:val="left"/>
      <w:pPr>
        <w:ind w:left="2218" w:hanging="360"/>
      </w:pPr>
    </w:lvl>
    <w:lvl w:ilvl="2">
      <w:start w:val="1"/>
      <w:numFmt w:val="lowerRoman"/>
      <w:lvlText w:val="%3."/>
      <w:lvlJc w:val="right"/>
      <w:pPr>
        <w:ind w:left="2938" w:hanging="180"/>
      </w:pPr>
    </w:lvl>
    <w:lvl w:ilvl="3">
      <w:start w:val="1"/>
      <w:numFmt w:val="decimal"/>
      <w:lvlText w:val="%4."/>
      <w:lvlJc w:val="left"/>
      <w:pPr>
        <w:ind w:left="3658" w:hanging="360"/>
      </w:pPr>
    </w:lvl>
    <w:lvl w:ilvl="4">
      <w:start w:val="1"/>
      <w:numFmt w:val="lowerLetter"/>
      <w:lvlText w:val="%5."/>
      <w:lvlJc w:val="left"/>
      <w:pPr>
        <w:ind w:left="4378" w:hanging="360"/>
      </w:pPr>
    </w:lvl>
    <w:lvl w:ilvl="5">
      <w:start w:val="1"/>
      <w:numFmt w:val="lowerRoman"/>
      <w:lvlText w:val="%6."/>
      <w:lvlJc w:val="right"/>
      <w:pPr>
        <w:ind w:left="5098" w:hanging="180"/>
      </w:pPr>
    </w:lvl>
    <w:lvl w:ilvl="6">
      <w:start w:val="1"/>
      <w:numFmt w:val="decimal"/>
      <w:lvlText w:val="%7."/>
      <w:lvlJc w:val="left"/>
      <w:pPr>
        <w:ind w:left="5818" w:hanging="360"/>
      </w:pPr>
    </w:lvl>
    <w:lvl w:ilvl="7">
      <w:start w:val="1"/>
      <w:numFmt w:val="lowerLetter"/>
      <w:lvlText w:val="%8."/>
      <w:lvlJc w:val="left"/>
      <w:pPr>
        <w:ind w:left="6538" w:hanging="360"/>
      </w:pPr>
    </w:lvl>
    <w:lvl w:ilvl="8">
      <w:start w:val="1"/>
      <w:numFmt w:val="lowerRoman"/>
      <w:lvlText w:val="%9."/>
      <w:lvlJc w:val="right"/>
      <w:pPr>
        <w:ind w:left="7258" w:hanging="180"/>
      </w:pPr>
    </w:lvl>
  </w:abstractNum>
  <w:abstractNum w:abstractNumId="10" w15:restartNumberingAfterBreak="0">
    <w:nsid w:val="6D900140"/>
    <w:multiLevelType w:val="multilevel"/>
    <w:tmpl w:val="34CE116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7"/>
  </w:num>
  <w:num w:numId="2">
    <w:abstractNumId w:val="1"/>
  </w:num>
  <w:num w:numId="3">
    <w:abstractNumId w:val="5"/>
  </w:num>
  <w:num w:numId="4">
    <w:abstractNumId w:val="4"/>
  </w:num>
  <w:num w:numId="5">
    <w:abstractNumId w:val="8"/>
  </w:num>
  <w:num w:numId="6">
    <w:abstractNumId w:val="10"/>
  </w:num>
  <w:num w:numId="7">
    <w:abstractNumId w:val="0"/>
  </w:num>
  <w:num w:numId="8">
    <w:abstractNumId w:val="9"/>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FCF"/>
    <w:rsid w:val="00001AE9"/>
    <w:rsid w:val="00021853"/>
    <w:rsid w:val="000C1377"/>
    <w:rsid w:val="001B2902"/>
    <w:rsid w:val="00892FCF"/>
    <w:rsid w:val="00EA5B46"/>
    <w:rsid w:val="00ED2233"/>
    <w:rsid w:val="00FA75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0E9AFA6-535A-4C39-B2E9-B744AC7D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518"/>
  </w:style>
  <w:style w:type="paragraph" w:styleId="Ttulo1">
    <w:name w:val="heading 1"/>
    <w:basedOn w:val="Normal"/>
    <w:next w:val="Normal"/>
    <w:link w:val="Ttulo1Car"/>
    <w:uiPriority w:val="9"/>
    <w:qFormat/>
    <w:rsid w:val="009D151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9D151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D1518"/>
    <w:rPr>
      <w:rFonts w:asciiTheme="majorHAnsi" w:eastAsiaTheme="majorEastAsia" w:hAnsiTheme="majorHAnsi" w:cstheme="majorBidi"/>
      <w:color w:val="2E74B5" w:themeColor="accent1" w:themeShade="BF"/>
      <w:sz w:val="40"/>
      <w:szCs w:val="40"/>
      <w:lang w:eastAsia="es-MX"/>
    </w:rPr>
  </w:style>
  <w:style w:type="character" w:customStyle="1" w:styleId="Ttulo2Car">
    <w:name w:val="Título 2 Car"/>
    <w:basedOn w:val="Fuentedeprrafopredeter"/>
    <w:link w:val="Ttulo2"/>
    <w:uiPriority w:val="9"/>
    <w:rsid w:val="009D1518"/>
    <w:rPr>
      <w:rFonts w:asciiTheme="majorHAnsi" w:eastAsiaTheme="majorEastAsia" w:hAnsiTheme="majorHAnsi" w:cstheme="majorBidi"/>
      <w:color w:val="2E74B5" w:themeColor="accent1" w:themeShade="BF"/>
      <w:sz w:val="32"/>
      <w:szCs w:val="32"/>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1518"/>
    <w:pPr>
      <w:ind w:left="720"/>
      <w:contextualSpacing/>
    </w:pPr>
  </w:style>
  <w:style w:type="paragraph" w:styleId="Encabezado">
    <w:name w:val="header"/>
    <w:basedOn w:val="Normal"/>
    <w:link w:val="EncabezadoCar"/>
    <w:uiPriority w:val="99"/>
    <w:unhideWhenUsed/>
    <w:rsid w:val="009D1518"/>
    <w:pPr>
      <w:tabs>
        <w:tab w:val="center" w:pos="4419"/>
        <w:tab w:val="right" w:pos="8838"/>
      </w:tabs>
    </w:pPr>
  </w:style>
  <w:style w:type="character" w:customStyle="1" w:styleId="EncabezadoCar">
    <w:name w:val="Encabezado Car"/>
    <w:basedOn w:val="Fuentedeprrafopredeter"/>
    <w:link w:val="Encabezado"/>
    <w:uiPriority w:val="99"/>
    <w:rsid w:val="009D151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9D1518"/>
    <w:pPr>
      <w:tabs>
        <w:tab w:val="center" w:pos="4419"/>
        <w:tab w:val="right" w:pos="8838"/>
      </w:tabs>
    </w:pPr>
  </w:style>
  <w:style w:type="character" w:customStyle="1" w:styleId="PiedepginaCar">
    <w:name w:val="Pie de página Car"/>
    <w:basedOn w:val="Fuentedeprrafopredeter"/>
    <w:link w:val="Piedepgina"/>
    <w:uiPriority w:val="99"/>
    <w:rsid w:val="009D1518"/>
    <w:rPr>
      <w:rFonts w:ascii="Times New Roman" w:eastAsia="Times New Roman" w:hAnsi="Times New Roman" w:cs="Times New Roman"/>
      <w:sz w:val="24"/>
      <w:szCs w:val="24"/>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1518"/>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D1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3C3A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character" w:styleId="Referenciasutil">
    <w:name w:val="Subtle Reference"/>
    <w:basedOn w:val="Fuentedeprrafopredeter"/>
    <w:uiPriority w:val="31"/>
    <w:qFormat/>
    <w:rsid w:val="0002185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aaYOSri8gBoXdxO1ONYuF6RJA==">CgMxLjAyCGguZ2pkZ3hzMgloLjMwajB6bGwyCWguMWZvYjl0ZTIJaC4zem55c2g3MgloLjJldDkycDAyCGgudHlqY3d0MgloLjNkeTZ2a20yCWguMXQzaDVzZjIJaC40ZDM0b2c4MgloLjJzOGV5bzEyCWguMTdkcDh2dTIJaC4zcmRjcmpuMgloLjI2aW4xcmcyCGgubG54Yno5MgloLjM1bmt1bjIyCWguMWtzdjR1djIJaC40NHNpbmlvMgloLjJqeHN4cWgyDmguMnIxN3BqZnE3bzFpMghoLnozMzd5YTIJaC4zajJxcW0zOAByITFyQXkyVklhVzRBSEEtOFZFWmdQZmwzMkRhalhIU2hz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38</Pages>
  <Words>9595</Words>
  <Characters>52773</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4</cp:revision>
  <dcterms:created xsi:type="dcterms:W3CDTF">2024-11-20T23:20:00Z</dcterms:created>
  <dcterms:modified xsi:type="dcterms:W3CDTF">2025-01-21T16:37:00Z</dcterms:modified>
</cp:coreProperties>
</file>