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03811" w14:textId="77777777" w:rsidR="008555F6" w:rsidRDefault="008555F6">
      <w:pPr>
        <w:widowControl w:val="0"/>
        <w:pBdr>
          <w:top w:val="nil"/>
          <w:left w:val="nil"/>
          <w:bottom w:val="nil"/>
          <w:right w:val="nil"/>
          <w:between w:val="nil"/>
        </w:pBdr>
        <w:spacing w:line="276" w:lineRule="auto"/>
      </w:pPr>
    </w:p>
    <w:p w14:paraId="7C103812" w14:textId="77777777" w:rsidR="008555F6" w:rsidRDefault="00016B73">
      <w:pPr>
        <w:tabs>
          <w:tab w:val="left" w:pos="3465"/>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 fecha veinti</w:t>
      </w:r>
      <w:r>
        <w:rPr>
          <w:rFonts w:ascii="Palatino Linotype" w:eastAsia="Palatino Linotype" w:hAnsi="Palatino Linotype" w:cs="Palatino Linotype"/>
        </w:rPr>
        <w:t xml:space="preserve">ocho </w:t>
      </w:r>
      <w:r>
        <w:rPr>
          <w:rFonts w:ascii="Palatino Linotype" w:eastAsia="Palatino Linotype" w:hAnsi="Palatino Linotype" w:cs="Palatino Linotype"/>
          <w:color w:val="000000"/>
        </w:rPr>
        <w:t>(2</w:t>
      </w:r>
      <w:r>
        <w:rPr>
          <w:rFonts w:ascii="Palatino Linotype" w:eastAsia="Palatino Linotype" w:hAnsi="Palatino Linotype" w:cs="Palatino Linotype"/>
        </w:rPr>
        <w:t>8</w:t>
      </w:r>
      <w:r>
        <w:rPr>
          <w:rFonts w:ascii="Palatino Linotype" w:eastAsia="Palatino Linotype" w:hAnsi="Palatino Linotype" w:cs="Palatino Linotype"/>
          <w:color w:val="000000"/>
        </w:rPr>
        <w:t>) de agosto de dos mil veinticuatro.</w:t>
      </w:r>
    </w:p>
    <w:p w14:paraId="7C103813" w14:textId="77777777" w:rsidR="008555F6" w:rsidRDefault="008555F6">
      <w:pPr>
        <w:tabs>
          <w:tab w:val="left" w:pos="3465"/>
        </w:tabs>
        <w:spacing w:line="360" w:lineRule="auto"/>
        <w:jc w:val="both"/>
        <w:rPr>
          <w:rFonts w:ascii="Palatino Linotype" w:eastAsia="Palatino Linotype" w:hAnsi="Palatino Linotype" w:cs="Palatino Linotype"/>
          <w:color w:val="000000"/>
        </w:rPr>
      </w:pPr>
    </w:p>
    <w:p w14:paraId="7C103814" w14:textId="77777777" w:rsidR="008555F6" w:rsidRDefault="00016B7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VISTO</w:t>
      </w:r>
      <w:r>
        <w:rPr>
          <w:rFonts w:ascii="Palatino Linotype" w:eastAsia="Palatino Linotype" w:hAnsi="Palatino Linotype" w:cs="Palatino Linotype"/>
          <w:color w:val="000000"/>
        </w:rPr>
        <w:t xml:space="preserve"> el expediente electrónico formado con motivo del recurso de revisión </w:t>
      </w:r>
      <w:r>
        <w:rPr>
          <w:rFonts w:ascii="Palatino Linotype" w:eastAsia="Palatino Linotype" w:hAnsi="Palatino Linotype" w:cs="Palatino Linotype"/>
          <w:b/>
          <w:color w:val="000000"/>
        </w:rPr>
        <w:t>05963/INFOEM/IP/RR/2023</w:t>
      </w:r>
      <w:r>
        <w:rPr>
          <w:rFonts w:ascii="Palatino Linotype" w:eastAsia="Palatino Linotype" w:hAnsi="Palatino Linotype" w:cs="Palatino Linotype"/>
          <w:color w:val="000000"/>
        </w:rPr>
        <w:t xml:space="preserve">, interpuesto por </w:t>
      </w:r>
      <w:r>
        <w:rPr>
          <w:rFonts w:ascii="Palatino Linotype" w:eastAsia="Palatino Linotype" w:hAnsi="Palatino Linotype" w:cs="Palatino Linotype"/>
          <w:b/>
          <w:color w:val="000000"/>
        </w:rPr>
        <w:t>una o un usuario del Sistema de Acceso a la Información Mexiquense (SAIMEX),</w:t>
      </w:r>
      <w:r>
        <w:rPr>
          <w:rFonts w:ascii="Palatino Linotype" w:eastAsia="Palatino Linotype" w:hAnsi="Palatino Linotype" w:cs="Palatino Linotype"/>
          <w:color w:val="000000"/>
        </w:rPr>
        <w:t xml:space="preserve"> quien no señaló nombre alguno, seudónimo o carácter para ser identificada, por lo que en lo sucesivo será identificad</w:t>
      </w:r>
      <w:r>
        <w:rPr>
          <w:rFonts w:ascii="Palatino Linotype" w:eastAsia="Palatino Linotype" w:hAnsi="Palatino Linotype" w:cs="Palatino Linotype"/>
        </w:rPr>
        <w:t>o</w:t>
      </w:r>
      <w:r>
        <w:rPr>
          <w:rFonts w:ascii="Palatino Linotype" w:eastAsia="Palatino Linotype" w:hAnsi="Palatino Linotype" w:cs="Palatino Linotype"/>
          <w:color w:val="000000"/>
        </w:rPr>
        <w:t xml:space="preserve"> como </w:t>
      </w:r>
      <w:r>
        <w:rPr>
          <w:rFonts w:ascii="Palatino Linotype" w:eastAsia="Palatino Linotype" w:hAnsi="Palatino Linotype" w:cs="Palatino Linotype"/>
          <w:b/>
          <w:color w:val="000000"/>
        </w:rPr>
        <w:t>RECURRENTE</w:t>
      </w:r>
      <w:r>
        <w:rPr>
          <w:rFonts w:ascii="Palatino Linotype" w:eastAsia="Palatino Linotype" w:hAnsi="Palatino Linotype" w:cs="Palatino Linotype"/>
        </w:rPr>
        <w:t>,</w:t>
      </w:r>
      <w:r>
        <w:rPr>
          <w:rFonts w:ascii="Palatino Linotype" w:eastAsia="Palatino Linotype" w:hAnsi="Palatino Linotype" w:cs="Palatino Linotype"/>
          <w:color w:val="000000"/>
        </w:rPr>
        <w:t xml:space="preserve"> en contra de la respuesta del </w:t>
      </w:r>
      <w:r>
        <w:rPr>
          <w:rFonts w:ascii="Palatino Linotype" w:eastAsia="Palatino Linotype" w:hAnsi="Palatino Linotype" w:cs="Palatino Linotype"/>
          <w:b/>
          <w:color w:val="000000"/>
        </w:rPr>
        <w:t>Ayuntamiento de Zinacantepec</w:t>
      </w:r>
      <w:r>
        <w:rPr>
          <w:rFonts w:ascii="Palatino Linotype" w:eastAsia="Palatino Linotype" w:hAnsi="Palatino Linotype" w:cs="Palatino Linotype"/>
          <w:color w:val="000000"/>
        </w:rPr>
        <w:t>, en adelante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 procede a dictar la presente resolución, con base en los siguientes:</w:t>
      </w:r>
    </w:p>
    <w:p w14:paraId="7C103815" w14:textId="77777777" w:rsidR="008555F6" w:rsidRDefault="008555F6">
      <w:pPr>
        <w:spacing w:line="360" w:lineRule="auto"/>
        <w:jc w:val="both"/>
        <w:rPr>
          <w:rFonts w:ascii="Palatino Linotype" w:eastAsia="Palatino Linotype" w:hAnsi="Palatino Linotype" w:cs="Palatino Linotype"/>
          <w:b/>
          <w:color w:val="000000"/>
        </w:rPr>
      </w:pPr>
    </w:p>
    <w:p w14:paraId="7C103816" w14:textId="77777777" w:rsidR="008555F6" w:rsidRDefault="00016B73">
      <w:pPr>
        <w:pStyle w:val="Ttulo1"/>
        <w:spacing w:before="0" w:line="360" w:lineRule="auto"/>
        <w:jc w:val="center"/>
        <w:rPr>
          <w:b/>
          <w:color w:val="000000"/>
        </w:rPr>
      </w:pPr>
      <w:bookmarkStart w:id="0" w:name="_heading=h.gjdgxs" w:colFirst="0" w:colLast="0"/>
      <w:bookmarkEnd w:id="0"/>
      <w:r>
        <w:rPr>
          <w:b/>
          <w:color w:val="000000"/>
        </w:rPr>
        <w:t>A N T E C E D E N T E S</w:t>
      </w:r>
    </w:p>
    <w:p w14:paraId="7C103817"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18"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treinta y uno (31) de julio de dos mil veintitrés</w:t>
      </w:r>
      <w:r>
        <w:rPr>
          <w:rFonts w:ascii="Palatino Linotype" w:eastAsia="Palatino Linotype" w:hAnsi="Palatino Linotype" w:cs="Palatino Linotype"/>
          <w:color w:val="000000"/>
        </w:rPr>
        <w:t>, la particular presentó</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 través del Sistema de Acceso a la Información Mexiquense (SAIMEX), la solicitud de información pública registrada con el número </w:t>
      </w:r>
      <w:r>
        <w:rPr>
          <w:rFonts w:ascii="Palatino Linotype" w:eastAsia="Palatino Linotype" w:hAnsi="Palatino Linotype" w:cs="Palatino Linotype"/>
          <w:b/>
          <w:color w:val="000000"/>
        </w:rPr>
        <w:t>00747/ZINACANT/IP/2023,</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la que </w:t>
      </w:r>
      <w:r>
        <w:rPr>
          <w:rFonts w:ascii="Palatino Linotype" w:eastAsia="Palatino Linotype" w:hAnsi="Palatino Linotype" w:cs="Palatino Linotype"/>
          <w:color w:val="000000"/>
        </w:rPr>
        <w:t>requirió lo siguiente:</w:t>
      </w:r>
    </w:p>
    <w:p w14:paraId="7C103819" w14:textId="77777777" w:rsidR="008555F6" w:rsidRDefault="008555F6">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rPr>
      </w:pPr>
    </w:p>
    <w:p w14:paraId="7C10381A" w14:textId="77777777" w:rsidR="008555F6" w:rsidRDefault="00016B73">
      <w:pPr>
        <w:pBdr>
          <w:top w:val="nil"/>
          <w:left w:val="nil"/>
          <w:bottom w:val="nil"/>
          <w:right w:val="nil"/>
          <w:between w:val="nil"/>
        </w:pBdr>
        <w:spacing w:line="276"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 “SOLICITO EL MONTO DE LOS INGRESOS RECABADOS EN 2022 ASI COMO EL CONCEPTO DE LOS MISMOS” </w:t>
      </w:r>
      <w:r>
        <w:rPr>
          <w:rFonts w:ascii="Palatino Linotype" w:eastAsia="Palatino Linotype" w:hAnsi="Palatino Linotype" w:cs="Palatino Linotype"/>
          <w:color w:val="000000"/>
        </w:rPr>
        <w:t>(Sic).</w:t>
      </w:r>
    </w:p>
    <w:p w14:paraId="7C10381B" w14:textId="77777777" w:rsidR="008555F6" w:rsidRDefault="008555F6">
      <w:pPr>
        <w:spacing w:line="360" w:lineRule="auto"/>
        <w:ind w:right="333"/>
        <w:jc w:val="both"/>
        <w:rPr>
          <w:rFonts w:ascii="Palatino Linotype" w:eastAsia="Palatino Linotype" w:hAnsi="Palatino Linotype" w:cs="Palatino Linotype"/>
          <w:color w:val="000000"/>
        </w:rPr>
      </w:pPr>
    </w:p>
    <w:p w14:paraId="7C10381C"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Se hace constar que la particular señaló como modalidad de entrega de la información:</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i/>
          <w:color w:val="000000"/>
        </w:rPr>
        <w:t>A través del SAIMEX</w:t>
      </w:r>
      <w:r>
        <w:rPr>
          <w:rFonts w:ascii="Palatino Linotype" w:eastAsia="Palatino Linotype" w:hAnsi="Palatino Linotype" w:cs="Palatino Linotype"/>
          <w:color w:val="000000"/>
        </w:rPr>
        <w:t>.</w:t>
      </w:r>
    </w:p>
    <w:p w14:paraId="7C10381D"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veintiuno (21) de agosto de dos mil veintitrés</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notificó a la entonces </w:t>
      </w:r>
      <w:r>
        <w:rPr>
          <w:rFonts w:ascii="Palatino Linotype" w:eastAsia="Palatino Linotype" w:hAnsi="Palatino Linotype" w:cs="Palatino Linotype"/>
          <w:b/>
          <w:color w:val="000000"/>
        </w:rPr>
        <w:t>SOLICITANTE</w:t>
      </w:r>
      <w:r>
        <w:rPr>
          <w:rFonts w:ascii="Palatino Linotype" w:eastAsia="Palatino Linotype" w:hAnsi="Palatino Linotype" w:cs="Palatino Linotype"/>
          <w:color w:val="000000"/>
        </w:rPr>
        <w:t xml:space="preserve"> que el plazo para atender su solicitud de información había sido ampliado por siete días hábiles adicionales. Sin embargo, se hace constar que la prórroga determinada por el Ayuntamiento de Zinacantepec no cumple con las formalidades establecidas en el artículo 163</w:t>
      </w:r>
      <w:r>
        <w:rPr>
          <w:rFonts w:ascii="Palatino Linotype" w:eastAsia="Palatino Linotype" w:hAnsi="Palatino Linotype" w:cs="Palatino Linotype"/>
          <w:color w:val="000000"/>
          <w:vertAlign w:val="superscript"/>
        </w:rPr>
        <w:footnoteReference w:id="1"/>
      </w:r>
      <w:r>
        <w:rPr>
          <w:rFonts w:ascii="Palatino Linotype" w:eastAsia="Palatino Linotype" w:hAnsi="Palatino Linotype" w:cs="Palatino Linotype"/>
          <w:color w:val="000000"/>
        </w:rPr>
        <w:t xml:space="preserve"> de la Ley de Transparencia y Acceso a la Información Pública del Estado de México y Municipios.</w:t>
      </w:r>
    </w:p>
    <w:p w14:paraId="7C10381E"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1F"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treinta (30) de agosto de dos mil veintitrés</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a la solicitud de información en los siguientes términos:</w:t>
      </w:r>
    </w:p>
    <w:p w14:paraId="7C103820" w14:textId="77777777" w:rsidR="008555F6" w:rsidRDefault="00016B73">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7C103821" w14:textId="77777777" w:rsidR="008555F6" w:rsidRDefault="008555F6">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p>
    <w:p w14:paraId="7C103822" w14:textId="77777777" w:rsidR="008555F6" w:rsidRDefault="00016B73">
      <w:pPr>
        <w:pBdr>
          <w:top w:val="nil"/>
          <w:left w:val="nil"/>
          <w:bottom w:val="nil"/>
          <w:right w:val="nil"/>
          <w:between w:val="nil"/>
        </w:pBdr>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00747/ZINACANT/IP/2023, recibida a través del Sistema SAIMEX, en donde se solicita textualmente lo siguiente: “SOLICITO EL MONTO DE LOS INGRESOS RECABADOS EN 2022 ASI COMO EL CONCEPTO DE LOS MISMOS” (sic). En apego a lo establecido su solicitud fue analizada y turnada a el área poseedora de la información, en este caso a la Tesorería Municipal, por lo que </w:t>
      </w:r>
      <w:r>
        <w:rPr>
          <w:rFonts w:ascii="Palatino Linotype" w:eastAsia="Palatino Linotype" w:hAnsi="Palatino Linotype" w:cs="Palatino Linotype"/>
          <w:i/>
          <w:color w:val="000000"/>
          <w:sz w:val="22"/>
          <w:szCs w:val="22"/>
        </w:rPr>
        <w:lastRenderedPageBreak/>
        <w:t>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rPr>
          <w:rFonts w:ascii="Palatino Linotype" w:eastAsia="Palatino Linotype" w:hAnsi="Palatino Linotype" w:cs="Palatino Linotype"/>
          <w:color w:val="000000"/>
          <w:sz w:val="22"/>
          <w:szCs w:val="22"/>
        </w:rPr>
        <w:t xml:space="preserve"> (Sic.)</w:t>
      </w:r>
    </w:p>
    <w:p w14:paraId="7C103823" w14:textId="77777777" w:rsidR="008555F6" w:rsidRDefault="008555F6">
      <w:pPr>
        <w:pBdr>
          <w:top w:val="nil"/>
          <w:left w:val="nil"/>
          <w:bottom w:val="nil"/>
          <w:right w:val="nil"/>
          <w:between w:val="nil"/>
        </w:pBdr>
        <w:ind w:right="567"/>
        <w:jc w:val="both"/>
        <w:rPr>
          <w:rFonts w:ascii="Palatino Linotype" w:eastAsia="Palatino Linotype" w:hAnsi="Palatino Linotype" w:cs="Palatino Linotype"/>
          <w:color w:val="000000"/>
        </w:rPr>
      </w:pPr>
    </w:p>
    <w:p w14:paraId="7C103824" w14:textId="77777777" w:rsidR="008555F6" w:rsidRDefault="00016B73">
      <w:pPr>
        <w:numPr>
          <w:ilvl w:val="0"/>
          <w:numId w:val="7"/>
        </w:num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Adjunto al acuse de respuesta,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a la particular los siguientes archivos electrónicos:</w:t>
      </w:r>
    </w:p>
    <w:p w14:paraId="7C103825" w14:textId="77777777" w:rsidR="008555F6" w:rsidRDefault="00016B73">
      <w:pPr>
        <w:numPr>
          <w:ilvl w:val="1"/>
          <w:numId w:val="7"/>
        </w:numPr>
        <w:pBdr>
          <w:top w:val="nil"/>
          <w:left w:val="nil"/>
          <w:bottom w:val="nil"/>
          <w:right w:val="nil"/>
          <w:between w:val="nil"/>
        </w:pBdr>
        <w:tabs>
          <w:tab w:val="left" w:pos="284"/>
          <w:tab w:val="left" w:pos="426"/>
        </w:tabs>
        <w:spacing w:line="360" w:lineRule="auto"/>
        <w:ind w:left="1134"/>
        <w:jc w:val="both"/>
        <w:rPr>
          <w:rFonts w:ascii="Palatino Linotype" w:eastAsia="Palatino Linotype" w:hAnsi="Palatino Linotype" w:cs="Palatino Linotype"/>
          <w:sz w:val="22"/>
          <w:szCs w:val="22"/>
        </w:rPr>
      </w:pPr>
      <w:r>
        <w:rPr>
          <w:rFonts w:ascii="Palatino Linotype" w:eastAsia="Palatino Linotype" w:hAnsi="Palatino Linotype" w:cs="Palatino Linotype"/>
          <w:b/>
          <w:i/>
          <w:color w:val="000000"/>
          <w:sz w:val="22"/>
          <w:szCs w:val="22"/>
        </w:rPr>
        <w:t xml:space="preserve"> “Solicitud 00747.pdf”</w:t>
      </w:r>
      <w:r>
        <w:rPr>
          <w:rFonts w:ascii="Palatino Linotype" w:eastAsia="Palatino Linotype" w:hAnsi="Palatino Linotype" w:cs="Palatino Linotype"/>
          <w:color w:val="000000"/>
          <w:sz w:val="22"/>
          <w:szCs w:val="22"/>
        </w:rPr>
        <w:t>: Documento de una foja consistente en el oficio número ZIN/TM/1476/2023, de treinta (30) de agosto de dos mil veintitrés, emitido por el Tesorero Municipal, dirigido a la Titular de la Unidad de Transparencia, por el que informa el monto neto que recaudó el ayuntamiento en el ejercicio dos mil veintidós; así mismo, refiere adjuntar el Estado de Actividades correspondiente al ejercicio de mérito.</w:t>
      </w:r>
    </w:p>
    <w:p w14:paraId="7C103826" w14:textId="77777777" w:rsidR="008555F6" w:rsidRDefault="00016B73">
      <w:pPr>
        <w:numPr>
          <w:ilvl w:val="1"/>
          <w:numId w:val="7"/>
        </w:numPr>
        <w:pBdr>
          <w:top w:val="nil"/>
          <w:left w:val="nil"/>
          <w:bottom w:val="nil"/>
          <w:right w:val="nil"/>
          <w:between w:val="nil"/>
        </w:pBdr>
        <w:tabs>
          <w:tab w:val="left" w:pos="284"/>
          <w:tab w:val="left" w:pos="426"/>
        </w:tabs>
        <w:spacing w:line="360" w:lineRule="auto"/>
        <w:ind w:left="1134"/>
        <w:jc w:val="both"/>
        <w:rPr>
          <w:rFonts w:ascii="Palatino Linotype" w:eastAsia="Palatino Linotype" w:hAnsi="Palatino Linotype" w:cs="Palatino Linotype"/>
          <w:sz w:val="22"/>
          <w:szCs w:val="22"/>
        </w:rPr>
      </w:pPr>
      <w:r>
        <w:rPr>
          <w:rFonts w:ascii="Palatino Linotype" w:eastAsia="Palatino Linotype" w:hAnsi="Palatino Linotype" w:cs="Palatino Linotype"/>
          <w:b/>
          <w:i/>
          <w:color w:val="000000"/>
          <w:sz w:val="22"/>
          <w:szCs w:val="22"/>
        </w:rPr>
        <w:t>“Solicitud 00747 Oficio.pdf”</w:t>
      </w:r>
      <w:r>
        <w:rPr>
          <w:rFonts w:ascii="Palatino Linotype" w:eastAsia="Palatino Linotype" w:hAnsi="Palatino Linotype" w:cs="Palatino Linotype"/>
          <w:color w:val="000000"/>
          <w:sz w:val="22"/>
          <w:szCs w:val="22"/>
        </w:rPr>
        <w:t>: Documento de cinco fojas consistente en el Estado de Actividades, del periodo comprendido del uno (01) al treinta y uno (31) de diciembre de dos mil veintidós.</w:t>
      </w:r>
    </w:p>
    <w:p w14:paraId="7C103827" w14:textId="77777777" w:rsidR="008555F6" w:rsidRDefault="008555F6">
      <w:p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color w:val="000000"/>
        </w:rPr>
      </w:pPr>
    </w:p>
    <w:p w14:paraId="7C103828" w14:textId="77777777" w:rsidR="008555F6" w:rsidRDefault="00016B73">
      <w:pPr>
        <w:numPr>
          <w:ilvl w:val="0"/>
          <w:numId w:val="7"/>
        </w:num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doce (12) de septiembre de dos mil veintitrés</w:t>
      </w:r>
      <w:r>
        <w:rPr>
          <w:rFonts w:ascii="Palatino Linotype" w:eastAsia="Palatino Linotype" w:hAnsi="Palatino Linotype" w:cs="Palatino Linotype"/>
          <w:color w:val="000000"/>
        </w:rPr>
        <w:t xml:space="preserve">, la particular interpuso el recurso de revisión </w:t>
      </w:r>
      <w:r>
        <w:rPr>
          <w:rFonts w:ascii="Palatino Linotype" w:eastAsia="Palatino Linotype" w:hAnsi="Palatino Linotype" w:cs="Palatino Linotype"/>
          <w:b/>
          <w:color w:val="000000"/>
        </w:rPr>
        <w:t>05963/INFOEM/IP/RR/2023</w:t>
      </w:r>
      <w:r>
        <w:rPr>
          <w:rFonts w:ascii="Palatino Linotype" w:eastAsia="Palatino Linotype" w:hAnsi="Palatino Linotype" w:cs="Palatino Linotype"/>
          <w:color w:val="000000"/>
        </w:rPr>
        <w:t>; impugnación en la que refirió lo siguiente:</w:t>
      </w:r>
    </w:p>
    <w:p w14:paraId="7C103829" w14:textId="77777777" w:rsidR="008555F6" w:rsidRDefault="00016B73">
      <w:pPr>
        <w:numPr>
          <w:ilvl w:val="0"/>
          <w:numId w:val="3"/>
        </w:numPr>
        <w:pBdr>
          <w:top w:val="nil"/>
          <w:left w:val="nil"/>
          <w:bottom w:val="nil"/>
          <w:right w:val="nil"/>
          <w:between w:val="nil"/>
        </w:pBdr>
        <w:tabs>
          <w:tab w:val="left" w:pos="851"/>
        </w:tabs>
        <w:spacing w:line="276" w:lineRule="auto"/>
        <w:ind w:left="1134"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Acto impugnado: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LA RESPUESTA”</w:t>
      </w:r>
      <w:r>
        <w:rPr>
          <w:rFonts w:ascii="Palatino Linotype" w:eastAsia="Palatino Linotype" w:hAnsi="Palatino Linotype" w:cs="Palatino Linotype"/>
          <w:color w:val="000000"/>
          <w:sz w:val="22"/>
          <w:szCs w:val="22"/>
        </w:rPr>
        <w:t xml:space="preserve"> (Sic).</w:t>
      </w:r>
    </w:p>
    <w:p w14:paraId="7C10382A" w14:textId="77777777" w:rsidR="008555F6" w:rsidRDefault="00016B73">
      <w:pPr>
        <w:numPr>
          <w:ilvl w:val="0"/>
          <w:numId w:val="3"/>
        </w:numPr>
        <w:pBdr>
          <w:top w:val="nil"/>
          <w:left w:val="nil"/>
          <w:bottom w:val="nil"/>
          <w:right w:val="nil"/>
          <w:between w:val="nil"/>
        </w:pBdr>
        <w:tabs>
          <w:tab w:val="left" w:pos="851"/>
        </w:tabs>
        <w:spacing w:line="276" w:lineRule="auto"/>
        <w:ind w:left="1134" w:right="567"/>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2"/>
          <w:szCs w:val="22"/>
        </w:rPr>
        <w:lastRenderedPageBreak/>
        <w:t>Razones o motivos de inconformidad:</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 xml:space="preserve">“NO CUMPLE CON LO </w:t>
      </w:r>
      <w:r>
        <w:rPr>
          <w:rFonts w:ascii="Palatino Linotype" w:eastAsia="Palatino Linotype" w:hAnsi="Palatino Linotype" w:cs="Palatino Linotype"/>
          <w:i/>
          <w:color w:val="000000"/>
        </w:rPr>
        <w:t>SOLICITADO”</w:t>
      </w:r>
      <w:r>
        <w:rPr>
          <w:rFonts w:ascii="Palatino Linotype" w:eastAsia="Palatino Linotype" w:hAnsi="Palatino Linotype" w:cs="Palatino Linotype"/>
          <w:color w:val="000000"/>
        </w:rPr>
        <w:t xml:space="preserve"> (Sic)</w:t>
      </w:r>
    </w:p>
    <w:p w14:paraId="7C10382B"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2C"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registró el recurso de revisión bajo el número de expediente </w:t>
      </w:r>
      <w:r>
        <w:rPr>
          <w:rFonts w:ascii="Palatino Linotype" w:eastAsia="Palatino Linotype" w:hAnsi="Palatino Linotype" w:cs="Palatino Linotype"/>
          <w:b/>
          <w:color w:val="000000"/>
        </w:rPr>
        <w:t>05963/INFOEM/IP/RR/2023</w:t>
      </w:r>
      <w:r>
        <w:rPr>
          <w:rFonts w:ascii="Palatino Linotype" w:eastAsia="Palatino Linotype" w:hAnsi="Palatino Linotype" w:cs="Palatino Linotype"/>
          <w:color w:val="000000"/>
        </w:rPr>
        <w:t xml:space="preserve">; asimismo, con fundamento en lo dispuesto por el artículo 185, fracción I, de la Ley de Transparencia y Acceso a la Información Pública del Estado de México y Municipios se </w:t>
      </w:r>
      <w:r>
        <w:rPr>
          <w:rFonts w:ascii="Palatino Linotype" w:eastAsia="Palatino Linotype" w:hAnsi="Palatino Linotype" w:cs="Palatino Linotype"/>
        </w:rPr>
        <w:t>turna</w:t>
      </w:r>
      <w:r>
        <w:rPr>
          <w:rFonts w:ascii="Palatino Linotype" w:eastAsia="Palatino Linotype" w:hAnsi="Palatino Linotype" w:cs="Palatino Linotype"/>
          <w:color w:val="000000"/>
        </w:rPr>
        <w:t xml:space="preserve"> a la </w:t>
      </w:r>
      <w:r>
        <w:rPr>
          <w:rFonts w:ascii="Palatino Linotype" w:eastAsia="Palatino Linotype" w:hAnsi="Palatino Linotype" w:cs="Palatino Linotype"/>
          <w:b/>
          <w:color w:val="000000"/>
        </w:rPr>
        <w:t>Comisionada María del Rosario Mejía Ayala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para</w:t>
      </w:r>
      <w:r>
        <w:rPr>
          <w:rFonts w:ascii="Palatino Linotype" w:eastAsia="Palatino Linotype" w:hAnsi="Palatino Linotype" w:cs="Palatino Linotype"/>
          <w:color w:val="000000"/>
        </w:rPr>
        <w:t xml:space="preserve"> su análisis.</w:t>
      </w:r>
    </w:p>
    <w:p w14:paraId="7C10382D"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2E"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bookmarkStart w:id="1" w:name="_heading=h.30j0zll" w:colFirst="0" w:colLast="0"/>
      <w:bookmarkEnd w:id="1"/>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w:t>
      </w:r>
      <w:r>
        <w:rPr>
          <w:rFonts w:ascii="Palatino Linotype" w:eastAsia="Palatino Linotype" w:hAnsi="Palatino Linotype" w:cs="Palatino Linotype"/>
          <w:b/>
          <w:color w:val="000000"/>
        </w:rPr>
        <w:t>diecinueve (19) de septiembre de septiembre de dos mil veintitrés</w:t>
      </w:r>
      <w:r>
        <w:rPr>
          <w:rFonts w:ascii="Palatino Linotype" w:eastAsia="Palatino Linotype" w:hAnsi="Palatino Linotype" w:cs="Palatino Linotype"/>
          <w:color w:val="000000"/>
        </w:rPr>
        <w:t xml:space="preserve">, puso a disposición de las partes el expediente electrónico vía SAIMEX, 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derecho </w:t>
      </w:r>
      <w:r>
        <w:rPr>
          <w:rFonts w:ascii="Palatino Linotype" w:eastAsia="Palatino Linotype" w:hAnsi="Palatino Linotype" w:cs="Palatino Linotype"/>
        </w:rPr>
        <w:t>conviniera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 los casos concretos, de esta forma para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presentará</w:t>
      </w:r>
      <w:r>
        <w:rPr>
          <w:rFonts w:ascii="Palatino Linotype" w:eastAsia="Palatino Linotype" w:hAnsi="Palatino Linotype" w:cs="Palatino Linotype"/>
          <w:color w:val="000000"/>
        </w:rPr>
        <w:t xml:space="preserve"> su Informe Justificado procedente.</w:t>
      </w:r>
    </w:p>
    <w:p w14:paraId="7C10382F"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30"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las constancias que obran dentro del expediente digital formado en el SAIMEX,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presentó su informe justificado para confirmar, modificar o revocar su respuesta original; en el mismo sentido,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omitió el presentar cualquier tipo de alegatos o manifestaciones. Se adjunta la captura del apartado de </w:t>
      </w:r>
      <w:r>
        <w:rPr>
          <w:rFonts w:ascii="Palatino Linotype" w:eastAsia="Palatino Linotype" w:hAnsi="Palatino Linotype" w:cs="Palatino Linotype"/>
          <w:i/>
          <w:color w:val="000000"/>
        </w:rPr>
        <w:t>Manifestaciones</w:t>
      </w:r>
      <w:r>
        <w:rPr>
          <w:rFonts w:ascii="Palatino Linotype" w:eastAsia="Palatino Linotype" w:hAnsi="Palatino Linotype" w:cs="Palatino Linotype"/>
          <w:color w:val="000000"/>
        </w:rPr>
        <w:t xml:space="preserve"> como referencia:</w:t>
      </w:r>
    </w:p>
    <w:p w14:paraId="7C103831"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32" w14:textId="77777777" w:rsidR="008555F6" w:rsidRDefault="00016B73">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eastAsia="es-MX"/>
        </w:rPr>
        <w:lastRenderedPageBreak/>
        <w:drawing>
          <wp:inline distT="0" distB="0" distL="0" distR="0" wp14:anchorId="7C103985" wp14:editId="7C103986">
            <wp:extent cx="4958751" cy="1158052"/>
            <wp:effectExtent l="12700" t="12700" r="12700" b="127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958751" cy="1158052"/>
                    </a:xfrm>
                    <a:prstGeom prst="rect">
                      <a:avLst/>
                    </a:prstGeom>
                    <a:ln w="12700">
                      <a:solidFill>
                        <a:srgbClr val="000000"/>
                      </a:solidFill>
                      <a:prstDash val="solid"/>
                    </a:ln>
                  </pic:spPr>
                </pic:pic>
              </a:graphicData>
            </a:graphic>
          </wp:inline>
        </w:drawing>
      </w:r>
    </w:p>
    <w:p w14:paraId="7C103833"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34"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siete (07) de febrero de dos mil veinticuatro</w:t>
      </w:r>
      <w:r>
        <w:rPr>
          <w:rFonts w:ascii="Palatino Linotype" w:eastAsia="Palatino Linotype" w:hAnsi="Palatino Linotype" w:cs="Palatino Linotype"/>
          <w:color w:val="000000"/>
        </w:rPr>
        <w:t>, con fundamento en el artículo 181, tercer párrafo, de la Ley de Transparencia y Acceso a la Información Pública del Estado de México y Municipios se notificó que el plazo de 30 días para resolver el recurso de revisión sería ampliado por un periodo de 15 días hábiles adicionales.</w:t>
      </w:r>
    </w:p>
    <w:p w14:paraId="7C103835"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36"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Organismo Garante no pasa por alto explicar que, la dilación en la resolución del presente asunto encuentra justificación en que el alto número de recursos de revisión recibidos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7C103837"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38"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C103839"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3A"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10383B"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3C"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C10383D"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3E"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excepcionalmente, si un asunto es resuelto con posterioridad a los plazos señalados por la norma debe analizarse la razonabilidad de dicha dilación atendiendo a los siguientes criterios:</w:t>
      </w:r>
    </w:p>
    <w:p w14:paraId="7C10383F" w14:textId="77777777" w:rsidR="008555F6" w:rsidRDefault="00016B73">
      <w:pPr>
        <w:numPr>
          <w:ilvl w:val="1"/>
          <w:numId w:val="1"/>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Complejidad del </w:t>
      </w:r>
      <w:r>
        <w:rPr>
          <w:rFonts w:ascii="Palatino Linotype" w:eastAsia="Palatino Linotype" w:hAnsi="Palatino Linotype" w:cs="Palatino Linotype"/>
          <w:b/>
          <w:sz w:val="22"/>
          <w:szCs w:val="22"/>
        </w:rPr>
        <w:t>asunto</w:t>
      </w: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w:t>
      </w:r>
    </w:p>
    <w:p w14:paraId="7C103840" w14:textId="77777777" w:rsidR="008555F6" w:rsidRDefault="00016B73">
      <w:pPr>
        <w:numPr>
          <w:ilvl w:val="1"/>
          <w:numId w:val="1"/>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Actividad Procesal del interesado:</w:t>
      </w:r>
      <w:r>
        <w:rPr>
          <w:rFonts w:ascii="Palatino Linotype" w:eastAsia="Palatino Linotype" w:hAnsi="Palatino Linotype" w:cs="Palatino Linotype"/>
          <w:color w:val="000000"/>
          <w:sz w:val="22"/>
          <w:szCs w:val="22"/>
        </w:rPr>
        <w:t xml:space="preserve"> Acciones u omisiones del interesado.</w:t>
      </w:r>
    </w:p>
    <w:p w14:paraId="7C103841" w14:textId="77777777" w:rsidR="008555F6" w:rsidRDefault="00016B73">
      <w:pPr>
        <w:numPr>
          <w:ilvl w:val="1"/>
          <w:numId w:val="1"/>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Conducta de la Autoridad:</w:t>
      </w:r>
      <w:r>
        <w:rPr>
          <w:rFonts w:ascii="Palatino Linotype" w:eastAsia="Palatino Linotype" w:hAnsi="Palatino Linotype" w:cs="Palatino Linotype"/>
          <w:color w:val="000000"/>
          <w:sz w:val="22"/>
          <w:szCs w:val="22"/>
        </w:rPr>
        <w:t xml:space="preserve"> Las Acciones u omisiones realizadas en el procedimiento. Así como si la autoridad actuó con la debida diligencia.</w:t>
      </w:r>
    </w:p>
    <w:p w14:paraId="7C103842" w14:textId="77777777" w:rsidR="008555F6" w:rsidRDefault="00016B73">
      <w:pPr>
        <w:numPr>
          <w:ilvl w:val="1"/>
          <w:numId w:val="1"/>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La afectación generada en la situación jurídica de la persona involucrada en el proceso: </w:t>
      </w:r>
      <w:r>
        <w:rPr>
          <w:rFonts w:ascii="Palatino Linotype" w:eastAsia="Palatino Linotype" w:hAnsi="Palatino Linotype" w:cs="Palatino Linotype"/>
          <w:color w:val="000000"/>
          <w:sz w:val="22"/>
          <w:szCs w:val="22"/>
        </w:rPr>
        <w:t>Violación a sus derechos humanos.</w:t>
      </w:r>
    </w:p>
    <w:p w14:paraId="7C103843"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44"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Pr>
          <w:rFonts w:ascii="Palatino Linotype" w:eastAsia="Palatino Linotype" w:hAnsi="Palatino Linotype" w:cs="Palatino Linotype"/>
          <w:color w:val="000000"/>
        </w:rPr>
        <w:lastRenderedPageBreak/>
        <w:t>relación con la actuación del funcionario, como ha acontecido en el caso que nos ocupa.</w:t>
      </w:r>
    </w:p>
    <w:p w14:paraId="7C103845"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46"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Pr>
          <w:rFonts w:ascii="Palatino Linotype" w:eastAsia="Palatino Linotype" w:hAnsi="Palatino Linotype" w:cs="Palatino Linotype"/>
        </w:rPr>
        <w:t>del rubro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i/>
          <w:color w:val="000000"/>
          <w:vertAlign w:val="superscript"/>
        </w:rPr>
        <w:footnoteReference w:id="2"/>
      </w:r>
      <w:r>
        <w:rPr>
          <w:rFonts w:ascii="Palatino Linotype" w:eastAsia="Palatino Linotype" w:hAnsi="Palatino Linotype" w:cs="Palatino Linotype"/>
          <w:color w:val="000000"/>
        </w:rPr>
        <w:t xml:space="preserve">, visible en la Gaceta del </w:t>
      </w:r>
      <w:r>
        <w:rPr>
          <w:rFonts w:ascii="Palatino Linotype" w:eastAsia="Palatino Linotype" w:hAnsi="Palatino Linotype" w:cs="Palatino Linotype"/>
        </w:rPr>
        <w:t>Semanario</w:t>
      </w:r>
      <w:r>
        <w:rPr>
          <w:rFonts w:ascii="Palatino Linotype" w:eastAsia="Palatino Linotype" w:hAnsi="Palatino Linotype" w:cs="Palatino Linotype"/>
          <w:color w:val="000000"/>
        </w:rPr>
        <w:t xml:space="preserve"> Judicial de la Federación con el registro digital 205635.</w:t>
      </w:r>
    </w:p>
    <w:p w14:paraId="7C103847"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48"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C103849"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4A"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7C10384B" w14:textId="77777777" w:rsidR="008555F6" w:rsidRDefault="00016B73">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PLAZO RAZONABLE PARA RESOLVER. DIMENSIÓN Y EFECTOS DE ESTE CONCEPTO CUANDO SE ADUCE EXCESIVA CARGA DE TRABAJO.</w:t>
      </w:r>
      <w:r>
        <w:rPr>
          <w:rFonts w:ascii="Palatino Linotype" w:eastAsia="Palatino Linotype" w:hAnsi="Palatino Linotype" w:cs="Palatino Linotype"/>
          <w:i/>
          <w:color w:val="000000"/>
          <w:sz w:val="22"/>
          <w:szCs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w:t>
      </w:r>
      <w:r>
        <w:rPr>
          <w:rFonts w:ascii="Palatino Linotype" w:eastAsia="Palatino Linotype" w:hAnsi="Palatino Linotype" w:cs="Palatino Linotype"/>
          <w:i/>
          <w:color w:val="000000"/>
          <w:sz w:val="22"/>
          <w:szCs w:val="22"/>
        </w:rPr>
        <w:lastRenderedPageBreak/>
        <w:t>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Pr>
          <w:rFonts w:ascii="Palatino Linotype" w:eastAsia="Palatino Linotype" w:hAnsi="Palatino Linotype" w:cs="Palatino Linotype"/>
          <w:i/>
          <w:color w:val="000000"/>
          <w:sz w:val="22"/>
          <w:szCs w:val="22"/>
          <w:vertAlign w:val="superscript"/>
        </w:rPr>
        <w:footnoteReference w:id="3"/>
      </w:r>
    </w:p>
    <w:p w14:paraId="7C10384C" w14:textId="77777777" w:rsidR="008555F6" w:rsidRDefault="008555F6">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p>
    <w:p w14:paraId="7C10384D" w14:textId="77777777" w:rsidR="008555F6" w:rsidRDefault="00016B73">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PLAZO RAZONABLE PARA RESOLVER. CONCEPTO Y ELEMENTOS QUE LO INTEGRAN A LA LUZ DEL DERECHO INTERNACIONAL DE LOS DERECHOS HUMANOS.</w:t>
      </w:r>
      <w:r>
        <w:rPr>
          <w:rFonts w:ascii="Palatino Linotype" w:eastAsia="Palatino Linotype" w:hAnsi="Palatino Linotype" w:cs="Palatino Linotype"/>
          <w:i/>
          <w:color w:val="000000"/>
          <w:sz w:val="22"/>
          <w:szCs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w:t>
      </w:r>
      <w:r>
        <w:rPr>
          <w:rFonts w:ascii="Palatino Linotype" w:eastAsia="Palatino Linotype" w:hAnsi="Palatino Linotype" w:cs="Palatino Linotype"/>
          <w:i/>
          <w:color w:val="000000"/>
          <w:sz w:val="22"/>
          <w:szCs w:val="22"/>
        </w:rPr>
        <w:lastRenderedPageBreak/>
        <w:t>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Pr>
          <w:rFonts w:ascii="Palatino Linotype" w:eastAsia="Palatino Linotype" w:hAnsi="Palatino Linotype" w:cs="Palatino Linotype"/>
          <w:i/>
          <w:color w:val="000000"/>
          <w:sz w:val="22"/>
          <w:szCs w:val="22"/>
          <w:vertAlign w:val="superscript"/>
        </w:rPr>
        <w:footnoteReference w:id="4"/>
      </w:r>
    </w:p>
    <w:p w14:paraId="7C10384E"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4F"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este Organismo Garante, comprometido con la tutela de los derechos humanos confiados, señala que este exceso del plazo legal para resolver el presente asunto resulta de carácter excepcional. </w:t>
      </w:r>
    </w:p>
    <w:p w14:paraId="7C103850"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C103851"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bookmarkStart w:id="2" w:name="_heading=h.1fob9te" w:colFirst="0" w:colLast="0"/>
      <w:bookmarkEnd w:id="2"/>
      <w:r>
        <w:rPr>
          <w:rFonts w:ascii="Palatino Linotype" w:eastAsia="Palatino Linotype" w:hAnsi="Palatino Linotype" w:cs="Palatino Linotype"/>
          <w:color w:val="000000"/>
        </w:rPr>
        <w:t xml:space="preserve">Finalmente, el </w:t>
      </w:r>
      <w:r>
        <w:rPr>
          <w:rFonts w:ascii="Palatino Linotype" w:eastAsia="Palatino Linotype" w:hAnsi="Palatino Linotype" w:cs="Palatino Linotype"/>
          <w:b/>
          <w:color w:val="000000"/>
        </w:rPr>
        <w:t>quince (15) de agosto de dos mil veinticuatro</w:t>
      </w:r>
      <w:r>
        <w:rPr>
          <w:rFonts w:ascii="Palatino Linotype" w:eastAsia="Palatino Linotype" w:hAnsi="Palatino Linotype" w:cs="Palatino Linotype"/>
          <w:color w:val="000000"/>
        </w:rPr>
        <w:t>, la Comisionada Ponente decretó el cierre del periodo de instrucción, por lo que ordenó turnar el expediente para su resolución, misma que ahora se pronuncia; y --------------------------------------------------------------------------------------------------------------</w:t>
      </w:r>
    </w:p>
    <w:p w14:paraId="7C103852" w14:textId="77777777" w:rsidR="008555F6" w:rsidRDefault="00016B73">
      <w:pPr>
        <w:rPr>
          <w:rFonts w:ascii="Palatino Linotype" w:eastAsia="Palatino Linotype" w:hAnsi="Palatino Linotype" w:cs="Palatino Linotype"/>
          <w:color w:val="000000"/>
        </w:rPr>
      </w:pPr>
      <w:r>
        <w:br w:type="page"/>
      </w:r>
    </w:p>
    <w:p w14:paraId="7C103853" w14:textId="77777777" w:rsidR="008555F6" w:rsidRDefault="00016B73">
      <w:pPr>
        <w:pStyle w:val="Ttulo1"/>
        <w:spacing w:before="0"/>
        <w:jc w:val="center"/>
        <w:rPr>
          <w:b/>
          <w:color w:val="000000"/>
        </w:rPr>
      </w:pPr>
      <w:bookmarkStart w:id="3" w:name="_heading=h.3znysh7" w:colFirst="0" w:colLast="0"/>
      <w:bookmarkEnd w:id="3"/>
      <w:r>
        <w:rPr>
          <w:b/>
        </w:rPr>
        <w:lastRenderedPageBreak/>
        <w:t>C</w:t>
      </w:r>
      <w:r>
        <w:rPr>
          <w:b/>
          <w:color w:val="000000"/>
        </w:rPr>
        <w:t xml:space="preserve"> O N S I D E R A N D O</w:t>
      </w:r>
    </w:p>
    <w:p w14:paraId="7C103854" w14:textId="77777777" w:rsidR="008555F6" w:rsidRDefault="008555F6">
      <w:pPr>
        <w:rPr>
          <w:color w:val="000000"/>
        </w:rPr>
      </w:pPr>
    </w:p>
    <w:p w14:paraId="7C103855" w14:textId="77777777" w:rsidR="008555F6" w:rsidRDefault="008555F6">
      <w:pPr>
        <w:rPr>
          <w:color w:val="000000"/>
        </w:rPr>
      </w:pPr>
    </w:p>
    <w:p w14:paraId="7C103856" w14:textId="77777777" w:rsidR="008555F6" w:rsidRDefault="00016B73">
      <w:pPr>
        <w:pStyle w:val="Ttulo2"/>
        <w:spacing w:before="0"/>
        <w:rPr>
          <w:rFonts w:ascii="Palatino Linotype" w:eastAsia="Palatino Linotype" w:hAnsi="Palatino Linotype" w:cs="Palatino Linotype"/>
          <w:b/>
          <w:color w:val="000000"/>
          <w:sz w:val="24"/>
          <w:szCs w:val="24"/>
        </w:rPr>
      </w:pPr>
      <w:bookmarkStart w:id="4" w:name="_heading=h.2et92p0" w:colFirst="0" w:colLast="0"/>
      <w:bookmarkEnd w:id="4"/>
      <w:r>
        <w:rPr>
          <w:rFonts w:ascii="Palatino Linotype" w:eastAsia="Palatino Linotype" w:hAnsi="Palatino Linotype" w:cs="Palatino Linotype"/>
          <w:b/>
          <w:color w:val="000000"/>
          <w:sz w:val="24"/>
          <w:szCs w:val="24"/>
        </w:rPr>
        <w:t>PRIMERO. De la competencia</w:t>
      </w:r>
    </w:p>
    <w:p w14:paraId="7C103857"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C103858" w14:textId="77777777" w:rsidR="008555F6" w:rsidRDefault="008555F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14:paraId="7C103859" w14:textId="77777777" w:rsidR="008555F6" w:rsidRDefault="00016B73">
      <w:pPr>
        <w:pStyle w:val="Ttulo2"/>
        <w:tabs>
          <w:tab w:val="left" w:pos="426"/>
        </w:tabs>
        <w:spacing w:before="0"/>
        <w:rPr>
          <w:rFonts w:ascii="Palatino Linotype" w:eastAsia="Palatino Linotype" w:hAnsi="Palatino Linotype" w:cs="Palatino Linotype"/>
          <w:b/>
          <w:color w:val="000000"/>
          <w:sz w:val="24"/>
          <w:szCs w:val="24"/>
        </w:rPr>
      </w:pPr>
      <w:bookmarkStart w:id="5" w:name="_heading=h.tyjcwt" w:colFirst="0" w:colLast="0"/>
      <w:bookmarkEnd w:id="5"/>
      <w:r>
        <w:rPr>
          <w:rFonts w:ascii="Palatino Linotype" w:eastAsia="Palatino Linotype" w:hAnsi="Palatino Linotype" w:cs="Palatino Linotype"/>
          <w:b/>
          <w:color w:val="000000"/>
          <w:sz w:val="24"/>
          <w:szCs w:val="24"/>
        </w:rPr>
        <w:t>SEGUNDO. De la oportunidad y procedencia.</w:t>
      </w:r>
    </w:p>
    <w:p w14:paraId="7C10385A" w14:textId="77777777" w:rsidR="008555F6" w:rsidRDefault="00016B73">
      <w:pPr>
        <w:numPr>
          <w:ilvl w:val="0"/>
          <w:numId w:val="7"/>
        </w:numPr>
        <w:tabs>
          <w:tab w:val="left" w:pos="426"/>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rPr>
        <w:t>medio de impugnación fue presentado a través del SAIMEX</w:t>
      </w:r>
      <w:r>
        <w:rPr>
          <w:rFonts w:ascii="Palatino Linotype" w:eastAsia="Palatino Linotype" w:hAnsi="Palatino Linotype" w:cs="Palatino Linotype"/>
          <w:b/>
        </w:rPr>
        <w:t>,</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respuesta el </w:t>
      </w:r>
      <w:r>
        <w:rPr>
          <w:rFonts w:ascii="Palatino Linotype" w:eastAsia="Palatino Linotype" w:hAnsi="Palatino Linotype" w:cs="Palatino Linotype"/>
          <w:b/>
        </w:rPr>
        <w:t>treinta (30) de agosto de dos mil veintitrés</w:t>
      </w:r>
      <w:r>
        <w:rPr>
          <w:rFonts w:ascii="Palatino Linotype" w:eastAsia="Palatino Linotype" w:hAnsi="Palatino Linotype" w:cs="Palatino Linotype"/>
        </w:rPr>
        <w:t xml:space="preserve">, el plazo para interponer el recurso de revisión transcurrió del </w:t>
      </w:r>
      <w:r>
        <w:rPr>
          <w:rFonts w:ascii="Palatino Linotype" w:eastAsia="Palatino Linotype" w:hAnsi="Palatino Linotype" w:cs="Palatino Linotype"/>
          <w:b/>
        </w:rPr>
        <w:t xml:space="preserve">treinta y uno (31) de agosto </w:t>
      </w:r>
      <w:r>
        <w:rPr>
          <w:rFonts w:ascii="Palatino Linotype" w:eastAsia="Palatino Linotype" w:hAnsi="Palatino Linotype" w:cs="Palatino Linotype"/>
        </w:rPr>
        <w:t>al</w:t>
      </w:r>
      <w:r>
        <w:rPr>
          <w:rFonts w:ascii="Palatino Linotype" w:eastAsia="Palatino Linotype" w:hAnsi="Palatino Linotype" w:cs="Palatino Linotype"/>
          <w:b/>
        </w:rPr>
        <w:t xml:space="preserve"> veinte (20) de septiembre de dos mil veintitrés</w:t>
      </w:r>
      <w:r>
        <w:rPr>
          <w:rFonts w:ascii="Palatino Linotype" w:eastAsia="Palatino Linotype" w:hAnsi="Palatino Linotype" w:cs="Palatino Linotype"/>
        </w:rPr>
        <w:t>; sin contemplar en el cómputo los sábados y domingos, en términos del artículo 3, fracción X, de la Ley de Transparencia y Acceso a la Información Pública del Estado de México y Municipios.</w:t>
      </w:r>
    </w:p>
    <w:p w14:paraId="7C10385B" w14:textId="77777777" w:rsidR="008555F6" w:rsidRDefault="008555F6">
      <w:pPr>
        <w:tabs>
          <w:tab w:val="left" w:pos="426"/>
        </w:tabs>
        <w:spacing w:line="360" w:lineRule="auto"/>
        <w:ind w:right="49"/>
        <w:jc w:val="both"/>
        <w:rPr>
          <w:rFonts w:ascii="Palatino Linotype" w:eastAsia="Palatino Linotype" w:hAnsi="Palatino Linotype" w:cs="Palatino Linotype"/>
        </w:rPr>
      </w:pPr>
    </w:p>
    <w:p w14:paraId="7C10385C" w14:textId="77777777" w:rsidR="008555F6" w:rsidRDefault="00016B73">
      <w:pPr>
        <w:numPr>
          <w:ilvl w:val="0"/>
          <w:numId w:val="7"/>
        </w:numPr>
        <w:tabs>
          <w:tab w:val="left" w:pos="426"/>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Luego entonces, si el recurso de revisión </w:t>
      </w:r>
      <w:r>
        <w:rPr>
          <w:rFonts w:ascii="Palatino Linotype" w:eastAsia="Palatino Linotype" w:hAnsi="Palatino Linotype" w:cs="Palatino Linotype"/>
          <w:b/>
        </w:rPr>
        <w:t>05963/INFOEM/IP/RR/2023</w:t>
      </w:r>
      <w:r>
        <w:rPr>
          <w:rFonts w:ascii="Palatino Linotype" w:eastAsia="Palatino Linotype" w:hAnsi="Palatino Linotype" w:cs="Palatino Linotype"/>
        </w:rPr>
        <w:t xml:space="preserve"> se promovió el </w:t>
      </w:r>
      <w:r>
        <w:rPr>
          <w:rFonts w:ascii="Palatino Linotype" w:eastAsia="Palatino Linotype" w:hAnsi="Palatino Linotype" w:cs="Palatino Linotype"/>
          <w:b/>
        </w:rPr>
        <w:t>doce (12) de septiembre de dos mil veintitrés</w:t>
      </w:r>
      <w:r>
        <w:rPr>
          <w:rFonts w:ascii="Palatino Linotype" w:eastAsia="Palatino Linotype" w:hAnsi="Palatino Linotype" w:cs="Palatino Linotype"/>
        </w:rPr>
        <w:t>, éste se encuentra dentro de los márgenes temporales previstos por la Ley de la materia.</w:t>
      </w:r>
    </w:p>
    <w:p w14:paraId="7C10385D" w14:textId="77777777" w:rsidR="008555F6" w:rsidRDefault="008555F6">
      <w:pPr>
        <w:tabs>
          <w:tab w:val="left" w:pos="426"/>
        </w:tabs>
        <w:spacing w:line="360" w:lineRule="auto"/>
        <w:ind w:right="49"/>
        <w:jc w:val="both"/>
        <w:rPr>
          <w:rFonts w:ascii="Palatino Linotype" w:eastAsia="Palatino Linotype" w:hAnsi="Palatino Linotype" w:cs="Palatino Linotype"/>
        </w:rPr>
      </w:pPr>
    </w:p>
    <w:p w14:paraId="7C10385E" w14:textId="77777777" w:rsidR="008555F6" w:rsidRDefault="00016B73">
      <w:pPr>
        <w:numPr>
          <w:ilvl w:val="0"/>
          <w:numId w:val="7"/>
        </w:numPr>
        <w:tabs>
          <w:tab w:val="left" w:pos="426"/>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de la revisión al  expediente electrónico contenido en el SAIMEX, se desprende que la parte solicitante, en ejercicio de su derecho de acceso a la información pública en el expediente que se revisa, tanto en la solicitud de información como en el recurso de revisión, </w:t>
      </w:r>
      <w:r>
        <w:rPr>
          <w:rFonts w:ascii="Palatino Linotype" w:eastAsia="Palatino Linotype" w:hAnsi="Palatino Linotype" w:cs="Palatino Linotype"/>
          <w:b/>
        </w:rPr>
        <w:t>no señaló ningún nombre, seudónimo o carácter para identificarse, ni se tiene certeza de su identidad</w:t>
      </w:r>
      <w:r>
        <w:rPr>
          <w:rFonts w:ascii="Palatino Linotype" w:eastAsia="Palatino Linotype" w:hAnsi="Palatino Linotype" w:cs="Palatino Linotype"/>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7C10385F" w14:textId="77777777" w:rsidR="008555F6" w:rsidRDefault="008555F6">
      <w:pPr>
        <w:tabs>
          <w:tab w:val="left" w:pos="426"/>
        </w:tabs>
        <w:spacing w:line="360" w:lineRule="auto"/>
        <w:ind w:right="49"/>
        <w:jc w:val="both"/>
        <w:rPr>
          <w:rFonts w:ascii="Palatino Linotype" w:eastAsia="Palatino Linotype" w:hAnsi="Palatino Linotype" w:cs="Palatino Linotype"/>
        </w:rPr>
      </w:pPr>
    </w:p>
    <w:p w14:paraId="7C103860" w14:textId="77777777" w:rsidR="008555F6" w:rsidRDefault="00016B73">
      <w:pPr>
        <w:numPr>
          <w:ilvl w:val="0"/>
          <w:numId w:val="7"/>
        </w:numPr>
        <w:tabs>
          <w:tab w:val="left" w:pos="426"/>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Esto es así, ya que de conformidad con los artículos 6, apartado A, fracciones III y IV de la Constitución Política de los Estados Unidos Mexicanos; 5, párrafos trigésimo, trigésimo primero y trigésimo segundo, fracciones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C103861" w14:textId="77777777" w:rsidR="008555F6" w:rsidRDefault="008555F6">
      <w:pPr>
        <w:tabs>
          <w:tab w:val="left" w:pos="426"/>
        </w:tabs>
        <w:spacing w:line="360" w:lineRule="auto"/>
        <w:ind w:right="49"/>
        <w:jc w:val="both"/>
        <w:rPr>
          <w:rFonts w:ascii="Palatino Linotype" w:eastAsia="Palatino Linotype" w:hAnsi="Palatino Linotype" w:cs="Palatino Linotype"/>
        </w:rPr>
      </w:pPr>
    </w:p>
    <w:p w14:paraId="7C103862" w14:textId="77777777" w:rsidR="008555F6" w:rsidRDefault="00016B73">
      <w:pPr>
        <w:numPr>
          <w:ilvl w:val="0"/>
          <w:numId w:val="7"/>
        </w:numPr>
        <w:tabs>
          <w:tab w:val="left" w:pos="426"/>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C103863" w14:textId="77777777" w:rsidR="008555F6" w:rsidRDefault="008555F6">
      <w:pPr>
        <w:tabs>
          <w:tab w:val="left" w:pos="426"/>
        </w:tabs>
        <w:spacing w:line="360" w:lineRule="auto"/>
        <w:ind w:right="49"/>
        <w:jc w:val="both"/>
        <w:rPr>
          <w:rFonts w:ascii="Palatino Linotype" w:eastAsia="Palatino Linotype" w:hAnsi="Palatino Linotype" w:cs="Palatino Linotype"/>
        </w:rPr>
      </w:pPr>
    </w:p>
    <w:p w14:paraId="7C103864" w14:textId="77777777" w:rsidR="008555F6" w:rsidRDefault="00016B73">
      <w:pPr>
        <w:numPr>
          <w:ilvl w:val="0"/>
          <w:numId w:val="7"/>
        </w:numPr>
        <w:tabs>
          <w:tab w:val="left" w:pos="426"/>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como lo establece la Convención Americana, en su artículo 13, el derecho de acceso a la información es un derecho humano universal y, en consecuencia, toda persona tiene derecho a solicitar acceso a la información.</w:t>
      </w:r>
    </w:p>
    <w:p w14:paraId="7C103865" w14:textId="77777777" w:rsidR="008555F6" w:rsidRDefault="008555F6">
      <w:pPr>
        <w:tabs>
          <w:tab w:val="left" w:pos="426"/>
        </w:tabs>
        <w:spacing w:line="360" w:lineRule="auto"/>
        <w:ind w:right="49"/>
        <w:jc w:val="both"/>
        <w:rPr>
          <w:rFonts w:ascii="Palatino Linotype" w:eastAsia="Palatino Linotype" w:hAnsi="Palatino Linotype" w:cs="Palatino Linotype"/>
        </w:rPr>
      </w:pPr>
    </w:p>
    <w:p w14:paraId="7C103866" w14:textId="77777777" w:rsidR="008555F6" w:rsidRDefault="00016B73">
      <w:pPr>
        <w:numPr>
          <w:ilvl w:val="0"/>
          <w:numId w:val="7"/>
        </w:numPr>
        <w:tabs>
          <w:tab w:val="left" w:pos="426"/>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C103867" w14:textId="77777777" w:rsidR="008555F6" w:rsidRDefault="008555F6">
      <w:pPr>
        <w:tabs>
          <w:tab w:val="left" w:pos="426"/>
        </w:tabs>
        <w:spacing w:line="360" w:lineRule="auto"/>
        <w:ind w:right="49"/>
        <w:jc w:val="both"/>
        <w:rPr>
          <w:rFonts w:ascii="Palatino Linotype" w:eastAsia="Palatino Linotype" w:hAnsi="Palatino Linotype" w:cs="Palatino Linotype"/>
        </w:rPr>
      </w:pPr>
    </w:p>
    <w:p w14:paraId="7C103868" w14:textId="77777777" w:rsidR="008555F6" w:rsidRDefault="00016B73">
      <w:pPr>
        <w:numPr>
          <w:ilvl w:val="0"/>
          <w:numId w:val="7"/>
        </w:numPr>
        <w:tabs>
          <w:tab w:val="left" w:pos="426"/>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el nombre de la </w:t>
      </w:r>
      <w:r>
        <w:rPr>
          <w:rFonts w:ascii="Palatino Linotype" w:eastAsia="Palatino Linotype" w:hAnsi="Palatino Linotype" w:cs="Palatino Linotype"/>
          <w:b/>
        </w:rPr>
        <w:t>SOLICITANTE</w:t>
      </w:r>
      <w:r>
        <w:rPr>
          <w:rFonts w:ascii="Palatino Linotype" w:eastAsia="Palatino Linotype" w:hAnsi="Palatino Linotype" w:cs="Palatino Linotype"/>
        </w:rPr>
        <w:t xml:space="preserve"> y subsecuente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7C103869" w14:textId="77777777" w:rsidR="008555F6" w:rsidRDefault="008555F6">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7C10386A" w14:textId="77777777" w:rsidR="008555F6" w:rsidRDefault="00016B73">
      <w:pPr>
        <w:numPr>
          <w:ilvl w:val="0"/>
          <w:numId w:val="7"/>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7C10386B" w14:textId="77777777" w:rsidR="008555F6" w:rsidRDefault="008555F6">
      <w:pPr>
        <w:rPr>
          <w:rFonts w:ascii="Palatino Linotype" w:eastAsia="Palatino Linotype" w:hAnsi="Palatino Linotype" w:cs="Palatino Linotype"/>
          <w:color w:val="000000"/>
        </w:rPr>
      </w:pPr>
    </w:p>
    <w:p w14:paraId="7C10386C" w14:textId="77777777" w:rsidR="008555F6" w:rsidRDefault="00016B7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bookmarkStart w:id="6" w:name="_heading=h.3dy6vkm" w:colFirst="0" w:colLast="0"/>
      <w:bookmarkEnd w:id="6"/>
      <w:r>
        <w:rPr>
          <w:rFonts w:ascii="Palatino Linotype" w:eastAsia="Palatino Linotype" w:hAnsi="Palatino Linotype" w:cs="Palatino Linotype"/>
          <w:b/>
          <w:color w:val="000000"/>
        </w:rPr>
        <w:t xml:space="preserve">TERCERO. Del planteamiento de la </w:t>
      </w:r>
      <w:r>
        <w:rPr>
          <w:rFonts w:ascii="Palatino Linotype" w:eastAsia="Palatino Linotype" w:hAnsi="Palatino Linotype" w:cs="Palatino Linotype"/>
          <w:b/>
          <w:i/>
          <w:color w:val="000000"/>
        </w:rPr>
        <w:t>Litis</w:t>
      </w:r>
      <w:r>
        <w:rPr>
          <w:rFonts w:ascii="Palatino Linotype" w:eastAsia="Palatino Linotype" w:hAnsi="Palatino Linotype" w:cs="Palatino Linotype"/>
          <w:b/>
          <w:color w:val="000000"/>
        </w:rPr>
        <w:t>.</w:t>
      </w:r>
    </w:p>
    <w:p w14:paraId="7C10386D" w14:textId="77777777" w:rsidR="008555F6" w:rsidRDefault="00016B73">
      <w:pPr>
        <w:numPr>
          <w:ilvl w:val="0"/>
          <w:numId w:val="7"/>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w:t>
      </w:r>
      <w:r>
        <w:rPr>
          <w:rFonts w:ascii="Palatino Linotype" w:eastAsia="Palatino Linotype" w:hAnsi="Palatino Linotype" w:cs="Palatino Linotype"/>
        </w:rPr>
        <w:t>requirió el monto</w:t>
      </w:r>
      <w:r>
        <w:rPr>
          <w:rFonts w:ascii="Palatino Linotype" w:eastAsia="Palatino Linotype" w:hAnsi="Palatino Linotype" w:cs="Palatino Linotype"/>
          <w:color w:val="000000"/>
        </w:rPr>
        <w:t xml:space="preserve"> de los ingresos, así como su concepto, recabados durante el ejercicio dos mil veintidós. A través del Tesorero Municipal,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informó el monto que recaudó el Ayuntamiento de Zinacantepec, durante el ejercicio dos mil veintidós, y entregó el Estado de Actividades del uno (01) al treinta y uno (31) de diciembre de dos mil </w:t>
      </w:r>
      <w:r>
        <w:rPr>
          <w:rFonts w:ascii="Palatino Linotype" w:eastAsia="Palatino Linotype" w:hAnsi="Palatino Linotype" w:cs="Palatino Linotype"/>
        </w:rPr>
        <w:t>veintidós</w:t>
      </w:r>
      <w:r>
        <w:rPr>
          <w:rFonts w:ascii="Palatino Linotype" w:eastAsia="Palatino Linotype" w:hAnsi="Palatino Linotype" w:cs="Palatino Linotype"/>
          <w:color w:val="000000"/>
        </w:rPr>
        <w:t>.</w:t>
      </w:r>
    </w:p>
    <w:p w14:paraId="7C10386E" w14:textId="77777777" w:rsidR="008555F6" w:rsidRDefault="008555F6">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7C10386F" w14:textId="77777777" w:rsidR="008555F6" w:rsidRDefault="00016B73">
      <w:pPr>
        <w:numPr>
          <w:ilvl w:val="0"/>
          <w:numId w:val="7"/>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particular impugnó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mediante el recurso de revisión con número indicado al rubro, y en el que señaló por agravios, que no se cumplió con lo solicitado.</w:t>
      </w:r>
    </w:p>
    <w:p w14:paraId="7C103870" w14:textId="77777777" w:rsidR="008555F6" w:rsidRDefault="008555F6">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7C103871" w14:textId="77777777" w:rsidR="008555F6" w:rsidRDefault="00016B73">
      <w:pPr>
        <w:numPr>
          <w:ilvl w:val="0"/>
          <w:numId w:val="7"/>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este Órgano Garante advierte que las razones o motivos de inconformidad manifestados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sugieren que la respuesta proporcionada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cumplió con los principios </w:t>
      </w:r>
      <w:r>
        <w:rPr>
          <w:rFonts w:ascii="Palatino Linotype" w:eastAsia="Palatino Linotype" w:hAnsi="Palatino Linotype" w:cs="Palatino Linotype"/>
        </w:rPr>
        <w:t>contenidos</w:t>
      </w:r>
      <w:r>
        <w:rPr>
          <w:rFonts w:ascii="Palatino Linotype" w:eastAsia="Palatino Linotype" w:hAnsi="Palatino Linotype" w:cs="Palatino Linotype"/>
          <w:color w:val="000000"/>
        </w:rPr>
        <w:t xml:space="preserve"> en el artículo 11 de la Ley de Transparencia y Acceso a la Información Pública del Estado de México y Municipios, los cuales señalan que en la generación, publicación y entrega de información se deberá garantizar que ésta sea </w:t>
      </w:r>
      <w:r>
        <w:rPr>
          <w:rFonts w:ascii="Palatino Linotype" w:eastAsia="Palatino Linotype" w:hAnsi="Palatino Linotype" w:cs="Palatino Linotype"/>
          <w:b/>
          <w:color w:val="000000"/>
        </w:rPr>
        <w:t xml:space="preserve">congruente </w:t>
      </w:r>
      <w:r>
        <w:rPr>
          <w:rFonts w:ascii="Palatino Linotype" w:eastAsia="Palatino Linotype" w:hAnsi="Palatino Linotype" w:cs="Palatino Linotype"/>
          <w:color w:val="000000"/>
        </w:rPr>
        <w:t>y</w:t>
      </w:r>
      <w:r>
        <w:rPr>
          <w:rFonts w:ascii="Palatino Linotype" w:eastAsia="Palatino Linotype" w:hAnsi="Palatino Linotype" w:cs="Palatino Linotype"/>
          <w:b/>
          <w:color w:val="000000"/>
        </w:rPr>
        <w:t xml:space="preserve"> completa.</w:t>
      </w:r>
    </w:p>
    <w:p w14:paraId="7C103872" w14:textId="77777777" w:rsidR="008555F6" w:rsidRDefault="00016B73">
      <w:pPr>
        <w:numPr>
          <w:ilvl w:val="0"/>
          <w:numId w:val="7"/>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lo anterior,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a resolver en el presente recurso se circunscribe en determinar si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colma el derecho de acceso a la información ejercido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o, si por el contrario, se actualizan las causales de procedencia del recurso de revisión establecidas en el artículo 179 fracciones V y/o VI de la Ley de Transparencia y Acceso a la Información Pública del Estado de México y Municipios</w:t>
      </w:r>
      <w:r>
        <w:rPr>
          <w:rFonts w:ascii="Palatino Linotype" w:eastAsia="Palatino Linotype" w:hAnsi="Palatino Linotype" w:cs="Palatino Linotype"/>
          <w:color w:val="000000"/>
          <w:vertAlign w:val="superscript"/>
        </w:rPr>
        <w:footnoteReference w:id="5"/>
      </w:r>
      <w:r>
        <w:rPr>
          <w:rFonts w:ascii="Palatino Linotype" w:eastAsia="Palatino Linotype" w:hAnsi="Palatino Linotype" w:cs="Palatino Linotype"/>
          <w:color w:val="000000"/>
        </w:rPr>
        <w:t>.</w:t>
      </w:r>
    </w:p>
    <w:p w14:paraId="7C103873" w14:textId="77777777" w:rsidR="008555F6" w:rsidRDefault="008555F6">
      <w:pPr>
        <w:rPr>
          <w:rFonts w:ascii="Palatino Linotype" w:eastAsia="Palatino Linotype" w:hAnsi="Palatino Linotype" w:cs="Palatino Linotype"/>
          <w:color w:val="000000"/>
        </w:rPr>
      </w:pPr>
    </w:p>
    <w:p w14:paraId="7C103874" w14:textId="77777777" w:rsidR="008555F6" w:rsidRDefault="00016B73">
      <w:pPr>
        <w:pStyle w:val="Ttulo2"/>
        <w:tabs>
          <w:tab w:val="left" w:pos="426"/>
        </w:tabs>
        <w:rPr>
          <w:rFonts w:ascii="Palatino Linotype" w:eastAsia="Palatino Linotype" w:hAnsi="Palatino Linotype" w:cs="Palatino Linotype"/>
          <w:b/>
          <w:color w:val="000000"/>
          <w:sz w:val="24"/>
          <w:szCs w:val="24"/>
        </w:rPr>
      </w:pPr>
      <w:bookmarkStart w:id="7" w:name="_heading=h.4d34og8" w:colFirst="0" w:colLast="0"/>
      <w:bookmarkEnd w:id="7"/>
      <w:r>
        <w:rPr>
          <w:rFonts w:ascii="Palatino Linotype" w:eastAsia="Palatino Linotype" w:hAnsi="Palatino Linotype" w:cs="Palatino Linotype"/>
          <w:b/>
          <w:color w:val="000000"/>
          <w:sz w:val="24"/>
          <w:szCs w:val="24"/>
        </w:rPr>
        <w:t>CUARTO. Estudio y resolución del asunto.</w:t>
      </w:r>
    </w:p>
    <w:p w14:paraId="7C103875" w14:textId="77777777" w:rsidR="008555F6" w:rsidRDefault="00016B73">
      <w:pPr>
        <w:pStyle w:val="Ttulo3"/>
        <w:spacing w:before="0" w:after="0" w:line="360" w:lineRule="auto"/>
        <w:rPr>
          <w:rFonts w:ascii="Palatino Linotype" w:eastAsia="Palatino Linotype" w:hAnsi="Palatino Linotype" w:cs="Palatino Linotype"/>
          <w:color w:val="000000"/>
          <w:sz w:val="24"/>
          <w:szCs w:val="24"/>
        </w:rPr>
      </w:pPr>
      <w:bookmarkStart w:id="8" w:name="_heading=h.17dp8vu" w:colFirst="0" w:colLast="0"/>
      <w:bookmarkEnd w:id="8"/>
      <w:r>
        <w:rPr>
          <w:rFonts w:ascii="Palatino Linotype" w:eastAsia="Palatino Linotype" w:hAnsi="Palatino Linotype" w:cs="Palatino Linotype"/>
          <w:color w:val="000000"/>
          <w:sz w:val="24"/>
          <w:szCs w:val="24"/>
        </w:rPr>
        <w:t>I. De la atención a la solicitud de información.</w:t>
      </w:r>
    </w:p>
    <w:p w14:paraId="7C103876"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Ley de Transparencia y Acceso a la Información Pública del Estado de México y Municipios, en su artículo 150, establece que </w:t>
      </w:r>
      <w:r>
        <w:rPr>
          <w:rFonts w:ascii="Palatino Linotype" w:eastAsia="Palatino Linotype" w:hAnsi="Palatino Linotype" w:cs="Palatino Linotype"/>
          <w:b/>
          <w:color w:val="000000"/>
        </w:rPr>
        <w:t>el procedimiento de acceso a la información es la garantía primaria del derecho en cuestión y se rige por los principios de</w:t>
      </w:r>
      <w:r>
        <w:rPr>
          <w:rFonts w:ascii="Palatino Linotype" w:eastAsia="Palatino Linotype" w:hAnsi="Palatino Linotype" w:cs="Palatino Linotype"/>
          <w:color w:val="000000"/>
        </w:rPr>
        <w:t xml:space="preserve"> simplicidad, rapidez gratuidad del procedimiento, </w:t>
      </w:r>
      <w:r>
        <w:rPr>
          <w:rFonts w:ascii="Palatino Linotype" w:eastAsia="Palatino Linotype" w:hAnsi="Palatino Linotype" w:cs="Palatino Linotype"/>
          <w:b/>
          <w:color w:val="000000"/>
        </w:rPr>
        <w:t>auxilio y orientación a los particulares</w:t>
      </w:r>
      <w:r>
        <w:rPr>
          <w:rFonts w:ascii="Palatino Linotype" w:eastAsia="Palatino Linotype" w:hAnsi="Palatino Linotype" w:cs="Palatino Linotype"/>
          <w:color w:val="000000"/>
        </w:rPr>
        <w:t>, así como atención adecuada a las personas con discapacidad y a los hablantes de lengua indígena con el objeto de otorgar la protección más amplia del derecho de las personas.</w:t>
      </w:r>
    </w:p>
    <w:p w14:paraId="7C103877"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78"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atender las solicitudes de información, los Sujetos Obligados contarán con un área denominada </w:t>
      </w:r>
      <w:r>
        <w:rPr>
          <w:rFonts w:ascii="Palatino Linotype" w:eastAsia="Palatino Linotype" w:hAnsi="Palatino Linotype" w:cs="Palatino Linotype"/>
          <w:b/>
          <w:color w:val="000000"/>
        </w:rPr>
        <w:t>Unidad de Transparencia</w:t>
      </w:r>
      <w:r>
        <w:rPr>
          <w:rFonts w:ascii="Palatino Linotype" w:eastAsia="Palatino Linotype" w:hAnsi="Palatino Linotype" w:cs="Palatino Linotype"/>
          <w:color w:val="000000"/>
          <w:vertAlign w:val="superscript"/>
        </w:rPr>
        <w:footnoteReference w:id="6"/>
      </w:r>
      <w:r>
        <w:rPr>
          <w:rFonts w:ascii="Palatino Linotype" w:eastAsia="Palatino Linotype" w:hAnsi="Palatino Linotype" w:cs="Palatino Linotype"/>
          <w:color w:val="000000"/>
        </w:rPr>
        <w:t xml:space="preserve">, la cual será presidida por un Titular, quien fungirá como enlace entre éstos y los solicitantes. Dicha Unidad </w:t>
      </w:r>
      <w:r>
        <w:rPr>
          <w:rFonts w:ascii="Palatino Linotype" w:eastAsia="Palatino Linotype" w:hAnsi="Palatino Linotype" w:cs="Palatino Linotype"/>
          <w:b/>
          <w:color w:val="000000"/>
        </w:rPr>
        <w:t>será la encargada de tramitar internamente la solicitud de información</w:t>
      </w:r>
      <w:r>
        <w:rPr>
          <w:rFonts w:ascii="Palatino Linotype" w:eastAsia="Palatino Linotype" w:hAnsi="Palatino Linotype" w:cs="Palatino Linotype"/>
          <w:color w:val="000000"/>
        </w:rPr>
        <w:t xml:space="preserve"> y tendrá la alta </w:t>
      </w:r>
      <w:r>
        <w:rPr>
          <w:rFonts w:ascii="Palatino Linotype" w:eastAsia="Palatino Linotype" w:hAnsi="Palatino Linotype" w:cs="Palatino Linotype"/>
          <w:color w:val="000000"/>
        </w:rPr>
        <w:lastRenderedPageBreak/>
        <w:t xml:space="preserve">responsabilidad de verificar, en cada caso, que la misma no sea confidencial o reservada. Asimismo, contará con las facultades internas necesarias para </w:t>
      </w:r>
      <w:r>
        <w:rPr>
          <w:rFonts w:ascii="Palatino Linotype" w:eastAsia="Palatino Linotype" w:hAnsi="Palatino Linotype" w:cs="Palatino Linotype"/>
          <w:b/>
          <w:color w:val="000000"/>
        </w:rPr>
        <w:t xml:space="preserve">gestionar la atención a las solicitudes de información </w:t>
      </w:r>
      <w:r>
        <w:rPr>
          <w:rFonts w:ascii="Palatino Linotype" w:eastAsia="Palatino Linotype" w:hAnsi="Palatino Linotype" w:cs="Palatino Linotype"/>
          <w:color w:val="000000"/>
        </w:rPr>
        <w:t>en los términos de la Ley General y la Ley de Transparencia y Acceso a la Información Pública del Estado de México y Municipios</w:t>
      </w:r>
      <w:r>
        <w:rPr>
          <w:rFonts w:ascii="Palatino Linotype" w:eastAsia="Palatino Linotype" w:hAnsi="Palatino Linotype" w:cs="Palatino Linotype"/>
          <w:color w:val="000000"/>
          <w:vertAlign w:val="superscript"/>
        </w:rPr>
        <w:footnoteReference w:id="7"/>
      </w:r>
      <w:r>
        <w:rPr>
          <w:rFonts w:ascii="Palatino Linotype" w:eastAsia="Palatino Linotype" w:hAnsi="Palatino Linotype" w:cs="Palatino Linotype"/>
          <w:color w:val="000000"/>
        </w:rPr>
        <w:t>.</w:t>
      </w:r>
    </w:p>
    <w:p w14:paraId="7C103879"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7A"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conformidad con lo dispuesto por el artículo 53 de la Ley de Transparencia y Acceso a la Información Pública del Estado de México y Municipios, las Unidades de Transparencia tendrán, entre sus atribuciones, las siguientes:</w:t>
      </w:r>
    </w:p>
    <w:p w14:paraId="7C10387B" w14:textId="77777777" w:rsidR="008555F6" w:rsidRDefault="00016B73">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Recibir, tramitar y dar respuesta a las solicitudes de acceso a la información;</w:t>
      </w:r>
    </w:p>
    <w:p w14:paraId="7C10387C" w14:textId="77777777" w:rsidR="008555F6" w:rsidRDefault="00016B73">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Realizar, con efectividad, los trámites internos necesarios para la atención de las solicitudes de acceso a la información; </w:t>
      </w:r>
    </w:p>
    <w:p w14:paraId="7C10387D" w14:textId="77777777" w:rsidR="008555F6" w:rsidRDefault="00016B73">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Entregar, en su caso, a los particulares la información solicitada; y </w:t>
      </w:r>
    </w:p>
    <w:p w14:paraId="7C10387E" w14:textId="77777777" w:rsidR="008555F6" w:rsidRDefault="00016B73">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Efectuar las notificaciones a los solicitantes.</w:t>
      </w:r>
    </w:p>
    <w:p w14:paraId="7C10387F"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80"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Otros sujetos del proceso de atención a las solicitudes de información son los </w:t>
      </w:r>
      <w:r>
        <w:rPr>
          <w:rFonts w:ascii="Palatino Linotype" w:eastAsia="Palatino Linotype" w:hAnsi="Palatino Linotype" w:cs="Palatino Linotype"/>
          <w:b/>
          <w:color w:val="000000"/>
        </w:rPr>
        <w:t>servidores públicos habilitados</w:t>
      </w:r>
      <w:r>
        <w:rPr>
          <w:rFonts w:ascii="Palatino Linotype" w:eastAsia="Palatino Linotype" w:hAnsi="Palatino Linotype" w:cs="Palatino Linotype"/>
          <w:color w:val="000000"/>
        </w:rPr>
        <w:t xml:space="preserve">, quienes serán designados por el titular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 propuesta del responsable de la Unidad de Transparencia</w:t>
      </w:r>
      <w:r>
        <w:rPr>
          <w:rFonts w:ascii="Palatino Linotype" w:eastAsia="Palatino Linotype" w:hAnsi="Palatino Linotype" w:cs="Palatino Linotype"/>
          <w:color w:val="000000"/>
          <w:vertAlign w:val="superscript"/>
        </w:rPr>
        <w:footnoteReference w:id="8"/>
      </w:r>
      <w:r>
        <w:rPr>
          <w:rFonts w:ascii="Palatino Linotype" w:eastAsia="Palatino Linotype" w:hAnsi="Palatino Linotype" w:cs="Palatino Linotype"/>
          <w:color w:val="000000"/>
        </w:rPr>
        <w:t xml:space="preserve"> y tendrán, entre sus atribuciones, las siguientes</w:t>
      </w:r>
      <w:r>
        <w:rPr>
          <w:rFonts w:ascii="Palatino Linotype" w:eastAsia="Palatino Linotype" w:hAnsi="Palatino Linotype" w:cs="Palatino Linotype"/>
          <w:color w:val="000000"/>
          <w:vertAlign w:val="superscript"/>
        </w:rPr>
        <w:footnoteReference w:id="9"/>
      </w:r>
      <w:r>
        <w:rPr>
          <w:rFonts w:ascii="Palatino Linotype" w:eastAsia="Palatino Linotype" w:hAnsi="Palatino Linotype" w:cs="Palatino Linotype"/>
          <w:color w:val="000000"/>
        </w:rPr>
        <w:t>:</w:t>
      </w:r>
    </w:p>
    <w:p w14:paraId="7C103881" w14:textId="77777777" w:rsidR="008555F6" w:rsidRDefault="00016B73">
      <w:pPr>
        <w:numPr>
          <w:ilvl w:val="1"/>
          <w:numId w:val="5"/>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Localizar la información que le solicite la Unidad de Transparencia; y</w:t>
      </w:r>
    </w:p>
    <w:p w14:paraId="7C103882" w14:textId="77777777" w:rsidR="008555F6" w:rsidRDefault="00016B73">
      <w:pPr>
        <w:numPr>
          <w:ilvl w:val="1"/>
          <w:numId w:val="5"/>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Proporcionar la información que obre en los archivos y que le sea solicitada por la Unidad de Transparencia.</w:t>
      </w:r>
    </w:p>
    <w:p w14:paraId="7C103883"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84"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 manera que cada una de las áreas administrativas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7C103885"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86"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expuesto lo anterior, de la lectura a la solicitud de información </w:t>
      </w:r>
      <w:r>
        <w:rPr>
          <w:rFonts w:ascii="Palatino Linotype" w:eastAsia="Palatino Linotype" w:hAnsi="Palatino Linotype" w:cs="Palatino Linotype"/>
          <w:b/>
          <w:color w:val="000000"/>
        </w:rPr>
        <w:t>00747/ZINACANT/IP/2023</w:t>
      </w:r>
      <w:r>
        <w:rPr>
          <w:rFonts w:ascii="Palatino Linotype" w:eastAsia="Palatino Linotype" w:hAnsi="Palatino Linotype" w:cs="Palatino Linotype"/>
          <w:color w:val="000000"/>
        </w:rPr>
        <w:t xml:space="preserve"> y, como fuera señalado en el </w:t>
      </w:r>
      <w:r>
        <w:rPr>
          <w:rFonts w:ascii="Palatino Linotype" w:eastAsia="Palatino Linotype" w:hAnsi="Palatino Linotype" w:cs="Palatino Linotype"/>
          <w:i/>
          <w:color w:val="000000"/>
        </w:rPr>
        <w:t>Planteamiento de la Litis</w:t>
      </w:r>
      <w:r>
        <w:rPr>
          <w:rFonts w:ascii="Palatino Linotype" w:eastAsia="Palatino Linotype" w:hAnsi="Palatino Linotype" w:cs="Palatino Linotype"/>
          <w:color w:val="000000"/>
        </w:rPr>
        <w:t xml:space="preserve"> de esta resolución, se advierte que la entonces </w:t>
      </w:r>
      <w:r>
        <w:rPr>
          <w:rFonts w:ascii="Palatino Linotype" w:eastAsia="Palatino Linotype" w:hAnsi="Palatino Linotype" w:cs="Palatino Linotype"/>
          <w:b/>
          <w:color w:val="000000"/>
        </w:rPr>
        <w:t>SOLICITANTE</w:t>
      </w:r>
      <w:r>
        <w:rPr>
          <w:rFonts w:ascii="Palatino Linotype" w:eastAsia="Palatino Linotype" w:hAnsi="Palatino Linotype" w:cs="Palatino Linotype"/>
          <w:color w:val="000000"/>
        </w:rPr>
        <w:t xml:space="preserve"> requirió acceder a la siguiente información: </w:t>
      </w:r>
    </w:p>
    <w:p w14:paraId="7C103887"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Monto de los ingresos, así como su concepto, recabados durante el ejercicio dos mil veintidós.</w:t>
      </w:r>
    </w:p>
    <w:p w14:paraId="7C103888"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89"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respuesta a la solicitud de información,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la copia digitalizada del oficio número ZIN/TM/1476/2023, de treinta (30) de agosto de dos mil veintitrés, emitido por el Tesorero Municipal, dirigido a la Titular de la Unidad de Transparencia, mediante el cual, vertió las siguientes manifestaciones:</w:t>
      </w:r>
    </w:p>
    <w:p w14:paraId="7C10388A" w14:textId="77777777" w:rsidR="008555F6" w:rsidRDefault="00016B7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“Al respecto le informo que el ayuntamiento de Zinacantepec, recabo la cantidad de $709,543,069.05 (Setecientos Nueve Quinientos Cuarenta y Tres Mil Sesenta y Nueve Pesos 05/100 M.N.), monto reflejado en el Estado de Actividades del 01 de enero al 31 de diciembre de diciembre de 2022 en sus diferentes conceptos (…).”</w:t>
      </w:r>
      <w:r>
        <w:rPr>
          <w:rFonts w:ascii="Palatino Linotype" w:eastAsia="Palatino Linotype" w:hAnsi="Palatino Linotype" w:cs="Palatino Linotype"/>
          <w:color w:val="000000"/>
          <w:sz w:val="22"/>
          <w:szCs w:val="22"/>
        </w:rPr>
        <w:t xml:space="preserve"> (Sic.)</w:t>
      </w:r>
    </w:p>
    <w:p w14:paraId="7C10388B"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8C"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transcripción anterior, se advierte que el Tesorero Municipal hizo del conocimiento de la entonces </w:t>
      </w:r>
      <w:r>
        <w:rPr>
          <w:rFonts w:ascii="Palatino Linotype" w:eastAsia="Palatino Linotype" w:hAnsi="Palatino Linotype" w:cs="Palatino Linotype"/>
          <w:b/>
          <w:color w:val="000000"/>
        </w:rPr>
        <w:t>SOLICITANTE</w:t>
      </w:r>
      <w:r>
        <w:rPr>
          <w:rFonts w:ascii="Palatino Linotype" w:eastAsia="Palatino Linotype" w:hAnsi="Palatino Linotype" w:cs="Palatino Linotype"/>
          <w:color w:val="000000"/>
        </w:rPr>
        <w:t xml:space="preserve"> que:</w:t>
      </w:r>
    </w:p>
    <w:p w14:paraId="7C10388D"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El Ayuntamiento de Zinacantepec había recabado, durante el dos mil veintidós, la cantidad de $709,543,069.05 (SETECIENTOS NUEVE QUINIENTOS CUARENTA Y TRES MIL SESENTA Y NUEVE PESOS 05/100 M.N.).</w:t>
      </w:r>
    </w:p>
    <w:p w14:paraId="7C10388E"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Que los diferentes conceptos de los ingresos respectivos </w:t>
      </w:r>
      <w:r>
        <w:rPr>
          <w:rFonts w:ascii="Palatino Linotype" w:eastAsia="Palatino Linotype" w:hAnsi="Palatino Linotype" w:cs="Palatino Linotype"/>
          <w:sz w:val="22"/>
          <w:szCs w:val="22"/>
        </w:rPr>
        <w:t>podrán</w:t>
      </w:r>
      <w:r>
        <w:rPr>
          <w:rFonts w:ascii="Palatino Linotype" w:eastAsia="Palatino Linotype" w:hAnsi="Palatino Linotype" w:cs="Palatino Linotype"/>
          <w:color w:val="000000"/>
          <w:sz w:val="22"/>
          <w:szCs w:val="22"/>
        </w:rPr>
        <w:t xml:space="preserve"> consultarse en el Estado de Actividades Adjunto al oficio de respuesta.</w:t>
      </w:r>
    </w:p>
    <w:p w14:paraId="7C10388F"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90"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se hace constar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adjuntó en su respuesta el archivo </w:t>
      </w:r>
      <w:r>
        <w:rPr>
          <w:rFonts w:ascii="Palatino Linotype" w:eastAsia="Palatino Linotype" w:hAnsi="Palatino Linotype" w:cs="Palatino Linotype"/>
          <w:b/>
          <w:i/>
          <w:color w:val="000000"/>
        </w:rPr>
        <w:t>“Solicitud 00747 Oficio.pdf”</w:t>
      </w:r>
      <w:r>
        <w:rPr>
          <w:rFonts w:ascii="Palatino Linotype" w:eastAsia="Palatino Linotype" w:hAnsi="Palatino Linotype" w:cs="Palatino Linotype"/>
          <w:color w:val="000000"/>
        </w:rPr>
        <w:t xml:space="preserve">, que contiene el Estado de Actividades del periodo comprendido del </w:t>
      </w:r>
      <w:r>
        <w:rPr>
          <w:rFonts w:ascii="Palatino Linotype" w:eastAsia="Palatino Linotype" w:hAnsi="Palatino Linotype" w:cs="Palatino Linotype"/>
          <w:b/>
          <w:color w:val="000000"/>
        </w:rPr>
        <w:t>uno (01) al treinta y uno (31) de diciembre de dos mil veintidós</w:t>
      </w:r>
      <w:r>
        <w:rPr>
          <w:rFonts w:ascii="Palatino Linotype" w:eastAsia="Palatino Linotype" w:hAnsi="Palatino Linotype" w:cs="Palatino Linotype"/>
          <w:color w:val="000000"/>
        </w:rPr>
        <w:t>. A continuación se comparte la imagen de la primer foja del instrumento como mera referencia:</w:t>
      </w:r>
    </w:p>
    <w:p w14:paraId="7C103891"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92" w14:textId="77777777" w:rsidR="008555F6" w:rsidRDefault="00016B73">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eastAsia="es-MX"/>
        </w:rPr>
        <w:drawing>
          <wp:inline distT="0" distB="0" distL="0" distR="0" wp14:anchorId="7C103987" wp14:editId="7C103988">
            <wp:extent cx="4817150" cy="3623491"/>
            <wp:effectExtent l="12700" t="12700" r="12700" b="127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817150" cy="3623491"/>
                    </a:xfrm>
                    <a:prstGeom prst="rect">
                      <a:avLst/>
                    </a:prstGeom>
                    <a:ln w="12700">
                      <a:solidFill>
                        <a:srgbClr val="000000"/>
                      </a:solidFill>
                      <a:prstDash val="solid"/>
                    </a:ln>
                  </pic:spPr>
                </pic:pic>
              </a:graphicData>
            </a:graphic>
          </wp:inline>
        </w:drawing>
      </w:r>
    </w:p>
    <w:p w14:paraId="7C103893"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su parte, la particular impugnó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mediante el recurso de revisión </w:t>
      </w:r>
      <w:r>
        <w:rPr>
          <w:rFonts w:ascii="Palatino Linotype" w:eastAsia="Palatino Linotype" w:hAnsi="Palatino Linotype" w:cs="Palatino Linotype"/>
          <w:b/>
          <w:color w:val="000000"/>
        </w:rPr>
        <w:t>05963/INFOEM/IP/RR/2023</w:t>
      </w:r>
      <w:r>
        <w:rPr>
          <w:rFonts w:ascii="Palatino Linotype" w:eastAsia="Palatino Linotype" w:hAnsi="Palatino Linotype" w:cs="Palatino Linotype"/>
          <w:color w:val="000000"/>
        </w:rPr>
        <w:t>, en el que señaló por agravios, que no se cumplió con lo solicitado.</w:t>
      </w:r>
    </w:p>
    <w:p w14:paraId="7C103894"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95" w14:textId="77777777" w:rsidR="008555F6" w:rsidRDefault="00016B73">
      <w:pPr>
        <w:pStyle w:val="Ttulo3"/>
        <w:spacing w:before="0" w:after="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II. Del derecho de acceso a la información.</w:t>
      </w:r>
    </w:p>
    <w:p w14:paraId="7C103896"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Previo </w:t>
      </w:r>
      <w:r>
        <w:rPr>
          <w:rFonts w:ascii="Palatino Linotype" w:eastAsia="Palatino Linotype" w:hAnsi="Palatino Linotype" w:cs="Palatino Linotype"/>
        </w:rPr>
        <w:t xml:space="preserve">a iniciar el análisis de la información solicitada, se considera </w:t>
      </w:r>
      <w:r>
        <w:rPr>
          <w:rFonts w:ascii="Palatino Linotype" w:eastAsia="Palatino Linotype" w:hAnsi="Palatino Linotype" w:cs="Palatino Linotype"/>
          <w:color w:val="000000"/>
        </w:rPr>
        <w:t>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7C103897" w14:textId="77777777" w:rsidR="008555F6" w:rsidRDefault="00016B7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C103898" w14:textId="77777777" w:rsidR="008555F6" w:rsidRDefault="00016B7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C103899" w14:textId="77777777" w:rsidR="008555F6" w:rsidRDefault="00016B7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7C10389A" w14:textId="77777777" w:rsidR="008555F6" w:rsidRDefault="00016B7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7C10389B" w14:textId="77777777" w:rsidR="008555F6" w:rsidRDefault="00016B73">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7C10389C"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9D"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 derecho de acceso a la información encuentra su materia elemental en los documentos, y la Ley de Transparencia local nos brinda el siguiente concepto</w:t>
      </w:r>
      <w:r>
        <w:rPr>
          <w:rFonts w:ascii="Palatino Linotype" w:eastAsia="Palatino Linotype" w:hAnsi="Palatino Linotype" w:cs="Palatino Linotype"/>
          <w:color w:val="000000"/>
          <w:vertAlign w:val="superscript"/>
        </w:rPr>
        <w:footnoteReference w:id="10"/>
      </w:r>
      <w:r>
        <w:rPr>
          <w:rFonts w:ascii="Palatino Linotype" w:eastAsia="Palatino Linotype" w:hAnsi="Palatino Linotype" w:cs="Palatino Linotype"/>
          <w:color w:val="000000"/>
        </w:rPr>
        <w:t>, para darnos un mejor panorama:</w:t>
      </w:r>
    </w:p>
    <w:p w14:paraId="7C10389E" w14:textId="77777777" w:rsidR="008555F6" w:rsidRDefault="00016B7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 Documento: </w:t>
      </w:r>
      <w:r>
        <w:rPr>
          <w:rFonts w:ascii="Palatino Linotype" w:eastAsia="Palatino Linotype" w:hAnsi="Palatino Linotype" w:cs="Palatino Linotype"/>
          <w:i/>
          <w:sz w:val="22"/>
          <w:szCs w:val="22"/>
        </w:rPr>
        <w:t xml:space="preserve">Los expedientes, </w:t>
      </w:r>
      <w:r>
        <w:rPr>
          <w:rFonts w:ascii="Palatino Linotype" w:eastAsia="Palatino Linotype" w:hAnsi="Palatino Linotype" w:cs="Palatino Linotype"/>
          <w:b/>
          <w:i/>
          <w:sz w:val="22"/>
          <w:szCs w:val="22"/>
          <w:u w:val="single"/>
        </w:rPr>
        <w:t>reportes</w:t>
      </w:r>
      <w:r>
        <w:rPr>
          <w:rFonts w:ascii="Palatino Linotype" w:eastAsia="Palatino Linotype" w:hAnsi="Palatino Linotype" w:cs="Palatino Linotype"/>
          <w:i/>
          <w:sz w:val="22"/>
          <w:szCs w:val="22"/>
        </w:rPr>
        <w:t xml:space="preserve">,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i/>
          <w:sz w:val="22"/>
          <w:szCs w:val="22"/>
        </w:rPr>
        <w:t>cualquier</w:t>
      </w:r>
      <w:r>
        <w:rPr>
          <w:rFonts w:ascii="Palatino Linotype" w:eastAsia="Palatino Linotype" w:hAnsi="Palatino Linotype" w:cs="Palatino Linotype"/>
          <w:i/>
          <w:sz w:val="22"/>
          <w:szCs w:val="22"/>
        </w:rPr>
        <w:t xml:space="preserve"> otro </w:t>
      </w:r>
      <w:r>
        <w:rPr>
          <w:rFonts w:ascii="Palatino Linotype" w:eastAsia="Palatino Linotype" w:hAnsi="Palatino Linotype" w:cs="Palatino Linotype"/>
          <w:b/>
          <w:i/>
          <w:sz w:val="22"/>
          <w:szCs w:val="22"/>
        </w:rPr>
        <w:t>registro que documente el ejercicio de las facultades, funciones y competencias de los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sujetos obligados</w:t>
      </w:r>
      <w:r>
        <w:rPr>
          <w:rFonts w:ascii="Palatino Linotype" w:eastAsia="Palatino Linotype" w:hAnsi="Palatino Linotype" w:cs="Palatino Linotype"/>
          <w:i/>
          <w:sz w:val="22"/>
          <w:szCs w:val="22"/>
        </w:rPr>
        <w:t>, sus servidores públicos e integrantes, sin importar su fuente o fecha de elaboración. Los documentos podrán estar en cualquier medio, sea escrito, impreso,  sonoro, visual, electrónico, informático u holográfico;”</w:t>
      </w:r>
    </w:p>
    <w:p w14:paraId="7C10389F" w14:textId="77777777" w:rsidR="008555F6" w:rsidRDefault="00016B73">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7C1038A0"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A1"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Correlativo a lo anterior, debemos tomar en cuenta los artículos 4 y 12, de la Ley de Transparencia y Acceso a la Información Pública del Estado de México y Municipios, los cuales establecen lo siguiente:</w:t>
      </w:r>
    </w:p>
    <w:p w14:paraId="7C1038A2" w14:textId="77777777" w:rsidR="008555F6" w:rsidRDefault="00016B7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7C1038A3" w14:textId="77777777" w:rsidR="008555F6" w:rsidRDefault="00016B7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C1038A4" w14:textId="77777777" w:rsidR="008555F6" w:rsidRDefault="00016B73">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7C1038A5" w14:textId="77777777" w:rsidR="008555F6" w:rsidRDefault="008555F6">
      <w:pPr>
        <w:spacing w:line="276" w:lineRule="auto"/>
        <w:ind w:right="567"/>
        <w:jc w:val="both"/>
        <w:rPr>
          <w:rFonts w:ascii="Palatino Linotype" w:eastAsia="Palatino Linotype" w:hAnsi="Palatino Linotype" w:cs="Palatino Linotype"/>
          <w:i/>
          <w:color w:val="000000"/>
          <w:sz w:val="22"/>
          <w:szCs w:val="22"/>
        </w:rPr>
      </w:pPr>
    </w:p>
    <w:p w14:paraId="7C1038A6" w14:textId="77777777" w:rsidR="008555F6" w:rsidRDefault="00016B7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12. Quienes generen, recopilen, administren, manejen, procesen, archiven o conserven información pública serán responsables de la misma en los términos de las disposiciones jurídicas aplicables</w:t>
      </w:r>
      <w:r>
        <w:rPr>
          <w:rFonts w:ascii="Palatino Linotype" w:eastAsia="Palatino Linotype" w:hAnsi="Palatino Linotype" w:cs="Palatino Linotype"/>
          <w:i/>
          <w:sz w:val="22"/>
          <w:szCs w:val="22"/>
        </w:rPr>
        <w:t xml:space="preserve">. </w:t>
      </w:r>
    </w:p>
    <w:p w14:paraId="7C1038A7" w14:textId="77777777" w:rsidR="008555F6" w:rsidRDefault="00016B7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C1038A8" w14:textId="77777777" w:rsidR="008555F6" w:rsidRDefault="00016B73">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7C1038A9"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AA"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7C1038AB"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AC"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Pr>
          <w:rFonts w:ascii="Palatino Linotype" w:eastAsia="Palatino Linotype" w:hAnsi="Palatino Linotype" w:cs="Palatino Linotype"/>
          <w:color w:val="000000"/>
          <w:vertAlign w:val="superscript"/>
        </w:rPr>
        <w:footnoteReference w:id="11"/>
      </w:r>
      <w:r>
        <w:rPr>
          <w:rFonts w:ascii="Palatino Linotype" w:eastAsia="Palatino Linotype" w:hAnsi="Palatino Linotype" w:cs="Palatino Linotype"/>
          <w:color w:val="000000"/>
        </w:rPr>
        <w:t>.</w:t>
      </w:r>
    </w:p>
    <w:p w14:paraId="7C1038AD"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AE"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por un lado, se tiene la obligación de documentar todos los actos que se lleven a cabo en el ejercicio de sus funciones, atribuciones y competencias; mientras que por otro, se ven impuestos por la obligación de hacer pública toda </w:t>
      </w:r>
      <w:r>
        <w:rPr>
          <w:rFonts w:ascii="Palatino Linotype" w:eastAsia="Palatino Linotype" w:hAnsi="Palatino Linotype" w:cs="Palatino Linotype"/>
          <w:color w:val="000000"/>
        </w:rPr>
        <w:lastRenderedPageBreak/>
        <w:t>aquella información que se encuentre en su posesión en estricto apego a los principios de eficacia</w:t>
      </w:r>
      <w:r>
        <w:rPr>
          <w:rFonts w:ascii="Palatino Linotype" w:eastAsia="Palatino Linotype" w:hAnsi="Palatino Linotype" w:cs="Palatino Linotype"/>
          <w:color w:val="000000"/>
          <w:vertAlign w:val="superscript"/>
        </w:rPr>
        <w:footnoteReference w:id="12"/>
      </w:r>
      <w:r>
        <w:rPr>
          <w:rFonts w:ascii="Palatino Linotype" w:eastAsia="Palatino Linotype" w:hAnsi="Palatino Linotype" w:cs="Palatino Linotype"/>
          <w:color w:val="000000"/>
        </w:rPr>
        <w:t xml:space="preserve"> y máxima publicidad; sobre éste último se debe poner mayor énfasis, puesto que establece que </w:t>
      </w:r>
      <w:r>
        <w:rPr>
          <w:rFonts w:ascii="Palatino Linotype" w:eastAsia="Palatino Linotype" w:hAnsi="Palatino Linotype" w:cs="Palatino Linotype"/>
          <w:b/>
          <w:color w:val="000000"/>
          <w:u w:val="single"/>
        </w:rPr>
        <w:t>toda la información en posesión de los Sujetos Obligados será</w:t>
      </w:r>
      <w:r>
        <w:rPr>
          <w:rFonts w:ascii="Palatino Linotype" w:eastAsia="Palatino Linotype" w:hAnsi="Palatino Linotype" w:cs="Palatino Linotype"/>
          <w:color w:val="000000"/>
        </w:rPr>
        <w:t xml:space="preserve"> pública, completa, </w:t>
      </w:r>
      <w:r>
        <w:rPr>
          <w:rFonts w:ascii="Palatino Linotype" w:eastAsia="Palatino Linotype" w:hAnsi="Palatino Linotype" w:cs="Palatino Linotype"/>
          <w:b/>
          <w:color w:val="000000"/>
          <w:u w:val="single"/>
        </w:rPr>
        <w:t>oportuna</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u w:val="single"/>
        </w:rPr>
        <w:t>accesible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lo que permite que la ciudadanía tenga un amplio acceso sobre lo que es el actuar de las autoridades</w:t>
      </w:r>
      <w:r>
        <w:rPr>
          <w:rFonts w:ascii="Palatino Linotype" w:eastAsia="Palatino Linotype" w:hAnsi="Palatino Linotype" w:cs="Palatino Linotype"/>
          <w:color w:val="000000"/>
        </w:rPr>
        <w:t>.</w:t>
      </w:r>
    </w:p>
    <w:p w14:paraId="7C1038AF"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B0"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7C1038B1" w14:textId="77777777" w:rsidR="008555F6" w:rsidRDefault="00016B73">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w:t>
      </w:r>
      <w:r>
        <w:rPr>
          <w:rFonts w:ascii="Palatino Linotype" w:eastAsia="Palatino Linotype" w:hAnsi="Palatino Linotype" w:cs="Palatino Linotype"/>
          <w:i/>
          <w:color w:val="000000"/>
          <w:sz w:val="22"/>
          <w:szCs w:val="22"/>
        </w:rPr>
        <w:lastRenderedPageBreak/>
        <w:t>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7C1038B2"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B3"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Tal y como se ha señalado, </w:t>
      </w:r>
      <w:r>
        <w:rPr>
          <w:rFonts w:ascii="Palatino Linotype" w:eastAsia="Palatino Linotype" w:hAnsi="Palatino Linotype" w:cs="Palatino Linotype"/>
          <w:b/>
          <w:color w:val="000000"/>
        </w:rPr>
        <w:t>el derecho de acceso a la información se basa en permitir que la ciudadanía conozca de primera mano toda aquella información que se encuentra en posesión de los Sujetos Obligados</w:t>
      </w:r>
      <w:r>
        <w:rPr>
          <w:rFonts w:ascii="Palatino Linotype" w:eastAsia="Palatino Linotype" w:hAnsi="Palatino Linotype" w:cs="Palatino Linotype"/>
          <w:color w:val="000000"/>
        </w:rPr>
        <w:t xml:space="preserve">, ya sea porque la genera, posee o administra; </w:t>
      </w:r>
      <w:r>
        <w:rPr>
          <w:rFonts w:ascii="Palatino Linotype" w:eastAsia="Palatino Linotype" w:hAnsi="Palatino Linotype" w:cs="Palatino Linotype"/>
          <w:b/>
          <w:color w:val="000000"/>
        </w:rPr>
        <w:t>toda vez que</w:t>
      </w:r>
      <w:r>
        <w:rPr>
          <w:rFonts w:ascii="Palatino Linotype" w:eastAsia="Palatino Linotype" w:hAnsi="Palatino Linotype" w:cs="Palatino Linotype"/>
          <w:color w:val="000000"/>
        </w:rPr>
        <w:t xml:space="preserve">, a través de dicha acción, </w:t>
      </w:r>
      <w:r>
        <w:rPr>
          <w:rFonts w:ascii="Palatino Linotype" w:eastAsia="Palatino Linotype" w:hAnsi="Palatino Linotype" w:cs="Palatino Linotype"/>
          <w:b/>
          <w:color w:val="000000"/>
        </w:rPr>
        <w:t>permite que las personas ejerzan un medio de control sobre las acciones que se están ejerciendo y evaluar su desempeño</w:t>
      </w:r>
      <w:r>
        <w:rPr>
          <w:rFonts w:ascii="Palatino Linotype" w:eastAsia="Palatino Linotype" w:hAnsi="Palatino Linotype" w:cs="Palatino Linotype"/>
          <w:color w:val="000000"/>
        </w:rPr>
        <w:t>.</w:t>
      </w:r>
    </w:p>
    <w:p w14:paraId="7C1038B4"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B5" w14:textId="77777777" w:rsidR="008555F6" w:rsidRDefault="00016B73">
      <w:pPr>
        <w:pStyle w:val="Ttulo3"/>
        <w:spacing w:before="0" w:after="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III. Del Ayuntamiento de Zinacantepec.</w:t>
      </w:r>
    </w:p>
    <w:p w14:paraId="7C1038B6"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Constitución Política de los Estados Unidos Mexicanos establece que los estados que integran a nuestro país adoptarán, para su régimen interior, la forma de gobierno republicano, representativo, democrático, laico y popular, teniendo como base de su división territorial y de su organización política y administrativa, el </w:t>
      </w:r>
      <w:r>
        <w:rPr>
          <w:rFonts w:ascii="Palatino Linotype" w:eastAsia="Palatino Linotype" w:hAnsi="Palatino Linotype" w:cs="Palatino Linotype"/>
          <w:b/>
          <w:color w:val="000000"/>
        </w:rPr>
        <w:t>municipio libre</w:t>
      </w:r>
      <w:r>
        <w:rPr>
          <w:rFonts w:ascii="Palatino Linotype" w:eastAsia="Palatino Linotype" w:hAnsi="Palatino Linotype" w:cs="Palatino Linotype"/>
          <w:color w:val="000000"/>
          <w:vertAlign w:val="superscript"/>
        </w:rPr>
        <w:footnoteReference w:id="13"/>
      </w:r>
      <w:r>
        <w:rPr>
          <w:rFonts w:ascii="Palatino Linotype" w:eastAsia="Palatino Linotype" w:hAnsi="Palatino Linotype" w:cs="Palatino Linotype"/>
          <w:color w:val="000000"/>
        </w:rPr>
        <w:t xml:space="preserve">. Al respecto, cada municipio será gobernado por un </w:t>
      </w:r>
      <w:r>
        <w:rPr>
          <w:rFonts w:ascii="Palatino Linotype" w:eastAsia="Palatino Linotype" w:hAnsi="Palatino Linotype" w:cs="Palatino Linotype"/>
          <w:b/>
          <w:color w:val="000000"/>
        </w:rPr>
        <w:t>Ayuntamiento</w:t>
      </w:r>
      <w:r>
        <w:rPr>
          <w:rFonts w:ascii="Palatino Linotype" w:eastAsia="Palatino Linotype" w:hAnsi="Palatino Linotype" w:cs="Palatino Linotype"/>
          <w:color w:val="000000"/>
        </w:rPr>
        <w:t xml:space="preserve"> de elección popular directa, integrado por un </w:t>
      </w:r>
      <w:r>
        <w:rPr>
          <w:rFonts w:ascii="Palatino Linotype" w:eastAsia="Palatino Linotype" w:hAnsi="Palatino Linotype" w:cs="Palatino Linotype"/>
          <w:b/>
          <w:color w:val="000000"/>
        </w:rPr>
        <w:t>Presidente o Presidenta Municipal</w:t>
      </w:r>
      <w:r>
        <w:rPr>
          <w:rFonts w:ascii="Palatino Linotype" w:eastAsia="Palatino Linotype" w:hAnsi="Palatino Linotype" w:cs="Palatino Linotype"/>
          <w:color w:val="000000"/>
        </w:rPr>
        <w:t xml:space="preserve"> y el número de </w:t>
      </w:r>
      <w:r>
        <w:rPr>
          <w:rFonts w:ascii="Palatino Linotype" w:eastAsia="Palatino Linotype" w:hAnsi="Palatino Linotype" w:cs="Palatino Linotype"/>
          <w:b/>
          <w:color w:val="000000"/>
        </w:rPr>
        <w:t>regidurías</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rPr>
        <w:t>sindicaturas</w:t>
      </w:r>
      <w:r>
        <w:rPr>
          <w:rFonts w:ascii="Palatino Linotype" w:eastAsia="Palatino Linotype" w:hAnsi="Palatino Linotype" w:cs="Palatino Linotype"/>
          <w:color w:val="000000"/>
        </w:rPr>
        <w:t xml:space="preserve"> que la ley determine, de conformidad con el principio de paridad</w:t>
      </w:r>
      <w:r>
        <w:rPr>
          <w:rFonts w:ascii="Palatino Linotype" w:eastAsia="Palatino Linotype" w:hAnsi="Palatino Linotype" w:cs="Palatino Linotype"/>
          <w:color w:val="000000"/>
          <w:vertAlign w:val="superscript"/>
        </w:rPr>
        <w:footnoteReference w:id="14"/>
      </w:r>
      <w:r>
        <w:rPr>
          <w:rFonts w:ascii="Palatino Linotype" w:eastAsia="Palatino Linotype" w:hAnsi="Palatino Linotype" w:cs="Palatino Linotype"/>
          <w:color w:val="000000"/>
        </w:rPr>
        <w:t>.</w:t>
      </w:r>
    </w:p>
    <w:p w14:paraId="7C1038B7"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B8"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seguimiento al mandato constitucional, la Ley Orgánica Municipal del Estado de México señala que cada municipio será gobernado por un </w:t>
      </w:r>
      <w:r>
        <w:rPr>
          <w:rFonts w:ascii="Palatino Linotype" w:eastAsia="Palatino Linotype" w:hAnsi="Palatino Linotype" w:cs="Palatino Linotype"/>
          <w:b/>
          <w:color w:val="000000"/>
        </w:rPr>
        <w:t>ayuntamiento</w:t>
      </w:r>
      <w:r>
        <w:rPr>
          <w:rFonts w:ascii="Palatino Linotype" w:eastAsia="Palatino Linotype" w:hAnsi="Palatino Linotype" w:cs="Palatino Linotype"/>
          <w:color w:val="000000"/>
        </w:rPr>
        <w:t xml:space="preserve"> de elección popular directa y no habrá ninguna autoridad intermedia entre éste y el Gobierno del Estado</w:t>
      </w:r>
      <w:r>
        <w:rPr>
          <w:rFonts w:ascii="Palatino Linotype" w:eastAsia="Palatino Linotype" w:hAnsi="Palatino Linotype" w:cs="Palatino Linotype"/>
          <w:color w:val="000000"/>
          <w:vertAlign w:val="superscript"/>
        </w:rPr>
        <w:footnoteReference w:id="15"/>
      </w:r>
      <w:r>
        <w:rPr>
          <w:rFonts w:ascii="Palatino Linotype" w:eastAsia="Palatino Linotype" w:hAnsi="Palatino Linotype" w:cs="Palatino Linotype"/>
          <w:color w:val="000000"/>
        </w:rPr>
        <w:t>.</w:t>
      </w:r>
    </w:p>
    <w:p w14:paraId="7C1038B9"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BA"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w:t>
      </w:r>
      <w:r>
        <w:rPr>
          <w:rFonts w:ascii="Palatino Linotype" w:eastAsia="Palatino Linotype" w:hAnsi="Palatino Linotype" w:cs="Palatino Linotype"/>
          <w:b/>
          <w:color w:val="000000"/>
        </w:rPr>
        <w:t>ayuntamientos</w:t>
      </w:r>
      <w:r>
        <w:rPr>
          <w:rFonts w:ascii="Palatino Linotype" w:eastAsia="Palatino Linotype" w:hAnsi="Palatino Linotype" w:cs="Palatino Linotype"/>
          <w:color w:val="000000"/>
        </w:rPr>
        <w:t xml:space="preserve"> se renovarán cada tres años, e iniciarán su periodo el uno (01) de enero del año inmediato siguiente al de las elecciones municipales ordinarias y, concluirán el treinta y uno (31) de diciembre del año de las elecciones para su renovación; así mismo, se integrarán de la siguiente forma</w:t>
      </w:r>
      <w:r>
        <w:rPr>
          <w:rFonts w:ascii="Palatino Linotype" w:eastAsia="Palatino Linotype" w:hAnsi="Palatino Linotype" w:cs="Palatino Linotype"/>
          <w:color w:val="000000"/>
          <w:vertAlign w:val="superscript"/>
        </w:rPr>
        <w:footnoteReference w:id="16"/>
      </w:r>
      <w:r>
        <w:rPr>
          <w:rFonts w:ascii="Palatino Linotype" w:eastAsia="Palatino Linotype" w:hAnsi="Palatino Linotype" w:cs="Palatino Linotype"/>
          <w:color w:val="000000"/>
        </w:rPr>
        <w:t>:</w:t>
      </w:r>
    </w:p>
    <w:p w14:paraId="7C1038BB"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Un presidente, un síndico y cuatro regidores, electos por planilla según el principio de mayoría relativa, y tres regidores designados según el principio de representación proporcional, cuando se trate de municipios que tengan una población de menos de 150 mil habitantes.</w:t>
      </w:r>
    </w:p>
    <w:p w14:paraId="7C1038BC"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7C1038BD"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14:paraId="7C1038BE"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BF"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el ejercicio de sus atribuciones y responsabilidades ejecutivas, el ayuntamiento se auxiliará con las dependencias y entidades de la administración </w:t>
      </w:r>
      <w:r>
        <w:rPr>
          <w:rFonts w:ascii="Palatino Linotype" w:eastAsia="Palatino Linotype" w:hAnsi="Palatino Linotype" w:cs="Palatino Linotype"/>
          <w:color w:val="000000"/>
        </w:rPr>
        <w:lastRenderedPageBreak/>
        <w:t>pública municipal, que en cada caso acuerde el Cabildo a propuesta del Presidente Municipal, las que estarán subordinadas a éste</w:t>
      </w:r>
      <w:r>
        <w:rPr>
          <w:rFonts w:ascii="Palatino Linotype" w:eastAsia="Palatino Linotype" w:hAnsi="Palatino Linotype" w:cs="Palatino Linotype"/>
          <w:color w:val="000000"/>
          <w:vertAlign w:val="superscript"/>
        </w:rPr>
        <w:footnoteReference w:id="17"/>
      </w:r>
      <w:r>
        <w:rPr>
          <w:rFonts w:ascii="Palatino Linotype" w:eastAsia="Palatino Linotype" w:hAnsi="Palatino Linotype" w:cs="Palatino Linotype"/>
          <w:color w:val="000000"/>
        </w:rPr>
        <w:t>.</w:t>
      </w:r>
    </w:p>
    <w:p w14:paraId="7C1038C0"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C1"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el despacho, estudio y planeación de los diversos asuntos de la administración municipal, el ayuntamiento contará, por lo menos, con las siguientes dependencias</w:t>
      </w:r>
      <w:r>
        <w:rPr>
          <w:rFonts w:ascii="Palatino Linotype" w:eastAsia="Palatino Linotype" w:hAnsi="Palatino Linotype" w:cs="Palatino Linotype"/>
          <w:color w:val="000000"/>
          <w:vertAlign w:val="superscript"/>
        </w:rPr>
        <w:footnoteReference w:id="18"/>
      </w:r>
      <w:r>
        <w:rPr>
          <w:rFonts w:ascii="Palatino Linotype" w:eastAsia="Palatino Linotype" w:hAnsi="Palatino Linotype" w:cs="Palatino Linotype"/>
          <w:color w:val="000000"/>
        </w:rPr>
        <w:t>:</w:t>
      </w:r>
    </w:p>
    <w:p w14:paraId="7C1038C2"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secretaría del ayuntamiento; </w:t>
      </w:r>
    </w:p>
    <w:p w14:paraId="7C1038C3"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w:t>
      </w:r>
      <w:r>
        <w:rPr>
          <w:rFonts w:ascii="Palatino Linotype" w:eastAsia="Palatino Linotype" w:hAnsi="Palatino Linotype" w:cs="Palatino Linotype"/>
          <w:b/>
          <w:color w:val="000000"/>
          <w:sz w:val="22"/>
          <w:szCs w:val="22"/>
        </w:rPr>
        <w:t>tesorería municipal</w:t>
      </w:r>
      <w:r>
        <w:rPr>
          <w:rFonts w:ascii="Palatino Linotype" w:eastAsia="Palatino Linotype" w:hAnsi="Palatino Linotype" w:cs="Palatino Linotype"/>
          <w:color w:val="000000"/>
          <w:sz w:val="22"/>
          <w:szCs w:val="22"/>
        </w:rPr>
        <w:t xml:space="preserve">. </w:t>
      </w:r>
    </w:p>
    <w:p w14:paraId="7C1038C4"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Dirección de Obras Públicas o equivalente. </w:t>
      </w:r>
    </w:p>
    <w:p w14:paraId="7C1038C5"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Dirección de Desarrollo Económico o equivalente. </w:t>
      </w:r>
    </w:p>
    <w:p w14:paraId="7C1038C6"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Dirección de Desarrollo Urbano o equivalente;</w:t>
      </w:r>
    </w:p>
    <w:p w14:paraId="7C1038C7"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Dirección de Ecología o equivalente. </w:t>
      </w:r>
    </w:p>
    <w:p w14:paraId="7C1038C8"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Dirección de Desarrollo Social o equivalente. </w:t>
      </w:r>
    </w:p>
    <w:p w14:paraId="7C1038C9"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Coordinación Municipal de Protección Civil o equivalente. </w:t>
      </w:r>
    </w:p>
    <w:p w14:paraId="7C1038CA"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Dirección de las Mujeres o equivalente. </w:t>
      </w:r>
    </w:p>
    <w:p w14:paraId="7C1038CB"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 xml:space="preserve">Dirección del Campo o equivalente, preferentemente en los municipios cuyas características geográficas, territoriales, sociales, culturales, políticas y económicas sean predominantemente inherentes al ámbito </w:t>
      </w:r>
      <w:r>
        <w:rPr>
          <w:rFonts w:ascii="Palatino Linotype" w:eastAsia="Palatino Linotype" w:hAnsi="Palatino Linotype" w:cs="Palatino Linotype"/>
          <w:color w:val="000000"/>
        </w:rPr>
        <w:t>rural.</w:t>
      </w:r>
    </w:p>
    <w:p w14:paraId="7C1038CC"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CD"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es replicado en el Bando Municipal 2023 de Zinacantepec, el cual establece que, el gobierno del municipio, estará depositado en un cuerpo colegiado deliberativo denominado Ayuntamiento cuya ejecución de sus determinaciones </w:t>
      </w:r>
      <w:r>
        <w:rPr>
          <w:rFonts w:ascii="Palatino Linotype" w:eastAsia="Palatino Linotype" w:hAnsi="Palatino Linotype" w:cs="Palatino Linotype"/>
          <w:color w:val="000000"/>
        </w:rPr>
        <w:lastRenderedPageBreak/>
        <w:t>corresponderá al Presidente Municipal, quien presidirá el mismo y dirigirá la administración pública municipal</w:t>
      </w:r>
      <w:r>
        <w:rPr>
          <w:rFonts w:ascii="Palatino Linotype" w:eastAsia="Palatino Linotype" w:hAnsi="Palatino Linotype" w:cs="Palatino Linotype"/>
          <w:color w:val="000000"/>
          <w:vertAlign w:val="superscript"/>
        </w:rPr>
        <w:footnoteReference w:id="19"/>
      </w:r>
      <w:r>
        <w:rPr>
          <w:rFonts w:ascii="Palatino Linotype" w:eastAsia="Palatino Linotype" w:hAnsi="Palatino Linotype" w:cs="Palatino Linotype"/>
          <w:color w:val="000000"/>
        </w:rPr>
        <w:t xml:space="preserve">. </w:t>
      </w:r>
    </w:p>
    <w:p w14:paraId="7C1038CE"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la administración pública municipal será la organización que contenga, agrupe, organice y canalice las demandas sociales a través de los recursos técnicos, financieros, materiales y humanos para el cumplimiento de los fines del Municipio de Zinacantepec</w:t>
      </w:r>
      <w:r>
        <w:rPr>
          <w:rFonts w:ascii="Palatino Linotype" w:eastAsia="Palatino Linotype" w:hAnsi="Palatino Linotype" w:cs="Palatino Linotype"/>
          <w:color w:val="000000"/>
          <w:vertAlign w:val="superscript"/>
        </w:rPr>
        <w:footnoteReference w:id="20"/>
      </w:r>
      <w:r>
        <w:rPr>
          <w:rFonts w:ascii="Palatino Linotype" w:eastAsia="Palatino Linotype" w:hAnsi="Palatino Linotype" w:cs="Palatino Linotype"/>
          <w:color w:val="000000"/>
        </w:rPr>
        <w:t>.</w:t>
      </w:r>
    </w:p>
    <w:p w14:paraId="7C1038CF"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D0"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Correlativo a lo anterior, a fin de poder atender cada uno de los ejes de la administración pública municipal, el artículo 21 del Bando Municipal de mérito establece lo siguiente:</w:t>
      </w:r>
    </w:p>
    <w:p w14:paraId="7C1038D1" w14:textId="77777777" w:rsidR="008555F6" w:rsidRDefault="00016B7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21. </w:t>
      </w:r>
      <w:r>
        <w:rPr>
          <w:rFonts w:ascii="Palatino Linotype" w:eastAsia="Palatino Linotype" w:hAnsi="Palatino Linotype" w:cs="Palatino Linotype"/>
          <w:i/>
          <w:color w:val="000000"/>
          <w:sz w:val="22"/>
          <w:szCs w:val="22"/>
        </w:rPr>
        <w:t xml:space="preserve">El Presidente Municipal para el ejercicio de sus funciones, se auxiliará de las siguientes Unidades Administrativas: </w:t>
      </w:r>
    </w:p>
    <w:p w14:paraId="7C1038D2" w14:textId="77777777" w:rsidR="008555F6" w:rsidRDefault="00016B7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C1038D3" w14:textId="77777777" w:rsidR="008555F6" w:rsidRDefault="008555F6">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14:paraId="7C1038D4" w14:textId="77777777" w:rsidR="008555F6" w:rsidRDefault="00016B7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el despacho de los asuntos municipales, el Ayuntamiento se auxiliará de dependencias, organismos públicos descentralizados, desconcentrados y autónomos de la administración pública municipal, necesarios para el desarrollo de sus actividades, siendo los siguientes: </w:t>
      </w:r>
    </w:p>
    <w:p w14:paraId="7C1038D5" w14:textId="77777777" w:rsidR="008555F6" w:rsidRDefault="008555F6">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14:paraId="7C1038D6" w14:textId="77777777" w:rsidR="008555F6" w:rsidRDefault="00016B7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 DEPENDENCIAS ADMINISTRATIVAS: </w:t>
      </w:r>
    </w:p>
    <w:p w14:paraId="7C1038D7" w14:textId="77777777" w:rsidR="008555F6" w:rsidRDefault="00016B7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1.</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u w:val="single"/>
        </w:rPr>
        <w:t>Tesorería Municipal</w:t>
      </w:r>
      <w:r>
        <w:rPr>
          <w:rFonts w:ascii="Palatino Linotype" w:eastAsia="Palatino Linotype" w:hAnsi="Palatino Linotype" w:cs="Palatino Linotype"/>
          <w:i/>
          <w:color w:val="000000"/>
          <w:sz w:val="22"/>
          <w:szCs w:val="22"/>
        </w:rPr>
        <w:t xml:space="preserve">. </w:t>
      </w:r>
    </w:p>
    <w:p w14:paraId="7C1038D8" w14:textId="77777777" w:rsidR="008555F6" w:rsidRDefault="00016B7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C1038D9" w14:textId="77777777" w:rsidR="008555F6" w:rsidRDefault="00016B7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7C1038DA"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DB"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w:t>
      </w:r>
      <w:r>
        <w:rPr>
          <w:rFonts w:ascii="Palatino Linotype" w:eastAsia="Palatino Linotype" w:hAnsi="Palatino Linotype" w:cs="Palatino Linotype"/>
          <w:b/>
          <w:color w:val="000000"/>
        </w:rPr>
        <w:t>Tesorería Municipal</w:t>
      </w:r>
      <w:r>
        <w:rPr>
          <w:rFonts w:ascii="Palatino Linotype" w:eastAsia="Palatino Linotype" w:hAnsi="Palatino Linotype" w:cs="Palatino Linotype"/>
          <w:color w:val="000000"/>
        </w:rPr>
        <w:t xml:space="preserve"> es la unidad administrativa encargada de </w:t>
      </w:r>
      <w:r>
        <w:rPr>
          <w:rFonts w:ascii="Palatino Linotype" w:eastAsia="Palatino Linotype" w:hAnsi="Palatino Linotype" w:cs="Palatino Linotype"/>
          <w:b/>
          <w:color w:val="000000"/>
        </w:rPr>
        <w:t>recaudar los ingresos municipales</w:t>
      </w:r>
      <w:r>
        <w:rPr>
          <w:rFonts w:ascii="Palatino Linotype" w:eastAsia="Palatino Linotype" w:hAnsi="Palatino Linotype" w:cs="Palatino Linotype"/>
          <w:color w:val="000000"/>
        </w:rPr>
        <w:t xml:space="preserve">, captar recursos Estatales y Federales, así como conducir la política presupuestal del Municipio con la finalidad de lograr los objetivos </w:t>
      </w:r>
      <w:r>
        <w:rPr>
          <w:rFonts w:ascii="Palatino Linotype" w:eastAsia="Palatino Linotype" w:hAnsi="Palatino Linotype" w:cs="Palatino Linotype"/>
          <w:color w:val="000000"/>
        </w:rPr>
        <w:lastRenderedPageBreak/>
        <w:t xml:space="preserve">estipulados en el Plan de Desarrollo Municipal, a través de una adecuada </w:t>
      </w:r>
      <w:r>
        <w:rPr>
          <w:rFonts w:ascii="Palatino Linotype" w:eastAsia="Palatino Linotype" w:hAnsi="Palatino Linotype" w:cs="Palatino Linotype"/>
          <w:b/>
          <w:color w:val="000000"/>
        </w:rPr>
        <w:t>integración del presupuesto de ingresos</w:t>
      </w:r>
      <w:r>
        <w:rPr>
          <w:rFonts w:ascii="Palatino Linotype" w:eastAsia="Palatino Linotype" w:hAnsi="Palatino Linotype" w:cs="Palatino Linotype"/>
          <w:color w:val="000000"/>
        </w:rPr>
        <w:t xml:space="preserve"> y egresos del Municipio, para la correcta administración de la hacienda municipal.</w:t>
      </w:r>
      <w:r>
        <w:rPr>
          <w:rFonts w:ascii="Palatino Linotype" w:eastAsia="Palatino Linotype" w:hAnsi="Palatino Linotype" w:cs="Palatino Linotype"/>
          <w:color w:val="000000"/>
          <w:vertAlign w:val="superscript"/>
        </w:rPr>
        <w:footnoteReference w:id="21"/>
      </w:r>
      <w:r>
        <w:rPr>
          <w:rFonts w:ascii="Palatino Linotype" w:eastAsia="Palatino Linotype" w:hAnsi="Palatino Linotype" w:cs="Palatino Linotype"/>
          <w:color w:val="000000"/>
        </w:rPr>
        <w:t>.</w:t>
      </w:r>
    </w:p>
    <w:p w14:paraId="7C1038DC"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DD"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Dicho esto, de entre las funciones y atribuciones de la </w:t>
      </w:r>
      <w:r>
        <w:rPr>
          <w:rFonts w:ascii="Palatino Linotype" w:eastAsia="Palatino Linotype" w:hAnsi="Palatino Linotype" w:cs="Palatino Linotype"/>
          <w:b/>
          <w:color w:val="000000"/>
        </w:rPr>
        <w:t>Tesorería Municipal</w:t>
      </w:r>
      <w:r>
        <w:rPr>
          <w:rFonts w:ascii="Palatino Linotype" w:eastAsia="Palatino Linotype" w:hAnsi="Palatino Linotype" w:cs="Palatino Linotype"/>
          <w:color w:val="000000"/>
        </w:rPr>
        <w:t xml:space="preserve"> establecidas en el artículo 47 del Reglamento Orgánico Municipal de Zinacantepec, se encuentra la de </w:t>
      </w:r>
      <w:r>
        <w:rPr>
          <w:rFonts w:ascii="Palatino Linotype" w:eastAsia="Palatino Linotype" w:hAnsi="Palatino Linotype" w:cs="Palatino Linotype"/>
          <w:b/>
          <w:color w:val="000000"/>
        </w:rPr>
        <w:t>consolidar los proyectos de presupuestos de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ingresos</w:t>
      </w:r>
      <w:r>
        <w:rPr>
          <w:rFonts w:ascii="Palatino Linotype" w:eastAsia="Palatino Linotype" w:hAnsi="Palatino Linotype" w:cs="Palatino Linotype"/>
          <w:color w:val="000000"/>
        </w:rPr>
        <w:t xml:space="preserve"> y egresos de las diferentes áreas del Gobierno Municipal y someterlos al Cabildo para su aprobación; aplicar el sistema de contabilidad gubernamental y las políticas para el </w:t>
      </w:r>
      <w:r>
        <w:rPr>
          <w:rFonts w:ascii="Palatino Linotype" w:eastAsia="Palatino Linotype" w:hAnsi="Palatino Linotype" w:cs="Palatino Linotype"/>
          <w:b/>
          <w:color w:val="000000"/>
        </w:rPr>
        <w:t>registro contable y presupuestal</w:t>
      </w:r>
      <w:r>
        <w:rPr>
          <w:rFonts w:ascii="Palatino Linotype" w:eastAsia="Palatino Linotype" w:hAnsi="Palatino Linotype" w:cs="Palatino Linotype"/>
          <w:color w:val="000000"/>
        </w:rPr>
        <w:t xml:space="preserve"> de las operaciones financieras que realicen las áreas de la administración pública municipal; elaborar los </w:t>
      </w:r>
      <w:r>
        <w:rPr>
          <w:rFonts w:ascii="Palatino Linotype" w:eastAsia="Palatino Linotype" w:hAnsi="Palatino Linotype" w:cs="Palatino Linotype"/>
          <w:b/>
          <w:color w:val="000000"/>
        </w:rPr>
        <w:t>estados financieros</w:t>
      </w:r>
      <w:r>
        <w:rPr>
          <w:rFonts w:ascii="Palatino Linotype" w:eastAsia="Palatino Linotype" w:hAnsi="Palatino Linotype" w:cs="Palatino Linotype"/>
          <w:color w:val="000000"/>
        </w:rPr>
        <w:t>, informes trimestrales, cuenta pública y demás informes financieros que le soliciten las autoridades competentes, recabando las firmas necesarias;</w:t>
      </w:r>
    </w:p>
    <w:p w14:paraId="7C1038DE"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DF"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a fin de atender las competencias y funciones propias del área, la </w:t>
      </w:r>
      <w:r>
        <w:rPr>
          <w:rFonts w:ascii="Palatino Linotype" w:eastAsia="Palatino Linotype" w:hAnsi="Palatino Linotype" w:cs="Palatino Linotype"/>
          <w:b/>
          <w:color w:val="000000"/>
        </w:rPr>
        <w:t>Tesorería Municipal</w:t>
      </w:r>
      <w:r>
        <w:rPr>
          <w:rFonts w:ascii="Palatino Linotype" w:eastAsia="Palatino Linotype" w:hAnsi="Palatino Linotype" w:cs="Palatino Linotype"/>
          <w:color w:val="000000"/>
        </w:rPr>
        <w:t xml:space="preserve"> contará con las siguientes unidades administrativas</w:t>
      </w:r>
      <w:r>
        <w:rPr>
          <w:rFonts w:ascii="Palatino Linotype" w:eastAsia="Palatino Linotype" w:hAnsi="Palatino Linotype" w:cs="Palatino Linotype"/>
          <w:color w:val="000000"/>
          <w:vertAlign w:val="superscript"/>
        </w:rPr>
        <w:footnoteReference w:id="22"/>
      </w:r>
      <w:r>
        <w:rPr>
          <w:rFonts w:ascii="Palatino Linotype" w:eastAsia="Palatino Linotype" w:hAnsi="Palatino Linotype" w:cs="Palatino Linotype"/>
          <w:color w:val="000000"/>
        </w:rPr>
        <w:t>:</w:t>
      </w:r>
    </w:p>
    <w:p w14:paraId="7C1038E0"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Subdirección de Ingresos</w:t>
      </w:r>
      <w:r>
        <w:rPr>
          <w:rFonts w:ascii="Palatino Linotype" w:eastAsia="Palatino Linotype" w:hAnsi="Palatino Linotype" w:cs="Palatino Linotype"/>
          <w:color w:val="000000"/>
          <w:sz w:val="22"/>
          <w:szCs w:val="22"/>
        </w:rPr>
        <w:t>.</w:t>
      </w:r>
    </w:p>
    <w:p w14:paraId="7C1038E1" w14:textId="77777777" w:rsidR="008555F6" w:rsidRDefault="00016B73">
      <w:pPr>
        <w:numPr>
          <w:ilvl w:val="2"/>
          <w:numId w:val="7"/>
        </w:numPr>
        <w:pBdr>
          <w:top w:val="nil"/>
          <w:left w:val="nil"/>
          <w:bottom w:val="nil"/>
          <w:right w:val="nil"/>
          <w:between w:val="nil"/>
        </w:pBdr>
        <w:tabs>
          <w:tab w:val="left" w:pos="426"/>
        </w:tabs>
        <w:spacing w:line="360" w:lineRule="auto"/>
        <w:ind w:left="1701"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Coordinación de Fiscalización </w:t>
      </w:r>
    </w:p>
    <w:p w14:paraId="7C1038E2" w14:textId="77777777" w:rsidR="008555F6" w:rsidRDefault="00016B73">
      <w:pPr>
        <w:numPr>
          <w:ilvl w:val="2"/>
          <w:numId w:val="7"/>
        </w:numPr>
        <w:pBdr>
          <w:top w:val="nil"/>
          <w:left w:val="nil"/>
          <w:bottom w:val="nil"/>
          <w:right w:val="nil"/>
          <w:between w:val="nil"/>
        </w:pBdr>
        <w:tabs>
          <w:tab w:val="left" w:pos="426"/>
        </w:tabs>
        <w:spacing w:line="360" w:lineRule="auto"/>
        <w:ind w:left="1701"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Coordinación de Recaudación </w:t>
      </w:r>
    </w:p>
    <w:p w14:paraId="7C1038E3" w14:textId="77777777" w:rsidR="008555F6" w:rsidRDefault="00016B73">
      <w:pPr>
        <w:numPr>
          <w:ilvl w:val="2"/>
          <w:numId w:val="7"/>
        </w:numPr>
        <w:pBdr>
          <w:top w:val="nil"/>
          <w:left w:val="nil"/>
          <w:bottom w:val="nil"/>
          <w:right w:val="nil"/>
          <w:between w:val="nil"/>
        </w:pBdr>
        <w:tabs>
          <w:tab w:val="left" w:pos="426"/>
        </w:tabs>
        <w:spacing w:line="360" w:lineRule="auto"/>
        <w:ind w:left="1701"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Coordinación de Catastro</w:t>
      </w:r>
    </w:p>
    <w:p w14:paraId="7C1038E4" w14:textId="77777777" w:rsidR="008555F6" w:rsidRDefault="00016B73">
      <w:pPr>
        <w:numPr>
          <w:ilvl w:val="1"/>
          <w:numId w:val="7"/>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Subdirección de Egresos.</w:t>
      </w:r>
    </w:p>
    <w:p w14:paraId="7C1038E5" w14:textId="77777777" w:rsidR="008555F6" w:rsidRDefault="00016B73">
      <w:pPr>
        <w:numPr>
          <w:ilvl w:val="2"/>
          <w:numId w:val="7"/>
        </w:numPr>
        <w:pBdr>
          <w:top w:val="nil"/>
          <w:left w:val="nil"/>
          <w:bottom w:val="nil"/>
          <w:right w:val="nil"/>
          <w:between w:val="nil"/>
        </w:pBdr>
        <w:tabs>
          <w:tab w:val="left" w:pos="426"/>
        </w:tabs>
        <w:spacing w:line="360" w:lineRule="auto"/>
        <w:ind w:left="1701"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Coordinación de Contabilidad </w:t>
      </w:r>
    </w:p>
    <w:p w14:paraId="7C1038E6" w14:textId="77777777" w:rsidR="008555F6" w:rsidRDefault="00016B73">
      <w:pPr>
        <w:numPr>
          <w:ilvl w:val="2"/>
          <w:numId w:val="7"/>
        </w:numPr>
        <w:pBdr>
          <w:top w:val="nil"/>
          <w:left w:val="nil"/>
          <w:bottom w:val="nil"/>
          <w:right w:val="nil"/>
          <w:between w:val="nil"/>
        </w:pBdr>
        <w:tabs>
          <w:tab w:val="left" w:pos="426"/>
        </w:tabs>
        <w:spacing w:line="360" w:lineRule="auto"/>
        <w:ind w:left="1701"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Coordinación de Presupuesto </w:t>
      </w:r>
    </w:p>
    <w:p w14:paraId="7C1038E7" w14:textId="77777777" w:rsidR="008555F6" w:rsidRDefault="00016B73">
      <w:pPr>
        <w:numPr>
          <w:ilvl w:val="2"/>
          <w:numId w:val="7"/>
        </w:numPr>
        <w:pBdr>
          <w:top w:val="nil"/>
          <w:left w:val="nil"/>
          <w:bottom w:val="nil"/>
          <w:right w:val="nil"/>
          <w:between w:val="nil"/>
        </w:pBdr>
        <w:tabs>
          <w:tab w:val="left" w:pos="426"/>
        </w:tabs>
        <w:spacing w:line="360" w:lineRule="auto"/>
        <w:ind w:left="1701"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Coordinación de Caja General</w:t>
      </w:r>
    </w:p>
    <w:p w14:paraId="7C1038E8"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14:paraId="7C1038E9"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Luego entonces, este Organismo Garante concluye que la Unidad de Transparencia turnó adecuadamente la solicitud de información </w:t>
      </w:r>
      <w:r>
        <w:rPr>
          <w:rFonts w:ascii="Palatino Linotype" w:eastAsia="Palatino Linotype" w:hAnsi="Palatino Linotype" w:cs="Palatino Linotype"/>
          <w:b/>
          <w:color w:val="000000"/>
        </w:rPr>
        <w:t>00747/ZINACANT/IP/2023</w:t>
      </w:r>
      <w:r>
        <w:rPr>
          <w:rFonts w:ascii="Palatino Linotype" w:eastAsia="Palatino Linotype" w:hAnsi="Palatino Linotype" w:cs="Palatino Linotype"/>
          <w:color w:val="000000"/>
        </w:rPr>
        <w:t xml:space="preserve"> al área administrativa competente para poseer, generar y/o administrar la información solicitada, tan es así que se hizo del conocimiento de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que el ayuntamiento había recaudado un total de $709,543,069.05 (SETECIENTOS NUEVE MILLONES QUINIENTOS CUARENTA Y TRES MIL SESENTA Y NUEVE PESOS 05/100 M.N.); y, a fin de entregar el desglose de conceptos, entregó un Estado de actividades que reporta los ingresos recaudados del </w:t>
      </w:r>
      <w:r>
        <w:rPr>
          <w:rFonts w:ascii="Palatino Linotype" w:eastAsia="Palatino Linotype" w:hAnsi="Palatino Linotype" w:cs="Palatino Linotype"/>
          <w:b/>
          <w:color w:val="000000"/>
        </w:rPr>
        <w:t>uno (01) al treinta y uno (31) de diciembre de dos mil veintidós</w:t>
      </w:r>
      <w:r>
        <w:rPr>
          <w:rFonts w:ascii="Palatino Linotype" w:eastAsia="Palatino Linotype" w:hAnsi="Palatino Linotype" w:cs="Palatino Linotype"/>
          <w:color w:val="000000"/>
        </w:rPr>
        <w:t>.</w:t>
      </w:r>
    </w:p>
    <w:p w14:paraId="7C1038EA"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EB"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por cuanto hace al monto total de los ingresos recabados en el ejercicio dos mil veintidós, este Organismo Garante determina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colmó el requerimiento, al informar la cantidad exacta solicitada por el particular.</w:t>
      </w:r>
    </w:p>
    <w:p w14:paraId="7C1038EC"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ED"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Empero, por cuanto hace al concepto de cada uno de los ingresos, el documento denominado Estado de Actividades del uno (01) al treinta y uno (31) de diciembre de dos mil veintidós no logra colmar el derecho de acceso a la información ejercido por la particular, toda vez que éste consiste en un resumen de los conceptos de ingresos generales; sin embargo, no reporta el detalle de cada una de las actividades, impuestos o derechos que pudieran implicar un ingreso a las arcas del ayuntamiento.</w:t>
      </w:r>
    </w:p>
    <w:p w14:paraId="7C1038EE"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EF"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Dicho lo anterior, la Ley General de Contabilidad Gubernamental tiene como objeto establecer los criterios generales que regirán la contabilidad gubernamental y la emisión de información financiera de los entes públicos, con el fin de lograr su adecuada armonización</w:t>
      </w:r>
      <w:r>
        <w:rPr>
          <w:rFonts w:ascii="Palatino Linotype" w:eastAsia="Palatino Linotype" w:hAnsi="Palatino Linotype" w:cs="Palatino Linotype"/>
          <w:color w:val="000000"/>
          <w:vertAlign w:val="superscript"/>
        </w:rPr>
        <w:footnoteReference w:id="23"/>
      </w:r>
      <w:r>
        <w:rPr>
          <w:rFonts w:ascii="Palatino Linotype" w:eastAsia="Palatino Linotype" w:hAnsi="Palatino Linotype" w:cs="Palatino Linotype"/>
          <w:color w:val="000000"/>
        </w:rPr>
        <w:t>.</w:t>
      </w:r>
    </w:p>
    <w:p w14:paraId="7C1038F0"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F1"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su artículo 44, la Ley General en cuestión establece que los estados financieros y la información emanada de la contabilidad deberán sujetarse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propia Ley determina.</w:t>
      </w:r>
    </w:p>
    <w:p w14:paraId="7C1038F2"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8F3"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en lo relativo a la Federación, los sistemas contables de los poderes Ejecutivo, Legislativo y Judicial, las entidades de la Administración Pública Paraestatal y los órganos autónomos, permitirán en la medida que corresponda, la generación periódica de los estados y la información financiera que a continuación se señala</w:t>
      </w:r>
      <w:r>
        <w:rPr>
          <w:rFonts w:ascii="Palatino Linotype" w:eastAsia="Palatino Linotype" w:hAnsi="Palatino Linotype" w:cs="Palatino Linotype"/>
          <w:color w:val="000000"/>
          <w:vertAlign w:val="superscript"/>
        </w:rPr>
        <w:footnoteReference w:id="24"/>
      </w:r>
      <w:r>
        <w:rPr>
          <w:rFonts w:ascii="Palatino Linotype" w:eastAsia="Palatino Linotype" w:hAnsi="Palatino Linotype" w:cs="Palatino Linotype"/>
          <w:color w:val="000000"/>
        </w:rPr>
        <w:t>:</w:t>
      </w:r>
    </w:p>
    <w:p w14:paraId="7C1038F4" w14:textId="77777777" w:rsidR="008555F6" w:rsidRDefault="00016B7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Información contable, con la desagregación siguiente: </w:t>
      </w:r>
    </w:p>
    <w:p w14:paraId="7C1038F5" w14:textId="77777777" w:rsidR="008555F6" w:rsidRDefault="00016B7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w:t>
      </w:r>
      <w:r>
        <w:rPr>
          <w:rFonts w:ascii="Palatino Linotype" w:eastAsia="Palatino Linotype" w:hAnsi="Palatino Linotype" w:cs="Palatino Linotype"/>
          <w:i/>
          <w:color w:val="000000"/>
          <w:sz w:val="22"/>
          <w:szCs w:val="22"/>
        </w:rPr>
        <w:t xml:space="preserve"> Estado de actividades;</w:t>
      </w:r>
    </w:p>
    <w:p w14:paraId="7C1038F6" w14:textId="77777777" w:rsidR="008555F6" w:rsidRDefault="00016B7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b)</w:t>
      </w:r>
      <w:r>
        <w:rPr>
          <w:rFonts w:ascii="Palatino Linotype" w:eastAsia="Palatino Linotype" w:hAnsi="Palatino Linotype" w:cs="Palatino Linotype"/>
          <w:i/>
          <w:color w:val="000000"/>
          <w:sz w:val="22"/>
          <w:szCs w:val="22"/>
        </w:rPr>
        <w:t xml:space="preserve"> Estado de situación financiera; </w:t>
      </w:r>
    </w:p>
    <w:p w14:paraId="7C1038F7" w14:textId="77777777" w:rsidR="008555F6" w:rsidRDefault="00016B7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c)</w:t>
      </w:r>
      <w:r>
        <w:rPr>
          <w:rFonts w:ascii="Palatino Linotype" w:eastAsia="Palatino Linotype" w:hAnsi="Palatino Linotype" w:cs="Palatino Linotype"/>
          <w:i/>
          <w:color w:val="000000"/>
          <w:sz w:val="22"/>
          <w:szCs w:val="22"/>
        </w:rPr>
        <w:t xml:space="preserve"> Estado de variación en la hacienda pública; </w:t>
      </w:r>
    </w:p>
    <w:p w14:paraId="7C1038F8" w14:textId="77777777" w:rsidR="008555F6" w:rsidRDefault="00016B7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w:t>
      </w:r>
      <w:r>
        <w:rPr>
          <w:rFonts w:ascii="Palatino Linotype" w:eastAsia="Palatino Linotype" w:hAnsi="Palatino Linotype" w:cs="Palatino Linotype"/>
          <w:i/>
          <w:color w:val="000000"/>
          <w:sz w:val="22"/>
          <w:szCs w:val="22"/>
        </w:rPr>
        <w:t xml:space="preserve"> Estado de cambios en la situación financiera; </w:t>
      </w:r>
    </w:p>
    <w:p w14:paraId="7C1038F9" w14:textId="77777777" w:rsidR="008555F6" w:rsidRDefault="00016B7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w:t>
      </w:r>
      <w:r>
        <w:rPr>
          <w:rFonts w:ascii="Palatino Linotype" w:eastAsia="Palatino Linotype" w:hAnsi="Palatino Linotype" w:cs="Palatino Linotype"/>
          <w:i/>
          <w:color w:val="000000"/>
          <w:sz w:val="22"/>
          <w:szCs w:val="22"/>
        </w:rPr>
        <w:t xml:space="preserve"> Estado de flujos de efectivo;</w:t>
      </w:r>
    </w:p>
    <w:p w14:paraId="7C1038FA" w14:textId="77777777" w:rsidR="008555F6" w:rsidRDefault="00016B7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f)</w:t>
      </w:r>
      <w:r>
        <w:rPr>
          <w:rFonts w:ascii="Palatino Linotype" w:eastAsia="Palatino Linotype" w:hAnsi="Palatino Linotype" w:cs="Palatino Linotype"/>
          <w:i/>
          <w:color w:val="000000"/>
          <w:sz w:val="22"/>
          <w:szCs w:val="22"/>
        </w:rPr>
        <w:t xml:space="preserve"> Informes sobre pasivos contingentes; </w:t>
      </w:r>
    </w:p>
    <w:p w14:paraId="7C1038FB" w14:textId="77777777" w:rsidR="008555F6" w:rsidRDefault="00016B7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g)</w:t>
      </w:r>
      <w:r>
        <w:rPr>
          <w:rFonts w:ascii="Palatino Linotype" w:eastAsia="Palatino Linotype" w:hAnsi="Palatino Linotype" w:cs="Palatino Linotype"/>
          <w:i/>
          <w:color w:val="000000"/>
          <w:sz w:val="22"/>
          <w:szCs w:val="22"/>
        </w:rPr>
        <w:t xml:space="preserve"> Notas a los estados financieros; </w:t>
      </w:r>
    </w:p>
    <w:p w14:paraId="7C1038FC" w14:textId="77777777" w:rsidR="008555F6" w:rsidRDefault="00016B7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h)</w:t>
      </w:r>
      <w:r>
        <w:rPr>
          <w:rFonts w:ascii="Palatino Linotype" w:eastAsia="Palatino Linotype" w:hAnsi="Palatino Linotype" w:cs="Palatino Linotype"/>
          <w:i/>
          <w:color w:val="000000"/>
          <w:sz w:val="22"/>
          <w:szCs w:val="22"/>
        </w:rPr>
        <w:t xml:space="preserve"> Estado analítico del activo, e </w:t>
      </w:r>
    </w:p>
    <w:p w14:paraId="7C1038FD" w14:textId="77777777" w:rsidR="008555F6" w:rsidRDefault="00016B7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Estado analítico de la deuda y otros pasivos, del cual se derivarán las clasificaciones siguientes: </w:t>
      </w:r>
    </w:p>
    <w:p w14:paraId="7C1038FE" w14:textId="77777777" w:rsidR="008555F6" w:rsidRDefault="00016B73">
      <w:pPr>
        <w:pBdr>
          <w:top w:val="nil"/>
          <w:left w:val="nil"/>
          <w:bottom w:val="nil"/>
          <w:right w:val="nil"/>
          <w:between w:val="nil"/>
        </w:pBdr>
        <w:tabs>
          <w:tab w:val="left" w:pos="426"/>
        </w:tabs>
        <w:spacing w:line="276" w:lineRule="auto"/>
        <w:ind w:left="1134"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1.</w:t>
      </w:r>
      <w:r>
        <w:rPr>
          <w:rFonts w:ascii="Palatino Linotype" w:eastAsia="Palatino Linotype" w:hAnsi="Palatino Linotype" w:cs="Palatino Linotype"/>
          <w:i/>
          <w:color w:val="000000"/>
          <w:sz w:val="22"/>
          <w:szCs w:val="22"/>
        </w:rPr>
        <w:t xml:space="preserve"> Corto y largo plazo, así como por su origen en interna y externa; </w:t>
      </w:r>
    </w:p>
    <w:p w14:paraId="7C1038FF" w14:textId="77777777" w:rsidR="008555F6" w:rsidRDefault="00016B73">
      <w:pPr>
        <w:pBdr>
          <w:top w:val="nil"/>
          <w:left w:val="nil"/>
          <w:bottom w:val="nil"/>
          <w:right w:val="nil"/>
          <w:between w:val="nil"/>
        </w:pBdr>
        <w:tabs>
          <w:tab w:val="left" w:pos="426"/>
        </w:tabs>
        <w:spacing w:line="276" w:lineRule="auto"/>
        <w:ind w:left="1134"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2.</w:t>
      </w:r>
      <w:r>
        <w:rPr>
          <w:rFonts w:ascii="Palatino Linotype" w:eastAsia="Palatino Linotype" w:hAnsi="Palatino Linotype" w:cs="Palatino Linotype"/>
          <w:i/>
          <w:color w:val="000000"/>
          <w:sz w:val="22"/>
          <w:szCs w:val="22"/>
        </w:rPr>
        <w:t xml:space="preserve"> Fuentes de financiamiento; </w:t>
      </w:r>
    </w:p>
    <w:p w14:paraId="7C103900" w14:textId="77777777" w:rsidR="008555F6" w:rsidRDefault="00016B73">
      <w:pPr>
        <w:pBdr>
          <w:top w:val="nil"/>
          <w:left w:val="nil"/>
          <w:bottom w:val="nil"/>
          <w:right w:val="nil"/>
          <w:between w:val="nil"/>
        </w:pBdr>
        <w:tabs>
          <w:tab w:val="left" w:pos="426"/>
        </w:tabs>
        <w:spacing w:line="276" w:lineRule="auto"/>
        <w:ind w:left="1134"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3.</w:t>
      </w:r>
      <w:r>
        <w:rPr>
          <w:rFonts w:ascii="Palatino Linotype" w:eastAsia="Palatino Linotype" w:hAnsi="Palatino Linotype" w:cs="Palatino Linotype"/>
          <w:i/>
          <w:color w:val="000000"/>
          <w:sz w:val="22"/>
          <w:szCs w:val="22"/>
        </w:rPr>
        <w:t xml:space="preserve"> Por moneda de contratación, y </w:t>
      </w:r>
    </w:p>
    <w:p w14:paraId="7C103901" w14:textId="77777777" w:rsidR="008555F6" w:rsidRDefault="00016B73">
      <w:pPr>
        <w:pBdr>
          <w:top w:val="nil"/>
          <w:left w:val="nil"/>
          <w:bottom w:val="nil"/>
          <w:right w:val="nil"/>
          <w:between w:val="nil"/>
        </w:pBdr>
        <w:tabs>
          <w:tab w:val="left" w:pos="426"/>
        </w:tabs>
        <w:spacing w:line="276" w:lineRule="auto"/>
        <w:ind w:left="1134"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4.</w:t>
      </w:r>
      <w:r>
        <w:rPr>
          <w:rFonts w:ascii="Palatino Linotype" w:eastAsia="Palatino Linotype" w:hAnsi="Palatino Linotype" w:cs="Palatino Linotype"/>
          <w:i/>
          <w:color w:val="000000"/>
          <w:sz w:val="22"/>
          <w:szCs w:val="22"/>
        </w:rPr>
        <w:t xml:space="preserve"> Por país acreedor; </w:t>
      </w:r>
    </w:p>
    <w:p w14:paraId="7C103902" w14:textId="77777777" w:rsidR="008555F6" w:rsidRDefault="00016B7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Información presupuestaria, con la desagregación siguiente: </w:t>
      </w:r>
    </w:p>
    <w:p w14:paraId="7C103903" w14:textId="77777777" w:rsidR="008555F6" w:rsidRDefault="00016B7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w:t>
      </w:r>
      <w:r>
        <w:rPr>
          <w:rFonts w:ascii="Palatino Linotype" w:eastAsia="Palatino Linotype" w:hAnsi="Palatino Linotype" w:cs="Palatino Linotype"/>
          <w:i/>
          <w:color w:val="000000"/>
          <w:sz w:val="22"/>
          <w:szCs w:val="22"/>
        </w:rPr>
        <w:t xml:space="preserve"> Estado analítico de ingresos, del que se derivará la presentación en clasificación económica por fuente de financiamiento y concepto, incluyendo los ingresos excedentes generados;</w:t>
      </w:r>
    </w:p>
    <w:p w14:paraId="7C103904" w14:textId="77777777" w:rsidR="008555F6" w:rsidRDefault="00016B7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b)</w:t>
      </w:r>
      <w:r>
        <w:rPr>
          <w:rFonts w:ascii="Palatino Linotype" w:eastAsia="Palatino Linotype" w:hAnsi="Palatino Linotype" w:cs="Palatino Linotype"/>
          <w:i/>
          <w:color w:val="000000"/>
          <w:sz w:val="22"/>
          <w:szCs w:val="22"/>
        </w:rPr>
        <w:t xml:space="preserve"> Estado analítico del ejercicio del presupuesto de egresos del que se derivarán las clasificaciones siguientes: </w:t>
      </w:r>
    </w:p>
    <w:p w14:paraId="7C103905" w14:textId="77777777" w:rsidR="008555F6" w:rsidRDefault="00016B73">
      <w:pPr>
        <w:pBdr>
          <w:top w:val="nil"/>
          <w:left w:val="nil"/>
          <w:bottom w:val="nil"/>
          <w:right w:val="nil"/>
          <w:between w:val="nil"/>
        </w:pBdr>
        <w:tabs>
          <w:tab w:val="left" w:pos="426"/>
        </w:tabs>
        <w:spacing w:line="276" w:lineRule="auto"/>
        <w:ind w:left="1134"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1.</w:t>
      </w:r>
      <w:r>
        <w:rPr>
          <w:rFonts w:ascii="Palatino Linotype" w:eastAsia="Palatino Linotype" w:hAnsi="Palatino Linotype" w:cs="Palatino Linotype"/>
          <w:i/>
          <w:color w:val="000000"/>
          <w:sz w:val="22"/>
          <w:szCs w:val="22"/>
        </w:rPr>
        <w:t xml:space="preserve"> Administrativa; </w:t>
      </w:r>
    </w:p>
    <w:p w14:paraId="7C103906" w14:textId="77777777" w:rsidR="008555F6" w:rsidRDefault="00016B73">
      <w:pPr>
        <w:pBdr>
          <w:top w:val="nil"/>
          <w:left w:val="nil"/>
          <w:bottom w:val="nil"/>
          <w:right w:val="nil"/>
          <w:between w:val="nil"/>
        </w:pBdr>
        <w:tabs>
          <w:tab w:val="left" w:pos="426"/>
        </w:tabs>
        <w:spacing w:line="276" w:lineRule="auto"/>
        <w:ind w:left="1134"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2.</w:t>
      </w:r>
      <w:r>
        <w:rPr>
          <w:rFonts w:ascii="Palatino Linotype" w:eastAsia="Palatino Linotype" w:hAnsi="Palatino Linotype" w:cs="Palatino Linotype"/>
          <w:i/>
          <w:color w:val="000000"/>
          <w:sz w:val="22"/>
          <w:szCs w:val="22"/>
        </w:rPr>
        <w:t xml:space="preserve"> Económica; </w:t>
      </w:r>
    </w:p>
    <w:p w14:paraId="7C103907" w14:textId="77777777" w:rsidR="008555F6" w:rsidRDefault="00016B73">
      <w:pPr>
        <w:pBdr>
          <w:top w:val="nil"/>
          <w:left w:val="nil"/>
          <w:bottom w:val="nil"/>
          <w:right w:val="nil"/>
          <w:between w:val="nil"/>
        </w:pBdr>
        <w:tabs>
          <w:tab w:val="left" w:pos="426"/>
        </w:tabs>
        <w:spacing w:line="276" w:lineRule="auto"/>
        <w:ind w:left="1134"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3.</w:t>
      </w:r>
      <w:r>
        <w:rPr>
          <w:rFonts w:ascii="Palatino Linotype" w:eastAsia="Palatino Linotype" w:hAnsi="Palatino Linotype" w:cs="Palatino Linotype"/>
          <w:i/>
          <w:color w:val="000000"/>
          <w:sz w:val="22"/>
          <w:szCs w:val="22"/>
        </w:rPr>
        <w:t xml:space="preserve"> Por objeto del gasto, y </w:t>
      </w:r>
    </w:p>
    <w:p w14:paraId="7C103908" w14:textId="77777777" w:rsidR="008555F6" w:rsidRDefault="00016B73">
      <w:pPr>
        <w:pBdr>
          <w:top w:val="nil"/>
          <w:left w:val="nil"/>
          <w:bottom w:val="nil"/>
          <w:right w:val="nil"/>
          <w:between w:val="nil"/>
        </w:pBdr>
        <w:tabs>
          <w:tab w:val="left" w:pos="426"/>
        </w:tabs>
        <w:spacing w:line="276" w:lineRule="auto"/>
        <w:ind w:left="1134"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4.</w:t>
      </w:r>
      <w:r>
        <w:rPr>
          <w:rFonts w:ascii="Palatino Linotype" w:eastAsia="Palatino Linotype" w:hAnsi="Palatino Linotype" w:cs="Palatino Linotype"/>
          <w:i/>
          <w:color w:val="000000"/>
          <w:sz w:val="22"/>
          <w:szCs w:val="22"/>
        </w:rPr>
        <w:t xml:space="preserve"> Funcional. El estado analítico del ejercicio del presupuesto de egresos deberá identificar los montos y adecuaciones presupuestarias y subejercicios por ramo y programa; </w:t>
      </w:r>
    </w:p>
    <w:p w14:paraId="7C103909" w14:textId="77777777" w:rsidR="008555F6" w:rsidRDefault="00016B7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c)</w:t>
      </w:r>
      <w:r>
        <w:rPr>
          <w:rFonts w:ascii="Palatino Linotype" w:eastAsia="Palatino Linotype" w:hAnsi="Palatino Linotype" w:cs="Palatino Linotype"/>
          <w:i/>
          <w:color w:val="000000"/>
          <w:sz w:val="22"/>
          <w:szCs w:val="22"/>
        </w:rPr>
        <w:t xml:space="preserve"> Endeudamiento neto, financiamiento menos amortización, del que derivará la clasificación por su origen en interno y externo; </w:t>
      </w:r>
    </w:p>
    <w:p w14:paraId="7C10390A" w14:textId="77777777" w:rsidR="008555F6" w:rsidRDefault="00016B7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w:t>
      </w:r>
      <w:r>
        <w:rPr>
          <w:rFonts w:ascii="Palatino Linotype" w:eastAsia="Palatino Linotype" w:hAnsi="Palatino Linotype" w:cs="Palatino Linotype"/>
          <w:i/>
          <w:color w:val="000000"/>
          <w:sz w:val="22"/>
          <w:szCs w:val="22"/>
        </w:rPr>
        <w:t xml:space="preserve"> Intereses de la deuda, y </w:t>
      </w:r>
    </w:p>
    <w:p w14:paraId="7C10390B" w14:textId="77777777" w:rsidR="008555F6" w:rsidRDefault="00016B7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w:t>
      </w:r>
      <w:r>
        <w:rPr>
          <w:rFonts w:ascii="Palatino Linotype" w:eastAsia="Palatino Linotype" w:hAnsi="Palatino Linotype" w:cs="Palatino Linotype"/>
          <w:i/>
          <w:color w:val="000000"/>
          <w:sz w:val="22"/>
          <w:szCs w:val="22"/>
        </w:rPr>
        <w:t xml:space="preserve"> Un flujo de fondos que resuma todas las operaciones; </w:t>
      </w:r>
    </w:p>
    <w:p w14:paraId="7C10390C" w14:textId="77777777" w:rsidR="008555F6" w:rsidRDefault="00016B7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Información programática, con la desagregación siguiente: </w:t>
      </w:r>
    </w:p>
    <w:p w14:paraId="7C10390D" w14:textId="77777777" w:rsidR="008555F6" w:rsidRDefault="00016B7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w:t>
      </w:r>
      <w:r>
        <w:rPr>
          <w:rFonts w:ascii="Palatino Linotype" w:eastAsia="Palatino Linotype" w:hAnsi="Palatino Linotype" w:cs="Palatino Linotype"/>
          <w:i/>
          <w:color w:val="000000"/>
          <w:sz w:val="22"/>
          <w:szCs w:val="22"/>
        </w:rPr>
        <w:t xml:space="preserve"> Gasto por categoría programática; </w:t>
      </w:r>
    </w:p>
    <w:p w14:paraId="7C10390E" w14:textId="77777777" w:rsidR="008555F6" w:rsidRDefault="00016B7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b)</w:t>
      </w:r>
      <w:r>
        <w:rPr>
          <w:rFonts w:ascii="Palatino Linotype" w:eastAsia="Palatino Linotype" w:hAnsi="Palatino Linotype" w:cs="Palatino Linotype"/>
          <w:i/>
          <w:color w:val="000000"/>
          <w:sz w:val="22"/>
          <w:szCs w:val="22"/>
        </w:rPr>
        <w:t xml:space="preserve"> Programas y proyectos de inversión, y </w:t>
      </w:r>
    </w:p>
    <w:p w14:paraId="7C10390F" w14:textId="77777777" w:rsidR="008555F6" w:rsidRDefault="00016B7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c)</w:t>
      </w:r>
      <w:r>
        <w:rPr>
          <w:rFonts w:ascii="Palatino Linotype" w:eastAsia="Palatino Linotype" w:hAnsi="Palatino Linotype" w:cs="Palatino Linotype"/>
          <w:i/>
          <w:color w:val="000000"/>
          <w:sz w:val="22"/>
          <w:szCs w:val="22"/>
        </w:rPr>
        <w:t xml:space="preserve"> Indicadores de resultados, y </w:t>
      </w:r>
    </w:p>
    <w:p w14:paraId="7C103910" w14:textId="77777777" w:rsidR="008555F6" w:rsidRDefault="00016B7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IV.</w:t>
      </w:r>
      <w:r>
        <w:rPr>
          <w:rFonts w:ascii="Palatino Linotype" w:eastAsia="Palatino Linotype" w:hAnsi="Palatino Linotype" w:cs="Palatino Linotype"/>
          <w:i/>
          <w:color w:val="000000"/>
          <w:sz w:val="22"/>
          <w:szCs w:val="22"/>
        </w:rPr>
        <w:t xml:space="preserve"> La información complementaria para generar las cuentas nacionales y atender otros requerimientos provenientes de organismos internacionales de los que México es miembro.”</w:t>
      </w:r>
    </w:p>
    <w:p w14:paraId="7C103911"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912"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cuanto hace a los </w:t>
      </w:r>
      <w:r>
        <w:rPr>
          <w:rFonts w:ascii="Palatino Linotype" w:eastAsia="Palatino Linotype" w:hAnsi="Palatino Linotype" w:cs="Palatino Linotype"/>
          <w:b/>
          <w:color w:val="000000"/>
        </w:rPr>
        <w:t>ayuntamientos de los municipios</w:t>
      </w:r>
      <w:r>
        <w:rPr>
          <w:rFonts w:ascii="Palatino Linotype" w:eastAsia="Palatino Linotype" w:hAnsi="Palatino Linotype" w:cs="Palatino Linotype"/>
          <w:color w:val="000000"/>
        </w:rPr>
        <w:t xml:space="preserve"> o los órganos político-administrativos de las demarcaciones territoriales de la Ciudad de México y las </w:t>
      </w:r>
      <w:r>
        <w:rPr>
          <w:rFonts w:ascii="Palatino Linotype" w:eastAsia="Palatino Linotype" w:hAnsi="Palatino Linotype" w:cs="Palatino Linotype"/>
          <w:color w:val="000000"/>
        </w:rPr>
        <w:lastRenderedPageBreak/>
        <w:t xml:space="preserve">entidades de la Administración Pública Paraestatal municipal, los sistemas deberán producir, como mínimo, la información contable y presupuestaria a que se refiere el párrafo anterior, fracciones </w:t>
      </w:r>
      <w:r>
        <w:rPr>
          <w:rFonts w:ascii="Palatino Linotype" w:eastAsia="Palatino Linotype" w:hAnsi="Palatino Linotype" w:cs="Palatino Linotype"/>
          <w:b/>
          <w:color w:val="000000"/>
        </w:rPr>
        <w:t>I</w:t>
      </w:r>
      <w:r>
        <w:rPr>
          <w:rFonts w:ascii="Palatino Linotype" w:eastAsia="Palatino Linotype" w:hAnsi="Palatino Linotype" w:cs="Palatino Linotype"/>
          <w:color w:val="000000"/>
        </w:rPr>
        <w:t xml:space="preserve">, incisos </w:t>
      </w:r>
      <w:r>
        <w:rPr>
          <w:rFonts w:ascii="Palatino Linotype" w:eastAsia="Palatino Linotype" w:hAnsi="Palatino Linotype" w:cs="Palatino Linotype"/>
          <w:b/>
          <w:color w:val="000000"/>
        </w:rPr>
        <w:t>a), b), c), d), e), g)</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rPr>
        <w:t>h)</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rPr>
        <w:t>II</w:t>
      </w:r>
      <w:r>
        <w:rPr>
          <w:rFonts w:ascii="Palatino Linotype" w:eastAsia="Palatino Linotype" w:hAnsi="Palatino Linotype" w:cs="Palatino Linotype"/>
          <w:color w:val="000000"/>
        </w:rPr>
        <w:t xml:space="preserve">, incisos </w:t>
      </w:r>
      <w:r>
        <w:rPr>
          <w:rFonts w:ascii="Palatino Linotype" w:eastAsia="Palatino Linotype" w:hAnsi="Palatino Linotype" w:cs="Palatino Linotype"/>
          <w:b/>
          <w:color w:val="000000"/>
        </w:rPr>
        <w:t>a)</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rPr>
        <w:t>b)</w:t>
      </w:r>
      <w:r>
        <w:rPr>
          <w:rFonts w:ascii="Palatino Linotype" w:eastAsia="Palatino Linotype" w:hAnsi="Palatino Linotype" w:cs="Palatino Linotype"/>
          <w:b/>
          <w:color w:val="000000"/>
          <w:vertAlign w:val="superscript"/>
        </w:rPr>
        <w:footnoteReference w:id="25"/>
      </w:r>
      <w:r>
        <w:rPr>
          <w:rFonts w:ascii="Palatino Linotype" w:eastAsia="Palatino Linotype" w:hAnsi="Palatino Linotype" w:cs="Palatino Linotype"/>
          <w:color w:val="000000"/>
        </w:rPr>
        <w:t>.</w:t>
      </w:r>
    </w:p>
    <w:p w14:paraId="7C103913"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914"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w:t>
      </w:r>
      <w:r>
        <w:rPr>
          <w:rFonts w:ascii="Palatino Linotype" w:eastAsia="Palatino Linotype" w:hAnsi="Palatino Linotype" w:cs="Palatino Linotype"/>
          <w:b/>
          <w:color w:val="000000"/>
        </w:rPr>
        <w:t>todos los estados financieros</w:t>
      </w:r>
      <w:r>
        <w:rPr>
          <w:rFonts w:ascii="Palatino Linotype" w:eastAsia="Palatino Linotype" w:hAnsi="Palatino Linotype" w:cs="Palatino Linotype"/>
          <w:color w:val="000000"/>
        </w:rPr>
        <w:t xml:space="preserve">, y demás información presupuestaria, programática y contable que emanen de los registros de los entes públicos, </w:t>
      </w:r>
      <w:r>
        <w:rPr>
          <w:rFonts w:ascii="Palatino Linotype" w:eastAsia="Palatino Linotype" w:hAnsi="Palatino Linotype" w:cs="Palatino Linotype"/>
          <w:b/>
          <w:color w:val="000000"/>
        </w:rPr>
        <w:t>serán la base para la emisión de informes periódicos y para la formulación de la cuenta pública anual</w:t>
      </w:r>
      <w:r>
        <w:rPr>
          <w:rFonts w:ascii="Palatino Linotype" w:eastAsia="Palatino Linotype" w:hAnsi="Palatino Linotype" w:cs="Palatino Linotype"/>
          <w:b/>
          <w:color w:val="000000"/>
          <w:vertAlign w:val="superscript"/>
        </w:rPr>
        <w:footnoteReference w:id="26"/>
      </w:r>
      <w:r>
        <w:rPr>
          <w:rFonts w:ascii="Palatino Linotype" w:eastAsia="Palatino Linotype" w:hAnsi="Palatino Linotype" w:cs="Palatino Linotype"/>
          <w:color w:val="000000"/>
        </w:rPr>
        <w:t>.</w:t>
      </w:r>
    </w:p>
    <w:p w14:paraId="7C103915"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916"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nuestra entidad, </w:t>
      </w:r>
      <w:r>
        <w:rPr>
          <w:rFonts w:ascii="Palatino Linotype" w:eastAsia="Palatino Linotype" w:hAnsi="Palatino Linotype" w:cs="Palatino Linotype"/>
        </w:rPr>
        <w:t xml:space="preserve">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halla reconocido como un Sujeto de Fiscalización con base en los artículos 2, fracción II, y 4, fracción II:</w:t>
      </w:r>
    </w:p>
    <w:p w14:paraId="7C103917" w14:textId="77777777" w:rsidR="008555F6" w:rsidRDefault="00016B7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w:t>
      </w:r>
      <w:r>
        <w:rPr>
          <w:rFonts w:ascii="Palatino Linotype" w:eastAsia="Palatino Linotype" w:hAnsi="Palatino Linotype" w:cs="Palatino Linotype"/>
          <w:i/>
          <w:sz w:val="22"/>
          <w:szCs w:val="22"/>
        </w:rPr>
        <w:t xml:space="preserve"> Para los efectos de la presente Ley, se entenderá por:</w:t>
      </w:r>
    </w:p>
    <w:p w14:paraId="7C103918" w14:textId="77777777" w:rsidR="008555F6" w:rsidRDefault="00016B7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C103919" w14:textId="77777777" w:rsidR="008555F6" w:rsidRDefault="00016B7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Municipios: A los Municipios del Estado;</w:t>
      </w:r>
    </w:p>
    <w:p w14:paraId="7C10391A" w14:textId="77777777" w:rsidR="008555F6" w:rsidRDefault="00016B7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C10391B" w14:textId="77777777" w:rsidR="008555F6" w:rsidRDefault="008555F6">
      <w:pPr>
        <w:spacing w:line="276" w:lineRule="auto"/>
        <w:ind w:left="567" w:right="567"/>
        <w:jc w:val="both"/>
        <w:rPr>
          <w:rFonts w:ascii="Palatino Linotype" w:eastAsia="Palatino Linotype" w:hAnsi="Palatino Linotype" w:cs="Palatino Linotype"/>
          <w:i/>
          <w:sz w:val="22"/>
          <w:szCs w:val="22"/>
        </w:rPr>
      </w:pPr>
    </w:p>
    <w:p w14:paraId="7C10391C" w14:textId="77777777" w:rsidR="008555F6" w:rsidRDefault="00016B7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Son sujetos de fiscalización:</w:t>
      </w:r>
    </w:p>
    <w:p w14:paraId="7C10391D" w14:textId="77777777" w:rsidR="008555F6" w:rsidRDefault="00016B7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C10391E" w14:textId="77777777" w:rsidR="008555F6" w:rsidRDefault="00016B7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municipios del Estado de México; </w:t>
      </w:r>
    </w:p>
    <w:p w14:paraId="7C10391F" w14:textId="77777777" w:rsidR="008555F6" w:rsidRDefault="00016B7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C103920"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921"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Así las cosas, </w:t>
      </w:r>
      <w:r>
        <w:rPr>
          <w:rFonts w:ascii="Palatino Linotype" w:eastAsia="Palatino Linotype" w:hAnsi="Palatino Linotype" w:cs="Palatino Linotype"/>
        </w:rPr>
        <w:t>el Órgano Superior de Fiscalización del Estado de México (OSFEM), emite anualmente una herramienta denominada “</w:t>
      </w:r>
      <w:r>
        <w:rPr>
          <w:rFonts w:ascii="Palatino Linotype" w:eastAsia="Palatino Linotype" w:hAnsi="Palatino Linotype" w:cs="Palatino Linotype"/>
          <w:i/>
        </w:rPr>
        <w:t>Lineamientos para la Integración, entrega y envío de la Cuenta Pública Municipal</w:t>
      </w:r>
      <w:r>
        <w:rPr>
          <w:rFonts w:ascii="Palatino Linotype" w:eastAsia="Palatino Linotype" w:hAnsi="Palatino Linotype" w:cs="Palatino Linotype"/>
        </w:rPr>
        <w:t>“, cuyo objetivo es establecer las especificaciones necesarias para que las entidades fiscales elaboren y presenten el informe en comento.</w:t>
      </w:r>
    </w:p>
    <w:p w14:paraId="7C103922"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923"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Cuenta Pública de cada ejercicio estará constituida por cuatro módulos, los cuales contendrán los siguientes documentos</w:t>
      </w:r>
      <w:r>
        <w:rPr>
          <w:rFonts w:ascii="Palatino Linotype" w:eastAsia="Palatino Linotype" w:hAnsi="Palatino Linotype" w:cs="Palatino Linotype"/>
          <w:color w:val="000000"/>
          <w:vertAlign w:val="superscript"/>
        </w:rPr>
        <w:footnoteReference w:id="27"/>
      </w:r>
      <w:r>
        <w:rPr>
          <w:rFonts w:ascii="Palatino Linotype" w:eastAsia="Palatino Linotype" w:hAnsi="Palatino Linotype" w:cs="Palatino Linotype"/>
          <w:color w:val="000000"/>
        </w:rPr>
        <w:t>:</w:t>
      </w:r>
    </w:p>
    <w:p w14:paraId="7C103924" w14:textId="77777777" w:rsidR="008555F6" w:rsidRDefault="00016B73">
      <w:pPr>
        <w:numPr>
          <w:ilvl w:val="1"/>
          <w:numId w:val="2"/>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Módulo 1. </w:t>
      </w:r>
      <w:r>
        <w:rPr>
          <w:rFonts w:ascii="Palatino Linotype" w:eastAsia="Palatino Linotype" w:hAnsi="Palatino Linotype" w:cs="Palatino Linotype"/>
          <w:color w:val="000000"/>
          <w:sz w:val="22"/>
          <w:szCs w:val="22"/>
        </w:rPr>
        <w:t>Información contable y financiera.</w:t>
      </w:r>
    </w:p>
    <w:p w14:paraId="7C103925" w14:textId="77777777" w:rsidR="008555F6" w:rsidRDefault="00016B73">
      <w:pPr>
        <w:numPr>
          <w:ilvl w:val="2"/>
          <w:numId w:val="2"/>
        </w:numPr>
        <w:pBdr>
          <w:top w:val="nil"/>
          <w:left w:val="nil"/>
          <w:bottom w:val="nil"/>
          <w:right w:val="nil"/>
          <w:between w:val="nil"/>
        </w:pBdr>
        <w:tabs>
          <w:tab w:val="left" w:pos="426"/>
        </w:tabs>
        <w:spacing w:line="360" w:lineRule="auto"/>
        <w:ind w:left="1701"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Estados Financieros.</w:t>
      </w:r>
    </w:p>
    <w:p w14:paraId="7C103926" w14:textId="77777777" w:rsidR="008555F6" w:rsidRDefault="00016B73">
      <w:pPr>
        <w:numPr>
          <w:ilvl w:val="2"/>
          <w:numId w:val="2"/>
        </w:numPr>
        <w:pBdr>
          <w:top w:val="nil"/>
          <w:left w:val="nil"/>
          <w:bottom w:val="nil"/>
          <w:right w:val="nil"/>
          <w:between w:val="nil"/>
        </w:pBdr>
        <w:tabs>
          <w:tab w:val="left" w:pos="426"/>
        </w:tabs>
        <w:spacing w:line="360" w:lineRule="auto"/>
        <w:ind w:left="1701"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Disciplina Financiera.</w:t>
      </w:r>
    </w:p>
    <w:p w14:paraId="7C103927" w14:textId="77777777" w:rsidR="008555F6" w:rsidRDefault="00016B73">
      <w:pPr>
        <w:numPr>
          <w:ilvl w:val="1"/>
          <w:numId w:val="2"/>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Módulo 2.</w:t>
      </w:r>
      <w:r>
        <w:rPr>
          <w:rFonts w:ascii="Palatino Linotype" w:eastAsia="Palatino Linotype" w:hAnsi="Palatino Linotype" w:cs="Palatino Linotype"/>
          <w:color w:val="000000"/>
          <w:sz w:val="22"/>
          <w:szCs w:val="22"/>
        </w:rPr>
        <w:t xml:space="preserve"> Información Presupuestaria y patrimonial.</w:t>
      </w:r>
    </w:p>
    <w:p w14:paraId="7C103928" w14:textId="77777777" w:rsidR="008555F6" w:rsidRDefault="00016B73">
      <w:pPr>
        <w:numPr>
          <w:ilvl w:val="2"/>
          <w:numId w:val="2"/>
        </w:numPr>
        <w:pBdr>
          <w:top w:val="nil"/>
          <w:left w:val="nil"/>
          <w:bottom w:val="nil"/>
          <w:right w:val="nil"/>
          <w:between w:val="nil"/>
        </w:pBdr>
        <w:tabs>
          <w:tab w:val="left" w:pos="426"/>
        </w:tabs>
        <w:spacing w:line="360" w:lineRule="auto"/>
        <w:ind w:left="1701"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Información presupuestal.</w:t>
      </w:r>
    </w:p>
    <w:p w14:paraId="7C103929" w14:textId="77777777" w:rsidR="008555F6" w:rsidRDefault="00016B73">
      <w:pPr>
        <w:numPr>
          <w:ilvl w:val="2"/>
          <w:numId w:val="2"/>
        </w:numPr>
        <w:pBdr>
          <w:top w:val="nil"/>
          <w:left w:val="nil"/>
          <w:bottom w:val="nil"/>
          <w:right w:val="nil"/>
          <w:between w:val="nil"/>
        </w:pBdr>
        <w:tabs>
          <w:tab w:val="left" w:pos="426"/>
        </w:tabs>
        <w:spacing w:line="360" w:lineRule="auto"/>
        <w:ind w:left="1701"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Información Patrimonial.</w:t>
      </w:r>
    </w:p>
    <w:p w14:paraId="7C10392A" w14:textId="77777777" w:rsidR="008555F6" w:rsidRDefault="00016B73">
      <w:pPr>
        <w:numPr>
          <w:ilvl w:val="1"/>
          <w:numId w:val="2"/>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Módulo 3.</w:t>
      </w:r>
      <w:r>
        <w:rPr>
          <w:rFonts w:ascii="Palatino Linotype" w:eastAsia="Palatino Linotype" w:hAnsi="Palatino Linotype" w:cs="Palatino Linotype"/>
          <w:color w:val="000000"/>
          <w:sz w:val="22"/>
          <w:szCs w:val="22"/>
        </w:rPr>
        <w:t xml:space="preserve"> Información.</w:t>
      </w:r>
    </w:p>
    <w:p w14:paraId="7C10392B" w14:textId="77777777" w:rsidR="008555F6" w:rsidRDefault="00016B73">
      <w:pPr>
        <w:numPr>
          <w:ilvl w:val="2"/>
          <w:numId w:val="2"/>
        </w:numPr>
        <w:pBdr>
          <w:top w:val="nil"/>
          <w:left w:val="nil"/>
          <w:bottom w:val="nil"/>
          <w:right w:val="nil"/>
          <w:between w:val="nil"/>
        </w:pBdr>
        <w:tabs>
          <w:tab w:val="left" w:pos="426"/>
        </w:tabs>
        <w:spacing w:line="360" w:lineRule="auto"/>
        <w:ind w:left="1701"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Programática.</w:t>
      </w:r>
    </w:p>
    <w:p w14:paraId="7C10392C" w14:textId="77777777" w:rsidR="008555F6" w:rsidRDefault="00016B73">
      <w:pPr>
        <w:numPr>
          <w:ilvl w:val="1"/>
          <w:numId w:val="2"/>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Módulo 4</w:t>
      </w:r>
      <w:r>
        <w:rPr>
          <w:rFonts w:ascii="Palatino Linotype" w:eastAsia="Palatino Linotype" w:hAnsi="Palatino Linotype" w:cs="Palatino Linotype"/>
          <w:color w:val="000000"/>
          <w:sz w:val="22"/>
          <w:szCs w:val="22"/>
        </w:rPr>
        <w:t>. Información.</w:t>
      </w:r>
    </w:p>
    <w:p w14:paraId="7C10392D" w14:textId="77777777" w:rsidR="008555F6" w:rsidRDefault="00016B73">
      <w:pPr>
        <w:numPr>
          <w:ilvl w:val="2"/>
          <w:numId w:val="2"/>
        </w:numPr>
        <w:pBdr>
          <w:top w:val="nil"/>
          <w:left w:val="nil"/>
          <w:bottom w:val="nil"/>
          <w:right w:val="nil"/>
          <w:between w:val="nil"/>
        </w:pBdr>
        <w:tabs>
          <w:tab w:val="left" w:pos="426"/>
        </w:tabs>
        <w:spacing w:line="360" w:lineRule="auto"/>
        <w:ind w:left="1701"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Complementaria.</w:t>
      </w:r>
    </w:p>
    <w:p w14:paraId="7C10392E" w14:textId="77777777" w:rsidR="008555F6" w:rsidRDefault="00016B73">
      <w:pPr>
        <w:numPr>
          <w:ilvl w:val="2"/>
          <w:numId w:val="2"/>
        </w:numPr>
        <w:pBdr>
          <w:top w:val="nil"/>
          <w:left w:val="nil"/>
          <w:bottom w:val="nil"/>
          <w:right w:val="nil"/>
          <w:between w:val="nil"/>
        </w:pBdr>
        <w:tabs>
          <w:tab w:val="left" w:pos="426"/>
        </w:tabs>
        <w:spacing w:line="360" w:lineRule="auto"/>
        <w:ind w:left="1701"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Financiamiento.</w:t>
      </w:r>
    </w:p>
    <w:p w14:paraId="7C10392F" w14:textId="77777777" w:rsidR="008555F6" w:rsidRDefault="00016B73">
      <w:pPr>
        <w:numPr>
          <w:ilvl w:val="2"/>
          <w:numId w:val="2"/>
        </w:numPr>
        <w:pBdr>
          <w:top w:val="nil"/>
          <w:left w:val="nil"/>
          <w:bottom w:val="nil"/>
          <w:right w:val="nil"/>
          <w:between w:val="nil"/>
        </w:pBdr>
        <w:tabs>
          <w:tab w:val="left" w:pos="426"/>
        </w:tabs>
        <w:spacing w:line="360" w:lineRule="auto"/>
        <w:ind w:left="1701"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ISSEMyM.</w:t>
      </w:r>
    </w:p>
    <w:p w14:paraId="7C103930" w14:textId="77777777" w:rsidR="008555F6" w:rsidRDefault="00016B73">
      <w:pPr>
        <w:numPr>
          <w:ilvl w:val="2"/>
          <w:numId w:val="2"/>
        </w:numPr>
        <w:pBdr>
          <w:top w:val="nil"/>
          <w:left w:val="nil"/>
          <w:bottom w:val="nil"/>
          <w:right w:val="nil"/>
          <w:between w:val="nil"/>
        </w:pBdr>
        <w:tabs>
          <w:tab w:val="left" w:pos="426"/>
        </w:tabs>
        <w:spacing w:line="360" w:lineRule="auto"/>
        <w:ind w:left="1701"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ISR.</w:t>
      </w:r>
    </w:p>
    <w:p w14:paraId="7C103931" w14:textId="77777777" w:rsidR="008555F6" w:rsidRDefault="00016B73">
      <w:pPr>
        <w:numPr>
          <w:ilvl w:val="2"/>
          <w:numId w:val="2"/>
        </w:numPr>
        <w:pBdr>
          <w:top w:val="nil"/>
          <w:left w:val="nil"/>
          <w:bottom w:val="nil"/>
          <w:right w:val="nil"/>
          <w:between w:val="nil"/>
        </w:pBdr>
        <w:tabs>
          <w:tab w:val="left" w:pos="426"/>
        </w:tabs>
        <w:spacing w:line="360" w:lineRule="auto"/>
        <w:ind w:left="1701"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Dictamen ISERTP.</w:t>
      </w:r>
    </w:p>
    <w:p w14:paraId="7C103932"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933"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Siendo de especial interés la información contenida en el módulo 1 pues, de entre los diversos formatos contables y financieros, el ente fiscalizable municipal deberá presentar el </w:t>
      </w:r>
      <w:r>
        <w:rPr>
          <w:rFonts w:ascii="Palatino Linotype" w:eastAsia="Palatino Linotype" w:hAnsi="Palatino Linotype" w:cs="Palatino Linotype"/>
          <w:b/>
          <w:color w:val="000000"/>
        </w:rPr>
        <w:t>Estado Analítico de Ingresos Detallado</w:t>
      </w:r>
      <w:r>
        <w:rPr>
          <w:rFonts w:ascii="Palatino Linotype" w:eastAsia="Palatino Linotype" w:hAnsi="Palatino Linotype" w:cs="Palatino Linotype"/>
          <w:color w:val="000000"/>
        </w:rPr>
        <w:t xml:space="preserve">, cuyo objeto consiste en  mostrar el monto original estimado para ser recaudada por el ente público, la cantidad devengada de los ingresos, es decir la suma de los ingresos sobre los que el ente tiene el derecho jurídico de cobro y finalmente, </w:t>
      </w:r>
      <w:r>
        <w:rPr>
          <w:rFonts w:ascii="Palatino Linotype" w:eastAsia="Palatino Linotype" w:hAnsi="Palatino Linotype" w:cs="Palatino Linotype"/>
          <w:b/>
          <w:color w:val="000000"/>
        </w:rPr>
        <w:t>la cifra recaudada por cada rubro de ingreso</w:t>
      </w:r>
      <w:r>
        <w:rPr>
          <w:rFonts w:ascii="Palatino Linotype" w:eastAsia="Palatino Linotype" w:hAnsi="Palatino Linotype" w:cs="Palatino Linotype"/>
          <w:color w:val="000000"/>
        </w:rPr>
        <w:t xml:space="preserve"> en un año fiscal. Se adjunta un fragmento del documento para efectos de referencia:</w:t>
      </w:r>
    </w:p>
    <w:p w14:paraId="7C103934"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935" w14:textId="77777777" w:rsidR="008555F6" w:rsidRDefault="00016B73">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eastAsia="es-MX"/>
        </w:rPr>
        <w:drawing>
          <wp:inline distT="0" distB="0" distL="0" distR="0" wp14:anchorId="7C103989" wp14:editId="7C10398A">
            <wp:extent cx="4822936" cy="2853488"/>
            <wp:effectExtent l="12700" t="12700" r="12700" b="127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822936" cy="2853488"/>
                    </a:xfrm>
                    <a:prstGeom prst="rect">
                      <a:avLst/>
                    </a:prstGeom>
                    <a:ln w="12700">
                      <a:solidFill>
                        <a:srgbClr val="000000"/>
                      </a:solidFill>
                      <a:prstDash val="solid"/>
                    </a:ln>
                  </pic:spPr>
                </pic:pic>
              </a:graphicData>
            </a:graphic>
          </wp:inline>
        </w:drawing>
      </w:r>
    </w:p>
    <w:p w14:paraId="7C103936"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937"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esta manera, podemos identificar al </w:t>
      </w:r>
      <w:r>
        <w:rPr>
          <w:rFonts w:ascii="Palatino Linotype" w:eastAsia="Palatino Linotype" w:hAnsi="Palatino Linotype" w:cs="Palatino Linotype"/>
          <w:b/>
          <w:color w:val="000000"/>
        </w:rPr>
        <w:t>Estado Analítico de Ingresos Detallado</w:t>
      </w:r>
      <w:r>
        <w:rPr>
          <w:rFonts w:ascii="Palatino Linotype" w:eastAsia="Palatino Linotype" w:hAnsi="Palatino Linotype" w:cs="Palatino Linotype"/>
          <w:color w:val="000000"/>
        </w:rPr>
        <w:t xml:space="preserve"> del ejercicio dos mil veintidós como, de manera enunciativa más no limitativa, como el documento idóneo que puede satisfacer la solicitud del particular, al reportar a detalle el ingreso de cada una de las actividades del ayuntamiento que supusieron un abono a sus arcas.</w:t>
      </w:r>
    </w:p>
    <w:p w14:paraId="7C103938"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939"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este Organismo Garante concluye conforme a derecho el </w:t>
      </w:r>
      <w:r>
        <w:rPr>
          <w:rFonts w:ascii="Palatino Linotype" w:eastAsia="Palatino Linotype" w:hAnsi="Palatino Linotype" w:cs="Palatino Linotype"/>
          <w:b/>
          <w:color w:val="000000"/>
        </w:rPr>
        <w:t>modificar</w:t>
      </w:r>
      <w:r>
        <w:rPr>
          <w:rFonts w:ascii="Palatino Linotype" w:eastAsia="Palatino Linotype" w:hAnsi="Palatino Linotype" w:cs="Palatino Linotype"/>
          <w:color w:val="000000"/>
        </w:rPr>
        <w:t xml:space="preserve">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fin de </w:t>
      </w:r>
      <w:r>
        <w:rPr>
          <w:rFonts w:ascii="Palatino Linotype" w:eastAsia="Palatino Linotype" w:hAnsi="Palatino Linotype" w:cs="Palatino Linotype"/>
          <w:b/>
          <w:color w:val="000000"/>
        </w:rPr>
        <w:t>ordenar</w:t>
      </w:r>
      <w:r>
        <w:rPr>
          <w:rFonts w:ascii="Palatino Linotype" w:eastAsia="Palatino Linotype" w:hAnsi="Palatino Linotype" w:cs="Palatino Linotype"/>
          <w:color w:val="000000"/>
        </w:rPr>
        <w:t xml:space="preserve"> la entrega del documento donde consten los ingresos recabados en el dos mil veintitrés, separados por concepto, en versión pública de ser procedente.</w:t>
      </w:r>
    </w:p>
    <w:p w14:paraId="7C10393A"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93B" w14:textId="77777777" w:rsidR="008555F6" w:rsidRDefault="00016B73">
      <w:pPr>
        <w:pStyle w:val="Ttulo2"/>
        <w:spacing w:before="0" w:line="360" w:lineRule="auto"/>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QUINTO. Versión pública.</w:t>
      </w:r>
    </w:p>
    <w:p w14:paraId="7C10393C"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Debe 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7C10393D"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93E"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w:t>
      </w:r>
      <w:r>
        <w:rPr>
          <w:rFonts w:ascii="Palatino Linotype" w:eastAsia="Palatino Linotype" w:hAnsi="Palatino Linotype" w:cs="Palatino Linotype"/>
        </w:rPr>
        <w:t xml:space="preserve">clasificación total o parcial de la información requerida, mediante solicitud de acceso a la información pública, constituye una restricción al derecho humano de acceso a la información. </w:t>
      </w:r>
      <w:r>
        <w:rPr>
          <w:rFonts w:ascii="Palatino Linotype" w:eastAsia="Palatino Linotype" w:hAnsi="Palatino Linotype" w:cs="Palatino Linotype"/>
          <w:color w:val="000000"/>
        </w:rPr>
        <w:t>Actualmente, el grave problema que enfrentamos son los Acuerdos de Clasificación de la Información que emiten los Sujetos Obligados,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a7"/>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38"/>
        <w:gridCol w:w="6990"/>
      </w:tblGrid>
      <w:tr w:rsidR="008555F6" w14:paraId="7C103946" w14:textId="77777777">
        <w:tc>
          <w:tcPr>
            <w:tcW w:w="1838" w:type="dxa"/>
          </w:tcPr>
          <w:p w14:paraId="7C10393F" w14:textId="77777777" w:rsidR="008555F6" w:rsidRDefault="00016B73">
            <w:pPr>
              <w:spacing w:line="276"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 Requisitos previos.</w:t>
            </w:r>
          </w:p>
        </w:tc>
        <w:tc>
          <w:tcPr>
            <w:tcW w:w="6990" w:type="dxa"/>
          </w:tcPr>
          <w:p w14:paraId="7C103940" w14:textId="77777777" w:rsidR="008555F6" w:rsidRDefault="00016B73">
            <w:pPr>
              <w:spacing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Los artículos 100 y 122 de la Ley Estatal y de la Ley General, respectivamente, señalan que si los Sujetos Obligados determinan que la información actualiza </w:t>
            </w:r>
            <w:r>
              <w:rPr>
                <w:rFonts w:ascii="Palatino Linotype" w:eastAsia="Palatino Linotype" w:hAnsi="Palatino Linotype" w:cs="Palatino Linotype"/>
                <w:sz w:val="20"/>
                <w:szCs w:val="20"/>
              </w:rPr>
              <w:lastRenderedPageBreak/>
              <w:t xml:space="preserve">alguno de los supuestos de clasificación, es deber de los titulares de las áreas proponer su clasificación y no del Comité de Transparencia. </w:t>
            </w:r>
          </w:p>
          <w:p w14:paraId="7C103941" w14:textId="77777777" w:rsidR="008555F6" w:rsidRDefault="008555F6">
            <w:pPr>
              <w:spacing w:line="276" w:lineRule="auto"/>
              <w:ind w:right="49"/>
              <w:jc w:val="both"/>
              <w:rPr>
                <w:rFonts w:ascii="Palatino Linotype" w:eastAsia="Palatino Linotype" w:hAnsi="Palatino Linotype" w:cs="Palatino Linotype"/>
                <w:sz w:val="20"/>
                <w:szCs w:val="20"/>
              </w:rPr>
            </w:pPr>
          </w:p>
          <w:p w14:paraId="7C103942" w14:textId="77777777" w:rsidR="008555F6" w:rsidRDefault="00016B73">
            <w:pPr>
              <w:spacing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Al hacerlo tienen que precisar de qué información se trata, señalando el supuesto de clasificación (confidencialidad o reserva).</w:t>
            </w:r>
          </w:p>
          <w:p w14:paraId="7C103943" w14:textId="77777777" w:rsidR="008555F6" w:rsidRDefault="00016B73">
            <w:pPr>
              <w:spacing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Además, se debe señalar el procedimiento, de los tres que establecen los artículos 132 y 106 de la Ley Estatal y General, respectivamente.</w:t>
            </w:r>
          </w:p>
          <w:p w14:paraId="7C103944" w14:textId="77777777" w:rsidR="008555F6" w:rsidRDefault="008555F6">
            <w:pPr>
              <w:spacing w:line="276" w:lineRule="auto"/>
              <w:ind w:right="49"/>
              <w:jc w:val="both"/>
              <w:rPr>
                <w:rFonts w:ascii="Palatino Linotype" w:eastAsia="Palatino Linotype" w:hAnsi="Palatino Linotype" w:cs="Palatino Linotype"/>
                <w:sz w:val="20"/>
                <w:szCs w:val="20"/>
              </w:rPr>
            </w:pPr>
          </w:p>
          <w:p w14:paraId="7C103945" w14:textId="77777777" w:rsidR="008555F6" w:rsidRDefault="00016B73">
            <w:p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último de estos requisitos previos consiste en que no se pueden emitir acuerdos de carácter general ni particular, esto es, </w:t>
            </w:r>
            <w:r>
              <w:rPr>
                <w:rFonts w:ascii="Palatino Linotype" w:eastAsia="Palatino Linotype" w:hAnsi="Palatino Linotype" w:cs="Palatino Linotype"/>
                <w:sz w:val="20"/>
                <w:szCs w:val="20"/>
                <w:u w:val="single"/>
              </w:rPr>
              <w:t xml:space="preserve">no se puede hacer un acuerdo para clasificar de manera general todos los documentos de un expediente o área,  </w:t>
            </w:r>
            <w:r>
              <w:rPr>
                <w:rFonts w:ascii="Palatino Linotype" w:eastAsia="Palatino Linotype" w:hAnsi="Palatino Linotype" w:cs="Palatino Linotype"/>
                <w:sz w:val="20"/>
                <w:szCs w:val="20"/>
              </w:rPr>
              <w:t>sin individualizar su análisis y tampoco se puede hacer un acuerdo por cada dato que se vaya a clasificar dentro de un documento con diez datos, por ejemplo, susceptibles de ser clasificados.</w:t>
            </w:r>
          </w:p>
        </w:tc>
      </w:tr>
      <w:tr w:rsidR="008555F6" w14:paraId="7C10394D" w14:textId="77777777">
        <w:tc>
          <w:tcPr>
            <w:tcW w:w="1838" w:type="dxa"/>
          </w:tcPr>
          <w:p w14:paraId="7C103947" w14:textId="77777777" w:rsidR="008555F6" w:rsidRDefault="00016B73">
            <w:pPr>
              <w:spacing w:line="276"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b) Supuestos de clasificación.</w:t>
            </w:r>
          </w:p>
        </w:tc>
        <w:tc>
          <w:tcPr>
            <w:tcW w:w="6990" w:type="dxa"/>
          </w:tcPr>
          <w:p w14:paraId="7C103948" w14:textId="77777777" w:rsidR="008555F6" w:rsidRDefault="00016B73">
            <w:pPr>
              <w:spacing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Las disposiciones constitucionales y legales en la materia establecen los dos supuestos generales para clasificar la información: por reserva y por confidencialidad.</w:t>
            </w:r>
          </w:p>
          <w:p w14:paraId="7C103949" w14:textId="77777777" w:rsidR="008555F6" w:rsidRDefault="008555F6">
            <w:pPr>
              <w:spacing w:line="276" w:lineRule="auto"/>
              <w:ind w:right="49"/>
              <w:jc w:val="both"/>
              <w:rPr>
                <w:rFonts w:ascii="Palatino Linotype" w:eastAsia="Palatino Linotype" w:hAnsi="Palatino Linotype" w:cs="Palatino Linotype"/>
                <w:sz w:val="20"/>
                <w:szCs w:val="20"/>
              </w:rPr>
            </w:pPr>
          </w:p>
          <w:p w14:paraId="7C10394A" w14:textId="77777777" w:rsidR="008555F6" w:rsidRDefault="00016B73">
            <w:pPr>
              <w:spacing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C10394B" w14:textId="77777777" w:rsidR="008555F6" w:rsidRDefault="008555F6">
            <w:pPr>
              <w:spacing w:line="276" w:lineRule="auto"/>
              <w:ind w:right="49"/>
              <w:jc w:val="both"/>
              <w:rPr>
                <w:rFonts w:ascii="Palatino Linotype" w:eastAsia="Palatino Linotype" w:hAnsi="Palatino Linotype" w:cs="Palatino Linotype"/>
                <w:sz w:val="20"/>
                <w:szCs w:val="20"/>
              </w:rPr>
            </w:pPr>
          </w:p>
          <w:p w14:paraId="7C10394C" w14:textId="77777777" w:rsidR="008555F6" w:rsidRDefault="00016B73">
            <w:p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w:t>
            </w:r>
            <w:r>
              <w:rPr>
                <w:rFonts w:ascii="Palatino Linotype" w:eastAsia="Palatino Linotype" w:hAnsi="Palatino Linotype" w:cs="Palatino Linotype"/>
                <w:b/>
                <w:sz w:val="20"/>
                <w:szCs w:val="20"/>
              </w:rPr>
              <w:t>SUJETO OBLIGADO</w:t>
            </w:r>
            <w:r>
              <w:rPr>
                <w:rFonts w:ascii="Palatino Linotype" w:eastAsia="Palatino Linotype" w:hAnsi="Palatino Linotype" w:cs="Palatino Linotype"/>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555F6" w14:paraId="7C103954" w14:textId="77777777">
        <w:tc>
          <w:tcPr>
            <w:tcW w:w="1838" w:type="dxa"/>
          </w:tcPr>
          <w:p w14:paraId="7C10394E" w14:textId="77777777" w:rsidR="008555F6" w:rsidRDefault="00016B73">
            <w:pPr>
              <w:spacing w:line="276"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 Formalidades para emitir el acuerdo de clasificación.</w:t>
            </w:r>
          </w:p>
        </w:tc>
        <w:tc>
          <w:tcPr>
            <w:tcW w:w="6990" w:type="dxa"/>
          </w:tcPr>
          <w:p w14:paraId="7C10394F" w14:textId="77777777" w:rsidR="008555F6" w:rsidRDefault="00016B73">
            <w:pPr>
              <w:spacing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Comité de Transparencia, según lo dispuesto en los artículos cuenta con las facultades para aprobar, modificar o revocar la clasificación de la información que haya propuesto. </w:t>
            </w:r>
          </w:p>
          <w:p w14:paraId="7C103950" w14:textId="77777777" w:rsidR="008555F6" w:rsidRDefault="008555F6">
            <w:pPr>
              <w:spacing w:line="276" w:lineRule="auto"/>
              <w:ind w:right="49"/>
              <w:jc w:val="both"/>
              <w:rPr>
                <w:rFonts w:ascii="Palatino Linotype" w:eastAsia="Palatino Linotype" w:hAnsi="Palatino Linotype" w:cs="Palatino Linotype"/>
                <w:sz w:val="20"/>
                <w:szCs w:val="20"/>
              </w:rPr>
            </w:pPr>
          </w:p>
          <w:p w14:paraId="7C103951" w14:textId="77777777" w:rsidR="008555F6" w:rsidRDefault="00016B73">
            <w:pPr>
              <w:spacing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Es necesario que </w:t>
            </w:r>
            <w:r>
              <w:rPr>
                <w:rFonts w:ascii="Palatino Linotype" w:eastAsia="Palatino Linotype" w:hAnsi="Palatino Linotype" w:cs="Palatino Linotype"/>
                <w:b/>
                <w:sz w:val="20"/>
                <w:szCs w:val="20"/>
                <w:u w:val="single"/>
              </w:rPr>
              <w:t>el acto reúna con los requisitos elementales</w:t>
            </w:r>
            <w:r>
              <w:rPr>
                <w:rFonts w:ascii="Palatino Linotype" w:eastAsia="Palatino Linotype" w:hAnsi="Palatino Linotype" w:cs="Palatino Linotype"/>
                <w:sz w:val="20"/>
                <w:szCs w:val="20"/>
              </w:rPr>
              <w:t>, entre ellos, que la autoridad que va a emitir el acto de autoridad sea la legalmente facultada para ello.</w:t>
            </w:r>
          </w:p>
          <w:p w14:paraId="7C103952" w14:textId="77777777" w:rsidR="008555F6" w:rsidRDefault="008555F6">
            <w:pPr>
              <w:spacing w:line="276" w:lineRule="auto"/>
              <w:ind w:right="49"/>
              <w:jc w:val="both"/>
              <w:rPr>
                <w:rFonts w:ascii="Palatino Linotype" w:eastAsia="Palatino Linotype" w:hAnsi="Palatino Linotype" w:cs="Palatino Linotype"/>
                <w:sz w:val="20"/>
                <w:szCs w:val="20"/>
              </w:rPr>
            </w:pPr>
          </w:p>
          <w:p w14:paraId="7C103953" w14:textId="77777777" w:rsidR="008555F6" w:rsidRDefault="00016B73">
            <w:p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555F6" w14:paraId="7C103960" w14:textId="77777777">
        <w:tc>
          <w:tcPr>
            <w:tcW w:w="1838" w:type="dxa"/>
          </w:tcPr>
          <w:p w14:paraId="7C103955" w14:textId="77777777" w:rsidR="008555F6" w:rsidRDefault="008555F6">
            <w:pPr>
              <w:spacing w:line="276" w:lineRule="auto"/>
              <w:rPr>
                <w:rFonts w:ascii="Palatino Linotype" w:eastAsia="Palatino Linotype" w:hAnsi="Palatino Linotype" w:cs="Palatino Linotype"/>
                <w:sz w:val="20"/>
                <w:szCs w:val="20"/>
              </w:rPr>
            </w:pPr>
          </w:p>
          <w:p w14:paraId="7C103956" w14:textId="77777777" w:rsidR="008555F6" w:rsidRDefault="00016B73">
            <w:p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 Requisitos de fondo del acuerdo de clasificación. </w:t>
            </w:r>
          </w:p>
        </w:tc>
        <w:tc>
          <w:tcPr>
            <w:tcW w:w="6990" w:type="dxa"/>
          </w:tcPr>
          <w:p w14:paraId="7C103957" w14:textId="77777777" w:rsidR="008555F6" w:rsidRDefault="00016B73">
            <w:pPr>
              <w:spacing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sz w:val="20"/>
                <w:szCs w:val="20"/>
              </w:rPr>
              <w:t>Sujetos Obligados</w:t>
            </w:r>
            <w:r>
              <w:rPr>
                <w:rFonts w:ascii="Palatino Linotype" w:eastAsia="Palatino Linotype" w:hAnsi="Palatino Linotype" w:cs="Palatino Linotype"/>
                <w:sz w:val="20"/>
                <w:szCs w:val="20"/>
              </w:rPr>
              <w:t xml:space="preserve">, por lo que deberán fundar y motivar debidamente la clasificación. </w:t>
            </w:r>
          </w:p>
          <w:p w14:paraId="7C103958" w14:textId="77777777" w:rsidR="008555F6" w:rsidRDefault="008555F6">
            <w:pPr>
              <w:spacing w:line="276" w:lineRule="auto"/>
              <w:ind w:right="49"/>
              <w:jc w:val="both"/>
              <w:rPr>
                <w:rFonts w:ascii="Palatino Linotype" w:eastAsia="Palatino Linotype" w:hAnsi="Palatino Linotype" w:cs="Palatino Linotype"/>
                <w:sz w:val="20"/>
                <w:szCs w:val="20"/>
              </w:rPr>
            </w:pPr>
          </w:p>
          <w:p w14:paraId="7C103959" w14:textId="77777777" w:rsidR="008555F6" w:rsidRDefault="00016B73">
            <w:pPr>
              <w:spacing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De lo anterior, se desprende que para una correcta </w:t>
            </w:r>
            <w:r>
              <w:rPr>
                <w:rFonts w:ascii="Palatino Linotype" w:eastAsia="Palatino Linotype" w:hAnsi="Palatino Linotype" w:cs="Palatino Linotype"/>
                <w:b/>
                <w:sz w:val="20"/>
                <w:szCs w:val="20"/>
              </w:rPr>
              <w:t>clasificación total o parcial</w:t>
            </w:r>
            <w:r>
              <w:rPr>
                <w:rFonts w:ascii="Palatino Linotype" w:eastAsia="Palatino Linotype" w:hAnsi="Palatino Linotype" w:cs="Palatino Linotype"/>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C10395A" w14:textId="77777777" w:rsidR="008555F6" w:rsidRDefault="008555F6">
            <w:pPr>
              <w:spacing w:line="276" w:lineRule="auto"/>
              <w:ind w:right="49"/>
              <w:jc w:val="both"/>
              <w:rPr>
                <w:rFonts w:ascii="Palatino Linotype" w:eastAsia="Palatino Linotype" w:hAnsi="Palatino Linotype" w:cs="Palatino Linotype"/>
                <w:sz w:val="20"/>
                <w:szCs w:val="20"/>
              </w:rPr>
            </w:pPr>
          </w:p>
          <w:p w14:paraId="7C10395B" w14:textId="77777777" w:rsidR="008555F6" w:rsidRDefault="00016B73">
            <w:pPr>
              <w:spacing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C10395C" w14:textId="77777777" w:rsidR="008555F6" w:rsidRDefault="008555F6">
            <w:pPr>
              <w:spacing w:line="276" w:lineRule="auto"/>
              <w:ind w:right="49"/>
              <w:jc w:val="both"/>
              <w:rPr>
                <w:rFonts w:ascii="Palatino Linotype" w:eastAsia="Palatino Linotype" w:hAnsi="Palatino Linotype" w:cs="Palatino Linotype"/>
                <w:sz w:val="20"/>
                <w:szCs w:val="20"/>
              </w:rPr>
            </w:pPr>
          </w:p>
          <w:p w14:paraId="7C10395D" w14:textId="77777777" w:rsidR="008555F6" w:rsidRDefault="00016B73">
            <w:pPr>
              <w:spacing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ese mismo sentido, el numeral trigésimo tercero fracción V de los Lineamientos Generales, precisa que para motivar la clasificación se deben acreditar las circunstancias de tiempo, modo y lugar.</w:t>
            </w:r>
          </w:p>
          <w:p w14:paraId="7C10395E" w14:textId="77777777" w:rsidR="008555F6" w:rsidRDefault="008555F6">
            <w:pPr>
              <w:spacing w:line="276" w:lineRule="auto"/>
              <w:ind w:right="49"/>
              <w:jc w:val="both"/>
              <w:rPr>
                <w:rFonts w:ascii="Palatino Linotype" w:eastAsia="Palatino Linotype" w:hAnsi="Palatino Linotype" w:cs="Palatino Linotype"/>
                <w:sz w:val="20"/>
                <w:szCs w:val="20"/>
              </w:rPr>
            </w:pPr>
          </w:p>
          <w:p w14:paraId="7C10395F" w14:textId="77777777" w:rsidR="008555F6" w:rsidRDefault="00016B73">
            <w:pPr>
              <w:spacing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Ahora bien, </w:t>
            </w:r>
            <w:r>
              <w:rPr>
                <w:rFonts w:ascii="Palatino Linotype" w:eastAsia="Palatino Linotype" w:hAnsi="Palatino Linotype" w:cs="Palatino Linotype"/>
                <w:b/>
                <w:sz w:val="20"/>
                <w:szCs w:val="20"/>
                <w:u w:val="single"/>
              </w:rPr>
              <w:t>para cada caso además de fundar y motivar</w:t>
            </w:r>
            <w:r>
              <w:rPr>
                <w:rFonts w:ascii="Palatino Linotype" w:eastAsia="Palatino Linotype" w:hAnsi="Palatino Linotype" w:cs="Palatino Linotype"/>
                <w:sz w:val="20"/>
                <w:szCs w:val="20"/>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w:t>
            </w:r>
            <w:r>
              <w:rPr>
                <w:rFonts w:ascii="Palatino Linotype" w:eastAsia="Palatino Linotype" w:hAnsi="Palatino Linotype" w:cs="Palatino Linotype"/>
                <w:sz w:val="20"/>
                <w:szCs w:val="20"/>
              </w:rPr>
              <w:lastRenderedPageBreak/>
              <w:t>fiscal, bursátil y postal, cuya titularidad corresponda a particulares, entre otros.</w:t>
            </w:r>
          </w:p>
        </w:tc>
      </w:tr>
      <w:tr w:rsidR="008555F6" w14:paraId="7C103968" w14:textId="77777777">
        <w:tc>
          <w:tcPr>
            <w:tcW w:w="1838" w:type="dxa"/>
          </w:tcPr>
          <w:p w14:paraId="7C103961" w14:textId="77777777" w:rsidR="008555F6" w:rsidRDefault="00016B73">
            <w:pPr>
              <w:spacing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e) Condiciones especiales de la clasificación de la información como confidencial. </w:t>
            </w:r>
          </w:p>
          <w:p w14:paraId="7C103962" w14:textId="77777777" w:rsidR="008555F6" w:rsidRDefault="008555F6">
            <w:pPr>
              <w:spacing w:line="276" w:lineRule="auto"/>
              <w:rPr>
                <w:rFonts w:ascii="Palatino Linotype" w:eastAsia="Palatino Linotype" w:hAnsi="Palatino Linotype" w:cs="Palatino Linotype"/>
                <w:sz w:val="20"/>
                <w:szCs w:val="20"/>
              </w:rPr>
            </w:pPr>
          </w:p>
        </w:tc>
        <w:tc>
          <w:tcPr>
            <w:tcW w:w="6990" w:type="dxa"/>
          </w:tcPr>
          <w:p w14:paraId="7C103963" w14:textId="77777777" w:rsidR="008555F6" w:rsidRDefault="00016B73">
            <w:pPr>
              <w:spacing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Los artículos 148 y 120 de la Ley Estatal y de la Ley General, respectivamente, establecen que aun tratándose de datos personales, se podrán proporcionar, incluso sin solicitar el consentimiento de su titular. </w:t>
            </w:r>
          </w:p>
          <w:p w14:paraId="7C103964" w14:textId="77777777" w:rsidR="008555F6" w:rsidRDefault="008555F6">
            <w:pPr>
              <w:spacing w:line="276" w:lineRule="auto"/>
              <w:ind w:right="49"/>
              <w:jc w:val="both"/>
              <w:rPr>
                <w:rFonts w:ascii="Palatino Linotype" w:eastAsia="Palatino Linotype" w:hAnsi="Palatino Linotype" w:cs="Palatino Linotype"/>
                <w:sz w:val="20"/>
                <w:szCs w:val="20"/>
              </w:rPr>
            </w:pPr>
          </w:p>
          <w:p w14:paraId="7C103965" w14:textId="77777777" w:rsidR="008555F6" w:rsidRDefault="00016B73">
            <w:pPr>
              <w:spacing w:line="276"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C103966" w14:textId="77777777" w:rsidR="008555F6" w:rsidRDefault="008555F6">
            <w:pPr>
              <w:spacing w:line="276" w:lineRule="auto"/>
              <w:ind w:right="49"/>
              <w:jc w:val="both"/>
              <w:rPr>
                <w:rFonts w:ascii="Palatino Linotype" w:eastAsia="Palatino Linotype" w:hAnsi="Palatino Linotype" w:cs="Palatino Linotype"/>
                <w:sz w:val="20"/>
                <w:szCs w:val="20"/>
              </w:rPr>
            </w:pPr>
          </w:p>
          <w:p w14:paraId="7C103967" w14:textId="77777777" w:rsidR="008555F6" w:rsidRDefault="00016B73">
            <w:pPr>
              <w:spacing w:line="276"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C103969" w14:textId="77777777" w:rsidR="008555F6" w:rsidRDefault="008555F6">
      <w:pPr>
        <w:rPr>
          <w:rFonts w:ascii="Palatino Linotype" w:eastAsia="Palatino Linotype" w:hAnsi="Palatino Linotype" w:cs="Palatino Linotype"/>
          <w:b/>
          <w:color w:val="000000"/>
        </w:rPr>
      </w:pPr>
    </w:p>
    <w:p w14:paraId="7C10396A" w14:textId="77777777" w:rsidR="008555F6" w:rsidRDefault="008555F6">
      <w:pPr>
        <w:pStyle w:val="Ttulo2"/>
        <w:spacing w:before="0" w:line="360" w:lineRule="auto"/>
        <w:rPr>
          <w:rFonts w:ascii="Palatino Linotype" w:eastAsia="Palatino Linotype" w:hAnsi="Palatino Linotype" w:cs="Palatino Linotype"/>
          <w:b/>
          <w:color w:val="000000"/>
          <w:sz w:val="24"/>
          <w:szCs w:val="24"/>
        </w:rPr>
      </w:pPr>
    </w:p>
    <w:p w14:paraId="7C10396B" w14:textId="77777777" w:rsidR="008555F6" w:rsidRDefault="00016B73">
      <w:pPr>
        <w:pStyle w:val="Ttulo2"/>
        <w:spacing w:before="0" w:line="360" w:lineRule="auto"/>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SEXTO. Decisión.</w:t>
      </w:r>
    </w:p>
    <w:p w14:paraId="7C10396C"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bookmarkStart w:id="9" w:name="_heading=h.3rdcrjn" w:colFirst="0" w:colLast="0"/>
      <w:bookmarkEnd w:id="9"/>
      <w:r>
        <w:rPr>
          <w:rFonts w:ascii="Palatino Linotype" w:eastAsia="Palatino Linotype" w:hAnsi="Palatino Linotype" w:cs="Palatino Linotype"/>
          <w:color w:val="000000"/>
        </w:rPr>
        <w:t xml:space="preserve">Por </w:t>
      </w:r>
      <w:r>
        <w:rPr>
          <w:rFonts w:ascii="Palatino Linotype" w:eastAsia="Palatino Linotype" w:hAnsi="Palatino Linotype" w:cs="Palatino Linotype"/>
        </w:rPr>
        <w:t xml:space="preserve">lo tanto, en consecuencia y en mérito de lo expuesto en líneas anteriores, resultan fundadas las razones o motivos de inconformidad hechos valer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dentro del recurso de revisión </w:t>
      </w:r>
      <w:r>
        <w:rPr>
          <w:rFonts w:ascii="Palatino Linotype" w:eastAsia="Palatino Linotype" w:hAnsi="Palatino Linotype" w:cs="Palatino Linotype"/>
          <w:b/>
        </w:rPr>
        <w:t>05963/INFOEM/IP/RR/2023</w:t>
      </w:r>
      <w:r>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a la solicitud de información número </w:t>
      </w:r>
      <w:r>
        <w:rPr>
          <w:rFonts w:ascii="Palatino Linotype" w:eastAsia="Palatino Linotype" w:hAnsi="Palatino Linotype" w:cs="Palatino Linotype"/>
          <w:b/>
        </w:rPr>
        <w:t>00747/ZINACANT/IP/2023</w:t>
      </w:r>
      <w:r>
        <w:rPr>
          <w:rFonts w:ascii="Palatino Linotype" w:eastAsia="Palatino Linotype" w:hAnsi="Palatino Linotype" w:cs="Palatino Linotype"/>
        </w:rPr>
        <w:t>.</w:t>
      </w:r>
    </w:p>
    <w:p w14:paraId="7C10396D" w14:textId="77777777" w:rsidR="008555F6" w:rsidRDefault="00855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10396E" w14:textId="77777777" w:rsidR="008555F6" w:rsidRDefault="00016B73">
      <w:pPr>
        <w:numPr>
          <w:ilvl w:val="0"/>
          <w:numId w:val="7"/>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anteriormente expuesto y fundado, 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 ---------------------------------------------</w:t>
      </w:r>
      <w:r>
        <w:rPr>
          <w:rFonts w:ascii="Palatino Linotype" w:eastAsia="Palatino Linotype" w:hAnsi="Palatino Linotype" w:cs="Palatino Linotype"/>
        </w:rPr>
        <w:t>-------------------------------------</w:t>
      </w:r>
    </w:p>
    <w:p w14:paraId="7C10396F" w14:textId="77777777" w:rsidR="008555F6" w:rsidRDefault="008555F6">
      <w:pPr>
        <w:rPr>
          <w:rFonts w:ascii="Palatino Linotype" w:eastAsia="Palatino Linotype" w:hAnsi="Palatino Linotype" w:cs="Palatino Linotype"/>
          <w:color w:val="000000"/>
        </w:rPr>
      </w:pPr>
    </w:p>
    <w:p w14:paraId="7C103970" w14:textId="77777777" w:rsidR="008555F6" w:rsidRDefault="008555F6">
      <w:pPr>
        <w:rPr>
          <w:rFonts w:ascii="Palatino Linotype" w:eastAsia="Palatino Linotype" w:hAnsi="Palatino Linotype" w:cs="Palatino Linotype"/>
          <w:color w:val="000000"/>
        </w:rPr>
      </w:pPr>
    </w:p>
    <w:p w14:paraId="7C103971" w14:textId="77777777" w:rsidR="008555F6" w:rsidRDefault="00016B73">
      <w:pPr>
        <w:pStyle w:val="Ttulo1"/>
        <w:spacing w:before="0" w:line="360" w:lineRule="auto"/>
        <w:jc w:val="center"/>
        <w:rPr>
          <w:b/>
          <w:color w:val="000000"/>
        </w:rPr>
      </w:pPr>
      <w:bookmarkStart w:id="10" w:name="_heading=h.26in1rg" w:colFirst="0" w:colLast="0"/>
      <w:bookmarkEnd w:id="10"/>
      <w:r>
        <w:rPr>
          <w:b/>
          <w:color w:val="000000"/>
        </w:rPr>
        <w:lastRenderedPageBreak/>
        <w:t>R E S O L U T I V O S</w:t>
      </w:r>
    </w:p>
    <w:p w14:paraId="7C103972" w14:textId="77777777" w:rsidR="008555F6" w:rsidRDefault="008555F6">
      <w:pPr>
        <w:spacing w:line="360" w:lineRule="auto"/>
        <w:jc w:val="both"/>
        <w:rPr>
          <w:rFonts w:ascii="Palatino Linotype" w:eastAsia="Palatino Linotype" w:hAnsi="Palatino Linotype" w:cs="Palatino Linotype"/>
          <w:b/>
        </w:rPr>
      </w:pPr>
    </w:p>
    <w:p w14:paraId="7C103973" w14:textId="77777777" w:rsidR="008555F6" w:rsidRDefault="00016B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 fundadas las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razones o motivos de inconformidad hechos valer en el recurso de revisión </w:t>
      </w:r>
      <w:r>
        <w:rPr>
          <w:rFonts w:ascii="Palatino Linotype" w:eastAsia="Palatino Linotype" w:hAnsi="Palatino Linotype" w:cs="Palatino Linotype"/>
          <w:b/>
        </w:rPr>
        <w:t xml:space="preserve">05963/INFOEM/IP/RR/2023 </w:t>
      </w:r>
      <w:r>
        <w:rPr>
          <w:rFonts w:ascii="Palatino Linotype" w:eastAsia="Palatino Linotype" w:hAnsi="Palatino Linotype" w:cs="Palatino Linotype"/>
        </w:rPr>
        <w:t>en términos de los</w:t>
      </w:r>
      <w:r>
        <w:rPr>
          <w:rFonts w:ascii="Palatino Linotype" w:eastAsia="Palatino Linotype" w:hAnsi="Palatino Linotype" w:cs="Palatino Linotype"/>
          <w:b/>
        </w:rPr>
        <w:t xml:space="preserve"> 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y</w:t>
      </w:r>
      <w:r>
        <w:rPr>
          <w:rFonts w:ascii="Palatino Linotype" w:eastAsia="Palatino Linotype" w:hAnsi="Palatino Linotype" w:cs="Palatino Linotype"/>
          <w:b/>
        </w:rPr>
        <w:t xml:space="preserve"> QUINTO</w:t>
      </w:r>
      <w:r>
        <w:rPr>
          <w:rFonts w:ascii="Palatino Linotype" w:eastAsia="Palatino Linotype" w:hAnsi="Palatino Linotype" w:cs="Palatino Linotype"/>
        </w:rPr>
        <w:t xml:space="preserve"> de la presente resolución.</w:t>
      </w:r>
    </w:p>
    <w:p w14:paraId="7C103974" w14:textId="77777777" w:rsidR="008555F6" w:rsidRDefault="008555F6">
      <w:pPr>
        <w:spacing w:line="360" w:lineRule="auto"/>
        <w:jc w:val="both"/>
        <w:rPr>
          <w:rFonts w:ascii="Palatino Linotype" w:eastAsia="Palatino Linotype" w:hAnsi="Palatino Linotype" w:cs="Palatino Linotype"/>
          <w:b/>
        </w:rPr>
      </w:pPr>
    </w:p>
    <w:p w14:paraId="7C103975" w14:textId="77777777" w:rsidR="008555F6" w:rsidRDefault="00016B73">
      <w:pPr>
        <w:spacing w:line="360" w:lineRule="auto"/>
        <w:jc w:val="both"/>
        <w:rPr>
          <w:rFonts w:ascii="Palatino Linotype" w:eastAsia="Palatino Linotype" w:hAnsi="Palatino Linotype" w:cs="Palatino Linotype"/>
        </w:rPr>
      </w:pPr>
      <w:bookmarkStart w:id="11" w:name="_heading=h.2s8eyo1" w:colFirst="0" w:colLast="0"/>
      <w:bookmarkEnd w:id="11"/>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Ayuntamiento de Zinacantepec</w:t>
      </w:r>
      <w:r>
        <w:rPr>
          <w:rFonts w:ascii="Palatino Linotype" w:eastAsia="Palatino Linotype" w:hAnsi="Palatino Linotype" w:cs="Palatino Linotype"/>
        </w:rPr>
        <w:t xml:space="preserve"> a la solicitud</w:t>
      </w:r>
      <w:r>
        <w:rPr>
          <w:rFonts w:ascii="Palatino Linotype" w:eastAsia="Palatino Linotype" w:hAnsi="Palatino Linotype" w:cs="Palatino Linotype"/>
          <w:b/>
        </w:rPr>
        <w:t xml:space="preserve"> 00747/ZINACANT/IP/2023</w:t>
      </w:r>
      <w:r>
        <w:rPr>
          <w:rFonts w:ascii="Palatino Linotype" w:eastAsia="Palatino Linotype" w:hAnsi="Palatino Linotype" w:cs="Palatino Linotype"/>
        </w:rPr>
        <w:t xml:space="preserve"> y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entregar, en versión pública de ser procedente,  el o los documentos donde conste la siguiente información:</w:t>
      </w:r>
    </w:p>
    <w:p w14:paraId="7C103976" w14:textId="77777777" w:rsidR="008555F6" w:rsidRDefault="00016B73">
      <w:pPr>
        <w:numPr>
          <w:ilvl w:val="0"/>
          <w:numId w:val="4"/>
        </w:numPr>
        <w:pBdr>
          <w:top w:val="nil"/>
          <w:left w:val="nil"/>
          <w:bottom w:val="nil"/>
          <w:right w:val="nil"/>
          <w:between w:val="nil"/>
        </w:pBdr>
        <w:spacing w:line="360" w:lineRule="auto"/>
        <w:ind w:left="1134" w:right="6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Ingresos recabados por el ayuntamiento, identificados por concepto, durante el ejercicio fiscal dos mil veintidós.</w:t>
      </w:r>
    </w:p>
    <w:p w14:paraId="7C103977" w14:textId="77777777" w:rsidR="008555F6" w:rsidRDefault="008555F6">
      <w:pPr>
        <w:spacing w:line="360" w:lineRule="auto"/>
        <w:jc w:val="both"/>
        <w:rPr>
          <w:rFonts w:ascii="Palatino Linotype" w:eastAsia="Palatino Linotype" w:hAnsi="Palatino Linotype" w:cs="Palatino Linotype"/>
          <w:b/>
        </w:rPr>
      </w:pPr>
      <w:bookmarkStart w:id="12" w:name="_heading=h.35nkun2" w:colFirst="0" w:colLast="0"/>
      <w:bookmarkEnd w:id="12"/>
    </w:p>
    <w:p w14:paraId="7C103978" w14:textId="77777777" w:rsidR="008555F6" w:rsidRDefault="00016B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w:t>
      </w:r>
    </w:p>
    <w:p w14:paraId="7C103979" w14:textId="77777777" w:rsidR="008555F6" w:rsidRDefault="008555F6">
      <w:pPr>
        <w:spacing w:line="360" w:lineRule="auto"/>
        <w:jc w:val="both"/>
        <w:rPr>
          <w:rFonts w:ascii="Palatino Linotype" w:eastAsia="Palatino Linotype" w:hAnsi="Palatino Linotype" w:cs="Palatino Linotype"/>
        </w:rPr>
      </w:pPr>
    </w:p>
    <w:p w14:paraId="7C10397A" w14:textId="77777777" w:rsidR="008555F6" w:rsidRDefault="00016B73">
      <w:pPr>
        <w:spacing w:line="360" w:lineRule="auto"/>
        <w:jc w:val="both"/>
        <w:rPr>
          <w:rFonts w:ascii="Palatino Linotype" w:eastAsia="Palatino Linotype" w:hAnsi="Palatino Linotype" w:cs="Palatino Linotype"/>
          <w:color w:val="000000"/>
        </w:rPr>
      </w:pPr>
      <w:bookmarkStart w:id="13" w:name="_heading=h.1ksv4uv" w:colFirst="0" w:colLast="0"/>
      <w:bookmarkEnd w:id="13"/>
      <w:r>
        <w:rPr>
          <w:rFonts w:ascii="Palatino Linotype" w:eastAsia="Palatino Linotype" w:hAnsi="Palatino Linotype" w:cs="Palatino Linotype"/>
          <w:b/>
          <w:color w:val="000000"/>
        </w:rPr>
        <w:t>TERCERO.</w:t>
      </w:r>
      <w:r>
        <w:rPr>
          <w:rFonts w:ascii="Palatino Linotype" w:eastAsia="Palatino Linotype" w:hAnsi="Palatino Linotype" w:cs="Palatino Linotype"/>
          <w:color w:val="000000"/>
        </w:rPr>
        <w:t xml:space="preserve"> Notifíquese a la </w:t>
      </w:r>
      <w:r>
        <w:rPr>
          <w:rFonts w:ascii="Palatino Linotype" w:eastAsia="Palatino Linotype" w:hAnsi="Palatino Linotype" w:cs="Palatino Linotype"/>
          <w:color w:val="222222"/>
        </w:rPr>
        <w:t xml:space="preserve">Titular de la Unidad de Transparencia del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vía Sistema de Acceso a la Información Mexiquense (SAIMEX), la presente resolución, para que conforme al artículo 186 último párrafo, 189 segundo párrafo y 194 de la Ley de Transparencia y Acceso a la Información Pública del Estado de México y Municipios d</w:t>
      </w:r>
      <w:r>
        <w:rPr>
          <w:rFonts w:ascii="Palatino Linotype" w:eastAsia="Palatino Linotype" w:hAnsi="Palatino Linotype" w:cs="Palatino Linotype"/>
          <w:b/>
          <w:color w:val="222222"/>
        </w:rPr>
        <w:t xml:space="preserve">é cumplimiento a lo ordenado dentro del plazo </w:t>
      </w:r>
      <w:r>
        <w:rPr>
          <w:rFonts w:ascii="Palatino Linotype" w:eastAsia="Palatino Linotype" w:hAnsi="Palatino Linotype" w:cs="Palatino Linotype"/>
          <w:b/>
          <w:color w:val="222222"/>
        </w:rPr>
        <w:lastRenderedPageBreak/>
        <w:t>de diez días hábiles,</w:t>
      </w:r>
      <w:r>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C10397B" w14:textId="77777777" w:rsidR="008555F6" w:rsidRDefault="008555F6">
      <w:pPr>
        <w:spacing w:line="360" w:lineRule="auto"/>
        <w:jc w:val="both"/>
        <w:rPr>
          <w:rFonts w:ascii="Palatino Linotype" w:eastAsia="Palatino Linotype" w:hAnsi="Palatino Linotype" w:cs="Palatino Linotype"/>
          <w:color w:val="000000"/>
        </w:rPr>
      </w:pPr>
    </w:p>
    <w:p w14:paraId="7C10397C" w14:textId="77777777" w:rsidR="008555F6" w:rsidRDefault="00016B7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CUARTO.</w:t>
      </w:r>
      <w:r>
        <w:rPr>
          <w:rFonts w:ascii="Palatino Linotype" w:eastAsia="Palatino Linotype" w:hAnsi="Palatino Linotype" w:cs="Palatino Linotype"/>
          <w:color w:val="000000"/>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14:paraId="7C10397D" w14:textId="77777777" w:rsidR="008555F6" w:rsidRDefault="008555F6">
      <w:pPr>
        <w:spacing w:line="360" w:lineRule="auto"/>
        <w:jc w:val="both"/>
        <w:rPr>
          <w:rFonts w:ascii="Palatino Linotype" w:eastAsia="Palatino Linotype" w:hAnsi="Palatino Linotype" w:cs="Palatino Linotype"/>
          <w:color w:val="000000"/>
        </w:rPr>
      </w:pPr>
    </w:p>
    <w:p w14:paraId="7C10397E" w14:textId="77777777" w:rsidR="008555F6" w:rsidRDefault="00016B7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QUINTO. </w:t>
      </w:r>
      <w:r>
        <w:rPr>
          <w:rFonts w:ascii="Palatino Linotype" w:eastAsia="Palatino Linotype" w:hAnsi="Palatino Linotype" w:cs="Palatino Linotype"/>
          <w:color w:val="000000"/>
        </w:rPr>
        <w:t xml:space="preserve">Notifíquese a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la presente resolución vía Sistema de Acceso a la Información Mexiquense (SAIMEX).</w:t>
      </w:r>
    </w:p>
    <w:p w14:paraId="7C10397F" w14:textId="77777777" w:rsidR="008555F6" w:rsidRDefault="008555F6">
      <w:pPr>
        <w:spacing w:line="360" w:lineRule="auto"/>
        <w:jc w:val="both"/>
        <w:rPr>
          <w:rFonts w:ascii="Palatino Linotype" w:eastAsia="Palatino Linotype" w:hAnsi="Palatino Linotype" w:cs="Palatino Linotype"/>
          <w:b/>
        </w:rPr>
      </w:pPr>
    </w:p>
    <w:p w14:paraId="7C103980" w14:textId="77777777" w:rsidR="008555F6" w:rsidRDefault="00016B7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SEXTO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Se hace del conocimiento de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b/>
        </w:rPr>
        <w:t xml:space="preserve"> </w:t>
      </w:r>
      <w:r>
        <w:rPr>
          <w:rFonts w:ascii="Palatino Linotype" w:eastAsia="Palatino Linotype" w:hAnsi="Palatino Linotype" w:cs="Palatino Linotype"/>
          <w:color w:val="000000"/>
        </w:rPr>
        <w:t xml:space="preserve">que, de conformidad con lo establecido en el artículo 196 de la Ley de Transparencia y Acceso a la Información Pública del Estado de México y Municipios, en caso de que considere que la resolución le cause algún perjuicio podrá </w:t>
      </w:r>
      <w:r>
        <w:rPr>
          <w:rFonts w:ascii="Palatino Linotype" w:eastAsia="Palatino Linotype" w:hAnsi="Palatino Linotype" w:cs="Palatino Linotype"/>
        </w:rPr>
        <w:t>impugnar vía</w:t>
      </w:r>
      <w:r>
        <w:rPr>
          <w:rFonts w:ascii="Palatino Linotype" w:eastAsia="Palatino Linotype" w:hAnsi="Palatino Linotype" w:cs="Palatino Linotype"/>
          <w:color w:val="000000"/>
        </w:rPr>
        <w:t xml:space="preserve"> juicio de amparo en los términos de las Leyes aplicables.</w:t>
      </w:r>
    </w:p>
    <w:p w14:paraId="7C103981" w14:textId="77777777" w:rsidR="008555F6" w:rsidRDefault="008555F6">
      <w:pPr>
        <w:spacing w:line="360" w:lineRule="auto"/>
        <w:jc w:val="both"/>
        <w:rPr>
          <w:rFonts w:ascii="Palatino Linotype" w:eastAsia="Palatino Linotype" w:hAnsi="Palatino Linotype" w:cs="Palatino Linotype"/>
          <w:color w:val="000000"/>
        </w:rPr>
      </w:pPr>
    </w:p>
    <w:p w14:paraId="628C90BA" w14:textId="77777777" w:rsidR="00546671" w:rsidRDefault="00546671">
      <w:pPr>
        <w:spacing w:line="360" w:lineRule="auto"/>
        <w:jc w:val="both"/>
        <w:rPr>
          <w:rFonts w:ascii="Palatino Linotype" w:eastAsia="Palatino Linotype" w:hAnsi="Palatino Linotype" w:cs="Palatino Linotype"/>
          <w:color w:val="000000"/>
        </w:rPr>
      </w:pPr>
    </w:p>
    <w:p w14:paraId="45990AD5" w14:textId="77777777" w:rsidR="00546671" w:rsidRDefault="00546671">
      <w:pPr>
        <w:spacing w:line="360" w:lineRule="auto"/>
        <w:jc w:val="both"/>
        <w:rPr>
          <w:rFonts w:ascii="Palatino Linotype" w:eastAsia="Palatino Linotype" w:hAnsi="Palatino Linotype" w:cs="Palatino Linotype"/>
          <w:color w:val="000000"/>
        </w:rPr>
      </w:pPr>
    </w:p>
    <w:p w14:paraId="1B41705D" w14:textId="77777777" w:rsidR="00546671" w:rsidRDefault="00546671">
      <w:pPr>
        <w:spacing w:line="360" w:lineRule="auto"/>
        <w:jc w:val="both"/>
        <w:rPr>
          <w:rFonts w:ascii="Palatino Linotype" w:eastAsia="Palatino Linotype" w:hAnsi="Palatino Linotype" w:cs="Palatino Linotype"/>
          <w:color w:val="000000"/>
        </w:rPr>
      </w:pPr>
    </w:p>
    <w:p w14:paraId="3880513D" w14:textId="77777777" w:rsidR="00546671" w:rsidRDefault="00546671">
      <w:pPr>
        <w:spacing w:line="360" w:lineRule="auto"/>
        <w:jc w:val="both"/>
        <w:rPr>
          <w:rFonts w:ascii="Palatino Linotype" w:eastAsia="Palatino Linotype" w:hAnsi="Palatino Linotype" w:cs="Palatino Linotype"/>
          <w:color w:val="000000"/>
        </w:rPr>
      </w:pPr>
    </w:p>
    <w:p w14:paraId="2DB96681" w14:textId="77777777" w:rsidR="00546671" w:rsidRDefault="00546671">
      <w:pPr>
        <w:spacing w:line="360" w:lineRule="auto"/>
        <w:jc w:val="both"/>
        <w:rPr>
          <w:rFonts w:ascii="Palatino Linotype" w:eastAsia="Palatino Linotype" w:hAnsi="Palatino Linotype" w:cs="Palatino Linotype"/>
          <w:color w:val="000000"/>
        </w:rPr>
      </w:pPr>
    </w:p>
    <w:p w14:paraId="3C9E386F" w14:textId="77777777" w:rsidR="00546671" w:rsidRDefault="00546671">
      <w:pPr>
        <w:spacing w:line="360" w:lineRule="auto"/>
        <w:jc w:val="both"/>
        <w:rPr>
          <w:rFonts w:ascii="Palatino Linotype" w:eastAsia="Palatino Linotype" w:hAnsi="Palatino Linotype" w:cs="Palatino Linotype"/>
          <w:color w:val="000000"/>
        </w:rPr>
      </w:pPr>
    </w:p>
    <w:p w14:paraId="1CE7BE70" w14:textId="77777777" w:rsidR="00546671" w:rsidRDefault="00546671">
      <w:pPr>
        <w:spacing w:line="360" w:lineRule="auto"/>
        <w:jc w:val="both"/>
        <w:rPr>
          <w:rFonts w:ascii="Palatino Linotype" w:eastAsia="Palatino Linotype" w:hAnsi="Palatino Linotype" w:cs="Palatino Linotype"/>
          <w:color w:val="000000"/>
        </w:rPr>
      </w:pPr>
    </w:p>
    <w:p w14:paraId="47DEB7A6" w14:textId="77777777" w:rsidR="00016B73" w:rsidRPr="00E37AF3" w:rsidRDefault="00016B73" w:rsidP="00016B73">
      <w:pPr>
        <w:spacing w:line="360" w:lineRule="auto"/>
        <w:ind w:firstLine="1"/>
        <w:jc w:val="both"/>
        <w:rPr>
          <w:rFonts w:ascii="Palatino Linotype" w:hAnsi="Palatino Linotype"/>
        </w:rPr>
      </w:pPr>
      <w:r w:rsidRPr="00E37AF3">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rPr>
        <w:t>TRIGÉSIMA</w:t>
      </w:r>
      <w:r w:rsidRPr="00E37AF3">
        <w:rPr>
          <w:rFonts w:ascii="Palatino Linotype" w:hAnsi="Palatino Linotype"/>
        </w:rPr>
        <w:t xml:space="preserve"> SESIÓN ORDINARIA CELEBRADA EL </w:t>
      </w:r>
      <w:r>
        <w:rPr>
          <w:rFonts w:ascii="Palatino Linotype" w:hAnsi="Palatino Linotype"/>
        </w:rPr>
        <w:t>VEINTIOCHO</w:t>
      </w:r>
      <w:r w:rsidRPr="00E37AF3">
        <w:rPr>
          <w:rFonts w:ascii="Palatino Linotype" w:hAnsi="Palatino Linotype"/>
        </w:rPr>
        <w:t xml:space="preserve"> (</w:t>
      </w:r>
      <w:r>
        <w:rPr>
          <w:rFonts w:ascii="Palatino Linotype" w:hAnsi="Palatino Linotype"/>
        </w:rPr>
        <w:t>28</w:t>
      </w:r>
      <w:r w:rsidRPr="00E37AF3">
        <w:rPr>
          <w:rFonts w:ascii="Palatino Linotype" w:hAnsi="Palatino Linotype"/>
        </w:rPr>
        <w:t xml:space="preserve">) DE </w:t>
      </w:r>
      <w:r>
        <w:rPr>
          <w:rFonts w:ascii="Palatino Linotype" w:hAnsi="Palatino Linotype"/>
        </w:rPr>
        <w:t>AGOSTO</w:t>
      </w:r>
      <w:r w:rsidRPr="00E37AF3">
        <w:rPr>
          <w:rFonts w:ascii="Palatino Linotype" w:hAnsi="Palatino Linotype"/>
        </w:rPr>
        <w:t xml:space="preserve"> DE DOS MIL VEINTICUATRO, ANTE EL SECRETARIO TÉCNICO DEL PLENO ALEXIS TAPIA RAMÍREZ. </w:t>
      </w:r>
    </w:p>
    <w:p w14:paraId="7C103984" w14:textId="77777777" w:rsidR="008555F6" w:rsidRDefault="008555F6">
      <w:pPr>
        <w:spacing w:before="240" w:after="240" w:line="360" w:lineRule="auto"/>
        <w:jc w:val="both"/>
        <w:rPr>
          <w:rFonts w:ascii="Palatino Linotype" w:eastAsia="Palatino Linotype" w:hAnsi="Palatino Linotype" w:cs="Palatino Linotype"/>
          <w:color w:val="000000"/>
        </w:rPr>
      </w:pPr>
    </w:p>
    <w:p w14:paraId="01818670" w14:textId="77777777" w:rsidR="00546671" w:rsidRDefault="00546671">
      <w:pPr>
        <w:spacing w:before="240" w:after="240" w:line="360" w:lineRule="auto"/>
        <w:jc w:val="both"/>
        <w:rPr>
          <w:rFonts w:ascii="Palatino Linotype" w:eastAsia="Palatino Linotype" w:hAnsi="Palatino Linotype" w:cs="Palatino Linotype"/>
          <w:color w:val="000000"/>
        </w:rPr>
      </w:pPr>
    </w:p>
    <w:p w14:paraId="610F2F8E" w14:textId="77777777" w:rsidR="00546671" w:rsidRDefault="00546671">
      <w:pPr>
        <w:spacing w:before="240" w:after="240" w:line="360" w:lineRule="auto"/>
        <w:jc w:val="both"/>
        <w:rPr>
          <w:rFonts w:ascii="Palatino Linotype" w:eastAsia="Palatino Linotype" w:hAnsi="Palatino Linotype" w:cs="Palatino Linotype"/>
          <w:color w:val="000000"/>
        </w:rPr>
      </w:pPr>
    </w:p>
    <w:p w14:paraId="1EA0559F" w14:textId="77777777" w:rsidR="00546671" w:rsidRDefault="00546671">
      <w:pPr>
        <w:spacing w:before="240" w:after="240" w:line="360" w:lineRule="auto"/>
        <w:jc w:val="both"/>
        <w:rPr>
          <w:rFonts w:ascii="Palatino Linotype" w:eastAsia="Palatino Linotype" w:hAnsi="Palatino Linotype" w:cs="Palatino Linotype"/>
          <w:color w:val="000000"/>
        </w:rPr>
      </w:pPr>
    </w:p>
    <w:p w14:paraId="08017D72" w14:textId="77777777" w:rsidR="00546671" w:rsidRDefault="00546671">
      <w:pPr>
        <w:spacing w:before="240" w:after="240" w:line="360" w:lineRule="auto"/>
        <w:jc w:val="both"/>
        <w:rPr>
          <w:rFonts w:ascii="Palatino Linotype" w:eastAsia="Palatino Linotype" w:hAnsi="Palatino Linotype" w:cs="Palatino Linotype"/>
          <w:color w:val="000000"/>
        </w:rPr>
      </w:pPr>
    </w:p>
    <w:p w14:paraId="3C36393C" w14:textId="77777777" w:rsidR="00546671" w:rsidRDefault="00546671">
      <w:pPr>
        <w:spacing w:before="240" w:after="240" w:line="360" w:lineRule="auto"/>
        <w:jc w:val="both"/>
        <w:rPr>
          <w:rFonts w:ascii="Palatino Linotype" w:eastAsia="Palatino Linotype" w:hAnsi="Palatino Linotype" w:cs="Palatino Linotype"/>
          <w:color w:val="000000"/>
        </w:rPr>
      </w:pPr>
    </w:p>
    <w:p w14:paraId="073E7CD4" w14:textId="77777777" w:rsidR="00546671" w:rsidRDefault="00546671">
      <w:pPr>
        <w:spacing w:before="240" w:after="240" w:line="360" w:lineRule="auto"/>
        <w:jc w:val="both"/>
        <w:rPr>
          <w:rFonts w:ascii="Palatino Linotype" w:eastAsia="Palatino Linotype" w:hAnsi="Palatino Linotype" w:cs="Palatino Linotype"/>
          <w:color w:val="000000"/>
        </w:rPr>
      </w:pPr>
    </w:p>
    <w:p w14:paraId="0347962E" w14:textId="77777777" w:rsidR="00546671" w:rsidRDefault="00546671">
      <w:pPr>
        <w:spacing w:before="240" w:after="240" w:line="360" w:lineRule="auto"/>
        <w:jc w:val="both"/>
        <w:rPr>
          <w:rFonts w:ascii="Palatino Linotype" w:eastAsia="Palatino Linotype" w:hAnsi="Palatino Linotype" w:cs="Palatino Linotype"/>
          <w:color w:val="000000"/>
        </w:rPr>
      </w:pPr>
    </w:p>
    <w:p w14:paraId="6C5908EC" w14:textId="77777777" w:rsidR="00546671" w:rsidRDefault="00546671">
      <w:pPr>
        <w:spacing w:before="240" w:after="240" w:line="360" w:lineRule="auto"/>
        <w:jc w:val="both"/>
        <w:rPr>
          <w:rFonts w:ascii="Palatino Linotype" w:eastAsia="Palatino Linotype" w:hAnsi="Palatino Linotype" w:cs="Palatino Linotype"/>
          <w:color w:val="000000"/>
        </w:rPr>
      </w:pPr>
    </w:p>
    <w:p w14:paraId="2EB83801" w14:textId="77777777" w:rsidR="00546671" w:rsidRDefault="00546671">
      <w:pPr>
        <w:spacing w:before="240" w:after="240" w:line="360" w:lineRule="auto"/>
        <w:jc w:val="both"/>
        <w:rPr>
          <w:rFonts w:ascii="Palatino Linotype" w:eastAsia="Palatino Linotype" w:hAnsi="Palatino Linotype" w:cs="Palatino Linotype"/>
          <w:color w:val="000000"/>
        </w:rPr>
      </w:pPr>
    </w:p>
    <w:p w14:paraId="6C4948EA" w14:textId="77777777" w:rsidR="00546671" w:rsidRDefault="00546671">
      <w:pPr>
        <w:spacing w:before="240" w:after="240" w:line="360" w:lineRule="auto"/>
        <w:jc w:val="both"/>
        <w:rPr>
          <w:rFonts w:ascii="Palatino Linotype" w:eastAsia="Palatino Linotype" w:hAnsi="Palatino Linotype" w:cs="Palatino Linotype"/>
          <w:color w:val="000000"/>
        </w:rPr>
      </w:pPr>
      <w:bookmarkStart w:id="14" w:name="_GoBack"/>
      <w:bookmarkEnd w:id="14"/>
    </w:p>
    <w:sectPr w:rsidR="00546671">
      <w:headerReference w:type="default" r:id="rId11"/>
      <w:footerReference w:type="default" r:id="rId12"/>
      <w:headerReference w:type="first" r:id="rId13"/>
      <w:footerReference w:type="first" r:id="rId14"/>
      <w:pgSz w:w="12240" w:h="15840"/>
      <w:pgMar w:top="2021"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97C82" w14:textId="77777777" w:rsidR="00806EEF" w:rsidRDefault="00806EEF">
      <w:r>
        <w:separator/>
      </w:r>
    </w:p>
  </w:endnote>
  <w:endnote w:type="continuationSeparator" w:id="0">
    <w:p w14:paraId="3A060E1B" w14:textId="77777777" w:rsidR="00806EEF" w:rsidRDefault="00806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69F4EB6C-42F4-44E0-9878-79001F947DB2}"/>
    <w:embedBold r:id="rId2" w:fontKey="{DBF10B02-0F5C-4B49-80C5-4EB1813ABF92}"/>
    <w:embedItalic r:id="rId3" w:fontKey="{3CF9F7FF-F4CB-4B38-85E9-081C167911FF}"/>
    <w:embedBoldItalic r:id="rId4" w:fontKey="{8FCDBADA-3A2F-4B75-9DEF-767EABFAF311}"/>
  </w:font>
  <w:font w:name="Noto Sans Symbols">
    <w:altName w:val="Times New Roman"/>
    <w:charset w:val="00"/>
    <w:family w:val="auto"/>
    <w:pitch w:val="default"/>
    <w:embedRegular r:id="rId5" w:fontKey="{4EB2AAC9-0F7B-4D61-987B-D76D4D5FA55E}"/>
    <w:embedBold r:id="rId6" w:fontKey="{186A5062-409D-4179-9271-01EE6BBB914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123C3043-F651-4389-992E-9A2750C22FBD}"/>
    <w:embedBold r:id="rId8" w:fontKey="{94B74C81-A69C-4876-97F5-6C09B1DCB29A}"/>
    <w:embedItalic r:id="rId9" w:fontKey="{FD0A896A-B21E-4466-B3D6-13BF2D8502EC}"/>
    <w:embedBoldItalic r:id="rId10" w:fontKey="{EE4CE45B-6E93-431F-8DC1-5E8EB412F807}"/>
  </w:font>
  <w:font w:name="Calibri">
    <w:panose1 w:val="020F0502020204030204"/>
    <w:charset w:val="00"/>
    <w:family w:val="swiss"/>
    <w:pitch w:val="variable"/>
    <w:sig w:usb0="E4002EFF" w:usb1="C200247B" w:usb2="00000009" w:usb3="00000000" w:csb0="000001FF" w:csb1="00000000"/>
    <w:embedRegular r:id="rId11" w:fontKey="{FF328319-2C29-4037-8195-14B06B631C05}"/>
    <w:embedItalic r:id="rId12" w:fontKey="{2F52C796-9E4E-40A0-8E0E-DD52BAB6C8F8}"/>
  </w:font>
  <w:font w:name="Lucida Grande">
    <w:panose1 w:val="00000000000000000000"/>
    <w:charset w:val="00"/>
    <w:family w:val="swiss"/>
    <w:notTrueType/>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3" w:fontKey="{124BF4AD-A7A2-437A-A40B-3A6C50832AE8}"/>
    <w:embedItalic r:id="rId14" w:fontKey="{1D92837B-4361-4A03-B80B-ABBC4BD587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03996" w14:textId="18B3023D" w:rsidR="008555F6" w:rsidRDefault="00016B7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546671">
      <w:rPr>
        <w:rFonts w:ascii="Palatino Linotype" w:eastAsia="Palatino Linotype" w:hAnsi="Palatino Linotype" w:cs="Palatino Linotype"/>
        <w:b/>
        <w:noProof/>
        <w:color w:val="000000"/>
        <w:sz w:val="22"/>
        <w:szCs w:val="22"/>
      </w:rPr>
      <w:t>40</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546671">
      <w:rPr>
        <w:rFonts w:ascii="Palatino Linotype" w:eastAsia="Palatino Linotype" w:hAnsi="Palatino Linotype" w:cs="Palatino Linotype"/>
        <w:b/>
        <w:noProof/>
        <w:color w:val="000000"/>
        <w:sz w:val="22"/>
        <w:szCs w:val="22"/>
      </w:rPr>
      <w:t>41</w:t>
    </w:r>
    <w:r>
      <w:rPr>
        <w:rFonts w:ascii="Palatino Linotype" w:eastAsia="Palatino Linotype" w:hAnsi="Palatino Linotype" w:cs="Palatino Linotype"/>
        <w:b/>
        <w:color w:val="000000"/>
        <w:sz w:val="22"/>
        <w:szCs w:val="22"/>
      </w:rPr>
      <w:fldChar w:fldCharType="end"/>
    </w:r>
  </w:p>
  <w:p w14:paraId="7C103997" w14:textId="77777777" w:rsidR="008555F6" w:rsidRDefault="008555F6">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039A6" w14:textId="47576ACE" w:rsidR="008555F6" w:rsidRDefault="00016B7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46671">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46671">
      <w:rPr>
        <w:rFonts w:ascii="Palatino Linotype" w:eastAsia="Palatino Linotype" w:hAnsi="Palatino Linotype" w:cs="Palatino Linotype"/>
        <w:noProof/>
        <w:color w:val="000000"/>
        <w:sz w:val="22"/>
        <w:szCs w:val="22"/>
      </w:rPr>
      <w:t>41</w:t>
    </w:r>
    <w:r>
      <w:rPr>
        <w:rFonts w:ascii="Palatino Linotype" w:eastAsia="Palatino Linotype" w:hAnsi="Palatino Linotype" w:cs="Palatino Linotype"/>
        <w:color w:val="000000"/>
        <w:sz w:val="22"/>
        <w:szCs w:val="22"/>
      </w:rPr>
      <w:fldChar w:fldCharType="end"/>
    </w:r>
  </w:p>
  <w:p w14:paraId="7C1039A7" w14:textId="77777777" w:rsidR="008555F6" w:rsidRDefault="008555F6">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3CFA8" w14:textId="77777777" w:rsidR="00806EEF" w:rsidRDefault="00806EEF">
      <w:r>
        <w:separator/>
      </w:r>
    </w:p>
  </w:footnote>
  <w:footnote w:type="continuationSeparator" w:id="0">
    <w:p w14:paraId="21977E81" w14:textId="77777777" w:rsidR="00806EEF" w:rsidRDefault="00806EEF">
      <w:r>
        <w:continuationSeparator/>
      </w:r>
    </w:p>
  </w:footnote>
  <w:footnote w:id="1">
    <w:p w14:paraId="7C1039AB" w14:textId="77777777" w:rsidR="008555F6" w:rsidRDefault="00016B73">
      <w:pPr>
        <w:pBdr>
          <w:top w:val="nil"/>
          <w:left w:val="nil"/>
          <w:bottom w:val="nil"/>
          <w:right w:val="nil"/>
          <w:between w:val="nil"/>
        </w:pBdr>
        <w:jc w:val="both"/>
        <w:rPr>
          <w:i/>
          <w:color w:val="000000"/>
          <w:sz w:val="20"/>
          <w:szCs w:val="20"/>
        </w:rPr>
      </w:pPr>
      <w:r>
        <w:rPr>
          <w:vertAlign w:val="superscript"/>
        </w:rPr>
        <w:footnoteRef/>
      </w:r>
      <w:r>
        <w:rPr>
          <w:color w:val="000000"/>
          <w:sz w:val="20"/>
          <w:szCs w:val="20"/>
        </w:rPr>
        <w:t xml:space="preserve"> </w:t>
      </w:r>
      <w:r>
        <w:rPr>
          <w:i/>
          <w:color w:val="000000"/>
          <w:sz w:val="20"/>
          <w:szCs w:val="20"/>
        </w:rPr>
        <w:t>“</w:t>
      </w:r>
      <w:r>
        <w:rPr>
          <w:b/>
          <w:i/>
          <w:color w:val="000000"/>
          <w:sz w:val="20"/>
          <w:szCs w:val="20"/>
        </w:rPr>
        <w:t>Artículo 163.</w:t>
      </w:r>
      <w:r>
        <w:rPr>
          <w:i/>
          <w:color w:val="000000"/>
          <w:sz w:val="20"/>
          <w:szCs w:val="20"/>
        </w:rPr>
        <w:t xml:space="preserve"> La Unidad de Transparencia deberá notificar la respuesta a la solicitud al interesado en el menor tiempo posible, que no podrá exceder de quince días hábiles, contados a partir del día siguiente a la presentación de aquélla. </w:t>
      </w:r>
    </w:p>
    <w:p w14:paraId="7C1039AC" w14:textId="77777777" w:rsidR="008555F6" w:rsidRDefault="00016B73">
      <w:pPr>
        <w:pBdr>
          <w:top w:val="nil"/>
          <w:left w:val="nil"/>
          <w:bottom w:val="nil"/>
          <w:right w:val="nil"/>
          <w:between w:val="nil"/>
        </w:pBdr>
        <w:jc w:val="both"/>
        <w:rPr>
          <w:i/>
          <w:color w:val="000000"/>
          <w:sz w:val="20"/>
          <w:szCs w:val="20"/>
        </w:rPr>
      </w:pPr>
      <w:r>
        <w:rPr>
          <w:i/>
          <w:color w:val="000000"/>
          <w:sz w:val="20"/>
          <w:szCs w:val="20"/>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 w:id="2">
    <w:p w14:paraId="7C1039AD" w14:textId="77777777" w:rsidR="008555F6" w:rsidRDefault="00016B73">
      <w:pPr>
        <w:jc w:val="both"/>
        <w:rPr>
          <w:sz w:val="20"/>
          <w:szCs w:val="20"/>
        </w:rPr>
      </w:pPr>
      <w:r>
        <w:rPr>
          <w:vertAlign w:val="superscript"/>
        </w:rPr>
        <w:footnoteRef/>
      </w:r>
      <w:r>
        <w:t xml:space="preserve"> “</w:t>
      </w:r>
      <w:r>
        <w:rPr>
          <w:i/>
          <w:sz w:val="20"/>
          <w:szCs w:val="20"/>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sz w:val="20"/>
          <w:szCs w:val="20"/>
        </w:rPr>
        <w:t>”</w:t>
      </w:r>
    </w:p>
  </w:footnote>
  <w:footnote w:id="3">
    <w:p w14:paraId="7C1039AE"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Consultable en el Semanario Judicial de la Federación y su gaceta, con el registro digital 2002351.</w:t>
      </w:r>
    </w:p>
  </w:footnote>
  <w:footnote w:id="4">
    <w:p w14:paraId="7C1039AF"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Consultable en el Semanario Judicial de la Federación y su gaceta, con el registro digital 2002350.</w:t>
      </w:r>
    </w:p>
  </w:footnote>
  <w:footnote w:id="5">
    <w:p w14:paraId="7C1039B0" w14:textId="77777777" w:rsidR="008555F6" w:rsidRDefault="00016B73">
      <w:pPr>
        <w:pBdr>
          <w:top w:val="nil"/>
          <w:left w:val="nil"/>
          <w:bottom w:val="nil"/>
          <w:right w:val="nil"/>
          <w:between w:val="nil"/>
        </w:pBdr>
        <w:jc w:val="both"/>
        <w:rPr>
          <w:i/>
          <w:color w:val="000000"/>
          <w:sz w:val="20"/>
          <w:szCs w:val="20"/>
        </w:rPr>
      </w:pPr>
      <w:r>
        <w:rPr>
          <w:vertAlign w:val="superscript"/>
        </w:rPr>
        <w:footnoteRef/>
      </w:r>
      <w:r>
        <w:rPr>
          <w:color w:val="000000"/>
          <w:sz w:val="20"/>
          <w:szCs w:val="20"/>
        </w:rPr>
        <w:t xml:space="preserve"> </w:t>
      </w:r>
      <w:r>
        <w:rPr>
          <w:i/>
          <w:color w:val="000000"/>
          <w:sz w:val="20"/>
          <w:szCs w:val="20"/>
        </w:rPr>
        <w:t>“</w:t>
      </w:r>
      <w:r>
        <w:rPr>
          <w:b/>
          <w:i/>
          <w:color w:val="000000"/>
          <w:sz w:val="20"/>
          <w:szCs w:val="20"/>
        </w:rPr>
        <w:t>Artículo 179.</w:t>
      </w:r>
      <w:r>
        <w:rPr>
          <w:i/>
          <w:color w:val="000000"/>
          <w:sz w:val="20"/>
          <w:szCs w:val="20"/>
        </w:rPr>
        <w:t xml:space="preserve"> El recurso de revisión es un medio de protección que la Ley otorga a los particulares, para hacer valer su derecho de acceso a la información pública, y procederá en contra de las siguientes causas:</w:t>
      </w:r>
    </w:p>
    <w:p w14:paraId="7C1039B1" w14:textId="77777777" w:rsidR="008555F6" w:rsidRDefault="00016B73">
      <w:pPr>
        <w:pBdr>
          <w:top w:val="nil"/>
          <w:left w:val="nil"/>
          <w:bottom w:val="nil"/>
          <w:right w:val="nil"/>
          <w:between w:val="nil"/>
        </w:pBdr>
        <w:jc w:val="both"/>
        <w:rPr>
          <w:i/>
          <w:color w:val="000000"/>
          <w:sz w:val="20"/>
          <w:szCs w:val="20"/>
        </w:rPr>
      </w:pPr>
      <w:r>
        <w:rPr>
          <w:i/>
          <w:color w:val="000000"/>
          <w:sz w:val="20"/>
          <w:szCs w:val="20"/>
        </w:rPr>
        <w:t>(...)</w:t>
      </w:r>
    </w:p>
    <w:p w14:paraId="7C1039B2" w14:textId="77777777" w:rsidR="008555F6" w:rsidRDefault="00016B73">
      <w:pPr>
        <w:pBdr>
          <w:top w:val="nil"/>
          <w:left w:val="nil"/>
          <w:bottom w:val="nil"/>
          <w:right w:val="nil"/>
          <w:between w:val="nil"/>
        </w:pBdr>
        <w:jc w:val="both"/>
        <w:rPr>
          <w:i/>
          <w:color w:val="000000"/>
          <w:sz w:val="20"/>
          <w:szCs w:val="20"/>
        </w:rPr>
      </w:pPr>
      <w:r>
        <w:rPr>
          <w:b/>
          <w:i/>
          <w:color w:val="000000"/>
          <w:sz w:val="20"/>
          <w:szCs w:val="20"/>
        </w:rPr>
        <w:t>V.</w:t>
      </w:r>
      <w:r>
        <w:rPr>
          <w:i/>
          <w:color w:val="000000"/>
          <w:sz w:val="20"/>
          <w:szCs w:val="20"/>
        </w:rPr>
        <w:t xml:space="preserve"> La entrega de información incompleta; </w:t>
      </w:r>
    </w:p>
    <w:p w14:paraId="7C1039B3" w14:textId="77777777" w:rsidR="008555F6" w:rsidRDefault="00016B73">
      <w:pPr>
        <w:pBdr>
          <w:top w:val="nil"/>
          <w:left w:val="nil"/>
          <w:bottom w:val="nil"/>
          <w:right w:val="nil"/>
          <w:between w:val="nil"/>
        </w:pBdr>
        <w:jc w:val="both"/>
        <w:rPr>
          <w:i/>
          <w:color w:val="000000"/>
          <w:sz w:val="20"/>
          <w:szCs w:val="20"/>
        </w:rPr>
      </w:pPr>
      <w:r>
        <w:rPr>
          <w:b/>
          <w:i/>
          <w:color w:val="000000"/>
          <w:sz w:val="20"/>
          <w:szCs w:val="20"/>
        </w:rPr>
        <w:t xml:space="preserve">VI. </w:t>
      </w:r>
      <w:r>
        <w:rPr>
          <w:i/>
          <w:color w:val="000000"/>
          <w:sz w:val="20"/>
          <w:szCs w:val="20"/>
        </w:rPr>
        <w:t xml:space="preserve">La entrega de información que no corresponda con lo solicitado; </w:t>
      </w:r>
    </w:p>
    <w:p w14:paraId="7C1039B4" w14:textId="77777777" w:rsidR="008555F6" w:rsidRDefault="00016B73">
      <w:pPr>
        <w:pBdr>
          <w:top w:val="nil"/>
          <w:left w:val="nil"/>
          <w:bottom w:val="nil"/>
          <w:right w:val="nil"/>
          <w:between w:val="nil"/>
        </w:pBdr>
        <w:jc w:val="both"/>
        <w:rPr>
          <w:color w:val="000000"/>
          <w:sz w:val="20"/>
          <w:szCs w:val="20"/>
        </w:rPr>
      </w:pPr>
      <w:r>
        <w:rPr>
          <w:i/>
          <w:color w:val="000000"/>
          <w:sz w:val="20"/>
          <w:szCs w:val="20"/>
        </w:rPr>
        <w:t>(…)”</w:t>
      </w:r>
    </w:p>
  </w:footnote>
  <w:footnote w:id="6">
    <w:p w14:paraId="7C1039B5"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50, Ley de Transparencia y Acceso a la Información Pública del Estado de México y Municipios.</w:t>
      </w:r>
    </w:p>
  </w:footnote>
  <w:footnote w:id="7">
    <w:p w14:paraId="7C1039B6"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51, Ídem.</w:t>
      </w:r>
    </w:p>
  </w:footnote>
  <w:footnote w:id="8">
    <w:p w14:paraId="7C1039B7"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58, Ley de Transparencia y Acceso a la Información Pública del Estado de México y Municipios.</w:t>
      </w:r>
    </w:p>
  </w:footnote>
  <w:footnote w:id="9">
    <w:p w14:paraId="7C1039B8"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59, Ídem.</w:t>
      </w:r>
    </w:p>
  </w:footnote>
  <w:footnote w:id="10">
    <w:p w14:paraId="7C1039B9"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11">
    <w:p w14:paraId="7C1039BA"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12">
    <w:p w14:paraId="7C1039BB" w14:textId="77777777" w:rsidR="008555F6" w:rsidRDefault="00016B73">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7C1039BC" w14:textId="77777777" w:rsidR="008555F6" w:rsidRDefault="00016B73">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roofErr w:type="gramStart"/>
      <w:r>
        <w:rPr>
          <w:rFonts w:ascii="Palatino Linotype" w:eastAsia="Palatino Linotype" w:hAnsi="Palatino Linotype" w:cs="Palatino Linotype"/>
          <w:color w:val="000000"/>
          <w:sz w:val="18"/>
          <w:szCs w:val="18"/>
        </w:rPr>
        <w:t>.(</w:t>
      </w:r>
      <w:proofErr w:type="gramEnd"/>
      <w:r>
        <w:rPr>
          <w:rFonts w:ascii="Palatino Linotype" w:eastAsia="Palatino Linotype" w:hAnsi="Palatino Linotype" w:cs="Palatino Linotype"/>
          <w:color w:val="000000"/>
          <w:sz w:val="18"/>
          <w:szCs w:val="18"/>
        </w:rPr>
        <w:t>…)</w:t>
      </w:r>
    </w:p>
    <w:p w14:paraId="7C1039BD" w14:textId="77777777" w:rsidR="008555F6" w:rsidRDefault="00016B73">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7C1039BE" w14:textId="77777777" w:rsidR="008555F6" w:rsidRDefault="00016B73">
      <w:pPr>
        <w:pBdr>
          <w:top w:val="nil"/>
          <w:left w:val="nil"/>
          <w:bottom w:val="nil"/>
          <w:right w:val="nil"/>
          <w:between w:val="nil"/>
        </w:pBdr>
        <w:rPr>
          <w:color w:val="000000"/>
          <w:sz w:val="20"/>
          <w:szCs w:val="20"/>
        </w:rPr>
      </w:pPr>
      <w:r>
        <w:rPr>
          <w:color w:val="000000"/>
          <w:sz w:val="20"/>
          <w:szCs w:val="20"/>
        </w:rPr>
        <w:t>(…)”</w:t>
      </w:r>
    </w:p>
  </w:footnote>
  <w:footnote w:id="13">
    <w:p w14:paraId="7C1039BF"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115, Constitución Política de los Estados Unidos Mexicanos.</w:t>
      </w:r>
    </w:p>
  </w:footnote>
  <w:footnote w:id="14">
    <w:p w14:paraId="7C1039C0"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115, fracción I, Ídem.</w:t>
      </w:r>
    </w:p>
  </w:footnote>
  <w:footnote w:id="15">
    <w:p w14:paraId="7C1039C1"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 Ley Orgánica Municipal del Estado de México.</w:t>
      </w:r>
    </w:p>
  </w:footnote>
  <w:footnote w:id="16">
    <w:p w14:paraId="7C1039C2"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16, Ley Orgánica Municipal del Estado de México.</w:t>
      </w:r>
    </w:p>
  </w:footnote>
  <w:footnote w:id="17">
    <w:p w14:paraId="7C1039C3"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86, Ley Orgánica Municipal del Estado de México.</w:t>
      </w:r>
    </w:p>
  </w:footnote>
  <w:footnote w:id="18">
    <w:p w14:paraId="7C1039C4"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87, Ídem.</w:t>
      </w:r>
    </w:p>
  </w:footnote>
  <w:footnote w:id="19">
    <w:p w14:paraId="7C1039C5"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36, Bando Municipal 2023 de Zinacantepec.</w:t>
      </w:r>
    </w:p>
  </w:footnote>
  <w:footnote w:id="20">
    <w:p w14:paraId="7C1039C6"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48, Bando Municipal 2023 de Zinacantepec.</w:t>
      </w:r>
    </w:p>
  </w:footnote>
  <w:footnote w:id="21">
    <w:p w14:paraId="7C1039C7"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46, Reglamento Orgánico Municipal de Zinacantepec.</w:t>
      </w:r>
    </w:p>
  </w:footnote>
  <w:footnote w:id="22">
    <w:p w14:paraId="7C1039C8"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48, Ídem.</w:t>
      </w:r>
    </w:p>
  </w:footnote>
  <w:footnote w:id="23">
    <w:p w14:paraId="7C1039C9"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 Ley General de Contabilidad Gubernamental.</w:t>
      </w:r>
    </w:p>
  </w:footnote>
  <w:footnote w:id="24">
    <w:p w14:paraId="7C1039CA"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46, Ley General de Contabilidad Gubernamental.</w:t>
      </w:r>
    </w:p>
  </w:footnote>
  <w:footnote w:id="25">
    <w:p w14:paraId="7C1039CB"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48, Ley General de Contabilidad Gubernamental.</w:t>
      </w:r>
    </w:p>
  </w:footnote>
  <w:footnote w:id="26">
    <w:p w14:paraId="7C1039CC"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52, Ídem.</w:t>
      </w:r>
    </w:p>
  </w:footnote>
  <w:footnote w:id="27">
    <w:p w14:paraId="7C1039CD" w14:textId="77777777" w:rsidR="008555F6" w:rsidRDefault="00016B7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Lineamientos para la Integración, entrega y envío de la Cuenta Pública Municipal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0398B" w14:textId="77777777" w:rsidR="008555F6" w:rsidRDefault="00016B73">
    <w:pPr>
      <w:widowControl w:val="0"/>
      <w:pBdr>
        <w:top w:val="nil"/>
        <w:left w:val="nil"/>
        <w:bottom w:val="nil"/>
        <w:right w:val="nil"/>
        <w:between w:val="nil"/>
      </w:pBdr>
      <w:spacing w:line="276" w:lineRule="auto"/>
      <w:rPr>
        <w:color w:val="000000"/>
      </w:rPr>
    </w:pPr>
    <w:r>
      <w:rPr>
        <w:noProof/>
        <w:lang w:eastAsia="es-MX"/>
      </w:rPr>
      <w:drawing>
        <wp:anchor distT="0" distB="0" distL="0" distR="0" simplePos="0" relativeHeight="251657216" behindDoc="1" locked="0" layoutInCell="1" hidden="0" allowOverlap="1" wp14:anchorId="7C1039A8" wp14:editId="7C1039A9">
          <wp:simplePos x="0" y="0"/>
          <wp:positionH relativeFrom="column">
            <wp:posOffset>-1115204</wp:posOffset>
          </wp:positionH>
          <wp:positionV relativeFrom="paragraph">
            <wp:posOffset>-448007</wp:posOffset>
          </wp:positionV>
          <wp:extent cx="7694930" cy="10020300"/>
          <wp:effectExtent l="0" t="0" r="0" b="0"/>
          <wp:wrapNone/>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94930" cy="10020300"/>
                  </a:xfrm>
                  <a:prstGeom prst="rect">
                    <a:avLst/>
                  </a:prstGeom>
                  <a:ln/>
                </pic:spPr>
              </pic:pic>
            </a:graphicData>
          </a:graphic>
        </wp:anchor>
      </w:drawing>
    </w:r>
  </w:p>
  <w:tbl>
    <w:tblPr>
      <w:tblStyle w:val="a8"/>
      <w:tblW w:w="8175" w:type="dxa"/>
      <w:tblInd w:w="1590" w:type="dxa"/>
      <w:tblBorders>
        <w:top w:val="nil"/>
        <w:left w:val="nil"/>
        <w:bottom w:val="nil"/>
        <w:right w:val="nil"/>
        <w:insideH w:val="nil"/>
        <w:insideV w:val="nil"/>
      </w:tblBorders>
      <w:tblLayout w:type="fixed"/>
      <w:tblLook w:val="0400" w:firstRow="0" w:lastRow="0" w:firstColumn="0" w:lastColumn="0" w:noHBand="0" w:noVBand="1"/>
    </w:tblPr>
    <w:tblGrid>
      <w:gridCol w:w="3690"/>
      <w:gridCol w:w="4485"/>
    </w:tblGrid>
    <w:tr w:rsidR="008555F6" w14:paraId="7C10398E" w14:textId="77777777">
      <w:trPr>
        <w:trHeight w:val="138"/>
      </w:trPr>
      <w:tc>
        <w:tcPr>
          <w:tcW w:w="3690" w:type="dxa"/>
          <w:vAlign w:val="center"/>
        </w:tcPr>
        <w:p w14:paraId="7C10398C" w14:textId="77777777" w:rsidR="008555F6" w:rsidRDefault="00016B73">
          <w:pPr>
            <w:ind w:right="3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485" w:type="dxa"/>
          <w:vAlign w:val="center"/>
        </w:tcPr>
        <w:p w14:paraId="7C10398D" w14:textId="77777777" w:rsidR="008555F6" w:rsidRDefault="00016B73">
          <w:pPr>
            <w:pBdr>
              <w:top w:val="nil"/>
              <w:left w:val="nil"/>
              <w:bottom w:val="nil"/>
              <w:right w:val="nil"/>
              <w:between w:val="nil"/>
            </w:pBdr>
            <w:tabs>
              <w:tab w:val="center" w:pos="4252"/>
              <w:tab w:val="right" w:pos="8504"/>
            </w:tabs>
            <w:jc w:val="both"/>
            <w:rPr>
              <w:rFonts w:ascii="Palatino Linotype" w:eastAsia="Palatino Linotype" w:hAnsi="Palatino Linotype" w:cs="Palatino Linotype"/>
            </w:rPr>
          </w:pPr>
          <w:r>
            <w:rPr>
              <w:rFonts w:ascii="Palatino Linotype" w:eastAsia="Palatino Linotype" w:hAnsi="Palatino Linotype" w:cs="Palatino Linotype"/>
            </w:rPr>
            <w:t>05963/INFOEM/IP/RR/2023</w:t>
          </w:r>
        </w:p>
      </w:tc>
    </w:tr>
    <w:tr w:rsidR="008555F6" w14:paraId="7C103991" w14:textId="77777777">
      <w:trPr>
        <w:trHeight w:val="233"/>
      </w:trPr>
      <w:tc>
        <w:tcPr>
          <w:tcW w:w="3690" w:type="dxa"/>
          <w:vAlign w:val="center"/>
        </w:tcPr>
        <w:p w14:paraId="7C10398F" w14:textId="77777777" w:rsidR="008555F6" w:rsidRDefault="00016B73">
          <w:pPr>
            <w:ind w:right="3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485" w:type="dxa"/>
          <w:vAlign w:val="center"/>
        </w:tcPr>
        <w:p w14:paraId="7C103990" w14:textId="77777777" w:rsidR="008555F6" w:rsidRDefault="00016B73">
          <w:pPr>
            <w:pBdr>
              <w:top w:val="nil"/>
              <w:left w:val="nil"/>
              <w:bottom w:val="nil"/>
              <w:right w:val="nil"/>
              <w:between w:val="nil"/>
            </w:pBdr>
            <w:tabs>
              <w:tab w:val="center" w:pos="4252"/>
              <w:tab w:val="right" w:pos="8504"/>
            </w:tabs>
            <w:rPr>
              <w:rFonts w:ascii="Palatino Linotype" w:eastAsia="Palatino Linotype" w:hAnsi="Palatino Linotype" w:cs="Palatino Linotype"/>
            </w:rPr>
          </w:pPr>
          <w:r>
            <w:rPr>
              <w:rFonts w:ascii="Palatino Linotype" w:eastAsia="Palatino Linotype" w:hAnsi="Palatino Linotype" w:cs="Palatino Linotype"/>
            </w:rPr>
            <w:t>Ayuntamiento de Zinacantepec</w:t>
          </w:r>
        </w:p>
      </w:tc>
    </w:tr>
    <w:tr w:rsidR="008555F6" w14:paraId="7C103994" w14:textId="77777777">
      <w:trPr>
        <w:trHeight w:val="321"/>
      </w:trPr>
      <w:tc>
        <w:tcPr>
          <w:tcW w:w="3690" w:type="dxa"/>
          <w:vAlign w:val="center"/>
        </w:tcPr>
        <w:p w14:paraId="7C103992" w14:textId="77777777" w:rsidR="008555F6" w:rsidRDefault="00016B73">
          <w:pPr>
            <w:ind w:right="3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485" w:type="dxa"/>
          <w:vAlign w:val="center"/>
        </w:tcPr>
        <w:p w14:paraId="7C103993" w14:textId="77777777" w:rsidR="008555F6" w:rsidRDefault="00016B73">
          <w:pPr>
            <w:pBdr>
              <w:top w:val="nil"/>
              <w:left w:val="nil"/>
              <w:bottom w:val="nil"/>
              <w:right w:val="nil"/>
              <w:between w:val="nil"/>
            </w:pBdr>
            <w:tabs>
              <w:tab w:val="center" w:pos="4252"/>
              <w:tab w:val="right" w:pos="8504"/>
            </w:tabs>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tc>
    </w:tr>
  </w:tbl>
  <w:p w14:paraId="7C103995" w14:textId="77777777" w:rsidR="008555F6" w:rsidRDefault="008555F6">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03998" w14:textId="77777777" w:rsidR="008555F6" w:rsidRDefault="008555F6">
    <w:pPr>
      <w:widowControl w:val="0"/>
      <w:pBdr>
        <w:top w:val="nil"/>
        <w:left w:val="nil"/>
        <w:bottom w:val="nil"/>
        <w:right w:val="nil"/>
        <w:between w:val="nil"/>
      </w:pBdr>
      <w:spacing w:line="276" w:lineRule="auto"/>
      <w:rPr>
        <w:color w:val="000000"/>
        <w:sz w:val="20"/>
        <w:szCs w:val="20"/>
      </w:rPr>
    </w:pPr>
  </w:p>
  <w:tbl>
    <w:tblPr>
      <w:tblStyle w:val="a9"/>
      <w:tblW w:w="8340" w:type="dxa"/>
      <w:tblInd w:w="1590" w:type="dxa"/>
      <w:tblBorders>
        <w:top w:val="nil"/>
        <w:left w:val="nil"/>
        <w:bottom w:val="nil"/>
        <w:right w:val="nil"/>
        <w:insideH w:val="nil"/>
        <w:insideV w:val="nil"/>
      </w:tblBorders>
      <w:tblLayout w:type="fixed"/>
      <w:tblLook w:val="0400" w:firstRow="0" w:lastRow="0" w:firstColumn="0" w:lastColumn="0" w:noHBand="0" w:noVBand="1"/>
    </w:tblPr>
    <w:tblGrid>
      <w:gridCol w:w="3690"/>
      <w:gridCol w:w="4650"/>
    </w:tblGrid>
    <w:tr w:rsidR="008555F6" w14:paraId="7C10399B" w14:textId="77777777">
      <w:trPr>
        <w:trHeight w:val="138"/>
      </w:trPr>
      <w:tc>
        <w:tcPr>
          <w:tcW w:w="3690" w:type="dxa"/>
          <w:vAlign w:val="center"/>
        </w:tcPr>
        <w:p w14:paraId="7C103999" w14:textId="77777777" w:rsidR="008555F6" w:rsidRDefault="00016B73">
          <w:pPr>
            <w:jc w:val="right"/>
            <w:rPr>
              <w:rFonts w:ascii="Palatino Linotype" w:eastAsia="Palatino Linotype" w:hAnsi="Palatino Linotype" w:cs="Palatino Linotype"/>
              <w:b/>
            </w:rPr>
          </w:pPr>
          <w:r>
            <w:tab/>
          </w:r>
          <w:r>
            <w:rPr>
              <w:rFonts w:ascii="Palatino Linotype" w:eastAsia="Palatino Linotype" w:hAnsi="Palatino Linotype" w:cs="Palatino Linotype"/>
              <w:b/>
            </w:rPr>
            <w:t>RECURSO DE REVISIÓN:</w:t>
          </w:r>
        </w:p>
      </w:tc>
      <w:tc>
        <w:tcPr>
          <w:tcW w:w="4650" w:type="dxa"/>
          <w:vAlign w:val="center"/>
        </w:tcPr>
        <w:p w14:paraId="7C10399A" w14:textId="77777777" w:rsidR="008555F6" w:rsidRDefault="00016B73">
          <w:pPr>
            <w:pBdr>
              <w:top w:val="nil"/>
              <w:left w:val="nil"/>
              <w:bottom w:val="nil"/>
              <w:right w:val="nil"/>
              <w:between w:val="nil"/>
            </w:pBdr>
            <w:tabs>
              <w:tab w:val="center" w:pos="4252"/>
              <w:tab w:val="right" w:pos="8504"/>
            </w:tabs>
            <w:rPr>
              <w:rFonts w:ascii="Palatino Linotype" w:eastAsia="Palatino Linotype" w:hAnsi="Palatino Linotype" w:cs="Palatino Linotype"/>
            </w:rPr>
          </w:pPr>
          <w:r>
            <w:rPr>
              <w:rFonts w:ascii="Palatino Linotype" w:eastAsia="Palatino Linotype" w:hAnsi="Palatino Linotype" w:cs="Palatino Linotype"/>
            </w:rPr>
            <w:t>05963/INFOEM/IP/RR/2023</w:t>
          </w:r>
        </w:p>
      </w:tc>
    </w:tr>
    <w:tr w:rsidR="008555F6" w14:paraId="7C10399E" w14:textId="77777777">
      <w:trPr>
        <w:trHeight w:val="233"/>
      </w:trPr>
      <w:tc>
        <w:tcPr>
          <w:tcW w:w="3690" w:type="dxa"/>
          <w:vAlign w:val="center"/>
        </w:tcPr>
        <w:p w14:paraId="7C10399C" w14:textId="77777777" w:rsidR="008555F6" w:rsidRDefault="00016B73">
          <w:pPr>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50" w:type="dxa"/>
        </w:tcPr>
        <w:p w14:paraId="7C10399D" w14:textId="77777777" w:rsidR="008555F6" w:rsidRDefault="008555F6">
          <w:pPr>
            <w:pBdr>
              <w:top w:val="nil"/>
              <w:left w:val="nil"/>
              <w:bottom w:val="nil"/>
              <w:right w:val="nil"/>
              <w:between w:val="nil"/>
            </w:pBdr>
            <w:tabs>
              <w:tab w:val="center" w:pos="4252"/>
              <w:tab w:val="right" w:pos="8504"/>
            </w:tabs>
            <w:rPr>
              <w:rFonts w:ascii="Palatino Linotype" w:eastAsia="Palatino Linotype" w:hAnsi="Palatino Linotype" w:cs="Palatino Linotype"/>
            </w:rPr>
          </w:pPr>
        </w:p>
      </w:tc>
    </w:tr>
    <w:tr w:rsidR="008555F6" w14:paraId="7C1039A1" w14:textId="77777777">
      <w:trPr>
        <w:trHeight w:val="321"/>
      </w:trPr>
      <w:tc>
        <w:tcPr>
          <w:tcW w:w="3690" w:type="dxa"/>
          <w:vAlign w:val="center"/>
        </w:tcPr>
        <w:p w14:paraId="7C10399F" w14:textId="77777777" w:rsidR="008555F6" w:rsidRDefault="00016B73">
          <w:pPr>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50" w:type="dxa"/>
          <w:vAlign w:val="center"/>
        </w:tcPr>
        <w:p w14:paraId="7C1039A0" w14:textId="77777777" w:rsidR="008555F6" w:rsidRDefault="00016B73">
          <w:pPr>
            <w:pBdr>
              <w:top w:val="nil"/>
              <w:left w:val="nil"/>
              <w:bottom w:val="nil"/>
              <w:right w:val="nil"/>
              <w:between w:val="nil"/>
            </w:pBdr>
            <w:tabs>
              <w:tab w:val="center" w:pos="4252"/>
              <w:tab w:val="right" w:pos="8504"/>
            </w:tabs>
            <w:rPr>
              <w:rFonts w:ascii="Palatino Linotype" w:eastAsia="Palatino Linotype" w:hAnsi="Palatino Linotype" w:cs="Palatino Linotype"/>
            </w:rPr>
          </w:pPr>
          <w:r>
            <w:rPr>
              <w:rFonts w:ascii="Palatino Linotype" w:eastAsia="Palatino Linotype" w:hAnsi="Palatino Linotype" w:cs="Palatino Linotype"/>
            </w:rPr>
            <w:t>Ayuntamiento de Zinacantepec</w:t>
          </w:r>
        </w:p>
      </w:tc>
    </w:tr>
    <w:tr w:rsidR="008555F6" w14:paraId="7C1039A4" w14:textId="77777777">
      <w:trPr>
        <w:trHeight w:val="321"/>
      </w:trPr>
      <w:tc>
        <w:tcPr>
          <w:tcW w:w="3690" w:type="dxa"/>
          <w:vAlign w:val="center"/>
        </w:tcPr>
        <w:p w14:paraId="7C1039A2" w14:textId="77777777" w:rsidR="008555F6" w:rsidRDefault="00016B73">
          <w:pPr>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50" w:type="dxa"/>
          <w:vAlign w:val="center"/>
        </w:tcPr>
        <w:p w14:paraId="7C1039A3" w14:textId="77777777" w:rsidR="008555F6" w:rsidRDefault="00016B73">
          <w:pPr>
            <w:pBdr>
              <w:top w:val="nil"/>
              <w:left w:val="nil"/>
              <w:bottom w:val="nil"/>
              <w:right w:val="nil"/>
              <w:between w:val="nil"/>
            </w:pBdr>
            <w:tabs>
              <w:tab w:val="center" w:pos="4252"/>
              <w:tab w:val="right" w:pos="8504"/>
            </w:tabs>
            <w:ind w:left="33"/>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tc>
    </w:tr>
  </w:tbl>
  <w:p w14:paraId="7C1039A5" w14:textId="77777777" w:rsidR="008555F6" w:rsidRDefault="00806EEF">
    <w:pPr>
      <w:pBdr>
        <w:top w:val="nil"/>
        <w:left w:val="nil"/>
        <w:bottom w:val="nil"/>
        <w:right w:val="nil"/>
        <w:between w:val="nil"/>
      </w:pBdr>
      <w:tabs>
        <w:tab w:val="center" w:pos="4252"/>
        <w:tab w:val="right" w:pos="8504"/>
        <w:tab w:val="left" w:pos="3103"/>
      </w:tabs>
      <w:rPr>
        <w:color w:val="000000"/>
      </w:rPr>
    </w:pPr>
    <w:r>
      <w:rPr>
        <w:color w:val="000000"/>
      </w:rPr>
      <w:pict w14:anchorId="7C103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100.1pt;margin-top:-124.35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A48D9"/>
    <w:multiLevelType w:val="multilevel"/>
    <w:tmpl w:val="E59C2EE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b/>
        <w:i w:val="0"/>
      </w:rPr>
    </w:lvl>
    <w:lvl w:ilvl="2">
      <w:start w:val="1"/>
      <w:numFmt w:val="lowerLetter"/>
      <w:lvlText w:val="%3)"/>
      <w:lvlJc w:val="left"/>
      <w:pPr>
        <w:ind w:left="2340" w:hanging="360"/>
      </w:pPr>
      <w:rPr>
        <w:b/>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ECD7895"/>
    <w:multiLevelType w:val="multilevel"/>
    <w:tmpl w:val="8506A56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lowerLetter"/>
      <w:lvlText w:val="%3)"/>
      <w:lvlJc w:val="left"/>
      <w:pPr>
        <w:ind w:left="2340" w:hanging="360"/>
      </w:pPr>
      <w:rPr>
        <w:b/>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5436917"/>
    <w:multiLevelType w:val="multilevel"/>
    <w:tmpl w:val="EDECFA78"/>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D8113C7"/>
    <w:multiLevelType w:val="multilevel"/>
    <w:tmpl w:val="F69A29B8"/>
    <w:lvl w:ilvl="0">
      <w:start w:val="1"/>
      <w:numFmt w:val="bullet"/>
      <w:pStyle w:val="Listaconvietas2"/>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nsid w:val="2FEF0F54"/>
    <w:multiLevelType w:val="multilevel"/>
    <w:tmpl w:val="91E80418"/>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E382719"/>
    <w:multiLevelType w:val="multilevel"/>
    <w:tmpl w:val="376A706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F7B66DF"/>
    <w:multiLevelType w:val="multilevel"/>
    <w:tmpl w:val="8926EF8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5F6"/>
    <w:rsid w:val="00016B73"/>
    <w:rsid w:val="00546671"/>
    <w:rsid w:val="00806EEF"/>
    <w:rsid w:val="008555F6"/>
    <w:rsid w:val="00B36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C103811"/>
  <w15:docId w15:val="{179A6979-F81E-4D1D-8E8C-F5E151938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EF77EE"/>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customStyle="1" w:styleId="Ttulo4Car">
    <w:name w:val="Título 4 Car"/>
    <w:basedOn w:val="Fuentedeprrafopredeter"/>
    <w:link w:val="Ttulo4"/>
    <w:uiPriority w:val="9"/>
    <w:semiHidden/>
    <w:rsid w:val="00EF77EE"/>
    <w:rPr>
      <w:rFonts w:asciiTheme="majorHAnsi" w:eastAsiaTheme="majorEastAsia" w:hAnsiTheme="majorHAnsi" w:cstheme="majorBidi"/>
      <w:i/>
      <w:iCs/>
      <w:color w:val="365F91" w:themeColor="accent1" w:themeShade="BF"/>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1"/>
    <w:rPr>
      <w:color w:val="000000"/>
      <w:sz w:val="22"/>
      <w:szCs w:val="22"/>
    </w:rPr>
    <w:tblPr>
      <w:tblStyleRowBandSize w:val="1"/>
      <w:tblStyleColBandSize w:val="1"/>
      <w:tblCellMar>
        <w:top w:w="0" w:type="dxa"/>
        <w:left w:w="108" w:type="dxa"/>
        <w:bottom w:w="0" w:type="dxa"/>
        <w:right w:w="108" w:type="dxa"/>
      </w:tblCellMar>
    </w:tblPr>
  </w:style>
  <w:style w:type="table" w:customStyle="1" w:styleId="a1">
    <w:basedOn w:val="TableNormal1"/>
    <w:rPr>
      <w:color w:val="000000"/>
      <w:sz w:val="22"/>
      <w:szCs w:val="22"/>
    </w:rPr>
    <w:tblPr>
      <w:tblStyleRowBandSize w:val="1"/>
      <w:tblStyleColBandSize w:val="1"/>
      <w:tblCellMar>
        <w:top w:w="0" w:type="dxa"/>
        <w:left w:w="108" w:type="dxa"/>
        <w:bottom w:w="0" w:type="dxa"/>
        <w:right w:w="108" w:type="dxa"/>
      </w:tblCellMar>
    </w:tblPr>
  </w:style>
  <w:style w:type="table" w:customStyle="1" w:styleId="a2">
    <w:basedOn w:val="TableNormal1"/>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3">
    <w:basedOn w:val="TableNormal1"/>
    <w:rPr>
      <w:color w:val="000000"/>
      <w:sz w:val="22"/>
      <w:szCs w:val="22"/>
    </w:rPr>
    <w:tblPr>
      <w:tblStyleRowBandSize w:val="1"/>
      <w:tblStyleColBandSize w:val="1"/>
      <w:tblCellMar>
        <w:top w:w="0" w:type="dxa"/>
        <w:left w:w="108" w:type="dxa"/>
        <w:bottom w:w="0" w:type="dxa"/>
        <w:right w:w="108" w:type="dxa"/>
      </w:tblCellMar>
    </w:tblPr>
  </w:style>
  <w:style w:type="table" w:customStyle="1" w:styleId="a4">
    <w:basedOn w:val="TableNormal1"/>
    <w:rPr>
      <w:color w:val="000000"/>
      <w:sz w:val="22"/>
      <w:szCs w:val="22"/>
    </w:rPr>
    <w:tblPr>
      <w:tblStyleRowBandSize w:val="1"/>
      <w:tblStyleColBandSize w:val="1"/>
      <w:tblCellMar>
        <w:top w:w="0" w:type="dxa"/>
        <w:left w:w="108" w:type="dxa"/>
        <w:bottom w:w="0" w:type="dxa"/>
        <w:right w:w="108" w:type="dxa"/>
      </w:tblCellMar>
    </w:tblPr>
  </w:style>
  <w:style w:type="table" w:customStyle="1" w:styleId="a5">
    <w:basedOn w:val="TableNormal1"/>
    <w:rPr>
      <w:color w:val="000000"/>
      <w:sz w:val="22"/>
      <w:szCs w:val="22"/>
    </w:rPr>
    <w:tblPr>
      <w:tblStyleRowBandSize w:val="1"/>
      <w:tblStyleColBandSize w:val="1"/>
      <w:tblCellMar>
        <w:top w:w="0" w:type="dxa"/>
        <w:left w:w="108" w:type="dxa"/>
        <w:bottom w:w="0" w:type="dxa"/>
        <w:right w:w="108" w:type="dxa"/>
      </w:tblCellMar>
    </w:tblPr>
  </w:style>
  <w:style w:type="table" w:customStyle="1" w:styleId="a6">
    <w:basedOn w:val="TableNormal1"/>
    <w:rPr>
      <w:color w:val="000000"/>
      <w:sz w:val="22"/>
      <w:szCs w:val="22"/>
    </w:rPr>
    <w:tblPr>
      <w:tblStyleRowBandSize w:val="1"/>
      <w:tblStyleColBandSize w:val="1"/>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C00D25"/>
    <w:rPr>
      <w:sz w:val="20"/>
      <w:szCs w:val="20"/>
    </w:rPr>
  </w:style>
  <w:style w:type="character" w:customStyle="1" w:styleId="TextonotaalfinalCar">
    <w:name w:val="Texto nota al final Car"/>
    <w:basedOn w:val="Fuentedeprrafopredeter"/>
    <w:link w:val="Textonotaalfinal"/>
    <w:uiPriority w:val="99"/>
    <w:semiHidden/>
    <w:rsid w:val="00C00D25"/>
    <w:rPr>
      <w:sz w:val="20"/>
      <w:szCs w:val="20"/>
    </w:rPr>
  </w:style>
  <w:style w:type="character" w:styleId="Refdenotaalfinal">
    <w:name w:val="endnote reference"/>
    <w:basedOn w:val="Fuentedeprrafopredeter"/>
    <w:uiPriority w:val="99"/>
    <w:semiHidden/>
    <w:unhideWhenUsed/>
    <w:rsid w:val="00C00D25"/>
    <w:rPr>
      <w:vertAlign w:val="superscript"/>
    </w:rPr>
  </w:style>
  <w:style w:type="table" w:customStyle="1" w:styleId="a7">
    <w:basedOn w:val="TableNormal0"/>
    <w:rPr>
      <w:color w:val="000000"/>
      <w:sz w:val="22"/>
      <w:szCs w:val="22"/>
    </w:rPr>
    <w:tblPr>
      <w:tblStyleRowBandSize w:val="1"/>
      <w:tblStyleColBandSize w:val="1"/>
      <w:tblCellMar>
        <w:top w:w="0" w:type="dxa"/>
        <w:left w:w="108" w:type="dxa"/>
        <w:bottom w:w="0" w:type="dxa"/>
        <w:right w:w="108" w:type="dxa"/>
      </w:tblCellMar>
    </w:tblPr>
  </w:style>
  <w:style w:type="table" w:customStyle="1" w:styleId="a8">
    <w:basedOn w:val="TableNormal0"/>
    <w:rPr>
      <w:color w:val="000000"/>
      <w:sz w:val="22"/>
      <w:szCs w:val="22"/>
    </w:rPr>
    <w:tblPr>
      <w:tblStyleRowBandSize w:val="1"/>
      <w:tblStyleColBandSize w:val="1"/>
      <w:tblCellMar>
        <w:top w:w="0" w:type="dxa"/>
        <w:left w:w="108" w:type="dxa"/>
        <w:bottom w:w="0" w:type="dxa"/>
        <w:right w:w="108" w:type="dxa"/>
      </w:tblCellMar>
    </w:tblPr>
  </w:style>
  <w:style w:type="table" w:customStyle="1" w:styleId="a9">
    <w:basedOn w:val="TableNormal0"/>
    <w:rPr>
      <w:color w:val="000000"/>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STQcQIV/f9suAZS8i4wu2gP4kA==">CgMxLjAyCGguZ2pkZ3hzMgloLjMwajB6bGwyCWguMWZvYjl0ZTIJaC4zem55c2g3MgloLjJldDkycDAyCGgudHlqY3d0MgloLjNkeTZ2a20yCWguNGQzNG9nODIJaC4xN2RwOHZ1MgloLjNyZGNyam4yCWguMjZpbjFyZzIJaC4yczhleW8xMgloLjM1bmt1bjIyCWguMWtzdjR1djgAciExT0tqZ2MtbUdVOXc3dF9HZUZEb3NoTXVDU2ktaGNMbE8=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41</Pages>
  <Words>9278</Words>
  <Characters>51035</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3</cp:revision>
  <cp:lastPrinted>2024-08-29T19:03:00Z</cp:lastPrinted>
  <dcterms:created xsi:type="dcterms:W3CDTF">2024-08-15T20:38:00Z</dcterms:created>
  <dcterms:modified xsi:type="dcterms:W3CDTF">2024-08-29T19:03:00Z</dcterms:modified>
</cp:coreProperties>
</file>