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2BF4E" w14:textId="77777777" w:rsidR="00CA45CA" w:rsidRPr="001F1A44" w:rsidRDefault="00AD389B">
      <w:pPr>
        <w:spacing w:before="240" w:after="240" w:line="360" w:lineRule="auto"/>
        <w:jc w:val="both"/>
        <w:rPr>
          <w:rFonts w:ascii="Palatino Linotype" w:eastAsia="Palatino Linotype" w:hAnsi="Palatino Linotype" w:cs="Palatino Linotype"/>
        </w:rPr>
      </w:pPr>
      <w:bookmarkStart w:id="0" w:name="_heading=h.3dy6vkm" w:colFirst="0" w:colLast="0"/>
      <w:bookmarkEnd w:id="0"/>
      <w:r w:rsidRPr="001F1A4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1F1A44">
        <w:rPr>
          <w:rFonts w:ascii="Palatino Linotype" w:eastAsia="Palatino Linotype" w:hAnsi="Palatino Linotype" w:cs="Palatino Linotype"/>
          <w:b/>
        </w:rPr>
        <w:t>diecisiete de enero de dos mil veinticuatro</w:t>
      </w:r>
      <w:r w:rsidRPr="001F1A44">
        <w:rPr>
          <w:rFonts w:ascii="Palatino Linotype" w:eastAsia="Palatino Linotype" w:hAnsi="Palatino Linotype" w:cs="Palatino Linotype"/>
        </w:rPr>
        <w:t xml:space="preserve">. </w:t>
      </w:r>
    </w:p>
    <w:p w14:paraId="7051DDBD" w14:textId="1603BAC1" w:rsidR="00CA45CA" w:rsidRPr="001F1A44" w:rsidRDefault="00AD389B">
      <w:pPr>
        <w:spacing w:before="240"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b/>
        </w:rPr>
        <w:t>Visto</w:t>
      </w:r>
      <w:r w:rsidRPr="001F1A44">
        <w:rPr>
          <w:rFonts w:ascii="Palatino Linotype" w:eastAsia="Palatino Linotype" w:hAnsi="Palatino Linotype" w:cs="Palatino Linotype"/>
        </w:rPr>
        <w:t xml:space="preserve"> el expediente formado con motivo del recurso de revisión </w:t>
      </w:r>
      <w:r w:rsidRPr="001F1A44">
        <w:rPr>
          <w:rFonts w:ascii="Palatino Linotype" w:eastAsia="Palatino Linotype" w:hAnsi="Palatino Linotype" w:cs="Palatino Linotype"/>
          <w:b/>
        </w:rPr>
        <w:t>02219/INFOEM/IP/RR/2023</w:t>
      </w:r>
      <w:r w:rsidRPr="001F1A44">
        <w:rPr>
          <w:rFonts w:ascii="Palatino Linotype" w:eastAsia="Palatino Linotype" w:hAnsi="Palatino Linotype" w:cs="Palatino Linotype"/>
        </w:rPr>
        <w:t>, interpuesto por</w:t>
      </w:r>
      <w:r w:rsidR="008E7A84">
        <w:rPr>
          <w:rFonts w:ascii="Palatino Linotype" w:eastAsia="Palatino Linotype" w:hAnsi="Palatino Linotype" w:cs="Palatino Linotype"/>
          <w:b/>
        </w:rPr>
        <w:t xml:space="preserve"> XXXX XXXXX XXXXXXXXX XXXXXXX</w:t>
      </w:r>
      <w:bookmarkStart w:id="1" w:name="_GoBack"/>
      <w:bookmarkEnd w:id="1"/>
      <w:r w:rsidRPr="001F1A44">
        <w:rPr>
          <w:rFonts w:ascii="Palatino Linotype" w:eastAsia="Palatino Linotype" w:hAnsi="Palatino Linotype" w:cs="Palatino Linotype"/>
        </w:rPr>
        <w:t xml:space="preserve">, en lo sucesivo </w:t>
      </w:r>
      <w:r w:rsidRPr="001F1A44">
        <w:rPr>
          <w:rFonts w:ascii="Palatino Linotype" w:eastAsia="Palatino Linotype" w:hAnsi="Palatino Linotype" w:cs="Palatino Linotype"/>
          <w:b/>
        </w:rPr>
        <w:t>la</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parte</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Recurrente,</w:t>
      </w:r>
      <w:r w:rsidRPr="001F1A44">
        <w:rPr>
          <w:rFonts w:ascii="Palatino Linotype" w:eastAsia="Palatino Linotype" w:hAnsi="Palatino Linotype" w:cs="Palatino Linotype"/>
        </w:rPr>
        <w:t xml:space="preserve"> en contra de la respuesta a su solicitud por parte del </w:t>
      </w:r>
      <w:r w:rsidRPr="001F1A44">
        <w:rPr>
          <w:rFonts w:ascii="Palatino Linotype" w:eastAsia="Palatino Linotype" w:hAnsi="Palatino Linotype" w:cs="Palatino Linotype"/>
          <w:b/>
        </w:rPr>
        <w:t xml:space="preserve">Ayuntamiento de Coatepec Harinas, </w:t>
      </w:r>
      <w:r w:rsidRPr="001F1A44">
        <w:rPr>
          <w:rFonts w:ascii="Palatino Linotype" w:eastAsia="Palatino Linotype" w:hAnsi="Palatino Linotype" w:cs="Palatino Linotype"/>
        </w:rPr>
        <w:t xml:space="preserve">en lo sucesivo el </w:t>
      </w:r>
      <w:r w:rsidRPr="001F1A44">
        <w:rPr>
          <w:rFonts w:ascii="Palatino Linotype" w:eastAsia="Palatino Linotype" w:hAnsi="Palatino Linotype" w:cs="Palatino Linotype"/>
          <w:b/>
        </w:rPr>
        <w:t xml:space="preserve">Sujeto Obligado, </w:t>
      </w:r>
      <w:r w:rsidRPr="001F1A44">
        <w:rPr>
          <w:rFonts w:ascii="Palatino Linotype" w:eastAsia="Palatino Linotype" w:hAnsi="Palatino Linotype" w:cs="Palatino Linotype"/>
        </w:rPr>
        <w:t xml:space="preserve">se procede a dictar la presente resolución con base en los siguientes: </w:t>
      </w:r>
    </w:p>
    <w:p w14:paraId="0FB483AA" w14:textId="77777777" w:rsidR="00CA45CA" w:rsidRPr="001F1A44" w:rsidRDefault="00AD389B">
      <w:pPr>
        <w:spacing w:before="240" w:after="240" w:line="360" w:lineRule="auto"/>
        <w:jc w:val="center"/>
        <w:rPr>
          <w:rFonts w:ascii="Palatino Linotype" w:eastAsia="Palatino Linotype" w:hAnsi="Palatino Linotype" w:cs="Palatino Linotype"/>
          <w:b/>
        </w:rPr>
      </w:pPr>
      <w:r w:rsidRPr="001F1A44">
        <w:rPr>
          <w:rFonts w:ascii="Palatino Linotype" w:eastAsia="Palatino Linotype" w:hAnsi="Palatino Linotype" w:cs="Palatino Linotype"/>
          <w:b/>
        </w:rPr>
        <w:t>I. A N T E C E D E N T E S</w:t>
      </w:r>
    </w:p>
    <w:p w14:paraId="1B2BC8BB"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1. Solicitud de acceso a la información.</w:t>
      </w:r>
      <w:r w:rsidRPr="001F1A44">
        <w:rPr>
          <w:rFonts w:ascii="Palatino Linotype" w:eastAsia="Palatino Linotype" w:hAnsi="Palatino Linotype" w:cs="Palatino Linotype"/>
        </w:rPr>
        <w:t xml:space="preserve"> El </w:t>
      </w:r>
      <w:r w:rsidRPr="001F1A44">
        <w:rPr>
          <w:rFonts w:ascii="Palatino Linotype" w:eastAsia="Palatino Linotype" w:hAnsi="Palatino Linotype" w:cs="Palatino Linotype"/>
          <w:b/>
        </w:rPr>
        <w:t>veintiocho de marzo del dos mil veintitrés,</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 xml:space="preserve">la parte Recurrente </w:t>
      </w:r>
      <w:r w:rsidRPr="001F1A44">
        <w:rPr>
          <w:rFonts w:ascii="Palatino Linotype" w:eastAsia="Palatino Linotype" w:hAnsi="Palatino Linotype" w:cs="Palatino Linotype"/>
        </w:rPr>
        <w:t xml:space="preserve">presentó, a través del Sistema de Acceso a la Información Mexiquense, en lo subsecuente el </w:t>
      </w:r>
      <w:r w:rsidRPr="001F1A44">
        <w:rPr>
          <w:rFonts w:ascii="Palatino Linotype" w:eastAsia="Palatino Linotype" w:hAnsi="Palatino Linotype" w:cs="Palatino Linotype"/>
          <w:b/>
        </w:rPr>
        <w:t>SAIMEX,</w:t>
      </w:r>
      <w:r w:rsidRPr="001F1A44">
        <w:rPr>
          <w:rFonts w:ascii="Palatino Linotype" w:eastAsia="Palatino Linotype" w:hAnsi="Palatino Linotype" w:cs="Palatino Linotype"/>
        </w:rPr>
        <w:t xml:space="preserve"> ante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la solicitud de acceso a la información pública, a la que se le asignó el número</w:t>
      </w:r>
      <w:r w:rsidRPr="001F1A44">
        <w:rPr>
          <w:rFonts w:ascii="Palatino Linotype" w:eastAsia="Palatino Linotype" w:hAnsi="Palatino Linotype" w:cs="Palatino Linotype"/>
          <w:b/>
        </w:rPr>
        <w:t xml:space="preserve"> 00013/COATHAR/IP/2023, </w:t>
      </w:r>
      <w:r w:rsidRPr="001F1A44">
        <w:rPr>
          <w:rFonts w:ascii="Palatino Linotype" w:eastAsia="Palatino Linotype" w:hAnsi="Palatino Linotype" w:cs="Palatino Linotype"/>
        </w:rPr>
        <w:t xml:space="preserve">mediante la cual requirió la información siguiente: </w:t>
      </w:r>
    </w:p>
    <w:p w14:paraId="79C07BB5" w14:textId="77777777" w:rsidR="00CA45CA" w:rsidRPr="001F1A44" w:rsidRDefault="00AD389B">
      <w:pPr>
        <w:spacing w:before="240"/>
        <w:ind w:left="851" w:right="902"/>
        <w:jc w:val="both"/>
        <w:rPr>
          <w:rFonts w:ascii="Palatino Linotype" w:eastAsia="Palatino Linotype" w:hAnsi="Palatino Linotype" w:cs="Palatino Linotype"/>
          <w:i/>
          <w:sz w:val="22"/>
          <w:szCs w:val="22"/>
        </w:rPr>
      </w:pPr>
      <w:bookmarkStart w:id="2" w:name="_heading=h.gjdgxs" w:colFirst="0" w:colLast="0"/>
      <w:bookmarkEnd w:id="2"/>
      <w:r w:rsidRPr="001F1A44">
        <w:rPr>
          <w:rFonts w:ascii="Palatino Linotype" w:eastAsia="Palatino Linotype" w:hAnsi="Palatino Linotype" w:cs="Palatino Linotype"/>
          <w:i/>
          <w:sz w:val="22"/>
          <w:szCs w:val="22"/>
        </w:rPr>
        <w:t xml:space="preserve">“A QUIEN CORRESPONDA Con fundamento en el artículo 8 de la Constitución Mexicana, 4, 11, 15, 150, 151, 152, 156 y demás que sustenten el acceso a la información de la Ley de Transparencia y Acceso a la Información Pública del Estado de México y Municipios. </w:t>
      </w:r>
      <w:r w:rsidRPr="001F1A44">
        <w:rPr>
          <w:rFonts w:ascii="Palatino Linotype" w:eastAsia="Palatino Linotype" w:hAnsi="Palatino Linotype" w:cs="Palatino Linotype"/>
          <w:b/>
          <w:i/>
          <w:sz w:val="22"/>
          <w:szCs w:val="22"/>
          <w:u w:val="single"/>
        </w:rPr>
        <w:t xml:space="preserve">SOLICITO información respecto del </w:t>
      </w:r>
      <w:proofErr w:type="spellStart"/>
      <w:r w:rsidRPr="001F1A44">
        <w:rPr>
          <w:rFonts w:ascii="Palatino Linotype" w:eastAsia="Palatino Linotype" w:hAnsi="Palatino Linotype" w:cs="Palatino Linotype"/>
          <w:b/>
          <w:i/>
          <w:sz w:val="22"/>
          <w:szCs w:val="22"/>
          <w:u w:val="single"/>
        </w:rPr>
        <w:t>excomisario</w:t>
      </w:r>
      <w:proofErr w:type="spellEnd"/>
      <w:r w:rsidRPr="001F1A44">
        <w:rPr>
          <w:rFonts w:ascii="Palatino Linotype" w:eastAsia="Palatino Linotype" w:hAnsi="Palatino Linotype" w:cs="Palatino Linotype"/>
          <w:b/>
          <w:i/>
          <w:sz w:val="22"/>
          <w:szCs w:val="22"/>
          <w:u w:val="single"/>
        </w:rPr>
        <w:t xml:space="preserve"> de seguridad pública del Municipio de Coatepec Harinas: 1. Documento que acredite </w:t>
      </w:r>
      <w:proofErr w:type="spellStart"/>
      <w:r w:rsidRPr="001F1A44">
        <w:rPr>
          <w:rFonts w:ascii="Palatino Linotype" w:eastAsia="Palatino Linotype" w:hAnsi="Palatino Linotype" w:cs="Palatino Linotype"/>
          <w:b/>
          <w:i/>
          <w:sz w:val="22"/>
          <w:szCs w:val="22"/>
          <w:u w:val="single"/>
        </w:rPr>
        <w:t>si</w:t>
      </w:r>
      <w:proofErr w:type="spellEnd"/>
      <w:r w:rsidRPr="001F1A44">
        <w:rPr>
          <w:rFonts w:ascii="Palatino Linotype" w:eastAsia="Palatino Linotype" w:hAnsi="Palatino Linotype" w:cs="Palatino Linotype"/>
          <w:b/>
          <w:i/>
          <w:sz w:val="22"/>
          <w:szCs w:val="22"/>
          <w:u w:val="single"/>
        </w:rPr>
        <w:t xml:space="preserve"> estuvo incluido en la licencia oficial colectiva 139 2. Si obtuvo credencial que ampare la portación de arma que porto el comisario, 3. CUP (CERTIFICADO UNICO POLICIAL) 4. Número de procedimientos administrativos ante la contralora interna del municipio o ante la comisión de honor justicia, penales o quejas ante </w:t>
      </w:r>
      <w:r w:rsidRPr="001F1A44">
        <w:rPr>
          <w:rFonts w:ascii="Palatino Linotype" w:eastAsia="Palatino Linotype" w:hAnsi="Palatino Linotype" w:cs="Palatino Linotype"/>
          <w:b/>
          <w:i/>
          <w:sz w:val="22"/>
          <w:szCs w:val="22"/>
          <w:u w:val="single"/>
        </w:rPr>
        <w:lastRenderedPageBreak/>
        <w:t xml:space="preserve">la comisión de derechos humanos por hostigamiento, acoso, abuso sexual. </w:t>
      </w:r>
      <w:r w:rsidRPr="001F1A44">
        <w:rPr>
          <w:rFonts w:ascii="Palatino Linotype" w:eastAsia="Palatino Linotype" w:hAnsi="Palatino Linotype" w:cs="Palatino Linotype"/>
          <w:i/>
          <w:sz w:val="22"/>
          <w:szCs w:val="22"/>
        </w:rPr>
        <w:t xml:space="preserve">Todo esto en versión pública sustentado en los artículos 3 fracción XLV, 137, de la Ley antes citada. Esperando una respuesta favorable y de evitarnos un recurso de revisión, me sea entregado a través de este medio, quedo de usted.” (Sic) </w:t>
      </w:r>
    </w:p>
    <w:p w14:paraId="6856BD6C" w14:textId="77777777" w:rsidR="00CA45CA" w:rsidRPr="001F1A44" w:rsidRDefault="00AD389B">
      <w:pPr>
        <w:tabs>
          <w:tab w:val="left" w:pos="1080"/>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ab/>
      </w:r>
    </w:p>
    <w:p w14:paraId="62ADBD03"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Modalidad de Entrega:</w:t>
      </w:r>
      <w:r w:rsidRPr="001F1A44">
        <w:rPr>
          <w:rFonts w:ascii="Palatino Linotype" w:eastAsia="Palatino Linotype" w:hAnsi="Palatino Linotype" w:cs="Palatino Linotype"/>
        </w:rPr>
        <w:t xml:space="preserve"> A través de </w:t>
      </w:r>
      <w:r w:rsidRPr="001F1A44">
        <w:rPr>
          <w:rFonts w:ascii="Palatino Linotype" w:eastAsia="Palatino Linotype" w:hAnsi="Palatino Linotype" w:cs="Palatino Linotype"/>
          <w:b/>
        </w:rPr>
        <w:t>SAIMEX</w:t>
      </w:r>
      <w:r w:rsidRPr="001F1A44">
        <w:rPr>
          <w:rFonts w:ascii="Palatino Linotype" w:eastAsia="Palatino Linotype" w:hAnsi="Palatino Linotype" w:cs="Palatino Linotype"/>
        </w:rPr>
        <w:t>.</w:t>
      </w:r>
    </w:p>
    <w:p w14:paraId="3E3901B1" w14:textId="77777777" w:rsidR="00CA45CA" w:rsidRPr="001F1A44" w:rsidRDefault="00CA45CA">
      <w:pPr>
        <w:spacing w:line="360" w:lineRule="auto"/>
        <w:ind w:right="900"/>
        <w:rPr>
          <w:rFonts w:ascii="Palatino Linotype" w:eastAsia="Palatino Linotype" w:hAnsi="Palatino Linotype" w:cs="Palatino Linotype"/>
          <w:sz w:val="22"/>
          <w:szCs w:val="22"/>
        </w:rPr>
      </w:pPr>
    </w:p>
    <w:p w14:paraId="2C02C8D5" w14:textId="77777777" w:rsidR="00CA45CA" w:rsidRPr="001F1A44" w:rsidRDefault="00AD389B">
      <w:pPr>
        <w:spacing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2. Respuesta. </w:t>
      </w:r>
      <w:r w:rsidRPr="001F1A44">
        <w:rPr>
          <w:rFonts w:ascii="Palatino Linotype" w:eastAsia="Palatino Linotype" w:hAnsi="Palatino Linotype" w:cs="Palatino Linotype"/>
        </w:rPr>
        <w:t xml:space="preserve">El </w:t>
      </w:r>
      <w:r w:rsidRPr="001F1A44">
        <w:rPr>
          <w:rFonts w:ascii="Palatino Linotype" w:eastAsia="Palatino Linotype" w:hAnsi="Palatino Linotype" w:cs="Palatino Linotype"/>
          <w:b/>
        </w:rPr>
        <w:t>veinticinco de abril de dos mil veintitrés</w:t>
      </w:r>
      <w:r w:rsidRPr="001F1A44">
        <w:rPr>
          <w:rFonts w:ascii="Palatino Linotype" w:eastAsia="Palatino Linotype" w:hAnsi="Palatino Linotype" w:cs="Palatino Linotype"/>
        </w:rPr>
        <w:t xml:space="preserve">, el </w:t>
      </w:r>
      <w:r w:rsidRPr="001F1A44">
        <w:rPr>
          <w:rFonts w:ascii="Palatino Linotype" w:eastAsia="Palatino Linotype" w:hAnsi="Palatino Linotype" w:cs="Palatino Linotype"/>
          <w:b/>
        </w:rPr>
        <w:t xml:space="preserve">Sujeto Obligado </w:t>
      </w:r>
      <w:r w:rsidRPr="001F1A44">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01DF4B94" w14:textId="77777777" w:rsidR="00CA45CA" w:rsidRPr="001F1A44" w:rsidRDefault="00AD389B">
      <w:pPr>
        <w:spacing w:before="240" w:after="24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“A efecto de garantizar el derecho del acceso a la información pública, fundado en los artículos 4, 7, 11, 16 y 22, así como el fomento al ejercicio de la transparencia de los servidores públicos habilitados de esta administración pública municipal, presidida por el Lic. Marco Antonio </w:t>
      </w:r>
      <w:proofErr w:type="spellStart"/>
      <w:r w:rsidRPr="001F1A44">
        <w:rPr>
          <w:rFonts w:ascii="Palatino Linotype" w:eastAsia="Palatino Linotype" w:hAnsi="Palatino Linotype" w:cs="Palatino Linotype"/>
          <w:i/>
          <w:sz w:val="22"/>
          <w:szCs w:val="22"/>
        </w:rPr>
        <w:t>Diaz</w:t>
      </w:r>
      <w:proofErr w:type="spellEnd"/>
      <w:r w:rsidRPr="001F1A44">
        <w:rPr>
          <w:rFonts w:ascii="Palatino Linotype" w:eastAsia="Palatino Linotype" w:hAnsi="Palatino Linotype" w:cs="Palatino Linotype"/>
          <w:i/>
          <w:sz w:val="22"/>
          <w:szCs w:val="22"/>
        </w:rPr>
        <w:t xml:space="preserve"> Juárez y, derivado de los artículos 3, fracción VIII;12, párrafo II; 23, fracción IV; 24, fracciones IV, V, VIII, XI y XIX; 25, 27, 50, 51, 52, 53, fracciones II, IV y XII y 59 de la Ley de Transparencia y Acceso a la Información Pública del Estado de México y Municipios. Asimismo, de su Solicitud de Información No. 0013/COATHAR/IP/2023, en la que estable: A QUIEN CORRESPONDA Con fundamento en el artículo 8 de la Constitución Mexicana, 4, 11, 15, 150, 151, 152, 156 y demás que sustenten el acceso a la información de la Ley de Transparencia y Acceso a la Información Pública del Estado de México y Municipios. SOLICITO información respecto del </w:t>
      </w:r>
      <w:proofErr w:type="spellStart"/>
      <w:r w:rsidRPr="001F1A44">
        <w:rPr>
          <w:rFonts w:ascii="Palatino Linotype" w:eastAsia="Palatino Linotype" w:hAnsi="Palatino Linotype" w:cs="Palatino Linotype"/>
          <w:i/>
          <w:sz w:val="22"/>
          <w:szCs w:val="22"/>
        </w:rPr>
        <w:t>excomisario</w:t>
      </w:r>
      <w:proofErr w:type="spellEnd"/>
      <w:r w:rsidRPr="001F1A44">
        <w:rPr>
          <w:rFonts w:ascii="Palatino Linotype" w:eastAsia="Palatino Linotype" w:hAnsi="Palatino Linotype" w:cs="Palatino Linotype"/>
          <w:i/>
          <w:sz w:val="22"/>
          <w:szCs w:val="22"/>
        </w:rPr>
        <w:t xml:space="preserve"> de seguridad pública del Municipio de Coatepec Harinas: 1. Documento que acredite </w:t>
      </w:r>
      <w:proofErr w:type="spellStart"/>
      <w:r w:rsidRPr="001F1A44">
        <w:rPr>
          <w:rFonts w:ascii="Palatino Linotype" w:eastAsia="Palatino Linotype" w:hAnsi="Palatino Linotype" w:cs="Palatino Linotype"/>
          <w:i/>
          <w:sz w:val="22"/>
          <w:szCs w:val="22"/>
        </w:rPr>
        <w:t>si</w:t>
      </w:r>
      <w:proofErr w:type="spellEnd"/>
      <w:r w:rsidRPr="001F1A44">
        <w:rPr>
          <w:rFonts w:ascii="Palatino Linotype" w:eastAsia="Palatino Linotype" w:hAnsi="Palatino Linotype" w:cs="Palatino Linotype"/>
          <w:i/>
          <w:sz w:val="22"/>
          <w:szCs w:val="22"/>
        </w:rPr>
        <w:t xml:space="preserve"> estuvo incluido en la licencia oficial colectiva 139 2. Si obtuvo credencial que ampare la portación de arma que porto el comisario, 3. CUP (CERTIFICADO UNICO POLICIAL) 4. Número de procedimientos administrativos ante la contralora interna del municipio o ante la comisión de honor justicia, penales o quejas ante la comisión de derechos humanos por hostigamiento, acoso, abuso sexual. Todo esto en versión pública sustentado en los artículos 3 fracción XLV, 137, de la Ley antes citada. Esperando una respuesta favorable y de evitarnos un recurso de revisión, me sea entregado a través de este medio, quedo de usted. Me permito poner a su disposición, anexo a la plataforma </w:t>
      </w:r>
      <w:proofErr w:type="spellStart"/>
      <w:r w:rsidRPr="001F1A44">
        <w:rPr>
          <w:rFonts w:ascii="Palatino Linotype" w:eastAsia="Palatino Linotype" w:hAnsi="Palatino Linotype" w:cs="Palatino Linotype"/>
          <w:i/>
          <w:sz w:val="22"/>
          <w:szCs w:val="22"/>
        </w:rPr>
        <w:t>Saimex</w:t>
      </w:r>
      <w:proofErr w:type="spellEnd"/>
      <w:r w:rsidRPr="001F1A44">
        <w:rPr>
          <w:rFonts w:ascii="Palatino Linotype" w:eastAsia="Palatino Linotype" w:hAnsi="Palatino Linotype" w:cs="Palatino Linotype"/>
          <w:i/>
          <w:sz w:val="22"/>
          <w:szCs w:val="22"/>
        </w:rPr>
        <w:t xml:space="preserve">, el archivo en formato digital PDF de nombre Contestación 0013COATHARIP2023, con el contenido que a continuación describo: En relación </w:t>
      </w:r>
      <w:r w:rsidRPr="001F1A44">
        <w:rPr>
          <w:rFonts w:ascii="Palatino Linotype" w:eastAsia="Palatino Linotype" w:hAnsi="Palatino Linotype" w:cs="Palatino Linotype"/>
          <w:i/>
          <w:sz w:val="22"/>
          <w:szCs w:val="22"/>
        </w:rPr>
        <w:lastRenderedPageBreak/>
        <w:t>a los numerales 1, 2, y 3 de su solicitud, remito a usted oficio PMCH/DSPPCB/102/2023, de fecha 20 de abril de 2023; signado y proporcionado por el T.U.M. Francisco Xavier Orduña Pérez, Director de Seguridad Pública, Transito, Protección Civil y Bomberos de Coatepec Harinas. En relación al numeral 4 de su solicitud, remito a usted oficio CH/CM/245/2023, de fecha 20 de abril de 2023; signado y proporcionado por el Lic. Luis Alberto Millán Rubí, Contralor Municipal y; el Lic. José Manuel Enríquez Martínez, Autoridad Investigadora Adscrita a la Contraloría Municipal. En relación al numeral 4 de su solicitud, remito a usted oficio PMCH/SA/141/2023, de fecha 20 de abril de 2023; signado y proporcionado por el Lic. Erick Vergara Vélez, Vicepresidente de la Comisión Municipal de Honor y Justicia del Ayuntamiento de Coatepec Harinas. En relación al numeral 4 de su solicitud, remito a usted oficio PMCH/DMDH/0002//2023, de fecha 20 de abril de 2023; signado y proporcionado por la Lic. María del Carmen Heras Pedroza, Defensora Municipal de los Derechos Humanos de Coatepec Harinas.</w:t>
      </w:r>
    </w:p>
    <w:p w14:paraId="6E632915" w14:textId="77777777" w:rsidR="00CA45CA" w:rsidRPr="001F1A44" w:rsidRDefault="00AD389B">
      <w:pPr>
        <w:spacing w:before="240" w:after="24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ATENTAMENTE</w:t>
      </w:r>
    </w:p>
    <w:p w14:paraId="6D2BECEF" w14:textId="77777777" w:rsidR="00CA45CA" w:rsidRPr="001F1A44" w:rsidRDefault="00AD389B">
      <w:pPr>
        <w:spacing w:before="240" w:after="24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Lic. Héctor Manuel García Arriaga” (Sic) </w:t>
      </w:r>
    </w:p>
    <w:p w14:paraId="492D89BB" w14:textId="77777777" w:rsidR="00CA45CA" w:rsidRPr="001F1A44" w:rsidRDefault="00AD389B">
      <w:pPr>
        <w:spacing w:before="240" w:after="240"/>
        <w:ind w:left="567" w:right="902"/>
        <w:jc w:val="both"/>
        <w:rPr>
          <w:rFonts w:ascii="Palatino Linotype" w:eastAsia="Palatino Linotype" w:hAnsi="Palatino Linotype" w:cs="Palatino Linotype"/>
          <w:b/>
          <w:sz w:val="22"/>
          <w:szCs w:val="22"/>
        </w:rPr>
      </w:pPr>
      <w:r w:rsidRPr="001F1A44">
        <w:rPr>
          <w:rFonts w:ascii="Palatino Linotype" w:eastAsia="Palatino Linotype" w:hAnsi="Palatino Linotype" w:cs="Palatino Linotype"/>
          <w:b/>
          <w:sz w:val="22"/>
          <w:szCs w:val="22"/>
        </w:rPr>
        <w:t xml:space="preserve">Archivos adjuntos: </w:t>
      </w:r>
    </w:p>
    <w:p w14:paraId="73099CFA" w14:textId="77777777" w:rsidR="00CA45CA" w:rsidRPr="001F1A44" w:rsidRDefault="00AD389B">
      <w:pPr>
        <w:spacing w:before="240" w:after="240" w:line="360" w:lineRule="auto"/>
        <w:ind w:left="567" w:right="902"/>
        <w:jc w:val="both"/>
        <w:rPr>
          <w:rFonts w:ascii="Palatino Linotype" w:eastAsia="Palatino Linotype" w:hAnsi="Palatino Linotype" w:cs="Palatino Linotype"/>
        </w:rPr>
      </w:pPr>
      <w:r w:rsidRPr="001F1A44">
        <w:rPr>
          <w:rFonts w:ascii="Palatino Linotype" w:eastAsia="Palatino Linotype" w:hAnsi="Palatino Linotype" w:cs="Palatino Linotype"/>
          <w:b/>
          <w:i/>
          <w:sz w:val="22"/>
          <w:szCs w:val="22"/>
        </w:rPr>
        <w:t xml:space="preserve">“Contestación 0013COATHARIP2023.pdf”: </w:t>
      </w:r>
      <w:r w:rsidRPr="001F1A44">
        <w:rPr>
          <w:rFonts w:ascii="Palatino Linotype" w:eastAsia="Palatino Linotype" w:hAnsi="Palatino Linotype" w:cs="Palatino Linotype"/>
        </w:rPr>
        <w:t xml:space="preserve">Documento electrónico que se compone de cinco fojas, en el que se aprecian los pronunciamientos del Director de Seguridad Pública, Tránsito, Protección Civil y Bomberos, Contralor Municipal, Vicepresidente de la Comisión Municipal de Honor y Justicia y Defensora Municipal de los Derechos Humanos, quienes medularmente refieren lo siguiente: </w:t>
      </w:r>
    </w:p>
    <w:p w14:paraId="52D81F0D" w14:textId="77777777" w:rsidR="00CA45CA" w:rsidRPr="001F1A44" w:rsidRDefault="00AD389B">
      <w:pPr>
        <w:spacing w:before="240" w:after="240" w:line="360" w:lineRule="auto"/>
        <w:ind w:left="567" w:right="902"/>
        <w:jc w:val="both"/>
        <w:rPr>
          <w:rFonts w:ascii="Palatino Linotype" w:eastAsia="Palatino Linotype" w:hAnsi="Palatino Linotype" w:cs="Palatino Linotype"/>
        </w:rPr>
      </w:pPr>
      <w:r w:rsidRPr="001F1A44">
        <w:rPr>
          <w:rFonts w:ascii="Palatino Linotype" w:eastAsia="Palatino Linotype" w:hAnsi="Palatino Linotype" w:cs="Palatino Linotype"/>
          <w:noProof/>
          <w:lang w:val="es-MX"/>
        </w:rPr>
        <w:drawing>
          <wp:inline distT="0" distB="0" distL="0" distR="0" wp14:anchorId="4DB68E37" wp14:editId="6F7AAEB7">
            <wp:extent cx="5052841" cy="803456"/>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052841" cy="803456"/>
                    </a:xfrm>
                    <a:prstGeom prst="rect">
                      <a:avLst/>
                    </a:prstGeom>
                    <a:ln/>
                  </pic:spPr>
                </pic:pic>
              </a:graphicData>
            </a:graphic>
          </wp:inline>
        </w:drawing>
      </w:r>
    </w:p>
    <w:p w14:paraId="482C15DB" w14:textId="77777777" w:rsidR="00CA45CA" w:rsidRPr="001F1A44" w:rsidRDefault="00AD389B">
      <w:pPr>
        <w:spacing w:before="240" w:after="240" w:line="360" w:lineRule="auto"/>
        <w:ind w:left="567" w:right="902"/>
        <w:jc w:val="center"/>
        <w:rPr>
          <w:rFonts w:ascii="Palatino Linotype" w:eastAsia="Palatino Linotype" w:hAnsi="Palatino Linotype" w:cs="Palatino Linotype"/>
        </w:rPr>
      </w:pPr>
      <w:r w:rsidRPr="001F1A44">
        <w:rPr>
          <w:rFonts w:ascii="Palatino Linotype" w:eastAsia="Palatino Linotype" w:hAnsi="Palatino Linotype" w:cs="Palatino Linotype"/>
          <w:noProof/>
          <w:lang w:val="es-MX"/>
        </w:rPr>
        <w:lastRenderedPageBreak/>
        <w:drawing>
          <wp:inline distT="0" distB="0" distL="0" distR="0" wp14:anchorId="508DA169" wp14:editId="64760798">
            <wp:extent cx="4186642" cy="3540028"/>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4186642" cy="3540028"/>
                    </a:xfrm>
                    <a:prstGeom prst="rect">
                      <a:avLst/>
                    </a:prstGeom>
                    <a:ln/>
                  </pic:spPr>
                </pic:pic>
              </a:graphicData>
            </a:graphic>
          </wp:inline>
        </w:drawing>
      </w:r>
    </w:p>
    <w:p w14:paraId="5E4F4E1F" w14:textId="77777777" w:rsidR="00CA45CA" w:rsidRPr="001F1A44" w:rsidRDefault="00AD389B">
      <w:pPr>
        <w:spacing w:before="240" w:after="240" w:line="360" w:lineRule="auto"/>
        <w:ind w:left="567" w:right="902"/>
        <w:jc w:val="center"/>
        <w:rPr>
          <w:rFonts w:ascii="Palatino Linotype" w:eastAsia="Palatino Linotype" w:hAnsi="Palatino Linotype" w:cs="Palatino Linotype"/>
        </w:rPr>
      </w:pPr>
      <w:r w:rsidRPr="001F1A44">
        <w:rPr>
          <w:rFonts w:ascii="Palatino Linotype" w:eastAsia="Palatino Linotype" w:hAnsi="Palatino Linotype" w:cs="Palatino Linotype"/>
          <w:noProof/>
          <w:lang w:val="es-MX"/>
        </w:rPr>
        <w:drawing>
          <wp:inline distT="0" distB="0" distL="0" distR="0" wp14:anchorId="1F0E32E1" wp14:editId="7EC2A159">
            <wp:extent cx="4295923" cy="3455898"/>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4295923" cy="3455898"/>
                    </a:xfrm>
                    <a:prstGeom prst="rect">
                      <a:avLst/>
                    </a:prstGeom>
                    <a:ln/>
                  </pic:spPr>
                </pic:pic>
              </a:graphicData>
            </a:graphic>
          </wp:inline>
        </w:drawing>
      </w:r>
    </w:p>
    <w:p w14:paraId="2374D3C1" w14:textId="77777777" w:rsidR="00CA45CA" w:rsidRPr="001F1A44" w:rsidRDefault="00AD389B">
      <w:pPr>
        <w:spacing w:before="240" w:after="240"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b/>
        </w:rPr>
        <w:lastRenderedPageBreak/>
        <w:t xml:space="preserve">3. Interposición del recurso de revisión. </w:t>
      </w:r>
      <w:r w:rsidRPr="001F1A44">
        <w:rPr>
          <w:rFonts w:ascii="Palatino Linotype" w:eastAsia="Palatino Linotype" w:hAnsi="Palatino Linotype" w:cs="Palatino Linotype"/>
        </w:rPr>
        <w:t xml:space="preserve">Inconforme con los términos de la respuesta emitida por parte del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el </w:t>
      </w:r>
      <w:r w:rsidRPr="001F1A44">
        <w:rPr>
          <w:rFonts w:ascii="Palatino Linotype" w:eastAsia="Palatino Linotype" w:hAnsi="Palatino Linotype" w:cs="Palatino Linotype"/>
          <w:b/>
        </w:rPr>
        <w:t>veintiséis de abril de dos mil veintitrés,</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interpuso el recurso de revisión a través de </w:t>
      </w:r>
      <w:r w:rsidRPr="001F1A44">
        <w:rPr>
          <w:rFonts w:ascii="Palatino Linotype" w:eastAsia="Palatino Linotype" w:hAnsi="Palatino Linotype" w:cs="Palatino Linotype"/>
          <w:b/>
        </w:rPr>
        <w:t xml:space="preserve">SAIMEX, </w:t>
      </w:r>
      <w:r w:rsidRPr="001F1A44">
        <w:rPr>
          <w:rFonts w:ascii="Palatino Linotype" w:eastAsia="Palatino Linotype" w:hAnsi="Palatino Linotype" w:cs="Palatino Linotype"/>
        </w:rPr>
        <w:t>en donde se manifestó de la siguiente manera:</w:t>
      </w:r>
    </w:p>
    <w:p w14:paraId="53EC5A72" w14:textId="77777777" w:rsidR="00CA45CA" w:rsidRPr="001F1A44" w:rsidRDefault="00AD389B">
      <w:pPr>
        <w:tabs>
          <w:tab w:val="left" w:pos="2745"/>
        </w:tabs>
        <w:spacing w:before="240"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a) Acto impugnado: </w:t>
      </w:r>
      <w:r w:rsidRPr="001F1A44">
        <w:rPr>
          <w:rFonts w:ascii="Palatino Linotype" w:eastAsia="Palatino Linotype" w:hAnsi="Palatino Linotype" w:cs="Palatino Linotype"/>
          <w:b/>
        </w:rPr>
        <w:tab/>
      </w:r>
    </w:p>
    <w:p w14:paraId="2D569E42" w14:textId="77777777" w:rsidR="00CA45CA" w:rsidRPr="001F1A44" w:rsidRDefault="00AD389B">
      <w:pPr>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“La Negativa a la información, aludiendo que se debe escribir el Nombre.” (Sic)</w:t>
      </w:r>
    </w:p>
    <w:p w14:paraId="6F021175" w14:textId="77777777" w:rsidR="00CA45CA" w:rsidRPr="001F1A44" w:rsidRDefault="00CA45CA">
      <w:pPr>
        <w:ind w:left="851" w:right="902"/>
        <w:jc w:val="both"/>
        <w:rPr>
          <w:rFonts w:ascii="Palatino Linotype" w:eastAsia="Palatino Linotype" w:hAnsi="Palatino Linotype" w:cs="Palatino Linotype"/>
          <w:i/>
          <w:sz w:val="22"/>
          <w:szCs w:val="22"/>
        </w:rPr>
      </w:pPr>
    </w:p>
    <w:p w14:paraId="3D649A48"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b) Razones o motivos de inconformidad</w:t>
      </w:r>
      <w:r w:rsidRPr="001F1A44">
        <w:rPr>
          <w:rFonts w:ascii="Palatino Linotype" w:eastAsia="Palatino Linotype" w:hAnsi="Palatino Linotype" w:cs="Palatino Linotype"/>
        </w:rPr>
        <w:t>:</w:t>
      </w:r>
    </w:p>
    <w:p w14:paraId="577FA1D5" w14:textId="77777777" w:rsidR="00CA45CA" w:rsidRPr="001F1A44" w:rsidRDefault="00AD389B">
      <w:pPr>
        <w:ind w:left="567" w:right="902"/>
        <w:jc w:val="both"/>
        <w:rPr>
          <w:rFonts w:ascii="Palatino Linotype" w:eastAsia="Palatino Linotype" w:hAnsi="Palatino Linotype" w:cs="Palatino Linotype"/>
          <w:i/>
          <w:sz w:val="22"/>
          <w:szCs w:val="22"/>
        </w:rPr>
      </w:pPr>
      <w:bookmarkStart w:id="3" w:name="_heading=h.30j0zll" w:colFirst="0" w:colLast="0"/>
      <w:bookmarkEnd w:id="3"/>
      <w:r w:rsidRPr="001F1A44">
        <w:rPr>
          <w:rFonts w:ascii="Palatino Linotype" w:eastAsia="Palatino Linotype" w:hAnsi="Palatino Linotype" w:cs="Palatino Linotype"/>
          <w:i/>
          <w:sz w:val="22"/>
          <w:szCs w:val="22"/>
        </w:rPr>
        <w:t xml:space="preserve"> “Toda vez que se solicita la información del exdirector de seguridad </w:t>
      </w:r>
      <w:proofErr w:type="spellStart"/>
      <w:r w:rsidRPr="001F1A44">
        <w:rPr>
          <w:rFonts w:ascii="Palatino Linotype" w:eastAsia="Palatino Linotype" w:hAnsi="Palatino Linotype" w:cs="Palatino Linotype"/>
          <w:i/>
          <w:sz w:val="22"/>
          <w:szCs w:val="22"/>
        </w:rPr>
        <w:t>publica</w:t>
      </w:r>
      <w:proofErr w:type="spellEnd"/>
      <w:r w:rsidRPr="001F1A44">
        <w:rPr>
          <w:rFonts w:ascii="Palatino Linotype" w:eastAsia="Palatino Linotype" w:hAnsi="Palatino Linotype" w:cs="Palatino Linotype"/>
          <w:i/>
          <w:sz w:val="22"/>
          <w:szCs w:val="22"/>
        </w:rPr>
        <w:t xml:space="preserve"> es de notoriedad obvia que hace un mes se quedaron sin comisario, tal y como se observa en su directorio del Ayuntamiento de Coatepec, es así que en su contestación aluden a toda intención de proteger y fingir no saber a </w:t>
      </w:r>
      <w:proofErr w:type="spellStart"/>
      <w:r w:rsidRPr="001F1A44">
        <w:rPr>
          <w:rFonts w:ascii="Palatino Linotype" w:eastAsia="Palatino Linotype" w:hAnsi="Palatino Linotype" w:cs="Palatino Linotype"/>
          <w:i/>
          <w:sz w:val="22"/>
          <w:szCs w:val="22"/>
        </w:rPr>
        <w:t>que</w:t>
      </w:r>
      <w:proofErr w:type="spellEnd"/>
      <w:r w:rsidRPr="001F1A44">
        <w:rPr>
          <w:rFonts w:ascii="Palatino Linotype" w:eastAsia="Palatino Linotype" w:hAnsi="Palatino Linotype" w:cs="Palatino Linotype"/>
          <w:i/>
          <w:sz w:val="22"/>
          <w:szCs w:val="22"/>
        </w:rPr>
        <w:t xml:space="preserve"> </w:t>
      </w:r>
      <w:proofErr w:type="spellStart"/>
      <w:r w:rsidRPr="001F1A44">
        <w:rPr>
          <w:rFonts w:ascii="Palatino Linotype" w:eastAsia="Palatino Linotype" w:hAnsi="Palatino Linotype" w:cs="Palatino Linotype"/>
          <w:i/>
          <w:sz w:val="22"/>
          <w:szCs w:val="22"/>
        </w:rPr>
        <w:t>excomisario</w:t>
      </w:r>
      <w:proofErr w:type="spellEnd"/>
      <w:r w:rsidRPr="001F1A44">
        <w:rPr>
          <w:rFonts w:ascii="Palatino Linotype" w:eastAsia="Palatino Linotype" w:hAnsi="Palatino Linotype" w:cs="Palatino Linotype"/>
          <w:i/>
          <w:sz w:val="22"/>
          <w:szCs w:val="22"/>
        </w:rPr>
        <w:t>, a sabiendas que se trata de esta administración.”</w:t>
      </w:r>
      <w:r w:rsidRPr="001F1A44">
        <w:rPr>
          <w:rFonts w:ascii="Palatino Linotype" w:eastAsia="Palatino Linotype" w:hAnsi="Palatino Linotype" w:cs="Palatino Linotype"/>
          <w:b/>
          <w:i/>
          <w:sz w:val="22"/>
          <w:szCs w:val="22"/>
        </w:rPr>
        <w:t xml:space="preserve"> </w:t>
      </w:r>
      <w:r w:rsidRPr="001F1A44">
        <w:rPr>
          <w:rFonts w:ascii="Palatino Linotype" w:eastAsia="Palatino Linotype" w:hAnsi="Palatino Linotype" w:cs="Palatino Linotype"/>
          <w:i/>
          <w:sz w:val="22"/>
          <w:szCs w:val="22"/>
        </w:rPr>
        <w:t xml:space="preserve">(Sic) </w:t>
      </w:r>
    </w:p>
    <w:p w14:paraId="567054E0" w14:textId="77777777" w:rsidR="00CA45CA" w:rsidRPr="001F1A44" w:rsidRDefault="00CA45CA">
      <w:pPr>
        <w:ind w:left="567" w:right="902"/>
        <w:jc w:val="both"/>
        <w:rPr>
          <w:rFonts w:ascii="Palatino Linotype" w:eastAsia="Palatino Linotype" w:hAnsi="Palatino Linotype" w:cs="Palatino Linotype"/>
          <w:i/>
          <w:sz w:val="22"/>
          <w:szCs w:val="22"/>
        </w:rPr>
      </w:pPr>
    </w:p>
    <w:p w14:paraId="2E74EFD1" w14:textId="77777777" w:rsidR="00CA45CA" w:rsidRPr="001F1A44" w:rsidRDefault="00CA45CA">
      <w:pPr>
        <w:ind w:left="851" w:right="902"/>
        <w:jc w:val="both"/>
        <w:rPr>
          <w:rFonts w:ascii="Palatino Linotype" w:eastAsia="Palatino Linotype" w:hAnsi="Palatino Linotype" w:cs="Palatino Linotype"/>
          <w:i/>
          <w:sz w:val="22"/>
          <w:szCs w:val="22"/>
        </w:rPr>
      </w:pPr>
    </w:p>
    <w:p w14:paraId="5720E19E" w14:textId="77777777" w:rsidR="00CA45CA" w:rsidRPr="001F1A44" w:rsidRDefault="00AD389B">
      <w:pPr>
        <w:spacing w:line="360" w:lineRule="auto"/>
        <w:ind w:right="51"/>
        <w:jc w:val="both"/>
        <w:rPr>
          <w:rFonts w:ascii="Palatino Linotype" w:eastAsia="Palatino Linotype" w:hAnsi="Palatino Linotype" w:cs="Palatino Linotype"/>
        </w:rPr>
      </w:pPr>
      <w:r w:rsidRPr="001F1A44">
        <w:rPr>
          <w:rFonts w:ascii="Palatino Linotype" w:eastAsia="Palatino Linotype" w:hAnsi="Palatino Linotype" w:cs="Palatino Linotype"/>
          <w:b/>
        </w:rPr>
        <w:t xml:space="preserve">4. Turno. </w:t>
      </w:r>
      <w:r w:rsidRPr="001F1A4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1F1A44">
        <w:rPr>
          <w:rFonts w:ascii="Palatino Linotype" w:eastAsia="Palatino Linotype" w:hAnsi="Palatino Linotype" w:cs="Palatino Linotype"/>
          <w:b/>
        </w:rPr>
        <w:t>Comisionada</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 xml:space="preserve">Guadalupe Ramírez Peña, </w:t>
      </w:r>
      <w:r w:rsidRPr="001F1A44">
        <w:rPr>
          <w:rFonts w:ascii="Palatino Linotype" w:eastAsia="Palatino Linotype" w:hAnsi="Palatino Linotype" w:cs="Palatino Linotype"/>
        </w:rPr>
        <w:t xml:space="preserve">a efecto de que analizara sobre su admisión o su </w:t>
      </w:r>
      <w:proofErr w:type="spellStart"/>
      <w:r w:rsidRPr="001F1A44">
        <w:rPr>
          <w:rFonts w:ascii="Palatino Linotype" w:eastAsia="Palatino Linotype" w:hAnsi="Palatino Linotype" w:cs="Palatino Linotype"/>
        </w:rPr>
        <w:t>desechamiento</w:t>
      </w:r>
      <w:proofErr w:type="spellEnd"/>
      <w:r w:rsidRPr="001F1A44">
        <w:rPr>
          <w:rFonts w:ascii="Palatino Linotype" w:eastAsia="Palatino Linotype" w:hAnsi="Palatino Linotype" w:cs="Palatino Linotype"/>
        </w:rPr>
        <w:t>.</w:t>
      </w:r>
    </w:p>
    <w:p w14:paraId="237C492F" w14:textId="77777777" w:rsidR="00CA45CA" w:rsidRPr="001F1A44" w:rsidRDefault="00CA45CA">
      <w:pPr>
        <w:spacing w:line="360" w:lineRule="auto"/>
        <w:ind w:right="51"/>
        <w:jc w:val="both"/>
        <w:rPr>
          <w:rFonts w:ascii="Palatino Linotype" w:eastAsia="Palatino Linotype" w:hAnsi="Palatino Linotype" w:cs="Palatino Linotype"/>
        </w:rPr>
      </w:pPr>
    </w:p>
    <w:p w14:paraId="7210614B" w14:textId="77777777" w:rsidR="00CA45CA" w:rsidRPr="001F1A44" w:rsidRDefault="00AD389B">
      <w:pPr>
        <w:spacing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5. Admisión del Recurso de Revisión.</w:t>
      </w:r>
      <w:r w:rsidRPr="001F1A44">
        <w:rPr>
          <w:rFonts w:ascii="Palatino Linotype" w:eastAsia="Palatino Linotype" w:hAnsi="Palatino Linotype" w:cs="Palatino Linotype"/>
        </w:rPr>
        <w:t xml:space="preserve"> El</w:t>
      </w:r>
      <w:r w:rsidRPr="001F1A44">
        <w:rPr>
          <w:rFonts w:ascii="Palatino Linotype" w:eastAsia="Palatino Linotype" w:hAnsi="Palatino Linotype" w:cs="Palatino Linotype"/>
          <w:b/>
        </w:rPr>
        <w:t xml:space="preserve"> dos de mayo de dos mil veintitrés, </w:t>
      </w:r>
      <w:r w:rsidRPr="001F1A4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w:t>
      </w:r>
      <w:r w:rsidRPr="001F1A44">
        <w:rPr>
          <w:rFonts w:ascii="Palatino Linotype" w:eastAsia="Palatino Linotype" w:hAnsi="Palatino Linotype" w:cs="Palatino Linotype"/>
        </w:rPr>
        <w:lastRenderedPageBreak/>
        <w:t xml:space="preserve">que las partes manifestaran lo que a su derecho resultara conveniente, ofrecieran pruebas, formularan alegatos y el </w:t>
      </w:r>
      <w:r w:rsidRPr="001F1A44">
        <w:rPr>
          <w:rFonts w:ascii="Palatino Linotype" w:eastAsia="Palatino Linotype" w:hAnsi="Palatino Linotype" w:cs="Palatino Linotype"/>
          <w:b/>
        </w:rPr>
        <w:t xml:space="preserve">Sujeto Obligado </w:t>
      </w:r>
      <w:r w:rsidRPr="001F1A44">
        <w:rPr>
          <w:rFonts w:ascii="Palatino Linotype" w:eastAsia="Palatino Linotype" w:hAnsi="Palatino Linotype" w:cs="Palatino Linotype"/>
        </w:rPr>
        <w:t>presentara su informe justificado.</w:t>
      </w:r>
    </w:p>
    <w:p w14:paraId="7971768D" w14:textId="77777777" w:rsidR="00CA45CA" w:rsidRPr="001F1A44" w:rsidRDefault="00AD389B">
      <w:pPr>
        <w:spacing w:after="240" w:line="360" w:lineRule="auto"/>
        <w:jc w:val="both"/>
        <w:rPr>
          <w:rFonts w:ascii="Palatino Linotype" w:eastAsia="Palatino Linotype" w:hAnsi="Palatino Linotype" w:cs="Palatino Linotype"/>
        </w:rPr>
      </w:pPr>
      <w:bookmarkStart w:id="4" w:name="_heading=h.2s8eyo1" w:colFirst="0" w:colLast="0"/>
      <w:bookmarkEnd w:id="4"/>
      <w:r w:rsidRPr="001F1A44">
        <w:rPr>
          <w:rFonts w:ascii="Palatino Linotype" w:eastAsia="Palatino Linotype" w:hAnsi="Palatino Linotype" w:cs="Palatino Linotype"/>
          <w:b/>
        </w:rPr>
        <w:t>6. Manifestaciones</w:t>
      </w:r>
      <w:r w:rsidRPr="001F1A44">
        <w:rPr>
          <w:rFonts w:ascii="Palatino Linotype" w:eastAsia="Palatino Linotype" w:hAnsi="Palatino Linotype" w:cs="Palatino Linotype"/>
        </w:rPr>
        <w:t xml:space="preserve">. Durante este plazo, se tiene constancia que el </w:t>
      </w:r>
      <w:r w:rsidRPr="001F1A44">
        <w:rPr>
          <w:rFonts w:ascii="Palatino Linotype" w:eastAsia="Palatino Linotype" w:hAnsi="Palatino Linotype" w:cs="Palatino Linotype"/>
          <w:b/>
        </w:rPr>
        <w:t>tres de mayo de dos mil veintitrés</w:t>
      </w:r>
      <w:r w:rsidRPr="001F1A44">
        <w:rPr>
          <w:rFonts w:ascii="Palatino Linotype" w:eastAsia="Palatino Linotype" w:hAnsi="Palatino Linotype" w:cs="Palatino Linotype"/>
        </w:rPr>
        <w:t xml:space="preserve">,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remitió su informe justificado mediante el archivo electrónico “</w:t>
      </w:r>
      <w:r w:rsidRPr="001F1A44">
        <w:rPr>
          <w:rFonts w:ascii="Palatino Linotype" w:eastAsia="Palatino Linotype" w:hAnsi="Palatino Linotype" w:cs="Palatino Linotype"/>
          <w:b/>
          <w:i/>
        </w:rPr>
        <w:t xml:space="preserve">Contestación REC REV 02219.pdf”, </w:t>
      </w:r>
      <w:r w:rsidRPr="001F1A44">
        <w:rPr>
          <w:rFonts w:ascii="Palatino Linotype" w:eastAsia="Palatino Linotype" w:hAnsi="Palatino Linotype" w:cs="Palatino Linotype"/>
        </w:rPr>
        <w:t xml:space="preserve">el cual se compone de tres fojas y medularmente refiere que con la información proporcionada hasta el recurso de revisión, se puede incitar al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a inferir o a adivinar respecto a qué servidor público hace referencia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en tal sentido, una vez analizada esta documentación, es de señalar que este Organismo Garante determinó ponerla a disposición de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mediante acuerdo signado por la Comisionada Ponente, el </w:t>
      </w:r>
      <w:r w:rsidRPr="001F1A44">
        <w:rPr>
          <w:rFonts w:ascii="Palatino Linotype" w:eastAsia="Palatino Linotype" w:hAnsi="Palatino Linotype" w:cs="Palatino Linotype"/>
          <w:b/>
        </w:rPr>
        <w:t>veintiocho de noviembre de dos mil veintitrés</w:t>
      </w:r>
      <w:r w:rsidRPr="001F1A44">
        <w:rPr>
          <w:rFonts w:ascii="Palatino Linotype" w:eastAsia="Palatino Linotype" w:hAnsi="Palatino Linotype" w:cs="Palatino Linotype"/>
        </w:rPr>
        <w:t>. No se omite señalar que la persona solicitante omitió manifestarse durante el plazo establecido para tal efecto.</w:t>
      </w:r>
    </w:p>
    <w:p w14:paraId="10DDE641" w14:textId="77777777" w:rsidR="00CA45CA" w:rsidRPr="001F1A44" w:rsidRDefault="00AD389B">
      <w:pPr>
        <w:spacing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noProof/>
          <w:lang w:val="es-MX"/>
        </w:rPr>
        <w:drawing>
          <wp:inline distT="0" distB="0" distL="0" distR="0" wp14:anchorId="0BB4DBB4" wp14:editId="345D5259">
            <wp:extent cx="5612130" cy="208216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2082165"/>
                    </a:xfrm>
                    <a:prstGeom prst="rect">
                      <a:avLst/>
                    </a:prstGeom>
                    <a:ln/>
                  </pic:spPr>
                </pic:pic>
              </a:graphicData>
            </a:graphic>
          </wp:inline>
        </w:drawing>
      </w:r>
    </w:p>
    <w:p w14:paraId="2BD6F5CD" w14:textId="77777777" w:rsidR="00CA45CA" w:rsidRPr="001F1A44" w:rsidRDefault="00AD389B">
      <w:pPr>
        <w:widowControl w:val="0"/>
        <w:spacing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7.</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Ampliación del término para resolver</w:t>
      </w:r>
      <w:r w:rsidRPr="001F1A44">
        <w:rPr>
          <w:rFonts w:ascii="Palatino Linotype" w:eastAsia="Palatino Linotype" w:hAnsi="Palatino Linotype" w:cs="Palatino Linotype"/>
        </w:rPr>
        <w:t xml:space="preserve">. El </w:t>
      </w:r>
      <w:r w:rsidRPr="001F1A44">
        <w:rPr>
          <w:rFonts w:ascii="Palatino Linotype" w:eastAsia="Palatino Linotype" w:hAnsi="Palatino Linotype" w:cs="Palatino Linotype"/>
          <w:b/>
        </w:rPr>
        <w:t xml:space="preserve">veintiocho de noviembre del año dos </w:t>
      </w:r>
      <w:r w:rsidRPr="001F1A44">
        <w:rPr>
          <w:rFonts w:ascii="Palatino Linotype" w:eastAsia="Palatino Linotype" w:hAnsi="Palatino Linotype" w:cs="Palatino Linotype"/>
          <w:b/>
        </w:rPr>
        <w:lastRenderedPageBreak/>
        <w:t>mil veintitrés</w:t>
      </w:r>
      <w:r w:rsidRPr="001F1A44">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0A07710"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704867D" w14:textId="77777777" w:rsidR="00CA45CA" w:rsidRPr="001F1A44" w:rsidRDefault="00CA45CA">
      <w:pPr>
        <w:spacing w:line="360" w:lineRule="auto"/>
        <w:jc w:val="both"/>
        <w:rPr>
          <w:rFonts w:ascii="Palatino Linotype" w:eastAsia="Palatino Linotype" w:hAnsi="Palatino Linotype" w:cs="Palatino Linotype"/>
        </w:rPr>
      </w:pPr>
    </w:p>
    <w:p w14:paraId="63A855FB"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BF75F97" w14:textId="77777777" w:rsidR="00CA45CA" w:rsidRPr="001F1A44" w:rsidRDefault="00CA45CA">
      <w:pPr>
        <w:spacing w:line="360" w:lineRule="auto"/>
        <w:jc w:val="both"/>
        <w:rPr>
          <w:rFonts w:ascii="Palatino Linotype" w:eastAsia="Palatino Linotype" w:hAnsi="Palatino Linotype" w:cs="Palatino Linotype"/>
        </w:rPr>
      </w:pPr>
    </w:p>
    <w:p w14:paraId="6C1B02CA"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46DE8A" w14:textId="77777777" w:rsidR="00CA45CA" w:rsidRPr="001F1A44" w:rsidRDefault="00CA45CA">
      <w:pPr>
        <w:spacing w:line="360" w:lineRule="auto"/>
        <w:jc w:val="both"/>
        <w:rPr>
          <w:rFonts w:ascii="Palatino Linotype" w:eastAsia="Palatino Linotype" w:hAnsi="Palatino Linotype" w:cs="Palatino Linotype"/>
        </w:rPr>
      </w:pPr>
    </w:p>
    <w:p w14:paraId="30D44859"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1F1A44">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5AE84D9B" w14:textId="77777777" w:rsidR="00CA45CA" w:rsidRPr="001F1A44" w:rsidRDefault="00CA45CA">
      <w:pPr>
        <w:spacing w:line="360" w:lineRule="auto"/>
        <w:jc w:val="both"/>
        <w:rPr>
          <w:rFonts w:ascii="Palatino Linotype" w:eastAsia="Palatino Linotype" w:hAnsi="Palatino Linotype" w:cs="Palatino Linotype"/>
        </w:rPr>
      </w:pPr>
    </w:p>
    <w:p w14:paraId="1CF613E5" w14:textId="77777777" w:rsidR="00CA45CA" w:rsidRPr="001F1A44" w:rsidRDefault="00AD389B">
      <w:pPr>
        <w:spacing w:line="360" w:lineRule="auto"/>
        <w:jc w:val="both"/>
        <w:rPr>
          <w:rFonts w:ascii="Palatino Linotype" w:eastAsia="Palatino Linotype" w:hAnsi="Palatino Linotype" w:cs="Palatino Linotype"/>
          <w:strike/>
        </w:rPr>
      </w:pPr>
      <w:r w:rsidRPr="001F1A4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765F0D7" w14:textId="77777777" w:rsidR="00CA45CA" w:rsidRPr="001F1A44" w:rsidRDefault="00CA45CA">
      <w:pPr>
        <w:spacing w:line="360" w:lineRule="auto"/>
        <w:jc w:val="both"/>
        <w:rPr>
          <w:rFonts w:ascii="Palatino Linotype" w:eastAsia="Palatino Linotype" w:hAnsi="Palatino Linotype" w:cs="Palatino Linotype"/>
        </w:rPr>
      </w:pPr>
    </w:p>
    <w:p w14:paraId="0CD527DF" w14:textId="77777777" w:rsidR="00CA45CA" w:rsidRPr="001F1A44" w:rsidRDefault="00AD389B">
      <w:pPr>
        <w:numPr>
          <w:ilvl w:val="0"/>
          <w:numId w:val="10"/>
        </w:numPr>
        <w:spacing w:line="360" w:lineRule="auto"/>
        <w:ind w:left="567" w:right="900" w:hanging="141"/>
        <w:jc w:val="both"/>
        <w:rPr>
          <w:rFonts w:ascii="Palatino Linotype" w:eastAsia="Palatino Linotype" w:hAnsi="Palatino Linotype" w:cs="Palatino Linotype"/>
        </w:rPr>
      </w:pPr>
      <w:r w:rsidRPr="001F1A44">
        <w:rPr>
          <w:rFonts w:ascii="Palatino Linotype" w:eastAsia="Palatino Linotype" w:hAnsi="Palatino Linotype" w:cs="Palatino Linotype"/>
          <w:b/>
        </w:rPr>
        <w:t>Complejidad del Asunto:</w:t>
      </w:r>
      <w:r w:rsidRPr="001F1A44">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68675F97" w14:textId="77777777" w:rsidR="00CA45CA" w:rsidRPr="001F1A44" w:rsidRDefault="00CA45CA">
      <w:pPr>
        <w:spacing w:line="360" w:lineRule="auto"/>
        <w:ind w:left="567" w:right="900" w:hanging="141"/>
        <w:jc w:val="both"/>
        <w:rPr>
          <w:rFonts w:ascii="Palatino Linotype" w:eastAsia="Palatino Linotype" w:hAnsi="Palatino Linotype" w:cs="Palatino Linotype"/>
          <w:b/>
        </w:rPr>
      </w:pPr>
    </w:p>
    <w:p w14:paraId="60CB0BEE" w14:textId="77777777" w:rsidR="00CA45CA" w:rsidRPr="001F1A44" w:rsidRDefault="00AD389B">
      <w:pPr>
        <w:numPr>
          <w:ilvl w:val="0"/>
          <w:numId w:val="10"/>
        </w:numPr>
        <w:spacing w:line="360" w:lineRule="auto"/>
        <w:ind w:left="567" w:right="900" w:hanging="141"/>
        <w:jc w:val="both"/>
        <w:rPr>
          <w:rFonts w:ascii="Palatino Linotype" w:eastAsia="Palatino Linotype" w:hAnsi="Palatino Linotype" w:cs="Palatino Linotype"/>
        </w:rPr>
      </w:pPr>
      <w:r w:rsidRPr="001F1A44">
        <w:rPr>
          <w:rFonts w:ascii="Palatino Linotype" w:eastAsia="Palatino Linotype" w:hAnsi="Palatino Linotype" w:cs="Palatino Linotype"/>
          <w:b/>
        </w:rPr>
        <w:t>Actividad Procesal del interesado.</w:t>
      </w:r>
      <w:r w:rsidRPr="001F1A44">
        <w:rPr>
          <w:rFonts w:ascii="Palatino Linotype" w:eastAsia="Palatino Linotype" w:hAnsi="Palatino Linotype" w:cs="Palatino Linotype"/>
        </w:rPr>
        <w:t xml:space="preserve"> Acciones u omisiones del interesado.</w:t>
      </w:r>
    </w:p>
    <w:p w14:paraId="68958EC3" w14:textId="77777777" w:rsidR="00CA45CA" w:rsidRPr="001F1A44" w:rsidRDefault="00CA45CA">
      <w:pPr>
        <w:spacing w:line="360" w:lineRule="auto"/>
        <w:ind w:left="567" w:right="900" w:hanging="141"/>
        <w:jc w:val="both"/>
        <w:rPr>
          <w:rFonts w:ascii="Palatino Linotype" w:eastAsia="Palatino Linotype" w:hAnsi="Palatino Linotype" w:cs="Palatino Linotype"/>
        </w:rPr>
      </w:pPr>
    </w:p>
    <w:p w14:paraId="4C92BEDB" w14:textId="77777777" w:rsidR="00CA45CA" w:rsidRPr="001F1A44" w:rsidRDefault="00AD389B">
      <w:pPr>
        <w:numPr>
          <w:ilvl w:val="0"/>
          <w:numId w:val="10"/>
        </w:numPr>
        <w:spacing w:line="360" w:lineRule="auto"/>
        <w:ind w:left="567" w:right="900" w:hanging="141"/>
        <w:jc w:val="both"/>
        <w:rPr>
          <w:rFonts w:ascii="Palatino Linotype" w:eastAsia="Palatino Linotype" w:hAnsi="Palatino Linotype" w:cs="Palatino Linotype"/>
        </w:rPr>
      </w:pPr>
      <w:r w:rsidRPr="001F1A44">
        <w:rPr>
          <w:rFonts w:ascii="Palatino Linotype" w:eastAsia="Palatino Linotype" w:hAnsi="Palatino Linotype" w:cs="Palatino Linotype"/>
          <w:b/>
        </w:rPr>
        <w:t>Conducta de la Autoridad:</w:t>
      </w:r>
      <w:r w:rsidRPr="001F1A44">
        <w:rPr>
          <w:rFonts w:ascii="Palatino Linotype" w:eastAsia="Palatino Linotype" w:hAnsi="Palatino Linotype" w:cs="Palatino Linotype"/>
        </w:rPr>
        <w:t xml:space="preserve"> Las Acciones u omisiones realizadas en el procedimiento. Así como si la autoridad actuó con la debida diligencia.</w:t>
      </w:r>
    </w:p>
    <w:p w14:paraId="34B0C69A" w14:textId="77777777" w:rsidR="00CA45CA" w:rsidRPr="001F1A44" w:rsidRDefault="00CA45CA">
      <w:pPr>
        <w:spacing w:line="360" w:lineRule="auto"/>
        <w:ind w:left="567" w:right="900" w:hanging="141"/>
        <w:rPr>
          <w:rFonts w:ascii="Palatino Linotype" w:eastAsia="Palatino Linotype" w:hAnsi="Palatino Linotype" w:cs="Palatino Linotype"/>
        </w:rPr>
      </w:pPr>
    </w:p>
    <w:p w14:paraId="7CBFE320" w14:textId="77777777" w:rsidR="00CA45CA" w:rsidRPr="001F1A44" w:rsidRDefault="00AD389B">
      <w:pPr>
        <w:spacing w:line="360" w:lineRule="auto"/>
        <w:ind w:left="567" w:right="900" w:hanging="141"/>
        <w:jc w:val="both"/>
        <w:rPr>
          <w:rFonts w:ascii="Palatino Linotype" w:eastAsia="Palatino Linotype" w:hAnsi="Palatino Linotype" w:cs="Palatino Linotype"/>
        </w:rPr>
      </w:pPr>
      <w:r w:rsidRPr="001F1A44">
        <w:rPr>
          <w:rFonts w:ascii="Palatino Linotype" w:eastAsia="Palatino Linotype" w:hAnsi="Palatino Linotype" w:cs="Palatino Linotype"/>
          <w:b/>
        </w:rPr>
        <w:t>d) La afectación generada en la situación jurídica de la persona involucrada en el proceso</w:t>
      </w:r>
      <w:r w:rsidRPr="001F1A44">
        <w:rPr>
          <w:rFonts w:ascii="Palatino Linotype" w:eastAsia="Palatino Linotype" w:hAnsi="Palatino Linotype" w:cs="Palatino Linotype"/>
        </w:rPr>
        <w:t>: Violación a sus derechos humanos.</w:t>
      </w:r>
    </w:p>
    <w:p w14:paraId="68793304" w14:textId="77777777" w:rsidR="00CA45CA" w:rsidRPr="001F1A44" w:rsidRDefault="00CA45CA">
      <w:pPr>
        <w:spacing w:line="360" w:lineRule="auto"/>
        <w:jc w:val="both"/>
        <w:rPr>
          <w:rFonts w:ascii="Palatino Linotype" w:eastAsia="Palatino Linotype" w:hAnsi="Palatino Linotype" w:cs="Palatino Linotype"/>
        </w:rPr>
      </w:pPr>
    </w:p>
    <w:p w14:paraId="0CA70BFB"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1F1A44">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7F834265" w14:textId="77777777" w:rsidR="00CA45CA" w:rsidRPr="001F1A44" w:rsidRDefault="00CA45CA">
      <w:pPr>
        <w:spacing w:line="360" w:lineRule="auto"/>
        <w:jc w:val="both"/>
        <w:rPr>
          <w:rFonts w:ascii="Palatino Linotype" w:eastAsia="Palatino Linotype" w:hAnsi="Palatino Linotype" w:cs="Palatino Linotype"/>
        </w:rPr>
      </w:pPr>
    </w:p>
    <w:p w14:paraId="69970EF4" w14:textId="77777777" w:rsidR="00CA45CA" w:rsidRPr="001F1A44" w:rsidRDefault="00AD389B">
      <w:pPr>
        <w:spacing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Argumento que encuentra sustento en la jurisprudencia P</w:t>
      </w:r>
      <w:proofErr w:type="gramStart"/>
      <w:r w:rsidRPr="001F1A44">
        <w:rPr>
          <w:rFonts w:ascii="Palatino Linotype" w:eastAsia="Palatino Linotype" w:hAnsi="Palatino Linotype" w:cs="Palatino Linotype"/>
        </w:rPr>
        <w:t>./</w:t>
      </w:r>
      <w:proofErr w:type="gramEnd"/>
      <w:r w:rsidRPr="001F1A44">
        <w:rPr>
          <w:rFonts w:ascii="Palatino Linotype" w:eastAsia="Palatino Linotype" w:hAnsi="Palatino Linotype" w:cs="Palatino Linotype"/>
        </w:rPr>
        <w:t xml:space="preserve">J. 32/92 emitida por el Pleno de la Suprema Corte de Justicia de la Nación de rubro </w:t>
      </w:r>
      <w:r w:rsidRPr="001F1A4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F1A44">
        <w:rPr>
          <w:rFonts w:ascii="Palatino Linotype" w:eastAsia="Palatino Linotype" w:hAnsi="Palatino Linotype" w:cs="Palatino Linotype"/>
        </w:rPr>
        <w:t>, visible en la Gaceta del Seminario Judicial de la Federación con el registro digital 205635.</w:t>
      </w:r>
    </w:p>
    <w:p w14:paraId="6325A6FE" w14:textId="77777777" w:rsidR="00CA45CA" w:rsidRPr="001F1A44" w:rsidRDefault="00CA45CA">
      <w:pPr>
        <w:spacing w:line="360" w:lineRule="auto"/>
        <w:jc w:val="both"/>
        <w:rPr>
          <w:rFonts w:ascii="Palatino Linotype" w:eastAsia="Palatino Linotype" w:hAnsi="Palatino Linotype" w:cs="Palatino Linotype"/>
        </w:rPr>
      </w:pPr>
    </w:p>
    <w:p w14:paraId="36843DE2"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46D841" w14:textId="77777777" w:rsidR="00CA45CA" w:rsidRPr="001F1A44" w:rsidRDefault="00CA45CA">
      <w:pPr>
        <w:spacing w:line="360" w:lineRule="auto"/>
        <w:jc w:val="both"/>
        <w:rPr>
          <w:rFonts w:ascii="Palatino Linotype" w:eastAsia="Palatino Linotype" w:hAnsi="Palatino Linotype" w:cs="Palatino Linotype"/>
        </w:rPr>
      </w:pPr>
    </w:p>
    <w:p w14:paraId="5AE2DE39"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C741BC7" w14:textId="77777777" w:rsidR="00CA45CA" w:rsidRPr="001F1A44" w:rsidRDefault="00CA45CA">
      <w:pPr>
        <w:spacing w:line="360" w:lineRule="auto"/>
        <w:jc w:val="both"/>
        <w:rPr>
          <w:rFonts w:ascii="Palatino Linotype" w:eastAsia="Palatino Linotype" w:hAnsi="Palatino Linotype" w:cs="Palatino Linotype"/>
        </w:rPr>
      </w:pPr>
    </w:p>
    <w:p w14:paraId="1D5A90CA"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i/>
        </w:rPr>
        <w:t>“PLAZO RAZONABLE PARA RESOLVER. DIMENSIÓN Y EFECTOS DE ESTE CONCEPTO CUANDO SE ADUCE EXCESIVA CARGA DE TRABAJO.”</w:t>
      </w:r>
      <w:r w:rsidRPr="001F1A44">
        <w:rPr>
          <w:rFonts w:ascii="Palatino Linotype" w:eastAsia="Palatino Linotype" w:hAnsi="Palatino Linotype" w:cs="Palatino Linotype"/>
        </w:rPr>
        <w:t xml:space="preserve"> consultable en el Seminario Judicial de la Federación y su gaceta, con el registro digital 2002351.</w:t>
      </w:r>
    </w:p>
    <w:p w14:paraId="367153A6" w14:textId="77777777" w:rsidR="00CA45CA" w:rsidRPr="001F1A44" w:rsidRDefault="00CA45CA">
      <w:pPr>
        <w:spacing w:line="360" w:lineRule="auto"/>
        <w:jc w:val="both"/>
        <w:rPr>
          <w:rFonts w:ascii="Palatino Linotype" w:eastAsia="Palatino Linotype" w:hAnsi="Palatino Linotype" w:cs="Palatino Linotype"/>
          <w:b/>
        </w:rPr>
      </w:pPr>
    </w:p>
    <w:p w14:paraId="34A2DEF9"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i/>
        </w:rPr>
        <w:t>“PLAZO RAZONABLE PARA RESOLVER. CONCEPTO Y ELEMENTOS QUE LO INTEGRAN A LA LUZ DEL DERECHO INTERNACIONAL DE LOS DERECHOS HUMANOS.”</w:t>
      </w:r>
      <w:r w:rsidRPr="001F1A44">
        <w:rPr>
          <w:rFonts w:ascii="Palatino Linotype" w:eastAsia="Palatino Linotype" w:hAnsi="Palatino Linotype" w:cs="Palatino Linotype"/>
        </w:rPr>
        <w:t>, visible en el Seminario Judicial de la Federación y su gaceta, con el registro digital 2002350.</w:t>
      </w:r>
    </w:p>
    <w:p w14:paraId="6750BDDD" w14:textId="77777777" w:rsidR="00CA45CA" w:rsidRPr="001F1A44" w:rsidRDefault="00CA45CA">
      <w:pPr>
        <w:spacing w:line="360" w:lineRule="auto"/>
        <w:jc w:val="both"/>
        <w:rPr>
          <w:rFonts w:ascii="Palatino Linotype" w:eastAsia="Palatino Linotype" w:hAnsi="Palatino Linotype" w:cs="Palatino Linotype"/>
        </w:rPr>
      </w:pPr>
    </w:p>
    <w:p w14:paraId="1F90A519"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B1A7372" w14:textId="77777777" w:rsidR="00CA45CA" w:rsidRPr="001F1A44" w:rsidRDefault="00CA45CA">
      <w:pPr>
        <w:spacing w:line="360" w:lineRule="auto"/>
        <w:jc w:val="both"/>
        <w:rPr>
          <w:rFonts w:ascii="Palatino Linotype" w:eastAsia="Palatino Linotype" w:hAnsi="Palatino Linotype" w:cs="Palatino Linotype"/>
        </w:rPr>
      </w:pPr>
    </w:p>
    <w:p w14:paraId="10CB9B35" w14:textId="77777777" w:rsidR="00CA45CA" w:rsidRPr="001F1A44" w:rsidRDefault="00AD389B">
      <w:pPr>
        <w:spacing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8. Cierre de instrucción. </w:t>
      </w:r>
      <w:r w:rsidRPr="001F1A44">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1F1A44">
        <w:rPr>
          <w:rFonts w:ascii="Palatino Linotype" w:eastAsia="Palatino Linotype" w:hAnsi="Palatino Linotype" w:cs="Palatino Linotype"/>
          <w:b/>
        </w:rPr>
        <w:t>catorce de diciembre de dos mil veintitrés</w:t>
      </w:r>
      <w:r w:rsidRPr="001F1A4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E0DFBF8"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9885062" w14:textId="77777777" w:rsidR="00CA45CA" w:rsidRPr="001F1A44" w:rsidRDefault="00AD389B">
      <w:pPr>
        <w:widowControl w:val="0"/>
        <w:spacing w:line="360" w:lineRule="auto"/>
        <w:jc w:val="center"/>
        <w:rPr>
          <w:rFonts w:ascii="Palatino Linotype" w:eastAsia="Palatino Linotype" w:hAnsi="Palatino Linotype" w:cs="Palatino Linotype"/>
          <w:b/>
        </w:rPr>
      </w:pPr>
      <w:r w:rsidRPr="001F1A44">
        <w:rPr>
          <w:rFonts w:ascii="Palatino Linotype" w:eastAsia="Palatino Linotype" w:hAnsi="Palatino Linotype" w:cs="Palatino Linotype"/>
          <w:b/>
        </w:rPr>
        <w:t>II. C O N S I D E R A N D O S</w:t>
      </w:r>
    </w:p>
    <w:p w14:paraId="6D8079AB"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Primero. Competencia.</w:t>
      </w:r>
      <w:r w:rsidRPr="001F1A4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4C88C8E" w14:textId="77777777" w:rsidR="00CA45CA" w:rsidRPr="001F1A44" w:rsidRDefault="00AD389B">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1F1A44">
        <w:rPr>
          <w:rFonts w:ascii="Palatino Linotype" w:eastAsia="Palatino Linotype" w:hAnsi="Palatino Linotype" w:cs="Palatino Linotype"/>
          <w:b/>
        </w:rPr>
        <w:t xml:space="preserve">Segundo. Oportunidad y </w:t>
      </w:r>
      <w:proofErr w:type="spellStart"/>
      <w:r w:rsidRPr="001F1A44">
        <w:rPr>
          <w:rFonts w:ascii="Palatino Linotype" w:eastAsia="Palatino Linotype" w:hAnsi="Palatino Linotype" w:cs="Palatino Linotype"/>
          <w:b/>
        </w:rPr>
        <w:t>Procedibilidad</w:t>
      </w:r>
      <w:proofErr w:type="spellEnd"/>
      <w:r w:rsidRPr="001F1A44">
        <w:rPr>
          <w:rFonts w:ascii="Palatino Linotype" w:eastAsia="Palatino Linotype" w:hAnsi="Palatino Linotype" w:cs="Palatino Linotype"/>
          <w:b/>
        </w:rPr>
        <w:t xml:space="preserve"> del Recurso de Revisión. </w:t>
      </w:r>
      <w:r w:rsidRPr="001F1A44">
        <w:rPr>
          <w:rFonts w:ascii="Palatino Linotype" w:eastAsia="Palatino Linotype" w:hAnsi="Palatino Linotype" w:cs="Palatino Linotype"/>
        </w:rPr>
        <w:t xml:space="preserve">Previo al estudio del fondo del asunto, se procede a analizar los requisitos de oportunidad y </w:t>
      </w:r>
      <w:proofErr w:type="spellStart"/>
      <w:r w:rsidRPr="001F1A44">
        <w:rPr>
          <w:rFonts w:ascii="Palatino Linotype" w:eastAsia="Palatino Linotype" w:hAnsi="Palatino Linotype" w:cs="Palatino Linotype"/>
        </w:rPr>
        <w:t>procedibilidad</w:t>
      </w:r>
      <w:proofErr w:type="spellEnd"/>
      <w:r w:rsidRPr="001F1A44">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4CC5121B" w14:textId="77777777" w:rsidR="00CA45CA" w:rsidRPr="001F1A44" w:rsidRDefault="00AD389B">
      <w:pPr>
        <w:pBdr>
          <w:top w:val="nil"/>
          <w:left w:val="nil"/>
          <w:bottom w:val="nil"/>
          <w:right w:val="nil"/>
          <w:between w:val="nil"/>
        </w:pBd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1F1A44">
        <w:rPr>
          <w:rFonts w:ascii="Palatino Linotype" w:eastAsia="Palatino Linotype" w:hAnsi="Palatino Linotype" w:cs="Palatino Linotype"/>
          <w:b/>
        </w:rPr>
        <w:t xml:space="preserve">el Sujeto </w:t>
      </w:r>
      <w:r w:rsidRPr="001F1A44">
        <w:rPr>
          <w:rFonts w:ascii="Palatino Linotype" w:eastAsia="Palatino Linotype" w:hAnsi="Palatino Linotype" w:cs="Palatino Linotype"/>
          <w:b/>
        </w:rPr>
        <w:lastRenderedPageBreak/>
        <w:t>Obligado</w:t>
      </w:r>
      <w:r w:rsidRPr="001F1A44">
        <w:rPr>
          <w:rFonts w:ascii="Palatino Linotype" w:eastAsia="Palatino Linotype" w:hAnsi="Palatino Linotype" w:cs="Palatino Linotype"/>
        </w:rPr>
        <w:t xml:space="preserve"> respondió a la solicitud de información el </w:t>
      </w:r>
      <w:r w:rsidRPr="001F1A44">
        <w:rPr>
          <w:rFonts w:ascii="Palatino Linotype" w:eastAsia="Palatino Linotype" w:hAnsi="Palatino Linotype" w:cs="Palatino Linotype"/>
          <w:b/>
        </w:rPr>
        <w:t xml:space="preserve">veinticinco de abril de dos mil veintitrés, </w:t>
      </w:r>
      <w:r w:rsidRPr="001F1A44">
        <w:rPr>
          <w:rFonts w:ascii="Palatino Linotype" w:eastAsia="Palatino Linotype" w:hAnsi="Palatino Linotype" w:cs="Palatino Linotype"/>
        </w:rPr>
        <w:t xml:space="preserve">mientras que el recurso de revisión se interpuso el </w:t>
      </w:r>
      <w:r w:rsidRPr="001F1A44">
        <w:rPr>
          <w:rFonts w:ascii="Palatino Linotype" w:eastAsia="Palatino Linotype" w:hAnsi="Palatino Linotype" w:cs="Palatino Linotype"/>
          <w:b/>
        </w:rPr>
        <w:t>veintiséis de abril de dos mil veintitrés</w:t>
      </w:r>
      <w:r w:rsidRPr="001F1A44">
        <w:rPr>
          <w:rFonts w:ascii="Palatino Linotype" w:eastAsia="Palatino Linotype" w:hAnsi="Palatino Linotype" w:cs="Palatino Linotype"/>
        </w:rPr>
        <w:t xml:space="preserve">, esto es, el </w:t>
      </w:r>
      <w:r w:rsidRPr="001F1A44">
        <w:rPr>
          <w:rFonts w:ascii="Palatino Linotype" w:eastAsia="Palatino Linotype" w:hAnsi="Palatino Linotype" w:cs="Palatino Linotype"/>
          <w:b/>
        </w:rPr>
        <w:t xml:space="preserve">primer día hábil </w:t>
      </w:r>
      <w:r w:rsidRPr="001F1A44">
        <w:rPr>
          <w:rFonts w:ascii="Palatino Linotype" w:eastAsia="Palatino Linotype" w:hAnsi="Palatino Linotype" w:cs="Palatino Linotype"/>
        </w:rPr>
        <w:t>posterior en que tuvo conocimiento de la respuesta impugnada.</w:t>
      </w:r>
    </w:p>
    <w:p w14:paraId="3F546CA7"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 este sentido, al considerar la fecha en que se formuló la solicitud y la fecha en que respondió a esta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4D90A27"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Así también, por cuanto hace a la </w:t>
      </w:r>
      <w:proofErr w:type="spellStart"/>
      <w:r w:rsidRPr="001F1A44">
        <w:rPr>
          <w:rFonts w:ascii="Palatino Linotype" w:eastAsia="Palatino Linotype" w:hAnsi="Palatino Linotype" w:cs="Palatino Linotype"/>
        </w:rPr>
        <w:t>procedibilidad</w:t>
      </w:r>
      <w:proofErr w:type="spellEnd"/>
      <w:r w:rsidRPr="001F1A44">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5673896" w14:textId="77777777" w:rsidR="00CA45CA" w:rsidRPr="001F1A44" w:rsidRDefault="00AD389B">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1F1A44">
        <w:rPr>
          <w:rFonts w:ascii="Palatino Linotype" w:eastAsia="Palatino Linotype" w:hAnsi="Palatino Linotype" w:cs="Palatino Linotype"/>
        </w:rPr>
        <w:t>Ahora bien, resulta procedente la interposición del recurso, según lo aducido por la parte recurrente en sus razones o motivos de inconformidad, de acuerdo al artículo 179, fracción I de la Ley de Transparencia y Acceso a la Información Pública del Estado de México y Municipios; que a la letra dice:</w:t>
      </w:r>
    </w:p>
    <w:p w14:paraId="53F291BB" w14:textId="77777777" w:rsidR="00CA45CA" w:rsidRPr="001F1A44" w:rsidRDefault="00AD389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179</w:t>
      </w:r>
      <w:r w:rsidRPr="001F1A44">
        <w:rPr>
          <w:rFonts w:ascii="Palatino Linotype" w:eastAsia="Palatino Linotype" w:hAnsi="Palatino Linotype" w:cs="Palatino Linotype"/>
          <w:i/>
          <w:sz w:val="22"/>
          <w:szCs w:val="22"/>
        </w:rPr>
        <w:t xml:space="preserve">. </w:t>
      </w:r>
      <w:r w:rsidRPr="001F1A44">
        <w:rPr>
          <w:rFonts w:ascii="Palatino Linotype" w:eastAsia="Palatino Linotype" w:hAnsi="Palatino Linotype" w:cs="Palatino Linotype"/>
          <w:b/>
          <w:i/>
          <w:sz w:val="22"/>
          <w:szCs w:val="22"/>
        </w:rPr>
        <w:t>El recurso de revisión</w:t>
      </w:r>
      <w:r w:rsidRPr="001F1A44">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1F1A44">
        <w:rPr>
          <w:rFonts w:ascii="Palatino Linotype" w:eastAsia="Palatino Linotype" w:hAnsi="Palatino Linotype" w:cs="Palatino Linotype"/>
          <w:b/>
          <w:i/>
          <w:sz w:val="22"/>
          <w:szCs w:val="22"/>
        </w:rPr>
        <w:t>, y procederá en contra de las siguientes causas</w:t>
      </w:r>
      <w:r w:rsidRPr="001F1A44">
        <w:rPr>
          <w:rFonts w:ascii="Palatino Linotype" w:eastAsia="Palatino Linotype" w:hAnsi="Palatino Linotype" w:cs="Palatino Linotype"/>
          <w:i/>
          <w:sz w:val="22"/>
          <w:szCs w:val="22"/>
        </w:rPr>
        <w:t>:</w:t>
      </w:r>
    </w:p>
    <w:p w14:paraId="1BCD9877" w14:textId="77777777" w:rsidR="00CA45CA" w:rsidRPr="001F1A44" w:rsidRDefault="00AD389B">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 La negativa a la información solicitada;</w:t>
      </w:r>
      <w:r w:rsidRPr="001F1A44">
        <w:rPr>
          <w:rFonts w:ascii="Palatino Linotype" w:eastAsia="Palatino Linotype" w:hAnsi="Palatino Linotype" w:cs="Palatino Linotype"/>
          <w:i/>
          <w:sz w:val="22"/>
          <w:szCs w:val="22"/>
        </w:rPr>
        <w:t>” (Énfasis añadido)</w:t>
      </w:r>
    </w:p>
    <w:p w14:paraId="395EC56D"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lastRenderedPageBreak/>
        <w:t xml:space="preserve">Tercero. Materia de la revisión. </w:t>
      </w:r>
      <w:r w:rsidRPr="001F1A4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F1A44">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1F1A44">
        <w:rPr>
          <w:rFonts w:ascii="Palatino Linotype" w:eastAsia="Palatino Linotype" w:hAnsi="Palatino Linotype" w:cs="Palatino Linotype"/>
        </w:rPr>
        <w:t xml:space="preserve">de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o en su defecto, en caso de ser procedente, ordenar la entrega de información.</w:t>
      </w:r>
    </w:p>
    <w:p w14:paraId="03C8C948" w14:textId="77777777" w:rsidR="00CA45CA" w:rsidRPr="001F1A44" w:rsidRDefault="00AD389B">
      <w:pPr>
        <w:pBdr>
          <w:top w:val="nil"/>
          <w:left w:val="nil"/>
          <w:bottom w:val="nil"/>
          <w:right w:val="nil"/>
          <w:between w:val="nil"/>
        </w:pBdr>
        <w:spacing w:before="240" w:after="240" w:line="360" w:lineRule="auto"/>
        <w:jc w:val="both"/>
      </w:pPr>
      <w:r w:rsidRPr="001F1A44">
        <w:rPr>
          <w:rFonts w:ascii="Palatino Linotype" w:eastAsia="Palatino Linotype" w:hAnsi="Palatino Linotype" w:cs="Palatino Linotype"/>
          <w:b/>
        </w:rPr>
        <w:t xml:space="preserve">Cuarto. Estudio del asunto. </w:t>
      </w:r>
      <w:r w:rsidRPr="001F1A44">
        <w:rPr>
          <w:rFonts w:ascii="Palatino Linotype" w:eastAsia="Palatino Linotype" w:hAnsi="Palatino Linotype" w:cs="Palatino Linotype"/>
        </w:rPr>
        <w:t xml:space="preserve">Antes de entrar al análisis de los pronunciamientos del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8DE8B19" w14:textId="77777777" w:rsidR="00CA45CA" w:rsidRPr="001F1A44" w:rsidRDefault="00AD389B">
      <w:pPr>
        <w:pBdr>
          <w:top w:val="nil"/>
          <w:left w:val="nil"/>
          <w:bottom w:val="nil"/>
          <w:right w:val="nil"/>
          <w:between w:val="nil"/>
        </w:pBdr>
        <w:spacing w:before="240" w:after="240"/>
        <w:ind w:left="851" w:right="850"/>
        <w:jc w:val="both"/>
      </w:pPr>
      <w:r w:rsidRPr="001F1A4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F1A4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C8B23E9" w14:textId="77777777" w:rsidR="00CA45CA" w:rsidRPr="001F1A44" w:rsidRDefault="00AD389B">
      <w:pPr>
        <w:pBdr>
          <w:top w:val="nil"/>
          <w:left w:val="nil"/>
          <w:bottom w:val="nil"/>
          <w:right w:val="nil"/>
          <w:between w:val="nil"/>
        </w:pBdr>
        <w:spacing w:before="240" w:after="240"/>
        <w:ind w:left="851" w:right="850"/>
        <w:jc w:val="both"/>
      </w:pPr>
      <w:r w:rsidRPr="001F1A4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0ED75B7" w14:textId="77777777" w:rsidR="00CA45CA" w:rsidRPr="001F1A44" w:rsidRDefault="00AD389B">
      <w:pPr>
        <w:pBdr>
          <w:top w:val="nil"/>
          <w:left w:val="nil"/>
          <w:bottom w:val="nil"/>
          <w:right w:val="nil"/>
          <w:between w:val="nil"/>
        </w:pBdr>
        <w:spacing w:before="240" w:after="240"/>
        <w:ind w:left="851" w:right="850"/>
        <w:jc w:val="both"/>
      </w:pPr>
      <w:r w:rsidRPr="001F1A44">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1F1A4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0C9BFAD" w14:textId="77777777" w:rsidR="00CA45CA" w:rsidRPr="001F1A44" w:rsidRDefault="00AD389B">
      <w:pPr>
        <w:pBdr>
          <w:top w:val="nil"/>
          <w:left w:val="nil"/>
          <w:bottom w:val="nil"/>
          <w:right w:val="nil"/>
          <w:between w:val="nil"/>
        </w:pBdr>
        <w:spacing w:before="240" w:after="240"/>
        <w:ind w:left="851" w:right="850"/>
        <w:jc w:val="both"/>
      </w:pPr>
      <w:r w:rsidRPr="001F1A44">
        <w:rPr>
          <w:rFonts w:ascii="Palatino Linotype" w:eastAsia="Palatino Linotype" w:hAnsi="Palatino Linotype" w:cs="Palatino Linotype"/>
          <w:i/>
          <w:sz w:val="22"/>
          <w:szCs w:val="22"/>
        </w:rPr>
        <w:t>[…]</w:t>
      </w:r>
    </w:p>
    <w:p w14:paraId="66CB33A6" w14:textId="77777777" w:rsidR="00CA45CA" w:rsidRPr="001F1A44" w:rsidRDefault="00AD389B">
      <w:pPr>
        <w:pBdr>
          <w:top w:val="nil"/>
          <w:left w:val="nil"/>
          <w:bottom w:val="nil"/>
          <w:right w:val="nil"/>
          <w:between w:val="nil"/>
        </w:pBdr>
        <w:spacing w:before="240" w:after="240"/>
        <w:ind w:left="851" w:right="901"/>
        <w:jc w:val="both"/>
      </w:pPr>
      <w:r w:rsidRPr="001F1A44">
        <w:rPr>
          <w:rFonts w:ascii="Palatino Linotype" w:eastAsia="Palatino Linotype" w:hAnsi="Palatino Linotype" w:cs="Palatino Linotype"/>
          <w:b/>
          <w:i/>
          <w:sz w:val="22"/>
          <w:szCs w:val="22"/>
        </w:rPr>
        <w:t>“Artículo 6o.</w:t>
      </w:r>
    </w:p>
    <w:p w14:paraId="1C896569" w14:textId="77777777" w:rsidR="00CA45CA" w:rsidRPr="001F1A44" w:rsidRDefault="00AD389B">
      <w:pPr>
        <w:pBdr>
          <w:top w:val="nil"/>
          <w:left w:val="nil"/>
          <w:bottom w:val="nil"/>
          <w:right w:val="nil"/>
          <w:between w:val="nil"/>
        </w:pBdr>
        <w:spacing w:before="240" w:after="240"/>
        <w:ind w:left="851" w:right="901"/>
        <w:jc w:val="both"/>
      </w:pPr>
      <w:r w:rsidRPr="001F1A44">
        <w:rPr>
          <w:rFonts w:ascii="Palatino Linotype" w:eastAsia="Palatino Linotype" w:hAnsi="Palatino Linotype" w:cs="Palatino Linotype"/>
          <w:i/>
          <w:sz w:val="22"/>
          <w:szCs w:val="22"/>
        </w:rPr>
        <w:t>[...]</w:t>
      </w:r>
    </w:p>
    <w:p w14:paraId="5E043B85" w14:textId="77777777" w:rsidR="00CA45CA" w:rsidRPr="001F1A44" w:rsidRDefault="00AD389B">
      <w:pPr>
        <w:pBdr>
          <w:top w:val="nil"/>
          <w:left w:val="nil"/>
          <w:bottom w:val="nil"/>
          <w:right w:val="nil"/>
          <w:between w:val="nil"/>
        </w:pBdr>
        <w:spacing w:before="240" w:after="240"/>
        <w:ind w:left="851" w:right="851"/>
        <w:jc w:val="both"/>
      </w:pPr>
      <w:r w:rsidRPr="001F1A44">
        <w:rPr>
          <w:rFonts w:ascii="Palatino Linotype" w:eastAsia="Palatino Linotype" w:hAnsi="Palatino Linotype" w:cs="Palatino Linotype"/>
          <w:b/>
          <w:i/>
          <w:sz w:val="22"/>
          <w:szCs w:val="22"/>
        </w:rPr>
        <w:t xml:space="preserve">A. Para el ejercicio del derecho de acceso a la información, la Federación y </w:t>
      </w:r>
      <w:r w:rsidRPr="001F1A44">
        <w:rPr>
          <w:rFonts w:ascii="Palatino Linotype" w:eastAsia="Palatino Linotype" w:hAnsi="Palatino Linotype" w:cs="Palatino Linotype"/>
          <w:b/>
          <w:i/>
          <w:sz w:val="22"/>
          <w:szCs w:val="22"/>
          <w:u w:val="single"/>
        </w:rPr>
        <w:t>las entidades federativas</w:t>
      </w:r>
      <w:r w:rsidRPr="001F1A44">
        <w:rPr>
          <w:rFonts w:ascii="Palatino Linotype" w:eastAsia="Palatino Linotype" w:hAnsi="Palatino Linotype" w:cs="Palatino Linotype"/>
          <w:b/>
          <w:i/>
          <w:sz w:val="22"/>
          <w:szCs w:val="22"/>
        </w:rPr>
        <w:t>,</w:t>
      </w:r>
      <w:r w:rsidRPr="001F1A44">
        <w:rPr>
          <w:rFonts w:ascii="Palatino Linotype" w:eastAsia="Palatino Linotype" w:hAnsi="Palatino Linotype" w:cs="Palatino Linotype"/>
          <w:i/>
          <w:sz w:val="22"/>
          <w:szCs w:val="22"/>
        </w:rPr>
        <w:t xml:space="preserve"> en el ámbito de sus respectivas competencias, se regirán por los siguientes principios y bases:</w:t>
      </w:r>
    </w:p>
    <w:p w14:paraId="636C3701" w14:textId="77777777" w:rsidR="00CA45CA" w:rsidRPr="001F1A44" w:rsidRDefault="00AD389B">
      <w:pPr>
        <w:pBdr>
          <w:top w:val="nil"/>
          <w:left w:val="nil"/>
          <w:bottom w:val="nil"/>
          <w:right w:val="nil"/>
          <w:between w:val="nil"/>
        </w:pBdr>
        <w:spacing w:before="240" w:after="240"/>
        <w:ind w:left="851" w:right="851"/>
        <w:jc w:val="both"/>
      </w:pPr>
      <w:r w:rsidRPr="001F1A44">
        <w:rPr>
          <w:rFonts w:ascii="Palatino Linotype" w:eastAsia="Palatino Linotype" w:hAnsi="Palatino Linotype" w:cs="Palatino Linotype"/>
          <w:i/>
          <w:sz w:val="22"/>
          <w:szCs w:val="22"/>
        </w:rPr>
        <w:t> </w:t>
      </w:r>
      <w:r w:rsidRPr="001F1A44">
        <w:rPr>
          <w:rFonts w:ascii="Palatino Linotype" w:eastAsia="Palatino Linotype" w:hAnsi="Palatino Linotype" w:cs="Palatino Linotype"/>
          <w:b/>
          <w:i/>
          <w:sz w:val="22"/>
          <w:szCs w:val="22"/>
        </w:rPr>
        <w:t xml:space="preserve">I. </w:t>
      </w:r>
      <w:r w:rsidRPr="001F1A4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F1A44">
        <w:rPr>
          <w:rFonts w:ascii="Palatino Linotype" w:eastAsia="Palatino Linotype" w:hAnsi="Palatino Linotype" w:cs="Palatino Linotype"/>
          <w:i/>
          <w:sz w:val="22"/>
          <w:szCs w:val="22"/>
        </w:rPr>
        <w:t xml:space="preserve"> Ejecutivo, Legislativo </w:t>
      </w:r>
      <w:r w:rsidRPr="001F1A44">
        <w:rPr>
          <w:rFonts w:ascii="Palatino Linotype" w:eastAsia="Palatino Linotype" w:hAnsi="Palatino Linotype" w:cs="Palatino Linotype"/>
          <w:b/>
          <w:i/>
          <w:sz w:val="22"/>
          <w:szCs w:val="22"/>
          <w:u w:val="single"/>
        </w:rPr>
        <w:t>y Judicial</w:t>
      </w:r>
      <w:r w:rsidRPr="001F1A44">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F1A44">
        <w:rPr>
          <w:rFonts w:ascii="Palatino Linotype" w:eastAsia="Palatino Linotype" w:hAnsi="Palatino Linotype" w:cs="Palatino Linotype"/>
          <w:b/>
          <w:i/>
          <w:sz w:val="22"/>
          <w:szCs w:val="22"/>
        </w:rPr>
        <w:t>es pública y sólo podrá ser reservada temporalmente por razones de interés público y seguridad nacional,</w:t>
      </w:r>
      <w:r w:rsidRPr="001F1A4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870B76" w14:textId="77777777" w:rsidR="00CA45CA" w:rsidRPr="001F1A44" w:rsidRDefault="00AD389B">
      <w:pPr>
        <w:pBdr>
          <w:top w:val="nil"/>
          <w:left w:val="nil"/>
          <w:bottom w:val="nil"/>
          <w:right w:val="nil"/>
          <w:between w:val="nil"/>
        </w:pBdr>
        <w:spacing w:before="240" w:after="240"/>
        <w:ind w:left="851" w:right="851"/>
        <w:jc w:val="both"/>
      </w:pPr>
      <w:r w:rsidRPr="001F1A44">
        <w:rPr>
          <w:rFonts w:ascii="Palatino Linotype" w:eastAsia="Palatino Linotype" w:hAnsi="Palatino Linotype" w:cs="Palatino Linotype"/>
          <w:i/>
          <w:sz w:val="22"/>
          <w:szCs w:val="22"/>
        </w:rPr>
        <w:t> </w:t>
      </w:r>
      <w:r w:rsidRPr="001F1A4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CCF8F7F" w14:textId="77777777" w:rsidR="00CA45CA" w:rsidRPr="001F1A44" w:rsidRDefault="00AD389B">
      <w:pPr>
        <w:pBdr>
          <w:top w:val="nil"/>
          <w:left w:val="nil"/>
          <w:bottom w:val="nil"/>
          <w:right w:val="nil"/>
          <w:between w:val="nil"/>
        </w:pBdr>
        <w:spacing w:before="240" w:after="240"/>
        <w:ind w:left="851" w:right="851"/>
        <w:jc w:val="both"/>
      </w:pPr>
      <w:r w:rsidRPr="001F1A44">
        <w:rPr>
          <w:rFonts w:ascii="Palatino Linotype" w:eastAsia="Palatino Linotype" w:hAnsi="Palatino Linotype" w:cs="Palatino Linotype"/>
          <w:i/>
          <w:sz w:val="22"/>
          <w:szCs w:val="22"/>
        </w:rPr>
        <w:t> </w:t>
      </w:r>
      <w:r w:rsidRPr="001F1A44">
        <w:rPr>
          <w:rFonts w:ascii="Palatino Linotype" w:eastAsia="Palatino Linotype" w:hAnsi="Palatino Linotype" w:cs="Palatino Linotype"/>
          <w:b/>
          <w:i/>
          <w:sz w:val="22"/>
          <w:szCs w:val="22"/>
        </w:rPr>
        <w:t xml:space="preserve">III. </w:t>
      </w:r>
      <w:r w:rsidRPr="001F1A4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F1A44">
        <w:rPr>
          <w:rFonts w:ascii="Palatino Linotype" w:eastAsia="Palatino Linotype" w:hAnsi="Palatino Linotype" w:cs="Palatino Linotype"/>
          <w:i/>
          <w:sz w:val="22"/>
          <w:szCs w:val="22"/>
        </w:rPr>
        <w:t xml:space="preserve"> a sus datos personales o a la rectificación de éstos.</w:t>
      </w:r>
    </w:p>
    <w:p w14:paraId="21C0EEFA" w14:textId="77777777" w:rsidR="00CA45CA" w:rsidRPr="001F1A44" w:rsidRDefault="00AD389B">
      <w:pPr>
        <w:pBdr>
          <w:top w:val="nil"/>
          <w:left w:val="nil"/>
          <w:bottom w:val="nil"/>
          <w:right w:val="nil"/>
          <w:between w:val="nil"/>
        </w:pBdr>
        <w:spacing w:before="240" w:after="240"/>
        <w:ind w:left="851" w:right="851"/>
        <w:jc w:val="both"/>
      </w:pPr>
      <w:r w:rsidRPr="001F1A44">
        <w:rPr>
          <w:rFonts w:ascii="Palatino Linotype" w:eastAsia="Palatino Linotype" w:hAnsi="Palatino Linotype" w:cs="Palatino Linotype"/>
          <w:i/>
          <w:sz w:val="22"/>
          <w:szCs w:val="22"/>
        </w:rPr>
        <w:t> </w:t>
      </w:r>
      <w:r w:rsidRPr="001F1A44">
        <w:rPr>
          <w:rFonts w:ascii="Palatino Linotype" w:eastAsia="Palatino Linotype" w:hAnsi="Palatino Linotype" w:cs="Palatino Linotype"/>
          <w:b/>
          <w:i/>
          <w:sz w:val="22"/>
          <w:szCs w:val="22"/>
        </w:rPr>
        <w:t xml:space="preserve">IV. </w:t>
      </w:r>
      <w:r w:rsidRPr="001F1A4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19CBF9F" w14:textId="77777777" w:rsidR="00CA45CA" w:rsidRPr="001F1A44" w:rsidRDefault="00AD389B">
      <w:pPr>
        <w:pBdr>
          <w:top w:val="nil"/>
          <w:left w:val="nil"/>
          <w:bottom w:val="nil"/>
          <w:right w:val="nil"/>
          <w:between w:val="nil"/>
        </w:pBdr>
        <w:spacing w:before="240" w:after="240"/>
        <w:ind w:left="851" w:right="851"/>
        <w:jc w:val="both"/>
      </w:pPr>
      <w:r w:rsidRPr="001F1A44">
        <w:rPr>
          <w:rFonts w:ascii="Palatino Linotype" w:eastAsia="Palatino Linotype" w:hAnsi="Palatino Linotype" w:cs="Palatino Linotype"/>
          <w:b/>
          <w:i/>
          <w:sz w:val="22"/>
          <w:szCs w:val="22"/>
        </w:rPr>
        <w:lastRenderedPageBreak/>
        <w:t xml:space="preserve">V. </w:t>
      </w:r>
      <w:r w:rsidRPr="001F1A4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56FDF38" w14:textId="77777777" w:rsidR="00CA45CA" w:rsidRPr="001F1A44" w:rsidRDefault="00AD389B">
      <w:pPr>
        <w:pBdr>
          <w:top w:val="nil"/>
          <w:left w:val="nil"/>
          <w:bottom w:val="nil"/>
          <w:right w:val="nil"/>
          <w:between w:val="nil"/>
        </w:pBdr>
        <w:spacing w:before="240" w:after="240"/>
        <w:ind w:left="851" w:right="851"/>
        <w:jc w:val="both"/>
      </w:pPr>
      <w:r w:rsidRPr="001F1A44">
        <w:rPr>
          <w:rFonts w:ascii="Palatino Linotype" w:eastAsia="Palatino Linotype" w:hAnsi="Palatino Linotype" w:cs="Palatino Linotype"/>
          <w:i/>
          <w:sz w:val="22"/>
          <w:szCs w:val="22"/>
        </w:rPr>
        <w:t> </w:t>
      </w:r>
      <w:r w:rsidRPr="001F1A44">
        <w:rPr>
          <w:rFonts w:ascii="Palatino Linotype" w:eastAsia="Palatino Linotype" w:hAnsi="Palatino Linotype" w:cs="Palatino Linotype"/>
          <w:b/>
          <w:i/>
          <w:sz w:val="22"/>
          <w:szCs w:val="22"/>
        </w:rPr>
        <w:t xml:space="preserve">VI. </w:t>
      </w:r>
      <w:r w:rsidRPr="001F1A4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FD36AD8" w14:textId="77777777" w:rsidR="00CA45CA" w:rsidRPr="001F1A44" w:rsidRDefault="00AD389B">
      <w:pPr>
        <w:pBdr>
          <w:top w:val="nil"/>
          <w:left w:val="nil"/>
          <w:bottom w:val="nil"/>
          <w:right w:val="nil"/>
          <w:between w:val="nil"/>
        </w:pBdr>
        <w:spacing w:before="240" w:after="240"/>
        <w:ind w:left="851" w:right="851"/>
        <w:jc w:val="both"/>
      </w:pPr>
      <w:r w:rsidRPr="001F1A44">
        <w:rPr>
          <w:rFonts w:ascii="Palatino Linotype" w:eastAsia="Palatino Linotype" w:hAnsi="Palatino Linotype" w:cs="Palatino Linotype"/>
          <w:i/>
          <w:sz w:val="22"/>
          <w:szCs w:val="22"/>
        </w:rPr>
        <w:t> </w:t>
      </w:r>
      <w:r w:rsidRPr="001F1A44">
        <w:rPr>
          <w:rFonts w:ascii="Palatino Linotype" w:eastAsia="Palatino Linotype" w:hAnsi="Palatino Linotype" w:cs="Palatino Linotype"/>
          <w:b/>
          <w:i/>
          <w:sz w:val="22"/>
          <w:szCs w:val="22"/>
        </w:rPr>
        <w:t xml:space="preserve">VII. </w:t>
      </w:r>
      <w:r w:rsidRPr="001F1A44">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CB6BD74" w14:textId="77777777" w:rsidR="00CA45CA" w:rsidRPr="001F1A44" w:rsidRDefault="00AD389B">
      <w:pPr>
        <w:pBdr>
          <w:top w:val="nil"/>
          <w:left w:val="nil"/>
          <w:bottom w:val="nil"/>
          <w:right w:val="nil"/>
          <w:between w:val="nil"/>
        </w:pBdr>
        <w:spacing w:before="240" w:after="240" w:line="360" w:lineRule="auto"/>
        <w:jc w:val="both"/>
      </w:pPr>
      <w:r w:rsidRPr="001F1A44">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98EF4F1" w14:textId="77777777" w:rsidR="00CA45CA" w:rsidRPr="001F1A44" w:rsidRDefault="00AD389B">
      <w:pPr>
        <w:pBdr>
          <w:top w:val="nil"/>
          <w:left w:val="nil"/>
          <w:bottom w:val="nil"/>
          <w:right w:val="nil"/>
          <w:between w:val="nil"/>
        </w:pBdr>
        <w:spacing w:before="240" w:after="240"/>
        <w:ind w:left="709" w:right="760"/>
        <w:jc w:val="both"/>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Artículo 4</w:t>
      </w:r>
      <w:r w:rsidRPr="001F1A44">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C578750" w14:textId="77777777" w:rsidR="00CA45CA" w:rsidRPr="001F1A44" w:rsidRDefault="00AD389B">
      <w:pPr>
        <w:pBdr>
          <w:top w:val="nil"/>
          <w:left w:val="nil"/>
          <w:bottom w:val="nil"/>
          <w:right w:val="nil"/>
          <w:between w:val="nil"/>
        </w:pBdr>
        <w:spacing w:before="240" w:after="240"/>
        <w:ind w:left="709" w:right="760"/>
        <w:jc w:val="both"/>
      </w:pPr>
      <w:r w:rsidRPr="001F1A44">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sidRPr="001F1A44">
        <w:rPr>
          <w:rFonts w:ascii="Palatino Linotype" w:eastAsia="Palatino Linotype" w:hAnsi="Palatino Linotype" w:cs="Palatino Linotype"/>
          <w:b/>
          <w:i/>
          <w:sz w:val="22"/>
          <w:szCs w:val="22"/>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14:paraId="64EEBFA8" w14:textId="77777777" w:rsidR="00CA45CA" w:rsidRPr="001F1A44" w:rsidRDefault="00AD389B">
      <w:pPr>
        <w:pBdr>
          <w:top w:val="nil"/>
          <w:left w:val="nil"/>
          <w:bottom w:val="nil"/>
          <w:right w:val="nil"/>
          <w:between w:val="nil"/>
        </w:pBdr>
        <w:spacing w:before="240" w:after="240"/>
        <w:ind w:left="709" w:right="760"/>
        <w:jc w:val="both"/>
      </w:pPr>
      <w:r w:rsidRPr="001F1A4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solicitantes.”(Énfasis añadido)</w:t>
      </w:r>
    </w:p>
    <w:p w14:paraId="363B87B1" w14:textId="77777777" w:rsidR="00CA45CA" w:rsidRPr="001F1A44" w:rsidRDefault="00AD389B">
      <w:pPr>
        <w:pBdr>
          <w:top w:val="nil"/>
          <w:left w:val="nil"/>
          <w:bottom w:val="nil"/>
          <w:right w:val="nil"/>
          <w:between w:val="nil"/>
        </w:pBdr>
        <w:spacing w:before="240" w:after="240" w:line="360" w:lineRule="auto"/>
        <w:jc w:val="both"/>
      </w:pPr>
      <w:r w:rsidRPr="001F1A44">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4D16E37" w14:textId="77777777" w:rsidR="00CA45CA" w:rsidRPr="001F1A44" w:rsidRDefault="00AD389B">
      <w:pPr>
        <w:pBdr>
          <w:top w:val="nil"/>
          <w:left w:val="nil"/>
          <w:bottom w:val="nil"/>
          <w:right w:val="nil"/>
          <w:between w:val="nil"/>
        </w:pBdr>
        <w:spacing w:before="240" w:after="240"/>
        <w:ind w:left="567" w:right="758"/>
        <w:jc w:val="both"/>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Artículo 12</w:t>
      </w:r>
      <w:r w:rsidRPr="001F1A44">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117DF073" w14:textId="77777777" w:rsidR="00CA45CA" w:rsidRPr="001F1A44" w:rsidRDefault="00AD389B">
      <w:pPr>
        <w:pBdr>
          <w:top w:val="nil"/>
          <w:left w:val="nil"/>
          <w:bottom w:val="nil"/>
          <w:right w:val="nil"/>
          <w:between w:val="nil"/>
        </w:pBdr>
        <w:spacing w:before="240" w:after="240"/>
        <w:ind w:left="567" w:right="758"/>
        <w:jc w:val="both"/>
      </w:pPr>
      <w:r w:rsidRPr="001F1A4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77E35A9" w14:textId="77777777" w:rsidR="00CA45CA" w:rsidRPr="001F1A44" w:rsidRDefault="00AD389B">
      <w:pPr>
        <w:pBdr>
          <w:top w:val="nil"/>
          <w:left w:val="nil"/>
          <w:bottom w:val="nil"/>
          <w:right w:val="nil"/>
          <w:between w:val="nil"/>
        </w:pBdr>
        <w:spacing w:before="240" w:after="240" w:line="360" w:lineRule="auto"/>
        <w:jc w:val="both"/>
      </w:pPr>
      <w:r w:rsidRPr="001F1A44">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1F1A44">
        <w:rPr>
          <w:rFonts w:ascii="Palatino Linotype" w:eastAsia="Palatino Linotype" w:hAnsi="Palatino Linotype" w:cs="Palatino Linotype"/>
          <w:b/>
        </w:rPr>
        <w:t xml:space="preserve"> </w:t>
      </w:r>
      <w:r w:rsidRPr="001F1A44">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1F1A44">
        <w:rPr>
          <w:rFonts w:ascii="Palatino Linotype" w:eastAsia="Palatino Linotype" w:hAnsi="Palatino Linotype" w:cs="Palatino Linotype"/>
          <w:i/>
        </w:rPr>
        <w:t>ad hoc</w:t>
      </w:r>
      <w:r w:rsidRPr="001F1A44">
        <w:rPr>
          <w:rFonts w:ascii="Palatino Linotype" w:eastAsia="Palatino Linotype" w:hAnsi="Palatino Linotype" w:cs="Palatino Linotype"/>
        </w:rPr>
        <w:t xml:space="preserve">, para satisfacer el derecho de acceso a la información pública, como así lo establece el criterio 03/17 emitido por el Instituto </w:t>
      </w:r>
      <w:r w:rsidRPr="001F1A44">
        <w:rPr>
          <w:rFonts w:ascii="Palatino Linotype" w:eastAsia="Palatino Linotype" w:hAnsi="Palatino Linotype" w:cs="Palatino Linotype"/>
        </w:rPr>
        <w:lastRenderedPageBreak/>
        <w:t>Nacional de Transparencia, Acceso a la Información Pública y Protección de Datos Personales, el cual señala lo siguiente:</w:t>
      </w:r>
    </w:p>
    <w:p w14:paraId="2FDD4B9E" w14:textId="77777777" w:rsidR="00CA45CA" w:rsidRPr="001F1A44" w:rsidRDefault="00AD389B">
      <w:pPr>
        <w:pBdr>
          <w:top w:val="nil"/>
          <w:left w:val="nil"/>
          <w:bottom w:val="nil"/>
          <w:right w:val="nil"/>
          <w:between w:val="nil"/>
        </w:pBdr>
        <w:spacing w:before="240" w:after="240"/>
        <w:ind w:left="567" w:right="567"/>
        <w:jc w:val="both"/>
      </w:pPr>
      <w:r w:rsidRPr="001F1A44">
        <w:rPr>
          <w:rFonts w:ascii="Palatino Linotype" w:eastAsia="Palatino Linotype" w:hAnsi="Palatino Linotype" w:cs="Palatino Linotype"/>
          <w:b/>
          <w:i/>
          <w:sz w:val="22"/>
          <w:szCs w:val="22"/>
        </w:rPr>
        <w:t>03/17</w:t>
      </w:r>
    </w:p>
    <w:p w14:paraId="57AAC137" w14:textId="77777777" w:rsidR="00CA45CA" w:rsidRPr="001F1A44" w:rsidRDefault="00AD389B">
      <w:pPr>
        <w:pBdr>
          <w:top w:val="nil"/>
          <w:left w:val="nil"/>
          <w:bottom w:val="nil"/>
          <w:right w:val="nil"/>
          <w:between w:val="nil"/>
        </w:pBdr>
        <w:spacing w:before="240" w:after="240"/>
        <w:ind w:left="567" w:right="567"/>
        <w:jc w:val="both"/>
      </w:pPr>
      <w:r w:rsidRPr="001F1A44">
        <w:rPr>
          <w:rFonts w:ascii="Palatino Linotype" w:eastAsia="Palatino Linotype" w:hAnsi="Palatino Linotype" w:cs="Palatino Linotype"/>
          <w:b/>
          <w:i/>
          <w:sz w:val="22"/>
          <w:szCs w:val="22"/>
        </w:rPr>
        <w:t>“NO EXISTE OBLIGACIÓN DE ELABORAR DOCUMENTOS AD HOC PARA ATENDER LAS SOLICITUDES DE ACCESO A LA INFORMACIÓN.</w:t>
      </w:r>
    </w:p>
    <w:p w14:paraId="4CC34C7F" w14:textId="77777777" w:rsidR="00CA45CA" w:rsidRPr="001F1A44" w:rsidRDefault="00AD389B">
      <w:pPr>
        <w:pBdr>
          <w:top w:val="nil"/>
          <w:left w:val="nil"/>
          <w:bottom w:val="nil"/>
          <w:right w:val="nil"/>
          <w:between w:val="nil"/>
        </w:pBdr>
        <w:spacing w:before="240" w:after="240"/>
        <w:ind w:left="567" w:right="567"/>
        <w:jc w:val="both"/>
      </w:pPr>
      <w:r w:rsidRPr="001F1A4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B5A8517" w14:textId="77777777" w:rsidR="00CA45CA" w:rsidRPr="001F1A44" w:rsidRDefault="00AD389B">
      <w:pPr>
        <w:pBdr>
          <w:top w:val="nil"/>
          <w:left w:val="nil"/>
          <w:bottom w:val="nil"/>
          <w:right w:val="nil"/>
          <w:between w:val="nil"/>
        </w:pBdr>
        <w:spacing w:before="240" w:after="240" w:line="360" w:lineRule="auto"/>
        <w:jc w:val="both"/>
      </w:pPr>
      <w:r w:rsidRPr="001F1A44">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B0C534" w14:textId="77777777" w:rsidR="00CA45CA" w:rsidRPr="001F1A44" w:rsidRDefault="00AD389B">
      <w:pPr>
        <w:pBdr>
          <w:top w:val="nil"/>
          <w:left w:val="nil"/>
          <w:bottom w:val="nil"/>
          <w:right w:val="nil"/>
          <w:between w:val="nil"/>
        </w:pBdr>
        <w:spacing w:before="240" w:after="240" w:line="360" w:lineRule="auto"/>
        <w:ind w:right="49"/>
        <w:jc w:val="both"/>
      </w:pPr>
      <w:r w:rsidRPr="001F1A44">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1F1A44">
        <w:rPr>
          <w:rFonts w:ascii="Palatino Linotype" w:eastAsia="Palatino Linotype" w:hAnsi="Palatino Linotype" w:cs="Palatino Linotype"/>
        </w:rPr>
        <w:lastRenderedPageBreak/>
        <w:t>Ley de Transparencia y Acceso a la Información Pública del Estado de México y Municipios.</w:t>
      </w:r>
    </w:p>
    <w:p w14:paraId="4A8A53DA" w14:textId="77777777" w:rsidR="00CA45CA" w:rsidRPr="001F1A44" w:rsidRDefault="00AD389B">
      <w:pPr>
        <w:pBdr>
          <w:top w:val="nil"/>
          <w:left w:val="nil"/>
          <w:bottom w:val="nil"/>
          <w:right w:val="nil"/>
          <w:between w:val="nil"/>
        </w:pBdr>
        <w:spacing w:before="240" w:after="240" w:line="360" w:lineRule="auto"/>
        <w:jc w:val="both"/>
      </w:pPr>
      <w:r w:rsidRPr="001F1A44">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7BFA49E" w14:textId="77777777" w:rsidR="00CA45CA" w:rsidRPr="001F1A44" w:rsidRDefault="00AD389B">
      <w:pPr>
        <w:pBdr>
          <w:top w:val="nil"/>
          <w:left w:val="nil"/>
          <w:bottom w:val="nil"/>
          <w:right w:val="nil"/>
          <w:between w:val="nil"/>
        </w:pBdr>
        <w:spacing w:before="240" w:after="240"/>
        <w:ind w:left="567" w:right="567"/>
        <w:jc w:val="both"/>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 xml:space="preserve">Artículo 3. </w:t>
      </w:r>
      <w:r w:rsidRPr="001F1A44">
        <w:rPr>
          <w:rFonts w:ascii="Palatino Linotype" w:eastAsia="Palatino Linotype" w:hAnsi="Palatino Linotype" w:cs="Palatino Linotype"/>
          <w:i/>
          <w:sz w:val="22"/>
          <w:szCs w:val="22"/>
        </w:rPr>
        <w:t>Para los efectos de la presente Ley se entenderá por:</w:t>
      </w:r>
    </w:p>
    <w:p w14:paraId="4E1B13BE" w14:textId="77777777" w:rsidR="00CA45CA" w:rsidRPr="001F1A44" w:rsidRDefault="00AD389B">
      <w:pPr>
        <w:pBdr>
          <w:top w:val="nil"/>
          <w:left w:val="nil"/>
          <w:bottom w:val="nil"/>
          <w:right w:val="nil"/>
          <w:between w:val="nil"/>
        </w:pBdr>
        <w:spacing w:before="240" w:after="240"/>
        <w:ind w:left="567" w:right="567"/>
        <w:jc w:val="both"/>
      </w:pPr>
      <w:r w:rsidRPr="001F1A44">
        <w:rPr>
          <w:rFonts w:ascii="Palatino Linotype" w:eastAsia="Palatino Linotype" w:hAnsi="Palatino Linotype" w:cs="Palatino Linotype"/>
          <w:i/>
          <w:sz w:val="22"/>
          <w:szCs w:val="22"/>
        </w:rPr>
        <w:t>…</w:t>
      </w:r>
    </w:p>
    <w:p w14:paraId="7FD151C3" w14:textId="77777777" w:rsidR="00CA45CA" w:rsidRPr="001F1A44" w:rsidRDefault="00AD389B">
      <w:pPr>
        <w:pBdr>
          <w:top w:val="nil"/>
          <w:left w:val="nil"/>
          <w:bottom w:val="nil"/>
          <w:right w:val="nil"/>
          <w:between w:val="nil"/>
        </w:pBdr>
        <w:spacing w:before="240" w:after="240"/>
        <w:ind w:left="567" w:right="567"/>
        <w:jc w:val="both"/>
      </w:pPr>
      <w:r w:rsidRPr="001F1A44">
        <w:rPr>
          <w:rFonts w:ascii="Palatino Linotype" w:eastAsia="Palatino Linotype" w:hAnsi="Palatino Linotype" w:cs="Palatino Linotype"/>
          <w:b/>
          <w:i/>
          <w:sz w:val="22"/>
          <w:szCs w:val="22"/>
        </w:rPr>
        <w:t>XI. Documento:</w:t>
      </w:r>
      <w:r w:rsidRPr="001F1A4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1F1A44">
        <w:rPr>
          <w:rFonts w:ascii="Palatino Linotype" w:eastAsia="Palatino Linotype" w:hAnsi="Palatino Linotype" w:cs="Palatino Linotype"/>
          <w:b/>
          <w:i/>
          <w:sz w:val="22"/>
          <w:szCs w:val="22"/>
        </w:rPr>
        <w:t>…</w:t>
      </w:r>
      <w:r w:rsidRPr="001F1A44">
        <w:rPr>
          <w:rFonts w:ascii="Palatino Linotype" w:eastAsia="Palatino Linotype" w:hAnsi="Palatino Linotype" w:cs="Palatino Linotype"/>
          <w:i/>
          <w:sz w:val="22"/>
          <w:szCs w:val="22"/>
        </w:rPr>
        <w:t>” (Sic)</w:t>
      </w:r>
    </w:p>
    <w:p w14:paraId="1C3A9BB4" w14:textId="77777777" w:rsidR="00CA45CA" w:rsidRPr="001F1A44" w:rsidRDefault="00AD389B">
      <w:pPr>
        <w:pBdr>
          <w:top w:val="nil"/>
          <w:left w:val="nil"/>
          <w:bottom w:val="nil"/>
          <w:right w:val="nil"/>
          <w:between w:val="nil"/>
        </w:pBdr>
        <w:spacing w:before="240" w:after="240" w:line="360" w:lineRule="auto"/>
        <w:jc w:val="both"/>
      </w:pPr>
      <w:r w:rsidRPr="001F1A44">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F741798" w14:textId="77777777" w:rsidR="00CA45CA" w:rsidRPr="001F1A44" w:rsidRDefault="00AD389B">
      <w:pPr>
        <w:pBdr>
          <w:top w:val="nil"/>
          <w:left w:val="nil"/>
          <w:bottom w:val="nil"/>
          <w:right w:val="nil"/>
          <w:between w:val="nil"/>
        </w:pBdr>
        <w:spacing w:before="240" w:after="240"/>
        <w:ind w:left="567" w:right="567"/>
        <w:jc w:val="both"/>
      </w:pPr>
      <w:r w:rsidRPr="001F1A44">
        <w:rPr>
          <w:rFonts w:ascii="Palatino Linotype" w:eastAsia="Palatino Linotype" w:hAnsi="Palatino Linotype" w:cs="Palatino Linotype"/>
          <w:b/>
          <w:sz w:val="22"/>
          <w:szCs w:val="22"/>
        </w:rPr>
        <w:lastRenderedPageBreak/>
        <w:t>“</w:t>
      </w:r>
      <w:r w:rsidRPr="001F1A44">
        <w:rPr>
          <w:rFonts w:ascii="Palatino Linotype" w:eastAsia="Palatino Linotype" w:hAnsi="Palatino Linotype" w:cs="Palatino Linotype"/>
          <w:b/>
          <w:i/>
          <w:sz w:val="22"/>
          <w:szCs w:val="22"/>
        </w:rPr>
        <w:t>CRITERIO 0002-11</w:t>
      </w:r>
    </w:p>
    <w:p w14:paraId="73B9D578" w14:textId="77777777" w:rsidR="00CA45CA" w:rsidRPr="001F1A44" w:rsidRDefault="00AD389B">
      <w:pPr>
        <w:pBdr>
          <w:top w:val="nil"/>
          <w:left w:val="nil"/>
          <w:bottom w:val="nil"/>
          <w:right w:val="nil"/>
          <w:between w:val="nil"/>
        </w:pBdr>
        <w:spacing w:before="240" w:after="240"/>
        <w:ind w:left="567" w:right="567"/>
        <w:jc w:val="both"/>
      </w:pPr>
      <w:r w:rsidRPr="001F1A4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F1A4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3F3FB9" w14:textId="77777777" w:rsidR="00CA45CA" w:rsidRPr="001F1A44" w:rsidRDefault="00AD389B">
      <w:pPr>
        <w:pBdr>
          <w:top w:val="nil"/>
          <w:left w:val="nil"/>
          <w:bottom w:val="nil"/>
          <w:right w:val="nil"/>
          <w:between w:val="nil"/>
        </w:pBdr>
        <w:spacing w:before="240" w:after="240"/>
        <w:ind w:left="567" w:right="567"/>
        <w:jc w:val="both"/>
      </w:pPr>
      <w:r w:rsidRPr="001F1A4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47C820A" w14:textId="77777777" w:rsidR="00CA45CA" w:rsidRPr="001F1A44" w:rsidRDefault="00AD389B">
      <w:pPr>
        <w:numPr>
          <w:ilvl w:val="0"/>
          <w:numId w:val="9"/>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37956757" w14:textId="77777777" w:rsidR="00CA45CA" w:rsidRPr="001F1A44" w:rsidRDefault="00AD389B">
      <w:pPr>
        <w:numPr>
          <w:ilvl w:val="0"/>
          <w:numId w:val="9"/>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9AA46CC" w14:textId="77777777" w:rsidR="00CA45CA" w:rsidRPr="001F1A44" w:rsidRDefault="00AD389B">
      <w:pPr>
        <w:pBdr>
          <w:top w:val="nil"/>
          <w:left w:val="nil"/>
          <w:bottom w:val="nil"/>
          <w:right w:val="nil"/>
          <w:between w:val="nil"/>
        </w:pBdr>
        <w:spacing w:before="240" w:after="240"/>
        <w:ind w:left="567" w:right="567" w:hanging="284"/>
        <w:jc w:val="both"/>
      </w:pPr>
      <w:r w:rsidRPr="001F1A44">
        <w:rPr>
          <w:rFonts w:ascii="Palatino Linotype" w:eastAsia="Palatino Linotype" w:hAnsi="Palatino Linotype" w:cs="Palatino Linotype"/>
          <w:i/>
          <w:sz w:val="22"/>
          <w:szCs w:val="22"/>
        </w:rPr>
        <w:t xml:space="preserve">3. </w:t>
      </w:r>
      <w:r w:rsidRPr="001F1A44">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(Énfasis añadido)</w:t>
      </w:r>
    </w:p>
    <w:p w14:paraId="146B0A48" w14:textId="77777777" w:rsidR="00CA45CA" w:rsidRPr="001F1A44" w:rsidRDefault="00AD389B">
      <w:pPr>
        <w:pBdr>
          <w:top w:val="nil"/>
          <w:left w:val="nil"/>
          <w:bottom w:val="nil"/>
          <w:right w:val="nil"/>
          <w:between w:val="nil"/>
        </w:pBdr>
        <w:spacing w:before="240" w:after="240" w:line="360" w:lineRule="auto"/>
        <w:jc w:val="both"/>
      </w:pPr>
      <w:r w:rsidRPr="001F1A44">
        <w:rPr>
          <w:rFonts w:ascii="Palatino Linotype" w:eastAsia="Palatino Linotype" w:hAnsi="Palatino Linotype" w:cs="Palatino Linotype"/>
        </w:rPr>
        <w:t xml:space="preserve">De ahí que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9761D88"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le proporcionara lo siguiente:</w:t>
      </w:r>
    </w:p>
    <w:p w14:paraId="7357DF24" w14:textId="77777777" w:rsidR="00CA45CA" w:rsidRPr="001F1A44" w:rsidRDefault="00AD389B">
      <w:pPr>
        <w:numPr>
          <w:ilvl w:val="0"/>
          <w:numId w:val="3"/>
        </w:num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Respecto del </w:t>
      </w:r>
      <w:proofErr w:type="spellStart"/>
      <w:r w:rsidRPr="001F1A44">
        <w:rPr>
          <w:rFonts w:ascii="Palatino Linotype" w:eastAsia="Palatino Linotype" w:hAnsi="Palatino Linotype" w:cs="Palatino Linotype"/>
        </w:rPr>
        <w:t>excomisario</w:t>
      </w:r>
      <w:proofErr w:type="spellEnd"/>
      <w:r w:rsidRPr="001F1A44">
        <w:rPr>
          <w:rFonts w:ascii="Palatino Linotype" w:eastAsia="Palatino Linotype" w:hAnsi="Palatino Linotype" w:cs="Palatino Linotype"/>
        </w:rPr>
        <w:t xml:space="preserve"> de seguridad pública del Municipio de Coatepec Harinas: </w:t>
      </w:r>
    </w:p>
    <w:p w14:paraId="0D186822" w14:textId="77777777" w:rsidR="00CA45CA" w:rsidRPr="001F1A44" w:rsidRDefault="00AD389B">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1F1A44">
        <w:rPr>
          <w:rFonts w:ascii="Palatino Linotype" w:eastAsia="Palatino Linotype" w:hAnsi="Palatino Linotype" w:cs="Palatino Linotype"/>
          <w:b/>
        </w:rPr>
        <w:t>1. Documento que acredite que estuvo incluido en la licencia oficial colectiva 139.</w:t>
      </w:r>
    </w:p>
    <w:p w14:paraId="7C5FA429" w14:textId="77777777" w:rsidR="00CA45CA" w:rsidRPr="001F1A44" w:rsidRDefault="00AD389B">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1F1A44">
        <w:rPr>
          <w:rFonts w:ascii="Palatino Linotype" w:eastAsia="Palatino Linotype" w:hAnsi="Palatino Linotype" w:cs="Palatino Linotype"/>
          <w:b/>
        </w:rPr>
        <w:t>2. Credencial que ampare la portación de arma del comisario.</w:t>
      </w:r>
    </w:p>
    <w:p w14:paraId="7C29A17E" w14:textId="77777777" w:rsidR="00CA45CA" w:rsidRPr="001F1A44" w:rsidRDefault="00AD389B">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3. CUP (CERTIFICADO ÚNICO POLICIAL) </w:t>
      </w:r>
    </w:p>
    <w:p w14:paraId="64254E7D" w14:textId="77777777" w:rsidR="00CA45CA" w:rsidRPr="001F1A44" w:rsidRDefault="00AD389B">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1F1A44">
        <w:rPr>
          <w:rFonts w:ascii="Palatino Linotype" w:eastAsia="Palatino Linotype" w:hAnsi="Palatino Linotype" w:cs="Palatino Linotype"/>
          <w:b/>
        </w:rPr>
        <w:t>4. Número de procedimientos administrativos ante la contralora interna del municipio o ante la comisión de honor justicia, penales o quejas ante la comisión de derechos humanos por hostigamiento, acoso, abuso sexual.</w:t>
      </w:r>
    </w:p>
    <w:p w14:paraId="06410B06" w14:textId="77777777" w:rsidR="00CA45CA" w:rsidRPr="001F1A44" w:rsidRDefault="00CA45CA">
      <w:pPr>
        <w:tabs>
          <w:tab w:val="left" w:pos="7513"/>
        </w:tabs>
        <w:spacing w:line="360" w:lineRule="auto"/>
        <w:ind w:right="49"/>
        <w:jc w:val="both"/>
        <w:rPr>
          <w:rFonts w:ascii="Palatino Linotype" w:eastAsia="Palatino Linotype" w:hAnsi="Palatino Linotype" w:cs="Palatino Linotype"/>
        </w:rPr>
      </w:pPr>
    </w:p>
    <w:p w14:paraId="08509117" w14:textId="77777777" w:rsidR="00CA45CA" w:rsidRPr="001F1A44" w:rsidRDefault="00AD389B">
      <w:pPr>
        <w:tabs>
          <w:tab w:val="left" w:pos="7513"/>
        </w:tabs>
        <w:spacing w:line="360" w:lineRule="auto"/>
        <w:ind w:right="49"/>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Es de precisar que el </w:t>
      </w:r>
      <w:r w:rsidRPr="001F1A44">
        <w:rPr>
          <w:rFonts w:ascii="Palatino Linotype" w:eastAsia="Palatino Linotype" w:hAnsi="Palatino Linotype" w:cs="Palatino Linotype"/>
          <w:b/>
        </w:rPr>
        <w:t xml:space="preserve">Sujeto Obligado </w:t>
      </w:r>
      <w:r w:rsidRPr="001F1A44">
        <w:rPr>
          <w:rFonts w:ascii="Palatino Linotype" w:eastAsia="Palatino Linotype" w:hAnsi="Palatino Linotype" w:cs="Palatino Linotype"/>
        </w:rPr>
        <w:t>en respuesta proporcionó los pronunciamientos del Director de Seguridad Pública, Tránsito, Protección Civil y Bomberos, Contralor Municipal, Vicepresidente de la Comisión Municipal de Honor y Justicia y Defensora Municipal de los Derechos Humanos, quienes medularmente refieren que para proporcionar una respuesta adecuada, debe precisarse el nombre completo y el periodo de encargo del servidor público al que se refiere.</w:t>
      </w:r>
    </w:p>
    <w:p w14:paraId="15DAE3C5" w14:textId="77777777" w:rsidR="00CA45CA" w:rsidRPr="001F1A44" w:rsidRDefault="00CA45CA">
      <w:pPr>
        <w:tabs>
          <w:tab w:val="left" w:pos="7513"/>
        </w:tabs>
        <w:spacing w:line="360" w:lineRule="auto"/>
        <w:ind w:right="49"/>
        <w:jc w:val="both"/>
        <w:rPr>
          <w:rFonts w:ascii="Palatino Linotype" w:eastAsia="Palatino Linotype" w:hAnsi="Palatino Linotype" w:cs="Palatino Linotype"/>
        </w:rPr>
      </w:pPr>
    </w:p>
    <w:p w14:paraId="0960A9D4" w14:textId="77777777" w:rsidR="00CA45CA" w:rsidRPr="001F1A44" w:rsidRDefault="00AD389B">
      <w:pPr>
        <w:spacing w:line="360" w:lineRule="auto"/>
        <w:jc w:val="both"/>
        <w:rPr>
          <w:rFonts w:ascii="Palatino Linotype" w:eastAsia="Palatino Linotype" w:hAnsi="Palatino Linotype" w:cs="Palatino Linotype"/>
          <w:b/>
          <w:i/>
        </w:rPr>
      </w:pPr>
      <w:r w:rsidRPr="001F1A44">
        <w:rPr>
          <w:rFonts w:ascii="Palatino Linotype" w:eastAsia="Palatino Linotype" w:hAnsi="Palatino Linotype" w:cs="Palatino Linotype"/>
        </w:rPr>
        <w:lastRenderedPageBreak/>
        <w:t xml:space="preserve">En esta tesitura, una vez conocida la respuesta emitida por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al no estar conforme con los términos de la misma, interpuso el recurso de revisión que nos ocupa, donde señaló en su acto impugnado lo siguiente: </w:t>
      </w:r>
      <w:r w:rsidRPr="001F1A44">
        <w:rPr>
          <w:rFonts w:ascii="Palatino Linotype" w:eastAsia="Palatino Linotype" w:hAnsi="Palatino Linotype" w:cs="Palatino Linotype"/>
          <w:b/>
          <w:i/>
        </w:rPr>
        <w:t xml:space="preserve">“La Negativa a la información, aludiendo que se debe escribir el Nombre.” </w:t>
      </w:r>
      <w:r w:rsidRPr="001F1A44">
        <w:rPr>
          <w:rFonts w:ascii="Palatino Linotype" w:eastAsia="Palatino Linotype" w:hAnsi="Palatino Linotype" w:cs="Palatino Linotype"/>
          <w:i/>
        </w:rPr>
        <w:t xml:space="preserve">(Sic) </w:t>
      </w:r>
      <w:r w:rsidRPr="001F1A44">
        <w:rPr>
          <w:rFonts w:ascii="Palatino Linotype" w:eastAsia="Palatino Linotype" w:hAnsi="Palatino Linotype" w:cs="Palatino Linotype"/>
        </w:rPr>
        <w:t>es decir, su inconformidad medularmente versa sobre la negativa a entregar la información solicitada.</w:t>
      </w:r>
    </w:p>
    <w:p w14:paraId="5C5FD267"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Así las cosas, durante la etapa de manifestaciones, se tiene que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medularmente refiere que con la información proporcionada hasta el recurso de revisión, se puede incitar al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a inferir o a adivinar respecto a qué servidor público hace referencia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mientras que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fue omisa en pronunciarse, por lo tanto, se tiene por </w:t>
      </w:r>
      <w:proofErr w:type="spellStart"/>
      <w:r w:rsidRPr="001F1A44">
        <w:rPr>
          <w:rFonts w:ascii="Palatino Linotype" w:eastAsia="Palatino Linotype" w:hAnsi="Palatino Linotype" w:cs="Palatino Linotype"/>
        </w:rPr>
        <w:t>precluido</w:t>
      </w:r>
      <w:proofErr w:type="spellEnd"/>
      <w:r w:rsidRPr="001F1A44">
        <w:rPr>
          <w:rFonts w:ascii="Palatino Linotype" w:eastAsia="Palatino Linotype" w:hAnsi="Palatino Linotype" w:cs="Palatino Linotype"/>
        </w:rPr>
        <w:t xml:space="preserve"> su derecho para tal efecto.</w:t>
      </w:r>
    </w:p>
    <w:p w14:paraId="63178F95" w14:textId="77777777" w:rsidR="00CA45CA" w:rsidRPr="001F1A44" w:rsidRDefault="00AD389B">
      <w:pPr>
        <w:pBdr>
          <w:top w:val="nil"/>
          <w:left w:val="nil"/>
          <w:bottom w:val="nil"/>
          <w:right w:val="nil"/>
          <w:between w:val="nil"/>
        </w:pBdr>
        <w:spacing w:line="360" w:lineRule="auto"/>
        <w:jc w:val="both"/>
      </w:pPr>
      <w:r w:rsidRPr="001F1A44">
        <w:rPr>
          <w:rFonts w:ascii="Palatino Linotype" w:eastAsia="Palatino Linotype" w:hAnsi="Palatino Linotype" w:cs="Palatino Linotype"/>
        </w:rPr>
        <w:t xml:space="preserve">Expuestas las posturas de las partes, conviene iniciar el presente estudio señalando que para efecto de tener mayores elementos para poder atender la solicitud de información,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debió ejercer la facultad conferida en el artículo 159 primer párrafo de la Ley de Transparencia y Acceso a la Información Pública del Estado de México, para que a través del Titular de la Unidad de Transparencia, se requiriera a la persona solicitante al quinto día hábil posterior a la presentación de la solicitud, a efecto de que, dentro de los diez días hábiles siguientes, ampliara los datos de su solicitud a efecto de asegurar la continuidad del proceso de acceso a la información, debiendo especificar correctamente los elementos requeridos.</w:t>
      </w:r>
    </w:p>
    <w:p w14:paraId="19EC42FD"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i/>
        </w:rPr>
      </w:pPr>
      <w:r w:rsidRPr="001F1A44">
        <w:rPr>
          <w:rFonts w:ascii="Palatino Linotype" w:eastAsia="Palatino Linotype" w:hAnsi="Palatino Linotype" w:cs="Palatino Linotype"/>
        </w:rPr>
        <w:lastRenderedPageBreak/>
        <w:t xml:space="preserve">En tal tesitura, de un ejercicio de interpretación a la solicitud y a los motivos de inconformidad, en los que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señaló </w:t>
      </w:r>
      <w:r w:rsidRPr="001F1A44">
        <w:rPr>
          <w:rFonts w:ascii="Palatino Linotype" w:eastAsia="Palatino Linotype" w:hAnsi="Palatino Linotype" w:cs="Palatino Linotype"/>
          <w:i/>
        </w:rPr>
        <w:t xml:space="preserve"> “Toda vez que se solicita la información del exdirector de seguridad </w:t>
      </w:r>
      <w:proofErr w:type="spellStart"/>
      <w:r w:rsidRPr="001F1A44">
        <w:rPr>
          <w:rFonts w:ascii="Palatino Linotype" w:eastAsia="Palatino Linotype" w:hAnsi="Palatino Linotype" w:cs="Palatino Linotype"/>
          <w:i/>
        </w:rPr>
        <w:t>publica</w:t>
      </w:r>
      <w:proofErr w:type="spellEnd"/>
      <w:r w:rsidRPr="001F1A44">
        <w:rPr>
          <w:rFonts w:ascii="Palatino Linotype" w:eastAsia="Palatino Linotype" w:hAnsi="Palatino Linotype" w:cs="Palatino Linotype"/>
          <w:i/>
        </w:rPr>
        <w:t xml:space="preserve"> es de notoriedad obvia que hace un mes se quedaron sin comisario, tal y como se observa en su directorio del Ayuntamiento de Coatepec, es así que en su contestación aluden a toda intención de proteger y fingir no saber a </w:t>
      </w:r>
      <w:proofErr w:type="spellStart"/>
      <w:r w:rsidRPr="001F1A44">
        <w:rPr>
          <w:rFonts w:ascii="Palatino Linotype" w:eastAsia="Palatino Linotype" w:hAnsi="Palatino Linotype" w:cs="Palatino Linotype"/>
          <w:i/>
        </w:rPr>
        <w:t>que</w:t>
      </w:r>
      <w:proofErr w:type="spellEnd"/>
      <w:r w:rsidRPr="001F1A44">
        <w:rPr>
          <w:rFonts w:ascii="Palatino Linotype" w:eastAsia="Palatino Linotype" w:hAnsi="Palatino Linotype" w:cs="Palatino Linotype"/>
          <w:i/>
        </w:rPr>
        <w:t xml:space="preserve"> </w:t>
      </w:r>
      <w:proofErr w:type="spellStart"/>
      <w:r w:rsidRPr="001F1A44">
        <w:rPr>
          <w:rFonts w:ascii="Palatino Linotype" w:eastAsia="Palatino Linotype" w:hAnsi="Palatino Linotype" w:cs="Palatino Linotype"/>
          <w:i/>
        </w:rPr>
        <w:t>excomisario</w:t>
      </w:r>
      <w:proofErr w:type="spellEnd"/>
      <w:r w:rsidRPr="001F1A44">
        <w:rPr>
          <w:rFonts w:ascii="Palatino Linotype" w:eastAsia="Palatino Linotype" w:hAnsi="Palatino Linotype" w:cs="Palatino Linotype"/>
          <w:i/>
        </w:rPr>
        <w:t>, a sabiendas que se trata de esta administración.”</w:t>
      </w:r>
      <w:r w:rsidRPr="001F1A44">
        <w:rPr>
          <w:rFonts w:ascii="Palatino Linotype" w:eastAsia="Palatino Linotype" w:hAnsi="Palatino Linotype" w:cs="Palatino Linotype"/>
          <w:b/>
          <w:i/>
        </w:rPr>
        <w:t xml:space="preserve"> </w:t>
      </w:r>
      <w:r w:rsidRPr="001F1A44">
        <w:rPr>
          <w:rFonts w:ascii="Palatino Linotype" w:eastAsia="Palatino Linotype" w:hAnsi="Palatino Linotype" w:cs="Palatino Linotype"/>
          <w:i/>
        </w:rPr>
        <w:t>(Sic),</w:t>
      </w:r>
      <w:r w:rsidRPr="001F1A44">
        <w:rPr>
          <w:rFonts w:ascii="Palatino Linotype" w:eastAsia="Palatino Linotype" w:hAnsi="Palatino Linotype" w:cs="Palatino Linotype"/>
        </w:rPr>
        <w:t xml:space="preserve"> este Instituto advirtió que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se refiere al último Director de Seguridad Pública, quien de conformidad con la gaceta municipal fungió a partir del mes de mayo de 2022, hasta el veintitrés de marzo de 2023, lo anterior encuentra sustento en los siguientes indicios:</w:t>
      </w:r>
    </w:p>
    <w:p w14:paraId="17D2A10E"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1.- Gaceta municipal del mes de mayo, se visualiza que el Lic. Marco Antonio Pérez </w:t>
      </w:r>
      <w:proofErr w:type="spellStart"/>
      <w:r w:rsidRPr="001F1A44">
        <w:rPr>
          <w:rFonts w:ascii="Palatino Linotype" w:eastAsia="Palatino Linotype" w:hAnsi="Palatino Linotype" w:cs="Palatino Linotype"/>
          <w:b/>
        </w:rPr>
        <w:t>Maruri</w:t>
      </w:r>
      <w:proofErr w:type="spellEnd"/>
      <w:r w:rsidRPr="001F1A44">
        <w:rPr>
          <w:rFonts w:ascii="Palatino Linotype" w:eastAsia="Palatino Linotype" w:hAnsi="Palatino Linotype" w:cs="Palatino Linotype"/>
          <w:b/>
        </w:rPr>
        <w:t xml:space="preserve"> aparece como Director de Seguridad Pública</w:t>
      </w:r>
      <w:r w:rsidRPr="001F1A44">
        <w:t xml:space="preserve"> </w:t>
      </w:r>
      <w:r w:rsidRPr="001F1A44">
        <w:rPr>
          <w:rFonts w:ascii="Palatino Linotype" w:eastAsia="Palatino Linotype" w:hAnsi="Palatino Linotype" w:cs="Palatino Linotype"/>
          <w:b/>
        </w:rPr>
        <w:t>Tránsito, Protección Civil y Bomberos:</w:t>
      </w:r>
    </w:p>
    <w:p w14:paraId="067951F5" w14:textId="77777777" w:rsidR="00CA45CA" w:rsidRPr="001F1A44" w:rsidRDefault="00AD389B">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1F1A44">
        <w:rPr>
          <w:rFonts w:ascii="Palatino Linotype" w:eastAsia="Palatino Linotype" w:hAnsi="Palatino Linotype" w:cs="Palatino Linotype"/>
          <w:noProof/>
          <w:lang w:val="es-MX"/>
        </w:rPr>
        <w:drawing>
          <wp:inline distT="0" distB="0" distL="0" distR="0" wp14:anchorId="7B2CDE85" wp14:editId="03618B62">
            <wp:extent cx="3972479" cy="1086002"/>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972479" cy="1086002"/>
                    </a:xfrm>
                    <a:prstGeom prst="rect">
                      <a:avLst/>
                    </a:prstGeom>
                    <a:ln/>
                  </pic:spPr>
                </pic:pic>
              </a:graphicData>
            </a:graphic>
          </wp:inline>
        </w:drawing>
      </w:r>
    </w:p>
    <w:p w14:paraId="7749DC7F"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2.- El Lic. Marco Antonio Pérez </w:t>
      </w:r>
      <w:proofErr w:type="spellStart"/>
      <w:r w:rsidRPr="001F1A44">
        <w:rPr>
          <w:rFonts w:ascii="Palatino Linotype" w:eastAsia="Palatino Linotype" w:hAnsi="Palatino Linotype" w:cs="Palatino Linotype"/>
          <w:b/>
        </w:rPr>
        <w:t>Maruri</w:t>
      </w:r>
      <w:proofErr w:type="spellEnd"/>
      <w:r w:rsidRPr="001F1A44">
        <w:rPr>
          <w:rFonts w:ascii="Palatino Linotype" w:eastAsia="Palatino Linotype" w:hAnsi="Palatino Linotype" w:cs="Palatino Linotype"/>
          <w:b/>
        </w:rPr>
        <w:t xml:space="preserve"> fungió como servidor público habilitado de la Dirección de Seguridad Pública, Tránsito, Protección Civil y Bomberos para atender la solicitud de información 00074/COATHAR/IP/2022, misma a la que recayó el recurso de revisión 11675/INFOEM/IP/RR/2022:</w:t>
      </w:r>
    </w:p>
    <w:p w14:paraId="679CF2B0" w14:textId="77777777" w:rsidR="00CA45CA" w:rsidRPr="001F1A44" w:rsidRDefault="00AD389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F1A44">
        <w:rPr>
          <w:rFonts w:ascii="Palatino Linotype" w:eastAsia="Palatino Linotype" w:hAnsi="Palatino Linotype" w:cs="Palatino Linotype"/>
          <w:b/>
          <w:noProof/>
          <w:lang w:val="es-MX"/>
        </w:rPr>
        <w:lastRenderedPageBreak/>
        <w:drawing>
          <wp:inline distT="0" distB="0" distL="0" distR="0" wp14:anchorId="502CD3D7" wp14:editId="62C7C382">
            <wp:extent cx="5216301" cy="6215532"/>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216301" cy="6215532"/>
                    </a:xfrm>
                    <a:prstGeom prst="rect">
                      <a:avLst/>
                    </a:prstGeom>
                    <a:ln/>
                  </pic:spPr>
                </pic:pic>
              </a:graphicData>
            </a:graphic>
          </wp:inline>
        </w:drawing>
      </w:r>
      <w:r w:rsidRPr="001F1A44">
        <w:rPr>
          <w:noProof/>
          <w:lang w:val="es-MX"/>
        </w:rPr>
        <mc:AlternateContent>
          <mc:Choice Requires="wps">
            <w:drawing>
              <wp:anchor distT="0" distB="0" distL="114300" distR="114300" simplePos="0" relativeHeight="251658240" behindDoc="0" locked="0" layoutInCell="1" hidden="0" allowOverlap="1" wp14:anchorId="24A43B5A" wp14:editId="4B85BF77">
                <wp:simplePos x="0" y="0"/>
                <wp:positionH relativeFrom="column">
                  <wp:posOffset>990600</wp:posOffset>
                </wp:positionH>
                <wp:positionV relativeFrom="paragraph">
                  <wp:posOffset>4673600</wp:posOffset>
                </wp:positionV>
                <wp:extent cx="3124200" cy="1409700"/>
                <wp:effectExtent l="0" t="0" r="0" b="0"/>
                <wp:wrapNone/>
                <wp:docPr id="2" name="Rectángulo 2"/>
                <wp:cNvGraphicFramePr/>
                <a:graphic xmlns:a="http://schemas.openxmlformats.org/drawingml/2006/main">
                  <a:graphicData uri="http://schemas.microsoft.com/office/word/2010/wordprocessingShape">
                    <wps:wsp>
                      <wps:cNvSpPr/>
                      <wps:spPr>
                        <a:xfrm>
                          <a:off x="3798188" y="3089438"/>
                          <a:ext cx="3095625" cy="1381125"/>
                        </a:xfrm>
                        <a:prstGeom prst="rect">
                          <a:avLst/>
                        </a:prstGeom>
                        <a:noFill/>
                        <a:ln w="28575" cap="flat" cmpd="sng">
                          <a:solidFill>
                            <a:srgbClr val="00B0F0"/>
                          </a:solidFill>
                          <a:prstDash val="solid"/>
                          <a:round/>
                          <a:headEnd type="none" w="sm" len="sm"/>
                          <a:tailEnd type="none" w="sm" len="sm"/>
                        </a:ln>
                      </wps:spPr>
                      <wps:txbx>
                        <w:txbxContent>
                          <w:p w14:paraId="6B888299" w14:textId="77777777" w:rsidR="00CA45CA" w:rsidRDefault="00CA45C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43B5A" id="Rectángulo 2" o:spid="_x0000_s1026" style="position:absolute;left:0;text-align:left;margin-left:78pt;margin-top:368pt;width:246pt;height:11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" filled="f" strokecolor="#00b0f0" strokeweight="2.25pt">
                <v:stroke startarrowwidth="narrow" startarrowlength="short" endarrowwidth="narrow" endarrowlength="short" joinstyle="round"/>
                <v:textbox inset="2.53958mm,2.53958mm,2.53958mm,2.53958mm">
                  <w:txbxContent>
                    <w:p w14:paraId="6B888299" w14:textId="77777777" w:rsidR="00CA45CA" w:rsidRDefault="00CA45CA">
                      <w:pPr>
                        <w:textDirection w:val="btLr"/>
                      </w:pPr>
                    </w:p>
                  </w:txbxContent>
                </v:textbox>
              </v:rect>
            </w:pict>
          </mc:Fallback>
        </mc:AlternateContent>
      </w:r>
    </w:p>
    <w:p w14:paraId="0B174233" w14:textId="77777777" w:rsidR="00CA45CA" w:rsidRPr="001F1A44" w:rsidRDefault="00CA45CA">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p>
    <w:p w14:paraId="16536676" w14:textId="77777777" w:rsidR="00CA45CA" w:rsidRPr="001F1A44" w:rsidRDefault="00CA45CA">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p>
    <w:p w14:paraId="188E7EBB"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b/>
        </w:rPr>
        <w:lastRenderedPageBreak/>
        <w:t>3.- En el portal de Información Pública de Oficio Mexiquense (IPOMEX), en el apartado de remuneraciones, se reporta al servidor público en mención como Director de Seguridad Pública, Tránsito, Protección Civil y Bomberos:</w:t>
      </w:r>
    </w:p>
    <w:p w14:paraId="2DA098D0" w14:textId="77777777" w:rsidR="00CA45CA" w:rsidRPr="001F1A44" w:rsidRDefault="00AD389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F1A44">
        <w:rPr>
          <w:rFonts w:ascii="Palatino Linotype" w:eastAsia="Palatino Linotype" w:hAnsi="Palatino Linotype" w:cs="Palatino Linotype"/>
          <w:b/>
          <w:noProof/>
          <w:lang w:val="es-MX"/>
        </w:rPr>
        <w:drawing>
          <wp:inline distT="0" distB="0" distL="0" distR="0" wp14:anchorId="650F14EA" wp14:editId="0EA2494D">
            <wp:extent cx="5125165" cy="242921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125165" cy="2429214"/>
                    </a:xfrm>
                    <a:prstGeom prst="rect">
                      <a:avLst/>
                    </a:prstGeom>
                    <a:ln/>
                  </pic:spPr>
                </pic:pic>
              </a:graphicData>
            </a:graphic>
          </wp:inline>
        </w:drawing>
      </w:r>
    </w:p>
    <w:p w14:paraId="051324FB"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b/>
        </w:rPr>
        <w:t>4.- En el acta de la sexagésima sesión ordinaria de cabildo de fecha veintitrés de marzo de 2023, se designó como Director de Seguridad Pública, Tránsito, Protección Civil y Bomberos al Ciudadano Francisco Xavier Orduña Pérez, dejando sin efectos el nombramiento del titular anterior.</w:t>
      </w:r>
    </w:p>
    <w:p w14:paraId="4A7E5440" w14:textId="77777777" w:rsidR="00CA45CA" w:rsidRPr="001F1A44" w:rsidRDefault="00AD389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F1A44">
        <w:rPr>
          <w:rFonts w:ascii="Palatino Linotype" w:eastAsia="Palatino Linotype" w:hAnsi="Palatino Linotype" w:cs="Palatino Linotype"/>
          <w:b/>
          <w:noProof/>
          <w:lang w:val="es-MX"/>
        </w:rPr>
        <w:lastRenderedPageBreak/>
        <w:drawing>
          <wp:inline distT="0" distB="0" distL="0" distR="0" wp14:anchorId="02E2BEDB" wp14:editId="4FC08DA8">
            <wp:extent cx="4531523" cy="2917444"/>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531523" cy="2917444"/>
                    </a:xfrm>
                    <a:prstGeom prst="rect">
                      <a:avLst/>
                    </a:prstGeom>
                    <a:ln/>
                  </pic:spPr>
                </pic:pic>
              </a:graphicData>
            </a:graphic>
          </wp:inline>
        </w:drawing>
      </w:r>
    </w:p>
    <w:p w14:paraId="6B72F563" w14:textId="77777777" w:rsidR="00CA45CA" w:rsidRPr="001F1A44" w:rsidRDefault="00AD389B">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F1A44">
        <w:rPr>
          <w:rFonts w:ascii="Palatino Linotype" w:eastAsia="Palatino Linotype" w:hAnsi="Palatino Linotype" w:cs="Palatino Linotype"/>
          <w:b/>
          <w:noProof/>
          <w:lang w:val="es-MX"/>
        </w:rPr>
        <w:drawing>
          <wp:inline distT="0" distB="0" distL="0" distR="0" wp14:anchorId="2907456B" wp14:editId="16FEED1F">
            <wp:extent cx="4634749" cy="2101317"/>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634749" cy="2101317"/>
                    </a:xfrm>
                    <a:prstGeom prst="rect">
                      <a:avLst/>
                    </a:prstGeom>
                    <a:ln/>
                  </pic:spPr>
                </pic:pic>
              </a:graphicData>
            </a:graphic>
          </wp:inline>
        </w:drawing>
      </w:r>
    </w:p>
    <w:p w14:paraId="343CC483"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Por lo anterior, se tiene que en efecto el derecho humano de acceso a la información pública accionado por la persona solicitante se vulneró, pues con la información aportada por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se deduce que sus requerimientos versan en estricto sentido del Lic. Marco Antonio Pérez </w:t>
      </w:r>
      <w:proofErr w:type="spellStart"/>
      <w:r w:rsidRPr="001F1A44">
        <w:rPr>
          <w:rFonts w:ascii="Palatino Linotype" w:eastAsia="Palatino Linotype" w:hAnsi="Palatino Linotype" w:cs="Palatino Linotype"/>
        </w:rPr>
        <w:t>Maruri</w:t>
      </w:r>
      <w:proofErr w:type="spellEnd"/>
      <w:r w:rsidRPr="001F1A44">
        <w:rPr>
          <w:rFonts w:ascii="Palatino Linotype" w:eastAsia="Palatino Linotype" w:hAnsi="Palatino Linotype" w:cs="Palatino Linotype"/>
        </w:rPr>
        <w:t xml:space="preserve"> en su carácter de exdirector de  Seguridad Pública, Tránsito, Protección Civil y Bomberos, por lo tanto, no se justifica la negativa a entregar la información solicitada.</w:t>
      </w:r>
    </w:p>
    <w:p w14:paraId="1A4B9EA6"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Establecido lo anterior, se procede al análisis de las documentales requeridas, a saber: </w:t>
      </w:r>
    </w:p>
    <w:p w14:paraId="6211FD9A" w14:textId="77777777" w:rsidR="00CA45CA" w:rsidRPr="001F1A44" w:rsidRDefault="00AD389B">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1. Documento que acredite </w:t>
      </w:r>
      <w:proofErr w:type="spellStart"/>
      <w:r w:rsidRPr="001F1A44">
        <w:rPr>
          <w:rFonts w:ascii="Palatino Linotype" w:eastAsia="Palatino Linotype" w:hAnsi="Palatino Linotype" w:cs="Palatino Linotype"/>
          <w:b/>
        </w:rPr>
        <w:t>si</w:t>
      </w:r>
      <w:proofErr w:type="spellEnd"/>
      <w:r w:rsidRPr="001F1A44">
        <w:rPr>
          <w:rFonts w:ascii="Palatino Linotype" w:eastAsia="Palatino Linotype" w:hAnsi="Palatino Linotype" w:cs="Palatino Linotype"/>
          <w:b/>
        </w:rPr>
        <w:t xml:space="preserve"> estuvo incluido en la licencia oficial colectiva 139 </w:t>
      </w:r>
    </w:p>
    <w:p w14:paraId="673AD8BB" w14:textId="77777777" w:rsidR="00CA45CA" w:rsidRPr="001F1A44" w:rsidRDefault="00AD389B">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1F1A44">
        <w:rPr>
          <w:rFonts w:ascii="Palatino Linotype" w:eastAsia="Palatino Linotype" w:hAnsi="Palatino Linotype" w:cs="Palatino Linotype"/>
          <w:b/>
        </w:rPr>
        <w:t>2.- Documento que acredite si obtuvo credencial que ampare la portación de arma que portó el comisario.</w:t>
      </w:r>
    </w:p>
    <w:p w14:paraId="57996B54" w14:textId="77777777" w:rsidR="00CA45CA" w:rsidRPr="001F1A44" w:rsidRDefault="00AD389B">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3. CUP (Certificado Único Policial) </w:t>
      </w:r>
    </w:p>
    <w:p w14:paraId="33B756D9" w14:textId="77777777" w:rsidR="00CA45CA" w:rsidRPr="001F1A44" w:rsidRDefault="00AD389B">
      <w:pPr>
        <w:pBdr>
          <w:top w:val="nil"/>
          <w:left w:val="nil"/>
          <w:bottom w:val="nil"/>
          <w:right w:val="nil"/>
          <w:between w:val="nil"/>
        </w:pBdr>
        <w:tabs>
          <w:tab w:val="left" w:pos="7513"/>
        </w:tabs>
        <w:spacing w:line="360" w:lineRule="auto"/>
        <w:ind w:left="720" w:right="900"/>
        <w:jc w:val="both"/>
        <w:rPr>
          <w:rFonts w:ascii="Palatino Linotype" w:eastAsia="Palatino Linotype" w:hAnsi="Palatino Linotype" w:cs="Palatino Linotype"/>
          <w:b/>
        </w:rPr>
      </w:pPr>
      <w:r w:rsidRPr="001F1A44">
        <w:rPr>
          <w:rFonts w:ascii="Palatino Linotype" w:eastAsia="Palatino Linotype" w:hAnsi="Palatino Linotype" w:cs="Palatino Linotype"/>
          <w:b/>
        </w:rPr>
        <w:t>4. Número de procedimientos administrativos ante la contralora interna del municipio o ante la comisión de honor justicia, penales o quejas ante la comisión de derechos humanos por hostigamiento, acoso, abuso sexual.</w:t>
      </w:r>
    </w:p>
    <w:p w14:paraId="1B8B9ACD"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1.- Del documento que acredite </w:t>
      </w:r>
      <w:proofErr w:type="spellStart"/>
      <w:r w:rsidRPr="001F1A44">
        <w:rPr>
          <w:rFonts w:ascii="Palatino Linotype" w:eastAsia="Palatino Linotype" w:hAnsi="Palatino Linotype" w:cs="Palatino Linotype"/>
          <w:b/>
        </w:rPr>
        <w:t>si</w:t>
      </w:r>
      <w:proofErr w:type="spellEnd"/>
      <w:r w:rsidRPr="001F1A44">
        <w:rPr>
          <w:rFonts w:ascii="Palatino Linotype" w:eastAsia="Palatino Linotype" w:hAnsi="Palatino Linotype" w:cs="Palatino Linotype"/>
          <w:b/>
        </w:rPr>
        <w:t xml:space="preserve"> estuvo incluido en la licencia oficial colectiva 139.</w:t>
      </w:r>
    </w:p>
    <w:p w14:paraId="55BE6763" w14:textId="77777777" w:rsidR="00CA45CA" w:rsidRPr="001F1A44" w:rsidRDefault="00AD389B">
      <w:pPr>
        <w:shd w:val="clear" w:color="auto" w:fill="FFFFFF"/>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Para analizar este punto, debemos traer a colación lo previsto por la Ley Federal de Armas de Fuego y Explosivos y su Reglamento, los cuales señalan lo siguiente, relativo a la expedición de las Licencias de portación de armas, responsables y sujetos a quienes les pueden ser otorgadas y bajo qué modalidad en los siguientes términos:</w:t>
      </w:r>
    </w:p>
    <w:p w14:paraId="049134A8" w14:textId="77777777" w:rsidR="00CA45CA" w:rsidRPr="001F1A44" w:rsidRDefault="00CA45CA">
      <w:pPr>
        <w:shd w:val="clear" w:color="auto" w:fill="FFFFFF"/>
        <w:ind w:left="709" w:right="474"/>
        <w:jc w:val="center"/>
        <w:rPr>
          <w:rFonts w:ascii="Palatino Linotype" w:eastAsia="Palatino Linotype" w:hAnsi="Palatino Linotype" w:cs="Palatino Linotype"/>
          <w:b/>
          <w:i/>
        </w:rPr>
      </w:pPr>
    </w:p>
    <w:p w14:paraId="519DD5E4" w14:textId="77777777" w:rsidR="00CA45CA" w:rsidRPr="001F1A44" w:rsidRDefault="00AD389B">
      <w:pPr>
        <w:shd w:val="clear" w:color="auto" w:fill="FFFFFF"/>
        <w:ind w:left="567" w:right="474"/>
        <w:jc w:val="both"/>
        <w:rPr>
          <w:rFonts w:ascii="Palatino Linotype" w:eastAsia="Palatino Linotype" w:hAnsi="Palatino Linotype" w:cs="Palatino Linotype"/>
          <w:b/>
          <w:sz w:val="18"/>
          <w:szCs w:val="18"/>
        </w:rPr>
      </w:pPr>
      <w:r w:rsidRPr="001F1A44">
        <w:rPr>
          <w:rFonts w:ascii="Palatino Linotype" w:eastAsia="Palatino Linotype" w:hAnsi="Palatino Linotype" w:cs="Palatino Linotype"/>
          <w:b/>
          <w:sz w:val="22"/>
          <w:szCs w:val="22"/>
        </w:rPr>
        <w:t>Ley Federal de Armas de Fuego y Explosivos</w:t>
      </w:r>
    </w:p>
    <w:p w14:paraId="2F2362E5" w14:textId="77777777" w:rsidR="00CA45CA" w:rsidRPr="001F1A44" w:rsidRDefault="00CA45CA">
      <w:pPr>
        <w:shd w:val="clear" w:color="auto" w:fill="FFFFFF"/>
        <w:ind w:left="709" w:right="474"/>
        <w:jc w:val="both"/>
        <w:rPr>
          <w:rFonts w:ascii="Palatino Linotype" w:eastAsia="Palatino Linotype" w:hAnsi="Palatino Linotype" w:cs="Palatino Linotype"/>
          <w:b/>
          <w:i/>
        </w:rPr>
      </w:pPr>
    </w:p>
    <w:p w14:paraId="7B95C793"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24.- Para portar armas se requiere la licencia respectiva</w:t>
      </w:r>
      <w:r w:rsidRPr="001F1A44">
        <w:rPr>
          <w:rFonts w:ascii="Palatino Linotype" w:eastAsia="Palatino Linotype" w:hAnsi="Palatino Linotype" w:cs="Palatino Linotype"/>
          <w:i/>
          <w:sz w:val="22"/>
          <w:szCs w:val="22"/>
        </w:rPr>
        <w:t>.</w:t>
      </w:r>
    </w:p>
    <w:p w14:paraId="3C16512E"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3F353870"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lastRenderedPageBreak/>
        <w:t>Los miembros del Ejército, Armada y Fuerza Aérea quedan exceptuados de lo anterior, en los casos y condiciones que señalen las leyes y reglamentos aplicables.</w:t>
      </w:r>
    </w:p>
    <w:p w14:paraId="77C2FBA6"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0E3CFCC7"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Los integrantes de las </w:t>
      </w:r>
      <w:r w:rsidRPr="001F1A44">
        <w:rPr>
          <w:rFonts w:ascii="Palatino Linotype" w:eastAsia="Palatino Linotype" w:hAnsi="Palatino Linotype" w:cs="Palatino Linotype"/>
          <w:b/>
          <w:i/>
          <w:sz w:val="22"/>
          <w:szCs w:val="22"/>
        </w:rPr>
        <w:t>instituciones policiales</w:t>
      </w:r>
      <w:r w:rsidRPr="001F1A44">
        <w:rPr>
          <w:rFonts w:ascii="Palatino Linotype" w:eastAsia="Palatino Linotype" w:hAnsi="Palatino Linotype" w:cs="Palatino Linotype"/>
          <w:i/>
          <w:sz w:val="22"/>
          <w:szCs w:val="22"/>
        </w:rPr>
        <w:t xml:space="preserve">, federales, estatales, del Distrito Federal y </w:t>
      </w:r>
      <w:r w:rsidRPr="001F1A44">
        <w:rPr>
          <w:rFonts w:ascii="Palatino Linotype" w:eastAsia="Palatino Linotype" w:hAnsi="Palatino Linotype" w:cs="Palatino Linotype"/>
          <w:b/>
          <w:i/>
          <w:sz w:val="22"/>
          <w:szCs w:val="22"/>
        </w:rPr>
        <w:t>municipales</w:t>
      </w:r>
      <w:r w:rsidRPr="001F1A44">
        <w:rPr>
          <w:rFonts w:ascii="Palatino Linotype" w:eastAsia="Palatino Linotype" w:hAnsi="Palatino Linotype" w:cs="Palatino Linotype"/>
          <w:i/>
          <w:sz w:val="22"/>
          <w:szCs w:val="22"/>
        </w:rPr>
        <w:t xml:space="preserve">, así como de los servicios privados de seguridad, </w:t>
      </w:r>
      <w:r w:rsidRPr="001F1A44">
        <w:rPr>
          <w:rFonts w:ascii="Palatino Linotype" w:eastAsia="Palatino Linotype" w:hAnsi="Palatino Linotype" w:cs="Palatino Linotype"/>
          <w:b/>
          <w:i/>
          <w:sz w:val="22"/>
          <w:szCs w:val="22"/>
        </w:rPr>
        <w:t>podrán portar armas en los casos, condiciones y requisitos que establecen la presente ley</w:t>
      </w:r>
      <w:r w:rsidRPr="001F1A44">
        <w:rPr>
          <w:rFonts w:ascii="Palatino Linotype" w:eastAsia="Palatino Linotype" w:hAnsi="Palatino Linotype" w:cs="Palatino Linotype"/>
          <w:i/>
          <w:sz w:val="22"/>
          <w:szCs w:val="22"/>
        </w:rPr>
        <w:t xml:space="preserve"> y las demás disposiciones legales aplicables.</w:t>
      </w:r>
    </w:p>
    <w:p w14:paraId="54BA204E"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03762B27"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25</w:t>
      </w:r>
      <w:r w:rsidRPr="001F1A44">
        <w:rPr>
          <w:rFonts w:ascii="Palatino Linotype" w:eastAsia="Palatino Linotype" w:hAnsi="Palatino Linotype" w:cs="Palatino Linotype"/>
          <w:i/>
          <w:sz w:val="22"/>
          <w:szCs w:val="22"/>
        </w:rPr>
        <w:t xml:space="preserve">.- </w:t>
      </w:r>
      <w:r w:rsidRPr="001F1A44">
        <w:rPr>
          <w:rFonts w:ascii="Palatino Linotype" w:eastAsia="Palatino Linotype" w:hAnsi="Palatino Linotype" w:cs="Palatino Linotype"/>
          <w:b/>
          <w:i/>
          <w:sz w:val="22"/>
          <w:szCs w:val="22"/>
        </w:rPr>
        <w:t>Las licencias</w:t>
      </w:r>
      <w:r w:rsidRPr="001F1A44">
        <w:rPr>
          <w:rFonts w:ascii="Palatino Linotype" w:eastAsia="Palatino Linotype" w:hAnsi="Palatino Linotype" w:cs="Palatino Linotype"/>
          <w:i/>
          <w:sz w:val="22"/>
          <w:szCs w:val="22"/>
        </w:rPr>
        <w:t xml:space="preserve"> para la portación de armas </w:t>
      </w:r>
      <w:r w:rsidRPr="001F1A44">
        <w:rPr>
          <w:rFonts w:ascii="Palatino Linotype" w:eastAsia="Palatino Linotype" w:hAnsi="Palatino Linotype" w:cs="Palatino Linotype"/>
          <w:b/>
          <w:i/>
          <w:sz w:val="22"/>
          <w:szCs w:val="22"/>
        </w:rPr>
        <w:t>serán de dos clases</w:t>
      </w:r>
      <w:r w:rsidRPr="001F1A44">
        <w:rPr>
          <w:rFonts w:ascii="Palatino Linotype" w:eastAsia="Palatino Linotype" w:hAnsi="Palatino Linotype" w:cs="Palatino Linotype"/>
          <w:i/>
          <w:sz w:val="22"/>
          <w:szCs w:val="22"/>
        </w:rPr>
        <w:t>:</w:t>
      </w:r>
    </w:p>
    <w:p w14:paraId="67623056"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3CE543C9"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 Particulares; que deberán revalidarse cada dos años, y</w:t>
      </w:r>
    </w:p>
    <w:p w14:paraId="4266491D"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II.- </w:t>
      </w:r>
      <w:r w:rsidRPr="001F1A44">
        <w:rPr>
          <w:rFonts w:ascii="Palatino Linotype" w:eastAsia="Palatino Linotype" w:hAnsi="Palatino Linotype" w:cs="Palatino Linotype"/>
          <w:b/>
          <w:i/>
          <w:sz w:val="22"/>
          <w:szCs w:val="22"/>
        </w:rPr>
        <w:t>Oficiales</w:t>
      </w:r>
      <w:r w:rsidRPr="001F1A44">
        <w:rPr>
          <w:rFonts w:ascii="Palatino Linotype" w:eastAsia="Palatino Linotype" w:hAnsi="Palatino Linotype" w:cs="Palatino Linotype"/>
          <w:i/>
          <w:sz w:val="22"/>
          <w:szCs w:val="22"/>
        </w:rPr>
        <w:t xml:space="preserve">, que </w:t>
      </w:r>
      <w:r w:rsidRPr="001F1A44">
        <w:rPr>
          <w:rFonts w:ascii="Palatino Linotype" w:eastAsia="Palatino Linotype" w:hAnsi="Palatino Linotype" w:cs="Palatino Linotype"/>
          <w:b/>
          <w:i/>
          <w:sz w:val="22"/>
          <w:szCs w:val="22"/>
        </w:rPr>
        <w:t>tendrán validez mientras se desempeñe el cargo</w:t>
      </w:r>
      <w:r w:rsidRPr="001F1A44">
        <w:rPr>
          <w:rFonts w:ascii="Palatino Linotype" w:eastAsia="Palatino Linotype" w:hAnsi="Palatino Linotype" w:cs="Palatino Linotype"/>
          <w:i/>
          <w:sz w:val="22"/>
          <w:szCs w:val="22"/>
        </w:rPr>
        <w:t xml:space="preserve"> o empleo que las motivó.</w:t>
      </w:r>
    </w:p>
    <w:p w14:paraId="690FC83B"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1D817273"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b/>
          <w:i/>
          <w:sz w:val="22"/>
          <w:szCs w:val="22"/>
          <w:u w:val="single"/>
        </w:rPr>
      </w:pPr>
      <w:r w:rsidRPr="001F1A44">
        <w:rPr>
          <w:rFonts w:ascii="Palatino Linotype" w:eastAsia="Palatino Linotype" w:hAnsi="Palatino Linotype" w:cs="Palatino Linotype"/>
          <w:b/>
          <w:i/>
          <w:sz w:val="22"/>
          <w:szCs w:val="22"/>
          <w:u w:val="single"/>
        </w:rPr>
        <w:t>Artículo 29.- Las licencias oficiales para la portación de armas pueden ser colectivas o individuales.</w:t>
      </w:r>
    </w:p>
    <w:p w14:paraId="0A1078A7"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34F14E19"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I. Las licencias colectivas podrán expedirse a:</w:t>
      </w:r>
    </w:p>
    <w:p w14:paraId="284DEE19"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A. Las dependencias oficiales y organismos públicos federales a cuyo cargo se encuentran las instalaciones estratégicas del país.</w:t>
      </w:r>
    </w:p>
    <w:p w14:paraId="50B406D4"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w:t>
      </w:r>
    </w:p>
    <w:p w14:paraId="2576D360" w14:textId="77777777" w:rsidR="00CA45CA" w:rsidRPr="001F1A44" w:rsidRDefault="00CA45CA">
      <w:pPr>
        <w:shd w:val="clear" w:color="auto" w:fill="FFFFFF"/>
        <w:spacing w:line="276" w:lineRule="auto"/>
        <w:ind w:left="709" w:right="474"/>
        <w:jc w:val="both"/>
        <w:rPr>
          <w:rFonts w:ascii="Palatino Linotype" w:eastAsia="Palatino Linotype" w:hAnsi="Palatino Linotype" w:cs="Palatino Linotype"/>
          <w:i/>
          <w:sz w:val="22"/>
          <w:szCs w:val="22"/>
        </w:rPr>
      </w:pPr>
    </w:p>
    <w:p w14:paraId="5A97D3FA" w14:textId="77777777" w:rsidR="00CA45CA" w:rsidRPr="001F1A44" w:rsidRDefault="00AD389B">
      <w:pPr>
        <w:shd w:val="clear" w:color="auto" w:fill="FFFFFF"/>
        <w:spacing w:line="276" w:lineRule="auto"/>
        <w:ind w:left="567" w:right="104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B. Las instituciones policiales</w:t>
      </w:r>
      <w:r w:rsidRPr="001F1A44">
        <w:rPr>
          <w:rFonts w:ascii="Palatino Linotype" w:eastAsia="Palatino Linotype" w:hAnsi="Palatino Linotype" w:cs="Palatino Linotype"/>
          <w:i/>
          <w:sz w:val="22"/>
          <w:szCs w:val="22"/>
        </w:rPr>
        <w:t>. Estas licencias se sujetarán a los lineamientos siguientes:</w:t>
      </w:r>
    </w:p>
    <w:p w14:paraId="0DAC1050" w14:textId="77777777" w:rsidR="00CA45CA" w:rsidRPr="001F1A44" w:rsidRDefault="00CA45CA">
      <w:pPr>
        <w:shd w:val="clear" w:color="auto" w:fill="FFFFFF"/>
        <w:spacing w:line="276" w:lineRule="auto"/>
        <w:ind w:left="567" w:right="1041"/>
        <w:jc w:val="both"/>
        <w:rPr>
          <w:rFonts w:ascii="Palatino Linotype" w:eastAsia="Palatino Linotype" w:hAnsi="Palatino Linotype" w:cs="Palatino Linotype"/>
          <w:i/>
          <w:sz w:val="22"/>
          <w:szCs w:val="22"/>
        </w:rPr>
      </w:pPr>
    </w:p>
    <w:p w14:paraId="1CFA9585" w14:textId="77777777" w:rsidR="00CA45CA" w:rsidRPr="001F1A44" w:rsidRDefault="00AD389B">
      <w:pPr>
        <w:shd w:val="clear" w:color="auto" w:fill="FFFFFF"/>
        <w:spacing w:line="276" w:lineRule="auto"/>
        <w:ind w:left="567" w:right="104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a) Dichas instituciones deberán cumplir con las disposiciones legales de orden federal o local que resulten aplicables.</w:t>
      </w:r>
    </w:p>
    <w:p w14:paraId="5446DB98" w14:textId="77777777" w:rsidR="00CA45CA" w:rsidRPr="001F1A44" w:rsidRDefault="00CA45CA">
      <w:pPr>
        <w:shd w:val="clear" w:color="auto" w:fill="FFFFFF"/>
        <w:spacing w:line="276" w:lineRule="auto"/>
        <w:ind w:left="567" w:right="1041"/>
        <w:jc w:val="both"/>
        <w:rPr>
          <w:rFonts w:ascii="Palatino Linotype" w:eastAsia="Palatino Linotype" w:hAnsi="Palatino Linotype" w:cs="Palatino Linotype"/>
          <w:i/>
          <w:sz w:val="22"/>
          <w:szCs w:val="22"/>
        </w:rPr>
      </w:pPr>
    </w:p>
    <w:p w14:paraId="3D632C9D" w14:textId="77777777" w:rsidR="00CA45CA" w:rsidRPr="001F1A44" w:rsidRDefault="00AD389B">
      <w:pPr>
        <w:shd w:val="clear" w:color="auto" w:fill="FFFFFF"/>
        <w:ind w:left="567" w:right="474"/>
        <w:rPr>
          <w:rFonts w:ascii="Palatino Linotype" w:eastAsia="Palatino Linotype" w:hAnsi="Palatino Linotype" w:cs="Palatino Linotype"/>
          <w:b/>
          <w:sz w:val="22"/>
          <w:szCs w:val="22"/>
        </w:rPr>
      </w:pPr>
      <w:r w:rsidRPr="001F1A44">
        <w:rPr>
          <w:rFonts w:ascii="Palatino Linotype" w:eastAsia="Palatino Linotype" w:hAnsi="Palatino Linotype" w:cs="Palatino Linotype"/>
          <w:b/>
          <w:sz w:val="22"/>
          <w:szCs w:val="22"/>
        </w:rPr>
        <w:t>Reglamento de la Ley Federal de Armas de Fuego y Explosivos</w:t>
      </w:r>
    </w:p>
    <w:p w14:paraId="20B34713" w14:textId="77777777" w:rsidR="00CA45CA" w:rsidRPr="001F1A44" w:rsidRDefault="00CA45CA">
      <w:pPr>
        <w:shd w:val="clear" w:color="auto" w:fill="FFFFFF"/>
        <w:ind w:left="709" w:right="474"/>
        <w:jc w:val="both"/>
        <w:rPr>
          <w:rFonts w:ascii="Palatino Linotype" w:eastAsia="Palatino Linotype" w:hAnsi="Palatino Linotype" w:cs="Palatino Linotype"/>
          <w:i/>
        </w:rPr>
      </w:pPr>
    </w:p>
    <w:p w14:paraId="18BA54AF"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“ARTICULO 7o.- La portación de armas</w:t>
      </w:r>
      <w:r w:rsidRPr="001F1A44">
        <w:rPr>
          <w:rFonts w:ascii="Palatino Linotype" w:eastAsia="Palatino Linotype" w:hAnsi="Palatino Linotype" w:cs="Palatino Linotype"/>
          <w:i/>
          <w:sz w:val="22"/>
          <w:szCs w:val="22"/>
        </w:rPr>
        <w:t xml:space="preserve"> se ajustará estrictamente a lo dispuesto en las </w:t>
      </w:r>
      <w:r w:rsidRPr="001F1A44">
        <w:rPr>
          <w:rFonts w:ascii="Palatino Linotype" w:eastAsia="Palatino Linotype" w:hAnsi="Palatino Linotype" w:cs="Palatino Linotype"/>
          <w:b/>
          <w:i/>
          <w:sz w:val="22"/>
          <w:szCs w:val="22"/>
        </w:rPr>
        <w:t>licencias respectivas.</w:t>
      </w:r>
      <w:r w:rsidRPr="001F1A44">
        <w:rPr>
          <w:rFonts w:ascii="Palatino Linotype" w:eastAsia="Palatino Linotype" w:hAnsi="Palatino Linotype" w:cs="Palatino Linotype"/>
          <w:i/>
          <w:sz w:val="22"/>
          <w:szCs w:val="22"/>
        </w:rPr>
        <w:t xml:space="preserve"> </w:t>
      </w:r>
    </w:p>
    <w:p w14:paraId="3F4F7A91"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671DE0F8"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lastRenderedPageBreak/>
        <w:t>ARTÍCULO 22.- Las licencias</w:t>
      </w:r>
      <w:r w:rsidRPr="001F1A44">
        <w:rPr>
          <w:rFonts w:ascii="Palatino Linotype" w:eastAsia="Palatino Linotype" w:hAnsi="Palatino Linotype" w:cs="Palatino Linotype"/>
          <w:i/>
          <w:sz w:val="22"/>
          <w:szCs w:val="22"/>
        </w:rPr>
        <w:t xml:space="preserve"> particulares y las </w:t>
      </w:r>
      <w:r w:rsidRPr="001F1A44">
        <w:rPr>
          <w:rFonts w:ascii="Palatino Linotype" w:eastAsia="Palatino Linotype" w:hAnsi="Palatino Linotype" w:cs="Palatino Linotype"/>
          <w:b/>
          <w:i/>
          <w:sz w:val="22"/>
          <w:szCs w:val="22"/>
        </w:rPr>
        <w:t>oficiales colectivas</w:t>
      </w:r>
      <w:r w:rsidRPr="001F1A44">
        <w:rPr>
          <w:rFonts w:ascii="Palatino Linotype" w:eastAsia="Palatino Linotype" w:hAnsi="Palatino Linotype" w:cs="Palatino Linotype"/>
          <w:i/>
          <w:sz w:val="22"/>
          <w:szCs w:val="22"/>
        </w:rPr>
        <w:t xml:space="preserve"> para la portación de armas, </w:t>
      </w:r>
      <w:r w:rsidRPr="001F1A44">
        <w:rPr>
          <w:rFonts w:ascii="Palatino Linotype" w:eastAsia="Palatino Linotype" w:hAnsi="Palatino Linotype" w:cs="Palatino Linotype"/>
          <w:b/>
          <w:i/>
          <w:sz w:val="22"/>
          <w:szCs w:val="22"/>
        </w:rPr>
        <w:t>serán expedidas exclusivamente por la Secretaría</w:t>
      </w:r>
      <w:r w:rsidRPr="001F1A44">
        <w:rPr>
          <w:rFonts w:ascii="Palatino Linotype" w:eastAsia="Palatino Linotype" w:hAnsi="Palatino Linotype" w:cs="Palatino Linotype"/>
          <w:i/>
          <w:sz w:val="22"/>
          <w:szCs w:val="22"/>
        </w:rPr>
        <w:t>.</w:t>
      </w:r>
    </w:p>
    <w:p w14:paraId="004C7133"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0F9F629C"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Para las licencias particulares se cubrirán anticipadamente los derechos que procedan.</w:t>
      </w:r>
    </w:p>
    <w:p w14:paraId="7096AD2C"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Los Generales, Jefes y Oficiales del Ejército, Fuerza Aérea y Armada de México, que vestidos de civil porten armas, deberán identificarse con su credencial, cuantas veces sean requeridos para ello por autoridad competente.</w:t>
      </w:r>
    </w:p>
    <w:p w14:paraId="5F7E6986"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0FA3255B"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Los individuos de tropa en actos fuera del servicio, sólo podrán portar armas cuando tengan autorización escrita de la Secretaría de la Defensa Nacional o de Marina, en su caso.</w:t>
      </w:r>
    </w:p>
    <w:p w14:paraId="00DCC836"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ARTICULO 28</w:t>
      </w:r>
      <w:r w:rsidRPr="001F1A44">
        <w:rPr>
          <w:rFonts w:ascii="Palatino Linotype" w:eastAsia="Palatino Linotype" w:hAnsi="Palatino Linotype" w:cs="Palatino Linotype"/>
          <w:i/>
          <w:sz w:val="22"/>
          <w:szCs w:val="22"/>
        </w:rPr>
        <w:t xml:space="preserve">.- Las </w:t>
      </w:r>
      <w:r w:rsidRPr="001F1A44">
        <w:rPr>
          <w:rFonts w:ascii="Palatino Linotype" w:eastAsia="Palatino Linotype" w:hAnsi="Palatino Linotype" w:cs="Palatino Linotype"/>
          <w:b/>
          <w:i/>
          <w:sz w:val="22"/>
          <w:szCs w:val="22"/>
        </w:rPr>
        <w:t>licencias oficiales</w:t>
      </w:r>
      <w:r w:rsidRPr="001F1A44">
        <w:rPr>
          <w:rFonts w:ascii="Palatino Linotype" w:eastAsia="Palatino Linotype" w:hAnsi="Palatino Linotype" w:cs="Palatino Linotype"/>
          <w:i/>
          <w:sz w:val="22"/>
          <w:szCs w:val="22"/>
        </w:rPr>
        <w:t xml:space="preserve"> y las que se gestionen para empleos o cargos de los Estados o </w:t>
      </w:r>
      <w:r w:rsidRPr="001F1A44">
        <w:rPr>
          <w:rFonts w:ascii="Palatino Linotype" w:eastAsia="Palatino Linotype" w:hAnsi="Palatino Linotype" w:cs="Palatino Linotype"/>
          <w:b/>
          <w:i/>
          <w:sz w:val="22"/>
          <w:szCs w:val="22"/>
        </w:rPr>
        <w:t>de los Municipios</w:t>
      </w:r>
      <w:r w:rsidRPr="001F1A44">
        <w:rPr>
          <w:rFonts w:ascii="Palatino Linotype" w:eastAsia="Palatino Linotype" w:hAnsi="Palatino Linotype" w:cs="Palatino Linotype"/>
          <w:i/>
          <w:sz w:val="22"/>
          <w:szCs w:val="22"/>
        </w:rPr>
        <w:t xml:space="preserve">, se expedirán </w:t>
      </w:r>
      <w:r w:rsidRPr="001F1A44">
        <w:rPr>
          <w:rFonts w:ascii="Palatino Linotype" w:eastAsia="Palatino Linotype" w:hAnsi="Palatino Linotype" w:cs="Palatino Linotype"/>
          <w:b/>
          <w:i/>
          <w:sz w:val="22"/>
          <w:szCs w:val="22"/>
        </w:rPr>
        <w:t>previa petición de la autoridad de quien dependa el interesado</w:t>
      </w:r>
      <w:r w:rsidRPr="001F1A44">
        <w:rPr>
          <w:rFonts w:ascii="Palatino Linotype" w:eastAsia="Palatino Linotype" w:hAnsi="Palatino Linotype" w:cs="Palatino Linotype"/>
          <w:i/>
          <w:sz w:val="22"/>
          <w:szCs w:val="22"/>
        </w:rPr>
        <w:t>; en las colectivas, se acompañará, además, constancia o certificado de que el personal para el que se pretende la licencia, figura en nóminas de pago.”</w:t>
      </w:r>
    </w:p>
    <w:p w14:paraId="30F98347" w14:textId="77777777" w:rsidR="00CA45CA" w:rsidRPr="001F1A44" w:rsidRDefault="00CA45CA">
      <w:pPr>
        <w:shd w:val="clear" w:color="auto" w:fill="FFFFFF"/>
        <w:spacing w:line="360" w:lineRule="auto"/>
        <w:jc w:val="both"/>
        <w:rPr>
          <w:rFonts w:ascii="Palatino Linotype" w:eastAsia="Palatino Linotype" w:hAnsi="Palatino Linotype" w:cs="Palatino Linotype"/>
        </w:rPr>
      </w:pPr>
    </w:p>
    <w:p w14:paraId="6F2E1574" w14:textId="77777777" w:rsidR="00CA45CA" w:rsidRPr="001F1A44" w:rsidRDefault="00AD389B">
      <w:pPr>
        <w:shd w:val="clear" w:color="auto" w:fill="FFFFFF"/>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Del precepto anterior, tenemos que será la Secretaría de la Defensa Nacional (SEDENA) la única Autoridad competente para emitir las licencias para portación de armas de fuego, y estas serán para los efectos que nos ocupan las correspondientes a las Licencias Oficiales Colectivas, cuyo trámite es a cargo del Titular del Ejecutivo de cada entidad como lo señalan los procedimientos descritos en su portal de internet oficial de la SEDENA, que puede ser consultada a través de la siguiente liga electrónica </w:t>
      </w:r>
      <w:hyperlink r:id="rId17">
        <w:r w:rsidRPr="001F1A44">
          <w:rPr>
            <w:rFonts w:ascii="Palatino Linotype" w:eastAsia="Palatino Linotype" w:hAnsi="Palatino Linotype" w:cs="Palatino Linotype"/>
            <w:u w:val="single"/>
          </w:rPr>
          <w:t>https://www.gob.mx/sedena/documentos/expedicion-de-una-licencia-oficial-colectiva</w:t>
        </w:r>
      </w:hyperlink>
      <w:r w:rsidRPr="001F1A44">
        <w:rPr>
          <w:rFonts w:ascii="Palatino Linotype" w:eastAsia="Palatino Linotype" w:hAnsi="Palatino Linotype" w:cs="Palatino Linotype"/>
        </w:rPr>
        <w:t>:</w:t>
      </w:r>
    </w:p>
    <w:p w14:paraId="55FA069A" w14:textId="77777777" w:rsidR="00CA45CA" w:rsidRPr="001F1A44" w:rsidRDefault="00AD389B">
      <w:pPr>
        <w:shd w:val="clear" w:color="auto" w:fill="FFFFFF"/>
        <w:spacing w:line="360" w:lineRule="auto"/>
        <w:jc w:val="center"/>
        <w:rPr>
          <w:rFonts w:ascii="Palatino Linotype" w:eastAsia="Palatino Linotype" w:hAnsi="Palatino Linotype" w:cs="Palatino Linotype"/>
        </w:rPr>
      </w:pPr>
      <w:r w:rsidRPr="001F1A44">
        <w:rPr>
          <w:noProof/>
          <w:lang w:val="es-MX"/>
        </w:rPr>
        <w:lastRenderedPageBreak/>
        <w:drawing>
          <wp:inline distT="0" distB="0" distL="0" distR="0" wp14:anchorId="4CDB6A2B" wp14:editId="1884DE66">
            <wp:extent cx="5034656" cy="329320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034656" cy="3293205"/>
                    </a:xfrm>
                    <a:prstGeom prst="rect">
                      <a:avLst/>
                    </a:prstGeom>
                    <a:ln/>
                  </pic:spPr>
                </pic:pic>
              </a:graphicData>
            </a:graphic>
          </wp:inline>
        </w:drawing>
      </w:r>
    </w:p>
    <w:p w14:paraId="73DC2320" w14:textId="77777777" w:rsidR="00CA45CA" w:rsidRPr="001F1A44" w:rsidRDefault="00CA45CA">
      <w:pPr>
        <w:shd w:val="clear" w:color="auto" w:fill="FFFFFF"/>
        <w:spacing w:line="360" w:lineRule="auto"/>
        <w:ind w:left="567" w:right="900"/>
        <w:jc w:val="both"/>
        <w:rPr>
          <w:rFonts w:ascii="Palatino Linotype" w:eastAsia="Palatino Linotype" w:hAnsi="Palatino Linotype" w:cs="Palatino Linotype"/>
        </w:rPr>
      </w:pPr>
    </w:p>
    <w:p w14:paraId="5F3C7304"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b/>
          <w:sz w:val="22"/>
          <w:szCs w:val="22"/>
        </w:rPr>
      </w:pPr>
      <w:r w:rsidRPr="001F1A44">
        <w:rPr>
          <w:rFonts w:ascii="Palatino Linotype" w:eastAsia="Palatino Linotype" w:hAnsi="Palatino Linotype" w:cs="Palatino Linotype"/>
          <w:b/>
          <w:i/>
          <w:sz w:val="22"/>
          <w:szCs w:val="22"/>
        </w:rPr>
        <w:t xml:space="preserve">¿Cómo puedo tramitar la expedición de una Licencia Oficial Colectiva? </w:t>
      </w:r>
    </w:p>
    <w:p w14:paraId="2D154BFA"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b/>
          <w:i/>
          <w:sz w:val="22"/>
          <w:szCs w:val="22"/>
        </w:rPr>
      </w:pPr>
    </w:p>
    <w:p w14:paraId="25108266"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PASO 1.  Reúne todos los requisitos.</w:t>
      </w:r>
    </w:p>
    <w:p w14:paraId="05674EF6"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674CE6EA"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PASO 2. Ingrésalos en la Zona Militar que te corresponda o en el Módulo de Atención al Público del Registro Federal de Armas de Fuego y Control de Explosivos.</w:t>
      </w:r>
    </w:p>
    <w:p w14:paraId="0C439E04"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1911AE5C"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¿Qué documentos necesito y cuáles deben ser sus características?</w:t>
      </w:r>
    </w:p>
    <w:p w14:paraId="565ACE05"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749E8468" w14:textId="77777777" w:rsidR="00CA45CA" w:rsidRPr="001F1A44" w:rsidRDefault="00AD389B">
      <w:pPr>
        <w:numPr>
          <w:ilvl w:val="3"/>
          <w:numId w:val="7"/>
        </w:numPr>
        <w:shd w:val="clear" w:color="auto" w:fill="FFFFFF"/>
        <w:spacing w:line="276" w:lineRule="auto"/>
        <w:ind w:left="567" w:right="900" w:hanging="28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Solicitud de quien sea titular de la gubernatura de la entidad federativa, anexando el acuerdo presidencial en donde se autoriza la creación de una nueva Corporación</w:t>
      </w:r>
      <w:r w:rsidRPr="001F1A44">
        <w:rPr>
          <w:rFonts w:ascii="Palatino Linotype" w:eastAsia="Palatino Linotype" w:hAnsi="Palatino Linotype" w:cs="Palatino Linotype"/>
          <w:i/>
          <w:sz w:val="22"/>
          <w:szCs w:val="22"/>
        </w:rPr>
        <w:t>.</w:t>
      </w:r>
    </w:p>
    <w:p w14:paraId="004A8DE2" w14:textId="77777777" w:rsidR="00CA45CA" w:rsidRPr="001F1A44" w:rsidRDefault="00AD389B">
      <w:pPr>
        <w:numPr>
          <w:ilvl w:val="3"/>
          <w:numId w:val="7"/>
        </w:numPr>
        <w:shd w:val="clear" w:color="auto" w:fill="FFFFFF"/>
        <w:spacing w:line="276" w:lineRule="auto"/>
        <w:ind w:left="567" w:right="900" w:hanging="28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u w:val="single"/>
        </w:rPr>
        <w:t>Relación del personal y armamento que estará amparado en la Licencia Oficial Colectiva</w:t>
      </w:r>
      <w:r w:rsidRPr="001F1A44">
        <w:rPr>
          <w:rFonts w:ascii="Palatino Linotype" w:eastAsia="Palatino Linotype" w:hAnsi="Palatino Linotype" w:cs="Palatino Linotype"/>
          <w:i/>
          <w:sz w:val="22"/>
          <w:szCs w:val="22"/>
        </w:rPr>
        <w:t xml:space="preserve"> conforme al modelo 1, 2 y 3, en original y cuatro copias (se anexan formatos), en caso de no contar con armamento deberá </w:t>
      </w:r>
      <w:proofErr w:type="spellStart"/>
      <w:r w:rsidRPr="001F1A44">
        <w:rPr>
          <w:rFonts w:ascii="Palatino Linotype" w:eastAsia="Palatino Linotype" w:hAnsi="Palatino Linotype" w:cs="Palatino Linotype"/>
          <w:i/>
          <w:sz w:val="22"/>
          <w:szCs w:val="22"/>
        </w:rPr>
        <w:t>requisitar</w:t>
      </w:r>
      <w:proofErr w:type="spellEnd"/>
      <w:r w:rsidRPr="001F1A44">
        <w:rPr>
          <w:rFonts w:ascii="Palatino Linotype" w:eastAsia="Palatino Linotype" w:hAnsi="Palatino Linotype" w:cs="Palatino Linotype"/>
          <w:i/>
          <w:sz w:val="22"/>
          <w:szCs w:val="22"/>
        </w:rPr>
        <w:t xml:space="preserve"> los espacios correspondientes con el número cero.</w:t>
      </w:r>
    </w:p>
    <w:p w14:paraId="4731D392" w14:textId="77777777" w:rsidR="00CA45CA" w:rsidRPr="001F1A44" w:rsidRDefault="00AD389B">
      <w:pPr>
        <w:numPr>
          <w:ilvl w:val="3"/>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lastRenderedPageBreak/>
        <w:t>Archivo electrónico de los modelos citados en programa Excel, sin ningún tipo de protección en celdas, campos, Etc., con el fin de hacer las consultas necesarias.</w:t>
      </w:r>
    </w:p>
    <w:p w14:paraId="5D8E51EB" w14:textId="77777777" w:rsidR="00CA45CA" w:rsidRPr="001F1A44" w:rsidRDefault="00AD389B">
      <w:pPr>
        <w:numPr>
          <w:ilvl w:val="3"/>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El personal operativo a considerar en la Licencia Oficial Colectiva, deberá cumplir en todo momento con la totalidad de los primeros 5 requisitos establecidos en el Art. 26 </w:t>
      </w:r>
      <w:proofErr w:type="spellStart"/>
      <w:r w:rsidRPr="001F1A44">
        <w:rPr>
          <w:rFonts w:ascii="Palatino Linotype" w:eastAsia="Palatino Linotype" w:hAnsi="Palatino Linotype" w:cs="Palatino Linotype"/>
          <w:i/>
          <w:sz w:val="22"/>
          <w:szCs w:val="22"/>
        </w:rPr>
        <w:t>Fracc</w:t>
      </w:r>
      <w:proofErr w:type="spellEnd"/>
      <w:r w:rsidRPr="001F1A44">
        <w:rPr>
          <w:rFonts w:ascii="Palatino Linotype" w:eastAsia="Palatino Linotype" w:hAnsi="Palatino Linotype" w:cs="Palatino Linotype"/>
          <w:i/>
          <w:sz w:val="22"/>
          <w:szCs w:val="22"/>
        </w:rPr>
        <w:t>. I de la Ley Federal de Armas de Fuego y Explosivos, mismos que a continuación se describen:</w:t>
      </w:r>
    </w:p>
    <w:p w14:paraId="37E99058" w14:textId="77777777" w:rsidR="00CA45CA" w:rsidRPr="001F1A44" w:rsidRDefault="00CA45CA">
      <w:pPr>
        <w:shd w:val="clear" w:color="auto" w:fill="FFFFFF"/>
        <w:spacing w:line="276" w:lineRule="auto"/>
        <w:ind w:left="567" w:right="900" w:hanging="283"/>
        <w:jc w:val="both"/>
        <w:rPr>
          <w:rFonts w:ascii="Palatino Linotype" w:eastAsia="Palatino Linotype" w:hAnsi="Palatino Linotype" w:cs="Palatino Linotype"/>
          <w:i/>
          <w:sz w:val="22"/>
          <w:szCs w:val="22"/>
        </w:rPr>
      </w:pPr>
    </w:p>
    <w:p w14:paraId="16534FFF" w14:textId="77777777" w:rsidR="00CA45CA" w:rsidRPr="001F1A44" w:rsidRDefault="00AD389B">
      <w:pPr>
        <w:numPr>
          <w:ilvl w:val="4"/>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Tener un modo honesto de vivir.</w:t>
      </w:r>
    </w:p>
    <w:p w14:paraId="15309CD1" w14:textId="77777777" w:rsidR="00CA45CA" w:rsidRPr="001F1A44" w:rsidRDefault="00AD389B">
      <w:pPr>
        <w:numPr>
          <w:ilvl w:val="4"/>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Haber cumplido los obligados con el Servicio Militar Nacional.</w:t>
      </w:r>
    </w:p>
    <w:p w14:paraId="04FCB3BA" w14:textId="77777777" w:rsidR="00CA45CA" w:rsidRPr="001F1A44" w:rsidRDefault="00AD389B">
      <w:pPr>
        <w:numPr>
          <w:ilvl w:val="4"/>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No tener impedimento físico y mental para el manejo de las armas.</w:t>
      </w:r>
    </w:p>
    <w:p w14:paraId="6D87AA14" w14:textId="77777777" w:rsidR="00CA45CA" w:rsidRPr="001F1A44" w:rsidRDefault="00AD389B">
      <w:pPr>
        <w:numPr>
          <w:ilvl w:val="4"/>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No haber sido condenado por delito cometido con el empleo de armas de fuego.</w:t>
      </w:r>
    </w:p>
    <w:p w14:paraId="0894B45C" w14:textId="77777777" w:rsidR="00CA45CA" w:rsidRPr="001F1A44" w:rsidRDefault="00AD389B">
      <w:pPr>
        <w:numPr>
          <w:ilvl w:val="4"/>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No consumir drogas enervantes o psicotrópicos.</w:t>
      </w:r>
    </w:p>
    <w:p w14:paraId="4BD7E0E6" w14:textId="77777777" w:rsidR="00CA45CA" w:rsidRPr="001F1A44" w:rsidRDefault="00AD389B">
      <w:pPr>
        <w:numPr>
          <w:ilvl w:val="4"/>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En caso de contar con armamento deberá remitir copia de los folios de manifestación “C” y “D” del armamento registrado a nombre de la corporación de que se trate.</w:t>
      </w:r>
    </w:p>
    <w:p w14:paraId="33DBA93A" w14:textId="77777777" w:rsidR="00CA45CA" w:rsidRPr="001F1A44" w:rsidRDefault="00AD389B">
      <w:pPr>
        <w:numPr>
          <w:ilvl w:val="4"/>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Los certificados médico, físico, psicológico y toxicológico, deberán ser elaborados de conformidad con los formatos publicados en el Diario Oficial de la Federación el 12 de enero de 2004.</w:t>
      </w:r>
    </w:p>
    <w:p w14:paraId="0CF7EF77" w14:textId="77777777" w:rsidR="00CA45CA" w:rsidRPr="001F1A44" w:rsidRDefault="00AD389B">
      <w:pPr>
        <w:numPr>
          <w:ilvl w:val="4"/>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Formato de la credencial que se expedirá al personal operativo.</w:t>
      </w:r>
    </w:p>
    <w:p w14:paraId="1EAA5018" w14:textId="77777777" w:rsidR="00CA45CA" w:rsidRPr="001F1A44" w:rsidRDefault="00AD389B">
      <w:pPr>
        <w:numPr>
          <w:ilvl w:val="4"/>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Aprobar la visita de inspección que realice el personal militar a las instalaciones en donde se resguarda o resguardara el armamento, a fin de determinar si cumplen con las medidas de seguridad y control necesarias para tal fin.</w:t>
      </w:r>
    </w:p>
    <w:p w14:paraId="06CF747A" w14:textId="77777777" w:rsidR="00CA45CA" w:rsidRPr="001F1A44" w:rsidRDefault="00CA45CA">
      <w:pPr>
        <w:shd w:val="clear" w:color="auto" w:fill="FFFFFF"/>
        <w:spacing w:line="276" w:lineRule="auto"/>
        <w:ind w:left="709" w:right="474"/>
        <w:jc w:val="both"/>
        <w:rPr>
          <w:rFonts w:ascii="Palatino Linotype" w:eastAsia="Palatino Linotype" w:hAnsi="Palatino Linotype" w:cs="Palatino Linotype"/>
          <w:i/>
          <w:sz w:val="22"/>
          <w:szCs w:val="22"/>
        </w:rPr>
      </w:pPr>
    </w:p>
    <w:p w14:paraId="5FB411EF"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¿Qué procedimiento deberás seguir?</w:t>
      </w:r>
    </w:p>
    <w:p w14:paraId="1A20DEB6"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7A0C9A45" w14:textId="77777777" w:rsidR="00CA45CA" w:rsidRPr="001F1A44" w:rsidRDefault="00AD389B">
      <w:pPr>
        <w:numPr>
          <w:ilvl w:val="6"/>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Ingresa la solicitud de expedición de una Licencia Oficial Colectiva por conducto de la Comandancia de la Zona Militar que te corresponda o en el Módulo de Atención al Público del Registro Federal de Armas de Fuego y Control de Explosivos, anexando los documentos anteriormente indicados.</w:t>
      </w:r>
    </w:p>
    <w:p w14:paraId="50874512" w14:textId="77777777" w:rsidR="00CA45CA" w:rsidRPr="001F1A44" w:rsidRDefault="00AD389B">
      <w:pPr>
        <w:numPr>
          <w:ilvl w:val="6"/>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En la Zona Militar o en el Módulo de Atención al Público recaba el acuse de recibo de tu trámite, mediante el sello correspondiente.</w:t>
      </w:r>
    </w:p>
    <w:p w14:paraId="7071B50E" w14:textId="77777777" w:rsidR="00CA45CA" w:rsidRPr="001F1A44" w:rsidRDefault="00AD389B">
      <w:pPr>
        <w:numPr>
          <w:ilvl w:val="6"/>
          <w:numId w:val="7"/>
        </w:numPr>
        <w:shd w:val="clear" w:color="auto" w:fill="FFFFFF"/>
        <w:spacing w:line="276" w:lineRule="auto"/>
        <w:ind w:left="567" w:right="900" w:hanging="28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Consulta directamente en el Módulo de Atención al Público o a través de los medios electrónicos, sobre el curso de tu trámite.</w:t>
      </w:r>
    </w:p>
    <w:p w14:paraId="553BBB0B" w14:textId="77777777" w:rsidR="00CA45CA" w:rsidRPr="001F1A44" w:rsidRDefault="00AD389B">
      <w:pPr>
        <w:numPr>
          <w:ilvl w:val="6"/>
          <w:numId w:val="7"/>
        </w:numPr>
        <w:shd w:val="clear" w:color="auto" w:fill="FFFFFF"/>
        <w:spacing w:line="276" w:lineRule="auto"/>
        <w:ind w:left="567" w:right="900" w:hanging="14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En caso de que se te comunique que el trámite resultó autorizado, asiste al Módulo de Atención al Público del Registro Federal de Armas de Fuego y Control de </w:t>
      </w:r>
      <w:r w:rsidRPr="001F1A44">
        <w:rPr>
          <w:rFonts w:ascii="Palatino Linotype" w:eastAsia="Palatino Linotype" w:hAnsi="Palatino Linotype" w:cs="Palatino Linotype"/>
          <w:i/>
          <w:sz w:val="22"/>
          <w:szCs w:val="22"/>
        </w:rPr>
        <w:lastRenderedPageBreak/>
        <w:t>Explosivos con identificación oficial vigente para recoger el oficio de autorización de la Licencia.</w:t>
      </w:r>
    </w:p>
    <w:p w14:paraId="6F8370A1" w14:textId="77777777" w:rsidR="00CA45CA" w:rsidRPr="001F1A44" w:rsidRDefault="00CA45CA">
      <w:pPr>
        <w:spacing w:line="360" w:lineRule="auto"/>
        <w:jc w:val="both"/>
        <w:rPr>
          <w:rFonts w:ascii="Palatino Linotype" w:eastAsia="Palatino Linotype" w:hAnsi="Palatino Linotype" w:cs="Palatino Linotype"/>
        </w:rPr>
      </w:pPr>
    </w:p>
    <w:p w14:paraId="2084D650"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De esta forma podemos relacionar lo descrito con anterioridad, con el </w:t>
      </w:r>
      <w:r w:rsidRPr="001F1A44">
        <w:rPr>
          <w:rFonts w:ascii="Palatino Linotype" w:eastAsia="Palatino Linotype" w:hAnsi="Palatino Linotype" w:cs="Palatino Linotype"/>
          <w:i/>
        </w:rPr>
        <w:t>Acuerdo por el que se establecen los lineamientos para la Adquisición, Asignación, Uso y Custodia, Portación y Baja de armamento incluido en la Licencia Oficial Colectiva número 139</w:t>
      </w:r>
      <w:r w:rsidRPr="001F1A44">
        <w:rPr>
          <w:rFonts w:ascii="Palatino Linotype" w:eastAsia="Palatino Linotype" w:hAnsi="Palatino Linotype" w:cs="Palatino Linotype"/>
        </w:rPr>
        <w:t xml:space="preserve"> particularmente con lo señalado en el considerando tercero y cuarto, mismos que disponen:</w:t>
      </w:r>
    </w:p>
    <w:p w14:paraId="231E7E6D" w14:textId="77777777" w:rsidR="00CA45CA" w:rsidRPr="001F1A44" w:rsidRDefault="00AD389B">
      <w:pPr>
        <w:ind w:left="709" w:right="47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“Que en términos de lo dispuesto por la </w:t>
      </w:r>
      <w:r w:rsidRPr="001F1A44">
        <w:rPr>
          <w:rFonts w:ascii="Palatino Linotype" w:eastAsia="Palatino Linotype" w:hAnsi="Palatino Linotype" w:cs="Palatino Linotype"/>
          <w:b/>
          <w:i/>
          <w:sz w:val="22"/>
          <w:szCs w:val="22"/>
        </w:rPr>
        <w:t>Ley de Seguridad Pública Preventiva del Estado de México, la Dirección General de Segundad Pública y Tránsito del Estado de México, es una autoridad estatal en materia de seguridad pública preventiva</w:t>
      </w:r>
      <w:r w:rsidRPr="001F1A44">
        <w:rPr>
          <w:rFonts w:ascii="Palatino Linotype" w:eastAsia="Palatino Linotype" w:hAnsi="Palatino Linotype" w:cs="Palatino Linotype"/>
          <w:i/>
          <w:sz w:val="22"/>
          <w:szCs w:val="22"/>
        </w:rPr>
        <w:t xml:space="preserve">, a la cual le corresponde, entre otras atribuciones, vigilar el cumplimiento de las leyes, reglamentos, acuerdos, convenios y demás disposiciones referentes a la Seguridad Pública Preventiva </w:t>
      </w:r>
    </w:p>
    <w:p w14:paraId="63E4DA63" w14:textId="77777777" w:rsidR="00CA45CA" w:rsidRPr="001F1A44" w:rsidRDefault="00CA45CA">
      <w:pPr>
        <w:ind w:left="709" w:right="474"/>
        <w:jc w:val="both"/>
        <w:rPr>
          <w:rFonts w:ascii="Palatino Linotype" w:eastAsia="Palatino Linotype" w:hAnsi="Palatino Linotype" w:cs="Palatino Linotype"/>
          <w:i/>
          <w:sz w:val="22"/>
          <w:szCs w:val="22"/>
        </w:rPr>
      </w:pPr>
    </w:p>
    <w:p w14:paraId="5D9AEA0B" w14:textId="77777777" w:rsidR="00CA45CA" w:rsidRPr="001F1A44" w:rsidRDefault="00AD389B">
      <w:pPr>
        <w:ind w:left="709" w:right="47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Que en el marco de la Ley Federal de Armas de Fuego y Explosivos, </w:t>
      </w:r>
      <w:r w:rsidRPr="001F1A44">
        <w:rPr>
          <w:rFonts w:ascii="Palatino Linotype" w:eastAsia="Palatino Linotype" w:hAnsi="Palatino Linotype" w:cs="Palatino Linotype"/>
          <w:b/>
          <w:i/>
          <w:sz w:val="22"/>
          <w:szCs w:val="22"/>
        </w:rPr>
        <w:t>la Secretaría de la Defensa Nacional otorgó al Gobierno del Estado de México, a través de la Dirección General de Seguridad Pública y Tránsito, la Licencia Oficial Colectiva No. 139</w:t>
      </w:r>
      <w:r w:rsidRPr="001F1A44">
        <w:rPr>
          <w:rFonts w:ascii="Palatino Linotype" w:eastAsia="Palatino Linotype" w:hAnsi="Palatino Linotype" w:cs="Palatino Linotype"/>
          <w:i/>
          <w:sz w:val="22"/>
          <w:szCs w:val="22"/>
        </w:rPr>
        <w:t xml:space="preserve"> mediante la cual se concede el permiso para la portación de armas de fuego a los Cuerpos de Seguridad Pública Preventiva.”</w:t>
      </w:r>
    </w:p>
    <w:p w14:paraId="1B119F49" w14:textId="77777777" w:rsidR="00CA45CA" w:rsidRPr="001F1A44" w:rsidRDefault="00CA45CA">
      <w:pPr>
        <w:spacing w:line="360" w:lineRule="auto"/>
        <w:jc w:val="both"/>
        <w:rPr>
          <w:rFonts w:ascii="Palatino Linotype" w:eastAsia="Palatino Linotype" w:hAnsi="Palatino Linotype" w:cs="Palatino Linotype"/>
        </w:rPr>
      </w:pPr>
    </w:p>
    <w:p w14:paraId="0E186D98"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Así, se advierte que el Gobierno del Estado de México cuenta con una Licencia Oficial Colectiva para la portación y uso de armas de fuego, lo cual es coincidente con el requerimiento del particular; sin embargo éste refiere que requiere la correspondiente al Municipio de Coatepec Harinas, por lo que es necesario determinar cuál es el documento que se asimila o que da cuenta de que el entonces Titular de la Dirección de Seguridad Pública y Tránsito Municipal se ampara bajo la citada licencia, por lo que debemos atender lo que disponen los diversos cuerpos </w:t>
      </w:r>
      <w:r w:rsidRPr="001F1A44">
        <w:rPr>
          <w:rFonts w:ascii="Palatino Linotype" w:eastAsia="Palatino Linotype" w:hAnsi="Palatino Linotype" w:cs="Palatino Linotype"/>
        </w:rPr>
        <w:lastRenderedPageBreak/>
        <w:t>normativos que regulan la portación de armas en el Estado de México y sus Municipios.</w:t>
      </w:r>
    </w:p>
    <w:p w14:paraId="5A310AED" w14:textId="77777777" w:rsidR="00CA45CA" w:rsidRPr="001F1A44" w:rsidRDefault="00CA45CA">
      <w:pPr>
        <w:spacing w:line="360" w:lineRule="auto"/>
        <w:jc w:val="both"/>
        <w:rPr>
          <w:rFonts w:ascii="Palatino Linotype" w:eastAsia="Palatino Linotype" w:hAnsi="Palatino Linotype" w:cs="Palatino Linotype"/>
        </w:rPr>
      </w:pPr>
    </w:p>
    <w:p w14:paraId="267D1478"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Dicho lo anterior, la Ley de Seguridad del Estado de México en su artículo 21, fracción XXVII, establece que los Presidentes Municipales, tendrán dentro de sus atribuciones, la de </w:t>
      </w:r>
      <w:r w:rsidRPr="001F1A44">
        <w:rPr>
          <w:rFonts w:ascii="Palatino Linotype" w:eastAsia="Palatino Linotype" w:hAnsi="Palatino Linotype" w:cs="Palatino Linotype"/>
          <w:b/>
          <w:u w:val="single"/>
        </w:rPr>
        <w:t>satisfacer oportunamente los requerimientos que le sean solicitados por la Secretaría, para el registro y actualización de la licencia colectiva para la portación de armas de fuego de los integrantes de las instituciones policiales a su cargo</w:t>
      </w:r>
      <w:r w:rsidRPr="001F1A44">
        <w:rPr>
          <w:rFonts w:ascii="Palatino Linotype" w:eastAsia="Palatino Linotype" w:hAnsi="Palatino Linotype" w:cs="Palatino Linotype"/>
        </w:rPr>
        <w:t>.</w:t>
      </w:r>
    </w:p>
    <w:p w14:paraId="2787086D"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 relación a lo anterior, el Acuerdo por el que se Establecen los Lineamientos para la Adquisición, Asignación, Uso y Custodia, Portación y Baja de Armamento incluido en la Licencia Oficial Colectiva número 139, dispone lo siguiente: </w:t>
      </w:r>
    </w:p>
    <w:p w14:paraId="025B065B"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noProof/>
          <w:lang w:val="es-MX"/>
        </w:rPr>
        <w:lastRenderedPageBreak/>
        <w:drawing>
          <wp:inline distT="0" distB="0" distL="0" distR="0" wp14:anchorId="3C549C50" wp14:editId="14FD77D1">
            <wp:extent cx="5591955" cy="3534268"/>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591955" cy="3534268"/>
                    </a:xfrm>
                    <a:prstGeom prst="rect">
                      <a:avLst/>
                    </a:prstGeom>
                    <a:ln/>
                  </pic:spPr>
                </pic:pic>
              </a:graphicData>
            </a:graphic>
          </wp:inline>
        </w:drawing>
      </w:r>
      <w:r w:rsidRPr="001F1A44">
        <w:rPr>
          <w:noProof/>
          <w:lang w:val="es-MX"/>
        </w:rPr>
        <mc:AlternateContent>
          <mc:Choice Requires="wps">
            <w:drawing>
              <wp:anchor distT="0" distB="0" distL="114300" distR="114300" simplePos="0" relativeHeight="251659264" behindDoc="0" locked="0" layoutInCell="1" hidden="0" allowOverlap="1" wp14:anchorId="5AEA3CBB" wp14:editId="6728A76D">
                <wp:simplePos x="0" y="0"/>
                <wp:positionH relativeFrom="column">
                  <wp:posOffset>88901</wp:posOffset>
                </wp:positionH>
                <wp:positionV relativeFrom="paragraph">
                  <wp:posOffset>2971800</wp:posOffset>
                </wp:positionV>
                <wp:extent cx="5353050" cy="523875"/>
                <wp:effectExtent l="0" t="0" r="0" b="0"/>
                <wp:wrapNone/>
                <wp:docPr id="1" name="Rectángulo 1"/>
                <wp:cNvGraphicFramePr/>
                <a:graphic xmlns:a="http://schemas.openxmlformats.org/drawingml/2006/main">
                  <a:graphicData uri="http://schemas.microsoft.com/office/word/2010/wordprocessingShape">
                    <wps:wsp>
                      <wps:cNvSpPr/>
                      <wps:spPr>
                        <a:xfrm>
                          <a:off x="2683763" y="3532350"/>
                          <a:ext cx="5324475" cy="495300"/>
                        </a:xfrm>
                        <a:prstGeom prst="rect">
                          <a:avLst/>
                        </a:prstGeom>
                        <a:noFill/>
                        <a:ln w="28575" cap="flat" cmpd="sng">
                          <a:solidFill>
                            <a:srgbClr val="FF0000"/>
                          </a:solidFill>
                          <a:prstDash val="solid"/>
                          <a:round/>
                          <a:headEnd type="none" w="sm" len="sm"/>
                          <a:tailEnd type="none" w="sm" len="sm"/>
                        </a:ln>
                      </wps:spPr>
                      <wps:txbx>
                        <w:txbxContent>
                          <w:p w14:paraId="00577E27" w14:textId="77777777" w:rsidR="00CA45CA" w:rsidRDefault="00CA45CA">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EA3CBB" id="Rectángulo 1" o:spid="_x0000_s1027" style="position:absolute;left:0;text-align:left;margin-left:7pt;margin-top:234pt;width:421.5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" filled="f" strokecolor="red" strokeweight="2.25pt">
                <v:stroke startarrowwidth="narrow" startarrowlength="short" endarrowwidth="narrow" endarrowlength="short" joinstyle="round"/>
                <v:textbox inset="2.53958mm,2.53958mm,2.53958mm,2.53958mm">
                  <w:txbxContent>
                    <w:p w14:paraId="00577E27" w14:textId="77777777" w:rsidR="00CA45CA" w:rsidRDefault="00CA45CA">
                      <w:pPr>
                        <w:textDirection w:val="btLr"/>
                      </w:pPr>
                    </w:p>
                  </w:txbxContent>
                </v:textbox>
              </v:rect>
            </w:pict>
          </mc:Fallback>
        </mc:AlternateContent>
      </w:r>
    </w:p>
    <w:p w14:paraId="790F92D8"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noProof/>
          <w:lang w:val="es-MX"/>
        </w:rPr>
        <w:drawing>
          <wp:inline distT="0" distB="0" distL="0" distR="0" wp14:anchorId="1DABE41B" wp14:editId="665A9BAD">
            <wp:extent cx="5410955" cy="1886213"/>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5410955" cy="1886213"/>
                    </a:xfrm>
                    <a:prstGeom prst="rect">
                      <a:avLst/>
                    </a:prstGeom>
                    <a:ln/>
                  </pic:spPr>
                </pic:pic>
              </a:graphicData>
            </a:graphic>
          </wp:inline>
        </w:drawing>
      </w:r>
    </w:p>
    <w:p w14:paraId="658154BE"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noProof/>
          <w:lang w:val="es-MX"/>
        </w:rPr>
        <w:lastRenderedPageBreak/>
        <w:drawing>
          <wp:inline distT="0" distB="0" distL="0" distR="0" wp14:anchorId="3D131AB5" wp14:editId="20F469F2">
            <wp:extent cx="5401293" cy="3709322"/>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401293" cy="3709322"/>
                    </a:xfrm>
                    <a:prstGeom prst="rect">
                      <a:avLst/>
                    </a:prstGeom>
                    <a:ln/>
                  </pic:spPr>
                </pic:pic>
              </a:graphicData>
            </a:graphic>
          </wp:inline>
        </w:drawing>
      </w:r>
    </w:p>
    <w:p w14:paraId="2D9CD990" w14:textId="77777777" w:rsidR="00CA45CA" w:rsidRPr="001F1A44" w:rsidRDefault="00AD389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De lo anteriormente citado, se abordan a las siguientes conclusiones:</w:t>
      </w:r>
    </w:p>
    <w:p w14:paraId="7553294C" w14:textId="77777777" w:rsidR="00CA45CA" w:rsidRPr="001F1A44" w:rsidRDefault="00AD389B">
      <w:pPr>
        <w:numPr>
          <w:ilvl w:val="0"/>
          <w:numId w:val="5"/>
        </w:numPr>
        <w:pBdr>
          <w:top w:val="nil"/>
          <w:left w:val="nil"/>
          <w:bottom w:val="nil"/>
          <w:right w:val="nil"/>
          <w:between w:val="nil"/>
        </w:pBdr>
        <w:spacing w:before="240" w:line="360" w:lineRule="auto"/>
        <w:ind w:right="900"/>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Los presidentes municipales que requieran armamento para sus cuerpos de seguridad pública, deberán formular su petición al Titular del Poder Ejecutivo del Estado de México, solicitando gestionar ante la SEDENA el otorgamiento para la adquisición de armas y municiones. </w:t>
      </w:r>
    </w:p>
    <w:p w14:paraId="12644D76" w14:textId="77777777" w:rsidR="00CA45CA" w:rsidRPr="001F1A44" w:rsidRDefault="00CA45CA">
      <w:pPr>
        <w:pBdr>
          <w:top w:val="nil"/>
          <w:left w:val="nil"/>
          <w:bottom w:val="nil"/>
          <w:right w:val="nil"/>
          <w:between w:val="nil"/>
        </w:pBdr>
        <w:spacing w:line="360" w:lineRule="auto"/>
        <w:ind w:left="720" w:right="900"/>
        <w:jc w:val="both"/>
        <w:rPr>
          <w:rFonts w:ascii="Palatino Linotype" w:eastAsia="Palatino Linotype" w:hAnsi="Palatino Linotype" w:cs="Palatino Linotype"/>
        </w:rPr>
      </w:pPr>
    </w:p>
    <w:p w14:paraId="2CFC5D4B" w14:textId="77777777" w:rsidR="00CA45CA" w:rsidRPr="001F1A44" w:rsidRDefault="00AD389B">
      <w:pPr>
        <w:numPr>
          <w:ilvl w:val="0"/>
          <w:numId w:val="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La Dirección General de Seguridad Pública y Tránsito emitirá el dictamen respecto de la procedencia o improcedencia de las solicitudes de armamento requerido; cuando se determine </w:t>
      </w:r>
      <w:r w:rsidRPr="001F1A44">
        <w:rPr>
          <w:rFonts w:ascii="Palatino Linotype" w:eastAsia="Palatino Linotype" w:hAnsi="Palatino Linotype" w:cs="Palatino Linotype"/>
        </w:rPr>
        <w:lastRenderedPageBreak/>
        <w:t>procedente, la Dirección General le indicará a los presidentes municipales la cotización de dichos bienes y los términos de pago.</w:t>
      </w:r>
    </w:p>
    <w:p w14:paraId="6893CD47" w14:textId="77777777" w:rsidR="00CA45CA" w:rsidRPr="001F1A44" w:rsidRDefault="00CA45CA">
      <w:pPr>
        <w:pBdr>
          <w:top w:val="nil"/>
          <w:left w:val="nil"/>
          <w:bottom w:val="nil"/>
          <w:right w:val="nil"/>
          <w:between w:val="nil"/>
        </w:pBdr>
        <w:spacing w:line="360" w:lineRule="auto"/>
        <w:ind w:left="567" w:right="900"/>
        <w:jc w:val="both"/>
        <w:rPr>
          <w:rFonts w:ascii="Palatino Linotype" w:eastAsia="Palatino Linotype" w:hAnsi="Palatino Linotype" w:cs="Palatino Linotype"/>
        </w:rPr>
      </w:pPr>
    </w:p>
    <w:p w14:paraId="0936FE21" w14:textId="77777777" w:rsidR="00CA45CA" w:rsidRPr="001F1A44" w:rsidRDefault="00AD389B">
      <w:pPr>
        <w:numPr>
          <w:ilvl w:val="0"/>
          <w:numId w:val="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1F1A44">
        <w:rPr>
          <w:rFonts w:ascii="Palatino Linotype" w:eastAsia="Palatino Linotype" w:hAnsi="Palatino Linotype" w:cs="Palatino Linotype"/>
        </w:rPr>
        <w:t>El municipio deberá cubrir a la SEDENA, a través de la Dirección General, en un plazo no mayor a 15 días hábiles, a partir de ser notificado por esta, el importe a su cargo por concepto de permiso extraordinario por adquisición de armamento, así como los derechos prestados por el registro de armamento en la Licencia.</w:t>
      </w:r>
    </w:p>
    <w:p w14:paraId="1DBFE998" w14:textId="77777777" w:rsidR="00CA45CA" w:rsidRPr="001F1A44" w:rsidRDefault="00CA45CA">
      <w:pPr>
        <w:pBdr>
          <w:top w:val="nil"/>
          <w:left w:val="nil"/>
          <w:bottom w:val="nil"/>
          <w:right w:val="nil"/>
          <w:between w:val="nil"/>
        </w:pBdr>
        <w:spacing w:line="360" w:lineRule="auto"/>
        <w:ind w:left="567" w:right="900"/>
        <w:jc w:val="both"/>
        <w:rPr>
          <w:rFonts w:ascii="Palatino Linotype" w:eastAsia="Palatino Linotype" w:hAnsi="Palatino Linotype" w:cs="Palatino Linotype"/>
        </w:rPr>
      </w:pPr>
    </w:p>
    <w:p w14:paraId="66712922" w14:textId="77777777" w:rsidR="00CA45CA" w:rsidRPr="001F1A44" w:rsidRDefault="00AD389B">
      <w:pPr>
        <w:numPr>
          <w:ilvl w:val="0"/>
          <w:numId w:val="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Los municipios se encuentran obligados a la tramitación de la licencia colectiva 139, así como remitir de manera mensual a la Dirección General de Seguridad Pública y Tránsito, las altas y bajas del personal operativo que porta armas de fuego para la actualización de la licencia. </w:t>
      </w:r>
    </w:p>
    <w:p w14:paraId="1E43F10B" w14:textId="77777777" w:rsidR="00CA45CA" w:rsidRPr="001F1A44" w:rsidRDefault="00CA45CA">
      <w:pPr>
        <w:pBdr>
          <w:top w:val="nil"/>
          <w:left w:val="nil"/>
          <w:bottom w:val="nil"/>
          <w:right w:val="nil"/>
          <w:between w:val="nil"/>
        </w:pBdr>
        <w:ind w:left="720"/>
        <w:rPr>
          <w:rFonts w:ascii="Palatino Linotype" w:eastAsia="Palatino Linotype" w:hAnsi="Palatino Linotype" w:cs="Palatino Linotype"/>
        </w:rPr>
      </w:pPr>
    </w:p>
    <w:p w14:paraId="2F82F7DB"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Así, se advierte que el Gobierno del Estado de México cuenta con una Licencia Oficial Colectiva para la portación y uso de armas de fuego, lo cual es coincidente con el requerimiento del particular; sin embargo, éste refiere que requiere la correspondiente al entonces Director de Seguridad Pública del Ayuntamiento de Coatepec de Harinas. </w:t>
      </w:r>
    </w:p>
    <w:p w14:paraId="4E6B63A0"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Ahora bien, en relación a la licencia colectiva para la portación de armas de fuego, es de destacar que dicho documento contiene tanto los nombres de los servidores públicos y las especificaciones técnicas del equipamiento de dichas armas; por lo que a criterio de este Instituto la información relativa al nombre de los servidores públicos que ocupan un cargo en las dependencias de gobierno encargadas de la </w:t>
      </w:r>
      <w:r w:rsidRPr="001F1A44">
        <w:rPr>
          <w:rFonts w:ascii="Palatino Linotype" w:eastAsia="Palatino Linotype" w:hAnsi="Palatino Linotype" w:cs="Palatino Linotype"/>
        </w:rPr>
        <w:lastRenderedPageBreak/>
        <w:t>seguridad pública, debe ser objeto de un proceso de reserva de la información, para no hacer identificable al titular de tal dato personal, asimismo las especificaciones técnicas del armamento se consideran información susceptible de reservarse.</w:t>
      </w:r>
    </w:p>
    <w:p w14:paraId="08D9CD84" w14:textId="77777777" w:rsidR="00CA45CA" w:rsidRPr="001F1A44" w:rsidRDefault="00AD389B">
      <w:pPr>
        <w:spacing w:after="160" w:line="360" w:lineRule="auto"/>
        <w:jc w:val="both"/>
      </w:pPr>
      <w:r w:rsidRPr="001F1A44">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Resulta alusivo por analogía el criterio 06-09 emitido por el entonces IFAI, ahora INAI que a la letra dice:</w:t>
      </w:r>
    </w:p>
    <w:p w14:paraId="26ADF302"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w:t>
      </w:r>
      <w:r w:rsidRPr="001F1A44">
        <w:rPr>
          <w:rFonts w:ascii="Palatino Linotype" w:eastAsia="Palatino Linotype" w:hAnsi="Palatino Linotype" w:cs="Palatino Linotype"/>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w:t>
      </w:r>
      <w:r w:rsidRPr="001F1A44">
        <w:rPr>
          <w:rFonts w:ascii="Palatino Linotype" w:eastAsia="Palatino Linotype" w:hAnsi="Palatino Linotype" w:cs="Palatino Linotype"/>
          <w:i/>
          <w:sz w:val="22"/>
          <w:szCs w:val="22"/>
        </w:rPr>
        <w:lastRenderedPageBreak/>
        <w:t xml:space="preserve">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 </w:t>
      </w:r>
    </w:p>
    <w:p w14:paraId="7A505416"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Ello, conforme al propio concepto de versión pública contenido en el artículo 3, fracción XXIV, de la multicitada Ley se define como</w:t>
      </w:r>
    </w:p>
    <w:p w14:paraId="76B6D151"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 “XXIV. Información reservada: La clasificada con este carácter de manera temporal por las disposiciones de esta Ley, cuya divulgación puede causar daño en términos de lo establecido por esta Ley;” </w:t>
      </w:r>
    </w:p>
    <w:p w14:paraId="5E88FE0B"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Esto es así, ya que el artículo 81, fracción III, de la Ley de Seguridad del Estado de México, establece lo siguiente: </w:t>
      </w:r>
    </w:p>
    <w:p w14:paraId="4886E24F"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9A4C344"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 </w:t>
      </w:r>
    </w:p>
    <w:p w14:paraId="40E40E59"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III. La relativa a servidores públicos miembros de las instituciones de seguridad pública, cuya revelación pueda poner en riesgo su vida e integridad física con motivo de sus funciones;” </w:t>
      </w:r>
    </w:p>
    <w:p w14:paraId="080755E9"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Por tanto,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w:t>
      </w:r>
      <w:r w:rsidRPr="001F1A44">
        <w:rPr>
          <w:rFonts w:ascii="Palatino Linotype" w:eastAsia="Palatino Linotype" w:hAnsi="Palatino Linotype" w:cs="Palatino Linotype"/>
        </w:rPr>
        <w:lastRenderedPageBreak/>
        <w:t xml:space="preserve">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 Sin embargo, dicha información no es susceptible de ser entregada ya que actualiza en el supuesto de ser clasificada como información </w:t>
      </w:r>
      <w:r w:rsidRPr="001F1A44">
        <w:rPr>
          <w:rFonts w:ascii="Palatino Linotype" w:eastAsia="Palatino Linotype" w:hAnsi="Palatino Linotype" w:cs="Palatino Linotype"/>
          <w:b/>
        </w:rPr>
        <w:t xml:space="preserve">RESERVADA </w:t>
      </w:r>
      <w:r w:rsidRPr="001F1A44">
        <w:rPr>
          <w:rFonts w:ascii="Palatino Linotype" w:eastAsia="Palatino Linotype" w:hAnsi="Palatino Linotype" w:cs="Palatino Linotype"/>
        </w:rPr>
        <w:t xml:space="preserve">como se puntualizó en párrafos anteriores. </w:t>
      </w:r>
    </w:p>
    <w:p w14:paraId="1C777C80"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Ahora bien, para clasificar dicha información como reservada, las leyes en la materia en términos generales, disponen que para proceder a realizar la reserva de la información, no basta que la información se refiera a alguno de los supuestos que enmarque, en el caso concreto, el artículo 140 de nuestra Ley de Transparencia, que ya fue insertado en líneas anteriores; sino que es necesario, que la autoridad demuestre que la divulgación de la información en el caso concreto, puede causar un daño al interés público protegido. Dicha valoración, debe realizarse caso por caso, a través de lo que se conoce como la llamada “prueba de daño”, que consiste en exponer los argumentos y razones, basados en elementos objetivos o verificables, a partir de los cuales se derive que la divulgación de información, en particular, puede afectar, poner en riesgo o dañar el interés protegido2 . Asimismo, ésta no debe basarse en meras especulaciones o suposiciones, sino en elementos objetivos que deban evaluar que existe un riego actual e inminente. </w:t>
      </w:r>
    </w:p>
    <w:p w14:paraId="2EEFFE76"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 tal virtud, conforme al artículo 49, fracción VIII, nuestra Ley de Transparencia, los Comités de Transparencia, tienen la atribución de aprobar, modificar o revocar la clasificación de la información, mientras que, el artículo 128 de la misma Ley, indica que, en los casos en que se niegue el acceso a la información, por actualizarse </w:t>
      </w:r>
      <w:r w:rsidRPr="001F1A44">
        <w:rPr>
          <w:rFonts w:ascii="Palatino Linotype" w:eastAsia="Palatino Linotype" w:hAnsi="Palatino Linotype" w:cs="Palatino Linotype"/>
        </w:rPr>
        <w:lastRenderedPageBreak/>
        <w:t xml:space="preserve">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a concluir que el caso particular se ajusta al supuesto previsto por la norma legal invocada como fundamento; siendo que, además,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debe, en todo momento, aplicar una prueba de daño. </w:t>
      </w:r>
    </w:p>
    <w:p w14:paraId="4801C50A"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06F0F81D"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 De este modo,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656B1E17"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1. Se reciba una solicitud de acceso a la información. </w:t>
      </w:r>
    </w:p>
    <w:p w14:paraId="596E42FA"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2. Se determine mediante resolución de autoridad competente. </w:t>
      </w:r>
    </w:p>
    <w:p w14:paraId="760C5CDD"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3. Se generen versiones públicas para dar cumplimiento a las obligaciones de transparencia previstas en la Ley. </w:t>
      </w:r>
    </w:p>
    <w:p w14:paraId="535387A4"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Situación que se robustece con el artículo 141 de la misma Ley, que señala que las causales de reserva previstas, se deberán fundar y motivar, a través de la aplicación de la prueba de daño. Igualmente, la clasificación de la información debe estar sustentada en el Acuerdo de Clasificación correspondiente, en el que, de manera fundada y motivada, se establezcan las hipótesis normativas aplicables al caso concreto y se analice la prueba del daño que prevé el artículo 129 de la Ley de Transparencia de mérito, para lo cual, los sujetos obligados deberán considerar lo siguiente: </w:t>
      </w:r>
    </w:p>
    <w:p w14:paraId="46877412"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Symbol" w:eastAsia="Symbol" w:hAnsi="Symbol" w:cs="Symbol"/>
        </w:rPr>
        <w:t>∙</w:t>
      </w:r>
      <w:r w:rsidRPr="001F1A44">
        <w:rPr>
          <w:rFonts w:ascii="Palatino Linotype" w:eastAsia="Palatino Linotype" w:hAnsi="Palatino Linotype" w:cs="Palatino Linotype"/>
        </w:rPr>
        <w:t xml:space="preserve"> La divulgación de la información representa un riesgo real, demostrable e identificable del perjuicio significativo al interés público o a la seguridad pública; </w:t>
      </w:r>
    </w:p>
    <w:p w14:paraId="557CBA0B"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Symbol" w:eastAsia="Symbol" w:hAnsi="Symbol" w:cs="Symbol"/>
        </w:rPr>
        <w:t>∙</w:t>
      </w:r>
      <w:r w:rsidRPr="001F1A44">
        <w:rPr>
          <w:rFonts w:ascii="Palatino Linotype" w:eastAsia="Palatino Linotype" w:hAnsi="Palatino Linotype" w:cs="Palatino Linotype"/>
        </w:rPr>
        <w:t xml:space="preserve"> El riesgo de perjuicio que supondría la divulgación supera el interés público general de que se difunda; y </w:t>
      </w:r>
    </w:p>
    <w:p w14:paraId="2CFA1A3B"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Symbol" w:eastAsia="Symbol" w:hAnsi="Symbol" w:cs="Symbol"/>
        </w:rPr>
        <w:t>∙</w:t>
      </w:r>
      <w:r w:rsidRPr="001F1A44">
        <w:rPr>
          <w:rFonts w:ascii="Palatino Linotype" w:eastAsia="Palatino Linotype" w:hAnsi="Palatino Linotype" w:cs="Palatino Linotype"/>
        </w:rPr>
        <w:t xml:space="preserve"> La limitación se adecua al principio de proporcionalidad y representa el medio menos restrictivo disponible para evitar el perjuicio. </w:t>
      </w:r>
    </w:p>
    <w:p w14:paraId="11CD01EF"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De tal manera, las limitaciones al acceso a la información deben sustentarse en una adecuada clasificación que debe distinguir y tomar en cuenta qué información puede generar un daño desproporcionado o innecesario a valores jurídicamente protegidos; tal y como lo dispone la siguiente tesis: </w:t>
      </w:r>
    </w:p>
    <w:p w14:paraId="00CFDFA8"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“INFORMACIÓN RESERVADA. APLICACIÓN DE LA "PRUEBA DE DAÑO E INTERÉS PÚBLICO" PARA DETERMINAR LO ADECUADO DE LA APORTADA CON ESA CLASIFICACIÓN EN EL JUICIO DE AMPARO POR LA AUTORIDAD RESPONSABLE, A EFECTO DE HACER VIABLE LA DEFENSA EFECTIVA DEL QUEJOSO. Una adecuada clasificación de la información pública debe tomar en cuenta y distinguir, en el contexto general de un </w:t>
      </w:r>
      <w:r w:rsidRPr="001F1A44">
        <w:rPr>
          <w:rFonts w:ascii="Palatino Linotype" w:eastAsia="Palatino Linotype" w:hAnsi="Palatino Linotype" w:cs="Palatino Linotype"/>
          <w:i/>
          <w:sz w:val="22"/>
          <w:szCs w:val="22"/>
        </w:rPr>
        <w:lastRenderedPageBreak/>
        <w:t xml:space="preserve">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1F1A44">
        <w:rPr>
          <w:rFonts w:ascii="Palatino Linotype" w:eastAsia="Palatino Linotype" w:hAnsi="Palatino Linotype" w:cs="Palatino Linotype"/>
          <w:i/>
          <w:sz w:val="22"/>
          <w:szCs w:val="22"/>
        </w:rPr>
        <w:t>officio</w:t>
      </w:r>
      <w:proofErr w:type="spellEnd"/>
      <w:r w:rsidRPr="001F1A44">
        <w:rPr>
          <w:rFonts w:ascii="Palatino Linotype" w:eastAsia="Palatino Linotype" w:hAnsi="Palatino Linotype" w:cs="Palatino Linotype"/>
          <w:i/>
          <w:sz w:val="22"/>
          <w:szCs w:val="22"/>
        </w:rPr>
        <w:t xml:space="preserve">, con el propósito de obtener una versión que sea pública para la parte interesada.” </w:t>
      </w:r>
    </w:p>
    <w:p w14:paraId="41C3DB7D"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Prueba de daño, que cobra relevancia puesto que sí ésta no arroja resultados contundentes sobre un posible peligro, deberá de publicarse la información. </w:t>
      </w:r>
    </w:p>
    <w:p w14:paraId="11C831BE"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 </w:t>
      </w:r>
    </w:p>
    <w:p w14:paraId="4828F11B"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65B683A8"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De este modo, es necesario que la autoridad, al aplicar la prueba de daño, distinga entre los supuestos por los cuales puede invocar la reserva de la información y cuáles de manera clara y específica, son los que le atañen a la información que se solicite; </w:t>
      </w:r>
      <w:r w:rsidRPr="001F1A44">
        <w:rPr>
          <w:rFonts w:ascii="Palatino Linotype" w:eastAsia="Palatino Linotype" w:hAnsi="Palatino Linotype" w:cs="Palatino Linotype"/>
        </w:rPr>
        <w:lastRenderedPageBreak/>
        <w:t xml:space="preserve">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 </w:t>
      </w:r>
    </w:p>
    <w:p w14:paraId="25E59E9F"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Aunado a lo anterior, se tiene que, para realizar la clasificación de la información se debe: </w:t>
      </w:r>
    </w:p>
    <w:p w14:paraId="75030463"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Symbol" w:eastAsia="Symbol" w:hAnsi="Symbol" w:cs="Symbol"/>
        </w:rPr>
        <w:t>∙</w:t>
      </w:r>
      <w:r w:rsidRPr="001F1A44">
        <w:rPr>
          <w:rFonts w:ascii="Palatino Linotype" w:eastAsia="Palatino Linotype" w:hAnsi="Palatino Linotype" w:cs="Palatino Linotype"/>
        </w:rPr>
        <w:t xml:space="preserve"> Fundar: señalando el artículo, fracción, inciso, párrafo o numeral de la Ley o tratado internacional suscrito por el Estado mexicano que expresamente le otorgue el carácter de reservada. </w:t>
      </w:r>
    </w:p>
    <w:p w14:paraId="0FCC46E0"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Symbol" w:eastAsia="Symbol" w:hAnsi="Symbol" w:cs="Symbol"/>
        </w:rPr>
        <w:t>∙</w:t>
      </w:r>
      <w:r w:rsidRPr="001F1A44">
        <w:rPr>
          <w:rFonts w:ascii="Palatino Linotype" w:eastAsia="Palatino Linotype" w:hAnsi="Palatino Linotype" w:cs="Palatino Linotype"/>
        </w:rPr>
        <w:t xml:space="preserve"> Motivar: señalando las razones o circunstancias especiales que lo llevaron a concluir que el caso particular se ajusta al supuesto previsto por la norma legal invocada como fundamento. </w:t>
      </w:r>
    </w:p>
    <w:p w14:paraId="2AC7AB0F"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Siendo que, en el caso específico de la reserva, la motivación de la clasificación, también deberá comprender las circunstancias que justifican el establecimiento de determinado plazo de reserva. </w:t>
      </w:r>
    </w:p>
    <w:p w14:paraId="48FA3451"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 otras palabras, para clasificar la información como reservada, los acuerdos deben estar debidamente fundados y motivados, situación que no aconteció en el presente asunto, ya que, no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 </w:t>
      </w:r>
    </w:p>
    <w:p w14:paraId="41B5E769"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Sirve de sustento a lo anterior, la Tesis jurisprudencial número I.4º.A. J/43, publicada en el Semanario Judicial de la Federación y su Gaceta, bajo el número de registro 175,082; que a la letra dice: </w:t>
      </w:r>
    </w:p>
    <w:p w14:paraId="7A7B74C4"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“FUNDAMENTACIÓN Y MOTIVACIÓN. EL ASPECTO FORMAL DE LA GARANTÍA Y SU FINALIDAD SE TRADUCEN EN EXPLICAR, JUSTIFICAR, 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D3B8A4C"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Por lo tanto, se tiene que lo procedente es la entrega de la licencia colectiva 139, reservando la información previamente analizada.</w:t>
      </w:r>
    </w:p>
    <w:p w14:paraId="203572A2" w14:textId="77777777" w:rsidR="00CA45CA" w:rsidRPr="001F1A44" w:rsidRDefault="00AD389B">
      <w:pPr>
        <w:spacing w:after="16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3.</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Documento que acredite si obtuvo credencial que ampare la portación de arma que portó el comisario.</w:t>
      </w:r>
    </w:p>
    <w:p w14:paraId="3D7B6F6B" w14:textId="77777777" w:rsidR="00CA45CA" w:rsidRPr="001F1A44" w:rsidRDefault="00AD389B">
      <w:pPr>
        <w:shd w:val="clear" w:color="auto" w:fill="FFFFFF"/>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Ahora bien, por cuanto hace a la credencial, debemos precisar que la Ley Federal de Armas de Fuego y Explosivos y su Reglamento señalan lo siguiente, relativo a la </w:t>
      </w:r>
      <w:r w:rsidRPr="001F1A44">
        <w:rPr>
          <w:rFonts w:ascii="Palatino Linotype" w:eastAsia="Palatino Linotype" w:hAnsi="Palatino Linotype" w:cs="Palatino Linotype"/>
        </w:rPr>
        <w:lastRenderedPageBreak/>
        <w:t>expedición de las Licencias de portación de armas, responsables y sujetos a quienes les pueden ser otorgadas y bajo qué modalidad en los siguientes términos:</w:t>
      </w:r>
    </w:p>
    <w:p w14:paraId="436E290C" w14:textId="77777777" w:rsidR="00CA45CA" w:rsidRPr="001F1A44" w:rsidRDefault="00CA45CA">
      <w:pPr>
        <w:shd w:val="clear" w:color="auto" w:fill="FFFFFF"/>
        <w:ind w:left="709" w:right="474"/>
        <w:jc w:val="center"/>
        <w:rPr>
          <w:rFonts w:ascii="Palatino Linotype" w:eastAsia="Palatino Linotype" w:hAnsi="Palatino Linotype" w:cs="Palatino Linotype"/>
          <w:b/>
          <w:i/>
        </w:rPr>
      </w:pPr>
    </w:p>
    <w:p w14:paraId="74298EA4" w14:textId="77777777" w:rsidR="00CA45CA" w:rsidRPr="001F1A44" w:rsidRDefault="00AD389B">
      <w:pPr>
        <w:shd w:val="clear" w:color="auto" w:fill="FFFFFF"/>
        <w:ind w:left="709" w:right="474"/>
        <w:jc w:val="both"/>
        <w:rPr>
          <w:rFonts w:ascii="Palatino Linotype" w:eastAsia="Palatino Linotype" w:hAnsi="Palatino Linotype" w:cs="Palatino Linotype"/>
          <w:b/>
          <w:sz w:val="18"/>
          <w:szCs w:val="18"/>
        </w:rPr>
      </w:pPr>
      <w:r w:rsidRPr="001F1A44">
        <w:rPr>
          <w:rFonts w:ascii="Palatino Linotype" w:eastAsia="Palatino Linotype" w:hAnsi="Palatino Linotype" w:cs="Palatino Linotype"/>
          <w:b/>
          <w:sz w:val="22"/>
          <w:szCs w:val="22"/>
        </w:rPr>
        <w:t>Ley Federal de Armas de Fuego y Explosivos</w:t>
      </w:r>
    </w:p>
    <w:p w14:paraId="79522F3F" w14:textId="77777777" w:rsidR="00CA45CA" w:rsidRPr="001F1A44" w:rsidRDefault="00CA45CA">
      <w:pPr>
        <w:shd w:val="clear" w:color="auto" w:fill="FFFFFF"/>
        <w:spacing w:line="276" w:lineRule="auto"/>
        <w:ind w:right="900"/>
        <w:jc w:val="both"/>
        <w:rPr>
          <w:rFonts w:ascii="Palatino Linotype" w:eastAsia="Palatino Linotype" w:hAnsi="Palatino Linotype" w:cs="Palatino Linotype"/>
          <w:i/>
          <w:sz w:val="22"/>
          <w:szCs w:val="22"/>
        </w:rPr>
      </w:pPr>
    </w:p>
    <w:p w14:paraId="60EB85E3"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29.-</w:t>
      </w:r>
      <w:r w:rsidRPr="001F1A44">
        <w:rPr>
          <w:rFonts w:ascii="Palatino Linotype" w:eastAsia="Palatino Linotype" w:hAnsi="Palatino Linotype" w:cs="Palatino Linotype"/>
          <w:i/>
          <w:sz w:val="22"/>
          <w:szCs w:val="22"/>
        </w:rPr>
        <w:t xml:space="preserve"> Las licencias oficiales para la portación de armas pueden ser </w:t>
      </w:r>
      <w:r w:rsidRPr="001F1A44">
        <w:rPr>
          <w:rFonts w:ascii="Palatino Linotype" w:eastAsia="Palatino Linotype" w:hAnsi="Palatino Linotype" w:cs="Palatino Linotype"/>
          <w:b/>
          <w:i/>
          <w:sz w:val="22"/>
          <w:szCs w:val="22"/>
        </w:rPr>
        <w:t>colectivas</w:t>
      </w:r>
      <w:r w:rsidRPr="001F1A44">
        <w:rPr>
          <w:rFonts w:ascii="Palatino Linotype" w:eastAsia="Palatino Linotype" w:hAnsi="Palatino Linotype" w:cs="Palatino Linotype"/>
          <w:i/>
          <w:sz w:val="22"/>
          <w:szCs w:val="22"/>
        </w:rPr>
        <w:t xml:space="preserve"> o individuales.</w:t>
      </w:r>
    </w:p>
    <w:p w14:paraId="467C3500"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260A0B2E"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 Las licencias colectivas podrán expedirse a:</w:t>
      </w:r>
    </w:p>
    <w:p w14:paraId="6A5BB6CE"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A. Las dependencias oficiales y organismos públicos federales a cuyo cargo se encuentran las instalaciones estratégicas del país.</w:t>
      </w:r>
    </w:p>
    <w:p w14:paraId="5B80E788" w14:textId="77777777" w:rsidR="00CA45CA" w:rsidRPr="001F1A44" w:rsidRDefault="00CA45CA">
      <w:pPr>
        <w:shd w:val="clear" w:color="auto" w:fill="FFFFFF"/>
        <w:spacing w:line="276" w:lineRule="auto"/>
        <w:ind w:left="709" w:right="474"/>
        <w:jc w:val="both"/>
        <w:rPr>
          <w:rFonts w:ascii="Palatino Linotype" w:eastAsia="Palatino Linotype" w:hAnsi="Palatino Linotype" w:cs="Palatino Linotype"/>
          <w:i/>
          <w:sz w:val="22"/>
          <w:szCs w:val="22"/>
        </w:rPr>
      </w:pPr>
    </w:p>
    <w:p w14:paraId="7B3F3F6B" w14:textId="77777777" w:rsidR="00CA45CA" w:rsidRPr="001F1A44" w:rsidRDefault="00AD389B">
      <w:pPr>
        <w:shd w:val="clear" w:color="auto" w:fill="FFFFFF"/>
        <w:spacing w:line="276" w:lineRule="auto"/>
        <w:ind w:left="567" w:right="1041"/>
        <w:jc w:val="both"/>
        <w:rPr>
          <w:rFonts w:ascii="Palatino Linotype" w:eastAsia="Palatino Linotype" w:hAnsi="Palatino Linotype" w:cs="Palatino Linotype"/>
          <w:b/>
          <w:i/>
          <w:sz w:val="22"/>
          <w:szCs w:val="22"/>
          <w:u w:val="single"/>
        </w:rPr>
      </w:pPr>
      <w:r w:rsidRPr="001F1A44">
        <w:rPr>
          <w:rFonts w:ascii="Palatino Linotype" w:eastAsia="Palatino Linotype" w:hAnsi="Palatino Linotype" w:cs="Palatino Linotype"/>
          <w:b/>
          <w:i/>
          <w:sz w:val="22"/>
          <w:szCs w:val="22"/>
          <w:u w:val="single"/>
        </w:rPr>
        <w:t>Los titulares de las licencias colectivas expedirán credenciales foliadas de identificación personal, que contendrán los datos de la licencia colectiva y se renovarán semestralmente.</w:t>
      </w:r>
    </w:p>
    <w:p w14:paraId="4470E51B" w14:textId="77777777" w:rsidR="00CA45CA" w:rsidRPr="001F1A44" w:rsidRDefault="00CA45CA">
      <w:pPr>
        <w:shd w:val="clear" w:color="auto" w:fill="FFFFFF"/>
        <w:spacing w:line="276" w:lineRule="auto"/>
        <w:ind w:left="567" w:right="1041"/>
        <w:jc w:val="both"/>
        <w:rPr>
          <w:rFonts w:ascii="Palatino Linotype" w:eastAsia="Palatino Linotype" w:hAnsi="Palatino Linotype" w:cs="Palatino Linotype"/>
          <w:i/>
          <w:sz w:val="22"/>
          <w:szCs w:val="22"/>
        </w:rPr>
      </w:pPr>
    </w:p>
    <w:p w14:paraId="3A1212C1" w14:textId="77777777" w:rsidR="00CA45CA" w:rsidRPr="001F1A44" w:rsidRDefault="00AD389B">
      <w:pPr>
        <w:shd w:val="clear" w:color="auto" w:fill="FFFFFF"/>
        <w:spacing w:line="276" w:lineRule="auto"/>
        <w:ind w:left="567" w:right="104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B. Las instituciones policiales</w:t>
      </w:r>
      <w:r w:rsidRPr="001F1A44">
        <w:rPr>
          <w:rFonts w:ascii="Palatino Linotype" w:eastAsia="Palatino Linotype" w:hAnsi="Palatino Linotype" w:cs="Palatino Linotype"/>
          <w:i/>
          <w:sz w:val="22"/>
          <w:szCs w:val="22"/>
        </w:rPr>
        <w:t>. Estas licencias se sujetarán a los lineamientos siguientes:</w:t>
      </w:r>
    </w:p>
    <w:p w14:paraId="626636B3" w14:textId="77777777" w:rsidR="00CA45CA" w:rsidRPr="001F1A44" w:rsidRDefault="00CA45CA">
      <w:pPr>
        <w:shd w:val="clear" w:color="auto" w:fill="FFFFFF"/>
        <w:spacing w:line="276" w:lineRule="auto"/>
        <w:ind w:left="567" w:right="1041"/>
        <w:jc w:val="both"/>
        <w:rPr>
          <w:rFonts w:ascii="Palatino Linotype" w:eastAsia="Palatino Linotype" w:hAnsi="Palatino Linotype" w:cs="Palatino Linotype"/>
          <w:i/>
          <w:sz w:val="22"/>
          <w:szCs w:val="22"/>
        </w:rPr>
      </w:pPr>
    </w:p>
    <w:p w14:paraId="064D60E6" w14:textId="77777777" w:rsidR="00CA45CA" w:rsidRPr="001F1A44" w:rsidRDefault="00AD389B">
      <w:pPr>
        <w:shd w:val="clear" w:color="auto" w:fill="FFFFFF"/>
        <w:spacing w:line="276" w:lineRule="auto"/>
        <w:ind w:left="567" w:right="104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a) Dichas instituciones deberán cumplir con las disposiciones legales de orden federal o local que resulten aplicables.</w:t>
      </w:r>
    </w:p>
    <w:p w14:paraId="618B124C" w14:textId="77777777" w:rsidR="00CA45CA" w:rsidRPr="001F1A44" w:rsidRDefault="00CA45CA">
      <w:pPr>
        <w:shd w:val="clear" w:color="auto" w:fill="FFFFFF"/>
        <w:spacing w:line="276" w:lineRule="auto"/>
        <w:ind w:left="567" w:right="1041"/>
        <w:jc w:val="both"/>
        <w:rPr>
          <w:rFonts w:ascii="Palatino Linotype" w:eastAsia="Palatino Linotype" w:hAnsi="Palatino Linotype" w:cs="Palatino Linotype"/>
          <w:i/>
          <w:sz w:val="22"/>
          <w:szCs w:val="22"/>
        </w:rPr>
      </w:pPr>
    </w:p>
    <w:p w14:paraId="2F49D709" w14:textId="77777777" w:rsidR="00CA45CA" w:rsidRPr="001F1A44" w:rsidRDefault="00AD389B">
      <w:pPr>
        <w:shd w:val="clear" w:color="auto" w:fill="FFFFFF"/>
        <w:spacing w:line="276" w:lineRule="auto"/>
        <w:ind w:left="567" w:right="104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b) La Secretaría de Gobernación será el conducto para solicitar a la Secretaría de la Defensa Nacional la expedición de licencia colectiva a las instituciones policiales, mismas que sólo se solicitarán para las personas que integren su organización operativa y que figuren en las nóminas de pago respectivas, debiéndose notificar a estas secretarías cualquier cambio en su plantilla laboral. </w:t>
      </w:r>
    </w:p>
    <w:p w14:paraId="3ECB3D8D" w14:textId="77777777" w:rsidR="00CA45CA" w:rsidRPr="001F1A44" w:rsidRDefault="00CA45CA">
      <w:pPr>
        <w:shd w:val="clear" w:color="auto" w:fill="FFFFFF"/>
        <w:spacing w:line="276" w:lineRule="auto"/>
        <w:ind w:left="567" w:right="1041"/>
        <w:jc w:val="both"/>
        <w:rPr>
          <w:rFonts w:ascii="Palatino Linotype" w:eastAsia="Palatino Linotype" w:hAnsi="Palatino Linotype" w:cs="Palatino Linotype"/>
          <w:i/>
          <w:sz w:val="22"/>
          <w:szCs w:val="22"/>
        </w:rPr>
      </w:pPr>
    </w:p>
    <w:p w14:paraId="1605166D" w14:textId="77777777" w:rsidR="00CA45CA" w:rsidRPr="001F1A44" w:rsidRDefault="00AD389B">
      <w:pPr>
        <w:shd w:val="clear" w:color="auto" w:fill="FFFFFF"/>
        <w:spacing w:line="276" w:lineRule="auto"/>
        <w:ind w:left="567" w:right="104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Las autoridades competentes resolverán dentro de los sesenta días siguientes a la presentación de la solicitud ante la Secretaría de Gobernación, y</w:t>
      </w:r>
    </w:p>
    <w:p w14:paraId="5C3A2305" w14:textId="77777777" w:rsidR="00CA45CA" w:rsidRPr="001F1A44" w:rsidRDefault="00CA45CA">
      <w:pPr>
        <w:shd w:val="clear" w:color="auto" w:fill="FFFFFF"/>
        <w:spacing w:line="276" w:lineRule="auto"/>
        <w:ind w:left="567" w:right="1041"/>
        <w:jc w:val="both"/>
        <w:rPr>
          <w:rFonts w:ascii="Palatino Linotype" w:eastAsia="Palatino Linotype" w:hAnsi="Palatino Linotype" w:cs="Palatino Linotype"/>
          <w:i/>
          <w:sz w:val="22"/>
          <w:szCs w:val="22"/>
        </w:rPr>
      </w:pPr>
    </w:p>
    <w:p w14:paraId="3D5E6556" w14:textId="77777777" w:rsidR="00CA45CA" w:rsidRPr="001F1A44" w:rsidRDefault="00AD389B">
      <w:pPr>
        <w:numPr>
          <w:ilvl w:val="0"/>
          <w:numId w:val="10"/>
        </w:numPr>
        <w:pBdr>
          <w:top w:val="nil"/>
          <w:left w:val="nil"/>
          <w:bottom w:val="nil"/>
          <w:right w:val="nil"/>
          <w:between w:val="nil"/>
        </w:pBdr>
        <w:shd w:val="clear" w:color="auto" w:fill="FFFFFF"/>
        <w:spacing w:line="276" w:lineRule="auto"/>
        <w:ind w:right="1041"/>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 xml:space="preserve">Los titulares de las instituciones policiales, expedirán a su personal operativo, inscrito en el registro que establezca la ley de la materia, </w:t>
      </w:r>
      <w:r w:rsidRPr="001F1A44">
        <w:rPr>
          <w:rFonts w:ascii="Palatino Linotype" w:eastAsia="Palatino Linotype" w:hAnsi="Palatino Linotype" w:cs="Palatino Linotype"/>
          <w:b/>
          <w:i/>
          <w:sz w:val="22"/>
          <w:szCs w:val="22"/>
        </w:rPr>
        <w:lastRenderedPageBreak/>
        <w:t>credenciales foliadas de identificación personal, por lapsos semestrales</w:t>
      </w:r>
      <w:r w:rsidRPr="001F1A44">
        <w:rPr>
          <w:rFonts w:ascii="Palatino Linotype" w:eastAsia="Palatino Linotype" w:hAnsi="Palatino Linotype" w:cs="Palatino Linotype"/>
          <w:i/>
          <w:sz w:val="22"/>
          <w:szCs w:val="22"/>
        </w:rPr>
        <w:t xml:space="preserve">, las </w:t>
      </w:r>
      <w:r w:rsidRPr="001F1A44">
        <w:rPr>
          <w:rFonts w:ascii="Palatino Linotype" w:eastAsia="Palatino Linotype" w:hAnsi="Palatino Linotype" w:cs="Palatino Linotype"/>
          <w:b/>
          <w:i/>
          <w:sz w:val="22"/>
          <w:szCs w:val="22"/>
        </w:rPr>
        <w:t>cuales, durante su vigencia, se asimilarán a licencias individuales.</w:t>
      </w:r>
    </w:p>
    <w:p w14:paraId="69626B02" w14:textId="77777777" w:rsidR="00CA45CA" w:rsidRPr="001F1A44" w:rsidRDefault="00AD389B">
      <w:pPr>
        <w:shd w:val="clear" w:color="auto" w:fill="FFFFFF"/>
        <w:spacing w:line="276" w:lineRule="auto"/>
        <w:ind w:left="567" w:right="104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C. Los titulares de las licencias colectivas remitirán periódicamente a las Secretaría de la Defensa Nacional y de Gobernación un informe de las armas que se encuentren en su poder, debidamente correlacionado con su estructura y organización operativa, señalando los folios de las credenciales y los datos del personal que las tuviera a su cargo.</w:t>
      </w:r>
    </w:p>
    <w:p w14:paraId="7FB01299" w14:textId="77777777" w:rsidR="00CA45CA" w:rsidRPr="001F1A44" w:rsidRDefault="00CA45CA">
      <w:pPr>
        <w:shd w:val="clear" w:color="auto" w:fill="FFFFFF"/>
        <w:spacing w:line="276" w:lineRule="auto"/>
        <w:ind w:left="567" w:right="1041"/>
        <w:jc w:val="both"/>
        <w:rPr>
          <w:rFonts w:ascii="Palatino Linotype" w:eastAsia="Palatino Linotype" w:hAnsi="Palatino Linotype" w:cs="Palatino Linotype"/>
          <w:i/>
          <w:sz w:val="22"/>
          <w:szCs w:val="22"/>
        </w:rPr>
      </w:pPr>
    </w:p>
    <w:p w14:paraId="20C686D9" w14:textId="77777777" w:rsidR="00CA45CA" w:rsidRPr="001F1A44" w:rsidRDefault="00AD389B">
      <w:pPr>
        <w:shd w:val="clear" w:color="auto" w:fill="FFFFFF"/>
        <w:spacing w:line="276" w:lineRule="auto"/>
        <w:ind w:left="567" w:right="104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D. Las autoridades competentes se coordinarán con los Gobiernos de los Estados para obtener, con oportunidad y exactitud, la información necesaria para el cumplimiento de esta ley. </w:t>
      </w:r>
    </w:p>
    <w:p w14:paraId="7B2FF1B2" w14:textId="77777777" w:rsidR="00CA45CA" w:rsidRPr="001F1A44" w:rsidRDefault="00CA45CA">
      <w:pPr>
        <w:shd w:val="clear" w:color="auto" w:fill="FFFFFF"/>
        <w:spacing w:line="276" w:lineRule="auto"/>
        <w:ind w:left="1416" w:right="474"/>
        <w:jc w:val="both"/>
        <w:rPr>
          <w:rFonts w:ascii="Palatino Linotype" w:eastAsia="Palatino Linotype" w:hAnsi="Palatino Linotype" w:cs="Palatino Linotype"/>
          <w:i/>
          <w:sz w:val="22"/>
          <w:szCs w:val="22"/>
        </w:rPr>
      </w:pPr>
    </w:p>
    <w:p w14:paraId="795822B6"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E. La Secretaría de la Defensa Nacional inspeccionará periódicamente el armamento, sólo para efectos de su control, sin tener autoridad alguna sobre el personal.</w:t>
      </w:r>
    </w:p>
    <w:p w14:paraId="4538936F"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267CD1C8"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II. Las licencias individuales se expedirán a quienes desempeñen cargos o empleos en la Federación o en las Entidades Federativas, que para el cumplimiento de sus obligaciones requieran, en opinión de la autoridad competente, la portación de armas.</w:t>
      </w:r>
    </w:p>
    <w:p w14:paraId="1D88B1F0"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III. Los servidores públicos a que se refiere este artículo deberán cumplir, además, con los requisitos establecidos en los cinco primeros incisos de la fracción I del artículo 26 de esta ley</w:t>
      </w:r>
    </w:p>
    <w:p w14:paraId="201EF438"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5E8BCC61"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30.-</w:t>
      </w:r>
      <w:r w:rsidRPr="001F1A44">
        <w:rPr>
          <w:rFonts w:ascii="Palatino Linotype" w:eastAsia="Palatino Linotype" w:hAnsi="Palatino Linotype" w:cs="Palatino Linotype"/>
          <w:i/>
          <w:sz w:val="22"/>
          <w:szCs w:val="22"/>
        </w:rPr>
        <w:t xml:space="preserve"> Corresponde a la Secretaría de la Defensa Nacional, con la salvedad señalada en el artículo 32 de esta Ley, </w:t>
      </w:r>
      <w:r w:rsidRPr="001F1A44">
        <w:rPr>
          <w:rFonts w:ascii="Palatino Linotype" w:eastAsia="Palatino Linotype" w:hAnsi="Palatino Linotype" w:cs="Palatino Linotype"/>
          <w:b/>
          <w:i/>
          <w:sz w:val="22"/>
          <w:szCs w:val="22"/>
        </w:rPr>
        <w:t>la expedición, suspensión y cancelación de las licencias de portación de armas</w:t>
      </w:r>
      <w:r w:rsidRPr="001F1A44">
        <w:rPr>
          <w:rFonts w:ascii="Palatino Linotype" w:eastAsia="Palatino Linotype" w:hAnsi="Palatino Linotype" w:cs="Palatino Linotype"/>
          <w:i/>
          <w:sz w:val="22"/>
          <w:szCs w:val="22"/>
        </w:rPr>
        <w:t xml:space="preserve">, así como su registro, control y vigilancia. </w:t>
      </w:r>
    </w:p>
    <w:p w14:paraId="342C7C62" w14:textId="77777777" w:rsidR="00CA45CA" w:rsidRPr="001F1A44" w:rsidRDefault="00CA45CA">
      <w:pPr>
        <w:shd w:val="clear" w:color="auto" w:fill="FFFFFF"/>
        <w:spacing w:line="276" w:lineRule="auto"/>
        <w:ind w:left="567" w:right="900"/>
        <w:jc w:val="both"/>
        <w:rPr>
          <w:rFonts w:ascii="Palatino Linotype" w:eastAsia="Palatino Linotype" w:hAnsi="Palatino Linotype" w:cs="Palatino Linotype"/>
          <w:i/>
          <w:sz w:val="22"/>
          <w:szCs w:val="22"/>
        </w:rPr>
      </w:pPr>
    </w:p>
    <w:p w14:paraId="29AC7898" w14:textId="77777777" w:rsidR="00CA45CA" w:rsidRPr="001F1A44" w:rsidRDefault="00AD389B">
      <w:pPr>
        <w:shd w:val="clear" w:color="auto" w:fill="FFFFFF"/>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La propia Secretaría comunicará oportunamente a la de Gobernación, las licencias que autorice, suspenda o cancele.”</w:t>
      </w:r>
    </w:p>
    <w:p w14:paraId="589B3383" w14:textId="77777777" w:rsidR="00CA45CA" w:rsidRPr="001F1A44" w:rsidRDefault="00CA45CA">
      <w:pPr>
        <w:shd w:val="clear" w:color="auto" w:fill="FFFFFF"/>
        <w:ind w:left="709" w:right="474"/>
        <w:jc w:val="center"/>
        <w:rPr>
          <w:rFonts w:ascii="Palatino Linotype" w:eastAsia="Palatino Linotype" w:hAnsi="Palatino Linotype" w:cs="Palatino Linotype"/>
          <w:b/>
          <w:i/>
        </w:rPr>
      </w:pPr>
    </w:p>
    <w:p w14:paraId="55140FB1" w14:textId="77777777" w:rsidR="00CA45CA" w:rsidRPr="001F1A44" w:rsidRDefault="00AD389B">
      <w:pPr>
        <w:shd w:val="clear" w:color="auto" w:fill="FFFFFF"/>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De lo anterior podemos concluir que </w:t>
      </w:r>
      <w:r w:rsidRPr="001F1A44">
        <w:rPr>
          <w:rFonts w:ascii="Palatino Linotype" w:eastAsia="Palatino Linotype" w:hAnsi="Palatino Linotype" w:cs="Palatino Linotype"/>
          <w:b/>
        </w:rPr>
        <w:t xml:space="preserve">el Sujeto Obligado </w:t>
      </w:r>
      <w:r w:rsidRPr="001F1A44">
        <w:rPr>
          <w:rFonts w:ascii="Palatino Linotype" w:eastAsia="Palatino Linotype" w:hAnsi="Palatino Linotype" w:cs="Palatino Linotype"/>
        </w:rPr>
        <w:t xml:space="preserve">otorgará las debidas credenciales a aquellos que se encuentren inscritos en la Licencia Oficial Colectiva para el Estado de México y </w:t>
      </w:r>
      <w:r w:rsidRPr="001F1A44">
        <w:rPr>
          <w:rFonts w:ascii="Palatino Linotype" w:eastAsia="Palatino Linotype" w:hAnsi="Palatino Linotype" w:cs="Palatino Linotype"/>
          <w:b/>
        </w:rPr>
        <w:t xml:space="preserve">el Sujeto Obligado </w:t>
      </w:r>
      <w:r w:rsidRPr="001F1A44">
        <w:rPr>
          <w:rFonts w:ascii="Palatino Linotype" w:eastAsia="Palatino Linotype" w:hAnsi="Palatino Linotype" w:cs="Palatino Linotype"/>
        </w:rPr>
        <w:t xml:space="preserve">contará con los documentos que </w:t>
      </w:r>
      <w:r w:rsidRPr="001F1A44">
        <w:rPr>
          <w:rFonts w:ascii="Palatino Linotype" w:eastAsia="Palatino Linotype" w:hAnsi="Palatino Linotype" w:cs="Palatino Linotype"/>
        </w:rPr>
        <w:lastRenderedPageBreak/>
        <w:t>avalen el trámite ante la autoridad competente (expedientes), de la revalidación de la licencia oficial colectiva de portación de armas de fuego, que por sus funciones requieran de ello.</w:t>
      </w:r>
    </w:p>
    <w:p w14:paraId="7DAAD0BD" w14:textId="77777777" w:rsidR="00CA45CA" w:rsidRPr="001F1A44" w:rsidRDefault="00AD389B">
      <w:pPr>
        <w:shd w:val="clear" w:color="auto" w:fill="FFFFFF"/>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Por lo antes expuesto se colige que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cuenta con la competencia para generar, poseer y/o administrar la licencia colectiva 139  y credencial expedida al permiso de portación de arma del Lic. Marco Antonio Pérez </w:t>
      </w:r>
      <w:proofErr w:type="spellStart"/>
      <w:r w:rsidRPr="001F1A44">
        <w:rPr>
          <w:rFonts w:ascii="Palatino Linotype" w:eastAsia="Palatino Linotype" w:hAnsi="Palatino Linotype" w:cs="Palatino Linotype"/>
        </w:rPr>
        <w:t>Maruri</w:t>
      </w:r>
      <w:proofErr w:type="spellEnd"/>
      <w:r w:rsidRPr="001F1A44">
        <w:rPr>
          <w:rFonts w:ascii="Palatino Linotype" w:eastAsia="Palatino Linotype" w:hAnsi="Palatino Linotype" w:cs="Palatino Linotype"/>
        </w:rPr>
        <w:t>, quien fungía como director de seguridad pública en el Ayuntamiento de Coatepec Harinas, por lo tanto, resulta procedente su entrega en versión pública, sin embargo, de ser  el caso en el  que no se llegara a localizar información por no haberse generado, es decir por no haberse incluido a dicho servidor público dentro de esta licencia,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1D16E1E4" w14:textId="77777777" w:rsidR="00CA45CA" w:rsidRPr="001F1A44" w:rsidRDefault="00AD389B">
      <w:pPr>
        <w:spacing w:after="120"/>
        <w:ind w:left="851"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Artículo 19</w:t>
      </w:r>
      <w:r w:rsidRPr="001F1A44">
        <w:rPr>
          <w:rFonts w:ascii="Palatino Linotype" w:eastAsia="Palatino Linotype" w:hAnsi="Palatino Linotype" w:cs="Palatino Linotype"/>
          <w:i/>
          <w:sz w:val="22"/>
          <w:szCs w:val="22"/>
        </w:rPr>
        <w:t>…</w:t>
      </w:r>
    </w:p>
    <w:p w14:paraId="11E4ABCB" w14:textId="77777777" w:rsidR="00CA45CA" w:rsidRPr="001F1A44" w:rsidRDefault="00AD389B">
      <w:pPr>
        <w:spacing w:before="120" w:after="120"/>
        <w:ind w:left="851" w:right="902"/>
        <w:jc w:val="both"/>
        <w:rPr>
          <w:rFonts w:ascii="Palatino Linotype" w:eastAsia="Palatino Linotype" w:hAnsi="Palatino Linotype" w:cs="Palatino Linotype"/>
        </w:rPr>
      </w:pPr>
      <w:r w:rsidRPr="001F1A44">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C9F348F" w14:textId="77777777" w:rsidR="00CA45CA" w:rsidRPr="001F1A44" w:rsidRDefault="00AD389B">
      <w:pPr>
        <w:pBdr>
          <w:top w:val="nil"/>
          <w:left w:val="nil"/>
          <w:bottom w:val="nil"/>
          <w:right w:val="nil"/>
          <w:between w:val="nil"/>
        </w:pBdr>
        <w:tabs>
          <w:tab w:val="left" w:pos="7513"/>
        </w:tabs>
        <w:spacing w:line="360" w:lineRule="auto"/>
        <w:ind w:right="900"/>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3. CUP (Certificado Único Policial) </w:t>
      </w:r>
    </w:p>
    <w:p w14:paraId="52B01310"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Para iniciar el análisis de este punto, es necesario traer a colación el artículo 1° de los Lineamientos para la Emisión del Certificado Único Policial, que establece que dicho documento acredita a los policías como aptos para ingresar o permanecer en las instituciones de seguridad pública, y que cuentan con los conocimientos, el perfil, las habilidades y las aptitudes necesarias para el desempeño de su cargo. </w:t>
      </w:r>
    </w:p>
    <w:p w14:paraId="47D820BB"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p>
    <w:p w14:paraId="496C908E"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En ese orden de ideas, los artículos 41, fracción V, y 85, fracción II, de la Ley General del Sistema Nacional de Seguridad Pública, establece que los integrantes de las Instituciones Policiales tienen la obligación de obtener y mantener actualizado su Certificado Único Policial que expedirá el centro de control de confianza respectivo. En ese orden de ideas, el artículo 88, inciso B, fracción II, de la ya citada Ley, establece que uno de los requisitos para continuar en el servicio activo de las Instituciones Policiales es mantener actualizado su Certificado Único Policial. </w:t>
      </w:r>
    </w:p>
    <w:p w14:paraId="64F283A1"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p>
    <w:p w14:paraId="46B0B4D8"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En ese sentido, los artículos 21, fracción XVIII, 22, fracción XI, y 100, fracción IV, inciso i) de la Ley de Seguridad del Estado de México, establece que los integrantes de las Instituciones de Seguridad Pública tienen la obligación de obtener y mantener actualizado su Certificado Único Policial; por lo que, los Presidentes Municipales tienen la atribución de verificar que los integrantes de las instituciones policiales a su cargo se sometan a las evaluaciones de control de confianza y cuenten con el Certificado Único Policial; además, que el Director de Seguridad Pública Municipal, será el encargado de informar al Presidente Municipal de los resultados y procesos de verificación y evaluaciones de confianza a los que se sometan los integrantes de las instituciones policiales a su cargo.</w:t>
      </w:r>
    </w:p>
    <w:p w14:paraId="041697E4"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p>
    <w:p w14:paraId="71CDBC00"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Ahora bien, cabe señalar que de conformidad con el artículo 29, fracción XIV, de la Ley en cita, establece que la Conferencia Nacional de Secretarios de Seguridad Pública tiene entre sus funciones, la de proponer los requisitos que debe contener el Certificado Único Policial. </w:t>
      </w:r>
    </w:p>
    <w:p w14:paraId="7CB23259"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p>
    <w:p w14:paraId="5B428554"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Al respecto, dada la naturaleza de la información que se analiza, es oportuno hacer referencia en el presente estudio, al Anexo del Acuerdo 07/XL/16, a través del cual el Consejo Nacional de Seguridad Pública, en cumplimiento al Acuerdo CNSP 13/XXXIX/15, aprueba los Lineamientos para la emisión, desarrollo e implementación del Certificado Único Policial, los cuales precisan lo siguiente:</w:t>
      </w:r>
    </w:p>
    <w:p w14:paraId="2201D13E"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b/>
        </w:rPr>
      </w:pPr>
    </w:p>
    <w:p w14:paraId="3AC4F650" w14:textId="77777777" w:rsidR="00CA45CA" w:rsidRPr="001F1A44" w:rsidRDefault="00AD389B">
      <w:pPr>
        <w:pBdr>
          <w:top w:val="nil"/>
          <w:left w:val="nil"/>
          <w:bottom w:val="nil"/>
          <w:right w:val="nil"/>
          <w:between w:val="nil"/>
        </w:pBdr>
        <w:tabs>
          <w:tab w:val="left" w:pos="7513"/>
        </w:tabs>
        <w:spacing w:line="360" w:lineRule="auto"/>
        <w:ind w:left="567" w:right="900"/>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 </w:t>
      </w:r>
      <w:r w:rsidRPr="001F1A44">
        <w:rPr>
          <w:rFonts w:ascii="Symbol" w:eastAsia="Symbol" w:hAnsi="Symbol" w:cs="Symbol"/>
        </w:rPr>
        <w:t>∙</w:t>
      </w:r>
      <w:r w:rsidRPr="001F1A44">
        <w:rPr>
          <w:rFonts w:ascii="Palatino Linotype" w:eastAsia="Palatino Linotype" w:hAnsi="Palatino Linotype" w:cs="Palatino Linotype"/>
        </w:rPr>
        <w:t xml:space="preserve"> Que el Certificado Único Policial permitirá acreditar que el servidor público resultó aprobado para ingresar o permanecer en las Instituciones Policiales que cuenta con las competencias necesarias para el desempeño de su cargo; </w:t>
      </w:r>
    </w:p>
    <w:p w14:paraId="312A3D25" w14:textId="77777777" w:rsidR="00CA45CA" w:rsidRPr="001F1A44" w:rsidRDefault="00CA45CA">
      <w:pPr>
        <w:pBdr>
          <w:top w:val="nil"/>
          <w:left w:val="nil"/>
          <w:bottom w:val="nil"/>
          <w:right w:val="nil"/>
          <w:between w:val="nil"/>
        </w:pBdr>
        <w:tabs>
          <w:tab w:val="left" w:pos="7513"/>
        </w:tabs>
        <w:spacing w:line="360" w:lineRule="auto"/>
        <w:ind w:left="567" w:right="900"/>
        <w:jc w:val="both"/>
        <w:rPr>
          <w:rFonts w:ascii="Palatino Linotype" w:eastAsia="Palatino Linotype" w:hAnsi="Palatino Linotype" w:cs="Palatino Linotype"/>
        </w:rPr>
      </w:pPr>
    </w:p>
    <w:p w14:paraId="3C78855D" w14:textId="77777777" w:rsidR="00CA45CA" w:rsidRPr="001F1A44" w:rsidRDefault="00AD389B">
      <w:pPr>
        <w:pBdr>
          <w:top w:val="nil"/>
          <w:left w:val="nil"/>
          <w:bottom w:val="nil"/>
          <w:right w:val="nil"/>
          <w:between w:val="nil"/>
        </w:pBdr>
        <w:tabs>
          <w:tab w:val="left" w:pos="7513"/>
        </w:tabs>
        <w:spacing w:line="360" w:lineRule="auto"/>
        <w:ind w:left="567" w:right="900"/>
        <w:jc w:val="both"/>
        <w:rPr>
          <w:rFonts w:ascii="Palatino Linotype" w:eastAsia="Palatino Linotype" w:hAnsi="Palatino Linotype" w:cs="Palatino Linotype"/>
        </w:rPr>
      </w:pPr>
      <w:r w:rsidRPr="001F1A44">
        <w:rPr>
          <w:rFonts w:ascii="Symbol" w:eastAsia="Symbol" w:hAnsi="Symbol" w:cs="Symbol"/>
        </w:rPr>
        <w:t>∙</w:t>
      </w:r>
      <w:r w:rsidRPr="001F1A44">
        <w:rPr>
          <w:rFonts w:ascii="Palatino Linotype" w:eastAsia="Palatino Linotype" w:hAnsi="Palatino Linotype" w:cs="Palatino Linotype"/>
        </w:rPr>
        <w:t xml:space="preserve"> Que el Certificado Único Policial es requisito de permanencia para los integrantes de las instituciones policiales, mientras que el certificado previsto en el artículo 65 de la Ley General del Sistema Nacional de Seguridad Pública establece que es requisito de ingreso y permanencia en las Instituciones de Procuración de Justicia; </w:t>
      </w:r>
    </w:p>
    <w:p w14:paraId="76A12137" w14:textId="77777777" w:rsidR="00CA45CA" w:rsidRPr="001F1A44" w:rsidRDefault="00CA45CA">
      <w:pPr>
        <w:pBdr>
          <w:top w:val="nil"/>
          <w:left w:val="nil"/>
          <w:bottom w:val="nil"/>
          <w:right w:val="nil"/>
          <w:between w:val="nil"/>
        </w:pBdr>
        <w:tabs>
          <w:tab w:val="left" w:pos="7513"/>
        </w:tabs>
        <w:spacing w:line="360" w:lineRule="auto"/>
        <w:ind w:left="567" w:right="900"/>
        <w:jc w:val="both"/>
        <w:rPr>
          <w:rFonts w:ascii="Palatino Linotype" w:eastAsia="Palatino Linotype" w:hAnsi="Palatino Linotype" w:cs="Palatino Linotype"/>
        </w:rPr>
      </w:pPr>
    </w:p>
    <w:p w14:paraId="1E84326B" w14:textId="77777777" w:rsidR="00CA45CA" w:rsidRPr="001F1A44" w:rsidRDefault="00AD389B">
      <w:pPr>
        <w:pBdr>
          <w:top w:val="nil"/>
          <w:left w:val="nil"/>
          <w:bottom w:val="nil"/>
          <w:right w:val="nil"/>
          <w:between w:val="nil"/>
        </w:pBdr>
        <w:tabs>
          <w:tab w:val="left" w:pos="7513"/>
        </w:tabs>
        <w:spacing w:line="360" w:lineRule="auto"/>
        <w:ind w:left="567" w:right="900"/>
        <w:jc w:val="both"/>
        <w:rPr>
          <w:rFonts w:ascii="Palatino Linotype" w:eastAsia="Palatino Linotype" w:hAnsi="Palatino Linotype" w:cs="Palatino Linotype"/>
        </w:rPr>
      </w:pPr>
      <w:r w:rsidRPr="001F1A44">
        <w:rPr>
          <w:rFonts w:ascii="Symbol" w:eastAsia="Symbol" w:hAnsi="Symbol" w:cs="Symbol"/>
        </w:rPr>
        <w:t>∙</w:t>
      </w:r>
      <w:r w:rsidRPr="001F1A44">
        <w:rPr>
          <w:rFonts w:ascii="Palatino Linotype" w:eastAsia="Palatino Linotype" w:hAnsi="Palatino Linotype" w:cs="Palatino Linotype"/>
        </w:rPr>
        <w:t xml:space="preserve"> Que en términos del artículo 76 de la Ley General del Sistema Nacional de Seguridad Pública, los policías de investigación que forman parte de la estructura orgánica de las Instituciones de Procuración de Justicia deben obtener el Certificado Único Policial;</w:t>
      </w:r>
    </w:p>
    <w:p w14:paraId="508EFB07" w14:textId="77777777" w:rsidR="00CA45CA" w:rsidRPr="001F1A44" w:rsidRDefault="00CA45CA">
      <w:pPr>
        <w:pBdr>
          <w:top w:val="nil"/>
          <w:left w:val="nil"/>
          <w:bottom w:val="nil"/>
          <w:right w:val="nil"/>
          <w:between w:val="nil"/>
        </w:pBdr>
        <w:tabs>
          <w:tab w:val="left" w:pos="7513"/>
        </w:tabs>
        <w:spacing w:line="360" w:lineRule="auto"/>
        <w:ind w:left="567" w:right="900"/>
        <w:jc w:val="both"/>
        <w:rPr>
          <w:rFonts w:ascii="Palatino Linotype" w:eastAsia="Palatino Linotype" w:hAnsi="Palatino Linotype" w:cs="Palatino Linotype"/>
        </w:rPr>
      </w:pPr>
    </w:p>
    <w:p w14:paraId="18411250" w14:textId="77777777" w:rsidR="00CA45CA" w:rsidRPr="001F1A44" w:rsidRDefault="00AD389B">
      <w:pPr>
        <w:numPr>
          <w:ilvl w:val="0"/>
          <w:numId w:val="8"/>
        </w:numPr>
        <w:pBdr>
          <w:top w:val="nil"/>
          <w:left w:val="nil"/>
          <w:bottom w:val="nil"/>
          <w:right w:val="nil"/>
          <w:between w:val="nil"/>
        </w:pBdr>
        <w:tabs>
          <w:tab w:val="left" w:pos="7513"/>
        </w:tabs>
        <w:spacing w:line="360" w:lineRule="auto"/>
        <w:ind w:left="567" w:right="900" w:hanging="141"/>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Que el Consejo Nacional de Seguridad Pública en su Trigésima Novena </w:t>
      </w:r>
      <w:r w:rsidRPr="001F1A44">
        <w:rPr>
          <w:rFonts w:ascii="Palatino Linotype" w:eastAsia="Palatino Linotype" w:hAnsi="Palatino Linotype" w:cs="Palatino Linotype"/>
        </w:rPr>
        <w:lastRenderedPageBreak/>
        <w:t>Sesión Ordinaria, mediante Acuerdo 13/XXXIX/15 ratificó el</w:t>
      </w:r>
      <w:r w:rsidRPr="001F1A44">
        <w:rPr>
          <w:rFonts w:ascii="Palatino Linotype" w:eastAsia="Palatino Linotype" w:hAnsi="Palatino Linotype" w:cs="Palatino Linotype"/>
          <w:b/>
        </w:rPr>
        <w:t xml:space="preserve"> </w:t>
      </w:r>
      <w:r w:rsidRPr="001F1A44">
        <w:rPr>
          <w:rFonts w:ascii="Palatino Linotype" w:eastAsia="Palatino Linotype" w:hAnsi="Palatino Linotype" w:cs="Palatino Linotype"/>
        </w:rPr>
        <w:t>Acuerdo 2, adoptado en la XIV Sesión Ordinaria de la Conferencia Nacional de Secretarios de Seguridad Pública, el cual establece los requisitos que debe tener el Certificado Único Policial: evaluación de control de confianza, formación inicial y/o equivalente, evaluación del desempeño y evaluación de competencias policiales básicas (habilidades, destrezas y conocimientos de la función policial); así como instruyó al Secretariado Ejecutivo del Sistema Nacional de Seguridad Pública a establecer un grupo de trabajo interinstitucional, para determinar los lineamientos y políticas generales para la emisión, desarrollo e implementación del Certificado Único Policial.</w:t>
      </w:r>
    </w:p>
    <w:p w14:paraId="13684794"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b/>
        </w:rPr>
      </w:pPr>
    </w:p>
    <w:p w14:paraId="228EBB4E"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 relación con lo expuesto, el artículo 6°, fracción V, de los Lineamientos citados, establece que para la emisión del Certificado Único Policial, el integrante de las Instituciones deberá acreditar: </w:t>
      </w:r>
    </w:p>
    <w:p w14:paraId="58B45E33"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p>
    <w:p w14:paraId="1A8EB394"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 El proceso de evaluación de control de confianza; </w:t>
      </w:r>
    </w:p>
    <w:p w14:paraId="6F8C0191"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b) La evaluación de competencias básicas o profesionales; </w:t>
      </w:r>
    </w:p>
    <w:p w14:paraId="6924F87B"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c) La evaluación del desempeño o del desempeño académico, y </w:t>
      </w:r>
    </w:p>
    <w:p w14:paraId="4A5D7A99"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 La formación inicial o su equivalente. </w:t>
      </w:r>
    </w:p>
    <w:p w14:paraId="7F351958"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p>
    <w:p w14:paraId="331A3609"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Lo anterior, se robustece con el Diagnóstico Nacional sobre las Policías Preventivas de las Entidades Federativas (consultado en la página electrónica http://secretariadoejecutivo.gob.mx/doc/MOFP_30_junio_2019.pdf), establece que </w:t>
      </w:r>
      <w:r w:rsidRPr="001F1A44">
        <w:rPr>
          <w:rFonts w:ascii="Palatino Linotype" w:eastAsia="Palatino Linotype" w:hAnsi="Palatino Linotype" w:cs="Palatino Linotype"/>
        </w:rPr>
        <w:lastRenderedPageBreak/>
        <w:t>el Certificado Único Policial, es una herramienta que permite certificar que el personal que integra las instituciones de seguridad pública, tenga el perfil, los conocimientos, la experiencia, las habilidades y las aptitudes necesarias para el desempeño de sus funciones; además que, para obtener dicho documento, los policías municipales deberán contar con un resultado aprobatorio y vigente, lo siguiente:</w:t>
      </w:r>
    </w:p>
    <w:p w14:paraId="0F97D4DC"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Evaluación de control de confianza;</w:t>
      </w:r>
    </w:p>
    <w:p w14:paraId="4ECDAA60"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Evaluación de competencias básicas o profesionales;</w:t>
      </w:r>
    </w:p>
    <w:p w14:paraId="430E1664"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Evaluación del desempeño, y</w:t>
      </w:r>
    </w:p>
    <w:p w14:paraId="0E7DDB4A"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Formación inicial o equivalente.</w:t>
      </w:r>
    </w:p>
    <w:p w14:paraId="0D525B03"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p>
    <w:p w14:paraId="2B7A2D40"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Así, el Certificado Único Policial que emite el Centro de Control de Confianza del Estado de México, acredita que el personal dedicado a la seguridad pública cumple con las evaluaciones y formación, para ocupar un cargo de seguridad pública; por lo que, es un requisito indispensable, para poder entrar y permanecer en una institución de seguridad pública.</w:t>
      </w:r>
    </w:p>
    <w:p w14:paraId="0926BBB5"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p>
    <w:p w14:paraId="2DFBBEDC"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Conforme a lo anterior, se logra vislumbrar que la pretensión de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es obtener, el documento, que se considera requisito indispensable para el ingreso y permanencia como elemento de una institución policial; lo anterior, es así, pues justamente el Transitorio Quinto de la Ley de Seguridad del Estado de México, precisa que todos los integrantes de las Instituciones de Seguridad Pública deberán contar con el Certificado Único Policial, por lo tanto, se considera procedente la entrega de este documento pues con esto tendrá certeza de que quien </w:t>
      </w:r>
      <w:r w:rsidRPr="001F1A44">
        <w:rPr>
          <w:rFonts w:ascii="Palatino Linotype" w:eastAsia="Palatino Linotype" w:hAnsi="Palatino Linotype" w:cs="Palatino Linotype"/>
        </w:rPr>
        <w:lastRenderedPageBreak/>
        <w:t xml:space="preserve">fungía como el Director de Seguridad Pública y Tránsito del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contaba con uno de los elementos mínimos para permanencia e ingreso a la institución de seguridad pública.</w:t>
      </w:r>
    </w:p>
    <w:p w14:paraId="2DD5C8ED" w14:textId="77777777" w:rsidR="00CA45CA" w:rsidRPr="001F1A44" w:rsidRDefault="00CA45CA">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rPr>
      </w:pPr>
    </w:p>
    <w:p w14:paraId="7D89FF1D" w14:textId="77777777" w:rsidR="00CA45CA" w:rsidRPr="001F1A44" w:rsidRDefault="00AD389B">
      <w:p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b/>
        </w:rPr>
      </w:pPr>
      <w:r w:rsidRPr="001F1A44">
        <w:rPr>
          <w:rFonts w:ascii="Palatino Linotype" w:eastAsia="Palatino Linotype" w:hAnsi="Palatino Linotype" w:cs="Palatino Linotype"/>
          <w:b/>
        </w:rPr>
        <w:t>4. Número de procedimientos administrativos ante la contralora interna del municipio o ante la comisión de honor y justicia, penales o quejas ante la comisión de derechos humanos por hostigamiento, acoso, abuso sexual.</w:t>
      </w:r>
    </w:p>
    <w:p w14:paraId="320D05A1" w14:textId="77777777" w:rsidR="00CA45CA" w:rsidRPr="001F1A44" w:rsidRDefault="00AD389B">
      <w:pPr>
        <w:spacing w:before="240" w:after="240"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Para iniciar el estudio de este requerimiento de información, debemos recordar que el Contralor Municipal, el Vicepresidente de la Comisión de Honor y Justicia y la Defensora Municipal de Derechos Humanos, señalaron que no se puede informar, en virtud de que no se proporcionó el nombre del servidor público ni el periodo de su encargo. </w:t>
      </w:r>
    </w:p>
    <w:p w14:paraId="389DC256" w14:textId="77777777" w:rsidR="00CA45CA" w:rsidRPr="001F1A44" w:rsidRDefault="00AD389B">
      <w:pPr>
        <w:spacing w:before="240" w:after="240"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Así las cosas, para estudiar los </w:t>
      </w:r>
      <w:r w:rsidRPr="001F1A44">
        <w:rPr>
          <w:rFonts w:ascii="Palatino Linotype" w:eastAsia="Palatino Linotype" w:hAnsi="Palatino Linotype" w:cs="Palatino Linotype"/>
          <w:b/>
        </w:rPr>
        <w:t>procedimientos administrativos</w:t>
      </w:r>
      <w:r w:rsidRPr="001F1A44">
        <w:rPr>
          <w:rFonts w:ascii="Palatino Linotype" w:eastAsia="Palatino Linotype" w:hAnsi="Palatino Linotype" w:cs="Palatino Linotype"/>
        </w:rPr>
        <w:t xml:space="preserve">, debemos tener en cuenta que dicha ejecución le corresponde a la </w:t>
      </w:r>
      <w:r w:rsidRPr="001F1A44">
        <w:rPr>
          <w:rFonts w:ascii="Palatino Linotype" w:eastAsia="Palatino Linotype" w:hAnsi="Palatino Linotype" w:cs="Palatino Linotype"/>
          <w:b/>
        </w:rPr>
        <w:t>Contraloría Municipal</w:t>
      </w:r>
      <w:r w:rsidRPr="001F1A44">
        <w:rPr>
          <w:rFonts w:ascii="Palatino Linotype" w:eastAsia="Palatino Linotype" w:hAnsi="Palatino Linotype" w:cs="Palatino Linotype"/>
        </w:rPr>
        <w:t xml:space="preserve">, lo anterior, encuentra sustento en lo previsto por el Bando Municipal, mismo que se inserta a continuación para mejor proveer del presente estudio: </w:t>
      </w:r>
    </w:p>
    <w:p w14:paraId="173536B6"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“ARTÍCULO 74.- La Contraloría Municipal es el órgano de control interno cuya función es vigilar el quehacer público para que se conduzca en estricto cumplimiento de las disposiciones legales aplicables.</w:t>
      </w:r>
    </w:p>
    <w:p w14:paraId="6F8092F2"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ARTÍCULO 75.- La Contraloría Municipal, para el cumplimiento de sus funciones y atribuciones, se integra por las Autoridades Investigadora, Sustanciadora y </w:t>
      </w:r>
      <w:proofErr w:type="spellStart"/>
      <w:r w:rsidRPr="001F1A44">
        <w:rPr>
          <w:rFonts w:ascii="Palatino Linotype" w:eastAsia="Palatino Linotype" w:hAnsi="Palatino Linotype" w:cs="Palatino Linotype"/>
          <w:i/>
          <w:sz w:val="22"/>
          <w:szCs w:val="22"/>
        </w:rPr>
        <w:t>Resolutora</w:t>
      </w:r>
      <w:proofErr w:type="spellEnd"/>
      <w:r w:rsidRPr="001F1A44">
        <w:rPr>
          <w:rFonts w:ascii="Palatino Linotype" w:eastAsia="Palatino Linotype" w:hAnsi="Palatino Linotype" w:cs="Palatino Linotype"/>
          <w:i/>
          <w:sz w:val="22"/>
          <w:szCs w:val="22"/>
        </w:rPr>
        <w:t>, las cuales, sin menoscabo de sus atribuciones, podrán realizar las funciones de fiscalización administrativa, financiera y de obra pública, de contraloría social, de situación patrimonial y de intereses.</w:t>
      </w:r>
    </w:p>
    <w:p w14:paraId="32923BE9"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lastRenderedPageBreak/>
        <w:t>ARTÍCULO 76.- Las acciones del Órgano de Control Interno se regirán por la Constitución Política del Estado Libre y Soberano de México, La Ley Orgánica, La Ley de Responsabilidades Administrativas del Estado de México y Municipios, y demás disposiciones legales aplicables.</w:t>
      </w:r>
    </w:p>
    <w:p w14:paraId="2F1125FF"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ARTÍCULO 77.- La autoridad municipal en materia de Contraloría Interna tendrá las siguientes atribuciones:</w:t>
      </w:r>
    </w:p>
    <w:p w14:paraId="3FEB84FF"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495A10EA"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u w:val="single"/>
        </w:rPr>
        <w:t>XI. Operar el Sistema de Atención Mexiquense que administra la Secretaría de la Contraloría del Gobierno del Estado de México; así como recibir recomendaciones, sugerencias y denuncias por hechos presuntamente constitutivos de faltas administrativas de las o los servidores públicos municipales</w:t>
      </w:r>
      <w:r w:rsidRPr="001F1A44">
        <w:rPr>
          <w:rFonts w:ascii="Palatino Linotype" w:eastAsia="Palatino Linotype" w:hAnsi="Palatino Linotype" w:cs="Palatino Linotype"/>
          <w:i/>
          <w:sz w:val="22"/>
          <w:szCs w:val="22"/>
        </w:rPr>
        <w:t xml:space="preserve"> o de particulares por conductas sancionables en términos de la Ley de Responsabilidades Administrativas del Estado de México y Municipios, y en su caso turnar a la autoridad investigadora competente;</w:t>
      </w:r>
    </w:p>
    <w:p w14:paraId="1F47B887"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1D7ECC84"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proofErr w:type="spellStart"/>
      <w:r w:rsidRPr="001F1A44">
        <w:rPr>
          <w:rFonts w:ascii="Palatino Linotype" w:eastAsia="Palatino Linotype" w:hAnsi="Palatino Linotype" w:cs="Palatino Linotype"/>
          <w:b/>
          <w:i/>
          <w:sz w:val="22"/>
          <w:szCs w:val="22"/>
          <w:u w:val="single"/>
        </w:rPr>
        <w:t>XVIII.Realizar</w:t>
      </w:r>
      <w:proofErr w:type="spellEnd"/>
      <w:r w:rsidRPr="001F1A44">
        <w:rPr>
          <w:rFonts w:ascii="Palatino Linotype" w:eastAsia="Palatino Linotype" w:hAnsi="Palatino Linotype" w:cs="Palatino Linotype"/>
          <w:b/>
          <w:i/>
          <w:sz w:val="22"/>
          <w:szCs w:val="22"/>
          <w:u w:val="single"/>
        </w:rPr>
        <w:t xml:space="preserve"> los procesos de investigación, substanciar y resolver, tratándose de faltas administrativas no graves, a través de las áreas administrativas especializadas, respecto de las denuncias por conductas que deriven del incumplimiento de obligaciones de los servidores públicos municipales</w:t>
      </w:r>
      <w:r w:rsidRPr="001F1A44">
        <w:rPr>
          <w:rFonts w:ascii="Palatino Linotype" w:eastAsia="Palatino Linotype" w:hAnsi="Palatino Linotype" w:cs="Palatino Linotype"/>
          <w:i/>
          <w:sz w:val="22"/>
          <w:szCs w:val="22"/>
        </w:rPr>
        <w:t xml:space="preserve"> en el ámbito de su competencia, en términos de la Ley de Responsabilidades Administrativas del Estado de México y Municipios;</w:t>
      </w:r>
    </w:p>
    <w:p w14:paraId="2478A3A5"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XIX. Realizar la investigación, substanciar y remitir al Tribunal de Justicia Administrativa, los autos originales del expediente para la continuación del procedimiento y su resolución por dicho órgano; cuando se trate de denuncia por faltas administrativas graves o faltas de particulares, en términos de la Ley de Responsabilidades Administrativas del Estado de México y Municipios;</w:t>
      </w:r>
    </w:p>
    <w:p w14:paraId="432AB38E"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5837146B" w14:textId="77777777" w:rsidR="00CA45CA" w:rsidRPr="001F1A44" w:rsidRDefault="00AD389B">
      <w:pPr>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u w:val="single"/>
        </w:rPr>
        <w:lastRenderedPageBreak/>
        <w:t>XXVII. Recibir las denuncias por declaraciones de situación patrimonial que contengan posibles conflictos de intereses de los servidores públicos de la administración pública municipal de Coatepec Harinas, y turnar a la autoridad competente para la práctica de las investigaciones correspondientes que permitan identificar la existencia o no de presuntas infracciones</w:t>
      </w:r>
      <w:r w:rsidRPr="001F1A44">
        <w:rPr>
          <w:rFonts w:ascii="Palatino Linotype" w:eastAsia="Palatino Linotype" w:hAnsi="Palatino Linotype" w:cs="Palatino Linotype"/>
          <w:i/>
          <w:sz w:val="22"/>
          <w:szCs w:val="22"/>
        </w:rPr>
        <w:t>;”</w:t>
      </w:r>
    </w:p>
    <w:p w14:paraId="541731CC"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Ahora bien, por cuanto hace al procedimiento que se inicia ante la </w:t>
      </w:r>
      <w:r w:rsidRPr="001F1A44">
        <w:rPr>
          <w:rFonts w:ascii="Palatino Linotype" w:eastAsia="Palatino Linotype" w:hAnsi="Palatino Linotype" w:cs="Palatino Linotype"/>
          <w:b/>
        </w:rPr>
        <w:t>Comisión de Honor y Justicia</w:t>
      </w:r>
      <w:r w:rsidRPr="001F1A44">
        <w:rPr>
          <w:rFonts w:ascii="Palatino Linotype" w:eastAsia="Palatino Linotype" w:hAnsi="Palatino Linotype" w:cs="Palatino Linotype"/>
        </w:rPr>
        <w:t xml:space="preserve">, debemos señalar que esta instancia, es la encargada de llevar a cabo los procedimientos en contra de los miembros de las instituciones policiales, por haber incumplido el régimen disciplinario; en ese contexto, dicho órgano colegiado estará conformado por diversos servidores públicos, para mayor referencia se insertan los siguientes artículos de la Ley de Seguridad del Estado de México, la cual dispone: </w:t>
      </w:r>
    </w:p>
    <w:p w14:paraId="18DE52A7" w14:textId="77777777" w:rsidR="00CA45CA" w:rsidRPr="001F1A44" w:rsidRDefault="00CA45CA">
      <w:pPr>
        <w:spacing w:line="360" w:lineRule="auto"/>
        <w:jc w:val="both"/>
        <w:rPr>
          <w:rFonts w:ascii="Palatino Linotype" w:eastAsia="Palatino Linotype" w:hAnsi="Palatino Linotype" w:cs="Palatino Linotype"/>
          <w:sz w:val="12"/>
          <w:szCs w:val="12"/>
        </w:rPr>
      </w:pPr>
    </w:p>
    <w:p w14:paraId="24158798" w14:textId="77777777" w:rsidR="00CA45CA" w:rsidRPr="001F1A44" w:rsidRDefault="00AD389B">
      <w:pPr>
        <w:spacing w:after="160" w:line="259" w:lineRule="auto"/>
        <w:ind w:left="567"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Artículo 160.-</w:t>
      </w:r>
      <w:r w:rsidRPr="001F1A44">
        <w:rPr>
          <w:rFonts w:ascii="Palatino Linotype" w:eastAsia="Palatino Linotype" w:hAnsi="Palatino Linotype" w:cs="Palatino Linotype"/>
          <w:i/>
          <w:sz w:val="22"/>
          <w:szCs w:val="22"/>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68FF8B29"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sz w:val="22"/>
          <w:szCs w:val="22"/>
        </w:rPr>
        <w:t xml:space="preserve"> </w:t>
      </w:r>
      <w:r w:rsidRPr="001F1A44">
        <w:rPr>
          <w:rFonts w:ascii="Palatino Linotype" w:eastAsia="Palatino Linotype" w:hAnsi="Palatino Linotype" w:cs="Palatino Linotype"/>
          <w:i/>
          <w:sz w:val="22"/>
          <w:szCs w:val="22"/>
        </w:rPr>
        <w:t xml:space="preserve">I. Con los requisitos de permanencia que se establecen en la Ley General, esta Ley y demás disposiciones legales aplicables; </w:t>
      </w:r>
    </w:p>
    <w:p w14:paraId="2E8AA5E6" w14:textId="77777777" w:rsidR="00CA45CA" w:rsidRPr="001F1A44" w:rsidRDefault="00AD389B">
      <w:pPr>
        <w:spacing w:after="160" w:line="276" w:lineRule="auto"/>
        <w:ind w:left="567"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II. Con las obligaciones establecidas en la Ley General, esta Ley y los ordenamientos jurídicos internos que rigen su actuar; y </w:t>
      </w:r>
    </w:p>
    <w:p w14:paraId="180B21A7" w14:textId="77777777" w:rsidR="00CA45CA" w:rsidRPr="001F1A44" w:rsidRDefault="00AD389B">
      <w:pPr>
        <w:spacing w:after="160" w:line="276" w:lineRule="auto"/>
        <w:ind w:left="567"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III. Con el régimen disciplinario establecido en esta Ley. La Comisión de Honor y Justicia implementará una base de datos en la que se registrarán las sanciones impuestas a los integrantes de las Instituciones Policiales. </w:t>
      </w:r>
    </w:p>
    <w:p w14:paraId="7E16C6E0" w14:textId="77777777" w:rsidR="00CA45CA" w:rsidRPr="001F1A44" w:rsidRDefault="00AD389B">
      <w:pPr>
        <w:spacing w:after="160" w:line="276" w:lineRule="auto"/>
        <w:ind w:left="567"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161.-</w:t>
      </w:r>
      <w:r w:rsidRPr="001F1A44">
        <w:rPr>
          <w:rFonts w:ascii="Palatino Linotype" w:eastAsia="Palatino Linotype" w:hAnsi="Palatino Linotype" w:cs="Palatino Linotype"/>
          <w:i/>
          <w:sz w:val="22"/>
          <w:szCs w:val="22"/>
        </w:rPr>
        <w:t xml:space="preserve"> Las Instituciones Policiales establecerán una Comisión de Honor y Justicia, que estará integrada por: </w:t>
      </w:r>
    </w:p>
    <w:p w14:paraId="4AD87CF4" w14:textId="77777777" w:rsidR="00CA45CA" w:rsidRPr="001F1A44" w:rsidRDefault="00AD389B">
      <w:pPr>
        <w:spacing w:after="160" w:line="276" w:lineRule="auto"/>
        <w:ind w:left="567" w:right="901"/>
        <w:jc w:val="both"/>
        <w:rPr>
          <w:rFonts w:ascii="Palatino Linotype" w:eastAsia="Palatino Linotype" w:hAnsi="Palatino Linotype" w:cs="Palatino Linotype"/>
          <w:b/>
          <w:i/>
          <w:sz w:val="22"/>
          <w:szCs w:val="22"/>
          <w:u w:val="single"/>
        </w:rPr>
      </w:pPr>
      <w:r w:rsidRPr="001F1A44">
        <w:rPr>
          <w:rFonts w:ascii="Palatino Linotype" w:eastAsia="Palatino Linotype" w:hAnsi="Palatino Linotype" w:cs="Palatino Linotype"/>
          <w:b/>
          <w:i/>
          <w:sz w:val="22"/>
          <w:szCs w:val="22"/>
          <w:u w:val="single"/>
        </w:rPr>
        <w:lastRenderedPageBreak/>
        <w:t>I. Un presidente que tendrá voto de calidad;</w:t>
      </w:r>
    </w:p>
    <w:p w14:paraId="6E3E86F6" w14:textId="77777777" w:rsidR="00CA45CA" w:rsidRPr="001F1A44" w:rsidRDefault="00AD389B">
      <w:pPr>
        <w:spacing w:after="160" w:line="276" w:lineRule="auto"/>
        <w:ind w:left="567" w:right="901"/>
        <w:jc w:val="both"/>
        <w:rPr>
          <w:rFonts w:ascii="Palatino Linotype" w:eastAsia="Palatino Linotype" w:hAnsi="Palatino Linotype" w:cs="Palatino Linotype"/>
          <w:b/>
          <w:i/>
          <w:sz w:val="22"/>
          <w:szCs w:val="22"/>
          <w:u w:val="single"/>
        </w:rPr>
      </w:pPr>
      <w:r w:rsidRPr="001F1A44">
        <w:rPr>
          <w:rFonts w:ascii="Palatino Linotype" w:eastAsia="Palatino Linotype" w:hAnsi="Palatino Linotype" w:cs="Palatino Linotype"/>
          <w:b/>
          <w:i/>
          <w:sz w:val="22"/>
          <w:szCs w:val="22"/>
          <w:u w:val="single"/>
        </w:rPr>
        <w:t xml:space="preserve">II. Un secretario que será el titular del jurídico de la Institución y contará con voz y voto; y </w:t>
      </w:r>
    </w:p>
    <w:p w14:paraId="6FCC81E7" w14:textId="77777777" w:rsidR="00CA45CA" w:rsidRPr="001F1A44" w:rsidRDefault="00AD389B">
      <w:pPr>
        <w:spacing w:after="160" w:line="276" w:lineRule="auto"/>
        <w:ind w:left="567" w:right="901"/>
        <w:jc w:val="both"/>
        <w:rPr>
          <w:rFonts w:ascii="Palatino Linotype" w:eastAsia="Palatino Linotype" w:hAnsi="Palatino Linotype" w:cs="Palatino Linotype"/>
          <w:b/>
          <w:i/>
          <w:sz w:val="22"/>
          <w:szCs w:val="22"/>
          <w:u w:val="single"/>
        </w:rPr>
      </w:pPr>
      <w:r w:rsidRPr="001F1A44">
        <w:rPr>
          <w:rFonts w:ascii="Palatino Linotype" w:eastAsia="Palatino Linotype" w:hAnsi="Palatino Linotype" w:cs="Palatino Linotype"/>
          <w:b/>
          <w:i/>
          <w:sz w:val="22"/>
          <w:szCs w:val="22"/>
          <w:u w:val="single"/>
        </w:rPr>
        <w:t xml:space="preserve">III. Un representante de la unidad operativa de investigación, prevención o reacción según sea el caso. </w:t>
      </w:r>
    </w:p>
    <w:p w14:paraId="13A0628C" w14:textId="77777777" w:rsidR="00CA45CA" w:rsidRPr="001F1A44" w:rsidRDefault="00AD389B">
      <w:pPr>
        <w:spacing w:after="160" w:line="276" w:lineRule="auto"/>
        <w:ind w:left="567"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El presidente y el representante serán designados por el titular de la dependencia.</w:t>
      </w:r>
    </w:p>
    <w:p w14:paraId="0AF1506E" w14:textId="77777777" w:rsidR="00CA45CA" w:rsidRPr="001F1A44" w:rsidRDefault="00AD389B">
      <w:pPr>
        <w:spacing w:after="160" w:line="276" w:lineRule="auto"/>
        <w:ind w:left="567"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Artículo 180. </w:t>
      </w:r>
      <w:r w:rsidRPr="001F1A44">
        <w:rPr>
          <w:rFonts w:ascii="Palatino Linotype" w:eastAsia="Palatino Linotype" w:hAnsi="Palatino Linotype" w:cs="Palatino Linotype"/>
          <w:i/>
          <w:sz w:val="22"/>
          <w:szCs w:val="22"/>
        </w:rPr>
        <w:t>Las resoluciones sancionadoras podrán ser impugnadas mediante el Recurso Administrativo de Inconformidad, ante el Titular de la Institución Policial correspondiente o a través del juicio ante el Tribunal de Justicia Administrativa del Estado de México, dentro de los quince días posteriores al en que surta efectos la notificación de la resolución.</w:t>
      </w:r>
    </w:p>
    <w:p w14:paraId="66A74EF2" w14:textId="77777777" w:rsidR="00CA45CA" w:rsidRPr="001F1A44" w:rsidRDefault="00AD389B">
      <w:pPr>
        <w:spacing w:after="160" w:line="276" w:lineRule="auto"/>
        <w:ind w:left="851"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181.-</w:t>
      </w:r>
      <w:r w:rsidRPr="001F1A44">
        <w:rPr>
          <w:rFonts w:ascii="Palatino Linotype" w:eastAsia="Palatino Linotype" w:hAnsi="Palatino Linotype" w:cs="Palatino Linotype"/>
          <w:i/>
          <w:sz w:val="22"/>
          <w:szCs w:val="22"/>
        </w:rPr>
        <w:t xml:space="preserve"> Es improcedente la reinstalación o restitución de los integrantes de las Instituciones Policiales separados de su cargo por resolución de remoción, baja o cese, cualquiera que sea el resultado del juicio o medio de defensa que hubiere promovido y, en su caso, sólo procederá la indemnización. </w:t>
      </w:r>
    </w:p>
    <w:p w14:paraId="3B8C8297" w14:textId="77777777" w:rsidR="00CA45CA" w:rsidRPr="001F1A44" w:rsidRDefault="00AD389B">
      <w:pPr>
        <w:spacing w:after="160" w:line="276" w:lineRule="auto"/>
        <w:ind w:left="851"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En caso de que los órganos jurisdiccionales determinen que la resolución por la que se impone la separación o remoción es injustificada, las Instituciones Policiales solo estarán obligadas a la indemnización de tres meses de sueldo y al pago de prestaciones de ley, estas, por el último año en que prestó sus servicios. </w:t>
      </w:r>
    </w:p>
    <w:p w14:paraId="187AAB2E" w14:textId="77777777" w:rsidR="00CA45CA" w:rsidRPr="001F1A44" w:rsidRDefault="00AD389B">
      <w:pPr>
        <w:spacing w:after="160" w:line="276" w:lineRule="auto"/>
        <w:ind w:left="851"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En aquellos juicios en que las instancias jurisdiccionales condenen al pago de haberes dejados de percibir o remuneración diaria ordinaria por el tiempo en que el servidor público haya estado suspendido, separado o removido del cargo de conformidad, se cubrirán hasta por un periodo máximo de doce meses. La determinación que resultare injustificada por los órganos jurisdiccionales deberá anotarse en el o registros correspondientes. </w:t>
      </w:r>
    </w:p>
    <w:p w14:paraId="3505D2C3" w14:textId="77777777" w:rsidR="00CA45CA" w:rsidRPr="001F1A44" w:rsidRDefault="00AD389B">
      <w:pPr>
        <w:spacing w:after="160" w:line="276" w:lineRule="auto"/>
        <w:ind w:left="851" w:right="901"/>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El pago previsto en el párrafo anterior se hará con base al tabulador vigente de la fecha en que se exhiba.” (Énfasis añadido)</w:t>
      </w:r>
    </w:p>
    <w:p w14:paraId="3B734E85"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Por lo anterior, se  advierte que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cuenta con la comisión de honor y justicia del Ayuntamiento de Coatepec Harinas, la cual resolverá la suspensión </w:t>
      </w:r>
      <w:r w:rsidRPr="001F1A44">
        <w:rPr>
          <w:rFonts w:ascii="Palatino Linotype" w:eastAsia="Palatino Linotype" w:hAnsi="Palatino Linotype" w:cs="Palatino Linotype"/>
        </w:rPr>
        <w:lastRenderedPageBreak/>
        <w:t xml:space="preserve">temporal, separación, remoción, baja, cese o cualquier forma de terminación del servicio de los elementos policiales cuando se incumpla con las obligaciones establecidas en la Ley General, esta Ley y los ordenamientos jurídicos internos que rigen su actuar; y con el régimen disciplinario establecido en la Ley. </w:t>
      </w:r>
    </w:p>
    <w:p w14:paraId="51980953" w14:textId="77777777" w:rsidR="00CA45CA" w:rsidRPr="001F1A44" w:rsidRDefault="00CA45CA">
      <w:pPr>
        <w:spacing w:line="360" w:lineRule="auto"/>
        <w:jc w:val="both"/>
        <w:rPr>
          <w:rFonts w:ascii="Palatino Linotype" w:eastAsia="Palatino Linotype" w:hAnsi="Palatino Linotype" w:cs="Palatino Linotype"/>
        </w:rPr>
      </w:pPr>
    </w:p>
    <w:p w14:paraId="50AA9A28"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Finalmente respecto a la </w:t>
      </w:r>
      <w:r w:rsidRPr="001F1A44">
        <w:rPr>
          <w:rFonts w:ascii="Palatino Linotype" w:eastAsia="Palatino Linotype" w:hAnsi="Palatino Linotype" w:cs="Palatino Linotype"/>
          <w:b/>
        </w:rPr>
        <w:t>Defensoría Municipal de los Derechos Humanos</w:t>
      </w:r>
      <w:r w:rsidRPr="001F1A44">
        <w:rPr>
          <w:rFonts w:ascii="Palatino Linotype" w:eastAsia="Palatino Linotype" w:hAnsi="Palatino Linotype" w:cs="Palatino Linotype"/>
        </w:rPr>
        <w:t>, el Bando Municipal en referencia, establece lo siguiente:</w:t>
      </w:r>
    </w:p>
    <w:p w14:paraId="3BE8C4AD" w14:textId="77777777" w:rsidR="00CA45CA" w:rsidRPr="001F1A44" w:rsidRDefault="00CA45CA">
      <w:pPr>
        <w:spacing w:line="360" w:lineRule="auto"/>
        <w:jc w:val="both"/>
        <w:rPr>
          <w:rFonts w:ascii="Palatino Linotype" w:eastAsia="Palatino Linotype" w:hAnsi="Palatino Linotype" w:cs="Palatino Linotype"/>
        </w:rPr>
      </w:pPr>
    </w:p>
    <w:p w14:paraId="6BCDFA03" w14:textId="77777777" w:rsidR="00CA45CA" w:rsidRPr="001F1A44" w:rsidRDefault="00AD389B">
      <w:pP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“ARTÍCULO 276.- Es responsabilidad del Ayuntamiento respetar y hacer valer los derechos humanos de los </w:t>
      </w:r>
      <w:proofErr w:type="spellStart"/>
      <w:r w:rsidRPr="001F1A44">
        <w:rPr>
          <w:rFonts w:ascii="Palatino Linotype" w:eastAsia="Palatino Linotype" w:hAnsi="Palatino Linotype" w:cs="Palatino Linotype"/>
          <w:i/>
          <w:sz w:val="22"/>
          <w:szCs w:val="22"/>
        </w:rPr>
        <w:t>coatepequenses</w:t>
      </w:r>
      <w:proofErr w:type="spellEnd"/>
      <w:r w:rsidRPr="001F1A44">
        <w:rPr>
          <w:rFonts w:ascii="Palatino Linotype" w:eastAsia="Palatino Linotype" w:hAnsi="Palatino Linotype" w:cs="Palatino Linotype"/>
          <w:i/>
          <w:sz w:val="22"/>
          <w:szCs w:val="22"/>
        </w:rPr>
        <w:t>, vecinos y transeúntes del municipio, razón por la cual se creó la Defensoría Municipal de Derechos Humanos, cuyas atribuciones y funciones, se encuentran establecidas en la Ley Orgánica Municipal del Estado de México y en el Reglamento de Organización y Funcionamiento de las Defensorías Municipales de Derechos Humanos del Estado de México, y son las siguientes:</w:t>
      </w:r>
    </w:p>
    <w:p w14:paraId="57FD24C6" w14:textId="77777777" w:rsidR="00CA45CA" w:rsidRPr="001F1A44" w:rsidRDefault="00AD389B">
      <w:pP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 Impulsar la observancia de los derechos humanos en el municipio;</w:t>
      </w:r>
    </w:p>
    <w:p w14:paraId="2578981F" w14:textId="77777777" w:rsidR="00CA45CA" w:rsidRPr="001F1A44" w:rsidRDefault="00AD389B">
      <w:pPr>
        <w:spacing w:line="276" w:lineRule="auto"/>
        <w:ind w:left="567" w:right="900"/>
        <w:jc w:val="both"/>
        <w:rPr>
          <w:rFonts w:ascii="Palatino Linotype" w:eastAsia="Palatino Linotype" w:hAnsi="Palatino Linotype" w:cs="Palatino Linotype"/>
          <w:b/>
          <w:i/>
          <w:sz w:val="22"/>
          <w:szCs w:val="22"/>
          <w:u w:val="single"/>
        </w:rPr>
      </w:pPr>
      <w:r w:rsidRPr="001F1A44">
        <w:rPr>
          <w:rFonts w:ascii="Palatino Linotype" w:eastAsia="Palatino Linotype" w:hAnsi="Palatino Linotype" w:cs="Palatino Linotype"/>
          <w:b/>
          <w:i/>
          <w:sz w:val="22"/>
          <w:szCs w:val="22"/>
          <w:u w:val="single"/>
        </w:rPr>
        <w:t>II. Recibir quejas de presuntas violaciones a derechos humanos;</w:t>
      </w:r>
    </w:p>
    <w:p w14:paraId="1E70AF16" w14:textId="77777777" w:rsidR="00CA45CA" w:rsidRPr="001F1A44" w:rsidRDefault="00AD389B">
      <w:pP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III. Formular recomendaciones públicas no vinculatorias, denuncias y quejas ante las autoridades respectivas, en los términos establecidos por el artículo 102, Apartado B, de la Constitución Política de los Estados Unidos Mexicanos;</w:t>
      </w:r>
    </w:p>
    <w:p w14:paraId="63F99FF4" w14:textId="77777777" w:rsidR="00CA45CA" w:rsidRPr="001F1A44" w:rsidRDefault="00AD389B">
      <w:pP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IV. Procurar la conciliación entre los quejosos y las autoridades señaladas como responsables, así como la inmediata solución de un conflicto planteado, cuando la naturaleza del caso lo permita;</w:t>
      </w:r>
    </w:p>
    <w:p w14:paraId="7A7A3FFC" w14:textId="77777777" w:rsidR="00CA45CA" w:rsidRPr="001F1A44" w:rsidRDefault="00AD389B">
      <w:pP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V. Informar y coordinarse con la Comisión Estatal para los Derechos Humanos para conocimiento del Ayuntamiento; y</w:t>
      </w:r>
    </w:p>
    <w:p w14:paraId="3EF5996A" w14:textId="77777777" w:rsidR="00CA45CA" w:rsidRPr="001F1A44" w:rsidRDefault="00AD389B">
      <w:pP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VI. Las demás que le otorgue el presente Bando y otros ordenamientos.”</w:t>
      </w:r>
    </w:p>
    <w:p w14:paraId="6F0B3C84" w14:textId="77777777" w:rsidR="00CA45CA" w:rsidRPr="001F1A44" w:rsidRDefault="00AD389B">
      <w:pPr>
        <w:spacing w:before="240" w:after="240"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De tal suerte que con lo insertado, se visualiza que efectivamente la Defensoría Municipal es competente para recibir quejas derivado de las presuntas violaciones a derechos humanos que pudieran llegarse a suscitar.</w:t>
      </w:r>
    </w:p>
    <w:p w14:paraId="1D1D78F5" w14:textId="77777777" w:rsidR="00CA45CA" w:rsidRPr="001F1A44" w:rsidRDefault="00AD389B">
      <w:pPr>
        <w:spacing w:before="240" w:after="240"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Ahora bien, atendiendo a la materia de la solicitud, es importante referir en primer lugar, que la información solicitada se encuentra relacionada con la obligación de transparencia prevista en el artículo 92, fracción XXII de la Ley de Transparencia y Acceso a la Información Pública del Estado de México y Municipios, a saber:</w:t>
      </w:r>
    </w:p>
    <w:p w14:paraId="0EB62327" w14:textId="77777777" w:rsidR="00CA45CA" w:rsidRPr="001F1A44" w:rsidRDefault="00AD389B">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C6F41F7" w14:textId="77777777" w:rsidR="00CA45CA" w:rsidRPr="001F1A44" w:rsidRDefault="00AD389B">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5342A6C7" w14:textId="77777777" w:rsidR="00CA45CA" w:rsidRPr="001F1A44" w:rsidRDefault="00AD389B">
      <w:pPr>
        <w:tabs>
          <w:tab w:val="left" w:pos="8222"/>
        </w:tabs>
        <w:spacing w:before="240" w:after="240" w:line="276" w:lineRule="auto"/>
        <w:ind w:left="851" w:right="61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XXII. El listado de Servidores Públicos con sanciones administrativas definitivas, especificando la causa de sanción y la disposición</w:t>
      </w:r>
      <w:r w:rsidRPr="001F1A44">
        <w:rPr>
          <w:rFonts w:ascii="Palatino Linotype" w:eastAsia="Palatino Linotype" w:hAnsi="Palatino Linotype" w:cs="Palatino Linotype"/>
          <w:i/>
          <w:sz w:val="22"/>
          <w:szCs w:val="22"/>
        </w:rPr>
        <w:t>; (Énfasis añadido)</w:t>
      </w:r>
    </w:p>
    <w:p w14:paraId="3F04F87C" w14:textId="77777777" w:rsidR="00CA45CA" w:rsidRPr="001F1A44" w:rsidRDefault="00AD389B">
      <w:pPr>
        <w:spacing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No obstante, </w:t>
      </w:r>
      <w:r w:rsidRPr="001F1A44">
        <w:rPr>
          <w:rFonts w:ascii="Palatino Linotype" w:eastAsia="Palatino Linotype" w:hAnsi="Palatino Linotype" w:cs="Palatino Linotype"/>
          <w:b/>
          <w:u w:val="single"/>
        </w:rPr>
        <w:t>solo pueden ser dadas a conocer las responsabilidades administrativas</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u w:val="single"/>
        </w:rPr>
        <w:t>por faltas graves</w:t>
      </w:r>
      <w:r w:rsidRPr="001F1A44">
        <w:rPr>
          <w:rFonts w:ascii="Palatino Linotype" w:eastAsia="Palatino Linotype" w:hAnsi="Palatino Linotype" w:cs="Palatino Linotype"/>
        </w:rPr>
        <w:t xml:space="preserve">. Lo anterior, con motivo de la entrada en vigor de la Ley del Sistema Anticorrupción del Estado de México y Municipios publicada en el periódico oficial "Gaceta del Gobierno" el treinta de mayo de 2017, que establece que </w:t>
      </w:r>
      <w:r w:rsidRPr="001F1A44">
        <w:rPr>
          <w:rFonts w:ascii="Palatino Linotype" w:eastAsia="Palatino Linotype" w:hAnsi="Palatino Linotype" w:cs="Palatino Linotype"/>
          <w:b/>
          <w:u w:val="single"/>
        </w:rPr>
        <w:t>las sanciones no graves no serán públicas</w:t>
      </w:r>
      <w:r w:rsidRPr="001F1A44">
        <w:rPr>
          <w:rFonts w:ascii="Palatino Linotype" w:eastAsia="Palatino Linotype" w:hAnsi="Palatino Linotype" w:cs="Palatino Linotype"/>
        </w:rPr>
        <w:t>,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3CBD7EDE" w14:textId="77777777" w:rsidR="00CA45CA" w:rsidRPr="001F1A44" w:rsidRDefault="00AD389B">
      <w:pPr>
        <w:spacing w:before="120" w:after="120"/>
        <w:ind w:left="851"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lastRenderedPageBreak/>
        <w:t xml:space="preserve">“Artículo 53. Las sanciones impuestas por faltas administrativas graves serán del conocimiento público </w:t>
      </w:r>
      <w:r w:rsidRPr="001F1A44">
        <w:rPr>
          <w:rFonts w:ascii="Palatino Linotype" w:eastAsia="Palatino Linotype" w:hAnsi="Palatino Linotype" w:cs="Palatino Linotype"/>
          <w:b/>
          <w:i/>
          <w:sz w:val="22"/>
          <w:szCs w:val="22"/>
          <w:u w:val="single"/>
        </w:rPr>
        <w:t>cuando éstas contengan impedimentos o inhabilitaciones</w:t>
      </w:r>
      <w:r w:rsidRPr="001F1A44">
        <w:rPr>
          <w:rFonts w:ascii="Palatino Linotype" w:eastAsia="Palatino Linotype" w:hAnsi="Palatino Linotype" w:cs="Palatino Linotype"/>
          <w:i/>
          <w:sz w:val="22"/>
          <w:szCs w:val="22"/>
        </w:rPr>
        <w:t xml:space="preserve"> para ser contratados como servidores públicos o como prestadores de servicios o contratistas del sector público, en términos de la Ley de Responsabilidades Administrativas del Estado de México y Municipios.</w:t>
      </w:r>
    </w:p>
    <w:p w14:paraId="4CB8F1F9" w14:textId="77777777" w:rsidR="00CA45CA" w:rsidRPr="001F1A44" w:rsidRDefault="00AD389B">
      <w:pPr>
        <w:spacing w:before="120" w:after="120"/>
        <w:ind w:left="851"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Los registros de </w:t>
      </w:r>
      <w:r w:rsidRPr="001F1A44">
        <w:rPr>
          <w:rFonts w:ascii="Palatino Linotype" w:eastAsia="Palatino Linotype" w:hAnsi="Palatino Linotype" w:cs="Palatino Linotype"/>
          <w:b/>
          <w:i/>
          <w:sz w:val="22"/>
          <w:szCs w:val="22"/>
          <w:u w:val="single"/>
        </w:rPr>
        <w:t>las sanciones relativas a responsabilidades administrativas no graves, quedarán registradas para efectos de eventual reincidencia, pero no serán públicas.</w:t>
      </w:r>
      <w:r w:rsidRPr="001F1A44">
        <w:rPr>
          <w:rFonts w:ascii="Palatino Linotype" w:eastAsia="Palatino Linotype" w:hAnsi="Palatino Linotype" w:cs="Palatino Linotype"/>
          <w:i/>
          <w:sz w:val="22"/>
          <w:szCs w:val="22"/>
        </w:rPr>
        <w:t>”</w:t>
      </w:r>
    </w:p>
    <w:p w14:paraId="6E27C9CD" w14:textId="77777777" w:rsidR="00CA45CA" w:rsidRPr="001F1A44" w:rsidRDefault="00AD389B">
      <w:pPr>
        <w:spacing w:before="240" w:after="240" w:line="360" w:lineRule="auto"/>
        <w:ind w:right="51"/>
        <w:jc w:val="both"/>
        <w:rPr>
          <w:rFonts w:ascii="Palatino Linotype" w:eastAsia="Palatino Linotype" w:hAnsi="Palatino Linotype" w:cs="Palatino Linotype"/>
        </w:rPr>
      </w:pPr>
      <w:r w:rsidRPr="001F1A44">
        <w:rPr>
          <w:rFonts w:ascii="Palatino Linotype" w:eastAsia="Palatino Linotype" w:hAnsi="Palatino Linotype" w:cs="Palatino Linotype"/>
        </w:rPr>
        <w:t>En ese sentido es importante, referir que la Ley de Responsabilidades Administrativas del Estado de México y Municipios, vigente, señala como faltas administrativas graves y no graves, lo siguiente:</w:t>
      </w:r>
    </w:p>
    <w:p w14:paraId="0775B057" w14:textId="77777777" w:rsidR="00CA45CA" w:rsidRPr="001F1A44" w:rsidRDefault="00AD389B">
      <w:pPr>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 “Artículo 3. Para los efectos de la presente Ley, se entenderá por:</w:t>
      </w:r>
      <w:r w:rsidRPr="001F1A44">
        <w:rPr>
          <w:rFonts w:ascii="Palatino Linotype" w:eastAsia="Palatino Linotype" w:hAnsi="Palatino Linotype" w:cs="Palatino Linotype"/>
          <w:i/>
          <w:sz w:val="22"/>
          <w:szCs w:val="22"/>
        </w:rPr>
        <w:br/>
        <w:t>...</w:t>
      </w:r>
    </w:p>
    <w:p w14:paraId="48FABE9D" w14:textId="77777777" w:rsidR="00CA45CA" w:rsidRPr="001F1A44" w:rsidRDefault="00AD389B">
      <w:pPr>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XIII. </w:t>
      </w:r>
      <w:r w:rsidRPr="001F1A44">
        <w:rPr>
          <w:rFonts w:ascii="Palatino Linotype" w:eastAsia="Palatino Linotype" w:hAnsi="Palatino Linotype" w:cs="Palatino Linotype"/>
          <w:b/>
          <w:i/>
          <w:sz w:val="22"/>
          <w:szCs w:val="22"/>
        </w:rPr>
        <w:t>Falta administrativa no grave</w:t>
      </w:r>
      <w:r w:rsidRPr="001F1A44">
        <w:rPr>
          <w:rFonts w:ascii="Palatino Linotype" w:eastAsia="Palatino Linotype" w:hAnsi="Palatino Linotype" w:cs="Palatino Linotype"/>
          <w:i/>
          <w:sz w:val="22"/>
          <w:szCs w:val="22"/>
        </w:rPr>
        <w:t>: A las faltas administrativas de los servidores públicos en los términos de la presente Ley, cuya imposición de la sanción corresponde a la Secretaría de la Contraloría del Estado de México y a los órganos internos de control.</w:t>
      </w:r>
    </w:p>
    <w:p w14:paraId="566F720A" w14:textId="77777777" w:rsidR="00CA45CA" w:rsidRPr="001F1A44" w:rsidRDefault="00AD389B">
      <w:pPr>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XIV. </w:t>
      </w:r>
      <w:r w:rsidRPr="001F1A44">
        <w:rPr>
          <w:rFonts w:ascii="Palatino Linotype" w:eastAsia="Palatino Linotype" w:hAnsi="Palatino Linotype" w:cs="Palatino Linotype"/>
          <w:b/>
          <w:i/>
          <w:sz w:val="22"/>
          <w:szCs w:val="22"/>
        </w:rPr>
        <w:t>Falta administrativa grave</w:t>
      </w:r>
      <w:r w:rsidRPr="001F1A44">
        <w:rPr>
          <w:rFonts w:ascii="Palatino Linotype" w:eastAsia="Palatino Linotype" w:hAnsi="Palatino Linotype" w:cs="Palatino Linotype"/>
          <w:i/>
          <w:sz w:val="22"/>
          <w:szCs w:val="22"/>
        </w:rPr>
        <w:t>: A las faltas administrativas de los servidores públicos catalogadas como graves en los términos de la presente Ley, cuya sanción corresponde al Tribunal de Justicia Administrativa del Estado de México</w:t>
      </w:r>
    </w:p>
    <w:p w14:paraId="0C76BDC8" w14:textId="77777777" w:rsidR="00CA45CA" w:rsidRPr="001F1A44" w:rsidRDefault="00AD389B">
      <w:pPr>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w:t>
      </w:r>
      <w:r w:rsidRPr="001F1A44">
        <w:rPr>
          <w:rFonts w:ascii="Palatino Linotype" w:eastAsia="Palatino Linotype" w:hAnsi="Palatino Linotype" w:cs="Palatino Linotype"/>
          <w:i/>
          <w:sz w:val="22"/>
          <w:szCs w:val="22"/>
        </w:rPr>
        <w:t>" (Énfasis añadido)</w:t>
      </w:r>
    </w:p>
    <w:p w14:paraId="425B5475" w14:textId="77777777" w:rsidR="00CA45CA" w:rsidRPr="001F1A44" w:rsidRDefault="00CA45CA">
      <w:pPr>
        <w:spacing w:line="360" w:lineRule="auto"/>
        <w:jc w:val="both"/>
        <w:rPr>
          <w:rFonts w:ascii="Palatino Linotype" w:eastAsia="Palatino Linotype" w:hAnsi="Palatino Linotype" w:cs="Palatino Linotype"/>
        </w:rPr>
      </w:pPr>
    </w:p>
    <w:p w14:paraId="44C3EC30" w14:textId="77777777" w:rsidR="00CA45CA" w:rsidRPr="001F1A44" w:rsidRDefault="00AD389B">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La Ley de Responsabilidades Administrativas vigente, contempla como faltas administrativas no graves, las cometidas por el servidor público que con sus actos u omisiones, incumpla o transgreda sus obligaciones, entre las que se pueden englobar las establecidas en el artículo 50 de la Ley de responsabilidades en mérito:</w:t>
      </w:r>
    </w:p>
    <w:p w14:paraId="2B48C58E" w14:textId="77777777" w:rsidR="00CA45CA" w:rsidRPr="001F1A44" w:rsidRDefault="00AD389B">
      <w:pPr>
        <w:pBdr>
          <w:top w:val="nil"/>
          <w:left w:val="nil"/>
          <w:bottom w:val="nil"/>
          <w:right w:val="nil"/>
          <w:between w:val="nil"/>
        </w:pBdr>
        <w:spacing w:before="120" w:after="120"/>
        <w:ind w:left="567" w:right="900"/>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 xml:space="preserve">“Artículo 50. Incurre en </w:t>
      </w:r>
      <w:r w:rsidRPr="001F1A44">
        <w:rPr>
          <w:rFonts w:ascii="Palatino Linotype" w:eastAsia="Palatino Linotype" w:hAnsi="Palatino Linotype" w:cs="Palatino Linotype"/>
          <w:b/>
          <w:i/>
          <w:sz w:val="22"/>
          <w:szCs w:val="22"/>
          <w:u w:val="single"/>
        </w:rPr>
        <w:t>falta administrativa no grave</w:t>
      </w:r>
      <w:r w:rsidRPr="001F1A44">
        <w:rPr>
          <w:rFonts w:ascii="Palatino Linotype" w:eastAsia="Palatino Linotype" w:hAnsi="Palatino Linotype" w:cs="Palatino Linotype"/>
          <w:b/>
          <w:i/>
          <w:sz w:val="22"/>
          <w:szCs w:val="22"/>
        </w:rPr>
        <w:t>, el servidor público que con sus actos u omisiones, incumpla o transgreda las obligaciones siguientes:</w:t>
      </w:r>
    </w:p>
    <w:p w14:paraId="21CFA371"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w:t>
      </w:r>
      <w:r w:rsidRPr="001F1A44">
        <w:rPr>
          <w:rFonts w:ascii="Palatino Linotype" w:eastAsia="Palatino Linotype" w:hAnsi="Palatino Linotype" w:cs="Palatino Linotype"/>
          <w:i/>
          <w:sz w:val="22"/>
          <w:szCs w:val="22"/>
        </w:rPr>
        <w:t xml:space="preserve"> Cumplir con las funciones, atribuciones y comisiones encomendadas, observando en su desempeño disciplina y respeto, tanto a los demás servidores públicos, a los </w:t>
      </w:r>
      <w:r w:rsidRPr="001F1A44">
        <w:rPr>
          <w:rFonts w:ascii="Palatino Linotype" w:eastAsia="Palatino Linotype" w:hAnsi="Palatino Linotype" w:cs="Palatino Linotype"/>
          <w:i/>
          <w:sz w:val="22"/>
          <w:szCs w:val="22"/>
        </w:rPr>
        <w:lastRenderedPageBreak/>
        <w:t xml:space="preserve">particulares con los que llegare a tratar, en los términos que se establezcan en el código de ética a que se refiere esta Ley. </w:t>
      </w:r>
    </w:p>
    <w:p w14:paraId="35BDEB23"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II.</w:t>
      </w:r>
      <w:r w:rsidRPr="001F1A44">
        <w:rPr>
          <w:rFonts w:ascii="Palatino Linotype" w:eastAsia="Palatino Linotype" w:hAnsi="Palatino Linotype" w:cs="Palatino Linotype"/>
          <w:i/>
          <w:sz w:val="22"/>
          <w:szCs w:val="22"/>
        </w:rPr>
        <w:t xml:space="preserve"> Denunciar los actos u omisiones que en ejercicio de sus funciones llegare a advertir, que puedan constituir faltas administrativas en términos del artículo 95 de la presente Ley. </w:t>
      </w:r>
    </w:p>
    <w:p w14:paraId="51F26353"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III.</w:t>
      </w:r>
      <w:r w:rsidRPr="001F1A44">
        <w:rPr>
          <w:rFonts w:ascii="Palatino Linotype" w:eastAsia="Palatino Linotype" w:hAnsi="Palatino Linotype" w:cs="Palatino Linotype"/>
          <w:i/>
          <w:sz w:val="22"/>
          <w:szCs w:val="22"/>
        </w:rPr>
        <w:t xml:space="preserve">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5AD9372D"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IV</w:t>
      </w:r>
      <w:r w:rsidRPr="001F1A44">
        <w:rPr>
          <w:rFonts w:ascii="Palatino Linotype" w:eastAsia="Palatino Linotype" w:hAnsi="Palatino Linotype" w:cs="Palatino Linotype"/>
          <w:i/>
          <w:sz w:val="22"/>
          <w:szCs w:val="22"/>
        </w:rPr>
        <w:t xml:space="preserve">. </w:t>
      </w:r>
      <w:r w:rsidRPr="001F1A44">
        <w:rPr>
          <w:rFonts w:ascii="Palatino Linotype" w:eastAsia="Palatino Linotype" w:hAnsi="Palatino Linotype" w:cs="Palatino Linotype"/>
          <w:b/>
          <w:i/>
          <w:sz w:val="22"/>
          <w:szCs w:val="22"/>
        </w:rPr>
        <w:t>Presentar en tiempo y forma la declaración de situación patrimonial y la de intereses que, en su caso, considere se actualice,</w:t>
      </w:r>
      <w:r w:rsidRPr="001F1A44">
        <w:rPr>
          <w:rFonts w:ascii="Palatino Linotype" w:eastAsia="Palatino Linotype" w:hAnsi="Palatino Linotype" w:cs="Palatino Linotype"/>
          <w:i/>
          <w:sz w:val="22"/>
          <w:szCs w:val="22"/>
        </w:rPr>
        <w:t xml:space="preserve"> en los términos establecidos por esta Ley. </w:t>
      </w:r>
    </w:p>
    <w:p w14:paraId="5A2692E3"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V</w:t>
      </w:r>
      <w:r w:rsidRPr="001F1A44">
        <w:rPr>
          <w:rFonts w:ascii="Palatino Linotype" w:eastAsia="Palatino Linotype" w:hAnsi="Palatino Linotype" w:cs="Palatino Linotype"/>
          <w:i/>
          <w:sz w:val="22"/>
          <w:szCs w:val="22"/>
        </w:rPr>
        <w:t xml:space="preserve">. Rendir cuentas sobre el ejercicio de las funciones, en términos de las normas aplicables. </w:t>
      </w:r>
    </w:p>
    <w:p w14:paraId="14DDEAA1"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VI</w:t>
      </w:r>
      <w:r w:rsidRPr="001F1A44">
        <w:rPr>
          <w:rFonts w:ascii="Palatino Linotype" w:eastAsia="Palatino Linotype" w:hAnsi="Palatino Linotype" w:cs="Palatino Linotype"/>
          <w:i/>
          <w:sz w:val="22"/>
          <w:szCs w:val="22"/>
        </w:rPr>
        <w:t xml:space="preserve">. Colaborar en los procedimientos judiciales y administrativos en los que sea parte. </w:t>
      </w:r>
    </w:p>
    <w:p w14:paraId="207EE600"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VII</w:t>
      </w:r>
      <w:r w:rsidRPr="001F1A44">
        <w:rPr>
          <w:rFonts w:ascii="Palatino Linotype" w:eastAsia="Palatino Linotype" w:hAnsi="Palatino Linotype" w:cs="Palatino Linotype"/>
          <w:i/>
          <w:sz w:val="22"/>
          <w:szCs w:val="22"/>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que el contratista sea persona jurídica colectiva, dichas manifestaciones deberán presentarse respecto de los socios o accionistas que ejerzan control sobre la sociedad. Para efectos de la presente Ley,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jurídicas colectivas. </w:t>
      </w:r>
    </w:p>
    <w:p w14:paraId="3F4A5ABA"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lastRenderedPageBreak/>
        <w:t>VIII</w:t>
      </w:r>
      <w:r w:rsidRPr="001F1A44">
        <w:rPr>
          <w:rFonts w:ascii="Palatino Linotype" w:eastAsia="Palatino Linotype" w:hAnsi="Palatino Linotype" w:cs="Palatino Linotype"/>
          <w:i/>
          <w:sz w:val="22"/>
          <w:szCs w:val="22"/>
        </w:rPr>
        <w:t xml:space="preserve">. Actuar y ejecutar legalmente con la máxima diligencia, los planes, programas, presupuestos y demás normas a fin de alcanzar las metas institucionales según sus responsabilidades, conforme a una cultura de servicio orientada al logro de resultados. </w:t>
      </w:r>
    </w:p>
    <w:p w14:paraId="22876B69"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IX</w:t>
      </w:r>
      <w:r w:rsidRPr="001F1A44">
        <w:rPr>
          <w:rFonts w:ascii="Palatino Linotype" w:eastAsia="Palatino Linotype" w:hAnsi="Palatino Linotype" w:cs="Palatino Linotype"/>
          <w:i/>
          <w:sz w:val="22"/>
          <w:szCs w:val="22"/>
        </w:rPr>
        <w:t xml:space="preserve">.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40306CD1"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w:t>
      </w:r>
      <w:r w:rsidRPr="001F1A44">
        <w:rPr>
          <w:rFonts w:ascii="Palatino Linotype" w:eastAsia="Palatino Linotype" w:hAnsi="Palatino Linotype" w:cs="Palatino Linotype"/>
          <w:i/>
          <w:sz w:val="22"/>
          <w:szCs w:val="22"/>
        </w:rPr>
        <w:t xml:space="preserve"> Observar buena conducta en su empleo, cargo o comisión tratando con respeto, diligencia, imparcialidad y rectitud a las personas y servidores públicos con los que tenga relación con motivo de éste. </w:t>
      </w:r>
    </w:p>
    <w:p w14:paraId="1CCB6751"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XI. </w:t>
      </w:r>
      <w:r w:rsidRPr="001F1A44">
        <w:rPr>
          <w:rFonts w:ascii="Palatino Linotype" w:eastAsia="Palatino Linotype" w:hAnsi="Palatino Linotype" w:cs="Palatino Linotype"/>
          <w:i/>
          <w:sz w:val="22"/>
          <w:szCs w:val="22"/>
        </w:rPr>
        <w:t xml:space="preserve">Observar un trato respetuoso con sus subalternos. </w:t>
      </w:r>
    </w:p>
    <w:p w14:paraId="42475CA7"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XII. Supervisar que los servidores públicos sujetos a su dirección, cumplan con las disposiciones de esta Ley. </w:t>
      </w:r>
    </w:p>
    <w:p w14:paraId="46BA3E6C"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XIII.</w:t>
      </w:r>
      <w:r w:rsidRPr="001F1A44">
        <w:rPr>
          <w:rFonts w:ascii="Palatino Linotype" w:eastAsia="Palatino Linotype" w:hAnsi="Palatino Linotype" w:cs="Palatino Linotype"/>
          <w:i/>
          <w:sz w:val="22"/>
          <w:szCs w:val="22"/>
        </w:rPr>
        <w:t xml:space="preserve"> Cumplir con la entrega de índole administrativo del despacho y de toda aquella documentación inherente a su cargo, en los términos que establezcan las disposiciones legales o administrativas que al efecto se señalen. </w:t>
      </w:r>
    </w:p>
    <w:p w14:paraId="71F98135"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XIV.</w:t>
      </w:r>
      <w:r w:rsidRPr="001F1A44">
        <w:rPr>
          <w:rFonts w:ascii="Palatino Linotype" w:eastAsia="Palatino Linotype" w:hAnsi="Palatino Linotype" w:cs="Palatino Linotype"/>
          <w:i/>
          <w:sz w:val="22"/>
          <w:szCs w:val="22"/>
        </w:rPr>
        <w:t xml:space="preserve"> Proporcionar, en su caso, en tiempo y forma ante las dependencias competentes, la documentación comprobatoria de la aplicación de recursos económicos federales, estatales o municipales, asignados a través de los programas respectivos. </w:t>
      </w:r>
    </w:p>
    <w:p w14:paraId="0BDED581"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XV.</w:t>
      </w:r>
      <w:r w:rsidRPr="001F1A44">
        <w:rPr>
          <w:rFonts w:ascii="Palatino Linotype" w:eastAsia="Palatino Linotype" w:hAnsi="Palatino Linotype" w:cs="Palatino Linotype"/>
          <w:i/>
          <w:sz w:val="22"/>
          <w:szCs w:val="22"/>
        </w:rPr>
        <w:t xml:space="preserve"> Abstenerse de solicitar requisitos, cargas tributarias o cualquier otro concepto adicional no previsto en la legislación aplicable, que tengan por objeto condicionar la expedición de licencias de funcionamiento para unidades económicas o negocios.</w:t>
      </w:r>
    </w:p>
    <w:p w14:paraId="7EB16417"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XVI.</w:t>
      </w:r>
      <w:r w:rsidRPr="001F1A44">
        <w:rPr>
          <w:rFonts w:ascii="Palatino Linotype" w:eastAsia="Palatino Linotype" w:hAnsi="Palatino Linotype" w:cs="Palatino Linotype"/>
          <w:i/>
          <w:sz w:val="22"/>
          <w:szCs w:val="22"/>
        </w:rPr>
        <w:t xml:space="preserve"> Cumplir con las disposiciones en materia de Gobierno Digital que impongan la Ley de la materia, su reglamento y demás disposiciones aplicables.</w:t>
      </w:r>
    </w:p>
    <w:p w14:paraId="7659C954"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XVII.</w:t>
      </w:r>
      <w:r w:rsidRPr="001F1A44">
        <w:rPr>
          <w:rFonts w:ascii="Palatino Linotype" w:eastAsia="Palatino Linotype" w:hAnsi="Palatino Linotype" w:cs="Palatino Linotype"/>
          <w:i/>
          <w:sz w:val="22"/>
          <w:szCs w:val="22"/>
        </w:rPr>
        <w:t xml:space="preserve"> Utilizar las medidas de seguridad informática y protección de datos e información personal recomendada por las instancias competentes. </w:t>
      </w:r>
    </w:p>
    <w:p w14:paraId="6D8D88D5"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XVIII. </w:t>
      </w:r>
      <w:r w:rsidRPr="001F1A44">
        <w:rPr>
          <w:rFonts w:ascii="Palatino Linotype" w:eastAsia="Palatino Linotype" w:hAnsi="Palatino Linotype" w:cs="Palatino Linotype"/>
          <w:i/>
          <w:sz w:val="22"/>
          <w:szCs w:val="22"/>
        </w:rPr>
        <w:t xml:space="preserve">Cumplir oportunamente con los laudos que dicte el Tribunal Estatal de Conciliación y Arbitraje o cualquier de las Salas Auxiliares del mismo, así como pagar el monto de las indemnizaciones y demás prestaciones a que tenga derecho el servidor público, y </w:t>
      </w:r>
    </w:p>
    <w:p w14:paraId="69C7542E" w14:textId="77777777" w:rsidR="00CA45CA" w:rsidRPr="001F1A44" w:rsidRDefault="00AD389B">
      <w:pPr>
        <w:pBdr>
          <w:top w:val="nil"/>
          <w:left w:val="nil"/>
          <w:bottom w:val="nil"/>
          <w:right w:val="nil"/>
          <w:between w:val="nil"/>
        </w:pBdr>
        <w:spacing w:before="120" w:after="120"/>
        <w:ind w:left="567" w:right="1043"/>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XIX.</w:t>
      </w:r>
      <w:r w:rsidRPr="001F1A44">
        <w:rPr>
          <w:rFonts w:ascii="Palatino Linotype" w:eastAsia="Palatino Linotype" w:hAnsi="Palatino Linotype" w:cs="Palatino Linotype"/>
          <w:i/>
          <w:sz w:val="22"/>
          <w:szCs w:val="22"/>
        </w:rPr>
        <w:t xml:space="preserve"> Las demás que le impongan las leyes, reglamentos o disposiciones administrativas aplicables.”</w:t>
      </w:r>
    </w:p>
    <w:p w14:paraId="1EF54BD8" w14:textId="77777777" w:rsidR="00CA45CA" w:rsidRPr="001F1A44" w:rsidRDefault="00AD389B">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En cuanto a las faltas administrativas graves, la Ley de Responsabilidades determina que serán consideradas las siguientes:</w:t>
      </w:r>
    </w:p>
    <w:p w14:paraId="436B5CDC" w14:textId="77777777" w:rsidR="00CA45CA" w:rsidRPr="001F1A44" w:rsidRDefault="00AD389B">
      <w:pPr>
        <w:pBdr>
          <w:top w:val="nil"/>
          <w:left w:val="nil"/>
          <w:bottom w:val="nil"/>
          <w:right w:val="nil"/>
          <w:between w:val="nil"/>
        </w:pBdr>
        <w:ind w:left="851" w:right="900"/>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 xml:space="preserve">“Artículo 52. Para efectos de la presente Ley, se consideran </w:t>
      </w:r>
      <w:r w:rsidRPr="001F1A44">
        <w:rPr>
          <w:rFonts w:ascii="Palatino Linotype" w:eastAsia="Palatino Linotype" w:hAnsi="Palatino Linotype" w:cs="Palatino Linotype"/>
          <w:b/>
          <w:i/>
          <w:sz w:val="22"/>
          <w:szCs w:val="22"/>
          <w:u w:val="single"/>
        </w:rPr>
        <w:t>faltas administrativas graves</w:t>
      </w:r>
      <w:r w:rsidRPr="001F1A44">
        <w:rPr>
          <w:rFonts w:ascii="Palatino Linotype" w:eastAsia="Palatino Linotype" w:hAnsi="Palatino Linotype" w:cs="Palatino Linotype"/>
          <w:b/>
          <w:i/>
          <w:sz w:val="22"/>
          <w:szCs w:val="22"/>
        </w:rPr>
        <w:t xml:space="preserve"> de los servidores públicos, mediante cualquier acto u omisión, las siguientes: </w:t>
      </w:r>
    </w:p>
    <w:p w14:paraId="08D63107"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w:t>
      </w:r>
      <w:r w:rsidRPr="001F1A44">
        <w:rPr>
          <w:rFonts w:ascii="Palatino Linotype" w:eastAsia="Palatino Linotype" w:hAnsi="Palatino Linotype" w:cs="Palatino Linotype"/>
          <w:i/>
          <w:sz w:val="22"/>
          <w:szCs w:val="22"/>
        </w:rPr>
        <w:t xml:space="preserve"> El cohecho.</w:t>
      </w:r>
    </w:p>
    <w:p w14:paraId="1C238980"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II.</w:t>
      </w:r>
      <w:r w:rsidRPr="001F1A44">
        <w:rPr>
          <w:rFonts w:ascii="Palatino Linotype" w:eastAsia="Palatino Linotype" w:hAnsi="Palatino Linotype" w:cs="Palatino Linotype"/>
          <w:i/>
          <w:sz w:val="22"/>
          <w:szCs w:val="22"/>
        </w:rPr>
        <w:t xml:space="preserve"> El peculado. </w:t>
      </w:r>
    </w:p>
    <w:p w14:paraId="1A5EB092"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III</w:t>
      </w:r>
      <w:r w:rsidRPr="001F1A44">
        <w:rPr>
          <w:rFonts w:ascii="Palatino Linotype" w:eastAsia="Palatino Linotype" w:hAnsi="Palatino Linotype" w:cs="Palatino Linotype"/>
          <w:i/>
          <w:sz w:val="22"/>
          <w:szCs w:val="22"/>
        </w:rPr>
        <w:t xml:space="preserve">. El desvío de recursos públicos. </w:t>
      </w:r>
    </w:p>
    <w:p w14:paraId="3DA885F0"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IV</w:t>
      </w:r>
      <w:r w:rsidRPr="001F1A44">
        <w:rPr>
          <w:rFonts w:ascii="Palatino Linotype" w:eastAsia="Palatino Linotype" w:hAnsi="Palatino Linotype" w:cs="Palatino Linotype"/>
          <w:i/>
          <w:sz w:val="22"/>
          <w:szCs w:val="22"/>
        </w:rPr>
        <w:t>. La utilización indebida de información</w:t>
      </w:r>
      <w:r w:rsidRPr="001F1A44">
        <w:rPr>
          <w:rFonts w:ascii="Palatino Linotype" w:eastAsia="Palatino Linotype" w:hAnsi="Palatino Linotype" w:cs="Palatino Linotype"/>
          <w:b/>
          <w:i/>
          <w:sz w:val="22"/>
          <w:szCs w:val="22"/>
        </w:rPr>
        <w:t xml:space="preserve">. </w:t>
      </w:r>
    </w:p>
    <w:p w14:paraId="05272B2C"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V</w:t>
      </w:r>
      <w:r w:rsidRPr="001F1A44">
        <w:rPr>
          <w:rFonts w:ascii="Palatino Linotype" w:eastAsia="Palatino Linotype" w:hAnsi="Palatino Linotype" w:cs="Palatino Linotype"/>
          <w:i/>
          <w:sz w:val="22"/>
          <w:szCs w:val="22"/>
        </w:rPr>
        <w:t xml:space="preserve">. El abuso de funciones. </w:t>
      </w:r>
    </w:p>
    <w:p w14:paraId="4AAFE870"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VI</w:t>
      </w:r>
      <w:r w:rsidRPr="001F1A44">
        <w:rPr>
          <w:rFonts w:ascii="Palatino Linotype" w:eastAsia="Palatino Linotype" w:hAnsi="Palatino Linotype" w:cs="Palatino Linotype"/>
          <w:i/>
          <w:sz w:val="22"/>
          <w:szCs w:val="22"/>
        </w:rPr>
        <w:t xml:space="preserve">. Cometer o tolerar conductas de hostigamiento y acoso sexual. </w:t>
      </w:r>
    </w:p>
    <w:p w14:paraId="5974E608"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VII.</w:t>
      </w:r>
      <w:r w:rsidRPr="001F1A44">
        <w:rPr>
          <w:rFonts w:ascii="Palatino Linotype" w:eastAsia="Palatino Linotype" w:hAnsi="Palatino Linotype" w:cs="Palatino Linotype"/>
          <w:i/>
          <w:sz w:val="22"/>
          <w:szCs w:val="22"/>
        </w:rPr>
        <w:t xml:space="preserve"> El actuar bajo conflicto de interés</w:t>
      </w:r>
      <w:r w:rsidRPr="001F1A44">
        <w:rPr>
          <w:rFonts w:ascii="Palatino Linotype" w:eastAsia="Palatino Linotype" w:hAnsi="Palatino Linotype" w:cs="Palatino Linotype"/>
          <w:b/>
          <w:i/>
          <w:sz w:val="22"/>
          <w:szCs w:val="22"/>
        </w:rPr>
        <w:t xml:space="preserve">. </w:t>
      </w:r>
    </w:p>
    <w:p w14:paraId="74A99679"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VIII</w:t>
      </w:r>
      <w:r w:rsidRPr="001F1A44">
        <w:rPr>
          <w:rFonts w:ascii="Palatino Linotype" w:eastAsia="Palatino Linotype" w:hAnsi="Palatino Linotype" w:cs="Palatino Linotype"/>
          <w:i/>
          <w:sz w:val="22"/>
          <w:szCs w:val="22"/>
        </w:rPr>
        <w:t xml:space="preserve">. La contratación indebida. </w:t>
      </w:r>
    </w:p>
    <w:p w14:paraId="28FE8A6F"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IX.</w:t>
      </w:r>
      <w:r w:rsidRPr="001F1A44">
        <w:rPr>
          <w:rFonts w:ascii="Palatino Linotype" w:eastAsia="Palatino Linotype" w:hAnsi="Palatino Linotype" w:cs="Palatino Linotype"/>
          <w:i/>
          <w:sz w:val="22"/>
          <w:szCs w:val="22"/>
        </w:rPr>
        <w:t xml:space="preserve"> El enriquecimiento oculto u ocultamiento de conflicto de interés. </w:t>
      </w:r>
    </w:p>
    <w:p w14:paraId="48117C25"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w:t>
      </w:r>
      <w:r w:rsidRPr="001F1A44">
        <w:rPr>
          <w:rFonts w:ascii="Palatino Linotype" w:eastAsia="Palatino Linotype" w:hAnsi="Palatino Linotype" w:cs="Palatino Linotype"/>
          <w:i/>
          <w:sz w:val="22"/>
          <w:szCs w:val="22"/>
        </w:rPr>
        <w:t xml:space="preserve">. El tráfico de influencias. </w:t>
      </w:r>
    </w:p>
    <w:p w14:paraId="61D47DA4"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XI.</w:t>
      </w:r>
      <w:r w:rsidRPr="001F1A44">
        <w:rPr>
          <w:rFonts w:ascii="Palatino Linotype" w:eastAsia="Palatino Linotype" w:hAnsi="Palatino Linotype" w:cs="Palatino Linotype"/>
          <w:i/>
          <w:sz w:val="22"/>
          <w:szCs w:val="22"/>
        </w:rPr>
        <w:t xml:space="preserve"> El encubrimiento. </w:t>
      </w:r>
    </w:p>
    <w:p w14:paraId="2FE4F37E"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XII.</w:t>
      </w:r>
      <w:r w:rsidRPr="001F1A44">
        <w:rPr>
          <w:rFonts w:ascii="Palatino Linotype" w:eastAsia="Palatino Linotype" w:hAnsi="Palatino Linotype" w:cs="Palatino Linotype"/>
          <w:i/>
          <w:sz w:val="22"/>
          <w:szCs w:val="22"/>
        </w:rPr>
        <w:t xml:space="preserve"> El desacato. </w:t>
      </w:r>
    </w:p>
    <w:p w14:paraId="7D5DE65C" w14:textId="77777777" w:rsidR="00CA45CA" w:rsidRPr="001F1A44" w:rsidRDefault="00AD389B">
      <w:pPr>
        <w:pBdr>
          <w:top w:val="nil"/>
          <w:left w:val="nil"/>
          <w:bottom w:val="nil"/>
          <w:right w:val="nil"/>
          <w:between w:val="nil"/>
        </w:pBdr>
        <w:ind w:left="993"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XIII.</w:t>
      </w:r>
      <w:r w:rsidRPr="001F1A44">
        <w:rPr>
          <w:rFonts w:ascii="Palatino Linotype" w:eastAsia="Palatino Linotype" w:hAnsi="Palatino Linotype" w:cs="Palatino Linotype"/>
          <w:i/>
          <w:sz w:val="22"/>
          <w:szCs w:val="22"/>
        </w:rPr>
        <w:t xml:space="preserve"> La obstrucción de la Justicia.”</w:t>
      </w:r>
    </w:p>
    <w:p w14:paraId="165B6377" w14:textId="77777777" w:rsidR="00CA45CA" w:rsidRPr="001F1A44" w:rsidRDefault="00AD389B">
      <w:pPr>
        <w:tabs>
          <w:tab w:val="left" w:pos="3962"/>
        </w:tabs>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Con lo anterior queda de manifiesto que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a través de su Contraloría Municipal, es competente para conocer la información de mérito, en caso de haberse generado, sin embargo no debe perderse de vista que la información que se solicita versa</w:t>
      </w:r>
      <w:r w:rsidRPr="001F1A44">
        <w:rPr>
          <w:rFonts w:ascii="Palatino Linotype" w:eastAsia="Palatino Linotype" w:hAnsi="Palatino Linotype" w:cs="Palatino Linotype"/>
          <w:b/>
        </w:rPr>
        <w:t xml:space="preserve"> </w:t>
      </w:r>
      <w:r w:rsidRPr="001F1A44">
        <w:rPr>
          <w:rFonts w:ascii="Palatino Linotype" w:eastAsia="Palatino Linotype" w:hAnsi="Palatino Linotype" w:cs="Palatino Linotype"/>
        </w:rPr>
        <w:t>específicamente sobre</w:t>
      </w:r>
      <w:r w:rsidRPr="001F1A44">
        <w:rPr>
          <w:rFonts w:ascii="Palatino Linotype" w:eastAsia="Palatino Linotype" w:hAnsi="Palatino Linotype" w:cs="Palatino Linotype"/>
          <w:b/>
        </w:rPr>
        <w:t xml:space="preserve"> un servidor público en determinada temporalidad.</w:t>
      </w:r>
    </w:p>
    <w:p w14:paraId="4B039270" w14:textId="77777777" w:rsidR="00CA45CA" w:rsidRPr="001F1A44" w:rsidRDefault="00AD389B">
      <w:pPr>
        <w:spacing w:line="360" w:lineRule="auto"/>
        <w:ind w:right="51"/>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En este sentido, se procede al análisis </w:t>
      </w:r>
      <w:r w:rsidRPr="001F1A44">
        <w:rPr>
          <w:rFonts w:ascii="Palatino Linotype" w:eastAsia="Palatino Linotype" w:hAnsi="Palatino Linotype" w:cs="Palatino Linotype"/>
          <w:b/>
        </w:rPr>
        <w:t>de los supuestos de los procedimientos administrativos en los que procede la entrega de la información:</w:t>
      </w:r>
    </w:p>
    <w:p w14:paraId="6315B418" w14:textId="77777777" w:rsidR="00CA45CA" w:rsidRPr="001F1A44" w:rsidRDefault="00CA45CA">
      <w:pPr>
        <w:spacing w:line="360" w:lineRule="auto"/>
        <w:ind w:right="51"/>
        <w:jc w:val="both"/>
        <w:rPr>
          <w:rFonts w:ascii="Palatino Linotype" w:eastAsia="Palatino Linotype" w:hAnsi="Palatino Linotype" w:cs="Palatino Linotype"/>
          <w:b/>
        </w:rPr>
      </w:pPr>
    </w:p>
    <w:p w14:paraId="52AADBA7" w14:textId="77777777" w:rsidR="00CA45CA" w:rsidRPr="001F1A44" w:rsidRDefault="00AD389B">
      <w:pPr>
        <w:spacing w:line="360" w:lineRule="auto"/>
        <w:ind w:right="51"/>
        <w:jc w:val="both"/>
        <w:rPr>
          <w:rFonts w:ascii="Palatino Linotype" w:eastAsia="Palatino Linotype" w:hAnsi="Palatino Linotype" w:cs="Palatino Linotype"/>
          <w:b/>
        </w:rPr>
      </w:pPr>
      <w:r w:rsidRPr="001F1A44">
        <w:rPr>
          <w:rFonts w:ascii="Palatino Linotype" w:eastAsia="Palatino Linotype" w:hAnsi="Palatino Linotype" w:cs="Palatino Linotype"/>
          <w:b/>
        </w:rPr>
        <w:t>Procedimiento de responsabilidad administrativa en trámite</w:t>
      </w:r>
    </w:p>
    <w:p w14:paraId="7FB974D3" w14:textId="77777777" w:rsidR="00CA45CA" w:rsidRPr="001F1A44" w:rsidRDefault="00CA45CA">
      <w:pPr>
        <w:spacing w:line="360" w:lineRule="auto"/>
        <w:ind w:right="51"/>
        <w:jc w:val="both"/>
        <w:rPr>
          <w:rFonts w:ascii="Palatino Linotype" w:eastAsia="Palatino Linotype" w:hAnsi="Palatino Linotype" w:cs="Palatino Linotype"/>
          <w:b/>
        </w:rPr>
      </w:pPr>
    </w:p>
    <w:p w14:paraId="08C3B6B8" w14:textId="77777777" w:rsidR="00CA45CA" w:rsidRPr="001F1A44" w:rsidRDefault="00AD389B">
      <w:pPr>
        <w:tabs>
          <w:tab w:val="left" w:pos="3962"/>
        </w:tabs>
        <w:spacing w:line="360" w:lineRule="auto"/>
        <w:jc w:val="both"/>
        <w:rPr>
          <w:rFonts w:ascii="Palatino Linotype" w:eastAsia="Palatino Linotype" w:hAnsi="Palatino Linotype" w:cs="Palatino Linotype"/>
          <w:strike/>
        </w:rPr>
      </w:pPr>
      <w:r w:rsidRPr="001F1A44">
        <w:rPr>
          <w:rFonts w:ascii="Palatino Linotype" w:eastAsia="Palatino Linotype" w:hAnsi="Palatino Linotype" w:cs="Palatino Linotype"/>
        </w:rPr>
        <w:lastRenderedPageBreak/>
        <w:t xml:space="preserve">En principio es de señalar que de la interpretación de la solicitud de información se advierte que la persona solicitante requiere información de los procedimientos administrativos relacionados con el servidor público que fungió como director de seguridad pública, siendo necesario mencionar que el realizar un pronunciamiento sobre la existencia de un procedimiento de posibles responsabilidades en trámite, podría afectar a los posibles responsables identificados en el presente caso, </w:t>
      </w:r>
      <w:r w:rsidRPr="001F1A44">
        <w:rPr>
          <w:rFonts w:ascii="Palatino Linotype" w:eastAsia="Palatino Linotype" w:hAnsi="Palatino Linotype" w:cs="Palatino Linotype"/>
          <w:b/>
          <w:u w:val="single"/>
        </w:rPr>
        <w:t xml:space="preserve">ya que se daría a conocer la existencia de una investigación en su contra, lo cual, generaría una percepción negativa de estos, sin que se hubiere probado su responsabilidad o culpabilidad, lo cual dañaría, su honor y su derecho a la presunción inocencia e inclusive su actividad profesional. </w:t>
      </w:r>
    </w:p>
    <w:p w14:paraId="57457241" w14:textId="77777777" w:rsidR="00CA45CA" w:rsidRPr="001F1A44" w:rsidRDefault="00CA45CA">
      <w:pPr>
        <w:tabs>
          <w:tab w:val="left" w:pos="3962"/>
        </w:tabs>
        <w:spacing w:line="360" w:lineRule="auto"/>
        <w:jc w:val="both"/>
        <w:rPr>
          <w:rFonts w:ascii="Palatino Linotype" w:eastAsia="Palatino Linotype" w:hAnsi="Palatino Linotype" w:cs="Palatino Linotype"/>
        </w:rPr>
      </w:pPr>
    </w:p>
    <w:p w14:paraId="1E3D1769"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En otras palabras, dar a conocer la existencia de un procedimiento de posibles responsabilidades en trámite, vulneraría la protección de su privacidad, honor y presunción de inocencia, ya que podría generar un juicio a priori por parte de la sociedad, sin que se tenga una determinación firme, donde haya quedada acreditada su responsabilidad.</w:t>
      </w:r>
    </w:p>
    <w:p w14:paraId="28B7CAEC" w14:textId="77777777" w:rsidR="00CA45CA" w:rsidRPr="001F1A44" w:rsidRDefault="00CA45CA">
      <w:pPr>
        <w:spacing w:line="360" w:lineRule="auto"/>
        <w:jc w:val="both"/>
        <w:rPr>
          <w:rFonts w:ascii="Palatino Linotype" w:eastAsia="Palatino Linotype" w:hAnsi="Palatino Linotype" w:cs="Palatino Linotype"/>
        </w:rPr>
      </w:pPr>
    </w:p>
    <w:p w14:paraId="2DF086EB"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Respecto del </w:t>
      </w:r>
      <w:r w:rsidRPr="001F1A44">
        <w:rPr>
          <w:rFonts w:ascii="Palatino Linotype" w:eastAsia="Palatino Linotype" w:hAnsi="Palatino Linotype" w:cs="Palatino Linotype"/>
          <w:b/>
        </w:rPr>
        <w:t>derecho a la privacidad</w:t>
      </w:r>
      <w:r w:rsidRPr="001F1A44">
        <w:rPr>
          <w:rFonts w:ascii="Palatino Linotype" w:eastAsia="Palatino Linotype" w:hAnsi="Palatino Linotype" w:cs="Palatino Linotype"/>
        </w:rPr>
        <w:t xml:space="preserve">, se trae a colación la tesis aislada número 2a. LXIII/2008, emitida por la Segunda Sala de la Suprema Corte de Justicia de la Nación, publicada en la Gaceta del Semanario Judicial de la Federación, Tomo XXVII, de mayo de 2008, página 229, de la Novena Época, materia constitucional, misma que a la letra señala: </w:t>
      </w:r>
    </w:p>
    <w:p w14:paraId="7F74AE46" w14:textId="77777777" w:rsidR="00CA45CA" w:rsidRPr="001F1A44" w:rsidRDefault="00CA45CA">
      <w:pPr>
        <w:tabs>
          <w:tab w:val="left" w:pos="3962"/>
        </w:tabs>
        <w:spacing w:line="360" w:lineRule="auto"/>
        <w:jc w:val="both"/>
        <w:rPr>
          <w:rFonts w:ascii="Palatino Linotype" w:eastAsia="Palatino Linotype" w:hAnsi="Palatino Linotype" w:cs="Palatino Linotype"/>
        </w:rPr>
      </w:pPr>
    </w:p>
    <w:p w14:paraId="3A4EA984" w14:textId="77777777" w:rsidR="00CA45CA" w:rsidRPr="001F1A44" w:rsidRDefault="00AD389B">
      <w:pPr>
        <w:tabs>
          <w:tab w:val="left" w:pos="3962"/>
        </w:tabs>
        <w:spacing w:line="276" w:lineRule="auto"/>
        <w:ind w:left="851"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lastRenderedPageBreak/>
        <w:t>“</w:t>
      </w:r>
      <w:r w:rsidRPr="001F1A44">
        <w:rPr>
          <w:rFonts w:ascii="Palatino Linotype" w:eastAsia="Palatino Linotype" w:hAnsi="Palatino Linotype" w:cs="Palatino Linotype"/>
          <w:b/>
          <w:i/>
          <w:sz w:val="22"/>
          <w:szCs w:val="22"/>
        </w:rPr>
        <w:t>DERECHO A LA PRIVACIDAD O INTIMIDAD. ESTÁ PROTEGIDO POR EL ARTÍCULO 16, PRIMER PÁRRAFO, DE LA CONSTITUCIÓN POLÍTICA DE LOS ESTADOS UNIDOS MEXICANOS</w:t>
      </w:r>
      <w:r w:rsidRPr="001F1A44">
        <w:rPr>
          <w:rFonts w:ascii="Palatino Linotype" w:eastAsia="Palatino Linotype" w:hAnsi="Palatino Linotype" w:cs="Palatino Linotype"/>
          <w:i/>
          <w:sz w:val="22"/>
          <w:szCs w:val="22"/>
        </w:rPr>
        <w:t>. Dicho numeral establece, en general, la garantía de seguridad jurídica de todo gobernado a no ser molestado en su persona, familia, papeles o posesiones, sino cuando medie mandato de autoridad competente debidamente fundado y motivado, de lo que deriva la inviolabilidad del domicilio, cuya finalidad primordial es el respeto a un ámbito de la vida privada personal y familiar que debe quedar excluido del conocimiento ajeno y de las intromisiones de los demás, con la limitante que la Constitución Política de los Estados Unidos Mexicanos establece para las autoridades. En un sentido amplio, la referida garantía puede extenderse a una protección que va más allá del aseguramiento del domicilio como espacio físico en que se desenvuelve normalmente la privacidad o la intimidad, de lo cual deriva el reconocimiento en el artículo 16, primer párrafo, constitucional, de un derecho a la intimidad o vida privada de los gobernados que abarca las intromisiones o molestias que por cualquier medio puedan realizarse en ese ámbito reservado de la vida.”</w:t>
      </w:r>
    </w:p>
    <w:p w14:paraId="76CA10FB" w14:textId="77777777" w:rsidR="00CA45CA" w:rsidRPr="001F1A44" w:rsidRDefault="00CA45CA">
      <w:pPr>
        <w:tabs>
          <w:tab w:val="left" w:pos="3962"/>
        </w:tabs>
        <w:spacing w:line="276" w:lineRule="auto"/>
        <w:ind w:left="851" w:right="902"/>
        <w:jc w:val="both"/>
        <w:rPr>
          <w:rFonts w:ascii="Palatino Linotype" w:eastAsia="Palatino Linotype" w:hAnsi="Palatino Linotype" w:cs="Palatino Linotype"/>
          <w:i/>
        </w:rPr>
      </w:pPr>
    </w:p>
    <w:p w14:paraId="40FA59D4"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Como se observa, de la garantía de seguridad jurídica de los individuos a no ser molestados en su persona, familia, papeles o posesiones, salvo cuando medie mandato de autoridad competente debidamente fundado y motivado, de lo que deriva el respeto a un ámbito de la vida privada personal y familiar que debe quedar excluido del conocimiento ajeno y de las intromisiones de los demás, con la limitante prevista en la Constitución Política de los Estados Unidos Mexicanos. </w:t>
      </w:r>
    </w:p>
    <w:p w14:paraId="5F55028A" w14:textId="77777777" w:rsidR="00CA45CA" w:rsidRPr="001F1A44" w:rsidRDefault="00CA45CA">
      <w:pPr>
        <w:tabs>
          <w:tab w:val="left" w:pos="3962"/>
        </w:tabs>
        <w:spacing w:line="360" w:lineRule="auto"/>
        <w:jc w:val="both"/>
        <w:rPr>
          <w:rFonts w:ascii="Palatino Linotype" w:eastAsia="Palatino Linotype" w:hAnsi="Palatino Linotype" w:cs="Palatino Linotype"/>
        </w:rPr>
      </w:pPr>
    </w:p>
    <w:p w14:paraId="5B4F50E2"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Es decir, en el artículo 16, primer párrafo constitucional, se da el reconocimiento de un derecho a la privacidad de las personas que implica no ser sujeto de injerencias arbitrarias, intromisiones o molestias en el ámbito reservado de su vida o intimidad, </w:t>
      </w:r>
      <w:r w:rsidRPr="001F1A44">
        <w:rPr>
          <w:rFonts w:ascii="Palatino Linotype" w:eastAsia="Palatino Linotype" w:hAnsi="Palatino Linotype" w:cs="Palatino Linotype"/>
        </w:rPr>
        <w:lastRenderedPageBreak/>
        <w:t>ni de ataques a su honra o a su reputación, por lo que toda persona tiene derecho a la protección de la ley contra tales injerencias o ataques.</w:t>
      </w:r>
    </w:p>
    <w:p w14:paraId="0CDEC565" w14:textId="77777777" w:rsidR="00CA45CA" w:rsidRPr="001F1A44" w:rsidRDefault="00CA45CA">
      <w:pPr>
        <w:tabs>
          <w:tab w:val="left" w:pos="3962"/>
        </w:tabs>
        <w:spacing w:line="360" w:lineRule="auto"/>
        <w:jc w:val="both"/>
        <w:rPr>
          <w:rFonts w:ascii="Palatino Linotype" w:eastAsia="Palatino Linotype" w:hAnsi="Palatino Linotype" w:cs="Palatino Linotype"/>
        </w:rPr>
      </w:pPr>
    </w:p>
    <w:p w14:paraId="59477E9E"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Por lo que hace al </w:t>
      </w:r>
      <w:r w:rsidRPr="001F1A44">
        <w:rPr>
          <w:rFonts w:ascii="Palatino Linotype" w:eastAsia="Palatino Linotype" w:hAnsi="Palatino Linotype" w:cs="Palatino Linotype"/>
          <w:b/>
        </w:rPr>
        <w:t>derecho al honor</w:t>
      </w:r>
      <w:r w:rsidRPr="001F1A44">
        <w:rPr>
          <w:rFonts w:ascii="Palatino Linotype" w:eastAsia="Palatino Linotype" w:hAnsi="Palatino Linotype" w:cs="Palatino Linotype"/>
        </w:rPr>
        <w:t xml:space="preserve">, la jurisprudencia número 1a./J. 118/2013 (10a.), emitida por la Primera Sala de la Suprema Corte de Justicia de la Nación, publicada en la Gaceta del Semanario Judicial de la Federación, Tomo I, Libro 3, de febrero de 2014, página 470, de la Décima Época, materia constitucional, señala: </w:t>
      </w:r>
    </w:p>
    <w:p w14:paraId="26D165D1" w14:textId="77777777" w:rsidR="00CA45CA" w:rsidRPr="001F1A44" w:rsidRDefault="00CA45CA">
      <w:pPr>
        <w:tabs>
          <w:tab w:val="left" w:pos="3962"/>
        </w:tabs>
        <w:spacing w:line="360" w:lineRule="auto"/>
        <w:jc w:val="both"/>
        <w:rPr>
          <w:rFonts w:ascii="Palatino Linotype" w:eastAsia="Palatino Linotype" w:hAnsi="Palatino Linotype" w:cs="Palatino Linotype"/>
        </w:rPr>
      </w:pPr>
    </w:p>
    <w:p w14:paraId="4A3BC46A" w14:textId="77777777" w:rsidR="00CA45CA" w:rsidRPr="001F1A44" w:rsidRDefault="00AD389B">
      <w:pPr>
        <w:spacing w:line="276" w:lineRule="auto"/>
        <w:ind w:left="851"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“DERECHO FUNDAMENTAL AL HONOR. SU DIMENSIÓN SUBJETIVA Y OBJETIVA. </w:t>
      </w:r>
      <w:r w:rsidRPr="001F1A44">
        <w:rPr>
          <w:rFonts w:ascii="Palatino Linotype" w:eastAsia="Palatino Linotype" w:hAnsi="Palatino Linotype" w:cs="Palatino Linotype"/>
          <w:i/>
          <w:sz w:val="22"/>
          <w:szCs w:val="22"/>
        </w:rPr>
        <w:t xml:space="preserve">A juicio de esta Primera Sala de la Suprema Corte de Justicia de la Nación, es posible definir al honor como el </w:t>
      </w:r>
      <w:r w:rsidRPr="001F1A44">
        <w:rPr>
          <w:rFonts w:ascii="Palatino Linotype" w:eastAsia="Palatino Linotype" w:hAnsi="Palatino Linotype" w:cs="Palatino Linotype"/>
          <w:b/>
          <w:i/>
          <w:sz w:val="22"/>
          <w:szCs w:val="22"/>
        </w:rPr>
        <w:t>concepto que la persona tiene de sí misma o que los demás se han formado de ella, en virtud de su proceder o de la expresión de su calidad ética y social</w:t>
      </w:r>
      <w:r w:rsidRPr="001F1A44">
        <w:rPr>
          <w:rFonts w:ascii="Palatino Linotype" w:eastAsia="Palatino Linotype" w:hAnsi="Palatino Linotype" w:cs="Palatino Linotype"/>
          <w:i/>
          <w:sz w:val="22"/>
          <w:szCs w:val="22"/>
        </w:rPr>
        <w:t>.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71EAE6E7" w14:textId="77777777" w:rsidR="00CA45CA" w:rsidRPr="001F1A44" w:rsidRDefault="00CA45CA">
      <w:pPr>
        <w:spacing w:line="276" w:lineRule="auto"/>
        <w:ind w:left="851" w:right="902"/>
        <w:jc w:val="both"/>
        <w:rPr>
          <w:rFonts w:ascii="Palatino Linotype" w:eastAsia="Palatino Linotype" w:hAnsi="Palatino Linotype" w:cs="Palatino Linotype"/>
        </w:rPr>
      </w:pPr>
    </w:p>
    <w:p w14:paraId="5BA9284C"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Como se observa, el honor es el concepto que la persona tiene de sí misma o que los demás se han formado de ella, en virtud de su proceder o de la expresión de su calidad ética y social. </w:t>
      </w:r>
    </w:p>
    <w:p w14:paraId="037BD988" w14:textId="77777777" w:rsidR="00CA45CA" w:rsidRPr="001F1A44" w:rsidRDefault="00CA45CA">
      <w:pPr>
        <w:spacing w:line="360" w:lineRule="auto"/>
        <w:jc w:val="both"/>
        <w:rPr>
          <w:rFonts w:ascii="Palatino Linotype" w:eastAsia="Palatino Linotype" w:hAnsi="Palatino Linotype" w:cs="Palatino Linotype"/>
        </w:rPr>
      </w:pPr>
    </w:p>
    <w:p w14:paraId="4154FBCA" w14:textId="77777777" w:rsidR="00CA45CA" w:rsidRPr="001F1A44" w:rsidRDefault="00AD389B">
      <w:pPr>
        <w:spacing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En el ámbito de lo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1F1A44">
        <w:rPr>
          <w:rFonts w:ascii="Palatino Linotype" w:eastAsia="Palatino Linotype" w:hAnsi="Palatino Linotype" w:cs="Palatino Linotype"/>
          <w:b/>
        </w:rPr>
        <w:t>En el aspecto objetivo, el honor es lesionado por todo aquello que afecta a la reputación que la persona merece.</w:t>
      </w:r>
    </w:p>
    <w:p w14:paraId="744C55DD" w14:textId="77777777" w:rsidR="00CA45CA" w:rsidRPr="001F1A44" w:rsidRDefault="00CA45CA">
      <w:pPr>
        <w:spacing w:line="360" w:lineRule="auto"/>
        <w:jc w:val="both"/>
        <w:rPr>
          <w:rFonts w:ascii="Palatino Linotype" w:eastAsia="Palatino Linotype" w:hAnsi="Palatino Linotype" w:cs="Palatino Linotype"/>
        </w:rPr>
      </w:pPr>
    </w:p>
    <w:p w14:paraId="2F86E530"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Adicionalmente, en relación a este derecho [al honor], el máximo tribunal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65133D79" w14:textId="77777777" w:rsidR="00CA45CA" w:rsidRPr="001F1A44" w:rsidRDefault="00CA45CA">
      <w:pPr>
        <w:spacing w:line="360" w:lineRule="auto"/>
        <w:jc w:val="both"/>
        <w:rPr>
          <w:rFonts w:ascii="Palatino Linotype" w:eastAsia="Palatino Linotype" w:hAnsi="Palatino Linotype" w:cs="Palatino Linotype"/>
        </w:rPr>
      </w:pPr>
    </w:p>
    <w:p w14:paraId="2E2A3F66" w14:textId="77777777" w:rsidR="00CA45CA" w:rsidRPr="001F1A44" w:rsidRDefault="00AD389B">
      <w:pPr>
        <w:tabs>
          <w:tab w:val="left" w:pos="7938"/>
        </w:tabs>
        <w:spacing w:line="276" w:lineRule="auto"/>
        <w:ind w:left="851"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 xml:space="preserve">DERECHOS AL HONOR, A LA INTIMIDAD Y A LA PROPIA IMAGEN. CONSTITUYEN DERECHOS HUMANOS QUE SE PROTEGEN A TRAVÉS DEL ACTUAL MARCO CONSTITUCIONAL. </w:t>
      </w:r>
      <w:r w:rsidRPr="001F1A44">
        <w:rPr>
          <w:rFonts w:ascii="Palatino Linotype" w:eastAsia="Palatino Linotype" w:hAnsi="Palatino Linotype" w:cs="Palatino Linotype"/>
          <w:i/>
          <w:sz w:val="22"/>
          <w:szCs w:val="22"/>
        </w:rPr>
        <w:t xml:space="preserve">Si </w:t>
      </w:r>
      <w:r w:rsidRPr="001F1A44">
        <w:rPr>
          <w:rFonts w:ascii="Palatino Linotype" w:eastAsia="Palatino Linotype" w:hAnsi="Palatino Linotype" w:cs="Palatino Linotype"/>
          <w:i/>
          <w:sz w:val="22"/>
          <w:szCs w:val="22"/>
        </w:rPr>
        <w:lastRenderedPageBreak/>
        <w:t xml:space="preserve">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1F1A44">
        <w:rPr>
          <w:rFonts w:ascii="Palatino Linotype" w:eastAsia="Palatino Linotype" w:hAnsi="Palatino Linotype" w:cs="Palatino Linotype"/>
          <w:i/>
          <w:sz w:val="22"/>
          <w:szCs w:val="22"/>
        </w:rPr>
        <w:t>personae</w:t>
      </w:r>
      <w:proofErr w:type="spellEnd"/>
      <w:r w:rsidRPr="001F1A44">
        <w:rPr>
          <w:rFonts w:ascii="Palatino Linotype" w:eastAsia="Palatino Linotype" w:hAnsi="Palatino Linotype" w:cs="Palatino Linotype"/>
          <w:i/>
          <w:sz w:val="22"/>
          <w:szCs w:val="22"/>
        </w:rPr>
        <w:t>,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14:paraId="25CEE9DF" w14:textId="77777777" w:rsidR="00CA45CA" w:rsidRPr="001F1A44" w:rsidRDefault="00CA45CA">
      <w:pPr>
        <w:tabs>
          <w:tab w:val="left" w:pos="7938"/>
        </w:tabs>
        <w:spacing w:line="276" w:lineRule="auto"/>
        <w:ind w:left="851" w:right="902"/>
        <w:jc w:val="both"/>
        <w:rPr>
          <w:rFonts w:ascii="Palatino Linotype" w:eastAsia="Palatino Linotype" w:hAnsi="Palatino Linotype" w:cs="Palatino Linotype"/>
          <w:b/>
        </w:rPr>
      </w:pPr>
    </w:p>
    <w:p w14:paraId="0DEEE43C"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Tocante a la </w:t>
      </w:r>
      <w:r w:rsidRPr="001F1A44">
        <w:rPr>
          <w:rFonts w:ascii="Palatino Linotype" w:eastAsia="Palatino Linotype" w:hAnsi="Palatino Linotype" w:cs="Palatino Linotype"/>
          <w:b/>
        </w:rPr>
        <w:t xml:space="preserve">presunción de inocencia, </w:t>
      </w:r>
      <w:r w:rsidRPr="001F1A44">
        <w:rPr>
          <w:rFonts w:ascii="Palatino Linotype" w:eastAsia="Palatino Linotype" w:hAnsi="Palatino Linotype" w:cs="Palatino Linotype"/>
        </w:rPr>
        <w:t>es de mencionar que toda persona imputada tiene, entre otros, el derecho a que se presuma su inocencia mientras no se declare su responsabilidad mediante sentencia emitida por el juez de la causa, donde compruebe su culpabilidad.  tal como lo prevé la fracción I del apartado B, del artículo 20, de la Constitución Política de los Estados Unidos Mexicanos.</w:t>
      </w:r>
    </w:p>
    <w:p w14:paraId="20B68B92" w14:textId="77777777" w:rsidR="00CA45CA" w:rsidRPr="001F1A44" w:rsidRDefault="00CA45CA">
      <w:pPr>
        <w:tabs>
          <w:tab w:val="left" w:pos="3962"/>
        </w:tabs>
        <w:spacing w:line="360" w:lineRule="auto"/>
        <w:jc w:val="both"/>
        <w:rPr>
          <w:rFonts w:ascii="Palatino Linotype" w:eastAsia="Palatino Linotype" w:hAnsi="Palatino Linotype" w:cs="Palatino Linotype"/>
        </w:rPr>
      </w:pPr>
    </w:p>
    <w:p w14:paraId="1615153E"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Sostiene lo anterior, la jurisprudencia 1a./J. 24/2014 (10a.), emitida por la Primera Sala de la Suprema Corte de Justicia de la Nación, publicada en la Gaceta del Semanario Judicial de la Federación, Tomo I, Libro 5, página 497, de abril de 2014, Décima Época, materia constitucional, de rubro y texto siguiente:</w:t>
      </w:r>
    </w:p>
    <w:p w14:paraId="41DC9DA7" w14:textId="77777777" w:rsidR="00CA45CA" w:rsidRPr="001F1A44" w:rsidRDefault="00AD389B">
      <w:pPr>
        <w:tabs>
          <w:tab w:val="left" w:pos="3962"/>
        </w:tabs>
        <w:spacing w:line="276" w:lineRule="auto"/>
        <w:ind w:left="992"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PRESUNCIÓN DE INOCENCIA COMO REGLA DE TRATO PROCESAL</w:t>
      </w:r>
      <w:r w:rsidRPr="001F1A44">
        <w:rPr>
          <w:rFonts w:ascii="Palatino Linotype" w:eastAsia="Palatino Linotype" w:hAnsi="Palatino Linotype" w:cs="Palatino Linotype"/>
          <w:i/>
          <w:sz w:val="22"/>
          <w:szCs w:val="22"/>
        </w:rPr>
        <w:t>. La presunción de inocencia es un derecho que puede calificarse de ‘poliédrico’, en el sentido de que tiene múltiples manifestaciones o vertientes relacionadas con garantías encaminadas a regular distintos aspectos del proceso penal. Una de sus vertientes se manifiesta como "regla de trato procesal" o "regla de tratamiento" del imputado, en la medida en que este derecho establece la forma en la que debe tratarse a una persona que está sometida a proceso penal. En este sentido, la presunción de inocencia comporta el derecho de toda persona a ser tratado como inocente en tanto no se declare su culpabilidad por virtud de una sentencia condenatoria. Dicha manifestación de la presunción de inocencia ordena a los jueces impedir en la mayor medida posible la aplicación de medidas que impliquen una equiparación de hecho entre imputado y culpable, es decir, conlleva la prohibición de cualquier tipo de resolución judicial que suponga la anticipación de la pena.”</w:t>
      </w:r>
    </w:p>
    <w:p w14:paraId="4798D700" w14:textId="77777777" w:rsidR="00CA45CA" w:rsidRPr="001F1A44" w:rsidRDefault="00CA45CA">
      <w:pPr>
        <w:tabs>
          <w:tab w:val="left" w:pos="3962"/>
        </w:tabs>
        <w:spacing w:line="276" w:lineRule="auto"/>
        <w:ind w:left="992" w:right="902"/>
        <w:jc w:val="both"/>
        <w:rPr>
          <w:rFonts w:ascii="Palatino Linotype" w:eastAsia="Palatino Linotype" w:hAnsi="Palatino Linotype" w:cs="Palatino Linotype"/>
        </w:rPr>
      </w:pPr>
    </w:p>
    <w:p w14:paraId="4D7CF1D7"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De la jurisprudencia transcrita deviene que la presunción de inocencia se traduce en el derecho de toda persona a ser tratado como inocente en tanto no se declare su culpabilidad por virtud de una sentencia condenatoria. Dicha manifestación, </w:t>
      </w:r>
      <w:r w:rsidRPr="001F1A44">
        <w:rPr>
          <w:rFonts w:ascii="Palatino Linotype" w:eastAsia="Palatino Linotype" w:hAnsi="Palatino Linotype" w:cs="Palatino Linotype"/>
        </w:rPr>
        <w:lastRenderedPageBreak/>
        <w:t>conlleva la prohibición de cualquier tipo de resolución judicial que suponga la anticipación de la pena, siendo importante mencionar que dicho Derecho se encuentra regulado, de la misma manera, en Declaración Universal de los Derechos Humanos, así como, el Pacto Internacional de Derechos Civiles y Políticos y la Convención Americana sobre Derechos Humanos.</w:t>
      </w:r>
    </w:p>
    <w:p w14:paraId="4D56B2F3" w14:textId="77777777" w:rsidR="00CA45CA" w:rsidRPr="001F1A44" w:rsidRDefault="00CA45CA">
      <w:pPr>
        <w:tabs>
          <w:tab w:val="left" w:pos="3962"/>
        </w:tabs>
        <w:spacing w:line="360" w:lineRule="auto"/>
        <w:jc w:val="both"/>
        <w:rPr>
          <w:rFonts w:ascii="Palatino Linotype" w:eastAsia="Palatino Linotype" w:hAnsi="Palatino Linotype" w:cs="Palatino Linotype"/>
        </w:rPr>
      </w:pPr>
    </w:p>
    <w:p w14:paraId="121BF90F"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En el mismo orden de ideas,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14:paraId="562E73B0" w14:textId="77777777" w:rsidR="00CA45CA" w:rsidRPr="001F1A44" w:rsidRDefault="00CA45CA">
      <w:pPr>
        <w:tabs>
          <w:tab w:val="left" w:pos="3962"/>
        </w:tabs>
        <w:spacing w:line="360" w:lineRule="auto"/>
        <w:jc w:val="both"/>
        <w:rPr>
          <w:rFonts w:ascii="Palatino Linotype" w:eastAsia="Palatino Linotype" w:hAnsi="Palatino Linotype" w:cs="Palatino Linotype"/>
          <w:sz w:val="22"/>
          <w:szCs w:val="22"/>
        </w:rPr>
      </w:pPr>
    </w:p>
    <w:p w14:paraId="4F190C77" w14:textId="77777777" w:rsidR="00CA45CA" w:rsidRPr="001F1A44" w:rsidRDefault="00AD389B">
      <w:pPr>
        <w:spacing w:line="276" w:lineRule="auto"/>
        <w:ind w:left="851" w:right="113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“PRESUNCIÓN DE INOCENCIA. ALCANCES DE ESE PRINCIPIO CONSTITUCIONAL. </w:t>
      </w:r>
      <w:r w:rsidRPr="001F1A44">
        <w:rPr>
          <w:rFonts w:ascii="Palatino Linotype" w:eastAsia="Palatino Linotype" w:hAnsi="Palatino Linotype" w:cs="Palatino Linotype"/>
          <w:i/>
          <w:sz w:val="22"/>
          <w:szCs w:val="22"/>
        </w:rPr>
        <w:t>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14:paraId="0F000FCB" w14:textId="77777777" w:rsidR="00CA45CA" w:rsidRPr="001F1A44" w:rsidRDefault="00CA45CA">
      <w:pPr>
        <w:spacing w:after="120" w:line="259" w:lineRule="auto"/>
        <w:ind w:left="851" w:right="1134"/>
        <w:jc w:val="both"/>
        <w:rPr>
          <w:rFonts w:ascii="Palatino Linotype" w:eastAsia="Palatino Linotype" w:hAnsi="Palatino Linotype" w:cs="Palatino Linotype"/>
          <w:i/>
          <w:sz w:val="22"/>
          <w:szCs w:val="22"/>
        </w:rPr>
      </w:pPr>
    </w:p>
    <w:p w14:paraId="106A9B11" w14:textId="77777777" w:rsidR="00CA45CA" w:rsidRPr="001F1A44" w:rsidRDefault="00AD389B">
      <w:pPr>
        <w:tabs>
          <w:tab w:val="left" w:pos="3962"/>
        </w:tabs>
        <w:spacing w:before="12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Como se observa, el Alto Tribunal sostiene que el principio de presunción de inocencia va más allá del ámbito estrictamente procesal, en aras de proteger la esfera </w:t>
      </w:r>
      <w:r w:rsidRPr="001F1A44">
        <w:rPr>
          <w:rFonts w:ascii="Palatino Linotype" w:eastAsia="Palatino Linotype" w:hAnsi="Palatino Linotype" w:cs="Palatino Linotype"/>
        </w:rPr>
        <w:lastRenderedPageBreak/>
        <w:t>jurídica de las personas que se ve en peligro ante actuaciones arbitrarias por parte del poder público. Así, dicho principio guarda también una faceta “extraprocesal” que se materializa a través de un trato de inocente para el inculpado mientras no se demuestre su culpabilidad.</w:t>
      </w:r>
    </w:p>
    <w:p w14:paraId="64CB971E" w14:textId="77777777" w:rsidR="00CA45CA" w:rsidRPr="001F1A44" w:rsidRDefault="00CA45CA">
      <w:pPr>
        <w:tabs>
          <w:tab w:val="left" w:pos="3962"/>
        </w:tabs>
        <w:spacing w:line="360" w:lineRule="auto"/>
        <w:jc w:val="both"/>
        <w:rPr>
          <w:rFonts w:ascii="Palatino Linotype" w:eastAsia="Palatino Linotype" w:hAnsi="Palatino Linotype" w:cs="Palatino Linotype"/>
        </w:rPr>
      </w:pPr>
    </w:p>
    <w:p w14:paraId="71713FB9" w14:textId="77777777" w:rsidR="00CA45CA" w:rsidRPr="001F1A44" w:rsidRDefault="00AD389B">
      <w:pPr>
        <w:tabs>
          <w:tab w:val="left" w:pos="3962"/>
        </w:tabs>
        <w:spacing w:line="360" w:lineRule="auto"/>
        <w:jc w:val="both"/>
        <w:rPr>
          <w:rFonts w:ascii="Palatino Linotype" w:eastAsia="Palatino Linotype" w:hAnsi="Palatino Linotype" w:cs="Palatino Linotype"/>
          <w:b/>
          <w:u w:val="single"/>
        </w:rPr>
      </w:pPr>
      <w:r w:rsidRPr="001F1A44">
        <w:rPr>
          <w:rFonts w:ascii="Palatino Linotype" w:eastAsia="Palatino Linotype" w:hAnsi="Palatino Linotype" w:cs="Palatino Linotype"/>
        </w:rPr>
        <w:t xml:space="preserve">Conforme a lo expuesto, </w:t>
      </w:r>
      <w:r w:rsidRPr="001F1A44">
        <w:rPr>
          <w:rFonts w:ascii="Palatino Linotype" w:eastAsia="Palatino Linotype" w:hAnsi="Palatino Linotype" w:cs="Palatino Linotype"/>
          <w:b/>
          <w:u w:val="single"/>
        </w:rPr>
        <w:t>pronunciarse sobre la existencia de un procedimiento en trámite de probable responsabilidad, generaría un juicio a priori o un juicio negativo en contra de los servidores públicos referidos en la solicitud por parte de la sociedad, sin que se hayan reunido los elementos para establecer si son o no responsables, vulnerando así la protección de su intimidad, su honor, la buena imagen y su Derecho a la presunción de inocencia.</w:t>
      </w:r>
    </w:p>
    <w:p w14:paraId="20A696A4" w14:textId="77777777" w:rsidR="00CA45CA" w:rsidRPr="001F1A44" w:rsidRDefault="00CA45CA">
      <w:pPr>
        <w:tabs>
          <w:tab w:val="left" w:pos="3962"/>
        </w:tabs>
        <w:spacing w:line="360" w:lineRule="auto"/>
        <w:jc w:val="both"/>
        <w:rPr>
          <w:rFonts w:ascii="Palatino Linotype" w:eastAsia="Palatino Linotype" w:hAnsi="Palatino Linotype" w:cs="Palatino Linotype"/>
          <w:b/>
          <w:u w:val="single"/>
        </w:rPr>
      </w:pPr>
    </w:p>
    <w:p w14:paraId="31EDE3ED" w14:textId="77777777" w:rsidR="00CA45CA" w:rsidRPr="001F1A44" w:rsidRDefault="00AD389B">
      <w:pPr>
        <w:tabs>
          <w:tab w:val="left" w:pos="396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Bajo lo previo, se considera que</w:t>
      </w:r>
      <w:r w:rsidRPr="001F1A44">
        <w:rPr>
          <w:rFonts w:ascii="Palatino Linotype" w:eastAsia="Palatino Linotype" w:hAnsi="Palatino Linotype" w:cs="Palatino Linotype"/>
          <w:b/>
        </w:rPr>
        <w:t xml:space="preserve"> </w:t>
      </w:r>
      <w:r w:rsidRPr="001F1A44">
        <w:rPr>
          <w:rFonts w:ascii="Palatino Linotype" w:eastAsia="Palatino Linotype" w:hAnsi="Palatino Linotype" w:cs="Palatino Linotype"/>
          <w:b/>
          <w:u w:val="single"/>
        </w:rPr>
        <w:t>el pronunciamiento en sentido afirmativo o negativo, sobre la existencia de algún procedimiento en trámite de responsabilidad por faltas graves o no graves que se hubiera iniciado en contra de la servidor público referida, deberá clasificarse en términos del artículo 143, fracción I, de la Ley de Transparencia y Acceso a la Información Pública del Estado de México y Municipios</w:t>
      </w:r>
      <w:r w:rsidRPr="001F1A44">
        <w:rPr>
          <w:rFonts w:ascii="Palatino Linotype" w:eastAsia="Palatino Linotype" w:hAnsi="Palatino Linotype" w:cs="Palatino Linotype"/>
          <w:b/>
        </w:rPr>
        <w:t xml:space="preserve">, </w:t>
      </w:r>
      <w:r w:rsidRPr="001F1A44">
        <w:rPr>
          <w:rFonts w:ascii="Palatino Linotype" w:eastAsia="Palatino Linotype" w:hAnsi="Palatino Linotype" w:cs="Palatino Linotype"/>
        </w:rPr>
        <w:t>que es del tenor literal siguiente:</w:t>
      </w:r>
    </w:p>
    <w:p w14:paraId="0E4DC67B" w14:textId="77777777" w:rsidR="00CA45CA" w:rsidRPr="001F1A44" w:rsidRDefault="00CA45CA">
      <w:pPr>
        <w:tabs>
          <w:tab w:val="left" w:pos="3962"/>
        </w:tabs>
        <w:spacing w:line="360" w:lineRule="auto"/>
        <w:jc w:val="both"/>
        <w:rPr>
          <w:rFonts w:ascii="Palatino Linotype" w:eastAsia="Palatino Linotype" w:hAnsi="Palatino Linotype" w:cs="Palatino Linotype"/>
          <w:b/>
          <w:u w:val="single"/>
        </w:rPr>
      </w:pPr>
    </w:p>
    <w:p w14:paraId="58C405D1" w14:textId="77777777" w:rsidR="00CA45CA" w:rsidRPr="001F1A44" w:rsidRDefault="00AD389B">
      <w:pPr>
        <w:tabs>
          <w:tab w:val="left" w:pos="3962"/>
        </w:tabs>
        <w:spacing w:after="120" w:line="259" w:lineRule="auto"/>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Artículo 143</w:t>
      </w:r>
      <w:r w:rsidRPr="001F1A4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3201869" w14:textId="77777777" w:rsidR="00CA45CA" w:rsidRPr="001F1A44" w:rsidRDefault="00AD389B">
      <w:pPr>
        <w:tabs>
          <w:tab w:val="left" w:pos="3962"/>
        </w:tabs>
        <w:spacing w:before="120" w:after="120" w:line="259" w:lineRule="auto"/>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w:t>
      </w:r>
      <w:r w:rsidRPr="001F1A44">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1556D28" w14:textId="77777777" w:rsidR="00CA45CA" w:rsidRPr="001F1A44" w:rsidRDefault="00CA45CA">
      <w:pPr>
        <w:tabs>
          <w:tab w:val="left" w:pos="3962"/>
        </w:tabs>
        <w:spacing w:before="120" w:after="120" w:line="259" w:lineRule="auto"/>
        <w:ind w:left="851" w:right="902"/>
        <w:jc w:val="both"/>
        <w:rPr>
          <w:rFonts w:ascii="Palatino Linotype" w:eastAsia="Palatino Linotype" w:hAnsi="Palatino Linotype" w:cs="Palatino Linotype"/>
          <w:i/>
          <w:sz w:val="22"/>
          <w:szCs w:val="22"/>
        </w:rPr>
      </w:pPr>
    </w:p>
    <w:p w14:paraId="3549587F"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No obstante de lo anterior, se estima necesario traer a colación el contenido del artículo 142, fracción IV, de la Ley de Transparencia y Acceso a la Información Pública del Estado de México y Municipios, a saber: </w:t>
      </w:r>
    </w:p>
    <w:p w14:paraId="59D4C61E" w14:textId="77777777" w:rsidR="00CA45CA" w:rsidRPr="001F1A44" w:rsidRDefault="00AD389B">
      <w:pPr>
        <w:spacing w:line="276" w:lineRule="auto"/>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142.</w:t>
      </w:r>
      <w:r w:rsidRPr="001F1A44">
        <w:rPr>
          <w:rFonts w:ascii="Palatino Linotype" w:eastAsia="Palatino Linotype" w:hAnsi="Palatino Linotype" w:cs="Palatino Linotype"/>
          <w:i/>
          <w:sz w:val="22"/>
          <w:szCs w:val="22"/>
        </w:rPr>
        <w:t xml:space="preserve"> </w:t>
      </w:r>
      <w:r w:rsidRPr="001F1A44">
        <w:rPr>
          <w:rFonts w:ascii="Palatino Linotype" w:eastAsia="Palatino Linotype" w:hAnsi="Palatino Linotype" w:cs="Palatino Linotype"/>
          <w:b/>
          <w:i/>
          <w:sz w:val="22"/>
          <w:szCs w:val="22"/>
        </w:rPr>
        <w:t xml:space="preserve">Bajo ninguna circunstancia podrá invocarse el carácter de reservado </w:t>
      </w:r>
      <w:r w:rsidRPr="001F1A44">
        <w:rPr>
          <w:rFonts w:ascii="Palatino Linotype" w:eastAsia="Palatino Linotype" w:hAnsi="Palatino Linotype" w:cs="Palatino Linotype"/>
          <w:i/>
          <w:sz w:val="22"/>
          <w:szCs w:val="22"/>
        </w:rPr>
        <w:t xml:space="preserve">cuando: </w:t>
      </w:r>
    </w:p>
    <w:p w14:paraId="52C15FC3" w14:textId="77777777" w:rsidR="00CA45CA" w:rsidRPr="001F1A44" w:rsidRDefault="00AD389B">
      <w:pPr>
        <w:spacing w:line="276" w:lineRule="auto"/>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5F83A723" w14:textId="77777777" w:rsidR="00CA45CA" w:rsidRPr="001F1A44" w:rsidRDefault="00AD389B">
      <w:pPr>
        <w:spacing w:line="276" w:lineRule="auto"/>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IV</w:t>
      </w:r>
      <w:r w:rsidRPr="001F1A44">
        <w:rPr>
          <w:rFonts w:ascii="Palatino Linotype" w:eastAsia="Palatino Linotype" w:hAnsi="Palatino Linotype" w:cs="Palatino Linotype"/>
          <w:i/>
          <w:sz w:val="22"/>
          <w:szCs w:val="22"/>
        </w:rPr>
        <w:t xml:space="preserve">. </w:t>
      </w:r>
      <w:r w:rsidRPr="001F1A44">
        <w:rPr>
          <w:rFonts w:ascii="Palatino Linotype" w:eastAsia="Palatino Linotype" w:hAnsi="Palatino Linotype" w:cs="Palatino Linotype"/>
          <w:b/>
          <w:i/>
          <w:sz w:val="22"/>
          <w:szCs w:val="22"/>
        </w:rPr>
        <w:t xml:space="preserve">Se trate de información </w:t>
      </w:r>
      <w:r w:rsidRPr="001F1A44">
        <w:rPr>
          <w:rFonts w:ascii="Palatino Linotype" w:eastAsia="Palatino Linotype" w:hAnsi="Palatino Linotype" w:cs="Palatino Linotype"/>
          <w:b/>
          <w:i/>
          <w:sz w:val="22"/>
          <w:szCs w:val="22"/>
          <w:u w:val="single"/>
        </w:rPr>
        <w:t>relacionada con actos de corrupción</w:t>
      </w:r>
      <w:r w:rsidRPr="001F1A44">
        <w:rPr>
          <w:rFonts w:ascii="Palatino Linotype" w:eastAsia="Palatino Linotype" w:hAnsi="Palatino Linotype" w:cs="Palatino Linotype"/>
          <w:i/>
          <w:sz w:val="22"/>
          <w:szCs w:val="22"/>
        </w:rPr>
        <w:t xml:space="preserve"> de conformidad con las disposiciones jurídicas aplicables.”</w:t>
      </w:r>
    </w:p>
    <w:p w14:paraId="58AFC7C0" w14:textId="77777777" w:rsidR="00CA45CA" w:rsidRPr="001F1A44" w:rsidRDefault="00CA45CA">
      <w:pPr>
        <w:spacing w:line="360" w:lineRule="auto"/>
        <w:ind w:left="1134" w:right="900"/>
        <w:jc w:val="both"/>
        <w:rPr>
          <w:rFonts w:ascii="Palatino Linotype" w:eastAsia="Palatino Linotype" w:hAnsi="Palatino Linotype" w:cs="Palatino Linotype"/>
          <w:i/>
        </w:rPr>
      </w:pPr>
    </w:p>
    <w:p w14:paraId="6A8EE903"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Del precepto citado se desprende que aquella información que se relacione con actos de corrupción, no puede actualizar alguno de los supuestos de clasificación como información reservada establecidos en el artículo 140 de la Ley de Transparencia y Acceso a la Información Pública del Estado de México y Municipios.</w:t>
      </w:r>
    </w:p>
    <w:p w14:paraId="078E173F" w14:textId="77777777" w:rsidR="00CA45CA" w:rsidRPr="001F1A44" w:rsidRDefault="00CA45CA">
      <w:pPr>
        <w:spacing w:line="360" w:lineRule="auto"/>
        <w:jc w:val="both"/>
        <w:rPr>
          <w:rFonts w:ascii="Palatino Linotype" w:eastAsia="Palatino Linotype" w:hAnsi="Palatino Linotype" w:cs="Palatino Linotype"/>
          <w:i/>
        </w:rPr>
      </w:pPr>
    </w:p>
    <w:p w14:paraId="711E88BA"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 el mismo tenor, el Lineamiento Trigésimo Séptimo de los Lineamientos Generales en materia de clasificación y desclasificación de la información, así como para la elaboración de versiones públicas, dispone que no puede invocarse el carácter de reservado de la información </w:t>
      </w:r>
      <w:r w:rsidRPr="001F1A44">
        <w:rPr>
          <w:rFonts w:ascii="Palatino Linotype" w:eastAsia="Palatino Linotype" w:hAnsi="Palatino Linotype" w:cs="Palatino Linotype"/>
          <w:b/>
        </w:rPr>
        <w:t>cuando esta se relacione con actos de corrupción,</w:t>
      </w:r>
      <w:r w:rsidRPr="001F1A44">
        <w:rPr>
          <w:rFonts w:ascii="Palatino Linotype" w:eastAsia="Palatino Linotype" w:hAnsi="Palatino Linotype" w:cs="Palatino Linotype"/>
        </w:rPr>
        <w:t xml:space="preserve">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w:t>
      </w:r>
    </w:p>
    <w:p w14:paraId="3B70344B" w14:textId="77777777" w:rsidR="00CA45CA" w:rsidRPr="001F1A44" w:rsidRDefault="00CA45CA">
      <w:pPr>
        <w:spacing w:line="360" w:lineRule="auto"/>
        <w:jc w:val="both"/>
        <w:rPr>
          <w:rFonts w:ascii="Palatino Linotype" w:eastAsia="Palatino Linotype" w:hAnsi="Palatino Linotype" w:cs="Palatino Linotype"/>
        </w:rPr>
      </w:pPr>
    </w:p>
    <w:p w14:paraId="5A92EA4D"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Dicho lo anterior, cobra relevancia señalar que México ha participado, firmado y ratificado tres convenciones internacionales de combate contra la corrupción, a saber: la Convención Interamericana contra la Corrupción (OEA 1997), la Convención para Combatir el Cohecho de Servidores Públicos en Transacciones Comerciales Internacionales (OCDE 1999) y la Convención de las Naciones Unidas contra la Corrupción (ONU 2004).</w:t>
      </w:r>
    </w:p>
    <w:p w14:paraId="513369A2" w14:textId="77777777" w:rsidR="00CA45CA" w:rsidRPr="001F1A44" w:rsidRDefault="00CA45CA">
      <w:pPr>
        <w:spacing w:line="360" w:lineRule="auto"/>
        <w:jc w:val="both"/>
        <w:rPr>
          <w:rFonts w:ascii="Palatino Linotype" w:eastAsia="Palatino Linotype" w:hAnsi="Palatino Linotype" w:cs="Palatino Linotype"/>
        </w:rPr>
      </w:pPr>
    </w:p>
    <w:p w14:paraId="3C6847A4"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 ese sentido, la Convención Interamericana contra la Corrupción, señala que </w:t>
      </w:r>
      <w:r w:rsidRPr="001F1A44">
        <w:rPr>
          <w:rFonts w:ascii="Palatino Linotype" w:eastAsia="Palatino Linotype" w:hAnsi="Palatino Linotype" w:cs="Palatino Linotype"/>
          <w:b/>
          <w:u w:val="single"/>
        </w:rPr>
        <w:t>la corrupción socava la legitimidad de las instituciones públicas, atenta contra la sociedad, el orden moral y la justicia, así como contra el desarrollo integral de los pueblos</w:t>
      </w:r>
      <w:r w:rsidRPr="001F1A44">
        <w:rPr>
          <w:rFonts w:ascii="Palatino Linotype" w:eastAsia="Palatino Linotype" w:hAnsi="Palatino Linotype" w:cs="Palatino Linotype"/>
        </w:rPr>
        <w:t>; asimismo, considera que el combate contra la corrupción fortalece las instituciones democráticas, evita distorsiones de la economía, vicios en la gestión pública y el deterioro de la moral social.</w:t>
      </w:r>
    </w:p>
    <w:p w14:paraId="0791259D" w14:textId="77777777" w:rsidR="00CA45CA" w:rsidRPr="001F1A44" w:rsidRDefault="00CA45CA">
      <w:pPr>
        <w:spacing w:line="360" w:lineRule="auto"/>
        <w:jc w:val="both"/>
        <w:rPr>
          <w:rFonts w:ascii="Palatino Linotype" w:eastAsia="Palatino Linotype" w:hAnsi="Palatino Linotype" w:cs="Palatino Linotype"/>
          <w:i/>
        </w:rPr>
      </w:pPr>
    </w:p>
    <w:p w14:paraId="665CB300"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En específico, en el artículo VI de dicha Convención se señalan las siguientes conductas como actos de corrupción:</w:t>
      </w:r>
    </w:p>
    <w:p w14:paraId="0D4C0555" w14:textId="77777777" w:rsidR="00CA45CA" w:rsidRPr="001F1A44" w:rsidRDefault="00CA45CA">
      <w:pPr>
        <w:spacing w:line="360" w:lineRule="auto"/>
        <w:jc w:val="both"/>
        <w:rPr>
          <w:rFonts w:ascii="Palatino Linotype" w:eastAsia="Palatino Linotype" w:hAnsi="Palatino Linotype" w:cs="Palatino Linotype"/>
        </w:rPr>
      </w:pPr>
    </w:p>
    <w:p w14:paraId="38754ACC" w14:textId="77777777" w:rsidR="00CA45CA" w:rsidRPr="001F1A44" w:rsidRDefault="00AD389B">
      <w:pPr>
        <w:spacing w:line="360" w:lineRule="auto"/>
        <w:ind w:left="284"/>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 El requerimiento o la aceptación, directa o indirectamente, por un funcionario público o una persona que ejerza funciones públicas, de cualquier objeto de valor pecuniario u otros beneficios como dádivas, favores, promesas o ventajas para sí mismo o para otra persona o entidad a cambio de la realización u omisión de cualquier acto en el ejercicio de sus funciones públicas; </w:t>
      </w:r>
    </w:p>
    <w:p w14:paraId="06C34170" w14:textId="77777777" w:rsidR="00CA45CA" w:rsidRPr="001F1A44" w:rsidRDefault="00AD389B">
      <w:pPr>
        <w:spacing w:line="360" w:lineRule="auto"/>
        <w:ind w:left="284"/>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b. El ofrecimiento o el otorgamiento, directa o indirectamente, a un funcionario público o a una persona que ejerza funciones públicas, de cualquier objeto de </w:t>
      </w:r>
      <w:r w:rsidRPr="001F1A44">
        <w:rPr>
          <w:rFonts w:ascii="Palatino Linotype" w:eastAsia="Palatino Linotype" w:hAnsi="Palatino Linotype" w:cs="Palatino Linotype"/>
        </w:rPr>
        <w:lastRenderedPageBreak/>
        <w:t xml:space="preserve">valor pecuniario u otros beneficios como dádivas, favores, promesas o ventajas para ese funcionario público o para otra persona o entidad a cambio de la realización u omisión de cualquier acto en el ejercicio de sus funciones públicas; </w:t>
      </w:r>
    </w:p>
    <w:p w14:paraId="0BB22A8D" w14:textId="77777777" w:rsidR="00CA45CA" w:rsidRPr="001F1A44" w:rsidRDefault="00AD389B">
      <w:pPr>
        <w:spacing w:line="360" w:lineRule="auto"/>
        <w:ind w:left="284"/>
        <w:jc w:val="both"/>
        <w:rPr>
          <w:rFonts w:ascii="Palatino Linotype" w:eastAsia="Palatino Linotype" w:hAnsi="Palatino Linotype" w:cs="Palatino Linotype"/>
        </w:rPr>
      </w:pPr>
      <w:r w:rsidRPr="001F1A44">
        <w:rPr>
          <w:rFonts w:ascii="Palatino Linotype" w:eastAsia="Palatino Linotype" w:hAnsi="Palatino Linotype" w:cs="Palatino Linotype"/>
        </w:rPr>
        <w:t>c. La realización por parte de un funcionario público o una persona que ejerza funciones públicas de cualquier acto u omisión en el ejercicio de sus funciones, con el fin de obtener ilícitamente beneficios para sí mismo o para un tercero;</w:t>
      </w:r>
    </w:p>
    <w:p w14:paraId="4D1713ED" w14:textId="77777777" w:rsidR="00CA45CA" w:rsidRPr="001F1A44" w:rsidRDefault="00AD389B">
      <w:pPr>
        <w:spacing w:line="360" w:lineRule="auto"/>
        <w:ind w:left="284"/>
        <w:jc w:val="both"/>
        <w:rPr>
          <w:rFonts w:ascii="Palatino Linotype" w:eastAsia="Palatino Linotype" w:hAnsi="Palatino Linotype" w:cs="Palatino Linotype"/>
        </w:rPr>
      </w:pPr>
      <w:r w:rsidRPr="001F1A44">
        <w:rPr>
          <w:rFonts w:ascii="Palatino Linotype" w:eastAsia="Palatino Linotype" w:hAnsi="Palatino Linotype" w:cs="Palatino Linotype"/>
        </w:rPr>
        <w:t>d. El aprovechamiento doloso u ocultación de bienes provenientes de cualesquiera de los actos a los que se refiere el presente artículo; y</w:t>
      </w:r>
    </w:p>
    <w:p w14:paraId="0964477D" w14:textId="77777777" w:rsidR="00CA45CA" w:rsidRPr="001F1A44" w:rsidRDefault="00AD389B">
      <w:pPr>
        <w:spacing w:line="360" w:lineRule="auto"/>
        <w:ind w:left="284"/>
        <w:jc w:val="both"/>
        <w:rPr>
          <w:rFonts w:ascii="Palatino Linotype" w:eastAsia="Palatino Linotype" w:hAnsi="Palatino Linotype" w:cs="Palatino Linotype"/>
        </w:rPr>
      </w:pPr>
      <w:r w:rsidRPr="001F1A44">
        <w:rPr>
          <w:rFonts w:ascii="Palatino Linotype" w:eastAsia="Palatino Linotype" w:hAnsi="Palatino Linotype" w:cs="Palatino Linotype"/>
        </w:rPr>
        <w:t>e. La participación como autor, coautor, instigador, cómplice, encubridor o en cualquier otra forma en la comisión, tentativa de comisión, asociación o confabulación para la comisión de cualquiera de los actos a los que se refiere el presente artículo.</w:t>
      </w:r>
    </w:p>
    <w:p w14:paraId="67173876" w14:textId="77777777" w:rsidR="00CA45CA" w:rsidRPr="001F1A44" w:rsidRDefault="00CA45CA">
      <w:pPr>
        <w:spacing w:line="360" w:lineRule="auto"/>
        <w:ind w:left="284"/>
        <w:jc w:val="both"/>
        <w:rPr>
          <w:rFonts w:ascii="Palatino Linotype" w:eastAsia="Palatino Linotype" w:hAnsi="Palatino Linotype" w:cs="Palatino Linotype"/>
        </w:rPr>
      </w:pPr>
    </w:p>
    <w:p w14:paraId="00DDED99" w14:textId="77777777" w:rsidR="00CA45CA" w:rsidRPr="001F1A44" w:rsidRDefault="00AD389B">
      <w:pPr>
        <w:spacing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En ese orden de ideas, es posible reflexionar que </w:t>
      </w:r>
      <w:r w:rsidRPr="001F1A44">
        <w:rPr>
          <w:rFonts w:ascii="Palatino Linotype" w:eastAsia="Palatino Linotype" w:hAnsi="Palatino Linotype" w:cs="Palatino Linotype"/>
          <w:b/>
        </w:rPr>
        <w:t>la corrupción no solo es un fenómeno que debilita a las instituciones democráticas y a la gobernabilidad, sino que también, fomenta la impunidad, socava el Estado de derecho y exacerba la desigualdad, además de que afecta a los derechos humanos</w:t>
      </w:r>
      <w:r w:rsidRPr="001F1A44">
        <w:rPr>
          <w:rFonts w:ascii="Palatino Linotype" w:eastAsia="Palatino Linotype" w:hAnsi="Palatino Linotype" w:cs="Palatino Linotype"/>
        </w:rPr>
        <w:t xml:space="preserve">, por lo que, </w:t>
      </w:r>
      <w:r w:rsidRPr="001F1A44">
        <w:rPr>
          <w:rFonts w:ascii="Palatino Linotype" w:eastAsia="Palatino Linotype" w:hAnsi="Palatino Linotype" w:cs="Palatino Linotype"/>
          <w:b/>
        </w:rPr>
        <w:t>cobra una relevancia social la rendición de cuentas respecto a información o hechos que estén vinculados o relacionados con actos de corrupción.</w:t>
      </w:r>
    </w:p>
    <w:p w14:paraId="5CF0BB2E" w14:textId="77777777" w:rsidR="00CA45CA" w:rsidRPr="001F1A44" w:rsidRDefault="00CA45CA">
      <w:pPr>
        <w:spacing w:line="360" w:lineRule="auto"/>
        <w:jc w:val="both"/>
        <w:rPr>
          <w:rFonts w:ascii="Palatino Linotype" w:eastAsia="Palatino Linotype" w:hAnsi="Palatino Linotype" w:cs="Palatino Linotype"/>
          <w:i/>
        </w:rPr>
      </w:pPr>
    </w:p>
    <w:p w14:paraId="1A49C12F" w14:textId="77777777" w:rsidR="00CA45CA" w:rsidRPr="001F1A44" w:rsidRDefault="00AD389B">
      <w:pPr>
        <w:spacing w:line="360" w:lineRule="auto"/>
        <w:jc w:val="both"/>
        <w:rPr>
          <w:rFonts w:ascii="Palatino Linotype" w:eastAsia="Palatino Linotype" w:hAnsi="Palatino Linotype" w:cs="Palatino Linotype"/>
          <w:b/>
          <w:u w:val="single"/>
        </w:rPr>
      </w:pPr>
      <w:r w:rsidRPr="001F1A44">
        <w:rPr>
          <w:rFonts w:ascii="Palatino Linotype" w:eastAsia="Palatino Linotype" w:hAnsi="Palatino Linotype" w:cs="Palatino Linotype"/>
        </w:rPr>
        <w:t xml:space="preserve">Tomando en cuenta lo anterior, y conforme a la definición de servidor público que establece tanto el artículo 108 de nuestra Constitución como el artículo 212 del Código Penal Federal reformado, es posible considerar como </w:t>
      </w:r>
      <w:r w:rsidRPr="001F1A44">
        <w:rPr>
          <w:rFonts w:ascii="Palatino Linotype" w:eastAsia="Palatino Linotype" w:hAnsi="Palatino Linotype" w:cs="Palatino Linotype"/>
          <w:b/>
          <w:i/>
        </w:rPr>
        <w:t>acto de corrupción</w:t>
      </w:r>
      <w:r w:rsidRPr="001F1A44">
        <w:rPr>
          <w:rFonts w:ascii="Palatino Linotype" w:eastAsia="Palatino Linotype" w:hAnsi="Palatino Linotype" w:cs="Palatino Linotype"/>
        </w:rPr>
        <w:t xml:space="preserve">, la </w:t>
      </w:r>
      <w:r w:rsidRPr="001F1A44">
        <w:rPr>
          <w:rFonts w:ascii="Palatino Linotype" w:eastAsia="Palatino Linotype" w:hAnsi="Palatino Linotype" w:cs="Palatino Linotype"/>
          <w:b/>
        </w:rPr>
        <w:t xml:space="preserve">acción u omisión que llevé a cabo una persona que desempeñe un empleo, cargo </w:t>
      </w:r>
      <w:r w:rsidRPr="001F1A44">
        <w:rPr>
          <w:rFonts w:ascii="Palatino Linotype" w:eastAsia="Palatino Linotype" w:hAnsi="Palatino Linotype" w:cs="Palatino Linotype"/>
          <w:b/>
        </w:rPr>
        <w:lastRenderedPageBreak/>
        <w:t xml:space="preserve">o comisión en las instituciones gubernamentales, así como por particulares con funciones públicas, en la cual, en pleno ejercicio de sus funciones, </w:t>
      </w:r>
      <w:r w:rsidRPr="001F1A44">
        <w:rPr>
          <w:rFonts w:ascii="Palatino Linotype" w:eastAsia="Palatino Linotype" w:hAnsi="Palatino Linotype" w:cs="Palatino Linotype"/>
          <w:b/>
          <w:u w:val="single"/>
        </w:rPr>
        <w:t>obtenga un beneficio o una ventaja de cualquier naturaleza para sí o un tercero</w:t>
      </w:r>
      <w:r w:rsidRPr="001F1A44">
        <w:rPr>
          <w:rFonts w:ascii="Palatino Linotype" w:eastAsia="Palatino Linotype" w:hAnsi="Palatino Linotype" w:cs="Palatino Linotype"/>
          <w:b/>
        </w:rPr>
        <w:t xml:space="preserve"> sobre algún hecho que no sea permisible en las normas vigentes, </w:t>
      </w:r>
      <w:r w:rsidRPr="001F1A44">
        <w:rPr>
          <w:rFonts w:ascii="Palatino Linotype" w:eastAsia="Palatino Linotype" w:hAnsi="Palatino Linotype" w:cs="Palatino Linotype"/>
          <w:b/>
          <w:u w:val="single"/>
        </w:rPr>
        <w:t>o bien, incurra en una conducta catalogada por la Ley como acto de corrupción.</w:t>
      </w:r>
    </w:p>
    <w:p w14:paraId="1A84F57A" w14:textId="77777777" w:rsidR="00CA45CA" w:rsidRPr="001F1A44" w:rsidRDefault="00CA45CA">
      <w:pPr>
        <w:spacing w:line="360" w:lineRule="auto"/>
        <w:jc w:val="both"/>
        <w:rPr>
          <w:rFonts w:ascii="Palatino Linotype" w:eastAsia="Palatino Linotype" w:hAnsi="Palatino Linotype" w:cs="Palatino Linotype"/>
          <w:b/>
          <w:u w:val="single"/>
        </w:rPr>
      </w:pPr>
    </w:p>
    <w:p w14:paraId="79CA1525"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Mientras que el Código Penal Federal establece en su Título Decimo “Delitos por hechos de corrupción” a los siguientes: </w:t>
      </w:r>
    </w:p>
    <w:p w14:paraId="589A25C0" w14:textId="77777777" w:rsidR="00CA45CA" w:rsidRPr="001F1A44" w:rsidRDefault="00CA45CA">
      <w:pPr>
        <w:spacing w:line="360" w:lineRule="auto"/>
        <w:jc w:val="both"/>
        <w:rPr>
          <w:rFonts w:ascii="Palatino Linotype" w:eastAsia="Palatino Linotype" w:hAnsi="Palatino Linotype" w:cs="Palatino Linotype"/>
        </w:rPr>
      </w:pPr>
    </w:p>
    <w:p w14:paraId="2CA71396"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Ejercicio ilícito de servicio público (artículo 214)</w:t>
      </w:r>
    </w:p>
    <w:p w14:paraId="20A73D5B"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Abuso de autoridad (artículo 215)</w:t>
      </w:r>
    </w:p>
    <w:p w14:paraId="4AE99A0F"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Coalición de servidores públicos (artículo 216)</w:t>
      </w:r>
    </w:p>
    <w:p w14:paraId="7EC80EA8"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Uso ilícito de atribuciones y facultades (artículo 217) </w:t>
      </w:r>
    </w:p>
    <w:p w14:paraId="5BE741BC"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Del pago y recibo indebido de remuneraciones de los servidores públicos (artículo 217 Ter) </w:t>
      </w:r>
    </w:p>
    <w:p w14:paraId="51D1A921"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Concusión (artículo 218) </w:t>
      </w:r>
    </w:p>
    <w:p w14:paraId="73523D0A"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Intimidación (artículo 219) </w:t>
      </w:r>
    </w:p>
    <w:p w14:paraId="34FC919C"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Ejercicio abusivo de funciones (artículo 220) </w:t>
      </w:r>
    </w:p>
    <w:p w14:paraId="586AD394"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Tráfico de Influencia (artículo 221)</w:t>
      </w:r>
    </w:p>
    <w:p w14:paraId="1543C0AA"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Cohecho (artículo 222)</w:t>
      </w:r>
    </w:p>
    <w:p w14:paraId="634302D0"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Cohecho a servidores públicos extranjeros (artículo 222 bis) </w:t>
      </w:r>
    </w:p>
    <w:p w14:paraId="1CCFC33A"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lastRenderedPageBreak/>
        <w:t xml:space="preserve">Peculado (artículo 223) </w:t>
      </w:r>
    </w:p>
    <w:p w14:paraId="69813D7E" w14:textId="77777777" w:rsidR="00CA45CA" w:rsidRPr="001F1A44" w:rsidRDefault="00AD389B">
      <w:pPr>
        <w:numPr>
          <w:ilvl w:val="0"/>
          <w:numId w:val="11"/>
        </w:numPr>
        <w:pBdr>
          <w:top w:val="nil"/>
          <w:left w:val="nil"/>
          <w:bottom w:val="nil"/>
          <w:right w:val="nil"/>
          <w:between w:val="nil"/>
        </w:pBdr>
        <w:spacing w:after="16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Enriquecimiento Ilícito (artículo 224)</w:t>
      </w:r>
    </w:p>
    <w:p w14:paraId="1E20F82C" w14:textId="77777777" w:rsidR="00CA45CA" w:rsidRPr="001F1A44" w:rsidRDefault="00CA45CA">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71DD6AF3"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Siendo dicha información de gran trascendencia, ya que al estar involucrados servidores públicos existe una afectación directa al interés público en torno a las atribuciones de los entes públicos, como lo es, de manera enunciativa, más no limitativa, la administración de su patrimonio, la erogación de recursos públicos o la recaudación de contribuciones, derechos, impuestos, etcétera, lo cual afecta no sólo al ente público sino a toda la sociedad en general.</w:t>
      </w:r>
    </w:p>
    <w:p w14:paraId="565CEA9B" w14:textId="77777777" w:rsidR="00CA45CA" w:rsidRPr="001F1A44" w:rsidRDefault="00CA45CA">
      <w:pPr>
        <w:spacing w:line="360" w:lineRule="auto"/>
        <w:jc w:val="both"/>
        <w:rPr>
          <w:rFonts w:ascii="Palatino Linotype" w:eastAsia="Palatino Linotype" w:hAnsi="Palatino Linotype" w:cs="Palatino Linotype"/>
        </w:rPr>
      </w:pPr>
    </w:p>
    <w:p w14:paraId="45A11FBD"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En función de lo expuesto, y considerando las conductas que pudieran ser investigadas, es que el derecho de acceso a la información cobra una relevancia trascendental para la sociedad en general, ya que a través del ejercicio de éste se puede conocer información relacionada con hechos de corrupción, que además por la importancia que ésta tiene para el erario municipal, resulta de mayor interés el impacto que dichas conductas pudieron tener en su detrimento, encuadrando en los artículos 3, fracción XXII y 9, fracción VII, de la Ley de Transparencia y Acceso a la Información Pública del Estado de México, este Instituto establece como:</w:t>
      </w:r>
    </w:p>
    <w:p w14:paraId="514B70EC" w14:textId="77777777" w:rsidR="00CA45CA" w:rsidRPr="001F1A44" w:rsidRDefault="00CA45CA">
      <w:pPr>
        <w:spacing w:line="360" w:lineRule="auto"/>
        <w:jc w:val="both"/>
        <w:rPr>
          <w:rFonts w:ascii="Palatino Linotype" w:eastAsia="Palatino Linotype" w:hAnsi="Palatino Linotype" w:cs="Palatino Linotype"/>
        </w:rPr>
      </w:pPr>
    </w:p>
    <w:p w14:paraId="5637F0B7" w14:textId="77777777" w:rsidR="00CA45CA" w:rsidRPr="001F1A44" w:rsidRDefault="00AD389B">
      <w:pPr>
        <w:pBdr>
          <w:top w:val="nil"/>
          <w:left w:val="nil"/>
          <w:bottom w:val="nil"/>
          <w:right w:val="nil"/>
          <w:between w:val="nil"/>
        </w:pBdr>
        <w:spacing w:after="120" w:line="259" w:lineRule="auto"/>
        <w:ind w:left="1134"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3.</w:t>
      </w:r>
      <w:r w:rsidRPr="001F1A44">
        <w:rPr>
          <w:rFonts w:ascii="Palatino Linotype" w:eastAsia="Palatino Linotype" w:hAnsi="Palatino Linotype" w:cs="Palatino Linotype"/>
          <w:i/>
          <w:sz w:val="22"/>
          <w:szCs w:val="22"/>
        </w:rPr>
        <w:t xml:space="preserve"> Para los efectos de la presente Ley se entenderá por:</w:t>
      </w:r>
    </w:p>
    <w:p w14:paraId="3B1A744C" w14:textId="77777777" w:rsidR="00CA45CA" w:rsidRPr="001F1A44" w:rsidRDefault="00AD389B">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00EC5CF5" w14:textId="77777777" w:rsidR="00CA45CA" w:rsidRPr="001F1A44" w:rsidRDefault="00AD389B">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XXII. Información de interés público:</w:t>
      </w:r>
      <w:r w:rsidRPr="001F1A44">
        <w:rPr>
          <w:rFonts w:ascii="Palatino Linotype" w:eastAsia="Palatino Linotype" w:hAnsi="Palatino Linotype" w:cs="Palatino Linotype"/>
          <w:i/>
          <w:sz w:val="22"/>
          <w:szCs w:val="22"/>
        </w:rPr>
        <w:t xml:space="preserve"> Se refiere a la información que resulta relevante o beneficiosa para la sociedad y no simplemente de interés </w:t>
      </w:r>
      <w:r w:rsidRPr="001F1A44">
        <w:rPr>
          <w:rFonts w:ascii="Palatino Linotype" w:eastAsia="Palatino Linotype" w:hAnsi="Palatino Linotype" w:cs="Palatino Linotype"/>
          <w:i/>
          <w:sz w:val="22"/>
          <w:szCs w:val="22"/>
        </w:rPr>
        <w:lastRenderedPageBreak/>
        <w:t>individual, cuya divulgación resulta útil para que el público comprenda las actividades que llevan a cabo los sujetos obligados</w:t>
      </w:r>
    </w:p>
    <w:p w14:paraId="06B6D236" w14:textId="77777777" w:rsidR="00CA45CA" w:rsidRPr="001F1A44" w:rsidRDefault="00AD389B">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i/>
          <w:sz w:val="22"/>
          <w:szCs w:val="22"/>
        </w:rPr>
        <w:t>…</w:t>
      </w:r>
    </w:p>
    <w:p w14:paraId="2EAB25BB" w14:textId="77777777" w:rsidR="00CA45CA" w:rsidRPr="001F1A44" w:rsidRDefault="00AD389B">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Artículo 9.</w:t>
      </w:r>
      <w:r w:rsidRPr="001F1A44">
        <w:rPr>
          <w:rFonts w:ascii="Palatino Linotype" w:eastAsia="Palatino Linotype" w:hAnsi="Palatino Linotype" w:cs="Palatino Linotype"/>
          <w:i/>
          <w:sz w:val="22"/>
          <w:szCs w:val="22"/>
        </w:rPr>
        <w:t xml:space="preserve"> El Instituto deberá regir su funcionamiento de acuerdo a los siguientes principios:</w:t>
      </w:r>
    </w:p>
    <w:p w14:paraId="76D33A2E" w14:textId="77777777" w:rsidR="00CA45CA" w:rsidRPr="001F1A44" w:rsidRDefault="00AD389B">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206BE498" w14:textId="77777777" w:rsidR="00CA45CA" w:rsidRPr="001F1A44" w:rsidRDefault="00AD389B">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VII. Máxima Publicidad:</w:t>
      </w:r>
      <w:r w:rsidRPr="001F1A44">
        <w:rPr>
          <w:rFonts w:ascii="Palatino Linotype" w:eastAsia="Palatino Linotype" w:hAnsi="Palatino Linotype" w:cs="Palatino Linotype"/>
          <w:i/>
          <w:sz w:val="22"/>
          <w:szCs w:val="22"/>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p w14:paraId="662D7069" w14:textId="77777777" w:rsidR="00CA45CA" w:rsidRPr="001F1A44" w:rsidRDefault="00CA45CA">
      <w:pPr>
        <w:pBdr>
          <w:top w:val="nil"/>
          <w:left w:val="nil"/>
          <w:bottom w:val="nil"/>
          <w:right w:val="nil"/>
          <w:between w:val="nil"/>
        </w:pBdr>
        <w:spacing w:before="120" w:after="120" w:line="259" w:lineRule="auto"/>
        <w:ind w:left="1134" w:right="902"/>
        <w:jc w:val="both"/>
        <w:rPr>
          <w:rFonts w:ascii="Palatino Linotype" w:eastAsia="Palatino Linotype" w:hAnsi="Palatino Linotype" w:cs="Palatino Linotype"/>
          <w:i/>
          <w:sz w:val="22"/>
          <w:szCs w:val="22"/>
        </w:rPr>
      </w:pPr>
    </w:p>
    <w:p w14:paraId="783E5A23" w14:textId="77777777" w:rsidR="00CA45CA" w:rsidRPr="001F1A44" w:rsidRDefault="00AD389B">
      <w:pPr>
        <w:spacing w:before="12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De lo anterior, se colige que, el interés público está relacionado con el principio de máxima publicidad y las excepciones a la clasificación de la información; pues existe un interés general de la sociedad de conocer sobre los posibles actos de corrupción al no ser afectaciones que se dan en lo individual, sino que existe un detrimento en un grupo o en la población en general.</w:t>
      </w:r>
    </w:p>
    <w:p w14:paraId="0B14E36F" w14:textId="77777777" w:rsidR="00CA45CA" w:rsidRPr="001F1A44" w:rsidRDefault="00CA45CA">
      <w:pPr>
        <w:spacing w:line="360" w:lineRule="auto"/>
        <w:jc w:val="both"/>
        <w:rPr>
          <w:rFonts w:ascii="Palatino Linotype" w:eastAsia="Palatino Linotype" w:hAnsi="Palatino Linotype" w:cs="Palatino Linotype"/>
        </w:rPr>
      </w:pPr>
    </w:p>
    <w:p w14:paraId="3B65D066" w14:textId="77777777" w:rsidR="00CA45CA" w:rsidRPr="001F1A44" w:rsidRDefault="00AD389B">
      <w:pPr>
        <w:spacing w:line="360" w:lineRule="auto"/>
        <w:jc w:val="both"/>
        <w:rPr>
          <w:rFonts w:ascii="Palatino Linotype" w:eastAsia="Palatino Linotype" w:hAnsi="Palatino Linotype" w:cs="Palatino Linotype"/>
          <w:b/>
          <w:u w:val="single"/>
        </w:rPr>
      </w:pPr>
      <w:r w:rsidRPr="001F1A44">
        <w:rPr>
          <w:rFonts w:ascii="Palatino Linotype" w:eastAsia="Palatino Linotype" w:hAnsi="Palatino Linotype" w:cs="Palatino Linotype"/>
        </w:rPr>
        <w:t xml:space="preserve">Por tal motivo, se considera para el caso de que existiera algún expediente relacionado con faltas administrativas en trámite, en contra de la servidor públicos referida en la solicitud de acceso a la información pública, y que estén relacionados con alguna excepción de las establecidas en el artículo 142 de la Ley de Transparencia y Acceso a la Información Pública del Estado de México y Municipios, tales como actos de corrupción, se </w:t>
      </w:r>
      <w:r w:rsidRPr="001F1A44">
        <w:rPr>
          <w:rFonts w:ascii="Palatino Linotype" w:eastAsia="Palatino Linotype" w:hAnsi="Palatino Linotype" w:cs="Palatino Linotype"/>
          <w:b/>
          <w:u w:val="single"/>
        </w:rPr>
        <w:t>deberá entregar el soporte documental correspondiente que dé cuenta de la existencia de dichos procedimientos y el estado que guardan, en versión pública de ser necesario, conforme al considerando quinto del presente fallo.</w:t>
      </w:r>
    </w:p>
    <w:p w14:paraId="4BF89FF0" w14:textId="77777777" w:rsidR="00CA45CA" w:rsidRPr="001F1A44" w:rsidRDefault="00CA45CA">
      <w:pPr>
        <w:spacing w:line="360" w:lineRule="auto"/>
        <w:jc w:val="both"/>
        <w:rPr>
          <w:rFonts w:ascii="Palatino Linotype" w:eastAsia="Palatino Linotype" w:hAnsi="Palatino Linotype" w:cs="Palatino Linotype"/>
        </w:rPr>
      </w:pPr>
    </w:p>
    <w:p w14:paraId="1C1C8D96" w14:textId="77777777" w:rsidR="00CA45CA" w:rsidRPr="001F1A44" w:rsidRDefault="00AD389B">
      <w:pPr>
        <w:spacing w:line="360" w:lineRule="auto"/>
        <w:jc w:val="both"/>
        <w:rPr>
          <w:rFonts w:ascii="Palatino Linotype" w:eastAsia="Palatino Linotype" w:hAnsi="Palatino Linotype" w:cs="Palatino Linotype"/>
          <w:b/>
          <w:u w:val="single"/>
        </w:rPr>
      </w:pPr>
      <w:r w:rsidRPr="001F1A44">
        <w:rPr>
          <w:rFonts w:ascii="Palatino Linotype" w:eastAsia="Palatino Linotype" w:hAnsi="Palatino Linotype" w:cs="Palatino Linotype"/>
        </w:rPr>
        <w:t xml:space="preserve">Siendo importante mencionar que si bien entregar el pronunciamiento respecto a la existencia de un procedimiento de sanción administrativa, podría generar una percepción negativa de éste, ocasionando un perjuicio en su </w:t>
      </w:r>
      <w:r w:rsidRPr="001F1A44">
        <w:rPr>
          <w:rFonts w:ascii="Palatino Linotype" w:eastAsia="Palatino Linotype" w:hAnsi="Palatino Linotype" w:cs="Palatino Linotype"/>
          <w:b/>
        </w:rPr>
        <w:t xml:space="preserve">honor, intimidad, buena imagen y nombre, así como a su vida privada, </w:t>
      </w:r>
      <w:r w:rsidRPr="001F1A44">
        <w:rPr>
          <w:rFonts w:ascii="Palatino Linotype" w:eastAsia="Palatino Linotype" w:hAnsi="Palatino Linotype" w:cs="Palatino Linotype"/>
        </w:rPr>
        <w:t xml:space="preserve">también lo es, que </w:t>
      </w:r>
      <w:r w:rsidRPr="001F1A44">
        <w:rPr>
          <w:rFonts w:ascii="Palatino Linotype" w:eastAsia="Palatino Linotype" w:hAnsi="Palatino Linotype" w:cs="Palatino Linotype"/>
          <w:b/>
          <w:u w:val="single"/>
        </w:rPr>
        <w:t>tratándose de asuntos relacionados con actos de corrupción, se trataría de una falta grave</w:t>
      </w:r>
      <w:r w:rsidRPr="001F1A44">
        <w:rPr>
          <w:rFonts w:ascii="Palatino Linotype" w:eastAsia="Palatino Linotype" w:hAnsi="Palatino Linotype" w:cs="Palatino Linotype"/>
          <w:b/>
        </w:rPr>
        <w:t xml:space="preserve">, </w:t>
      </w:r>
      <w:r w:rsidRPr="001F1A44">
        <w:rPr>
          <w:rFonts w:ascii="Palatino Linotype" w:eastAsia="Palatino Linotype" w:hAnsi="Palatino Linotype" w:cs="Palatino Linotype"/>
          <w:b/>
          <w:u w:val="single"/>
        </w:rPr>
        <w:t>por lo que tales prerrogativas quedan supeditadas al interés mayor de conocer tales eventualidades y por lo tanto no procede su clasificación en términos del artículo 143, fracción I de la Ley de la materia.</w:t>
      </w:r>
    </w:p>
    <w:p w14:paraId="0E706D57"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Aunado a lo anterior, cierto es que toda persona tiene derecho a la presunción de inocencia hasta en tanto se demuestre lo contrario, sin embargo, en el caso de actos de corrupción nos encontramos ante un caso de trascendencia social e interés público, sobreviniendo una colisión entre derechos fundamentales, esto es, por una parte, se busca mantener la secrecía de los nombres de los servidores públicos denunciados, es decir, el nombre de las personas que enfrentan acusaciones sobre esos actos y; por otro, se pretende dar acceso a información que es de interés de los ciudadanos porque versa sobre una afectación económica al erario público.</w:t>
      </w:r>
    </w:p>
    <w:p w14:paraId="0A1F5EC7" w14:textId="77777777" w:rsidR="00CA45CA" w:rsidRPr="001F1A44" w:rsidRDefault="00AD389B">
      <w:pPr>
        <w:spacing w:before="240" w:after="240" w:line="360" w:lineRule="auto"/>
        <w:jc w:val="both"/>
        <w:rPr>
          <w:rFonts w:ascii="Palatino Linotype" w:eastAsia="Palatino Linotype" w:hAnsi="Palatino Linotype" w:cs="Palatino Linotype"/>
          <w:b/>
        </w:rPr>
      </w:pPr>
      <w:r w:rsidRPr="001F1A44">
        <w:rPr>
          <w:rFonts w:ascii="Palatino Linotype" w:eastAsia="Palatino Linotype" w:hAnsi="Palatino Linotype" w:cs="Palatino Linotype"/>
        </w:rPr>
        <w:t xml:space="preserve">En tal contexto, si los hechos investigados son en razón de conductas presuntamente ilegales, el ejercicio ilícito de servicio público, el uso ilícito de funciones, el cohecho, peculado y enriquecimiento ilícito, de personas que en el ejercicio de sus funciones públicas, causaron un detrimento y se presume obtuvieron un beneficio personal, luego entonces </w:t>
      </w:r>
      <w:r w:rsidRPr="001F1A44">
        <w:rPr>
          <w:rFonts w:ascii="Palatino Linotype" w:eastAsia="Palatino Linotype" w:hAnsi="Palatino Linotype" w:cs="Palatino Linotype"/>
          <w:b/>
        </w:rPr>
        <w:t xml:space="preserve">existe una preferencia social mayor que trasciende para dar a conocer, precisamente los nombres de los servidores o ex servidores que enfrentan </w:t>
      </w:r>
      <w:r w:rsidRPr="001F1A44">
        <w:rPr>
          <w:rFonts w:ascii="Palatino Linotype" w:eastAsia="Palatino Linotype" w:hAnsi="Palatino Linotype" w:cs="Palatino Linotype"/>
          <w:b/>
        </w:rPr>
        <w:lastRenderedPageBreak/>
        <w:t>acusaciones sobre este caso, debiendo por tanto darse a conocer dicho dato, en caso de actualizarse la excepción a la excepción, prevista en el artículo 142 dela Ley de la materia, por lo que en el presente caso no se vulneran los derechos de la persona referida, aun cuando es plenamente identificada.</w:t>
      </w:r>
    </w:p>
    <w:p w14:paraId="7083A64C"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A efecto de sustentar lo anterior, es aplicable por analogía la determinación del Instituto Nacional de Transparencia, Acceso a la Información y Protección de Datos Personales, INAI, en la Resolución del Recurso de Revisión de Acceso con número de folio RRA 12225/22, que en su parte conducente, señala lo siguiente:</w:t>
      </w:r>
    </w:p>
    <w:p w14:paraId="058F9FAF" w14:textId="77777777" w:rsidR="00CA45CA" w:rsidRPr="001F1A44" w:rsidRDefault="00AD389B">
      <w:pPr>
        <w:spacing w:before="120" w:after="120"/>
        <w:ind w:left="426" w:right="47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ANÁLISIS DE INTERÉS PÚBLICO</w:t>
      </w:r>
    </w:p>
    <w:p w14:paraId="71EDA99A" w14:textId="77777777" w:rsidR="00CA45CA" w:rsidRPr="001F1A44" w:rsidRDefault="00AD389B">
      <w:pPr>
        <w:spacing w:before="120" w:after="120"/>
        <w:ind w:left="426" w:right="47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45907F84" w14:textId="77777777" w:rsidR="00CA45CA" w:rsidRPr="001F1A44" w:rsidRDefault="00AD389B">
      <w:pPr>
        <w:spacing w:before="120" w:after="120"/>
        <w:ind w:left="426" w:right="47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Señalado lo anterior, resulta necesario realizar una ponderación de los dos intereses jurídicos tutelados que convergen en la controversia que se dirime, para lo cual, resulta pertinente traer al estudio lo señalado en el artículo 155 de la Ley Federal de Transparencia y Acceso a la Información Pública, el cual prevé que cuando exista una colisión de derechos, este Instituto, al resolver el recurso de revisión, deberá aplicar una prueba de interés público con base en elementos de idoneidad, necesidad y proporcionalidad. Para estos efectos, se entenderá por: </w:t>
      </w:r>
    </w:p>
    <w:p w14:paraId="5378CD7C" w14:textId="77777777" w:rsidR="00CA45CA" w:rsidRPr="001F1A44" w:rsidRDefault="00AD389B">
      <w:pPr>
        <w:spacing w:before="120" w:after="120"/>
        <w:ind w:left="851" w:right="474"/>
        <w:jc w:val="both"/>
        <w:rPr>
          <w:rFonts w:ascii="Palatino Linotype" w:eastAsia="Palatino Linotype" w:hAnsi="Palatino Linotype" w:cs="Palatino Linotype"/>
          <w:i/>
          <w:sz w:val="22"/>
          <w:szCs w:val="22"/>
        </w:rPr>
      </w:pPr>
      <w:r w:rsidRPr="001F1A44">
        <w:rPr>
          <w:rFonts w:ascii="Noto Sans Symbols" w:eastAsia="Noto Sans Symbols" w:hAnsi="Noto Sans Symbols" w:cs="Noto Sans Symbols"/>
          <w:i/>
          <w:sz w:val="22"/>
          <w:szCs w:val="22"/>
        </w:rPr>
        <w:t>∙</w:t>
      </w:r>
      <w:r w:rsidRPr="001F1A44">
        <w:rPr>
          <w:rFonts w:ascii="Palatino Linotype" w:eastAsia="Palatino Linotype" w:hAnsi="Palatino Linotype" w:cs="Palatino Linotype"/>
          <w:i/>
          <w:sz w:val="22"/>
          <w:szCs w:val="22"/>
        </w:rPr>
        <w:t xml:space="preserve"> </w:t>
      </w:r>
      <w:r w:rsidRPr="001F1A44">
        <w:rPr>
          <w:rFonts w:ascii="Palatino Linotype" w:eastAsia="Palatino Linotype" w:hAnsi="Palatino Linotype" w:cs="Palatino Linotype"/>
          <w:b/>
          <w:i/>
          <w:sz w:val="22"/>
          <w:szCs w:val="22"/>
        </w:rPr>
        <w:t>Idoneidad:</w:t>
      </w:r>
      <w:r w:rsidRPr="001F1A44">
        <w:rPr>
          <w:rFonts w:ascii="Palatino Linotype" w:eastAsia="Palatino Linotype" w:hAnsi="Palatino Linotype" w:cs="Palatino Linotype"/>
          <w:i/>
          <w:sz w:val="22"/>
          <w:szCs w:val="22"/>
        </w:rPr>
        <w:t xml:space="preserve"> La legitimidad del derecho adoptado como preferente, que sea el adecuado para el logro de un fin constitucionalmente válido o apto para conseguir el fin pretendido; </w:t>
      </w:r>
    </w:p>
    <w:p w14:paraId="5C6FE26A" w14:textId="77777777" w:rsidR="00CA45CA" w:rsidRPr="001F1A44" w:rsidRDefault="00AD389B">
      <w:pPr>
        <w:spacing w:before="120" w:after="120"/>
        <w:ind w:left="851" w:right="474"/>
        <w:jc w:val="both"/>
        <w:rPr>
          <w:rFonts w:ascii="Palatino Linotype" w:eastAsia="Palatino Linotype" w:hAnsi="Palatino Linotype" w:cs="Palatino Linotype"/>
          <w:i/>
          <w:sz w:val="22"/>
          <w:szCs w:val="22"/>
        </w:rPr>
      </w:pPr>
      <w:r w:rsidRPr="001F1A44">
        <w:rPr>
          <w:rFonts w:ascii="Noto Sans Symbols" w:eastAsia="Noto Sans Symbols" w:hAnsi="Noto Sans Symbols" w:cs="Noto Sans Symbols"/>
          <w:i/>
          <w:sz w:val="22"/>
          <w:szCs w:val="22"/>
        </w:rPr>
        <w:t>∙</w:t>
      </w:r>
      <w:r w:rsidRPr="001F1A44">
        <w:rPr>
          <w:rFonts w:ascii="Palatino Linotype" w:eastAsia="Palatino Linotype" w:hAnsi="Palatino Linotype" w:cs="Palatino Linotype"/>
          <w:i/>
          <w:sz w:val="22"/>
          <w:szCs w:val="22"/>
        </w:rPr>
        <w:t xml:space="preserve"> </w:t>
      </w:r>
      <w:r w:rsidRPr="001F1A44">
        <w:rPr>
          <w:rFonts w:ascii="Palatino Linotype" w:eastAsia="Palatino Linotype" w:hAnsi="Palatino Linotype" w:cs="Palatino Linotype"/>
          <w:b/>
          <w:i/>
          <w:sz w:val="22"/>
          <w:szCs w:val="22"/>
        </w:rPr>
        <w:t>Necesidad:</w:t>
      </w:r>
      <w:r w:rsidRPr="001F1A44">
        <w:rPr>
          <w:rFonts w:ascii="Palatino Linotype" w:eastAsia="Palatino Linotype" w:hAnsi="Palatino Linotype" w:cs="Palatino Linotype"/>
          <w:i/>
          <w:sz w:val="22"/>
          <w:szCs w:val="22"/>
        </w:rPr>
        <w:t xml:space="preserve"> La falta de un medio alternativo menos lesivo a la apertura de la información, para satisfacer el interés público, y </w:t>
      </w:r>
    </w:p>
    <w:p w14:paraId="4B4DEA94" w14:textId="77777777" w:rsidR="00CA45CA" w:rsidRPr="001F1A44" w:rsidRDefault="00AD389B">
      <w:pPr>
        <w:spacing w:before="120" w:after="120"/>
        <w:ind w:left="851" w:right="474"/>
        <w:jc w:val="both"/>
        <w:rPr>
          <w:rFonts w:ascii="Palatino Linotype" w:eastAsia="Palatino Linotype" w:hAnsi="Palatino Linotype" w:cs="Palatino Linotype"/>
          <w:i/>
          <w:sz w:val="22"/>
          <w:szCs w:val="22"/>
        </w:rPr>
      </w:pPr>
      <w:r w:rsidRPr="001F1A44">
        <w:rPr>
          <w:rFonts w:ascii="Noto Sans Symbols" w:eastAsia="Noto Sans Symbols" w:hAnsi="Noto Sans Symbols" w:cs="Noto Sans Symbols"/>
          <w:i/>
          <w:sz w:val="22"/>
          <w:szCs w:val="22"/>
        </w:rPr>
        <w:t>∙</w:t>
      </w:r>
      <w:r w:rsidRPr="001F1A44">
        <w:rPr>
          <w:rFonts w:ascii="Palatino Linotype" w:eastAsia="Palatino Linotype" w:hAnsi="Palatino Linotype" w:cs="Palatino Linotype"/>
          <w:i/>
          <w:sz w:val="22"/>
          <w:szCs w:val="22"/>
        </w:rPr>
        <w:t xml:space="preserve"> </w:t>
      </w:r>
      <w:r w:rsidRPr="001F1A44">
        <w:rPr>
          <w:rFonts w:ascii="Palatino Linotype" w:eastAsia="Palatino Linotype" w:hAnsi="Palatino Linotype" w:cs="Palatino Linotype"/>
          <w:b/>
          <w:i/>
          <w:sz w:val="22"/>
          <w:szCs w:val="22"/>
        </w:rPr>
        <w:t>Proporcionalidad:</w:t>
      </w:r>
      <w:r w:rsidRPr="001F1A44">
        <w:rPr>
          <w:rFonts w:ascii="Palatino Linotype" w:eastAsia="Palatino Linotype" w:hAnsi="Palatino Linotype" w:cs="Palatino Linotype"/>
          <w:i/>
          <w:sz w:val="22"/>
          <w:szCs w:val="22"/>
        </w:rPr>
        <w:t xml:space="preserve"> El equilibrio entre perjuicio y beneficio a favor del interés público, a fin de que la decisión tomada represente un beneficio mayor al perjuicio que podría causar a la población.</w:t>
      </w:r>
    </w:p>
    <w:p w14:paraId="072D0317"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En el mismo sentido, resulta aplicable la tesis I.4o.A.70 K, emitida por Tribunales Colegiados de Circuito, publicada en el Semanario Judicial de la Federación y su Gaceta, Tomo XXIV, página 2346, de agosto de 2006, Novena Época, materia común: </w:t>
      </w:r>
    </w:p>
    <w:p w14:paraId="64DC3C3B" w14:textId="77777777" w:rsidR="00CA45CA" w:rsidRPr="001F1A44" w:rsidRDefault="00AD389B">
      <w:pPr>
        <w:spacing w:before="120" w:after="120"/>
        <w:ind w:left="851"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lastRenderedPageBreak/>
        <w:t xml:space="preserve">“SUSPENSIÓN EN EL AMPARO. CONFORME A LA TEORÍA DE PONDERACIÓN DE PRINCIPIOS DEBE NEGARSE SI EL INTERÉS SOCIAL CONSTITUCIONALMENTE TUTELADO ES PREFERENTE AL DEL PARTICULAR. Cuando dos derechos fundamentales entran en colisión, se debe resolver el problema atendiendo a las características y naturaleza del caso concreto, conforme al criterio de proporcionalidad, ponderando los elementos o </w:t>
      </w:r>
      <w:proofErr w:type="spellStart"/>
      <w:r w:rsidRPr="001F1A44">
        <w:rPr>
          <w:rFonts w:ascii="Palatino Linotype" w:eastAsia="Palatino Linotype" w:hAnsi="Palatino Linotype" w:cs="Palatino Linotype"/>
          <w:b/>
          <w:i/>
          <w:sz w:val="22"/>
          <w:szCs w:val="22"/>
        </w:rPr>
        <w:t>subprincipios</w:t>
      </w:r>
      <w:proofErr w:type="spellEnd"/>
      <w:r w:rsidRPr="001F1A44">
        <w:rPr>
          <w:rFonts w:ascii="Palatino Linotype" w:eastAsia="Palatino Linotype" w:hAnsi="Palatino Linotype" w:cs="Palatino Linotype"/>
          <w:b/>
          <w:i/>
          <w:sz w:val="22"/>
          <w:szCs w:val="22"/>
        </w:rPr>
        <w:t xml:space="preserve"> siguientes: a) idoneidad</w:t>
      </w:r>
      <w:r w:rsidRPr="001F1A44">
        <w:rPr>
          <w:rFonts w:ascii="Palatino Linotype" w:eastAsia="Palatino Linotype" w:hAnsi="Palatino Linotype" w:cs="Palatino Linotype"/>
          <w:i/>
          <w:sz w:val="22"/>
          <w:szCs w:val="22"/>
        </w:rPr>
        <w:t xml:space="preserve">, la cual es la legitimidad constitucional del principio adoptado como preferente, por resultar ser el adecuado para el logro de un fin constitucionalmente válido o apto para conseguir el objetivo pretendido; </w:t>
      </w:r>
      <w:r w:rsidRPr="001F1A44">
        <w:rPr>
          <w:rFonts w:ascii="Palatino Linotype" w:eastAsia="Palatino Linotype" w:hAnsi="Palatino Linotype" w:cs="Palatino Linotype"/>
          <w:b/>
          <w:i/>
          <w:sz w:val="22"/>
          <w:szCs w:val="22"/>
        </w:rPr>
        <w:t>b) necesidad</w:t>
      </w:r>
      <w:r w:rsidRPr="001F1A44">
        <w:rPr>
          <w:rFonts w:ascii="Palatino Linotype" w:eastAsia="Palatino Linotype" w:hAnsi="Palatino Linotype" w:cs="Palatino Linotype"/>
          <w:i/>
          <w:sz w:val="22"/>
          <w:szCs w:val="22"/>
        </w:rPr>
        <w:t xml:space="preserve">, consistente en que no exista otro medio menos limitativo para satisfacer el fin del interés público y que sacrifique, en menor medida, los principios constitucionales afectados por el uso de esos medios; o sea, que resulte imprescindible la restricción, porque no exista un medio menos oneroso, en términos del sacrificio de otros principios constitucionales, para alcanzar el fin deseado y que afecten en menor grado los derechos fundamentales de los implicados; y </w:t>
      </w:r>
      <w:r w:rsidRPr="001F1A44">
        <w:rPr>
          <w:rFonts w:ascii="Palatino Linotype" w:eastAsia="Palatino Linotype" w:hAnsi="Palatino Linotype" w:cs="Palatino Linotype"/>
          <w:b/>
          <w:i/>
          <w:sz w:val="22"/>
          <w:szCs w:val="22"/>
        </w:rPr>
        <w:t>c) el mandato de proporcionalidad entre medios y fines implica que al elegir entre un perjuicio y un beneficio a favor de dos bienes tutelados, el principio satisfecho o que resulta privilegiado lo sea en mayor proporción que el sacrificado</w:t>
      </w:r>
      <w:r w:rsidRPr="001F1A44">
        <w:rPr>
          <w:rFonts w:ascii="Palatino Linotype" w:eastAsia="Palatino Linotype" w:hAnsi="Palatino Linotype" w:cs="Palatino Linotype"/>
          <w:i/>
          <w:sz w:val="22"/>
          <w:szCs w:val="22"/>
        </w:rPr>
        <w:t>. Esto es que no se renuncie o sacrifiquen valores y principios con mayor peso o medida a aquel que se desea satisfacer. Así, el derecho o principio que debe prevalecer, en el caso, es aquel que optimice los intereses en conflicto y, por ende, privilegiándose el que resulte indispensable y que conlleve a un mayor beneficio o cause un menor daño. Consecuentemente, tratándose de la suspensión debe negarse dicha medida cautelar cuando el interés social constitucionalmente tutelado es preferente al del particular, ya que el derecho o principio a primar debe ser aquel que cause un menor daño y el que resulta indispensable privilegiarse, o sea, el que evidentemente conlleve a un mayor beneficio.”</w:t>
      </w:r>
    </w:p>
    <w:p w14:paraId="6FFF8A15"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Como se aprecia de la tesis citada, cuando dos derechos fundamentales entran en colisión, el problema se debe resolver atendiendo a las características y naturaleza del caso concreto, conforme al criterio de proporcionalidad, ponderando los elementos o </w:t>
      </w:r>
      <w:proofErr w:type="spellStart"/>
      <w:r w:rsidRPr="001F1A44">
        <w:rPr>
          <w:rFonts w:ascii="Palatino Linotype" w:eastAsia="Palatino Linotype" w:hAnsi="Palatino Linotype" w:cs="Palatino Linotype"/>
          <w:i/>
          <w:sz w:val="22"/>
          <w:szCs w:val="22"/>
        </w:rPr>
        <w:t>subprincipios</w:t>
      </w:r>
      <w:proofErr w:type="spellEnd"/>
      <w:r w:rsidRPr="001F1A44">
        <w:rPr>
          <w:rFonts w:ascii="Palatino Linotype" w:eastAsia="Palatino Linotype" w:hAnsi="Palatino Linotype" w:cs="Palatino Linotype"/>
          <w:i/>
          <w:sz w:val="22"/>
          <w:szCs w:val="22"/>
        </w:rPr>
        <w:t xml:space="preserve"> de idoneidad, necesidad y proporcionalidad, antes descritos.</w:t>
      </w:r>
    </w:p>
    <w:p w14:paraId="396141FD"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632D5236" w14:textId="77777777" w:rsidR="00CA45CA" w:rsidRPr="001F1A44" w:rsidRDefault="00AD389B">
      <w:pPr>
        <w:numPr>
          <w:ilvl w:val="0"/>
          <w:numId w:val="4"/>
        </w:numPr>
        <w:pBdr>
          <w:top w:val="nil"/>
          <w:left w:val="nil"/>
          <w:bottom w:val="nil"/>
          <w:right w:val="nil"/>
          <w:between w:val="nil"/>
        </w:pBdr>
        <w:spacing w:before="120" w:after="120" w:line="259" w:lineRule="auto"/>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u w:val="single"/>
        </w:rPr>
        <w:lastRenderedPageBreak/>
        <w:t>IDONEIDAD</w:t>
      </w:r>
      <w:r w:rsidRPr="001F1A44">
        <w:rPr>
          <w:rFonts w:ascii="Palatino Linotype" w:eastAsia="Palatino Linotype" w:hAnsi="Palatino Linotype" w:cs="Palatino Linotype"/>
          <w:b/>
          <w:i/>
          <w:sz w:val="22"/>
          <w:szCs w:val="22"/>
        </w:rPr>
        <w:t>.</w:t>
      </w:r>
      <w:r w:rsidRPr="001F1A44">
        <w:rPr>
          <w:rFonts w:ascii="Palatino Linotype" w:eastAsia="Palatino Linotype" w:hAnsi="Palatino Linotype" w:cs="Palatino Linotype"/>
          <w:i/>
          <w:sz w:val="22"/>
          <w:szCs w:val="22"/>
        </w:rPr>
        <w:t xml:space="preserve"> La legitimidad del derecho adoptado como preferente, que sea el adecuado para el logro de una finalidad constitucionalmente válida o apta para conseguir el fin pretendido. </w:t>
      </w:r>
    </w:p>
    <w:p w14:paraId="5CB7D082"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El artículo 6 constitucional, apartado A, fracción I estipula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12C704D7"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Conforme a dicho precepto, el Estado Mexicano está constreñido a publicitar sus actos, pues se reconoce el derecho fundamental de los ciudadanos a acceder a la información que obra en poder de la autoridad, que como lo ha expuesto el Pleno de la Suprema Corte de Justicia de la Nación en la tesis "ACCESO A LA INFORMACIÓN. SU NATURALEZA COMO GARANTÍAS INDIVIDUAL Y SOCIAL.", el cual contiene una doble dimensión: individual y social. </w:t>
      </w:r>
    </w:p>
    <w:p w14:paraId="78115803" w14:textId="77777777" w:rsidR="00CA45CA" w:rsidRPr="001F1A44" w:rsidRDefault="00AD389B">
      <w:pPr>
        <w:spacing w:before="120" w:after="120"/>
        <w:ind w:left="851" w:right="476"/>
        <w:jc w:val="both"/>
        <w:rPr>
          <w:rFonts w:ascii="Palatino Linotype" w:eastAsia="Palatino Linotype" w:hAnsi="Palatino Linotype" w:cs="Palatino Linotype"/>
          <w:i/>
          <w:sz w:val="22"/>
          <w:szCs w:val="22"/>
        </w:rPr>
      </w:pPr>
      <w:r w:rsidRPr="001F1A44">
        <w:rPr>
          <w:rFonts w:ascii="Noto Sans Symbols" w:eastAsia="Noto Sans Symbols" w:hAnsi="Noto Sans Symbols" w:cs="Noto Sans Symbols"/>
          <w:i/>
          <w:sz w:val="22"/>
          <w:szCs w:val="22"/>
        </w:rPr>
        <w:t>∙</w:t>
      </w:r>
      <w:r w:rsidRPr="001F1A44">
        <w:rPr>
          <w:rFonts w:ascii="Palatino Linotype" w:eastAsia="Palatino Linotype" w:hAnsi="Palatino Linotype" w:cs="Palatino Linotype"/>
          <w:i/>
          <w:sz w:val="22"/>
          <w:szCs w:val="22"/>
        </w:rPr>
        <w:t xml:space="preserve"> En aspecto individual, maximiza el campo de la autonomía personal, posibilita el ejercicio de la libertad de expresión en un contexto diversidad de datos, voces y opiniones. </w:t>
      </w:r>
    </w:p>
    <w:p w14:paraId="4C6A55DD" w14:textId="77777777" w:rsidR="00CA45CA" w:rsidRPr="001F1A44" w:rsidRDefault="00AD389B">
      <w:pPr>
        <w:spacing w:before="120" w:after="120"/>
        <w:ind w:left="851" w:right="476"/>
        <w:jc w:val="both"/>
        <w:rPr>
          <w:rFonts w:ascii="Palatino Linotype" w:eastAsia="Palatino Linotype" w:hAnsi="Palatino Linotype" w:cs="Palatino Linotype"/>
          <w:i/>
          <w:sz w:val="22"/>
          <w:szCs w:val="22"/>
        </w:rPr>
      </w:pPr>
      <w:r w:rsidRPr="001F1A44">
        <w:rPr>
          <w:rFonts w:ascii="Noto Sans Symbols" w:eastAsia="Noto Sans Symbols" w:hAnsi="Noto Sans Symbols" w:cs="Noto Sans Symbols"/>
          <w:i/>
          <w:sz w:val="22"/>
          <w:szCs w:val="22"/>
        </w:rPr>
        <w:t>∙</w:t>
      </w:r>
      <w:r w:rsidRPr="001F1A44">
        <w:rPr>
          <w:rFonts w:ascii="Palatino Linotype" w:eastAsia="Palatino Linotype" w:hAnsi="Palatino Linotype" w:cs="Palatino Linotype"/>
          <w:i/>
          <w:sz w:val="22"/>
          <w:szCs w:val="22"/>
        </w:rPr>
        <w:t xml:space="preserve"> Mientras que, en el social, evidencia el valor instrumental de la información no sólo como factor de autorrealización personal, sino como un mecanismo de control institucional, pues se trata de un derecho fundado en la publicidad de los actos de gobierno y la transparencia en el actuar de la administración, conducente y necesaria para la rendición de cuentas. </w:t>
      </w:r>
    </w:p>
    <w:p w14:paraId="266CD2FB"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Así, el derecho de acceso a la información resulta ser una consecuencia directa del principio administrativo de transparencia de la información pública gubernamental y, a la vez, se vincula con el derecho de participación de los ciudadanos en la vida pública, protegido por la Constitución Política de los Estados Unidos Mexicanos. </w:t>
      </w:r>
    </w:p>
    <w:p w14:paraId="37E6BCE7"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Al respecto, el interés de conocer los nombres de los servidores públicos que enfrentan acusaciones sobre estos casos evidencia el ejercicio del derecho de acceso a la información, en virtud de que se trata de un caso relacionado con presuntos hechos de corrupción cometidos con recursos públicos. </w:t>
      </w:r>
    </w:p>
    <w:p w14:paraId="29E9BBF7" w14:textId="77777777" w:rsidR="00CA45CA" w:rsidRPr="001F1A44" w:rsidRDefault="00AD389B">
      <w:pPr>
        <w:spacing w:before="120" w:after="120"/>
        <w:ind w:left="425" w:right="476"/>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i/>
          <w:sz w:val="22"/>
          <w:szCs w:val="22"/>
        </w:rPr>
        <w:t xml:space="preserve">En ese orden, </w:t>
      </w:r>
      <w:r w:rsidRPr="001F1A44">
        <w:rPr>
          <w:rFonts w:ascii="Palatino Linotype" w:eastAsia="Palatino Linotype" w:hAnsi="Palatino Linotype" w:cs="Palatino Linotype"/>
          <w:b/>
          <w:i/>
          <w:sz w:val="22"/>
          <w:szCs w:val="22"/>
        </w:rPr>
        <w:t>si los hechos investigados son en razón de conductas presuntamente ilegales, el ejercicio ilícito de servicio público, el uso ilícito de funciones, el cohecho, peculado y enriquecimiento ilícito, de personas que en el ejercicio de sus funciones públicas, causaron un detrimento en el erario</w:t>
      </w:r>
      <w:r w:rsidRPr="001F1A44">
        <w:rPr>
          <w:rFonts w:ascii="Palatino Linotype" w:eastAsia="Palatino Linotype" w:hAnsi="Palatino Linotype" w:cs="Palatino Linotype"/>
          <w:i/>
          <w:sz w:val="22"/>
          <w:szCs w:val="22"/>
        </w:rPr>
        <w:t xml:space="preserve"> federal a través de los </w:t>
      </w:r>
      <w:r w:rsidRPr="001F1A44">
        <w:rPr>
          <w:rFonts w:ascii="Palatino Linotype" w:eastAsia="Palatino Linotype" w:hAnsi="Palatino Linotype" w:cs="Palatino Linotype"/>
          <w:i/>
          <w:sz w:val="22"/>
          <w:szCs w:val="22"/>
        </w:rPr>
        <w:lastRenderedPageBreak/>
        <w:t xml:space="preserve">recursos públicos destinados al Servicio de Administración Tributaria que dejaron de ingresar con las que </w:t>
      </w:r>
      <w:r w:rsidRPr="001F1A44">
        <w:rPr>
          <w:rFonts w:ascii="Palatino Linotype" w:eastAsia="Palatino Linotype" w:hAnsi="Palatino Linotype" w:cs="Palatino Linotype"/>
          <w:b/>
          <w:i/>
          <w:sz w:val="22"/>
          <w:szCs w:val="22"/>
        </w:rPr>
        <w:t>se presume obtuvieron un beneficio personal</w:t>
      </w:r>
      <w:r w:rsidRPr="001F1A44">
        <w:rPr>
          <w:rFonts w:ascii="Palatino Linotype" w:eastAsia="Palatino Linotype" w:hAnsi="Palatino Linotype" w:cs="Palatino Linotype"/>
          <w:i/>
          <w:sz w:val="22"/>
          <w:szCs w:val="22"/>
        </w:rPr>
        <w:t xml:space="preserve">, luego entonces </w:t>
      </w:r>
      <w:r w:rsidRPr="001F1A44">
        <w:rPr>
          <w:rFonts w:ascii="Palatino Linotype" w:eastAsia="Palatino Linotype" w:hAnsi="Palatino Linotype" w:cs="Palatino Linotype"/>
          <w:b/>
          <w:i/>
          <w:sz w:val="22"/>
          <w:szCs w:val="22"/>
        </w:rPr>
        <w:t xml:space="preserve">existe una preferencia social mayor que trasciende para dar a conocer, precisamente los nombres de los servidores que enfrentan acusaciones sobre este caso. </w:t>
      </w:r>
    </w:p>
    <w:p w14:paraId="06DCC89A"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Por lo tanto, en el caso, prevalece el derecho de acceso a la información sobre la protección de su intimidad, honor, imagen y presunción de inocencia, toda vez que es el medio idóneo para la rendición de cuentas sobre la efectiva investigación de hechos relacionados con el desempeño de las funciones de los servidores públicos y ex servidores públicos de en relación con los hechos investigados, lo que deja en segundo lugar la necesidad individual de proteger sus nombres. </w:t>
      </w:r>
    </w:p>
    <w:p w14:paraId="5F087590" w14:textId="77777777" w:rsidR="00CA45CA" w:rsidRPr="001F1A44" w:rsidRDefault="00AD389B">
      <w:pPr>
        <w:numPr>
          <w:ilvl w:val="0"/>
          <w:numId w:val="4"/>
        </w:numPr>
        <w:pBdr>
          <w:top w:val="nil"/>
          <w:left w:val="nil"/>
          <w:bottom w:val="nil"/>
          <w:right w:val="nil"/>
          <w:between w:val="nil"/>
        </w:pBdr>
        <w:spacing w:before="120" w:after="120" w:line="259" w:lineRule="auto"/>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u w:val="single"/>
        </w:rPr>
        <w:t>NECESIDAD</w:t>
      </w:r>
      <w:r w:rsidRPr="001F1A44">
        <w:rPr>
          <w:rFonts w:ascii="Palatino Linotype" w:eastAsia="Palatino Linotype" w:hAnsi="Palatino Linotype" w:cs="Palatino Linotype"/>
          <w:i/>
          <w:sz w:val="22"/>
          <w:szCs w:val="22"/>
        </w:rPr>
        <w:t xml:space="preserve">. La falta de un medio alternativo menos lesivo a la apertura de la información, para satisfacer el interés público. </w:t>
      </w:r>
    </w:p>
    <w:p w14:paraId="6293094D"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A través del ejercicio del derecho a la información se cubre la necesidad de la colectividad de estar en posibilidad de evaluar el desempeño de las autoridades que la representan, en ese sentido, constituye la vía más eficaz para que toda la sociedad conozca la información relacionada con las conductas denunciadas por parte del Servicio de Administración Tributaria que forman parte de la investigación por parte de la Fiscalía General de la República.</w:t>
      </w:r>
    </w:p>
    <w:p w14:paraId="3DD8AFB5"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Esto es, </w:t>
      </w:r>
      <w:r w:rsidRPr="001F1A44">
        <w:rPr>
          <w:rFonts w:ascii="Palatino Linotype" w:eastAsia="Palatino Linotype" w:hAnsi="Palatino Linotype" w:cs="Palatino Linotype"/>
          <w:b/>
          <w:i/>
          <w:sz w:val="22"/>
          <w:szCs w:val="22"/>
        </w:rPr>
        <w:t>la necesidad de la colectividad de estar en posibilidad de evaluar el desempeño de las autoridades que la representa, constituye la vía más eficaz para que toda la sociedad conozca la información relacionada con los nombres de los servidores públicos y ex servidores públicos que enfrentan acusaciones sobre los casos denunciados, puesto que probablemente incurrieron en diversos delitos de corrupción</w:t>
      </w:r>
      <w:r w:rsidRPr="001F1A44">
        <w:rPr>
          <w:rFonts w:ascii="Palatino Linotype" w:eastAsia="Palatino Linotype" w:hAnsi="Palatino Linotype" w:cs="Palatino Linotype"/>
          <w:i/>
          <w:sz w:val="22"/>
          <w:szCs w:val="22"/>
        </w:rPr>
        <w:t xml:space="preserve">, tales como cohecho, peculado y enriquecimiento ilícito, catalogados como actos de corrupción en el Código Penal Federal, así como en la Convención Interamericana contra la Corrupción. </w:t>
      </w:r>
    </w:p>
    <w:p w14:paraId="3CD97956"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En este sentido, nuevamente el derecho de acceso a la información prevalece sobre la protección de la información solicitada, puesto que el sacrificio que implica la revelación de los nombres de los servidores públicos y ex servidores es el medio menos oneroso para que la sociedad conozca quiénes de los servidores públicos o ex servidores públicos, que supuestamente velan así por el manejo y la debida aplicación de fondos y recursos federales, probablemente están involucrados en el desvío de dichos recursos, lo cual, de ser el caso, indudablemente repercute en la economía del país, así como el nombre de cualquier otra persona involucrada en los hechos. </w:t>
      </w:r>
    </w:p>
    <w:p w14:paraId="7E10B620" w14:textId="77777777" w:rsidR="00CA45CA" w:rsidRPr="001F1A44" w:rsidRDefault="00AD389B">
      <w:pPr>
        <w:spacing w:before="120" w:after="120"/>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lastRenderedPageBreak/>
        <w:t>Es decir, si se negara el derecho de acceso a los datos peticionados, -en el caso concreto- se impediría que la sociedad tuviera los elementos informativos necesarios para el debido escrutinio del ejercicio de la actividad del sujeto obligado, en cuanto a sus facultades de investigación, en este caso, respecto de los delitos catalogados como actos de corrupción en el Código Penal Federal.</w:t>
      </w:r>
      <w:r w:rsidRPr="001F1A44">
        <w:rPr>
          <w:rFonts w:ascii="Palatino Linotype" w:eastAsia="Palatino Linotype" w:hAnsi="Palatino Linotype" w:cs="Palatino Linotype"/>
          <w:b/>
          <w:i/>
          <w:sz w:val="22"/>
          <w:szCs w:val="22"/>
        </w:rPr>
        <w:t xml:space="preserve"> </w:t>
      </w:r>
    </w:p>
    <w:p w14:paraId="6227DA51" w14:textId="77777777" w:rsidR="00CA45CA" w:rsidRPr="001F1A44" w:rsidRDefault="00AD389B">
      <w:pPr>
        <w:numPr>
          <w:ilvl w:val="0"/>
          <w:numId w:val="4"/>
        </w:numPr>
        <w:pBdr>
          <w:top w:val="nil"/>
          <w:left w:val="nil"/>
          <w:bottom w:val="nil"/>
          <w:right w:val="nil"/>
          <w:between w:val="nil"/>
        </w:pBdr>
        <w:spacing w:before="120" w:after="120" w:line="259" w:lineRule="auto"/>
        <w:ind w:left="425" w:right="476"/>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u w:val="single"/>
        </w:rPr>
        <w:t>PROPORCIONALIDAD</w:t>
      </w:r>
      <w:r w:rsidRPr="001F1A44">
        <w:rPr>
          <w:rFonts w:ascii="Palatino Linotype" w:eastAsia="Palatino Linotype" w:hAnsi="Palatino Linotype" w:cs="Palatino Linotype"/>
          <w:i/>
          <w:sz w:val="22"/>
          <w:szCs w:val="22"/>
          <w:u w:val="single"/>
        </w:rPr>
        <w:t>.</w:t>
      </w:r>
      <w:r w:rsidRPr="001F1A44">
        <w:rPr>
          <w:rFonts w:ascii="Palatino Linotype" w:eastAsia="Palatino Linotype" w:hAnsi="Palatino Linotype" w:cs="Palatino Linotype"/>
          <w:i/>
          <w:sz w:val="22"/>
          <w:szCs w:val="22"/>
        </w:rPr>
        <w:t xml:space="preserve"> El equilibrio entre perjuicio y beneficio a favor del interés público, a fin de que la decisión tomada represente un beneficio mayor al perjuicio que podría causar a la población. </w:t>
      </w:r>
    </w:p>
    <w:p w14:paraId="2DEF3676" w14:textId="77777777" w:rsidR="00CA45CA" w:rsidRPr="001F1A44" w:rsidRDefault="00AD389B">
      <w:pPr>
        <w:spacing w:before="120" w:after="120"/>
        <w:ind w:left="426" w:right="47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Conforme a lo expuesto, </w:t>
      </w:r>
      <w:r w:rsidRPr="001F1A44">
        <w:rPr>
          <w:rFonts w:ascii="Palatino Linotype" w:eastAsia="Palatino Linotype" w:hAnsi="Palatino Linotype" w:cs="Palatino Linotype"/>
          <w:b/>
          <w:i/>
          <w:sz w:val="22"/>
          <w:szCs w:val="22"/>
        </w:rPr>
        <w:t>si bien se causa un perjuicio a la intimidad, honor, imagen y presunción de inocencia, de los servidores y ex servidores públicos que enfrentan acusaciones sobre diversos casos</w:t>
      </w:r>
      <w:r w:rsidRPr="001F1A44">
        <w:rPr>
          <w:rFonts w:ascii="Palatino Linotype" w:eastAsia="Palatino Linotype" w:hAnsi="Palatino Linotype" w:cs="Palatino Linotype"/>
          <w:i/>
          <w:sz w:val="22"/>
          <w:szCs w:val="22"/>
        </w:rPr>
        <w:t xml:space="preserve">, lo cierto es que, </w:t>
      </w:r>
      <w:r w:rsidRPr="001F1A44">
        <w:rPr>
          <w:rFonts w:ascii="Palatino Linotype" w:eastAsia="Palatino Linotype" w:hAnsi="Palatino Linotype" w:cs="Palatino Linotype"/>
          <w:b/>
          <w:i/>
          <w:sz w:val="22"/>
          <w:szCs w:val="22"/>
        </w:rPr>
        <w:t>divulgar sus nombres representa un beneficio mayor para la sociedad puesto que rinde cuentas sobre quiénes están probablemente implicados en conductas relacionadas con hechos de corrupción</w:t>
      </w:r>
      <w:r w:rsidRPr="001F1A44">
        <w:rPr>
          <w:rFonts w:ascii="Palatino Linotype" w:eastAsia="Palatino Linotype" w:hAnsi="Palatino Linotype" w:cs="Palatino Linotype"/>
          <w:i/>
          <w:sz w:val="22"/>
          <w:szCs w:val="22"/>
        </w:rPr>
        <w:t xml:space="preserve">. </w:t>
      </w:r>
    </w:p>
    <w:p w14:paraId="4D0908F6" w14:textId="77777777" w:rsidR="00CA45CA" w:rsidRPr="001F1A44" w:rsidRDefault="00AD389B">
      <w:pPr>
        <w:spacing w:before="120" w:after="120"/>
        <w:ind w:left="426" w:right="47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Sumado a lo anterior, debemos recordar que uno de los señalamientos de la Convención Interamericana contra la Corrupción, lo cual ha sido ratificado por México, es que la corrupción atenta contra la sociedad, el orden moral y la justicia. </w:t>
      </w:r>
    </w:p>
    <w:p w14:paraId="6EA992C4" w14:textId="77777777" w:rsidR="00CA45CA" w:rsidRPr="001F1A44" w:rsidRDefault="00AD389B">
      <w:pPr>
        <w:spacing w:before="120" w:after="120"/>
        <w:ind w:left="426" w:right="47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De manera que, si la Fiscalía General de la República </w:t>
      </w:r>
      <w:proofErr w:type="spellStart"/>
      <w:r w:rsidRPr="001F1A44">
        <w:rPr>
          <w:rFonts w:ascii="Palatino Linotype" w:eastAsia="Palatino Linotype" w:hAnsi="Palatino Linotype" w:cs="Palatino Linotype"/>
          <w:i/>
          <w:sz w:val="22"/>
          <w:szCs w:val="22"/>
        </w:rPr>
        <w:t>aperturó</w:t>
      </w:r>
      <w:proofErr w:type="spellEnd"/>
      <w:r w:rsidRPr="001F1A44">
        <w:rPr>
          <w:rFonts w:ascii="Palatino Linotype" w:eastAsia="Palatino Linotype" w:hAnsi="Palatino Linotype" w:cs="Palatino Linotype"/>
          <w:i/>
          <w:sz w:val="22"/>
          <w:szCs w:val="22"/>
        </w:rPr>
        <w:t xml:space="preserve"> diversas carpetas de investigación en contra de las personas que posiblemente cometieron actos de corrupción, el hecho de que dé a conocer sus nombres, independientemente de que se encuentre en la fase de investigación, significaría rendir cuentas del compromiso del Estado Mexicano en el combate a la corrupción ante la Comisión Interamericana de los Derechos Humanos, y frente a la sociedad nacional e internacional. </w:t>
      </w:r>
    </w:p>
    <w:p w14:paraId="7A705B64" w14:textId="77777777" w:rsidR="00CA45CA" w:rsidRPr="001F1A44" w:rsidRDefault="00AD389B">
      <w:pPr>
        <w:spacing w:before="120" w:after="120"/>
        <w:ind w:left="426" w:right="474"/>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En este sentido, se robustece la necesidad de que impere el derecho de acceso a la información sobre los principios antes referidos, toda vez que es proporcional la satisfacción de la sociedad de conocer la información de interés, toda vez que, de ser el caso, la declaración de inocencia, en su momento, los liberará de los señalamientos a que haya lugar. </w:t>
      </w:r>
    </w:p>
    <w:p w14:paraId="436F04A3" w14:textId="77777777" w:rsidR="00CA45CA" w:rsidRPr="001F1A44" w:rsidRDefault="00AD389B">
      <w:pPr>
        <w:spacing w:before="120" w:after="120"/>
        <w:ind w:left="426" w:right="474"/>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i/>
          <w:sz w:val="22"/>
          <w:szCs w:val="22"/>
        </w:rPr>
        <w:t xml:space="preserve">Por tanto, es posible concluir que, en la ponderación realizada, se cumple con los tres elementos para dotarle de preminencia al derecho de acceso a la información, a efecto de poder entregar la información relativa a los servidores o ex servidores denunciados pues con el análisis de interés público </w:t>
      </w:r>
      <w:r w:rsidRPr="001F1A44">
        <w:rPr>
          <w:rFonts w:ascii="Palatino Linotype" w:eastAsia="Palatino Linotype" w:hAnsi="Palatino Linotype" w:cs="Palatino Linotype"/>
          <w:b/>
          <w:i/>
          <w:sz w:val="22"/>
          <w:szCs w:val="22"/>
        </w:rPr>
        <w:t>no es posible clasificarla en términos del artículo 113, fracción I de la Ley de la materia.”</w:t>
      </w:r>
    </w:p>
    <w:p w14:paraId="1511BE0E" w14:textId="77777777" w:rsidR="00CA45CA" w:rsidRPr="001F1A44" w:rsidRDefault="00AD389B">
      <w:pPr>
        <w:numPr>
          <w:ilvl w:val="0"/>
          <w:numId w:val="1"/>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rPr>
      </w:pPr>
      <w:r w:rsidRPr="001F1A44">
        <w:rPr>
          <w:rFonts w:ascii="Palatino Linotype" w:eastAsia="Palatino Linotype" w:hAnsi="Palatino Linotype" w:cs="Palatino Linotype"/>
          <w:b/>
        </w:rPr>
        <w:t>De los procedimientos sobre faltas administrativas concluidos.</w:t>
      </w:r>
    </w:p>
    <w:p w14:paraId="64B4D495"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lastRenderedPageBreak/>
        <w:t xml:space="preserve">De la interpretación de la solicitud de información se desprende que la persona solicitante, además desea acceder a la información relacionada con procedimientos por faltas concluidos, en este tenor, como se mencionó en líneas anteriores, solo pueden ser dadas a conocer las responsabilidades administrativas por faltas graves condenatorias, de conformidad con la  Ley del Sistema Anticorrupción del Estado de México y Municipios que establece que </w:t>
      </w:r>
      <w:r w:rsidRPr="001F1A44">
        <w:rPr>
          <w:rFonts w:ascii="Palatino Linotype" w:eastAsia="Palatino Linotype" w:hAnsi="Palatino Linotype" w:cs="Palatino Linotype"/>
          <w:b/>
          <w:u w:val="single"/>
        </w:rPr>
        <w:t>las sanciones no graves no serán públicas</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u w:val="single"/>
        </w:rPr>
        <w:t>así como las graves absolutorias</w:t>
      </w:r>
      <w:r w:rsidRPr="001F1A44">
        <w:rPr>
          <w:rFonts w:ascii="Palatino Linotype" w:eastAsia="Palatino Linotype" w:hAnsi="Palatino Linotype" w:cs="Palatino Linotype"/>
        </w:rPr>
        <w:t xml:space="preserve">, en virtud de que dichas faltas, </w:t>
      </w:r>
      <w:r w:rsidRPr="001F1A44">
        <w:rPr>
          <w:rFonts w:ascii="Palatino Linotype" w:eastAsia="Palatino Linotype" w:hAnsi="Palatino Linotype" w:cs="Palatino Linotype"/>
          <w:b/>
        </w:rPr>
        <w:t xml:space="preserve">no tienen una trascendencia social, </w:t>
      </w:r>
      <w:r w:rsidRPr="001F1A44">
        <w:rPr>
          <w:rFonts w:ascii="Palatino Linotype" w:eastAsia="Palatino Linotype" w:hAnsi="Palatino Linotype" w:cs="Palatino Linotype"/>
        </w:rPr>
        <w:t>pues no existe un daño externo, sino que únicamente le atañe al servidor público en cuestión.</w:t>
      </w:r>
    </w:p>
    <w:p w14:paraId="084C4C7F"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 este entendido, es evidente que en caso de existir procedimientos concluidos instaurados en contra del servidor público que se ostentaba como director de seguridad pública, </w:t>
      </w:r>
      <w:r w:rsidRPr="001F1A44">
        <w:rPr>
          <w:rFonts w:ascii="Palatino Linotype" w:eastAsia="Palatino Linotype" w:hAnsi="Palatino Linotype" w:cs="Palatino Linotype"/>
          <w:b/>
        </w:rPr>
        <w:t>por faltas graves absolutorias</w:t>
      </w:r>
      <w:r w:rsidRPr="001F1A44">
        <w:rPr>
          <w:rFonts w:ascii="Palatino Linotype" w:eastAsia="Palatino Linotype" w:hAnsi="Palatino Linotype" w:cs="Palatino Linotype"/>
        </w:rPr>
        <w:t xml:space="preserve"> y</w:t>
      </w:r>
      <w:r w:rsidRPr="001F1A44">
        <w:rPr>
          <w:rFonts w:ascii="Palatino Linotype" w:eastAsia="Palatino Linotype" w:hAnsi="Palatino Linotype" w:cs="Palatino Linotype"/>
          <w:b/>
        </w:rPr>
        <w:t xml:space="preserve"> no graves condenatorias o absolutorias</w:t>
      </w:r>
      <w:r w:rsidRPr="001F1A44">
        <w:rPr>
          <w:rFonts w:ascii="Palatino Linotype" w:eastAsia="Palatino Linotype" w:hAnsi="Palatino Linotype" w:cs="Palatino Linotype"/>
        </w:rPr>
        <w:t xml:space="preserve">, dicha información tiene el carácter de confidencial, y por tanto debe clasificarse el pronunciamiento en términos del artículo 113, fracción I de la Ley de Transparencia y Acceso a la Información Pública del Estado de México y Municipios. </w:t>
      </w:r>
    </w:p>
    <w:p w14:paraId="721F5AFB"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No obstante, si los procedimientos concluidos se relacionan con faltas administrativas </w:t>
      </w:r>
      <w:r w:rsidRPr="001F1A44">
        <w:rPr>
          <w:rFonts w:ascii="Palatino Linotype" w:eastAsia="Palatino Linotype" w:hAnsi="Palatino Linotype" w:cs="Palatino Linotype"/>
          <w:b/>
        </w:rPr>
        <w:t>graves condenatorias</w:t>
      </w:r>
      <w:r w:rsidRPr="001F1A44">
        <w:rPr>
          <w:rFonts w:ascii="Palatino Linotype" w:eastAsia="Palatino Linotype" w:hAnsi="Palatino Linotype" w:cs="Palatino Linotype"/>
        </w:rPr>
        <w:t xml:space="preserve"> y estas han quedado firmes, es decir, que el procedimiento ya no acepta recurso o medio de defensa alguno, es procedente entregar el soporte documental a la parte </w:t>
      </w:r>
      <w:r w:rsidRPr="001F1A44">
        <w:rPr>
          <w:rFonts w:ascii="Palatino Linotype" w:eastAsia="Palatino Linotype" w:hAnsi="Palatino Linotype" w:cs="Palatino Linotype"/>
          <w:b/>
        </w:rPr>
        <w:t>Recurrente</w:t>
      </w:r>
      <w:r w:rsidRPr="001F1A44">
        <w:rPr>
          <w:rFonts w:ascii="Palatino Linotype" w:eastAsia="Palatino Linotype" w:hAnsi="Palatino Linotype" w:cs="Palatino Linotype"/>
        </w:rPr>
        <w:t xml:space="preserve"> que dé cuenta del número de procedimientos administrativos en contra del servidor público.</w:t>
      </w:r>
    </w:p>
    <w:p w14:paraId="37F24DE3"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Lo anterior, ya que como se precisó en párrafos anteriores, proporcionar la información de referencia, garantizaría la rendición de cuentas por parte del </w:t>
      </w:r>
      <w:r w:rsidRPr="001F1A44">
        <w:rPr>
          <w:rFonts w:ascii="Palatino Linotype" w:eastAsia="Palatino Linotype" w:hAnsi="Palatino Linotype" w:cs="Palatino Linotype"/>
          <w:b/>
        </w:rPr>
        <w:t xml:space="preserve">Sujeto </w:t>
      </w:r>
      <w:r w:rsidRPr="001F1A44">
        <w:rPr>
          <w:rFonts w:ascii="Palatino Linotype" w:eastAsia="Palatino Linotype" w:hAnsi="Palatino Linotype" w:cs="Palatino Linotype"/>
          <w:b/>
        </w:rPr>
        <w:lastRenderedPageBreak/>
        <w:t>Obligado</w:t>
      </w:r>
      <w:r w:rsidRPr="001F1A44">
        <w:rPr>
          <w:rFonts w:ascii="Palatino Linotype" w:eastAsia="Palatino Linotype" w:hAnsi="Palatino Linotype" w:cs="Palatino Linotype"/>
        </w:rPr>
        <w:t>, relativo a su actuación, teniendo como consecuencia que los ciudadanos tengan confianza en sus autoridades, al poder conocer información derivada de los procedimientos administrativos que hayan concluido con resolución en donde se determine que un servidor público tuvo responsabilidades graves, relacionadas al ejercicio de las funciones.</w:t>
      </w:r>
    </w:p>
    <w:p w14:paraId="65A2DD4C"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Además, que, con dicha información, se estaría revelando que el desempeño del servidor público, en caso de haber sido sancionado, no fue conforme a derecho.</w:t>
      </w:r>
    </w:p>
    <w:p w14:paraId="341092AA" w14:textId="77777777" w:rsidR="00CA45CA" w:rsidRPr="001F1A44" w:rsidRDefault="00AD389B">
      <w:pPr>
        <w:tabs>
          <w:tab w:val="left" w:pos="3962"/>
        </w:tabs>
        <w:spacing w:before="240" w:after="240" w:line="360" w:lineRule="auto"/>
        <w:ind w:right="51"/>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Conforme a lo expuesto, se concluye que para satisfacer el derecho de acceso a la información de la parte </w:t>
      </w:r>
      <w:r w:rsidRPr="001F1A44">
        <w:rPr>
          <w:rFonts w:ascii="Palatino Linotype" w:eastAsia="Palatino Linotype" w:hAnsi="Palatino Linotype" w:cs="Palatino Linotype"/>
          <w:b/>
        </w:rPr>
        <w:t>Recurrente</w:t>
      </w:r>
      <w:r w:rsidRPr="001F1A44">
        <w:rPr>
          <w:rFonts w:ascii="Palatino Linotype" w:eastAsia="Palatino Linotype" w:hAnsi="Palatino Linotype" w:cs="Palatino Linotype"/>
        </w:rPr>
        <w:t xml:space="preserve">,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deberá entregar, respecto a al servidor público que fungió como Director de  Seguridad Pública, Tránsito, Protección Civil y Bomberos del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a partir de la fecha de alta en el ejercicio fiscal 2022 al 23 de marzo de 2023, lo siguiente:</w:t>
      </w:r>
    </w:p>
    <w:p w14:paraId="7AD7465E" w14:textId="77777777" w:rsidR="00CA45CA" w:rsidRPr="001F1A44" w:rsidRDefault="00AD389B">
      <w:pPr>
        <w:tabs>
          <w:tab w:val="left" w:pos="3962"/>
        </w:tabs>
        <w:spacing w:before="240" w:after="240" w:line="360" w:lineRule="auto"/>
        <w:ind w:left="567" w:right="900"/>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1. El Acuerdo emitido por el Comité de Transparencia, en el que se confirme la clasificación como </w:t>
      </w:r>
      <w:r w:rsidRPr="001F1A44">
        <w:rPr>
          <w:rFonts w:ascii="Palatino Linotype" w:eastAsia="Palatino Linotype" w:hAnsi="Palatino Linotype" w:cs="Palatino Linotype"/>
          <w:b/>
          <w:u w:val="single"/>
        </w:rPr>
        <w:t>confidencial</w:t>
      </w:r>
      <w:r w:rsidRPr="001F1A44">
        <w:rPr>
          <w:rFonts w:ascii="Palatino Linotype" w:eastAsia="Palatino Linotype" w:hAnsi="Palatino Linotype" w:cs="Palatino Linotype"/>
        </w:rPr>
        <w:t xml:space="preserve"> del pronunciamiento en sentido afirmativo o negativo, en términos de los artículos 49, fracción II, 132, fracción II, 143, fracción I y 149 de la Ley de Transparencia y Acceso a la Información Pública del Estado de México y Municipios; respecto del número de procedimientos por faltas administrativas graves y/o no graves, </w:t>
      </w:r>
      <w:r w:rsidRPr="001F1A44">
        <w:rPr>
          <w:rFonts w:ascii="Palatino Linotype" w:eastAsia="Palatino Linotype" w:hAnsi="Palatino Linotype" w:cs="Palatino Linotype"/>
          <w:b/>
          <w:u w:val="single"/>
        </w:rPr>
        <w:t>que se encuentren en trámite</w:t>
      </w:r>
      <w:r w:rsidRPr="001F1A44">
        <w:rPr>
          <w:rFonts w:ascii="Palatino Linotype" w:eastAsia="Palatino Linotype" w:hAnsi="Palatino Linotype" w:cs="Palatino Linotype"/>
        </w:rPr>
        <w:t xml:space="preserve">, así como de los procedimientos </w:t>
      </w:r>
      <w:r w:rsidRPr="001F1A44">
        <w:rPr>
          <w:rFonts w:ascii="Palatino Linotype" w:eastAsia="Palatino Linotype" w:hAnsi="Palatino Linotype" w:cs="Palatino Linotype"/>
          <w:b/>
          <w:u w:val="single"/>
        </w:rPr>
        <w:t>concluidos por faltas administrativas no graves condenatorias o absolutorias y graves absolutorios</w:t>
      </w:r>
      <w:r w:rsidRPr="001F1A44">
        <w:rPr>
          <w:rFonts w:ascii="Palatino Linotype" w:eastAsia="Palatino Linotype" w:hAnsi="Palatino Linotype" w:cs="Palatino Linotype"/>
        </w:rPr>
        <w:t xml:space="preserve">, instaurados, de </w:t>
      </w:r>
      <w:r w:rsidRPr="001F1A44">
        <w:rPr>
          <w:rFonts w:ascii="Palatino Linotype" w:eastAsia="Palatino Linotype" w:hAnsi="Palatino Linotype" w:cs="Palatino Linotype"/>
        </w:rPr>
        <w:lastRenderedPageBreak/>
        <w:t xml:space="preserve">ser el caso, en su contra, de la fecha de alta en el ejercicio fiscal 2022 al 23 de marzo de 2023. </w:t>
      </w:r>
    </w:p>
    <w:p w14:paraId="2FB37059" w14:textId="77777777" w:rsidR="00CA45CA" w:rsidRPr="001F1A44" w:rsidRDefault="00AD389B">
      <w:pPr>
        <w:tabs>
          <w:tab w:val="left" w:pos="3962"/>
        </w:tabs>
        <w:spacing w:before="240" w:after="240" w:line="360" w:lineRule="auto"/>
        <w:ind w:left="426" w:right="900"/>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2. Documento que dé cuenta de cuenta del número de </w:t>
      </w:r>
      <w:r w:rsidRPr="001F1A44">
        <w:rPr>
          <w:rFonts w:ascii="Palatino Linotype" w:eastAsia="Palatino Linotype" w:hAnsi="Palatino Linotype" w:cs="Palatino Linotype"/>
          <w:b/>
          <w:u w:val="single"/>
        </w:rPr>
        <w:t>los procedimientos administrativos en trámite relacionados con actos de corrupción</w:t>
      </w:r>
      <w:r w:rsidRPr="001F1A44">
        <w:rPr>
          <w:rFonts w:ascii="Palatino Linotype" w:eastAsia="Palatino Linotype" w:hAnsi="Palatino Linotype" w:cs="Palatino Linotype"/>
        </w:rPr>
        <w:t xml:space="preserve">, de conformidad con el artículo 142 de la Ley de la materia; instaurados, de ser el caso, en su contra, de la fecha de alta en el ejercicio fiscal 2022 al 23 de marzo de 2023. </w:t>
      </w:r>
    </w:p>
    <w:p w14:paraId="11E9C4E6" w14:textId="77777777" w:rsidR="00CA45CA" w:rsidRPr="001F1A44" w:rsidRDefault="00AD389B">
      <w:pPr>
        <w:tabs>
          <w:tab w:val="left" w:pos="3962"/>
        </w:tabs>
        <w:spacing w:before="240" w:after="240" w:line="360" w:lineRule="auto"/>
        <w:ind w:left="426" w:right="900"/>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3. Versión pública del documento que dé cuenta del número de los procedimientos concluidos, por faltas administrativas graves condenatorias, instaurados, de ser el caso, en su contra, de la fecha de alta en el ejercicio fiscal 2022 al 23 de marzo de 2023.  </w:t>
      </w:r>
    </w:p>
    <w:p w14:paraId="503378BB"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Para efectos de lo anterior, no debe pasarse por alto que la obligación de transparencia no implica que los Sujetos Obligados tengan el deber de generar documentos </w:t>
      </w:r>
      <w:r w:rsidRPr="001F1A44">
        <w:rPr>
          <w:rFonts w:ascii="Palatino Linotype" w:eastAsia="Palatino Linotype" w:hAnsi="Palatino Linotype" w:cs="Palatino Linotype"/>
          <w:i/>
        </w:rPr>
        <w:t>ad hoc</w:t>
      </w:r>
      <w:r w:rsidRPr="001F1A44">
        <w:rPr>
          <w:rFonts w:ascii="Palatino Linotype" w:eastAsia="Palatino Linotype" w:hAnsi="Palatino Linotype" w:cs="Palatino Linotype"/>
        </w:rPr>
        <w:t xml:space="preserve">, para satisfacer el derecho de acceso a la información pública, pues solo se encuentran constreñidos a proporcionar la información que se les requiera y que obre en sus archivos en el estado en el que esta se encuentre de conformidad con lo establecido en el artículo 12 de la Ley de la materia y el criterio orientador 03/17 citados con antelación, por lo que, deberá proporcionar soporte documental en donde conste la información que brinde respuesta a la solicitud, así el particular podrá buscar conforme a su interés, conforme a lo establecido en el criterio orientador 16/17, emitido por el Instituto Nacional de Transparencia, Acceso a la Información y Protección de Datos Personales, INAI, establece lo siguiente: </w:t>
      </w:r>
    </w:p>
    <w:p w14:paraId="61AB7B38" w14:textId="77777777" w:rsidR="00CA45CA" w:rsidRPr="001F1A44" w:rsidRDefault="00AD389B">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1F1A44">
        <w:rPr>
          <w:sz w:val="22"/>
          <w:szCs w:val="22"/>
        </w:rPr>
        <w:lastRenderedPageBreak/>
        <w:t xml:space="preserve"> “</w:t>
      </w:r>
      <w:r w:rsidRPr="001F1A44">
        <w:rPr>
          <w:rFonts w:ascii="Palatino Linotype" w:eastAsia="Palatino Linotype" w:hAnsi="Palatino Linotype" w:cs="Palatino Linotype"/>
          <w:b/>
          <w:i/>
          <w:sz w:val="22"/>
          <w:szCs w:val="22"/>
        </w:rPr>
        <w:t xml:space="preserve">Expresión documental. </w:t>
      </w:r>
      <w:r w:rsidRPr="001F1A44">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AA2F2A8" w14:textId="77777777" w:rsidR="00CA45CA" w:rsidRPr="001F1A44" w:rsidRDefault="00AD389B">
      <w:pPr>
        <w:tabs>
          <w:tab w:val="left" w:pos="142"/>
          <w:tab w:val="left" w:pos="284"/>
          <w:tab w:val="left" w:pos="426"/>
        </w:tabs>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Debiendo, entregar la información a través de versión pública de ser procedente, asimismo, si lo requerido encuadra en cualquier otro supuesto de los abordados con anterioridad,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deberá estarse a lo señalado en líneas argumentativas anteriores.</w:t>
      </w:r>
    </w:p>
    <w:p w14:paraId="2843CC4F" w14:textId="77777777" w:rsidR="00CA45CA" w:rsidRPr="001F1A44" w:rsidRDefault="00AD389B">
      <w:pPr>
        <w:spacing w:before="120" w:after="120" w:line="360" w:lineRule="auto"/>
        <w:ind w:right="51"/>
        <w:jc w:val="both"/>
        <w:rPr>
          <w:rFonts w:ascii="Palatino Linotype" w:eastAsia="Palatino Linotype" w:hAnsi="Palatino Linotype" w:cs="Palatino Linotype"/>
        </w:rPr>
      </w:pPr>
      <w:r w:rsidRPr="001F1A44">
        <w:rPr>
          <w:rFonts w:ascii="Palatino Linotype" w:eastAsia="Palatino Linotype" w:hAnsi="Palatino Linotype" w:cs="Palatino Linotype"/>
        </w:rPr>
        <w:t>No obstante de lo anterior, para el caso de que no se llegara a localizar información derivado de la búsqueda que se ordena, relacionada con los puntos 2 y 3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C01ABCB" w14:textId="77777777" w:rsidR="00CA45CA" w:rsidRPr="001F1A44" w:rsidRDefault="00AD389B">
      <w:pPr>
        <w:spacing w:before="120" w:after="120"/>
        <w:ind w:left="851"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Artículo 19</w:t>
      </w:r>
      <w:r w:rsidRPr="001F1A44">
        <w:rPr>
          <w:rFonts w:ascii="Palatino Linotype" w:eastAsia="Palatino Linotype" w:hAnsi="Palatino Linotype" w:cs="Palatino Linotype"/>
          <w:i/>
          <w:sz w:val="22"/>
          <w:szCs w:val="22"/>
        </w:rPr>
        <w:t>…</w:t>
      </w:r>
    </w:p>
    <w:p w14:paraId="77287451" w14:textId="77777777" w:rsidR="00CA45CA" w:rsidRPr="001F1A44" w:rsidRDefault="00AD389B">
      <w:pPr>
        <w:spacing w:before="120" w:after="120"/>
        <w:ind w:left="851"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6034501"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w:t>
      </w:r>
      <w:r w:rsidRPr="001F1A44">
        <w:rPr>
          <w:rFonts w:ascii="Palatino Linotype" w:eastAsia="Palatino Linotype" w:hAnsi="Palatino Linotype" w:cs="Palatino Linotype"/>
        </w:rPr>
        <w:lastRenderedPageBreak/>
        <w:t>estatuido en el artículo 49, fracción XIII</w:t>
      </w:r>
      <w:r w:rsidRPr="001F1A44">
        <w:rPr>
          <w:rFonts w:ascii="Palatino Linotype" w:eastAsia="Palatino Linotype" w:hAnsi="Palatino Linotype" w:cs="Palatino Linotype"/>
          <w:vertAlign w:val="superscript"/>
        </w:rPr>
        <w:footnoteReference w:id="1"/>
      </w:r>
      <w:r w:rsidRPr="001F1A44">
        <w:rPr>
          <w:rFonts w:ascii="Palatino Linotype" w:eastAsia="Palatino Linotype" w:hAnsi="Palatino Linotype" w:cs="Palatino Linotype"/>
        </w:rPr>
        <w:t xml:space="preserve"> de la Ley de Transparencia y Acceso a la Información Pública del Estado de México y Municipios.</w:t>
      </w:r>
    </w:p>
    <w:p w14:paraId="267B21B0" w14:textId="77777777" w:rsidR="00CA45CA" w:rsidRPr="001F1A44" w:rsidRDefault="00AD389B">
      <w:pPr>
        <w:spacing w:before="240" w:after="240" w:line="360" w:lineRule="auto"/>
        <w:ind w:right="49"/>
        <w:jc w:val="both"/>
        <w:rPr>
          <w:rFonts w:ascii="Palatino Linotype" w:eastAsia="Palatino Linotype" w:hAnsi="Palatino Linotype" w:cs="Palatino Linotype"/>
        </w:rPr>
      </w:pPr>
      <w:bookmarkStart w:id="6" w:name="_heading=h.2et92p0" w:colFirst="0" w:colLast="0"/>
      <w:bookmarkEnd w:id="6"/>
      <w:r w:rsidRPr="001F1A44">
        <w:rPr>
          <w:rFonts w:ascii="Palatino Linotype" w:eastAsia="Palatino Linotype" w:hAnsi="Palatino Linotype" w:cs="Palatino Linotype"/>
        </w:rPr>
        <w:t xml:space="preserve">Es por todo lo anterior que esta autoridad estima que las razones o motivos de inconformidad hechos valer por </w:t>
      </w:r>
      <w:r w:rsidRPr="001F1A44">
        <w:rPr>
          <w:rFonts w:ascii="Palatino Linotype" w:eastAsia="Palatino Linotype" w:hAnsi="Palatino Linotype" w:cs="Palatino Linotype"/>
          <w:b/>
        </w:rPr>
        <w:t>la</w:t>
      </w:r>
      <w:r w:rsidRPr="001F1A44">
        <w:rPr>
          <w:rFonts w:ascii="Palatino Linotype" w:eastAsia="Palatino Linotype" w:hAnsi="Palatino Linotype" w:cs="Palatino Linotype"/>
        </w:rPr>
        <w:t xml:space="preserve"> parte </w:t>
      </w:r>
      <w:r w:rsidRPr="001F1A44">
        <w:rPr>
          <w:rFonts w:ascii="Palatino Linotype" w:eastAsia="Palatino Linotype" w:hAnsi="Palatino Linotype" w:cs="Palatino Linotype"/>
          <w:b/>
        </w:rPr>
        <w:t>Recurrente</w:t>
      </w:r>
      <w:r w:rsidRPr="001F1A44">
        <w:rPr>
          <w:rFonts w:ascii="Palatino Linotype" w:eastAsia="Palatino Linotype" w:hAnsi="Palatino Linotype" w:cs="Palatino Linotype"/>
        </w:rPr>
        <w:t xml:space="preserve"> se estiman fundados; por lo que, lo procedente es </w:t>
      </w:r>
      <w:r w:rsidRPr="001F1A44">
        <w:rPr>
          <w:rFonts w:ascii="Palatino Linotype" w:eastAsia="Palatino Linotype" w:hAnsi="Palatino Linotype" w:cs="Palatino Linotype"/>
          <w:b/>
        </w:rPr>
        <w:t>REVOCAR</w:t>
      </w:r>
      <w:r w:rsidRPr="001F1A44">
        <w:rPr>
          <w:rFonts w:ascii="Palatino Linotype" w:eastAsia="Palatino Linotype" w:hAnsi="Palatino Linotype" w:cs="Palatino Linotype"/>
        </w:rPr>
        <w:t xml:space="preserve"> la respuesta del </w:t>
      </w:r>
      <w:r w:rsidRPr="001F1A44">
        <w:rPr>
          <w:rFonts w:ascii="Palatino Linotype" w:eastAsia="Palatino Linotype" w:hAnsi="Palatino Linotype" w:cs="Palatino Linotype"/>
          <w:b/>
        </w:rPr>
        <w:t xml:space="preserve">Sujeto Obligado y ordenar la entrega </w:t>
      </w:r>
      <w:r w:rsidRPr="001F1A44">
        <w:rPr>
          <w:rFonts w:ascii="Palatino Linotype" w:eastAsia="Palatino Linotype" w:hAnsi="Palatino Linotype" w:cs="Palatino Linotype"/>
        </w:rPr>
        <w:t>de la documentación solicitada, ello conforme al considerando siguiente.</w:t>
      </w:r>
    </w:p>
    <w:p w14:paraId="5CC82D1C"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 xml:space="preserve">Quinto. Versión Pública. </w:t>
      </w:r>
      <w:r w:rsidRPr="001F1A44">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67772A7" w14:textId="77777777" w:rsidR="00CA45CA" w:rsidRPr="001F1A44" w:rsidRDefault="00AD389B">
      <w:pPr>
        <w:spacing w:before="240" w:after="240" w:line="360" w:lineRule="auto"/>
        <w:ind w:right="50"/>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1F1A44">
        <w:rPr>
          <w:rFonts w:ascii="Palatino Linotype" w:eastAsia="Palatino Linotype" w:hAnsi="Palatino Linotype" w:cs="Palatino Linotype"/>
        </w:rPr>
        <w:t>fracción</w:t>
      </w:r>
      <w:proofErr w:type="gramEnd"/>
      <w:r w:rsidRPr="001F1A44">
        <w:rPr>
          <w:rFonts w:ascii="Palatino Linotype" w:eastAsia="Palatino Linotype" w:hAnsi="Palatino Linotype" w:cs="Palatino Linotype"/>
        </w:rPr>
        <w:t xml:space="preserve"> I de la Ley de Transparencia y Acceso a la Información Pública del Estado de México y Municipios que establecen:</w:t>
      </w:r>
    </w:p>
    <w:p w14:paraId="2F761E3A"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r w:rsidRPr="001F1A44">
        <w:rPr>
          <w:rFonts w:ascii="Palatino Linotype" w:eastAsia="Palatino Linotype" w:hAnsi="Palatino Linotype" w:cs="Palatino Linotype"/>
          <w:b/>
          <w:i/>
          <w:sz w:val="22"/>
          <w:szCs w:val="22"/>
        </w:rPr>
        <w:t>Artículo 3</w:t>
      </w:r>
      <w:r w:rsidRPr="001F1A44">
        <w:rPr>
          <w:rFonts w:ascii="Palatino Linotype" w:eastAsia="Palatino Linotype" w:hAnsi="Palatino Linotype" w:cs="Palatino Linotype"/>
          <w:i/>
          <w:sz w:val="22"/>
          <w:szCs w:val="22"/>
        </w:rPr>
        <w:t>. Para los efectos de la presente Ley se entenderá por:</w:t>
      </w:r>
    </w:p>
    <w:p w14:paraId="61725B54"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lastRenderedPageBreak/>
        <w:t>[…]</w:t>
      </w:r>
    </w:p>
    <w:p w14:paraId="7B26918F"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IX. Datos personales:</w:t>
      </w:r>
      <w:r w:rsidRPr="001F1A44">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1AB184F"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XX. Información clasificada</w:t>
      </w:r>
      <w:r w:rsidRPr="001F1A44">
        <w:rPr>
          <w:rFonts w:ascii="Palatino Linotype" w:eastAsia="Palatino Linotype" w:hAnsi="Palatino Linotype" w:cs="Palatino Linotype"/>
          <w:i/>
          <w:sz w:val="22"/>
          <w:szCs w:val="22"/>
        </w:rPr>
        <w:t>: Aquella considerada por la presente Ley como reservada o confidencial;</w:t>
      </w:r>
    </w:p>
    <w:p w14:paraId="6BD03DD4"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XXI. Información confidencial:</w:t>
      </w:r>
      <w:r w:rsidRPr="001F1A44">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E0D186"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XLV. Versión pública:</w:t>
      </w:r>
      <w:r w:rsidRPr="001F1A44">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1D2BD8D"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0CBE82B9"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Artículo 91. </w:t>
      </w:r>
      <w:r w:rsidRPr="001F1A4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3A9A50A"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Artículo 132. </w:t>
      </w:r>
      <w:r w:rsidRPr="001F1A44">
        <w:rPr>
          <w:rFonts w:ascii="Palatino Linotype" w:eastAsia="Palatino Linotype" w:hAnsi="Palatino Linotype" w:cs="Palatino Linotype"/>
          <w:i/>
          <w:sz w:val="22"/>
          <w:szCs w:val="22"/>
        </w:rPr>
        <w:t>La clasificación de la información se llevará a cabo en el momento en que:</w:t>
      </w:r>
    </w:p>
    <w:p w14:paraId="1E2D3316"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w:t>
      </w:r>
      <w:r w:rsidRPr="001F1A44">
        <w:rPr>
          <w:rFonts w:ascii="Palatino Linotype" w:eastAsia="Palatino Linotype" w:hAnsi="Palatino Linotype" w:cs="Palatino Linotype"/>
          <w:i/>
          <w:sz w:val="22"/>
          <w:szCs w:val="22"/>
        </w:rPr>
        <w:t>. Se reciba una solicitud de acceso a la información;</w:t>
      </w:r>
    </w:p>
    <w:p w14:paraId="470DA1FF"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II</w:t>
      </w:r>
      <w:r w:rsidRPr="001F1A44">
        <w:rPr>
          <w:rFonts w:ascii="Palatino Linotype" w:eastAsia="Palatino Linotype" w:hAnsi="Palatino Linotype" w:cs="Palatino Linotype"/>
          <w:i/>
          <w:sz w:val="22"/>
          <w:szCs w:val="22"/>
        </w:rPr>
        <w:t>. Se determine mediante resolución de autoridad competente; o</w:t>
      </w:r>
    </w:p>
    <w:p w14:paraId="710C7FC3"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III</w:t>
      </w:r>
      <w:r w:rsidRPr="001F1A44">
        <w:rPr>
          <w:rFonts w:ascii="Palatino Linotype" w:eastAsia="Palatino Linotype" w:hAnsi="Palatino Linotype" w:cs="Palatino Linotype"/>
          <w:i/>
          <w:sz w:val="22"/>
          <w:szCs w:val="22"/>
        </w:rPr>
        <w:t>. Se generen versiones públicas para dar cumplimiento a las obligaciones de transparencia previstas en esta Ley.</w:t>
      </w:r>
    </w:p>
    <w:p w14:paraId="078E4AAA"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w:t>
      </w:r>
    </w:p>
    <w:p w14:paraId="78D301BE"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Artículo 143</w:t>
      </w:r>
      <w:r w:rsidRPr="001F1A4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1F6D9BF"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w:t>
      </w:r>
      <w:r w:rsidRPr="001F1A44">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1F1A44">
        <w:rPr>
          <w:rFonts w:ascii="Palatino Linotype" w:eastAsia="Palatino Linotype" w:hAnsi="Palatino Linotype" w:cs="Palatino Linotype"/>
          <w:i/>
          <w:sz w:val="22"/>
          <w:szCs w:val="22"/>
        </w:rPr>
        <w:t>jurídico</w:t>
      </w:r>
      <w:proofErr w:type="gramEnd"/>
      <w:r w:rsidRPr="001F1A44">
        <w:rPr>
          <w:rFonts w:ascii="Palatino Linotype" w:eastAsia="Palatino Linotype" w:hAnsi="Palatino Linotype" w:cs="Palatino Linotype"/>
          <w:i/>
          <w:sz w:val="22"/>
          <w:szCs w:val="22"/>
        </w:rPr>
        <w:t xml:space="preserve"> colectiva identificada o identificable;</w:t>
      </w:r>
    </w:p>
    <w:p w14:paraId="060C5AD1"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II.</w:t>
      </w:r>
      <w:r w:rsidRPr="001F1A44">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304C304"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III</w:t>
      </w:r>
      <w:r w:rsidRPr="001F1A44">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8BA480C"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6D6AB4CC" w14:textId="77777777" w:rsidR="00CA45CA" w:rsidRPr="001F1A44" w:rsidRDefault="00AD389B">
      <w:pPr>
        <w:spacing w:before="120" w:after="120"/>
        <w:ind w:left="567" w:right="902"/>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1A6D80B"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8BAE10E" w14:textId="77777777" w:rsidR="00CA45CA" w:rsidRPr="001F1A44" w:rsidRDefault="00AD389B">
      <w:pPr>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siendo estas las siguientes:</w:t>
      </w:r>
    </w:p>
    <w:p w14:paraId="6458C5BA" w14:textId="77777777" w:rsidR="00CA45CA" w:rsidRPr="001F1A44" w:rsidRDefault="00CA45CA">
      <w:pPr>
        <w:spacing w:line="360" w:lineRule="auto"/>
        <w:jc w:val="both"/>
        <w:rPr>
          <w:rFonts w:ascii="Palatino Linotype" w:eastAsia="Palatino Linotype" w:hAnsi="Palatino Linotype" w:cs="Palatino Linotype"/>
        </w:rPr>
      </w:pPr>
    </w:p>
    <w:p w14:paraId="3CA66323" w14:textId="77777777" w:rsidR="00CA45CA" w:rsidRPr="001F1A44" w:rsidRDefault="00AD389B">
      <w:pPr>
        <w:spacing w:line="276" w:lineRule="auto"/>
        <w:ind w:left="567"/>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“CAPÍTULO VIII </w:t>
      </w:r>
    </w:p>
    <w:p w14:paraId="56360523" w14:textId="77777777" w:rsidR="00CA45CA" w:rsidRPr="001F1A44" w:rsidRDefault="00AD389B">
      <w:pPr>
        <w:spacing w:line="276" w:lineRule="auto"/>
        <w:ind w:left="567"/>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DE LOS ELEMENTOS PARA LA CLASIFICACIÓN </w:t>
      </w:r>
    </w:p>
    <w:p w14:paraId="716FFE3B" w14:textId="77777777" w:rsidR="00CA45CA" w:rsidRPr="001F1A44" w:rsidRDefault="00AD389B">
      <w:pP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Quincuagésimo.</w:t>
      </w:r>
      <w:r w:rsidRPr="001F1A4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0791A90" w14:textId="77777777" w:rsidR="00CA45CA" w:rsidRPr="001F1A44" w:rsidRDefault="00AD389B">
      <w:pP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lastRenderedPageBreak/>
        <w:t>Quincuagésimo primero.</w:t>
      </w:r>
      <w:r w:rsidRPr="001F1A44">
        <w:rPr>
          <w:rFonts w:ascii="Palatino Linotype" w:eastAsia="Palatino Linotype" w:hAnsi="Palatino Linotype" w:cs="Palatino Linotype"/>
          <w:i/>
          <w:sz w:val="22"/>
          <w:szCs w:val="22"/>
        </w:rPr>
        <w:t xml:space="preserve"> Toda acta del Comité de Transparencia deberá contener: </w:t>
      </w:r>
    </w:p>
    <w:p w14:paraId="70FCED56" w14:textId="77777777" w:rsidR="00CA45CA" w:rsidRPr="001F1A44" w:rsidRDefault="00AD389B">
      <w:pPr>
        <w:numPr>
          <w:ilvl w:val="1"/>
          <w:numId w:val="2"/>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El número de sesión y fecha; </w:t>
      </w:r>
    </w:p>
    <w:p w14:paraId="3229F328" w14:textId="77777777" w:rsidR="00CA45CA" w:rsidRPr="001F1A44" w:rsidRDefault="00AD389B">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El nombre del área que solicitó la clasificación de información; </w:t>
      </w:r>
    </w:p>
    <w:p w14:paraId="0E620333" w14:textId="77777777" w:rsidR="00CA45CA" w:rsidRPr="001F1A44" w:rsidRDefault="00AD389B">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La fundamentación legal y motivación correspondiente; </w:t>
      </w:r>
    </w:p>
    <w:p w14:paraId="612181CF" w14:textId="77777777" w:rsidR="00CA45CA" w:rsidRPr="001F1A44" w:rsidRDefault="00AD389B">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La resolución o resoluciones aprobadas; y </w:t>
      </w:r>
    </w:p>
    <w:p w14:paraId="5D7DCA93" w14:textId="77777777" w:rsidR="00CA45CA" w:rsidRPr="001F1A44" w:rsidRDefault="00AD389B">
      <w:pPr>
        <w:numPr>
          <w:ilvl w:val="1"/>
          <w:numId w:val="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La rúbrica o firma digital de cada integrante del Comité de Transparencia. </w:t>
      </w:r>
    </w:p>
    <w:p w14:paraId="3DD14437"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032D184"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 Los motivos y razonamientos que sustenten la confirmación o modificación de la prueba de daño;</w:t>
      </w:r>
    </w:p>
    <w:p w14:paraId="589C7F22"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II. Descripción de las partes o secciones reservadas, en caso de clasificación parcial; </w:t>
      </w:r>
    </w:p>
    <w:p w14:paraId="06C60E73"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III. El periodo por el que mantendrá su clasificación y fecha de expiración; y </w:t>
      </w:r>
    </w:p>
    <w:p w14:paraId="7725161C"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64CE232F"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328BB62"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CA97B5D"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Quincuagésimo segundo. </w:t>
      </w:r>
      <w:r w:rsidRPr="001F1A44">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1F1A44">
        <w:rPr>
          <w:rFonts w:ascii="Palatino Linotype" w:eastAsia="Palatino Linotype" w:hAnsi="Palatino Linotype" w:cs="Palatino Linotype"/>
          <w:i/>
          <w:sz w:val="22"/>
          <w:szCs w:val="22"/>
        </w:rPr>
        <w:t>sobreposición</w:t>
      </w:r>
      <w:proofErr w:type="spellEnd"/>
      <w:r w:rsidRPr="001F1A44">
        <w:rPr>
          <w:rFonts w:ascii="Palatino Linotype" w:eastAsia="Palatino Linotype" w:hAnsi="Palatino Linotype" w:cs="Palatino Linotype"/>
          <w:i/>
          <w:sz w:val="22"/>
          <w:szCs w:val="22"/>
        </w:rPr>
        <w:t xml:space="preserve"> de contenido distinto al autorizado por el Comité.</w:t>
      </w:r>
    </w:p>
    <w:p w14:paraId="6CEE73AD"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2D8AC56"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 Fijar la fecha en que se elaboró la versión pública y la fecha en la cual el Comité de</w:t>
      </w:r>
    </w:p>
    <w:p w14:paraId="1D5815B8"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Transparencia confirmó dicha versión;</w:t>
      </w:r>
    </w:p>
    <w:p w14:paraId="5745E957"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015A2F8"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III. Señalar las personas o instancias autorizadas a acceder a la información clasificada.</w:t>
      </w:r>
    </w:p>
    <w:p w14:paraId="4919E14E"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lastRenderedPageBreak/>
        <w:t>En los documentos de difusión electrónica, señalar en la primera hoja y en el nombre del archivo, que la versión pública corresponde a un documento que contiene información confidencial.</w:t>
      </w:r>
      <w:r w:rsidRPr="001F1A44">
        <w:rPr>
          <w:noProof/>
          <w:lang w:val="es-MX"/>
        </w:rPr>
        <w:drawing>
          <wp:anchor distT="0" distB="0" distL="114300" distR="114300" simplePos="0" relativeHeight="251660288" behindDoc="0" locked="0" layoutInCell="1" hidden="0" allowOverlap="1" wp14:anchorId="5B913ABC" wp14:editId="6D87259F">
            <wp:simplePos x="0" y="0"/>
            <wp:positionH relativeFrom="column">
              <wp:posOffset>377190</wp:posOffset>
            </wp:positionH>
            <wp:positionV relativeFrom="paragraph">
              <wp:posOffset>798830</wp:posOffset>
            </wp:positionV>
            <wp:extent cx="4568190" cy="330200"/>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568190" cy="330200"/>
                    </a:xfrm>
                    <a:prstGeom prst="rect">
                      <a:avLst/>
                    </a:prstGeom>
                    <a:ln/>
                  </pic:spPr>
                </pic:pic>
              </a:graphicData>
            </a:graphic>
          </wp:anchor>
        </w:drawing>
      </w:r>
    </w:p>
    <w:p w14:paraId="00E545AE"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1F1A44">
        <w:rPr>
          <w:rFonts w:ascii="Palatino Linotype" w:eastAsia="Palatino Linotype" w:hAnsi="Palatino Linotype" w:cs="Palatino Linotype"/>
          <w:b/>
          <w:i/>
          <w:noProof/>
          <w:sz w:val="22"/>
          <w:szCs w:val="22"/>
          <w:lang w:val="es-MX"/>
        </w:rPr>
        <w:drawing>
          <wp:inline distT="0" distB="0" distL="0" distR="0" wp14:anchorId="74BB311B" wp14:editId="4C57CBD3">
            <wp:extent cx="4576404" cy="5139653"/>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576404" cy="5139653"/>
                    </a:xfrm>
                    <a:prstGeom prst="rect">
                      <a:avLst/>
                    </a:prstGeom>
                    <a:ln/>
                  </pic:spPr>
                </pic:pic>
              </a:graphicData>
            </a:graphic>
          </wp:inline>
        </w:drawing>
      </w:r>
    </w:p>
    <w:p w14:paraId="76AEDD9A" w14:textId="77777777" w:rsidR="00CA45CA" w:rsidRPr="001F1A44" w:rsidRDefault="00CA45C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2D786265"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Quincuagésimo cuarto. </w:t>
      </w:r>
      <w:r w:rsidRPr="001F1A44">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w:t>
      </w:r>
      <w:r w:rsidRPr="001F1A44">
        <w:rPr>
          <w:rFonts w:ascii="Palatino Linotype" w:eastAsia="Palatino Linotype" w:hAnsi="Palatino Linotype" w:cs="Palatino Linotype"/>
          <w:i/>
          <w:sz w:val="22"/>
          <w:szCs w:val="22"/>
        </w:rPr>
        <w:lastRenderedPageBreak/>
        <w:t>defecto, identificar en la carátula del expediente del cual formen parte, la fecha y sesión del Comité de Transparencia en la que se confirmó dicha clasificación.</w:t>
      </w:r>
    </w:p>
    <w:p w14:paraId="7E638F09" w14:textId="77777777" w:rsidR="00CA45CA" w:rsidRPr="001F1A44" w:rsidRDefault="00CA45C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4C733E03" w14:textId="77777777" w:rsidR="00CA45CA" w:rsidRPr="001F1A44" w:rsidRDefault="00AD389B">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b/>
          <w:i/>
          <w:sz w:val="22"/>
          <w:szCs w:val="22"/>
        </w:rPr>
        <w:t xml:space="preserve">Quincuagésimo quinto. </w:t>
      </w:r>
      <w:r w:rsidRPr="001F1A44">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1F1A44">
        <w:rPr>
          <w:rFonts w:ascii="Palatino Linotype" w:eastAsia="Palatino Linotype" w:hAnsi="Palatino Linotype" w:cs="Palatino Linotype"/>
          <w:i/>
          <w:sz w:val="22"/>
          <w:szCs w:val="22"/>
        </w:rPr>
        <w:t>testado</w:t>
      </w:r>
      <w:proofErr w:type="spellEnd"/>
      <w:r w:rsidRPr="001F1A44">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14:paraId="7C1EC8BC"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407D7B9" w14:textId="77777777" w:rsidR="00CA45CA" w:rsidRPr="001F1A44" w:rsidRDefault="00AD389B">
      <w:pPr>
        <w:spacing w:before="240" w:after="240" w:line="360" w:lineRule="auto"/>
        <w:ind w:right="49"/>
        <w:jc w:val="both"/>
        <w:rPr>
          <w:rFonts w:ascii="Palatino Linotype" w:eastAsia="Palatino Linotype" w:hAnsi="Palatino Linotype" w:cs="Palatino Linotype"/>
        </w:rPr>
      </w:pPr>
      <w:r w:rsidRPr="001F1A44">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7BEB9EC2" w14:textId="77777777" w:rsidR="00CA45CA" w:rsidRPr="001F1A44" w:rsidRDefault="00AD389B">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1F1A44">
        <w:rPr>
          <w:rFonts w:ascii="Palatino Linotype" w:eastAsia="Palatino Linotype" w:hAnsi="Palatino Linotype" w:cs="Palatino Linotype"/>
          <w:b/>
        </w:rPr>
        <w:t>R E S U E L V E:</w:t>
      </w:r>
    </w:p>
    <w:p w14:paraId="19366E6B" w14:textId="77777777" w:rsidR="00CA45CA" w:rsidRPr="001F1A44" w:rsidRDefault="00AD389B">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1F1A44">
        <w:rPr>
          <w:rFonts w:ascii="Palatino Linotype" w:eastAsia="Palatino Linotype" w:hAnsi="Palatino Linotype" w:cs="Palatino Linotype"/>
          <w:b/>
        </w:rPr>
        <w:lastRenderedPageBreak/>
        <w:t xml:space="preserve">Primero. </w:t>
      </w:r>
      <w:r w:rsidRPr="001F1A44">
        <w:rPr>
          <w:rFonts w:ascii="Palatino Linotype" w:eastAsia="Palatino Linotype" w:hAnsi="Palatino Linotype" w:cs="Palatino Linotype"/>
        </w:rPr>
        <w:t xml:space="preserve">Resultan </w:t>
      </w:r>
      <w:r w:rsidRPr="001F1A44">
        <w:rPr>
          <w:rFonts w:ascii="Palatino Linotype" w:eastAsia="Palatino Linotype" w:hAnsi="Palatino Linotype" w:cs="Palatino Linotype"/>
          <w:b/>
        </w:rPr>
        <w:t>fundadas</w:t>
      </w:r>
      <w:r w:rsidRPr="001F1A44">
        <w:rPr>
          <w:rFonts w:ascii="Palatino Linotype" w:eastAsia="Palatino Linotype" w:hAnsi="Palatino Linotype" w:cs="Palatino Linotype"/>
        </w:rPr>
        <w:t xml:space="preserve"> las razones o motivos de inconformidad hechos valer por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en el recurso de revisión </w:t>
      </w:r>
      <w:r w:rsidRPr="001F1A44">
        <w:rPr>
          <w:rFonts w:ascii="Palatino Linotype" w:eastAsia="Palatino Linotype" w:hAnsi="Palatino Linotype" w:cs="Palatino Linotype"/>
          <w:b/>
        </w:rPr>
        <w:t>02219/INFOEM/IP/RR/2023</w:t>
      </w:r>
      <w:r w:rsidRPr="001F1A44">
        <w:rPr>
          <w:rFonts w:ascii="Palatino Linotype" w:eastAsia="Palatino Linotype" w:hAnsi="Palatino Linotype" w:cs="Palatino Linotype"/>
        </w:rPr>
        <w:t xml:space="preserve">; por lo que, en términos del </w:t>
      </w:r>
      <w:r w:rsidRPr="001F1A44">
        <w:rPr>
          <w:rFonts w:ascii="Palatino Linotype" w:eastAsia="Palatino Linotype" w:hAnsi="Palatino Linotype" w:cs="Palatino Linotype"/>
          <w:b/>
        </w:rPr>
        <w:t>Considerando</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 xml:space="preserve">Cuarto </w:t>
      </w:r>
      <w:r w:rsidRPr="001F1A44">
        <w:rPr>
          <w:rFonts w:ascii="Palatino Linotype" w:eastAsia="Palatino Linotype" w:hAnsi="Palatino Linotype" w:cs="Palatino Linotype"/>
        </w:rPr>
        <w:t xml:space="preserve">de esta resolución, se </w:t>
      </w:r>
      <w:r w:rsidRPr="001F1A44">
        <w:rPr>
          <w:rFonts w:ascii="Palatino Linotype" w:eastAsia="Palatino Linotype" w:hAnsi="Palatino Linotype" w:cs="Palatino Linotype"/>
          <w:b/>
        </w:rPr>
        <w:t xml:space="preserve">REVOCA </w:t>
      </w:r>
      <w:r w:rsidRPr="001F1A44">
        <w:rPr>
          <w:rFonts w:ascii="Palatino Linotype" w:eastAsia="Palatino Linotype" w:hAnsi="Palatino Linotype" w:cs="Palatino Linotype"/>
        </w:rPr>
        <w:t xml:space="preserve">la respuesta emitida por el </w:t>
      </w:r>
      <w:r w:rsidRPr="001F1A44">
        <w:rPr>
          <w:rFonts w:ascii="Palatino Linotype" w:eastAsia="Palatino Linotype" w:hAnsi="Palatino Linotype" w:cs="Palatino Linotype"/>
          <w:b/>
        </w:rPr>
        <w:t>Sujeto Obligado.</w:t>
      </w:r>
    </w:p>
    <w:p w14:paraId="5836AEC0" w14:textId="77777777" w:rsidR="00CA45CA" w:rsidRPr="001F1A44" w:rsidRDefault="00AD389B">
      <w:pPr>
        <w:spacing w:before="240" w:after="240" w:line="360" w:lineRule="auto"/>
        <w:ind w:right="49"/>
        <w:jc w:val="both"/>
        <w:rPr>
          <w:rFonts w:ascii="Palatino Linotype" w:eastAsia="Palatino Linotype" w:hAnsi="Palatino Linotype" w:cs="Palatino Linotype"/>
          <w:b/>
        </w:rPr>
      </w:pPr>
      <w:r w:rsidRPr="001F1A44">
        <w:rPr>
          <w:rFonts w:ascii="Palatino Linotype" w:eastAsia="Palatino Linotype" w:hAnsi="Palatino Linotype" w:cs="Palatino Linotype"/>
          <w:b/>
        </w:rPr>
        <w:t xml:space="preserve">Segundo. </w:t>
      </w:r>
      <w:r w:rsidRPr="001F1A44">
        <w:rPr>
          <w:rFonts w:ascii="Palatino Linotype" w:eastAsia="Palatino Linotype" w:hAnsi="Palatino Linotype" w:cs="Palatino Linotype"/>
        </w:rPr>
        <w:t xml:space="preserve">Se </w:t>
      </w:r>
      <w:r w:rsidRPr="001F1A44">
        <w:rPr>
          <w:rFonts w:ascii="Palatino Linotype" w:eastAsia="Palatino Linotype" w:hAnsi="Palatino Linotype" w:cs="Palatino Linotype"/>
          <w:b/>
        </w:rPr>
        <w:t xml:space="preserve">Ordena </w:t>
      </w:r>
      <w:r w:rsidRPr="001F1A44">
        <w:rPr>
          <w:rFonts w:ascii="Palatino Linotype" w:eastAsia="Palatino Linotype" w:hAnsi="Palatino Linotype" w:cs="Palatino Linotype"/>
        </w:rPr>
        <w:t xml:space="preserve">al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entregue, a</w:t>
      </w:r>
      <w:r w:rsidRPr="001F1A44">
        <w:rPr>
          <w:rFonts w:ascii="Palatino Linotype" w:eastAsia="Palatino Linotype" w:hAnsi="Palatino Linotype" w:cs="Palatino Linotype"/>
          <w:b/>
        </w:rPr>
        <w:t xml:space="preserve"> la parte</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Recurrente</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 xml:space="preserve">vía SAIMEX, </w:t>
      </w:r>
      <w:r w:rsidRPr="001F1A44">
        <w:rPr>
          <w:rFonts w:ascii="Palatino Linotype" w:eastAsia="Palatino Linotype" w:hAnsi="Palatino Linotype" w:cs="Palatino Linotype"/>
        </w:rPr>
        <w:t>en términos de los</w:t>
      </w:r>
      <w:r w:rsidRPr="001F1A44">
        <w:rPr>
          <w:rFonts w:ascii="Palatino Linotype" w:eastAsia="Palatino Linotype" w:hAnsi="Palatino Linotype" w:cs="Palatino Linotype"/>
          <w:b/>
        </w:rPr>
        <w:t xml:space="preserve"> Considerandos</w:t>
      </w:r>
      <w:r w:rsidRPr="001F1A44">
        <w:rPr>
          <w:rFonts w:ascii="Palatino Linotype" w:eastAsia="Palatino Linotype" w:hAnsi="Palatino Linotype" w:cs="Palatino Linotype"/>
        </w:rPr>
        <w:t xml:space="preserve"> </w:t>
      </w:r>
      <w:r w:rsidRPr="001F1A44">
        <w:rPr>
          <w:rFonts w:ascii="Palatino Linotype" w:eastAsia="Palatino Linotype" w:hAnsi="Palatino Linotype" w:cs="Palatino Linotype"/>
          <w:b/>
        </w:rPr>
        <w:t>Cuarto y Quinto, en versión pública de ser procedente, lo siguiente:</w:t>
      </w:r>
    </w:p>
    <w:p w14:paraId="44DAD836"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1. La licencia colectiva 139 para la portación de armas de fuego de los integrantes de las instituciones policiales, vigente al 23 de marzo de 2023.</w:t>
      </w:r>
    </w:p>
    <w:p w14:paraId="1AA56F01"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2.-La credencial expedida al permiso de portación de arma del director de seguridad pública y tránsito del Ayuntamiento de Coatepec Harinas que se encontraba en funciones al 23 de marzo de 2023.</w:t>
      </w:r>
    </w:p>
    <w:p w14:paraId="57A0359B" w14:textId="77777777" w:rsidR="00CA45CA" w:rsidRPr="001F1A44" w:rsidRDefault="00AD389B">
      <w:pPr>
        <w:spacing w:after="16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3.-Certificado Único Policial del Director de Seguridad Pública, del director de seguridad pública y tránsito del Ayuntamiento de Coatepec Harinas que se encontraba en funciones al 23 de marzo de 2023.</w:t>
      </w:r>
    </w:p>
    <w:p w14:paraId="383556A6" w14:textId="77777777" w:rsidR="00CA45CA" w:rsidRPr="001F1A44" w:rsidRDefault="00AD389B">
      <w:pPr>
        <w:tabs>
          <w:tab w:val="left" w:pos="3962"/>
        </w:tabs>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4. El Acuerdo emitido por el Comité de Transparencia, en el que se confirme la clasificación como </w:t>
      </w:r>
      <w:r w:rsidRPr="001F1A44">
        <w:rPr>
          <w:rFonts w:ascii="Palatino Linotype" w:eastAsia="Palatino Linotype" w:hAnsi="Palatino Linotype" w:cs="Palatino Linotype"/>
          <w:b/>
          <w:i/>
          <w:sz w:val="22"/>
          <w:szCs w:val="22"/>
          <w:u w:val="single"/>
        </w:rPr>
        <w:t>confidencial</w:t>
      </w:r>
      <w:r w:rsidRPr="001F1A44">
        <w:rPr>
          <w:rFonts w:ascii="Palatino Linotype" w:eastAsia="Palatino Linotype" w:hAnsi="Palatino Linotype" w:cs="Palatino Linotype"/>
          <w:i/>
          <w:sz w:val="22"/>
          <w:szCs w:val="22"/>
        </w:rPr>
        <w:t xml:space="preserve"> del pronunciamiento en sentido afirmativo o negativo, en términos de los artículos 49, fracción II, 132, fracción II, 143, fracción I y 149 de la Ley de Transparencia y Acceso a la Información Pública del Estado de México y Municipios; respecto del número de procedimientos por faltas administrativas graves y/o no graves, </w:t>
      </w:r>
      <w:r w:rsidRPr="001F1A44">
        <w:rPr>
          <w:rFonts w:ascii="Palatino Linotype" w:eastAsia="Palatino Linotype" w:hAnsi="Palatino Linotype" w:cs="Palatino Linotype"/>
          <w:b/>
          <w:i/>
          <w:sz w:val="22"/>
          <w:szCs w:val="22"/>
          <w:u w:val="single"/>
        </w:rPr>
        <w:t>que se encuentren en trámite</w:t>
      </w:r>
      <w:r w:rsidRPr="001F1A44">
        <w:rPr>
          <w:rFonts w:ascii="Palatino Linotype" w:eastAsia="Palatino Linotype" w:hAnsi="Palatino Linotype" w:cs="Palatino Linotype"/>
          <w:i/>
          <w:sz w:val="22"/>
          <w:szCs w:val="22"/>
        </w:rPr>
        <w:t xml:space="preserve">, así como de los procedimientos </w:t>
      </w:r>
      <w:r w:rsidRPr="001F1A44">
        <w:rPr>
          <w:rFonts w:ascii="Palatino Linotype" w:eastAsia="Palatino Linotype" w:hAnsi="Palatino Linotype" w:cs="Palatino Linotype"/>
          <w:b/>
          <w:i/>
          <w:sz w:val="22"/>
          <w:szCs w:val="22"/>
          <w:u w:val="single"/>
        </w:rPr>
        <w:t>concluidos por faltas administrativas no graves condenatorias o absolutorias y graves absolutorios</w:t>
      </w:r>
      <w:r w:rsidRPr="001F1A44">
        <w:rPr>
          <w:rFonts w:ascii="Palatino Linotype" w:eastAsia="Palatino Linotype" w:hAnsi="Palatino Linotype" w:cs="Palatino Linotype"/>
          <w:i/>
          <w:sz w:val="22"/>
          <w:szCs w:val="22"/>
        </w:rPr>
        <w:t xml:space="preserve">, instaurados, de ser el caso, en su contra, de la fecha de alta en el ejercicio fiscal 2022 al 23 de marzo de 2023. </w:t>
      </w:r>
    </w:p>
    <w:p w14:paraId="7149E1E3" w14:textId="77777777" w:rsidR="00CA45CA" w:rsidRPr="001F1A44" w:rsidRDefault="00AD389B">
      <w:pPr>
        <w:tabs>
          <w:tab w:val="left" w:pos="3962"/>
        </w:tabs>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5. Documento que dé cuenta del número de </w:t>
      </w:r>
      <w:r w:rsidRPr="001F1A44">
        <w:rPr>
          <w:rFonts w:ascii="Palatino Linotype" w:eastAsia="Palatino Linotype" w:hAnsi="Palatino Linotype" w:cs="Palatino Linotype"/>
          <w:b/>
          <w:i/>
          <w:sz w:val="22"/>
          <w:szCs w:val="22"/>
          <w:u w:val="single"/>
        </w:rPr>
        <w:t>los procedimientos administrativos en trámite relacionados con actos de corrupción</w:t>
      </w:r>
      <w:r w:rsidRPr="001F1A44">
        <w:rPr>
          <w:rFonts w:ascii="Palatino Linotype" w:eastAsia="Palatino Linotype" w:hAnsi="Palatino Linotype" w:cs="Palatino Linotype"/>
          <w:i/>
          <w:sz w:val="22"/>
          <w:szCs w:val="22"/>
        </w:rPr>
        <w:t xml:space="preserve">, de conformidad con el artículo </w:t>
      </w:r>
      <w:r w:rsidRPr="001F1A44">
        <w:rPr>
          <w:rFonts w:ascii="Palatino Linotype" w:eastAsia="Palatino Linotype" w:hAnsi="Palatino Linotype" w:cs="Palatino Linotype"/>
          <w:i/>
          <w:sz w:val="22"/>
          <w:szCs w:val="22"/>
        </w:rPr>
        <w:lastRenderedPageBreak/>
        <w:t xml:space="preserve">142 de la Ley de la materia; instaurados, de ser el caso, en su contra, de la fecha de alta en el ejercicio fiscal 2022 al 23 de marzo de 2023. </w:t>
      </w:r>
    </w:p>
    <w:p w14:paraId="3A6BBB86" w14:textId="77777777" w:rsidR="00CA45CA" w:rsidRPr="001F1A44" w:rsidRDefault="00AD389B">
      <w:pPr>
        <w:tabs>
          <w:tab w:val="left" w:pos="3962"/>
        </w:tabs>
        <w:spacing w:before="240" w:after="240"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6. Versión pública del documento que dé cuenta del número de los procedimientos concluidos, por faltas administrativas graves condenatorias, instaurados, de ser el caso, en su contra, de la fecha de alta en el ejercicio fiscal 2022 al 23 de marzo de 2023.  </w:t>
      </w:r>
    </w:p>
    <w:p w14:paraId="5205D979" w14:textId="77777777" w:rsidR="00CA45CA" w:rsidRPr="001F1A44" w:rsidRDefault="00AD389B">
      <w:pPr>
        <w:pBdr>
          <w:top w:val="nil"/>
          <w:left w:val="nil"/>
          <w:bottom w:val="nil"/>
          <w:right w:val="nil"/>
          <w:between w:val="nil"/>
        </w:pBdr>
        <w:tabs>
          <w:tab w:val="left" w:pos="3962"/>
        </w:tabs>
        <w:spacing w:line="276" w:lineRule="auto"/>
        <w:ind w:left="567" w:right="900"/>
        <w:jc w:val="both"/>
        <w:rPr>
          <w:rFonts w:ascii="Palatino Linotype" w:eastAsia="Palatino Linotype" w:hAnsi="Palatino Linotype" w:cs="Palatino Linotype"/>
          <w:i/>
          <w:sz w:val="22"/>
          <w:szCs w:val="22"/>
        </w:rPr>
      </w:pPr>
      <w:r w:rsidRPr="001F1A44">
        <w:rPr>
          <w:rFonts w:ascii="Palatino Linotype" w:eastAsia="Palatino Linotype" w:hAnsi="Palatino Linotype" w:cs="Palatino Linotype"/>
          <w:i/>
          <w:sz w:val="22"/>
          <w:szCs w:val="22"/>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Pr="001F1A44">
        <w:rPr>
          <w:rFonts w:ascii="Palatino Linotype" w:eastAsia="Palatino Linotype" w:hAnsi="Palatino Linotype" w:cs="Palatino Linotype"/>
          <w:b/>
          <w:i/>
          <w:sz w:val="22"/>
          <w:szCs w:val="22"/>
        </w:rPr>
        <w:t>la parte Recurrente</w:t>
      </w:r>
      <w:r w:rsidRPr="001F1A44">
        <w:rPr>
          <w:rFonts w:ascii="Palatino Linotype" w:eastAsia="Palatino Linotype" w:hAnsi="Palatino Linotype" w:cs="Palatino Linotype"/>
          <w:i/>
          <w:sz w:val="22"/>
          <w:szCs w:val="22"/>
        </w:rPr>
        <w:t>.</w:t>
      </w:r>
    </w:p>
    <w:p w14:paraId="4574CFF9" w14:textId="77777777" w:rsidR="00CA45CA" w:rsidRPr="001F1A44" w:rsidRDefault="00CA45CA">
      <w:pPr>
        <w:pBdr>
          <w:top w:val="nil"/>
          <w:left w:val="nil"/>
          <w:bottom w:val="nil"/>
          <w:right w:val="nil"/>
          <w:between w:val="nil"/>
        </w:pBdr>
        <w:ind w:left="1287" w:hanging="360"/>
      </w:pPr>
    </w:p>
    <w:p w14:paraId="2D5B5535" w14:textId="77777777" w:rsidR="00CA45CA" w:rsidRPr="001F1A44" w:rsidRDefault="00AD389B">
      <w:pPr>
        <w:spacing w:before="120" w:after="120" w:line="276" w:lineRule="auto"/>
        <w:ind w:left="567" w:right="900"/>
        <w:jc w:val="both"/>
        <w:rPr>
          <w:rFonts w:ascii="Palatino Linotype" w:eastAsia="Palatino Linotype" w:hAnsi="Palatino Linotype" w:cs="Palatino Linotype"/>
          <w:sz w:val="22"/>
          <w:szCs w:val="22"/>
        </w:rPr>
      </w:pPr>
      <w:bookmarkStart w:id="8" w:name="_heading=h.1fob9te" w:colFirst="0" w:colLast="0"/>
      <w:bookmarkEnd w:id="8"/>
      <w:r w:rsidRPr="001F1A44">
        <w:rPr>
          <w:rFonts w:ascii="Palatino Linotype" w:eastAsia="Palatino Linotype" w:hAnsi="Palatino Linotype" w:cs="Palatino Linotype"/>
          <w:i/>
          <w:sz w:val="22"/>
          <w:szCs w:val="22"/>
        </w:rPr>
        <w:t xml:space="preserve">En el supuesto que la información ordenada en </w:t>
      </w:r>
      <w:r w:rsidRPr="001F1A44">
        <w:rPr>
          <w:rFonts w:ascii="Palatino Linotype" w:eastAsia="Palatino Linotype" w:hAnsi="Palatino Linotype" w:cs="Palatino Linotype"/>
          <w:b/>
          <w:i/>
          <w:sz w:val="22"/>
          <w:szCs w:val="22"/>
        </w:rPr>
        <w:t>los puntos 1, 2, 5 y 6</w:t>
      </w:r>
      <w:r w:rsidRPr="001F1A44">
        <w:rPr>
          <w:rFonts w:ascii="Palatino Linotype" w:eastAsia="Palatino Linotype" w:hAnsi="Palatino Linotype" w:cs="Palatino Linotype"/>
          <w:i/>
          <w:sz w:val="22"/>
          <w:szCs w:val="22"/>
        </w:rPr>
        <w:t xml:space="preserve">, no obre en los archivos del </w:t>
      </w:r>
      <w:r w:rsidRPr="001F1A44">
        <w:rPr>
          <w:rFonts w:ascii="Palatino Linotype" w:eastAsia="Palatino Linotype" w:hAnsi="Palatino Linotype" w:cs="Palatino Linotype"/>
          <w:b/>
          <w:i/>
          <w:sz w:val="22"/>
          <w:szCs w:val="22"/>
        </w:rPr>
        <w:t xml:space="preserve">Sujeto Obligado, </w:t>
      </w:r>
      <w:r w:rsidRPr="001F1A44">
        <w:rPr>
          <w:rFonts w:ascii="Palatino Linotype" w:eastAsia="Palatino Linotype" w:hAnsi="Palatino Linotype" w:cs="Palatino Linotype"/>
          <w:i/>
          <w:sz w:val="22"/>
          <w:szCs w:val="22"/>
        </w:rPr>
        <w:t xml:space="preserve">por no haberse generado, bastará con que así se haga del conocimiento de </w:t>
      </w:r>
      <w:r w:rsidRPr="001F1A44">
        <w:rPr>
          <w:rFonts w:ascii="Palatino Linotype" w:eastAsia="Palatino Linotype" w:hAnsi="Palatino Linotype" w:cs="Palatino Linotype"/>
          <w:b/>
          <w:i/>
          <w:sz w:val="22"/>
          <w:szCs w:val="22"/>
        </w:rPr>
        <w:t>la parte</w:t>
      </w:r>
      <w:r w:rsidRPr="001F1A44">
        <w:rPr>
          <w:rFonts w:ascii="Palatino Linotype" w:eastAsia="Palatino Linotype" w:hAnsi="Palatino Linotype" w:cs="Palatino Linotype"/>
          <w:i/>
          <w:sz w:val="22"/>
          <w:szCs w:val="22"/>
        </w:rPr>
        <w:t xml:space="preserve"> </w:t>
      </w:r>
      <w:r w:rsidRPr="001F1A44">
        <w:rPr>
          <w:rFonts w:ascii="Palatino Linotype" w:eastAsia="Palatino Linotype" w:hAnsi="Palatino Linotype" w:cs="Palatino Linotype"/>
          <w:b/>
          <w:i/>
          <w:sz w:val="22"/>
          <w:szCs w:val="22"/>
        </w:rPr>
        <w:t>Recurrente</w:t>
      </w:r>
      <w:r w:rsidRPr="001F1A44">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23E08C40"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Tercero</w:t>
      </w:r>
      <w:r w:rsidRPr="001F1A44">
        <w:rPr>
          <w:rFonts w:ascii="Palatino Linotype" w:eastAsia="Palatino Linotype" w:hAnsi="Palatino Linotype" w:cs="Palatino Linotype"/>
          <w:b/>
          <w:sz w:val="28"/>
          <w:szCs w:val="28"/>
        </w:rPr>
        <w:t xml:space="preserve">.  </w:t>
      </w:r>
      <w:r w:rsidRPr="001F1A44">
        <w:rPr>
          <w:rFonts w:ascii="Palatino Linotype" w:eastAsia="Palatino Linotype" w:hAnsi="Palatino Linotype" w:cs="Palatino Linotype"/>
          <w:b/>
        </w:rPr>
        <w:t>Notifíquese vía SAIMEX,</w:t>
      </w:r>
      <w:r w:rsidRPr="001F1A44">
        <w:rPr>
          <w:rFonts w:ascii="Palatino Linotype" w:eastAsia="Palatino Linotype" w:hAnsi="Palatino Linotype" w:cs="Palatino Linotype"/>
          <w:b/>
          <w:sz w:val="28"/>
          <w:szCs w:val="28"/>
        </w:rPr>
        <w:t xml:space="preserve"> </w:t>
      </w:r>
      <w:r w:rsidRPr="001F1A44">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1F1A44">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78713D5A" w14:textId="77777777"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Cuarto</w:t>
      </w:r>
      <w:r w:rsidRPr="001F1A44">
        <w:rPr>
          <w:rFonts w:ascii="Palatino Linotype" w:eastAsia="Palatino Linotype" w:hAnsi="Palatino Linotype" w:cs="Palatino Linotype"/>
          <w:b/>
          <w:sz w:val="28"/>
          <w:szCs w:val="28"/>
        </w:rPr>
        <w:t xml:space="preserve">. </w:t>
      </w:r>
      <w:r w:rsidRPr="001F1A4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F1A44">
        <w:rPr>
          <w:rFonts w:ascii="Palatino Linotype" w:eastAsia="Palatino Linotype" w:hAnsi="Palatino Linotype" w:cs="Palatino Linotype"/>
          <w:b/>
        </w:rPr>
        <w:t>Sujeto Obligado</w:t>
      </w:r>
      <w:r w:rsidRPr="001F1A44">
        <w:rPr>
          <w:rFonts w:ascii="Palatino Linotype" w:eastAsia="Palatino Linotype" w:hAnsi="Palatino Linotype" w:cs="Palatino Linotype"/>
        </w:rPr>
        <w:t xml:space="preserve"> de manera fundada y motivada, podrá solicitar una ampliación de plazo para el cumplimiento de la presente resolución.</w:t>
      </w:r>
    </w:p>
    <w:p w14:paraId="2B4B9830" w14:textId="77777777" w:rsidR="00CA45CA" w:rsidRPr="001F1A44" w:rsidRDefault="00AD389B">
      <w:pPr>
        <w:tabs>
          <w:tab w:val="left" w:pos="142"/>
        </w:tabs>
        <w:spacing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b/>
        </w:rPr>
        <w:t>Quinto</w:t>
      </w:r>
      <w:r w:rsidRPr="001F1A44">
        <w:rPr>
          <w:rFonts w:ascii="Palatino Linotype" w:eastAsia="Palatino Linotype" w:hAnsi="Palatino Linotype" w:cs="Palatino Linotype"/>
          <w:b/>
          <w:sz w:val="28"/>
          <w:szCs w:val="28"/>
        </w:rPr>
        <w:t xml:space="preserve">. </w:t>
      </w:r>
      <w:r w:rsidRPr="001F1A44">
        <w:rPr>
          <w:rFonts w:ascii="Palatino Linotype" w:eastAsia="Palatino Linotype" w:hAnsi="Palatino Linotype" w:cs="Palatino Linotype"/>
          <w:b/>
        </w:rPr>
        <w:t xml:space="preserve">Notifíquese, </w:t>
      </w:r>
      <w:r w:rsidRPr="001F1A44">
        <w:rPr>
          <w:rFonts w:ascii="Palatino Linotype" w:eastAsia="Palatino Linotype" w:hAnsi="Palatino Linotype" w:cs="Palatino Linotype"/>
        </w:rPr>
        <w:t xml:space="preserve">vía </w:t>
      </w:r>
      <w:r w:rsidRPr="001F1A44">
        <w:rPr>
          <w:rFonts w:ascii="Palatino Linotype" w:eastAsia="Palatino Linotype" w:hAnsi="Palatino Linotype" w:cs="Palatino Linotype"/>
          <w:b/>
        </w:rPr>
        <w:t>SAIMEX</w:t>
      </w:r>
      <w:r w:rsidRPr="001F1A44">
        <w:rPr>
          <w:rFonts w:ascii="Palatino Linotype" w:eastAsia="Palatino Linotype" w:hAnsi="Palatino Linotype" w:cs="Palatino Linotype"/>
        </w:rPr>
        <w:t xml:space="preserve">, a </w:t>
      </w:r>
      <w:r w:rsidRPr="001F1A44">
        <w:rPr>
          <w:rFonts w:ascii="Palatino Linotype" w:eastAsia="Palatino Linotype" w:hAnsi="Palatino Linotype" w:cs="Palatino Linotype"/>
          <w:b/>
        </w:rPr>
        <w:t>la parte Recurrente</w:t>
      </w:r>
      <w:r w:rsidRPr="001F1A44">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r w:rsidRPr="001F1A44">
        <w:rPr>
          <w:rFonts w:ascii="Palatino Linotype" w:eastAsia="Palatino Linotype" w:hAnsi="Palatino Linotype" w:cs="Palatino Linotype"/>
          <w:b/>
        </w:rPr>
        <w:t>.</w:t>
      </w:r>
    </w:p>
    <w:p w14:paraId="0E1A31E6" w14:textId="2FBA9051" w:rsidR="00CA45CA" w:rsidRPr="001F1A44" w:rsidRDefault="00AD389B">
      <w:pPr>
        <w:spacing w:before="240" w:after="240" w:line="360" w:lineRule="auto"/>
        <w:jc w:val="both"/>
        <w:rPr>
          <w:rFonts w:ascii="Palatino Linotype" w:eastAsia="Palatino Linotype" w:hAnsi="Palatino Linotype" w:cs="Palatino Linotype"/>
        </w:rPr>
      </w:pPr>
      <w:r w:rsidRPr="001F1A44">
        <w:rPr>
          <w:rFonts w:ascii="Palatino Linotype" w:eastAsia="Palatino Linotype" w:hAnsi="Palatino Linotype" w:cs="Palatino Linotype"/>
        </w:rPr>
        <w:t xml:space="preserve">ASÍ LO </w:t>
      </w:r>
      <w:r w:rsidR="000952FE" w:rsidRPr="001F1A44">
        <w:rPr>
          <w:rFonts w:ascii="Palatino Linotype" w:eastAsia="Palatino Linotype" w:hAnsi="Palatino Linotype" w:cs="Palatino Linotype"/>
        </w:rPr>
        <w:t>RESUELVE</w:t>
      </w:r>
      <w:r w:rsidRPr="001F1A44">
        <w:rPr>
          <w:rFonts w:ascii="Palatino Linotype" w:eastAsia="Palatino Linotype" w:hAnsi="Palatino Linotype" w:cs="Palatino Linotype"/>
        </w:rPr>
        <w:t xml:space="preserve"> POR UNANIMIDAD DE VOTOS EL PLENO DEL INSTITUTO DE TRANSPARENCIA, ACCESO A LA INFORMACIÓN PÚBLICA Y PROTECCIÓN DE DATOS PERSONALES DEL ESTADO DE MEXICO Y MUNICIPIOS, CONFORMADO POR LOS COMISIONADOS JOSÉ MARTÍNEZ VILCHIS; MARÍA DEL ROSARIO MEJÍA AYALA; EMITIENDO VOTO PARTICULAR; SHARON CRISTINA MORALES MARTÍNEZ, LUIS GUSTAVO PARRA NORIEGA; EMITIENDO VOTO PARTICULAR; Y GUADALUPE RAMÍREZ PEÑA; EN LA PRIMERA SESIÓN ORDINARIA CELEBRADA EL </w:t>
      </w:r>
      <w:r w:rsidRPr="001F1A44">
        <w:rPr>
          <w:rFonts w:ascii="Palatino Linotype" w:eastAsia="Palatino Linotype" w:hAnsi="Palatino Linotype" w:cs="Palatino Linotype"/>
        </w:rPr>
        <w:lastRenderedPageBreak/>
        <w:t>DIECISIETE DE ENERO DE DOS MIL VEINTICUATRO, ANTE EL SECRETARIO TÉCNICO DEL PLENO ALEXIS TAPIA RAMÍREZ.</w:t>
      </w:r>
    </w:p>
    <w:p w14:paraId="1DF8EA79" w14:textId="5DA01D19" w:rsidR="00CA45CA" w:rsidRPr="001F1A44" w:rsidRDefault="005614C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62892597" wp14:editId="461E0217">
                <wp:simplePos x="0" y="0"/>
                <wp:positionH relativeFrom="column">
                  <wp:posOffset>296381</wp:posOffset>
                </wp:positionH>
                <wp:positionV relativeFrom="paragraph">
                  <wp:posOffset>78453</wp:posOffset>
                </wp:positionV>
                <wp:extent cx="4866968" cy="6233652"/>
                <wp:effectExtent l="0" t="0" r="29210" b="34290"/>
                <wp:wrapNone/>
                <wp:docPr id="20" name="Conector recto 20"/>
                <wp:cNvGraphicFramePr/>
                <a:graphic xmlns:a="http://schemas.openxmlformats.org/drawingml/2006/main">
                  <a:graphicData uri="http://schemas.microsoft.com/office/word/2010/wordprocessingShape">
                    <wps:wsp>
                      <wps:cNvCnPr/>
                      <wps:spPr>
                        <a:xfrm>
                          <a:off x="0" y="0"/>
                          <a:ext cx="4866968" cy="6233652"/>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9BDCE35" id="Conector recto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35pt,6.2pt" to="406.6pt,4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" strokecolor="#f68c36 [3049]"/>
            </w:pict>
          </mc:Fallback>
        </mc:AlternateContent>
      </w:r>
    </w:p>
    <w:p w14:paraId="7147D3FC" w14:textId="77777777" w:rsidR="00CA45CA" w:rsidRPr="001F1A44" w:rsidRDefault="00CA45CA">
      <w:pPr>
        <w:spacing w:before="240" w:after="240" w:line="360" w:lineRule="auto"/>
        <w:jc w:val="both"/>
        <w:rPr>
          <w:rFonts w:ascii="Palatino Linotype" w:eastAsia="Palatino Linotype" w:hAnsi="Palatino Linotype" w:cs="Palatino Linotype"/>
        </w:rPr>
      </w:pPr>
    </w:p>
    <w:p w14:paraId="6B9C54F1" w14:textId="77777777" w:rsidR="00CA45CA" w:rsidRPr="001F1A44" w:rsidRDefault="00CA45CA">
      <w:pPr>
        <w:spacing w:before="240" w:after="240" w:line="360" w:lineRule="auto"/>
        <w:jc w:val="both"/>
        <w:rPr>
          <w:rFonts w:ascii="Palatino Linotype" w:eastAsia="Palatino Linotype" w:hAnsi="Palatino Linotype" w:cs="Palatino Linotype"/>
        </w:rPr>
      </w:pPr>
    </w:p>
    <w:p w14:paraId="67739F0E" w14:textId="77777777" w:rsidR="00CA45CA" w:rsidRPr="001F1A44" w:rsidRDefault="00CA45CA">
      <w:pPr>
        <w:spacing w:before="240" w:after="240" w:line="360" w:lineRule="auto"/>
        <w:jc w:val="both"/>
        <w:rPr>
          <w:rFonts w:ascii="Palatino Linotype" w:eastAsia="Palatino Linotype" w:hAnsi="Palatino Linotype" w:cs="Palatino Linotype"/>
        </w:rPr>
      </w:pPr>
    </w:p>
    <w:p w14:paraId="59A9BF84" w14:textId="77777777" w:rsidR="00CA45CA" w:rsidRPr="001F1A44" w:rsidRDefault="00CA45CA">
      <w:pPr>
        <w:spacing w:before="240" w:after="240" w:line="360" w:lineRule="auto"/>
        <w:jc w:val="both"/>
        <w:rPr>
          <w:rFonts w:ascii="Palatino Linotype" w:eastAsia="Palatino Linotype" w:hAnsi="Palatino Linotype" w:cs="Palatino Linotype"/>
        </w:rPr>
      </w:pPr>
    </w:p>
    <w:p w14:paraId="60250637" w14:textId="77777777" w:rsidR="00CA45CA" w:rsidRPr="001F1A44" w:rsidRDefault="00CA45CA">
      <w:pPr>
        <w:spacing w:before="240" w:after="240" w:line="360" w:lineRule="auto"/>
        <w:jc w:val="both"/>
        <w:rPr>
          <w:rFonts w:ascii="Palatino Linotype" w:eastAsia="Palatino Linotype" w:hAnsi="Palatino Linotype" w:cs="Palatino Linotype"/>
        </w:rPr>
      </w:pPr>
    </w:p>
    <w:p w14:paraId="076C4EF7" w14:textId="77777777" w:rsidR="00CA45CA" w:rsidRPr="001F1A44" w:rsidRDefault="00CA45CA">
      <w:pPr>
        <w:spacing w:before="240" w:after="240" w:line="360" w:lineRule="auto"/>
        <w:jc w:val="both"/>
        <w:rPr>
          <w:rFonts w:ascii="Palatino Linotype" w:eastAsia="Palatino Linotype" w:hAnsi="Palatino Linotype" w:cs="Palatino Linotype"/>
        </w:rPr>
      </w:pPr>
    </w:p>
    <w:p w14:paraId="611E0B2E" w14:textId="77777777" w:rsidR="00CA45CA" w:rsidRPr="001F1A44" w:rsidRDefault="00CA45CA">
      <w:pPr>
        <w:spacing w:before="240" w:after="240" w:line="360" w:lineRule="auto"/>
        <w:jc w:val="both"/>
        <w:rPr>
          <w:rFonts w:ascii="Palatino Linotype" w:eastAsia="Palatino Linotype" w:hAnsi="Palatino Linotype" w:cs="Palatino Linotype"/>
        </w:rPr>
      </w:pPr>
    </w:p>
    <w:p w14:paraId="589FDF6B" w14:textId="77777777" w:rsidR="00CA45CA" w:rsidRPr="001F1A44" w:rsidRDefault="00CA45CA">
      <w:pPr>
        <w:spacing w:before="240" w:after="240" w:line="360" w:lineRule="auto"/>
        <w:jc w:val="both"/>
        <w:rPr>
          <w:rFonts w:ascii="Palatino Linotype" w:eastAsia="Palatino Linotype" w:hAnsi="Palatino Linotype" w:cs="Palatino Linotype"/>
        </w:rPr>
      </w:pPr>
    </w:p>
    <w:p w14:paraId="084AE171" w14:textId="77777777" w:rsidR="00CA45CA" w:rsidRPr="001F1A44" w:rsidRDefault="00CA45CA">
      <w:pPr>
        <w:spacing w:before="240" w:after="240" w:line="360" w:lineRule="auto"/>
        <w:jc w:val="both"/>
        <w:rPr>
          <w:rFonts w:ascii="Palatino Linotype" w:eastAsia="Palatino Linotype" w:hAnsi="Palatino Linotype" w:cs="Palatino Linotype"/>
        </w:rPr>
      </w:pPr>
    </w:p>
    <w:p w14:paraId="3BB77029" w14:textId="77777777" w:rsidR="00CA45CA" w:rsidRPr="001F1A44" w:rsidRDefault="00CA45CA">
      <w:pPr>
        <w:spacing w:before="240" w:after="240" w:line="360" w:lineRule="auto"/>
        <w:jc w:val="both"/>
        <w:rPr>
          <w:rFonts w:ascii="Palatino Linotype" w:eastAsia="Palatino Linotype" w:hAnsi="Palatino Linotype" w:cs="Palatino Linotype"/>
        </w:rPr>
      </w:pPr>
    </w:p>
    <w:p w14:paraId="0756B302" w14:textId="77777777" w:rsidR="00CA45CA" w:rsidRPr="001F1A44" w:rsidRDefault="00CA45CA">
      <w:pPr>
        <w:spacing w:before="240" w:after="240" w:line="360" w:lineRule="auto"/>
        <w:jc w:val="both"/>
        <w:rPr>
          <w:rFonts w:ascii="Palatino Linotype" w:eastAsia="Palatino Linotype" w:hAnsi="Palatino Linotype" w:cs="Palatino Linotype"/>
        </w:rPr>
      </w:pPr>
    </w:p>
    <w:p w14:paraId="241E0C99" w14:textId="77777777" w:rsidR="00CA45CA" w:rsidRPr="001F1A44" w:rsidRDefault="00CA45CA">
      <w:pPr>
        <w:spacing w:before="240" w:after="240" w:line="360" w:lineRule="auto"/>
        <w:jc w:val="both"/>
        <w:rPr>
          <w:rFonts w:ascii="Palatino Linotype" w:eastAsia="Palatino Linotype" w:hAnsi="Palatino Linotype" w:cs="Palatino Linotype"/>
        </w:rPr>
      </w:pPr>
    </w:p>
    <w:p w14:paraId="2FD61E41" w14:textId="77777777" w:rsidR="00CA45CA" w:rsidRPr="001F1A44" w:rsidRDefault="00CA45CA">
      <w:pPr>
        <w:spacing w:before="240" w:after="240" w:line="360" w:lineRule="auto"/>
        <w:jc w:val="both"/>
        <w:rPr>
          <w:rFonts w:ascii="Palatino Linotype" w:eastAsia="Palatino Linotype" w:hAnsi="Palatino Linotype" w:cs="Palatino Linotype"/>
        </w:rPr>
      </w:pPr>
    </w:p>
    <w:p w14:paraId="445360D4" w14:textId="77777777" w:rsidR="00CA45CA" w:rsidRPr="001F1A44" w:rsidRDefault="00CA45CA">
      <w:pPr>
        <w:spacing w:before="240" w:after="240" w:line="360" w:lineRule="auto"/>
        <w:jc w:val="both"/>
        <w:rPr>
          <w:rFonts w:ascii="Palatino Linotype" w:eastAsia="Palatino Linotype" w:hAnsi="Palatino Linotype" w:cs="Palatino Linotype"/>
        </w:rPr>
      </w:pPr>
    </w:p>
    <w:sectPr w:rsidR="00CA45CA" w:rsidRPr="001F1A44">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8485C" w14:textId="77777777" w:rsidR="00D43B77" w:rsidRDefault="00D43B77">
      <w:r>
        <w:separator/>
      </w:r>
    </w:p>
  </w:endnote>
  <w:endnote w:type="continuationSeparator" w:id="0">
    <w:p w14:paraId="60D7D649" w14:textId="77777777" w:rsidR="00D43B77" w:rsidRDefault="00D43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2E7D1" w14:textId="77777777" w:rsidR="00CA45CA" w:rsidRDefault="00AD38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E7A84">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E7A84">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14:paraId="3613FB91" w14:textId="77777777" w:rsidR="00CA45CA" w:rsidRDefault="00CA45C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B6791" w14:textId="77777777" w:rsidR="00CA45CA" w:rsidRDefault="00AD389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E7A8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E7A84">
      <w:rPr>
        <w:rFonts w:ascii="Palatino Linotype" w:eastAsia="Palatino Linotype" w:hAnsi="Palatino Linotype" w:cs="Palatino Linotype"/>
        <w:b/>
        <w:noProof/>
        <w:color w:val="000000"/>
        <w:sz w:val="20"/>
        <w:szCs w:val="20"/>
      </w:rPr>
      <w:t>95</w:t>
    </w:r>
    <w:r>
      <w:rPr>
        <w:rFonts w:ascii="Palatino Linotype" w:eastAsia="Palatino Linotype" w:hAnsi="Palatino Linotype" w:cs="Palatino Linotype"/>
        <w:b/>
        <w:color w:val="000000"/>
        <w:sz w:val="20"/>
        <w:szCs w:val="20"/>
      </w:rPr>
      <w:fldChar w:fldCharType="end"/>
    </w:r>
  </w:p>
  <w:p w14:paraId="5280EEBB" w14:textId="77777777" w:rsidR="00CA45CA" w:rsidRDefault="00CA45C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6E5E4" w14:textId="77777777" w:rsidR="00D43B77" w:rsidRDefault="00D43B77">
      <w:r>
        <w:separator/>
      </w:r>
    </w:p>
  </w:footnote>
  <w:footnote w:type="continuationSeparator" w:id="0">
    <w:p w14:paraId="1FE70072" w14:textId="77777777" w:rsidR="00D43B77" w:rsidRDefault="00D43B77">
      <w:r>
        <w:continuationSeparator/>
      </w:r>
    </w:p>
  </w:footnote>
  <w:footnote w:id="1">
    <w:p w14:paraId="25A79076" w14:textId="77777777" w:rsidR="00CA45CA" w:rsidRDefault="00AD38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285DC3BA" w14:textId="77777777" w:rsidR="00CA45CA" w:rsidRDefault="00AD389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E6544" w14:textId="77777777" w:rsidR="00CA45CA" w:rsidRDefault="00AD389B">
    <w:pPr>
      <w:ind w:right="191"/>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1572BC3" wp14:editId="283692CF">
          <wp:simplePos x="0" y="0"/>
          <wp:positionH relativeFrom="column">
            <wp:posOffset>-1127121</wp:posOffset>
          </wp:positionH>
          <wp:positionV relativeFrom="paragraph">
            <wp:posOffset>-344801</wp:posOffset>
          </wp:positionV>
          <wp:extent cx="7809865" cy="1016571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489"/>
      <w:gridCol w:w="4456"/>
    </w:tblGrid>
    <w:tr w:rsidR="00CA45CA" w14:paraId="4584195F" w14:textId="77777777">
      <w:tc>
        <w:tcPr>
          <w:tcW w:w="2489" w:type="dxa"/>
          <w:shd w:val="clear" w:color="auto" w:fill="auto"/>
        </w:tcPr>
        <w:p w14:paraId="3EFFC176" w14:textId="77777777" w:rsidR="00CA45CA" w:rsidRDefault="00AD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74ADAAF3" w14:textId="77777777" w:rsidR="00CA45CA" w:rsidRDefault="00AD389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02219/INFOEM/IP/RR/2023</w:t>
          </w:r>
        </w:p>
      </w:tc>
    </w:tr>
    <w:tr w:rsidR="00CA45CA" w14:paraId="18DF4E73" w14:textId="77777777">
      <w:trPr>
        <w:trHeight w:val="228"/>
      </w:trPr>
      <w:tc>
        <w:tcPr>
          <w:tcW w:w="2489" w:type="dxa"/>
          <w:shd w:val="clear" w:color="auto" w:fill="auto"/>
          <w:vAlign w:val="center"/>
        </w:tcPr>
        <w:p w14:paraId="77CE3D55" w14:textId="77777777" w:rsidR="00CA45CA" w:rsidRDefault="00AD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3E13CE54" w14:textId="77777777" w:rsidR="00CA45CA" w:rsidRDefault="00AD389B">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Coatepec Harinas</w:t>
          </w:r>
        </w:p>
      </w:tc>
    </w:tr>
    <w:tr w:rsidR="00CA45CA" w14:paraId="66B38946" w14:textId="77777777">
      <w:tc>
        <w:tcPr>
          <w:tcW w:w="2489" w:type="dxa"/>
          <w:shd w:val="clear" w:color="auto" w:fill="auto"/>
          <w:vAlign w:val="center"/>
        </w:tcPr>
        <w:p w14:paraId="49D154C3" w14:textId="77777777" w:rsidR="00CA45CA" w:rsidRDefault="00AD389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7EADA583" w14:textId="77777777" w:rsidR="00CA45CA" w:rsidRDefault="00AD389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0A637D8" w14:textId="77777777" w:rsidR="00CA45CA" w:rsidRDefault="00AD389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D05EC" w14:textId="77777777" w:rsidR="00CA45CA" w:rsidRDefault="00AD389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0AAE72A" wp14:editId="4773198A">
          <wp:simplePos x="0" y="0"/>
          <wp:positionH relativeFrom="column">
            <wp:posOffset>-1035683</wp:posOffset>
          </wp:positionH>
          <wp:positionV relativeFrom="paragraph">
            <wp:posOffset>-383538</wp:posOffset>
          </wp:positionV>
          <wp:extent cx="7809865" cy="1016571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
      <w:tblW w:w="6520" w:type="dxa"/>
      <w:tblInd w:w="3261" w:type="dxa"/>
      <w:tblLayout w:type="fixed"/>
      <w:tblLook w:val="0400" w:firstRow="0" w:lastRow="0" w:firstColumn="0" w:lastColumn="0" w:noHBand="0" w:noVBand="1"/>
    </w:tblPr>
    <w:tblGrid>
      <w:gridCol w:w="2551"/>
      <w:gridCol w:w="3969"/>
    </w:tblGrid>
    <w:tr w:rsidR="00CA45CA" w14:paraId="3B800872" w14:textId="77777777">
      <w:tc>
        <w:tcPr>
          <w:tcW w:w="2551" w:type="dxa"/>
          <w:shd w:val="clear" w:color="auto" w:fill="auto"/>
          <w:vAlign w:val="center"/>
        </w:tcPr>
        <w:p w14:paraId="5E68E009" w14:textId="77777777" w:rsidR="00CA45CA" w:rsidRDefault="00AD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7867A709" w14:textId="77777777" w:rsidR="00CA45CA" w:rsidRDefault="00AD389B">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02219/INFOEM/IP/RR/2023</w:t>
          </w:r>
        </w:p>
      </w:tc>
    </w:tr>
    <w:tr w:rsidR="00CA45CA" w14:paraId="0DB374B7" w14:textId="77777777">
      <w:trPr>
        <w:trHeight w:val="130"/>
      </w:trPr>
      <w:tc>
        <w:tcPr>
          <w:tcW w:w="2551" w:type="dxa"/>
          <w:shd w:val="clear" w:color="auto" w:fill="auto"/>
          <w:vAlign w:val="center"/>
        </w:tcPr>
        <w:p w14:paraId="39D0C0C6" w14:textId="77777777" w:rsidR="00CA45CA" w:rsidRDefault="00AD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18805116" w14:textId="2D363C8D" w:rsidR="00CA45CA" w:rsidRDefault="008E7A84" w:rsidP="008E7A84">
          <w:pPr>
            <w:ind w:left="-11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 XXXXXXXXX XXXXXXX</w:t>
          </w:r>
        </w:p>
      </w:tc>
    </w:tr>
    <w:tr w:rsidR="00CA45CA" w14:paraId="391E9040" w14:textId="77777777">
      <w:trPr>
        <w:trHeight w:val="228"/>
      </w:trPr>
      <w:tc>
        <w:tcPr>
          <w:tcW w:w="2551" w:type="dxa"/>
          <w:shd w:val="clear" w:color="auto" w:fill="auto"/>
          <w:vAlign w:val="center"/>
        </w:tcPr>
        <w:p w14:paraId="38913B0A" w14:textId="77777777" w:rsidR="00CA45CA" w:rsidRDefault="00AD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3692CF11" w14:textId="77777777" w:rsidR="00CA45CA" w:rsidRDefault="00AD389B">
          <w:pPr>
            <w:ind w:left="-11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Coatepec Harinas</w:t>
          </w:r>
        </w:p>
      </w:tc>
    </w:tr>
    <w:tr w:rsidR="00CA45CA" w14:paraId="27BCB0F5" w14:textId="77777777">
      <w:tc>
        <w:tcPr>
          <w:tcW w:w="2551" w:type="dxa"/>
          <w:shd w:val="clear" w:color="auto" w:fill="auto"/>
          <w:vAlign w:val="center"/>
        </w:tcPr>
        <w:p w14:paraId="6490AF41" w14:textId="77777777" w:rsidR="00CA45CA" w:rsidRDefault="00AD389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1DA03FCF" w14:textId="77777777" w:rsidR="00CA45CA" w:rsidRDefault="00AD389B">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DD68CB" w14:textId="77777777" w:rsidR="00CA45CA" w:rsidRDefault="00CA45CA">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F5160"/>
    <w:multiLevelType w:val="multilevel"/>
    <w:tmpl w:val="4D66A464"/>
    <w:lvl w:ilvl="0">
      <w:start w:val="1"/>
      <w:numFmt w:val="decimal"/>
      <w:lvlText w:val="%1."/>
      <w:lvlJc w:val="left"/>
      <w:pPr>
        <w:ind w:left="786"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0C33170"/>
    <w:multiLevelType w:val="multilevel"/>
    <w:tmpl w:val="800019CA"/>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9550DD9"/>
    <w:multiLevelType w:val="multilevel"/>
    <w:tmpl w:val="E320F872"/>
    <w:lvl w:ilvl="0">
      <w:start w:val="1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89480A"/>
    <w:multiLevelType w:val="multilevel"/>
    <w:tmpl w:val="FA44B76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DC0E96"/>
    <w:multiLevelType w:val="multilevel"/>
    <w:tmpl w:val="AC2E00FA"/>
    <w:lvl w:ilvl="0">
      <w:start w:val="1"/>
      <w:numFmt w:val="upperRoman"/>
      <w:lvlText w:val="%1."/>
      <w:lvlJc w:val="left"/>
      <w:pPr>
        <w:ind w:left="644" w:hanging="359"/>
      </w:pPr>
      <w:rPr>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B4798A"/>
    <w:multiLevelType w:val="multilevel"/>
    <w:tmpl w:val="D876B0A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3F1C24"/>
    <w:multiLevelType w:val="multilevel"/>
    <w:tmpl w:val="AFAA8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421AFD"/>
    <w:multiLevelType w:val="multilevel"/>
    <w:tmpl w:val="407AE2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EB3F14"/>
    <w:multiLevelType w:val="multilevel"/>
    <w:tmpl w:val="2B1A11CA"/>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F1A0BAD"/>
    <w:multiLevelType w:val="multilevel"/>
    <w:tmpl w:val="5BC61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AE1819"/>
    <w:multiLevelType w:val="multilevel"/>
    <w:tmpl w:val="67CA074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
  </w:num>
  <w:num w:numId="2">
    <w:abstractNumId w:val="8"/>
  </w:num>
  <w:num w:numId="3">
    <w:abstractNumId w:val="9"/>
  </w:num>
  <w:num w:numId="4">
    <w:abstractNumId w:val="5"/>
  </w:num>
  <w:num w:numId="5">
    <w:abstractNumId w:val="7"/>
  </w:num>
  <w:num w:numId="6">
    <w:abstractNumId w:val="3"/>
  </w:num>
  <w:num w:numId="7">
    <w:abstractNumId w:val="4"/>
  </w:num>
  <w:num w:numId="8">
    <w:abstractNumId w:val="10"/>
  </w:num>
  <w:num w:numId="9">
    <w:abstractNumId w:val="0"/>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5CA"/>
    <w:rsid w:val="00074547"/>
    <w:rsid w:val="000952FE"/>
    <w:rsid w:val="00150D94"/>
    <w:rsid w:val="001F1A44"/>
    <w:rsid w:val="00235377"/>
    <w:rsid w:val="005614C2"/>
    <w:rsid w:val="007E53DA"/>
    <w:rsid w:val="008E75DC"/>
    <w:rsid w:val="008E7A84"/>
    <w:rsid w:val="00AD389B"/>
    <w:rsid w:val="00CA45CA"/>
    <w:rsid w:val="00D43B77"/>
    <w:rsid w:val="00E37E51"/>
    <w:rsid w:val="00FA72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EA63D"/>
  <w15:docId w15:val="{9D4DD7D5-1F68-47EF-BCE6-CFE389254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8E7A84"/>
    <w:pPr>
      <w:tabs>
        <w:tab w:val="center" w:pos="4419"/>
        <w:tab w:val="right" w:pos="8838"/>
      </w:tabs>
    </w:pPr>
  </w:style>
  <w:style w:type="character" w:customStyle="1" w:styleId="EncabezadoCar">
    <w:name w:val="Encabezado Car"/>
    <w:basedOn w:val="Fuentedeprrafopredeter"/>
    <w:link w:val="Encabezado"/>
    <w:uiPriority w:val="99"/>
    <w:rsid w:val="008E7A84"/>
  </w:style>
  <w:style w:type="paragraph" w:styleId="Piedepgina">
    <w:name w:val="footer"/>
    <w:basedOn w:val="Normal"/>
    <w:link w:val="PiedepginaCar"/>
    <w:uiPriority w:val="99"/>
    <w:unhideWhenUsed/>
    <w:rsid w:val="008E7A84"/>
    <w:pPr>
      <w:tabs>
        <w:tab w:val="center" w:pos="4419"/>
        <w:tab w:val="right" w:pos="8838"/>
      </w:tabs>
    </w:pPr>
  </w:style>
  <w:style w:type="character" w:customStyle="1" w:styleId="PiedepginaCar">
    <w:name w:val="Pie de página Car"/>
    <w:basedOn w:val="Fuentedeprrafopredeter"/>
    <w:link w:val="Piedepgina"/>
    <w:uiPriority w:val="99"/>
    <w:rsid w:val="008E7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b.mx/sedena/documentos/expedicion-de-una-licencia-oficial-colectiv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c3nG7r01IbA1g0tc6UjMoPOIA==">CgMxLjAyCWguM2R5NnZrbTIIaC5namRneHMyCWguMzBqMHpsbDIJaC4yczhleW8xMghoLnR5amN3dDIJaC4yZXQ5MnAwMgloLjN6bnlzaDcyCWguMWZvYjl0ZTgAciExcjRkcUtrMVdsNmNoRWZXU0RuX2pJVC1kNFN2SUpjT3g=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23119</Words>
  <Characters>127155</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INFOEM563</cp:lastModifiedBy>
  <cp:revision>2</cp:revision>
  <cp:lastPrinted>2024-01-19T16:09:00Z</cp:lastPrinted>
  <dcterms:created xsi:type="dcterms:W3CDTF">2024-01-23T22:56:00Z</dcterms:created>
  <dcterms:modified xsi:type="dcterms:W3CDTF">2024-01-23T22:56:00Z</dcterms:modified>
</cp:coreProperties>
</file>