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5C510" w14:textId="77777777" w:rsidR="002815F6" w:rsidRDefault="00532EF7">
      <w:pPr>
        <w:spacing w:before="240" w:after="240" w:line="360" w:lineRule="auto"/>
        <w:jc w:val="both"/>
        <w:rPr>
          <w:rFonts w:ascii="Palatino Linotype" w:eastAsia="Palatino Linotype" w:hAnsi="Palatino Linotype" w:cs="Palatino Linotype"/>
          <w:color w:val="FF0000"/>
          <w:highlight w:val="yellow"/>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cuatro de diciembre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de dos mil veinticuatro.</w:t>
      </w:r>
      <w:r>
        <w:rPr>
          <w:rFonts w:ascii="Palatino Linotype" w:eastAsia="Palatino Linotype" w:hAnsi="Palatino Linotype" w:cs="Palatino Linotype"/>
          <w:color w:val="FF0000"/>
        </w:rPr>
        <w:t xml:space="preserve"> </w:t>
      </w:r>
    </w:p>
    <w:p w14:paraId="26F5E602" w14:textId="300DEFCA"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07139/INFOEM/IP/RR/2024</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A4516B" w:rsidRPr="00A4516B">
        <w:rPr>
          <w:rFonts w:ascii="Palatino Linotype" w:eastAsia="Palatino Linotype" w:hAnsi="Palatino Linotype" w:cs="Palatino Linotype"/>
          <w:b/>
        </w:rPr>
        <w:t>XXXXX XXXXXXXX XX XXX XXXXXX XXXXXXXXXX</w:t>
      </w:r>
      <w:r>
        <w:rPr>
          <w:rFonts w:ascii="Palatino Linotype" w:eastAsia="Palatino Linotype" w:hAnsi="Palatino Linotype" w:cs="Palatino Linotype"/>
        </w:rPr>
        <w:t xml:space="preserve">, en lo sucesivo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w:t>
      </w:r>
      <w:r>
        <w:rPr>
          <w:rFonts w:ascii="Palatino Linotype" w:eastAsia="Palatino Linotype" w:hAnsi="Palatino Linotype" w:cs="Palatino Linotype"/>
          <w:b/>
        </w:rPr>
        <w:t xml:space="preserve"> 00069/HUEYPOX/IP/2024</w:t>
      </w:r>
      <w:r>
        <w:rPr>
          <w:rFonts w:ascii="Palatino Linotype" w:eastAsia="Palatino Linotype" w:hAnsi="Palatino Linotype" w:cs="Palatino Linotype"/>
        </w:rPr>
        <w:t>,</w:t>
      </w:r>
      <w:r>
        <w:rPr>
          <w:rFonts w:ascii="Verdana" w:eastAsia="Verdana" w:hAnsi="Verdana" w:cs="Verdana"/>
          <w:b/>
          <w:color w:val="FF0000"/>
        </w:rPr>
        <w:t xml:space="preserve">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Hueypoxtla,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4285A37B" w14:textId="77777777" w:rsidR="002815F6" w:rsidRDefault="00532EF7">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1BDD8DD6"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treinta de septiembre de dos mil veinticuatro,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00069/HUEYPOX/IP/2024, </w:t>
      </w:r>
      <w:r>
        <w:rPr>
          <w:rFonts w:ascii="Palatino Linotype" w:eastAsia="Palatino Linotype" w:hAnsi="Palatino Linotype" w:cs="Palatino Linotype"/>
        </w:rPr>
        <w:t xml:space="preserve">mediante la cual requirió la información siguiente: </w:t>
      </w:r>
    </w:p>
    <w:p w14:paraId="1D9710A7" w14:textId="77777777" w:rsidR="002815F6" w:rsidRDefault="00532EF7">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“SOLICITO LA NOMINA Y CONSILIACIÒN DE LA NOMINA TANTO DEL AYUNTAMIENTO COMO DEL SISTEMA DIF MUNICIPAL DE ESE SUJETO OBLIGADO DE LA 1RA Y SEGUNDA QUINCENA DE DICIEMBRE DE 2023 ASI COMO DEL AGUINALDO Y PRIMA VACACIONAL Y DEMAS PRESTACIONES QUE RECIBAN EN DICHO MES Y AÑO” (Sic)</w:t>
      </w:r>
    </w:p>
    <w:p w14:paraId="47669C34" w14:textId="77777777" w:rsidR="002815F6" w:rsidRDefault="002815F6">
      <w:pPr>
        <w:spacing w:before="240"/>
        <w:ind w:left="851" w:right="902"/>
        <w:jc w:val="both"/>
        <w:rPr>
          <w:rFonts w:ascii="Palatino Linotype" w:eastAsia="Palatino Linotype" w:hAnsi="Palatino Linotype" w:cs="Palatino Linotype"/>
          <w:i/>
          <w:sz w:val="22"/>
          <w:szCs w:val="22"/>
        </w:rPr>
      </w:pPr>
    </w:p>
    <w:p w14:paraId="46833FF2"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34390493" w14:textId="77777777" w:rsidR="002815F6" w:rsidRDefault="002815F6">
      <w:pPr>
        <w:spacing w:line="360" w:lineRule="auto"/>
        <w:jc w:val="both"/>
        <w:rPr>
          <w:rFonts w:ascii="Palatino Linotype" w:eastAsia="Palatino Linotype" w:hAnsi="Palatino Linotype" w:cs="Palatino Linotype"/>
        </w:rPr>
      </w:pPr>
    </w:p>
    <w:p w14:paraId="0A715731" w14:textId="77777777" w:rsidR="002815F6" w:rsidRDefault="00532EF7">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veintiuno de octubre de dos mil veinticuatro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92AB9D5" w14:textId="77777777" w:rsidR="002815F6" w:rsidRDefault="00532EF7">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DE SOLICITUD: 00069/HUEYPOX/IP/2024. ASUNTO: RESPUESTA A LA SOLICITUD DE INFORMACIÓN. Hueypoxtla, Estado de México, a 21 de octubre de 2024. RECURRENTE P R E S E N T E: El que suscribe Lic. Álvaro Oropeza Ángeles, en mi carácter de Titular de la Unidad de Transparencia, y Acceso a la Información Pública del Municipio de Hueypoxtla, Estado de México por medio de la presente envío a usted un atento y cordial saludo; con fundamento en los artículos 12, 53 fracciones II, V, VI, 58, 59 fracción II, 162 y 163 de la Ley de Transparencia y Acceso a la Información Pública del Estado de México y Municipios; me permito dar contestación en tiempo y forma a la solicitud con número de folio: 00069/HUEYPOX/IP/2024. Con respecto a la información solicitada a la Tesorería Municipal y al Sistema Municipal DIF, la misma se adjunta para su consulta. En términos de lo que establece el artículo 177 de la Ley de Transparencia y Acceso a la Información Pública del Estado de México y Municipios, usted cuenta con un término de 15 </w:t>
      </w:r>
      <w:proofErr w:type="spellStart"/>
      <w:r>
        <w:rPr>
          <w:rFonts w:ascii="Palatino Linotype" w:eastAsia="Palatino Linotype" w:hAnsi="Palatino Linotype" w:cs="Palatino Linotype"/>
          <w:i/>
          <w:sz w:val="22"/>
          <w:szCs w:val="22"/>
        </w:rPr>
        <w:t>dias</w:t>
      </w:r>
      <w:proofErr w:type="spellEnd"/>
      <w:r>
        <w:rPr>
          <w:rFonts w:ascii="Palatino Linotype" w:eastAsia="Palatino Linotype" w:hAnsi="Palatino Linotype" w:cs="Palatino Linotype"/>
          <w:i/>
          <w:sz w:val="22"/>
          <w:szCs w:val="22"/>
        </w:rPr>
        <w:t xml:space="preserve"> hábiles siguientes a la fecha de la notificación de la respuesta para promover recurso de revisión, ya que este es un medio de protección que la ley otorga a particulares usted puede tramitarlo de manera electrónica o ante la Unidad de Transparencia. Sin otro particular, con el presente escrito se tiene por atendida la solicitud de información. ATENTAMENTE LIC. ÁLVARO OROPEZA ÁNGELES TITULAR DE LA UNIDAD DE TRANSPARENCIA Y ACCESO A LA INFORMACIÓN PÚBLICA DEL MUNICIPIO DE HUEYPOXTLA, ESTADO DE MÉXICO. </w:t>
      </w:r>
      <w:proofErr w:type="spellStart"/>
      <w:r>
        <w:rPr>
          <w:rFonts w:ascii="Palatino Linotype" w:eastAsia="Palatino Linotype" w:hAnsi="Palatino Linotype" w:cs="Palatino Linotype"/>
          <w:i/>
          <w:sz w:val="22"/>
          <w:szCs w:val="22"/>
        </w:rPr>
        <w:t>c.c.p</w:t>
      </w:r>
      <w:proofErr w:type="spellEnd"/>
      <w:r>
        <w:rPr>
          <w:rFonts w:ascii="Palatino Linotype" w:eastAsia="Palatino Linotype" w:hAnsi="Palatino Linotype" w:cs="Palatino Linotype"/>
          <w:i/>
          <w:sz w:val="22"/>
          <w:szCs w:val="22"/>
        </w:rPr>
        <w:t>. -Archivo...” (Sic)</w:t>
      </w:r>
    </w:p>
    <w:p w14:paraId="372801B6" w14:textId="77777777" w:rsidR="002815F6" w:rsidRDefault="00532EF7">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El SUJETO OBLIGADO, adjuntó a su respuesta el siguiente archivo electrónico:</w:t>
      </w:r>
    </w:p>
    <w:p w14:paraId="14D67B16" w14:textId="77777777" w:rsidR="002815F6" w:rsidRDefault="00532EF7">
      <w:pPr>
        <w:spacing w:before="240" w:after="240" w:line="360" w:lineRule="auto"/>
        <w:ind w:right="49"/>
        <w:jc w:val="both"/>
        <w:rPr>
          <w:rFonts w:ascii="Palatino Linotype" w:eastAsia="Palatino Linotype" w:hAnsi="Palatino Linotype" w:cs="Palatino Linotype"/>
        </w:rPr>
      </w:pPr>
      <w:bookmarkStart w:id="1" w:name="_heading=h.3znysh7" w:colFirst="0" w:colLast="0"/>
      <w:bookmarkEnd w:id="1"/>
      <w:r>
        <w:rPr>
          <w:rFonts w:ascii="Palatino Linotype" w:eastAsia="Palatino Linotype" w:hAnsi="Palatino Linotype" w:cs="Palatino Linotype"/>
        </w:rPr>
        <w:t>“</w:t>
      </w:r>
      <w:hyperlink r:id="rId8">
        <w:r>
          <w:rPr>
            <w:rFonts w:ascii="Palatino Linotype" w:eastAsia="Palatino Linotype" w:hAnsi="Palatino Linotype" w:cs="Palatino Linotype"/>
          </w:rPr>
          <w:t>RESPUESTA DE SOLICITUD 00069 2024.pdf</w:t>
        </w:r>
      </w:hyperlink>
      <w:r>
        <w:rPr>
          <w:rFonts w:ascii="Palatino Linotype" w:eastAsia="Palatino Linotype" w:hAnsi="Palatino Linotype" w:cs="Palatino Linotype"/>
        </w:rPr>
        <w:t>”, el cual a su vez contiene los siguientes archivos:</w:t>
      </w:r>
    </w:p>
    <w:p w14:paraId="033CB7EA"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-Escrito por medio del cual el Titular de la Unidad de Transparencia, y Acceso a la Información Pública del Municipio de Hueypoxtla, Estado de México, informó al solicitante, que adjuntaba la respuesta de la Tesorería Municipal y al Sistema Municipal DIF, para su consulta.</w:t>
      </w:r>
    </w:p>
    <w:p w14:paraId="4B6832F8"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-Oficio número TMH/134/2024, por medio del cual la Tesorería Municipal del Ayuntamiento de Hueypoxtla, informó que lo solicitado se encuentra publicado para su consulta al público en general en el portal de IPOMEX, artículo 92 fracción VIII A denominado Remuneraciones, mismo que puede consultar en el siguiente link:</w:t>
      </w:r>
    </w:p>
    <w:p w14:paraId="77783F51"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3A03382" wp14:editId="33E4C058">
            <wp:extent cx="5612130" cy="2008505"/>
            <wp:effectExtent l="0" t="0" r="0" b="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2008505"/>
                    </a:xfrm>
                    <a:prstGeom prst="rect">
                      <a:avLst/>
                    </a:prstGeom>
                    <a:ln/>
                  </pic:spPr>
                </pic:pic>
              </a:graphicData>
            </a:graphic>
          </wp:inline>
        </w:drawing>
      </w:r>
    </w:p>
    <w:p w14:paraId="5B21F47E"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-Oficio número UTAIH/0218/2024, por medio del cual el Tesorero del Sistema Municipal para el Desarrollo Integral de la Familia de Hueypoxtla, remite el siguiente cuadro de las percepciones recibidas en diciembre del 2023, como se observa a continuación:</w:t>
      </w:r>
    </w:p>
    <w:p w14:paraId="40AD7F88" w14:textId="77777777" w:rsidR="002815F6" w:rsidRDefault="002815F6">
      <w:pPr>
        <w:spacing w:before="240" w:after="240" w:line="360" w:lineRule="auto"/>
        <w:ind w:right="49"/>
        <w:jc w:val="both"/>
        <w:rPr>
          <w:rFonts w:ascii="Palatino Linotype" w:eastAsia="Palatino Linotype" w:hAnsi="Palatino Linotype" w:cs="Palatino Linotype"/>
        </w:rPr>
      </w:pPr>
    </w:p>
    <w:p w14:paraId="5B02649D"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9B3B9B2" wp14:editId="2EE7D7AD">
            <wp:extent cx="5612130" cy="2742779"/>
            <wp:effectExtent l="0" t="0" r="0" b="0"/>
            <wp:docPr id="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3951"/>
                    <a:stretch>
                      <a:fillRect/>
                    </a:stretch>
                  </pic:blipFill>
                  <pic:spPr>
                    <a:xfrm>
                      <a:off x="0" y="0"/>
                      <a:ext cx="5612130" cy="2742779"/>
                    </a:xfrm>
                    <a:prstGeom prst="rect">
                      <a:avLst/>
                    </a:prstGeom>
                    <a:ln/>
                  </pic:spPr>
                </pic:pic>
              </a:graphicData>
            </a:graphic>
          </wp:inline>
        </w:drawing>
      </w:r>
    </w:p>
    <w:p w14:paraId="05DABD92"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once de noviembre del dos mil veinticuatro,</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33A7380C" w14:textId="77777777" w:rsidR="002815F6" w:rsidRDefault="00532EF7">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311DEC11" w14:textId="77777777" w:rsidR="002815F6" w:rsidRDefault="00532EF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se </w:t>
      </w:r>
      <w:proofErr w:type="spellStart"/>
      <w:r>
        <w:rPr>
          <w:rFonts w:ascii="Palatino Linotype" w:eastAsia="Palatino Linotype" w:hAnsi="Palatino Linotype" w:cs="Palatino Linotype"/>
          <w:i/>
          <w:sz w:val="22"/>
          <w:szCs w:val="22"/>
        </w:rPr>
        <w:t>entrego</w:t>
      </w:r>
      <w:proofErr w:type="spellEnd"/>
      <w:r>
        <w:rPr>
          <w:rFonts w:ascii="Palatino Linotype" w:eastAsia="Palatino Linotype" w:hAnsi="Palatino Linotype" w:cs="Palatino Linotype"/>
          <w:i/>
          <w:sz w:val="22"/>
          <w:szCs w:val="22"/>
        </w:rPr>
        <w:t xml:space="preserve"> la información solicitada consistente en la </w:t>
      </w:r>
      <w:proofErr w:type="spellStart"/>
      <w:r>
        <w:rPr>
          <w:rFonts w:ascii="Palatino Linotype" w:eastAsia="Palatino Linotype" w:hAnsi="Palatino Linotype" w:cs="Palatino Linotype"/>
          <w:i/>
          <w:sz w:val="22"/>
          <w:szCs w:val="22"/>
        </w:rPr>
        <w:t>nomina</w:t>
      </w:r>
      <w:proofErr w:type="spellEnd"/>
      <w:r>
        <w:rPr>
          <w:rFonts w:ascii="Palatino Linotype" w:eastAsia="Palatino Linotype" w:hAnsi="Palatino Linotype" w:cs="Palatino Linotype"/>
          <w:i/>
          <w:sz w:val="22"/>
          <w:szCs w:val="22"/>
        </w:rPr>
        <w:t xml:space="preserve"> completa de Ayuntamiento de Hueypoxtla, mandan una liga la cual no contiene la información que se pidió y tal como la genera el gobierno.” (Sic)</w:t>
      </w:r>
    </w:p>
    <w:p w14:paraId="63F61B7F" w14:textId="77777777" w:rsidR="002815F6" w:rsidRDefault="002815F6">
      <w:pPr>
        <w:spacing w:line="360" w:lineRule="auto"/>
        <w:jc w:val="both"/>
        <w:rPr>
          <w:rFonts w:ascii="Palatino Linotype" w:eastAsia="Palatino Linotype" w:hAnsi="Palatino Linotype" w:cs="Palatino Linotype"/>
          <w:b/>
        </w:rPr>
      </w:pPr>
    </w:p>
    <w:p w14:paraId="7389B060"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04403988" w14:textId="77777777" w:rsidR="002815F6" w:rsidRDefault="00532EF7">
      <w:pPr>
        <w:ind w:left="851"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“No se </w:t>
      </w:r>
      <w:proofErr w:type="spellStart"/>
      <w:r>
        <w:rPr>
          <w:rFonts w:ascii="Palatino Linotype" w:eastAsia="Palatino Linotype" w:hAnsi="Palatino Linotype" w:cs="Palatino Linotype"/>
          <w:i/>
          <w:sz w:val="22"/>
          <w:szCs w:val="22"/>
        </w:rPr>
        <w:t>entrego</w:t>
      </w:r>
      <w:proofErr w:type="spellEnd"/>
      <w:r>
        <w:rPr>
          <w:rFonts w:ascii="Palatino Linotype" w:eastAsia="Palatino Linotype" w:hAnsi="Palatino Linotype" w:cs="Palatino Linotype"/>
          <w:i/>
          <w:sz w:val="22"/>
          <w:szCs w:val="22"/>
        </w:rPr>
        <w:t xml:space="preserve"> la información solicitada consistente en la </w:t>
      </w:r>
      <w:proofErr w:type="spellStart"/>
      <w:r>
        <w:rPr>
          <w:rFonts w:ascii="Palatino Linotype" w:eastAsia="Palatino Linotype" w:hAnsi="Palatino Linotype" w:cs="Palatino Linotype"/>
          <w:i/>
          <w:sz w:val="22"/>
          <w:szCs w:val="22"/>
        </w:rPr>
        <w:t>nomina</w:t>
      </w:r>
      <w:proofErr w:type="spellEnd"/>
      <w:r>
        <w:rPr>
          <w:rFonts w:ascii="Palatino Linotype" w:eastAsia="Palatino Linotype" w:hAnsi="Palatino Linotype" w:cs="Palatino Linotype"/>
          <w:i/>
          <w:sz w:val="22"/>
          <w:szCs w:val="22"/>
        </w:rPr>
        <w:t xml:space="preserve"> completa de Ayuntamiento de Hueypoxtla, mandan una liga la cual no contiene la información que se pidió y tal como la genera el gobierno.” (Sic)</w:t>
      </w:r>
    </w:p>
    <w:p w14:paraId="2EEBC430" w14:textId="77777777" w:rsidR="002815F6" w:rsidRDefault="002815F6">
      <w:pPr>
        <w:ind w:left="851" w:right="902"/>
        <w:jc w:val="both"/>
        <w:rPr>
          <w:rFonts w:ascii="Palatino Linotype" w:eastAsia="Palatino Linotype" w:hAnsi="Palatino Linotype" w:cs="Palatino Linotype"/>
          <w:i/>
          <w:sz w:val="22"/>
          <w:szCs w:val="22"/>
        </w:rPr>
      </w:pPr>
    </w:p>
    <w:p w14:paraId="25D23E9B" w14:textId="77777777" w:rsidR="002815F6" w:rsidRDefault="00532EF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0DB879A2" w14:textId="77777777" w:rsidR="002815F6" w:rsidRDefault="002815F6">
      <w:pPr>
        <w:spacing w:line="360" w:lineRule="auto"/>
        <w:ind w:right="51"/>
        <w:jc w:val="both"/>
        <w:rPr>
          <w:rFonts w:ascii="Palatino Linotype" w:eastAsia="Palatino Linotype" w:hAnsi="Palatino Linotype" w:cs="Palatino Linotype"/>
        </w:rPr>
      </w:pPr>
    </w:p>
    <w:p w14:paraId="791EED9A" w14:textId="77777777" w:rsidR="002815F6" w:rsidRDefault="00532EF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catorce de noviembre de dos mil veinticuatro,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328E1E2A" w14:textId="77777777" w:rsidR="002815F6" w:rsidRDefault="00532EF7">
      <w:pPr>
        <w:spacing w:before="240" w:after="240" w:line="360" w:lineRule="auto"/>
        <w:jc w:val="both"/>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modo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la parte</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como se observa a continuación:</w:t>
      </w:r>
    </w:p>
    <w:p w14:paraId="1127F66B" w14:textId="77777777" w:rsidR="002815F6" w:rsidRDefault="00532EF7">
      <w:pPr>
        <w:spacing w:before="240" w:after="240" w:line="360" w:lineRule="auto"/>
        <w:jc w:val="both"/>
      </w:pPr>
      <w:r>
        <w:rPr>
          <w:noProof/>
        </w:rPr>
        <w:drawing>
          <wp:inline distT="0" distB="0" distL="0" distR="0" wp14:anchorId="0F49E4E9" wp14:editId="20DF890D">
            <wp:extent cx="5612130" cy="1450975"/>
            <wp:effectExtent l="0" t="0" r="0"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1450975"/>
                    </a:xfrm>
                    <a:prstGeom prst="rect">
                      <a:avLst/>
                    </a:prstGeom>
                    <a:ln/>
                  </pic:spPr>
                </pic:pic>
              </a:graphicData>
            </a:graphic>
          </wp:inline>
        </w:drawing>
      </w:r>
    </w:p>
    <w:p w14:paraId="45253373"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veintisiete de noviembre</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de dos mil veinticuatro</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F338EAE"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7F58320" w14:textId="77777777" w:rsidR="002815F6" w:rsidRDefault="00532EF7">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60B43B43" w14:textId="77777777" w:rsidR="002815F6" w:rsidRDefault="002815F6">
      <w:pPr>
        <w:widowControl w:val="0"/>
        <w:spacing w:line="360" w:lineRule="auto"/>
        <w:jc w:val="center"/>
        <w:rPr>
          <w:rFonts w:ascii="Palatino Linotype" w:eastAsia="Palatino Linotype" w:hAnsi="Palatino Linotype" w:cs="Palatino Linotype"/>
          <w:b/>
        </w:rPr>
      </w:pPr>
    </w:p>
    <w:p w14:paraId="7D5274F8"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F5E430E" w14:textId="77777777" w:rsidR="002815F6" w:rsidRDefault="00532EF7">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lastRenderedPageBreak/>
        <w:t xml:space="preserve">Segundo. Oportunidad y Procedibilidad del Recurso de Revisión. </w:t>
      </w:r>
      <w:r>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el veintiuno de octubre del año dos mil veinticuatro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once de noviembre del mismo año; esto es, al décimo cuarto día hábil siguiente de aquel en que tuvo conocimiento de la respuesta; evidenciándose que la interposición del recurso se encuentra dentro de los márgenes temporales previstos en el citado precepto legal.</w:t>
      </w:r>
    </w:p>
    <w:p w14:paraId="3E3F5EC1" w14:textId="77777777" w:rsidR="002815F6" w:rsidRDefault="00532EF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mismo tiempo, </w:t>
      </w:r>
      <w:r>
        <w:rPr>
          <w:rFonts w:ascii="Palatino Linotype" w:eastAsia="Palatino Linotype" w:hAnsi="Palatino Linotype" w:cs="Palatino Linotype"/>
        </w:rPr>
        <w:t xml:space="preserve">por cuanto hace a la procedibilidad del recurso de revisión, es de suma importancia señalar que la parte recurrente se identificó como un seudónimo, no </w:t>
      </w:r>
      <w:proofErr w:type="gramStart"/>
      <w:r>
        <w:rPr>
          <w:rFonts w:ascii="Palatino Linotype" w:eastAsia="Palatino Linotype" w:hAnsi="Palatino Linotype" w:cs="Palatino Linotype"/>
        </w:rPr>
        <w:t>obstante</w:t>
      </w:r>
      <w:proofErr w:type="gramEnd"/>
      <w:r>
        <w:rPr>
          <w:rFonts w:ascii="Palatino Linotype" w:eastAsia="Palatino Linotype" w:hAnsi="Palatino Linotype" w:cs="Palatino Linotype"/>
        </w:rPr>
        <w:t xml:space="preserv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022F6D2" w14:textId="77777777" w:rsidR="002815F6" w:rsidRDefault="002815F6">
      <w:pPr>
        <w:ind w:left="567" w:right="474"/>
        <w:jc w:val="both"/>
        <w:rPr>
          <w:rFonts w:ascii="Palatino Linotype" w:eastAsia="Palatino Linotype" w:hAnsi="Palatino Linotype" w:cs="Palatino Linotype"/>
          <w:i/>
        </w:rPr>
      </w:pPr>
    </w:p>
    <w:p w14:paraId="78638E8F" w14:textId="77777777" w:rsidR="002815F6" w:rsidRDefault="00532EF7">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Las solicitudes </w:t>
      </w:r>
      <w:r>
        <w:rPr>
          <w:rFonts w:ascii="Palatino Linotype" w:eastAsia="Palatino Linotype" w:hAnsi="Palatino Linotype" w:cs="Palatino Linotype"/>
          <w:i/>
          <w:sz w:val="22"/>
          <w:szCs w:val="22"/>
        </w:rPr>
        <w:t xml:space="preserve">anónimas, con nombre incompleto o </w:t>
      </w:r>
      <w:r>
        <w:rPr>
          <w:rFonts w:ascii="Palatino Linotype" w:eastAsia="Palatino Linotype" w:hAnsi="Palatino Linotype" w:cs="Palatino Linotype"/>
          <w:b/>
          <w:i/>
          <w:sz w:val="22"/>
          <w:szCs w:val="22"/>
        </w:rPr>
        <w:t>seudónimo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1E60ED9A" w14:textId="77777777" w:rsidR="002815F6" w:rsidRDefault="002815F6">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0787E4EC" w14:textId="77777777" w:rsidR="002815F6" w:rsidRDefault="00532EF7">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por cuanto hace a la procedibilidad de</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recurso de revisión una vez realizado el análisis de</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formato de interposición de</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recurso, se acreditan plenamente de todos </w:t>
      </w:r>
      <w:r>
        <w:rPr>
          <w:rFonts w:ascii="Palatino Linotype" w:eastAsia="Palatino Linotype" w:hAnsi="Palatino Linotype" w:cs="Palatino Linotype"/>
          <w:color w:val="000000"/>
        </w:rPr>
        <w:lastRenderedPageBreak/>
        <w:t xml:space="preserve">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14:paraId="0365D927" w14:textId="77777777" w:rsidR="002815F6" w:rsidRDefault="002815F6">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75484F1C" w14:textId="77777777" w:rsidR="002815F6" w:rsidRDefault="00532EF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14:paraId="720FC9DF" w14:textId="77777777" w:rsidR="002815F6" w:rsidRDefault="00532EF7">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2C07502" w14:textId="77777777" w:rsidR="002815F6" w:rsidRDefault="00532EF7">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C55B774" w14:textId="77777777" w:rsidR="002815F6" w:rsidRDefault="00532EF7">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La entrega de información que no corresponda con lo solicitado…”</w:t>
      </w:r>
    </w:p>
    <w:p w14:paraId="4F6B9BEE" w14:textId="77777777" w:rsidR="002815F6" w:rsidRDefault="002815F6">
      <w:pPr>
        <w:ind w:left="1276" w:right="1752"/>
        <w:jc w:val="both"/>
        <w:rPr>
          <w:rFonts w:ascii="Palatino Linotype" w:eastAsia="Palatino Linotype" w:hAnsi="Palatino Linotype" w:cs="Palatino Linotype"/>
          <w:i/>
          <w:sz w:val="22"/>
          <w:szCs w:val="22"/>
        </w:rPr>
      </w:pPr>
    </w:p>
    <w:p w14:paraId="6E49DB8A" w14:textId="77777777" w:rsidR="002815F6" w:rsidRDefault="00532EF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2278346C"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w:t>
      </w:r>
      <w:r>
        <w:rPr>
          <w:rFonts w:ascii="Palatino Linotype" w:eastAsia="Palatino Linotype" w:hAnsi="Palatino Linotype" w:cs="Palatino Linotype"/>
          <w:color w:val="000000"/>
        </w:rPr>
        <w:lastRenderedPageBreak/>
        <w:t>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87FCD4D" w14:textId="77777777" w:rsidR="002815F6" w:rsidRDefault="00532EF7">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F3FA68" w14:textId="77777777" w:rsidR="002815F6" w:rsidRDefault="00532EF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FDA564C" w14:textId="77777777" w:rsidR="002815F6" w:rsidRDefault="00532EF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p>
    <w:p w14:paraId="762D9EBD"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F2F9FB0" w14:textId="77777777" w:rsidR="002815F6" w:rsidRDefault="00532EF7">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10DF37C" w14:textId="77777777" w:rsidR="002815F6" w:rsidRDefault="00532EF7">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F42C000" w14:textId="77777777" w:rsidR="002815F6" w:rsidRDefault="002815F6">
      <w:pPr>
        <w:spacing w:line="360" w:lineRule="auto"/>
        <w:ind w:right="-93"/>
        <w:jc w:val="both"/>
        <w:rPr>
          <w:rFonts w:ascii="Palatino Linotype" w:eastAsia="Palatino Linotype" w:hAnsi="Palatino Linotype" w:cs="Palatino Linotype"/>
          <w:color w:val="000000"/>
        </w:rPr>
      </w:pPr>
    </w:p>
    <w:p w14:paraId="7ECCA5D3" w14:textId="77777777" w:rsidR="002815F6" w:rsidRDefault="00532EF7">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C028A17" w14:textId="77777777" w:rsidR="002815F6" w:rsidRDefault="002815F6">
      <w:pPr>
        <w:spacing w:line="360" w:lineRule="auto"/>
        <w:ind w:right="-93"/>
        <w:jc w:val="both"/>
        <w:rPr>
          <w:rFonts w:ascii="Palatino Linotype" w:eastAsia="Palatino Linotype" w:hAnsi="Palatino Linotype" w:cs="Palatino Linotype"/>
          <w:color w:val="000000"/>
        </w:rPr>
      </w:pPr>
    </w:p>
    <w:p w14:paraId="58784056" w14:textId="77777777" w:rsidR="002815F6" w:rsidRDefault="00532EF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14:paraId="184914FC" w14:textId="77777777" w:rsidR="002815F6" w:rsidRDefault="00532EF7">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w:t>
      </w:r>
    </w:p>
    <w:p w14:paraId="46B6D70C" w14:textId="77777777" w:rsidR="002815F6" w:rsidRDefault="00532EF7">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Pr>
          <w:rFonts w:ascii="Palatino Linotype" w:eastAsia="Palatino Linotype" w:hAnsi="Palatino Linotype" w:cs="Palatino Linotype"/>
          <w:i/>
          <w:color w:val="000000"/>
          <w:sz w:val="22"/>
          <w:szCs w:val="22"/>
        </w:rPr>
        <w:lastRenderedPageBreak/>
        <w:t>archivos; sin necesidad de elaborar documentos ad hoc para atender las solicitudes de información.</w:t>
      </w:r>
    </w:p>
    <w:p w14:paraId="6F64B67B" w14:textId="77777777" w:rsidR="002815F6" w:rsidRDefault="00532EF7">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05B985B2" w14:textId="77777777" w:rsidR="002815F6" w:rsidRDefault="00532EF7">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394ABEA1" w14:textId="77777777" w:rsidR="002815F6" w:rsidRDefault="00532EF7">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037FEC7A" w14:textId="77777777" w:rsidR="002815F6" w:rsidRDefault="00532EF7">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14:paraId="5D9FAA75" w14:textId="77777777" w:rsidR="002815F6" w:rsidRDefault="002815F6">
      <w:pPr>
        <w:spacing w:line="360" w:lineRule="auto"/>
        <w:jc w:val="both"/>
        <w:rPr>
          <w:rFonts w:ascii="Palatino Linotype" w:eastAsia="Palatino Linotype" w:hAnsi="Palatino Linotype" w:cs="Palatino Linotype"/>
        </w:rPr>
      </w:pPr>
    </w:p>
    <w:p w14:paraId="515B35CD" w14:textId="77777777" w:rsidR="002815F6" w:rsidRDefault="00532EF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332BD782" w14:textId="77777777" w:rsidR="002815F6" w:rsidRDefault="002815F6">
      <w:pPr>
        <w:spacing w:line="360" w:lineRule="auto"/>
        <w:jc w:val="both"/>
        <w:rPr>
          <w:rFonts w:ascii="Palatino Linotype" w:eastAsia="Palatino Linotype" w:hAnsi="Palatino Linotype" w:cs="Palatino Linotype"/>
          <w:strike/>
          <w:color w:val="FF0000"/>
        </w:rPr>
      </w:pPr>
    </w:p>
    <w:p w14:paraId="33F76E7E" w14:textId="77777777" w:rsidR="002815F6" w:rsidRDefault="00532EF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656B090" w14:textId="77777777" w:rsidR="002815F6" w:rsidRDefault="002815F6">
      <w:pPr>
        <w:spacing w:line="360" w:lineRule="auto"/>
        <w:ind w:right="49"/>
        <w:jc w:val="both"/>
        <w:rPr>
          <w:rFonts w:ascii="Palatino Linotype" w:eastAsia="Palatino Linotype" w:hAnsi="Palatino Linotype" w:cs="Palatino Linotype"/>
        </w:rPr>
      </w:pPr>
    </w:p>
    <w:p w14:paraId="36C06785"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E501FAD" w14:textId="77777777" w:rsidR="002815F6" w:rsidRDefault="002815F6">
      <w:pPr>
        <w:ind w:left="851" w:right="899"/>
        <w:jc w:val="both"/>
        <w:rPr>
          <w:rFonts w:ascii="Palatino Linotype" w:eastAsia="Palatino Linotype" w:hAnsi="Palatino Linotype" w:cs="Palatino Linotype"/>
          <w:i/>
          <w:sz w:val="22"/>
          <w:szCs w:val="22"/>
        </w:rPr>
      </w:pPr>
    </w:p>
    <w:p w14:paraId="32DBF8D4" w14:textId="77777777" w:rsidR="002815F6" w:rsidRDefault="00532EF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BE5B3B5" w14:textId="77777777" w:rsidR="002815F6" w:rsidRDefault="00532EF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62C06A9" w14:textId="77777777" w:rsidR="002815F6" w:rsidRDefault="00532EF7">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2086E6B" w14:textId="77777777" w:rsidR="002815F6" w:rsidRDefault="002815F6">
      <w:pPr>
        <w:ind w:left="851" w:right="899"/>
        <w:jc w:val="both"/>
        <w:rPr>
          <w:rFonts w:ascii="Palatino Linotype" w:eastAsia="Palatino Linotype" w:hAnsi="Palatino Linotype" w:cs="Palatino Linotype"/>
          <w:sz w:val="22"/>
          <w:szCs w:val="22"/>
        </w:rPr>
      </w:pPr>
    </w:p>
    <w:p w14:paraId="6880BD6F"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DF03EDD" w14:textId="77777777" w:rsidR="002815F6" w:rsidRDefault="002815F6">
      <w:pPr>
        <w:ind w:left="851" w:right="899"/>
        <w:jc w:val="both"/>
        <w:rPr>
          <w:rFonts w:ascii="Palatino Linotype" w:eastAsia="Palatino Linotype" w:hAnsi="Palatino Linotype" w:cs="Palatino Linotype"/>
        </w:rPr>
      </w:pPr>
    </w:p>
    <w:p w14:paraId="74A88191" w14:textId="77777777" w:rsidR="002815F6" w:rsidRDefault="00532EF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F7F9D58" w14:textId="77777777" w:rsidR="002815F6" w:rsidRDefault="00532EF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w:t>
      </w:r>
      <w:r>
        <w:rPr>
          <w:rFonts w:ascii="Palatino Linotype" w:eastAsia="Palatino Linotype" w:hAnsi="Palatino Linotype" w:cs="Palatino Linotype"/>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C43AF8" w14:textId="77777777" w:rsidR="002815F6" w:rsidRDefault="00532EF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C171BA0" w14:textId="77777777" w:rsidR="002815F6" w:rsidRDefault="00532EF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2D8BB9AB" w14:textId="77777777" w:rsidR="002815F6" w:rsidRDefault="00532EF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sea administrada por los Sujetos Obligados, y</w:t>
      </w:r>
    </w:p>
    <w:p w14:paraId="645EA837" w14:textId="77777777" w:rsidR="002815F6" w:rsidRDefault="00532EF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Pr>
          <w:rFonts w:ascii="Palatino Linotype" w:eastAsia="Palatino Linotype" w:hAnsi="Palatino Linotype" w:cs="Palatino Linotype"/>
          <w:b/>
          <w:i/>
          <w:sz w:val="22"/>
          <w:szCs w:val="22"/>
        </w:rPr>
        <w:t>.”(</w:t>
      </w:r>
      <w:proofErr w:type="gramEnd"/>
      <w:r>
        <w:rPr>
          <w:rFonts w:ascii="Palatino Linotype" w:eastAsia="Palatino Linotype" w:hAnsi="Palatino Linotype" w:cs="Palatino Linotype"/>
          <w:b/>
          <w:i/>
          <w:sz w:val="22"/>
          <w:szCs w:val="22"/>
        </w:rPr>
        <w:t>Sic)</w:t>
      </w:r>
    </w:p>
    <w:p w14:paraId="1E6830AE"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Hueypoxtla, lo siguiente:</w:t>
      </w:r>
    </w:p>
    <w:p w14:paraId="1E204FDD" w14:textId="77777777" w:rsidR="002815F6" w:rsidRDefault="00532EF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NÓMINA Y CONCILIACIÓN DE LA NÓMINA TANTO DEL AYUNTAMIENTO COMO DEL SISTEMA DIF MUNICIPAL DE ESE SUJETO OBLIGADO DE LA 1RA Y SEGUNDA QUINCENA DE DICIEMBRE DE 2023 ASÍ COMO DEL AGUINALDO Y PRIMA VACACIONAL Y DEMÁS PRESTACIONES QUE RECIBAN EN DICHO MES Y AÑO.</w:t>
      </w:r>
    </w:p>
    <w:p w14:paraId="58A4A428"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respuesta, el Tesorería Municipal del Ayuntamiento de Hueypoxtla, informó que lo solicitado se encuentra publicado para su consulta al público en general en el portal de IPOMEX, artículo 92 fracción VIII A denominado Remuneraciones, mismo que puede consultar en el siguiente link:</w:t>
      </w:r>
    </w:p>
    <w:p w14:paraId="3F3A6853"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A99795C" wp14:editId="2CD19CC2">
            <wp:extent cx="5612130" cy="2008505"/>
            <wp:effectExtent l="0" t="0" r="0" b="0"/>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2008505"/>
                    </a:xfrm>
                    <a:prstGeom prst="rect">
                      <a:avLst/>
                    </a:prstGeom>
                    <a:ln/>
                  </pic:spPr>
                </pic:pic>
              </a:graphicData>
            </a:graphic>
          </wp:inline>
        </w:drawing>
      </w:r>
    </w:p>
    <w:p w14:paraId="3EC1112B"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otro </w:t>
      </w:r>
      <w:proofErr w:type="gramStart"/>
      <w:r>
        <w:rPr>
          <w:rFonts w:ascii="Palatino Linotype" w:eastAsia="Palatino Linotype" w:hAnsi="Palatino Linotype" w:cs="Palatino Linotype"/>
        </w:rPr>
        <w:t>lado</w:t>
      </w:r>
      <w:proofErr w:type="gramEnd"/>
      <w:r>
        <w:rPr>
          <w:rFonts w:ascii="Palatino Linotype" w:eastAsia="Palatino Linotype" w:hAnsi="Palatino Linotype" w:cs="Palatino Linotype"/>
        </w:rPr>
        <w:t xml:space="preserve"> el Tesorero del Sistema Municipal para el Desarrollo Integral de la Familia de Hueypoxtla, remite el siguiente cuadro de las percepciones recibidas en diciembre del 2023, como se observa a continuación:</w:t>
      </w:r>
    </w:p>
    <w:p w14:paraId="0FBC705F" w14:textId="77777777" w:rsidR="002815F6" w:rsidRDefault="002815F6">
      <w:pPr>
        <w:spacing w:before="240" w:after="240" w:line="360" w:lineRule="auto"/>
        <w:ind w:right="49"/>
        <w:jc w:val="both"/>
        <w:rPr>
          <w:rFonts w:ascii="Palatino Linotype" w:eastAsia="Palatino Linotype" w:hAnsi="Palatino Linotype" w:cs="Palatino Linotype"/>
        </w:rPr>
      </w:pPr>
    </w:p>
    <w:p w14:paraId="4B2FA682"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0778C42" wp14:editId="054C61EC">
            <wp:extent cx="5612130" cy="2742779"/>
            <wp:effectExtent l="0" t="0" r="0" b="0"/>
            <wp:docPr id="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3951"/>
                    <a:stretch>
                      <a:fillRect/>
                    </a:stretch>
                  </pic:blipFill>
                  <pic:spPr>
                    <a:xfrm>
                      <a:off x="0" y="0"/>
                      <a:ext cx="5612130" cy="2742779"/>
                    </a:xfrm>
                    <a:prstGeom prst="rect">
                      <a:avLst/>
                    </a:prstGeom>
                    <a:ln/>
                  </pic:spPr>
                </pic:pic>
              </a:graphicData>
            </a:graphic>
          </wp:inline>
        </w:drawing>
      </w:r>
    </w:p>
    <w:p w14:paraId="7E139354" w14:textId="77777777" w:rsidR="002815F6" w:rsidRDefault="00532EF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con la respuesta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que se analiza en el presente asunto, por medio del cual se inconformó </w:t>
      </w:r>
      <w:r>
        <w:rPr>
          <w:rFonts w:ascii="Palatino Linotype" w:eastAsia="Palatino Linotype" w:hAnsi="Palatino Linotype" w:cs="Palatino Linotype"/>
        </w:rPr>
        <w:lastRenderedPageBreak/>
        <w:t xml:space="preserve">porque </w:t>
      </w:r>
      <w:r>
        <w:rPr>
          <w:rFonts w:ascii="Palatino Linotype" w:eastAsia="Palatino Linotype" w:hAnsi="Palatino Linotype" w:cs="Palatino Linotype"/>
          <w:i/>
        </w:rPr>
        <w:t xml:space="preserve">“…la información solicitada consistente en la nómina completa de Ayuntamiento de Hueypoxtla, mandan una liga la </w:t>
      </w:r>
      <w:r>
        <w:rPr>
          <w:rFonts w:ascii="Palatino Linotype" w:eastAsia="Palatino Linotype" w:hAnsi="Palatino Linotype" w:cs="Palatino Linotype"/>
          <w:b/>
          <w:i/>
          <w:u w:val="single"/>
        </w:rPr>
        <w:t xml:space="preserve">cual no contiene la información que se pidió </w:t>
      </w:r>
      <w:r>
        <w:rPr>
          <w:rFonts w:ascii="Palatino Linotype" w:eastAsia="Palatino Linotype" w:hAnsi="Palatino Linotype" w:cs="Palatino Linotype"/>
          <w:i/>
        </w:rPr>
        <w:t>y tal como la genera el gobierno…” (Sic)</w:t>
      </w:r>
    </w:p>
    <w:p w14:paraId="5007F001"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w:t>
      </w:r>
    </w:p>
    <w:p w14:paraId="5B8F452E"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w:t>
      </w:r>
      <w:r>
        <w:rPr>
          <w:rFonts w:ascii="Palatino Linotype" w:eastAsia="Palatino Linotype" w:hAnsi="Palatino Linotype" w:cs="Palatino Linotype"/>
        </w:rPr>
        <w:t xml:space="preserve">ntes del estudio de fondo, es pertinente señalar,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los motivos de inconformidad de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 advierte que se queje sobre la información entregada en respuesta por el Tesorero del Sistema Municipal para el Desarrollo Integral de la Familia de Hueypoxtla, en razón de que sólo se inconforma por la información entregada por la Tesorería Municipal del Ayuntamiento de Hueypoxtla.</w:t>
      </w:r>
    </w:p>
    <w:p w14:paraId="225DE85A"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7A79B17" w14:textId="77777777" w:rsidR="002815F6" w:rsidRDefault="00532EF7">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3F58564" w14:textId="77777777" w:rsidR="002815F6" w:rsidRDefault="002815F6">
      <w:pPr>
        <w:spacing w:after="240" w:line="360" w:lineRule="auto"/>
        <w:jc w:val="both"/>
        <w:rPr>
          <w:rFonts w:ascii="Palatino Linotype" w:eastAsia="Palatino Linotype" w:hAnsi="Palatino Linotype" w:cs="Palatino Linotype"/>
        </w:rPr>
      </w:pPr>
    </w:p>
    <w:p w14:paraId="3D0B2478"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la parte de la solicitud sobre la que no se expresó inconformidad, debe declararse consentida por el hoy </w:t>
      </w:r>
      <w:r>
        <w:rPr>
          <w:rFonts w:ascii="Palatino Linotype" w:eastAsia="Palatino Linotype" w:hAnsi="Palatino Linotype" w:cs="Palatino Linotype"/>
          <w:b/>
        </w:rPr>
        <w:t>RECURRENTE</w:t>
      </w:r>
      <w:r>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6F82F2F2"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0DAF2893" w14:textId="77777777" w:rsidR="002815F6" w:rsidRDefault="00532EF7">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w:t>
      </w:r>
    </w:p>
    <w:p w14:paraId="13B45038" w14:textId="77777777" w:rsidR="002815F6" w:rsidRDefault="002815F6">
      <w:pPr>
        <w:spacing w:after="240" w:line="360" w:lineRule="auto"/>
        <w:jc w:val="both"/>
        <w:rPr>
          <w:rFonts w:ascii="Palatino Linotype" w:eastAsia="Palatino Linotype" w:hAnsi="Palatino Linotype" w:cs="Palatino Linotype"/>
        </w:rPr>
      </w:pPr>
    </w:p>
    <w:p w14:paraId="07762C65" w14:textId="77777777" w:rsidR="002815F6" w:rsidRDefault="00532EF7">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Sobre la naturaleza de la información requerida, si bien es cierto que en nuestra legislación no existe como tal una definición del término </w:t>
      </w:r>
      <w:r>
        <w:rPr>
          <w:rFonts w:ascii="Palatino Linotype" w:eastAsia="Palatino Linotype" w:hAnsi="Palatino Linotype" w:cs="Palatino Linotype"/>
          <w:b/>
          <w:i/>
          <w:color w:val="000000"/>
        </w:rPr>
        <w:t>nómina,</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i/>
          <w:color w:val="000000"/>
        </w:rPr>
        <w:t xml:space="preserve">“Glosario de Términos Usuales de Finanzas Públicas” </w:t>
      </w:r>
      <w:r>
        <w:rPr>
          <w:rFonts w:ascii="Palatino Linotype" w:eastAsia="Palatino Linotype" w:hAnsi="Palatino Linotype" w:cs="Palatino Linotype"/>
          <w:color w:val="000000"/>
        </w:rPr>
        <w:t xml:space="preserve">del Centro de Estudios de las Finanzas Públicas de la Cámara de Diputados del H. Congreso de la Unión, el </w:t>
      </w:r>
      <w:r>
        <w:rPr>
          <w:rFonts w:ascii="Palatino Linotype" w:eastAsia="Palatino Linotype" w:hAnsi="Palatino Linotype" w:cs="Palatino Linotype"/>
          <w:i/>
          <w:color w:val="000000"/>
        </w:rPr>
        <w:t>“Glosario de Términos Administrativos”</w:t>
      </w:r>
      <w:r>
        <w:rPr>
          <w:rFonts w:ascii="Palatino Linotype" w:eastAsia="Palatino Linotype" w:hAnsi="Palatino Linotype" w:cs="Palatino Linotype"/>
          <w:color w:val="000000"/>
        </w:rPr>
        <w:t xml:space="preserve">, emitido por el Instituto Nacional de Administración Pública, A.C. y el </w:t>
      </w:r>
      <w:r>
        <w:rPr>
          <w:rFonts w:ascii="Palatino Linotype" w:eastAsia="Palatino Linotype" w:hAnsi="Palatino Linotype" w:cs="Palatino Linotype"/>
          <w:i/>
          <w:color w:val="000000"/>
        </w:rPr>
        <w:t>“Glosario de Términos para el Proceso de Planeación, Programación, Presupuestación y Evaluación en la Administración Pública”,</w:t>
      </w:r>
      <w:r>
        <w:rPr>
          <w:rFonts w:ascii="Palatino Linotype" w:eastAsia="Palatino Linotype" w:hAnsi="Palatino Linotype" w:cs="Palatino Linotype"/>
          <w:color w:val="000000"/>
        </w:rPr>
        <w:t xml:space="preserve"> elaborado por el Grupo de Trabajo de Sistemas de Información Financiera, Contable y Presupuestal de la </w:t>
      </w:r>
      <w:r>
        <w:rPr>
          <w:rFonts w:ascii="Palatino Linotype" w:eastAsia="Palatino Linotype" w:hAnsi="Palatino Linotype" w:cs="Palatino Linotype"/>
          <w:color w:val="000000"/>
        </w:rPr>
        <w:lastRenderedPageBreak/>
        <w:t>Comisión Permanente de Funcionarios Fiscales del Instituto para el Desarrollo Técnico de las Haciendas Públicas (INDETEC) señalan la siguiente definición de la palabra:</w:t>
      </w:r>
    </w:p>
    <w:p w14:paraId="5B91CD12" w14:textId="77777777" w:rsidR="002815F6" w:rsidRDefault="00281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3751617" w14:textId="77777777" w:rsidR="002815F6" w:rsidRDefault="00532EF7">
      <w:pPr>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“NÓMINA: </w:t>
      </w:r>
      <w:r>
        <w:rPr>
          <w:rFonts w:ascii="Palatino Linotype" w:eastAsia="Palatino Linotype" w:hAnsi="Palatino Linotype" w:cs="Palatino Linotype"/>
          <w:i/>
          <w:sz w:val="22"/>
          <w:szCs w:val="22"/>
        </w:rPr>
        <w:t>Listado general de los trabajadores de una institución, en</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el cual se asientan las percepciones brutas, deducciones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alcance neto de las mismas; la nómina es utilizada para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efectuar los pagos periódicos (semanales, quincenales 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mensuales) a los trabajadores por concepto de sueldos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salarios.”</w:t>
      </w:r>
    </w:p>
    <w:p w14:paraId="3DDD2F12" w14:textId="77777777" w:rsidR="002815F6" w:rsidRDefault="002815F6">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6963A0A6" w14:textId="77777777" w:rsidR="002815F6" w:rsidRDefault="00532EF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Relativo al tema, debemos traer a colación que el artículo 147 de la Constitución Política del Estado Libre y Soberano de México, establece que los trabajadores al servicio del Estado, los miembros de los Ayuntamientos y organismos descentralizados municipales recibirán una remuneración adecuada e irrenunciable por el desempeño de su empleo, cargo o comisión, que será determinada en el presupuesto de egresos que corresponda.</w:t>
      </w:r>
    </w:p>
    <w:p w14:paraId="2E16FBB7" w14:textId="77777777" w:rsidR="002815F6" w:rsidRDefault="00281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2C3552D" w14:textId="77777777" w:rsidR="002815F6" w:rsidRDefault="00532EF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mismo sentido, el Código Financiero del Estado de México y Municipios, en su artículo 3° fracción XXXXII estipula lo siguiente:</w:t>
      </w:r>
    </w:p>
    <w:p w14:paraId="5AA773F1" w14:textId="77777777" w:rsidR="002815F6" w:rsidRDefault="00281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517C129" w14:textId="77777777" w:rsidR="002815F6" w:rsidRDefault="00532EF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xml:space="preserve"> </w:t>
      </w:r>
    </w:p>
    <w:p w14:paraId="5B5A2F37" w14:textId="77777777" w:rsidR="002815F6" w:rsidRDefault="00532EF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DD22B58" w14:textId="77777777" w:rsidR="002815F6" w:rsidRDefault="00532EF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XXXII. Remuneración:</w:t>
      </w:r>
      <w:r>
        <w:rPr>
          <w:rFonts w:ascii="Palatino Linotype" w:eastAsia="Palatino Linotype" w:hAnsi="Palatino Linotype" w:cs="Palatino Linotype"/>
          <w:i/>
          <w:color w:val="000000"/>
          <w:sz w:val="22"/>
          <w:szCs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w:t>
      </w:r>
      <w:proofErr w:type="gramStart"/>
      <w:r>
        <w:rPr>
          <w:rFonts w:ascii="Palatino Linotype" w:eastAsia="Palatino Linotype" w:hAnsi="Palatino Linotype" w:cs="Palatino Linotype"/>
          <w:i/>
          <w:color w:val="000000"/>
          <w:sz w:val="22"/>
          <w:szCs w:val="22"/>
        </w:rPr>
        <w:t>Personal(</w:t>
      </w:r>
      <w:proofErr w:type="gramEnd"/>
      <w:r>
        <w:rPr>
          <w:rFonts w:ascii="Palatino Linotype" w:eastAsia="Palatino Linotype" w:hAnsi="Palatino Linotype" w:cs="Palatino Linotype"/>
          <w:i/>
          <w:color w:val="000000"/>
          <w:sz w:val="22"/>
          <w:szCs w:val="22"/>
        </w:rPr>
        <w:t>…)”</w:t>
      </w:r>
    </w:p>
    <w:p w14:paraId="72D5AB0E" w14:textId="77777777" w:rsidR="002815F6" w:rsidRDefault="00281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A101AFF" w14:textId="77777777" w:rsidR="002815F6" w:rsidRDefault="00532EF7">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Ahora bien, tratándose de servidores públicos de los Municipios, la Ley del Trabajo de los Servidores Públicos del Estado y Municipios, en sus artículos 71 y 220-K fracciones II y IV y su penúltimo párrafo establecen:</w:t>
      </w:r>
    </w:p>
    <w:p w14:paraId="26E8531F" w14:textId="77777777" w:rsidR="002815F6" w:rsidRDefault="00532EF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 sueldo es la retribución que la institución pública debe pagar al servidor público por los servicios prestados</w:t>
      </w:r>
      <w:r>
        <w:rPr>
          <w:rFonts w:ascii="Palatino Linotype" w:eastAsia="Palatino Linotype" w:hAnsi="Palatino Linotype" w:cs="Palatino Linotype"/>
          <w:i/>
          <w:sz w:val="22"/>
          <w:szCs w:val="22"/>
        </w:rPr>
        <w:t>.</w:t>
      </w:r>
    </w:p>
    <w:p w14:paraId="39C9A5BA" w14:textId="77777777" w:rsidR="002815F6" w:rsidRDefault="002815F6">
      <w:pPr>
        <w:tabs>
          <w:tab w:val="left" w:pos="4962"/>
        </w:tabs>
        <w:ind w:left="567" w:right="567"/>
        <w:jc w:val="both"/>
        <w:rPr>
          <w:rFonts w:ascii="Palatino Linotype" w:eastAsia="Palatino Linotype" w:hAnsi="Palatino Linotype" w:cs="Palatino Linotype"/>
          <w:i/>
          <w:sz w:val="8"/>
          <w:szCs w:val="8"/>
        </w:rPr>
      </w:pPr>
    </w:p>
    <w:p w14:paraId="07E7A5C4" w14:textId="77777777" w:rsidR="002815F6" w:rsidRDefault="00532EF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institución o dependencia pública tiene la obligación de conservar y exhibir</w:t>
      </w:r>
      <w:r>
        <w:rPr>
          <w:rFonts w:ascii="Palatino Linotype" w:eastAsia="Palatino Linotype" w:hAnsi="Palatino Linotype" w:cs="Palatino Linotype"/>
          <w:i/>
          <w:sz w:val="22"/>
          <w:szCs w:val="22"/>
        </w:rPr>
        <w:t xml:space="preserve"> en el proceso los documentos que a continuación se precisan:</w:t>
      </w:r>
    </w:p>
    <w:p w14:paraId="5CCF17D5" w14:textId="77777777" w:rsidR="002815F6" w:rsidRDefault="00532EF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0FD23919" w14:textId="77777777" w:rsidR="002815F6" w:rsidRDefault="00532EF7">
      <w:pPr>
        <w:tabs>
          <w:tab w:val="left" w:pos="4962"/>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Recibos de pagos de salarios o las constancias documentales del pago de salario cuando sea por depósito o mediante información electrónica;</w:t>
      </w:r>
    </w:p>
    <w:p w14:paraId="0EE52B15" w14:textId="77777777" w:rsidR="002815F6" w:rsidRDefault="00532EF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Controles de asistencia o la información magnética o electrónica de asistencia de los servidores públicos;</w:t>
      </w:r>
    </w:p>
    <w:p w14:paraId="08B2848C" w14:textId="77777777" w:rsidR="002815F6" w:rsidRDefault="00532EF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Recibos o las constancias de depósito o del medio de información magnética o electrónica que sean utilizadas para el pago de salarios, prima vacacional, aguinaldo y demás prestaciones establecidas en la presente ley;</w:t>
      </w:r>
      <w:r>
        <w:rPr>
          <w:rFonts w:ascii="Palatino Linotype" w:eastAsia="Palatino Linotype" w:hAnsi="Palatino Linotype" w:cs="Palatino Linotype"/>
          <w:i/>
          <w:sz w:val="22"/>
          <w:szCs w:val="22"/>
        </w:rPr>
        <w:t xml:space="preserve"> y</w:t>
      </w:r>
    </w:p>
    <w:p w14:paraId="4393A003" w14:textId="77777777" w:rsidR="002815F6" w:rsidRDefault="00532EF7">
      <w:pPr>
        <w:tabs>
          <w:tab w:val="left" w:pos="496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Los demás que señalen las leyes…”</w:t>
      </w:r>
    </w:p>
    <w:p w14:paraId="116E72ED" w14:textId="77777777" w:rsidR="002815F6" w:rsidRDefault="00532EF7">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advierte que </w:t>
      </w:r>
      <w:r>
        <w:rPr>
          <w:rFonts w:ascii="Palatino Linotype" w:eastAsia="Palatino Linotype" w:hAnsi="Palatino Linotype" w:cs="Palatino Linotype"/>
          <w:b/>
          <w:color w:val="000000"/>
        </w:rPr>
        <w:t>toda institución pública o dependencia del Estado de México</w:t>
      </w:r>
      <w:r>
        <w:rPr>
          <w:rFonts w:ascii="Palatino Linotype" w:eastAsia="Palatino Linotype" w:hAnsi="Palatino Linotype" w:cs="Palatino Linotype"/>
          <w:color w:val="000000"/>
        </w:rPr>
        <w:t xml:space="preserve"> debe conservar las constancias documentales del </w:t>
      </w:r>
      <w:r>
        <w:rPr>
          <w:rFonts w:ascii="Palatino Linotype" w:eastAsia="Palatino Linotype" w:hAnsi="Palatino Linotype" w:cs="Palatino Linotype"/>
          <w:b/>
          <w:color w:val="000000"/>
        </w:rPr>
        <w:t>pago de salario</w:t>
      </w:r>
      <w:r>
        <w:rPr>
          <w:rFonts w:ascii="Palatino Linotype" w:eastAsia="Palatino Linotype" w:hAnsi="Palatino Linotype" w:cs="Palatino Linotype"/>
          <w:color w:val="000000"/>
        </w:rPr>
        <w:t>, prima vacacional, aguinaldo y demás prestaciones legales de acuerdo con la forma en que se haya realizado, es decir, en efectivo, cheque, depósito, transferencia u otra.</w:t>
      </w:r>
    </w:p>
    <w:p w14:paraId="553BADC9" w14:textId="77777777" w:rsidR="002815F6" w:rsidRDefault="002815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D86E0FE" w14:textId="77777777" w:rsidR="002815F6" w:rsidRDefault="00532EF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Pr>
          <w:rFonts w:ascii="Palatino Linotype" w:eastAsia="Palatino Linotype" w:hAnsi="Palatino Linotype" w:cs="Palatino Linotype"/>
          <w:color w:val="000000"/>
          <w:u w:val="single"/>
        </w:rPr>
        <w:t>“recibos o comprobantes de pago”,</w:t>
      </w:r>
      <w:r>
        <w:rPr>
          <w:rFonts w:ascii="Palatino Linotype" w:eastAsia="Palatino Linotype" w:hAnsi="Palatino Linotype" w:cs="Palatino Linotype"/>
          <w:color w:val="000000"/>
        </w:rPr>
        <w:t xml:space="preserve"> los cuales constituyen un instrumento mediante el cual 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acredita las remuneraciones al personal.</w:t>
      </w:r>
    </w:p>
    <w:p w14:paraId="6A725C78" w14:textId="77777777" w:rsidR="002815F6" w:rsidRDefault="00532EF7">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color w:val="000000"/>
        </w:rPr>
        <w:lastRenderedPageBreak/>
        <w:t>Ahora bien, respecto a los datos que componen la</w:t>
      </w:r>
      <w:r>
        <w:rPr>
          <w:rFonts w:ascii="Palatino Linotype" w:eastAsia="Palatino Linotype" w:hAnsi="Palatino Linotype" w:cs="Palatino Linotype"/>
        </w:rPr>
        <w:t xml:space="preserve"> nómina y conciliación de nómina, sería la propia conciliación de nómina, por lo que resulta importante resaltar que los Municipios del Estado de México, son Sujetos de Fiscalización de conformidad con el numeral 4, fracción II de Ley de Fiscalización Superior del Estado de México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entre ellos el Municipio de Hueypoxtla, razón por la cual, el Órgano Superior de Fiscalización del Estado de México, (OSFEM) emitió en su momento los </w:t>
      </w:r>
      <w:r>
        <w:rPr>
          <w:rFonts w:ascii="Palatino Linotype" w:eastAsia="Palatino Linotype" w:hAnsi="Palatino Linotype" w:cs="Palatino Linotype"/>
          <w:b/>
        </w:rPr>
        <w:t>Lineamientos para la Integración del Informe Trimestral</w:t>
      </w:r>
      <w:r>
        <w:rPr>
          <w:rFonts w:ascii="Palatino Linotype" w:eastAsia="Palatino Linotype" w:hAnsi="Palatino Linotype" w:cs="Palatino Linotype"/>
        </w:rPr>
        <w:t xml:space="preserve">, en términos de la fracción XI, del artículo 8, de la Ley de Fiscalización Superior del Estado de México, que señala: </w:t>
      </w:r>
    </w:p>
    <w:p w14:paraId="40524C86" w14:textId="77777777" w:rsidR="002815F6" w:rsidRDefault="002815F6">
      <w:pPr>
        <w:tabs>
          <w:tab w:val="right" w:pos="8505"/>
        </w:tabs>
        <w:spacing w:line="360" w:lineRule="auto"/>
        <w:jc w:val="both"/>
        <w:rPr>
          <w:rFonts w:ascii="Palatino Linotype" w:eastAsia="Palatino Linotype" w:hAnsi="Palatino Linotype" w:cs="Palatino Linotype"/>
        </w:rPr>
      </w:pPr>
    </w:p>
    <w:p w14:paraId="304E7DDB" w14:textId="77777777" w:rsidR="002815F6" w:rsidRDefault="00532EF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8.</w:t>
      </w:r>
      <w:r>
        <w:rPr>
          <w:rFonts w:ascii="Palatino Linotype" w:eastAsia="Palatino Linotype" w:hAnsi="Palatino Linotype" w:cs="Palatino Linotype"/>
          <w:b/>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Superior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tendrá</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siguientes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atribuciones:</w:t>
      </w:r>
    </w:p>
    <w:p w14:paraId="4E3F17D8" w14:textId="77777777" w:rsidR="002815F6" w:rsidRDefault="00532EF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8298C7" w14:textId="77777777" w:rsidR="002815F6" w:rsidRDefault="00532EF7">
      <w:pPr>
        <w:spacing w:after="240"/>
        <w:ind w:left="851"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b/>
          <w:i/>
        </w:rPr>
        <w:t xml:space="preserve"> </w:t>
      </w:r>
      <w:r>
        <w:rPr>
          <w:rFonts w:ascii="Palatino Linotype" w:eastAsia="Palatino Linotype" w:hAnsi="Palatino Linotype" w:cs="Palatino Linotype"/>
          <w:i/>
          <w:sz w:val="22"/>
          <w:szCs w:val="22"/>
        </w:rPr>
        <w:t>Establecer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lineamientos,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criterios,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procedimientos,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métodos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sistemas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acciones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control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evaluación,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necesarios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fiscalización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cuentas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w:t>
      </w:r>
      <w:r>
        <w:rPr>
          <w:rFonts w:ascii="Palatino Linotype" w:eastAsia="Palatino Linotype" w:hAnsi="Palatino Linotype" w:cs="Palatino Linotype"/>
          <w:i/>
        </w:rPr>
        <w:t>cas y los informes trimestrales</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sz w:val="22"/>
          <w:szCs w:val="22"/>
        </w:rPr>
        <w:t>…”</w:t>
      </w:r>
      <w:r>
        <w:rPr>
          <w:rFonts w:ascii="Palatino Linotype" w:eastAsia="Palatino Linotype" w:hAnsi="Palatino Linotype" w:cs="Palatino Linotype"/>
        </w:rPr>
        <w:t xml:space="preserve"> </w:t>
      </w:r>
    </w:p>
    <w:p w14:paraId="5E2BE5EE"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esta forma, el OSFEM emite anualmente dichos Lineamientos para definir los criterios, formatos y documentación necesaria para presentar los informes trimestrales.</w:t>
      </w:r>
    </w:p>
    <w:p w14:paraId="5520BAEB" w14:textId="77777777" w:rsidR="002815F6" w:rsidRDefault="00532EF7">
      <w:pPr>
        <w:spacing w:before="280" w:after="28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Así, la información </w:t>
      </w:r>
      <w:r>
        <w:rPr>
          <w:rFonts w:ascii="Palatino Linotype" w:eastAsia="Palatino Linotype" w:hAnsi="Palatino Linotype" w:cs="Palatino Linotype"/>
          <w:b/>
        </w:rPr>
        <w:t>documental comprobatoria</w:t>
      </w:r>
      <w:r>
        <w:rPr>
          <w:rFonts w:ascii="Palatino Linotype" w:eastAsia="Palatino Linotype" w:hAnsi="Palatino Linotype" w:cs="Palatino Linotype"/>
        </w:rPr>
        <w:t xml:space="preserve">, </w:t>
      </w:r>
      <w:r>
        <w:rPr>
          <w:rFonts w:ascii="Palatino Linotype" w:eastAsia="Palatino Linotype" w:hAnsi="Palatino Linotype" w:cs="Palatino Linotype"/>
          <w:b/>
        </w:rPr>
        <w:t>deberá conservarse en los archivos de la entidad fiscalizada</w:t>
      </w:r>
      <w:r>
        <w:rPr>
          <w:rFonts w:ascii="Palatino Linotype" w:eastAsia="Palatino Linotype" w:hAnsi="Palatino Linotype" w:cs="Palatino Linotype"/>
        </w:rPr>
        <w:t>, en original y debidamente integrada en términos de los lineamientos de referencia, pues son susceptibles de revisión directa por el OSFEM, destacando que dentro de los informes trimestrales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tiene la obligación de transparentar; se contempla de manera de ejemplo en el </w:t>
      </w:r>
      <w:r>
        <w:rPr>
          <w:rFonts w:ascii="Palatino Linotype" w:eastAsia="Palatino Linotype" w:hAnsi="Palatino Linotype" w:cs="Palatino Linotype"/>
        </w:rPr>
        <w:lastRenderedPageBreak/>
        <w:t xml:space="preserve">“módulo 4 información administrativa 1 matriz del módulo 4 para municipios”, dentro del submódulo denominado “conciliación de la nómina” para ambas quincenas  tal y como, se muestra en las imágenes siguientes: </w:t>
      </w:r>
    </w:p>
    <w:p w14:paraId="63AFB2F1" w14:textId="77777777" w:rsidR="002815F6" w:rsidRDefault="002815F6">
      <w:pPr>
        <w:spacing w:before="280" w:after="280" w:line="360" w:lineRule="auto"/>
        <w:ind w:right="-91"/>
        <w:jc w:val="both"/>
        <w:rPr>
          <w:rFonts w:ascii="Palatino Linotype" w:eastAsia="Palatino Linotype" w:hAnsi="Palatino Linotype" w:cs="Palatino Linotype"/>
        </w:rPr>
      </w:pPr>
    </w:p>
    <w:p w14:paraId="6670C521" w14:textId="77777777" w:rsidR="002815F6" w:rsidRDefault="00532EF7">
      <w:pPr>
        <w:spacing w:before="280" w:after="280" w:line="360" w:lineRule="auto"/>
        <w:ind w:right="-91"/>
        <w:jc w:val="both"/>
      </w:pPr>
      <w:r>
        <w:rPr>
          <w:noProof/>
          <w:highlight w:val="yellow"/>
        </w:rPr>
        <w:drawing>
          <wp:inline distT="114300" distB="114300" distL="114300" distR="114300" wp14:anchorId="5E555913" wp14:editId="0B47180A">
            <wp:extent cx="5696708" cy="1588050"/>
            <wp:effectExtent l="0" t="0" r="0" b="0"/>
            <wp:docPr id="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b="70738"/>
                    <a:stretch>
                      <a:fillRect/>
                    </a:stretch>
                  </pic:blipFill>
                  <pic:spPr>
                    <a:xfrm>
                      <a:off x="0" y="0"/>
                      <a:ext cx="5696708" cy="1588050"/>
                    </a:xfrm>
                    <a:prstGeom prst="rect">
                      <a:avLst/>
                    </a:prstGeom>
                    <a:ln/>
                  </pic:spPr>
                </pic:pic>
              </a:graphicData>
            </a:graphic>
          </wp:inline>
        </w:drawing>
      </w:r>
    </w:p>
    <w:p w14:paraId="0F476D51" w14:textId="77777777" w:rsidR="002815F6" w:rsidRDefault="00532EF7">
      <w:pPr>
        <w:spacing w:before="280" w:after="280" w:line="360" w:lineRule="auto"/>
        <w:ind w:right="-91"/>
        <w:jc w:val="both"/>
        <w:rPr>
          <w:highlight w:val="yellow"/>
        </w:rPr>
      </w:pPr>
      <w:r>
        <w:rPr>
          <w:noProof/>
        </w:rPr>
        <w:drawing>
          <wp:inline distT="0" distB="0" distL="0" distR="0" wp14:anchorId="4171DB99" wp14:editId="48025D9D">
            <wp:extent cx="5612130" cy="3365500"/>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33655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1DCE327E" wp14:editId="0A73D92E">
                <wp:simplePos x="0" y="0"/>
                <wp:positionH relativeFrom="column">
                  <wp:posOffset>3416300</wp:posOffset>
                </wp:positionH>
                <wp:positionV relativeFrom="paragraph">
                  <wp:posOffset>2044700</wp:posOffset>
                </wp:positionV>
                <wp:extent cx="210376" cy="220947"/>
                <wp:effectExtent l="0" t="0" r="0" b="0"/>
                <wp:wrapNone/>
                <wp:docPr id="84" name="Flecha arriba 84"/>
                <wp:cNvGraphicFramePr/>
                <a:graphic xmlns:a="http://schemas.openxmlformats.org/drawingml/2006/main">
                  <a:graphicData uri="http://schemas.microsoft.com/office/word/2010/wordprocessingShape">
                    <wps:wsp>
                      <wps:cNvSpPr/>
                      <wps:spPr>
                        <a:xfrm>
                          <a:off x="5245575" y="3674289"/>
                          <a:ext cx="200851" cy="211422"/>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5DC0F5B" w14:textId="77777777" w:rsidR="002815F6" w:rsidRDefault="002815F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3416300</wp:posOffset>
                </wp:positionH>
                <wp:positionV relativeFrom="paragraph">
                  <wp:posOffset>2044700</wp:posOffset>
                </wp:positionV>
                <wp:extent cx="210376" cy="220947"/>
                <wp:effectExtent b="0" l="0" r="0" t="0"/>
                <wp:wrapNone/>
                <wp:docPr id="84"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210376" cy="220947"/>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95F5F2E" wp14:editId="7AD3144A">
                <wp:simplePos x="0" y="0"/>
                <wp:positionH relativeFrom="column">
                  <wp:posOffset>4140200</wp:posOffset>
                </wp:positionH>
                <wp:positionV relativeFrom="paragraph">
                  <wp:posOffset>1955800</wp:posOffset>
                </wp:positionV>
                <wp:extent cx="210376" cy="220947"/>
                <wp:effectExtent l="0" t="0" r="0" b="0"/>
                <wp:wrapNone/>
                <wp:docPr id="86" name="Flecha arriba 86"/>
                <wp:cNvGraphicFramePr/>
                <a:graphic xmlns:a="http://schemas.openxmlformats.org/drawingml/2006/main">
                  <a:graphicData uri="http://schemas.microsoft.com/office/word/2010/wordprocessingShape">
                    <wps:wsp>
                      <wps:cNvSpPr/>
                      <wps:spPr>
                        <a:xfrm>
                          <a:off x="5245575" y="3674289"/>
                          <a:ext cx="200851" cy="211422"/>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50E0C0F4" w14:textId="77777777" w:rsidR="002815F6" w:rsidRDefault="002815F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4140200</wp:posOffset>
                </wp:positionH>
                <wp:positionV relativeFrom="paragraph">
                  <wp:posOffset>1955800</wp:posOffset>
                </wp:positionV>
                <wp:extent cx="210376" cy="220947"/>
                <wp:effectExtent b="0" l="0" r="0" t="0"/>
                <wp:wrapNone/>
                <wp:docPr id="86"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10376" cy="220947"/>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0EBE5E03" wp14:editId="382947C5">
                <wp:simplePos x="0" y="0"/>
                <wp:positionH relativeFrom="column">
                  <wp:posOffset>965200</wp:posOffset>
                </wp:positionH>
                <wp:positionV relativeFrom="paragraph">
                  <wp:posOffset>1638300</wp:posOffset>
                </wp:positionV>
                <wp:extent cx="220947" cy="210376"/>
                <wp:effectExtent l="0" t="0" r="0" b="0"/>
                <wp:wrapNone/>
                <wp:docPr id="85" name="Flecha arriba 85"/>
                <wp:cNvGraphicFramePr/>
                <a:graphic xmlns:a="http://schemas.openxmlformats.org/drawingml/2006/main">
                  <a:graphicData uri="http://schemas.microsoft.com/office/word/2010/wordprocessingShape">
                    <wps:wsp>
                      <wps:cNvSpPr/>
                      <wps:spPr>
                        <a:xfrm rot="5400000">
                          <a:off x="5245575" y="3674289"/>
                          <a:ext cx="200851" cy="211422"/>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02DFA183" w14:textId="77777777" w:rsidR="002815F6" w:rsidRDefault="002815F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965200</wp:posOffset>
                </wp:positionH>
                <wp:positionV relativeFrom="paragraph">
                  <wp:posOffset>1638300</wp:posOffset>
                </wp:positionV>
                <wp:extent cx="220947" cy="210376"/>
                <wp:effectExtent b="0" l="0" r="0" t="0"/>
                <wp:wrapNone/>
                <wp:docPr id="85"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220947" cy="210376"/>
                        </a:xfrm>
                        <a:prstGeom prst="rect"/>
                        <a:ln/>
                      </pic:spPr>
                    </pic:pic>
                  </a:graphicData>
                </a:graphic>
              </wp:anchor>
            </w:drawing>
          </mc:Fallback>
        </mc:AlternateContent>
      </w:r>
    </w:p>
    <w:p w14:paraId="4239663C" w14:textId="77777777" w:rsidR="002815F6" w:rsidRDefault="002815F6">
      <w:pPr>
        <w:spacing w:line="360" w:lineRule="auto"/>
        <w:jc w:val="both"/>
        <w:rPr>
          <w:rFonts w:ascii="Palatino Linotype" w:eastAsia="Palatino Linotype" w:hAnsi="Palatino Linotype" w:cs="Palatino Linotype"/>
        </w:rPr>
      </w:pPr>
    </w:p>
    <w:p w14:paraId="2F13F346" w14:textId="77777777" w:rsidR="002815F6" w:rsidRDefault="00532EF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En observancia a las imágenes anteriores, se acredita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genera la información relativa a la conciliación de nómina de manera quincenal y el remite de manera trimestral (</w:t>
      </w:r>
      <w:r>
        <w:rPr>
          <w:rFonts w:ascii="Palatino Linotype" w:eastAsia="Palatino Linotype" w:hAnsi="Palatino Linotype" w:cs="Palatino Linotype"/>
          <w:b/>
          <w:sz w:val="22"/>
          <w:szCs w:val="22"/>
        </w:rPr>
        <w:t>no mensual</w:t>
      </w:r>
      <w:r>
        <w:rPr>
          <w:rFonts w:ascii="Palatino Linotype" w:eastAsia="Palatino Linotype" w:hAnsi="Palatino Linotype" w:cs="Palatino Linotype"/>
          <w:sz w:val="22"/>
          <w:szCs w:val="22"/>
        </w:rPr>
        <w:t>) al Órgano Superior de Fiscalización del Estado de México, para su respectiva revisión y fiscalización.</w:t>
      </w:r>
    </w:p>
    <w:p w14:paraId="2B68985A" w14:textId="77777777" w:rsidR="002815F6" w:rsidRDefault="002815F6">
      <w:pPr>
        <w:spacing w:line="360" w:lineRule="auto"/>
        <w:jc w:val="both"/>
        <w:rPr>
          <w:rFonts w:ascii="Palatino Linotype" w:eastAsia="Palatino Linotype" w:hAnsi="Palatino Linotype" w:cs="Palatino Linotype"/>
          <w:sz w:val="22"/>
          <w:szCs w:val="22"/>
        </w:rPr>
      </w:pPr>
    </w:p>
    <w:p w14:paraId="66A978F4" w14:textId="77777777" w:rsidR="002815F6" w:rsidRDefault="00532EF7">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resumen, la conciliación de nómina, es el documento que contiene los sueldos, salarios, prestaciones y deducciones de todos de los Servidores Públicos del Ayuntamiento de Hueypoxtla, y que es información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debe haber</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generado, administrado o poseído. </w:t>
      </w:r>
    </w:p>
    <w:p w14:paraId="0E9214B1" w14:textId="77777777" w:rsidR="002815F6" w:rsidRDefault="002815F6">
      <w:pPr>
        <w:spacing w:line="360" w:lineRule="auto"/>
        <w:jc w:val="both"/>
        <w:rPr>
          <w:rFonts w:ascii="Palatino Linotype" w:eastAsia="Palatino Linotype" w:hAnsi="Palatino Linotype" w:cs="Palatino Linotype"/>
          <w:sz w:val="22"/>
          <w:szCs w:val="22"/>
        </w:rPr>
      </w:pPr>
    </w:p>
    <w:p w14:paraId="15307AEF" w14:textId="77777777" w:rsidR="002815F6" w:rsidRDefault="00532EF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 que la información que se solicita,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FE8D1E0" w14:textId="77777777" w:rsidR="002815F6" w:rsidRDefault="002815F6">
      <w:pPr>
        <w:spacing w:line="360" w:lineRule="auto"/>
        <w:jc w:val="both"/>
        <w:rPr>
          <w:rFonts w:ascii="Palatino Linotype" w:eastAsia="Palatino Linotype" w:hAnsi="Palatino Linotype" w:cs="Palatino Linotype"/>
          <w:sz w:val="22"/>
          <w:szCs w:val="22"/>
        </w:rPr>
      </w:pPr>
    </w:p>
    <w:p w14:paraId="21C88147" w14:textId="77777777" w:rsidR="002815F6" w:rsidRDefault="00532EF7">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14:paraId="241440DC"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23. Son sujetos obligados a transparentar y permitir el acceso a su información y proteger los datos personales que obren en su poder:</w:t>
      </w:r>
    </w:p>
    <w:p w14:paraId="3808F703"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AF905AE" w14:textId="77777777" w:rsidR="002815F6" w:rsidRDefault="00532EF7">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4E5BCB03"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2881406" w14:textId="77777777" w:rsidR="002815F6" w:rsidRDefault="00532EF7">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974ED2B" w14:textId="77777777" w:rsidR="002815F6" w:rsidRDefault="00532EF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Los servidores públicos deberán transparentar sus </w:t>
      </w:r>
      <w:proofErr w:type="gramStart"/>
      <w:r>
        <w:rPr>
          <w:rFonts w:ascii="Palatino Linotype" w:eastAsia="Palatino Linotype" w:hAnsi="Palatino Linotype" w:cs="Palatino Linotype"/>
          <w:i/>
          <w:sz w:val="22"/>
          <w:szCs w:val="22"/>
        </w:rPr>
        <w:t>acciones</w:t>
      </w:r>
      <w:proofErr w:type="gramEnd"/>
      <w:r>
        <w:rPr>
          <w:rFonts w:ascii="Palatino Linotype" w:eastAsia="Palatino Linotype" w:hAnsi="Palatino Linotype" w:cs="Palatino Linotype"/>
          <w:i/>
          <w:sz w:val="22"/>
          <w:szCs w:val="22"/>
        </w:rPr>
        <w:t xml:space="preserve"> así como garantizar y respetar el derecho de acceso a la información pública.”</w:t>
      </w:r>
      <w:r>
        <w:rPr>
          <w:rFonts w:ascii="Palatino Linotype" w:eastAsia="Palatino Linotype" w:hAnsi="Palatino Linotype" w:cs="Palatino Linotype"/>
          <w:b/>
          <w:i/>
          <w:sz w:val="22"/>
          <w:szCs w:val="22"/>
        </w:rPr>
        <w:t xml:space="preserve"> [Sic]</w:t>
      </w:r>
    </w:p>
    <w:p w14:paraId="05BB4CF0" w14:textId="77777777" w:rsidR="002815F6" w:rsidRDefault="002815F6">
      <w:pPr>
        <w:spacing w:line="360" w:lineRule="auto"/>
        <w:jc w:val="both"/>
        <w:rPr>
          <w:rFonts w:ascii="Palatino Linotype" w:eastAsia="Palatino Linotype" w:hAnsi="Palatino Linotype" w:cs="Palatino Linotype"/>
          <w:sz w:val="22"/>
          <w:szCs w:val="22"/>
        </w:rPr>
      </w:pPr>
    </w:p>
    <w:p w14:paraId="7D833D25" w14:textId="77777777" w:rsidR="002815F6" w:rsidRDefault="00532EF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sz w:val="22"/>
          <w:szCs w:val="22"/>
        </w:rPr>
        <w:t>01/2003</w:t>
      </w:r>
      <w:r>
        <w:rPr>
          <w:rFonts w:ascii="Palatino Linotype" w:eastAsia="Palatino Linotype" w:hAnsi="Palatino Linotype" w:cs="Palatino Linotype"/>
          <w:sz w:val="22"/>
          <w:szCs w:val="22"/>
        </w:rPr>
        <w:t xml:space="preserve"> y </w:t>
      </w:r>
      <w:r>
        <w:rPr>
          <w:rFonts w:ascii="Palatino Linotype" w:eastAsia="Palatino Linotype" w:hAnsi="Palatino Linotype" w:cs="Palatino Linotype"/>
          <w:b/>
          <w:sz w:val="22"/>
          <w:szCs w:val="22"/>
        </w:rPr>
        <w:t>02/2003</w:t>
      </w:r>
      <w:r>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2ECDA9DB" w14:textId="77777777" w:rsidR="002815F6" w:rsidRDefault="002815F6">
      <w:pPr>
        <w:spacing w:line="360" w:lineRule="auto"/>
        <w:jc w:val="both"/>
        <w:rPr>
          <w:rFonts w:ascii="Palatino Linotype" w:eastAsia="Palatino Linotype" w:hAnsi="Palatino Linotype" w:cs="Palatino Linotype"/>
          <w:sz w:val="22"/>
          <w:szCs w:val="22"/>
        </w:rPr>
      </w:pPr>
    </w:p>
    <w:p w14:paraId="22FA0250" w14:textId="77777777" w:rsidR="002815F6" w:rsidRDefault="00532EF7">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14:paraId="6C37830A"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14:paraId="28AAF784" w14:textId="77777777" w:rsidR="002815F6" w:rsidRDefault="00532EF7">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Pr>
          <w:rFonts w:ascii="Palatino Linotype" w:eastAsia="Palatino Linotype" w:hAnsi="Palatino Linotype" w:cs="Palatino Linotype"/>
          <w:b/>
          <w:i/>
          <w:sz w:val="22"/>
          <w:szCs w:val="22"/>
          <w:u w:val="single"/>
        </w:rPr>
        <w:lastRenderedPageBreak/>
        <w:t>encuentran su origen en mayor medida en las contribuciones aportados por los gobernados</w:t>
      </w:r>
      <w:r>
        <w:rPr>
          <w:rFonts w:ascii="Palatino Linotype" w:eastAsia="Palatino Linotype" w:hAnsi="Palatino Linotype" w:cs="Palatino Linotype"/>
          <w:i/>
          <w:sz w:val="22"/>
          <w:szCs w:val="22"/>
          <w:u w:val="single"/>
        </w:rPr>
        <w:t>…”</w:t>
      </w:r>
    </w:p>
    <w:p w14:paraId="41E6578C" w14:textId="77777777" w:rsidR="002815F6" w:rsidRDefault="002815F6">
      <w:pPr>
        <w:ind w:left="851" w:right="851"/>
        <w:jc w:val="both"/>
        <w:rPr>
          <w:rFonts w:ascii="Palatino Linotype" w:eastAsia="Palatino Linotype" w:hAnsi="Palatino Linotype" w:cs="Palatino Linotype"/>
          <w:i/>
          <w:sz w:val="22"/>
          <w:szCs w:val="22"/>
        </w:rPr>
      </w:pPr>
    </w:p>
    <w:p w14:paraId="3CB97279" w14:textId="77777777" w:rsidR="002815F6" w:rsidRDefault="00532EF7">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14:paraId="316952EA"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14:paraId="309EB55F" w14:textId="77777777" w:rsidR="002815F6" w:rsidRDefault="00532EF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14:paraId="53A0D999" w14:textId="77777777" w:rsidR="002815F6" w:rsidRDefault="002815F6">
      <w:pPr>
        <w:spacing w:line="360" w:lineRule="auto"/>
        <w:ind w:right="-93"/>
        <w:jc w:val="both"/>
        <w:rPr>
          <w:rFonts w:ascii="Palatino Linotype" w:eastAsia="Palatino Linotype" w:hAnsi="Palatino Linotype" w:cs="Palatino Linotype"/>
          <w:sz w:val="22"/>
          <w:szCs w:val="22"/>
        </w:rPr>
      </w:pPr>
    </w:p>
    <w:p w14:paraId="5CC8A57C" w14:textId="77777777" w:rsidR="002815F6" w:rsidRDefault="00532EF7">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Especialmente, porque se trata de información que se encuentra vinculada a una obligación de transparencia en términos de lo señalado por el artículo 92 fracción VIII de la Ley de Transparencia y Acceso a la Información Pública del Estado de México y Municipios vigente, que señala:</w:t>
      </w:r>
    </w:p>
    <w:p w14:paraId="18817D43" w14:textId="77777777" w:rsidR="002815F6" w:rsidRDefault="002815F6">
      <w:pPr>
        <w:tabs>
          <w:tab w:val="left" w:pos="709"/>
        </w:tabs>
        <w:spacing w:line="360" w:lineRule="auto"/>
        <w:jc w:val="both"/>
        <w:rPr>
          <w:rFonts w:ascii="Palatino Linotype" w:eastAsia="Palatino Linotype" w:hAnsi="Palatino Linotype" w:cs="Palatino Linotype"/>
          <w:sz w:val="22"/>
          <w:szCs w:val="22"/>
        </w:rPr>
      </w:pPr>
    </w:p>
    <w:p w14:paraId="3AAF2671"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62923E"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C914285"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w:t>
      </w:r>
      <w:r>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Pr>
          <w:rFonts w:ascii="Palatino Linotype" w:eastAsia="Palatino Linotype" w:hAnsi="Palatino Linotype" w:cs="Palatino Linotype"/>
          <w:i/>
          <w:sz w:val="22"/>
          <w:szCs w:val="22"/>
        </w:rPr>
        <w:t>, señalando la periodicidad de dicha remuneración…”</w:t>
      </w:r>
    </w:p>
    <w:p w14:paraId="0BB1B4AC"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respecta al aguinaldo y prima vacacional, de conformidad con los artículos 1, 66, 71, 78 y 220 K fracción IV, de la Ley del Trabajo de los Servidores Públicos del Estado y Municipios, que señalan:</w:t>
      </w:r>
    </w:p>
    <w:p w14:paraId="3B6CE17B" w14:textId="77777777" w:rsidR="002815F6" w:rsidRDefault="002815F6">
      <w:pPr>
        <w:spacing w:line="360" w:lineRule="auto"/>
        <w:jc w:val="both"/>
        <w:rPr>
          <w:rFonts w:ascii="Palatino Linotype" w:eastAsia="Palatino Linotype" w:hAnsi="Palatino Linotype" w:cs="Palatino Linotype"/>
        </w:rPr>
      </w:pPr>
    </w:p>
    <w:p w14:paraId="5B1311F6" w14:textId="77777777" w:rsidR="002815F6" w:rsidRDefault="00532EF7">
      <w:pPr>
        <w:ind w:left="567" w:right="56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del Trabajo de los Servidores Públicos del Estado y Municipios</w:t>
      </w:r>
    </w:p>
    <w:p w14:paraId="05A4E1E3" w14:textId="77777777" w:rsidR="002815F6" w:rsidRDefault="002815F6">
      <w:pPr>
        <w:ind w:left="567" w:right="567"/>
        <w:jc w:val="both"/>
        <w:rPr>
          <w:rFonts w:ascii="Palatino Linotype" w:eastAsia="Palatino Linotype" w:hAnsi="Palatino Linotype" w:cs="Palatino Linotype"/>
          <w:i/>
          <w:sz w:val="22"/>
          <w:szCs w:val="22"/>
        </w:rPr>
      </w:pPr>
    </w:p>
    <w:p w14:paraId="217A7AF0"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roofErr w:type="gramStart"/>
      <w:r>
        <w:rPr>
          <w:rFonts w:ascii="Palatino Linotype" w:eastAsia="Palatino Linotype" w:hAnsi="Palatino Linotype" w:cs="Palatino Linotype"/>
          <w:i/>
          <w:sz w:val="22"/>
          <w:szCs w:val="22"/>
        </w:rPr>
        <w:t>Ésta</w:t>
      </w:r>
      <w:proofErr w:type="gramEnd"/>
      <w:r>
        <w:rPr>
          <w:rFonts w:ascii="Palatino Linotype" w:eastAsia="Palatino Linotype" w:hAnsi="Palatino Linotype" w:cs="Palatino Linotype"/>
          <w:i/>
          <w:sz w:val="22"/>
          <w:szCs w:val="22"/>
        </w:rPr>
        <w:t xml:space="preserve"> ley es de orden público e interés social y tiene por objeto regular las relaciones de trabajo, comprendidas entre los poderes públicos del Estado y los Municipios y sus respectivos servidores públicos. </w:t>
      </w:r>
    </w:p>
    <w:p w14:paraId="72CB08E0"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Igualmente, se regulan por esta ley las relaciones de trabajo entre los tribunales administrativos, los organismos descentralizados, fideicomisos de carácter estatal y municipal y los órganos autónomos que sus leyes de creación así lo determinen y sus servidores públicos. </w:t>
      </w:r>
    </w:p>
    <w:p w14:paraId="72206259"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14:paraId="5F69DC9A" w14:textId="77777777" w:rsidR="002815F6" w:rsidRDefault="002815F6">
      <w:pPr>
        <w:ind w:left="567" w:right="567"/>
        <w:jc w:val="both"/>
        <w:rPr>
          <w:rFonts w:ascii="Palatino Linotype" w:eastAsia="Palatino Linotype" w:hAnsi="Palatino Linotype" w:cs="Palatino Linotype"/>
          <w:i/>
          <w:sz w:val="22"/>
          <w:szCs w:val="22"/>
        </w:rPr>
      </w:pPr>
    </w:p>
    <w:p w14:paraId="7B40EBEA"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66.</w:t>
      </w:r>
      <w:r>
        <w:rPr>
          <w:rFonts w:ascii="Palatino Linotype" w:eastAsia="Palatino Linotype" w:hAnsi="Palatino Linotype" w:cs="Palatino Linotype"/>
          <w:i/>
          <w:sz w:val="22"/>
          <w:szCs w:val="22"/>
        </w:rPr>
        <w:t xml:space="preserve"> Se </w:t>
      </w:r>
      <w:r>
        <w:rPr>
          <w:rFonts w:ascii="Palatino Linotype" w:eastAsia="Palatino Linotype" w:hAnsi="Palatino Linotype" w:cs="Palatino Linotype"/>
          <w:i/>
          <w:sz w:val="22"/>
          <w:szCs w:val="22"/>
          <w:u w:val="single"/>
        </w:rPr>
        <w:t xml:space="preserve">establecen dos </w:t>
      </w:r>
      <w:r>
        <w:rPr>
          <w:rFonts w:ascii="Palatino Linotype" w:eastAsia="Palatino Linotype" w:hAnsi="Palatino Linotype" w:cs="Palatino Linotype"/>
          <w:b/>
          <w:i/>
          <w:sz w:val="22"/>
          <w:szCs w:val="22"/>
          <w:u w:val="single"/>
        </w:rPr>
        <w:t>períodos anuales de vacaciones</w:t>
      </w:r>
      <w:r>
        <w:rPr>
          <w:rFonts w:ascii="Palatino Linotype" w:eastAsia="Palatino Linotype" w:hAnsi="Palatino Linotype" w:cs="Palatino Linotype"/>
          <w:i/>
          <w:sz w:val="22"/>
          <w:szCs w:val="22"/>
        </w:rPr>
        <w:t xml:space="preserve">, de diez días laborables cada uno, cuyas fechas deberán ser dadas a conocer oportunamente por cada institución pública. Los servidores públicos podrán hacer uso de su primer período vacacional siempre y cuando hayan cumplido seis meses en el servicio. </w:t>
      </w:r>
    </w:p>
    <w:p w14:paraId="04A76666"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servidores públicos que durante los períodos normales de vacaciones se encuentren con licencia por maternidad o enfermedad, podrán gozar, al reintegrarse al servicio, de hasta dos períodos vacacionales no disfrutados anteriormente por esa causa.</w:t>
      </w:r>
    </w:p>
    <w:p w14:paraId="25100A3C" w14:textId="77777777" w:rsidR="002815F6" w:rsidRDefault="002815F6">
      <w:pPr>
        <w:ind w:left="567" w:right="567"/>
        <w:jc w:val="both"/>
        <w:rPr>
          <w:rFonts w:ascii="Palatino Linotype" w:eastAsia="Palatino Linotype" w:hAnsi="Palatino Linotype" w:cs="Palatino Linotype"/>
          <w:i/>
          <w:sz w:val="22"/>
          <w:szCs w:val="22"/>
        </w:rPr>
      </w:pPr>
    </w:p>
    <w:p w14:paraId="73655598"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71.</w:t>
      </w:r>
      <w:r>
        <w:rPr>
          <w:rFonts w:ascii="Palatino Linotype" w:eastAsia="Palatino Linotype" w:hAnsi="Palatino Linotype" w:cs="Palatino Linotype"/>
          <w:i/>
          <w:sz w:val="22"/>
          <w:szCs w:val="22"/>
        </w:rPr>
        <w:t xml:space="preserve"> El sueldo es la retribución que la institución pública debe pagar al servidor público por los servicios prestados.</w:t>
      </w:r>
    </w:p>
    <w:p w14:paraId="11919218" w14:textId="77777777" w:rsidR="002815F6" w:rsidRDefault="002815F6">
      <w:pPr>
        <w:ind w:left="567" w:right="567"/>
        <w:jc w:val="both"/>
        <w:rPr>
          <w:rFonts w:ascii="Palatino Linotype" w:eastAsia="Palatino Linotype" w:hAnsi="Palatino Linotype" w:cs="Palatino Linotype"/>
          <w:i/>
          <w:sz w:val="22"/>
          <w:szCs w:val="22"/>
        </w:rPr>
      </w:pPr>
    </w:p>
    <w:p w14:paraId="189E6F86"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78.</w:t>
      </w:r>
      <w:r>
        <w:rPr>
          <w:rFonts w:ascii="Palatino Linotype" w:eastAsia="Palatino Linotype" w:hAnsi="Palatino Linotype" w:cs="Palatino Linotype"/>
          <w:i/>
          <w:sz w:val="22"/>
          <w:szCs w:val="22"/>
        </w:rPr>
        <w:t xml:space="preserve"> Los servidores públicos tendrán derecho a un </w:t>
      </w:r>
      <w:r>
        <w:rPr>
          <w:rFonts w:ascii="Palatino Linotype" w:eastAsia="Palatino Linotype" w:hAnsi="Palatino Linotype" w:cs="Palatino Linotype"/>
          <w:b/>
          <w:i/>
          <w:sz w:val="22"/>
          <w:szCs w:val="22"/>
          <w:u w:val="single"/>
        </w:rPr>
        <w:t>aguinaldo anual</w:t>
      </w:r>
      <w:r>
        <w:rPr>
          <w:rFonts w:ascii="Palatino Linotype" w:eastAsia="Palatino Linotype" w:hAnsi="Palatino Linotype" w:cs="Palatino Linotype"/>
          <w:i/>
          <w:sz w:val="22"/>
          <w:szCs w:val="22"/>
        </w:rPr>
        <w:t>, equivalente a 40 días de sueldo base, cuando menos, sin deducción alguna, y estará comprendido en el presupuesto de egresos correspondiente.</w:t>
      </w:r>
    </w:p>
    <w:p w14:paraId="11292220"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Dicho aguinaldo deberá pagarse en dos entregas, la primera de ellas previo al primer período vacacional y la segunda a más tardar el día 15 de diciembre. </w:t>
      </w:r>
    </w:p>
    <w:p w14:paraId="720EF32C"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servidores públicos que hayan prestado sus servicios por un lapso menor a un año, tendrán derecho a que se les pague la parte proporcional del aguinaldo de acuerdo a los días efectivamente trabajados.</w:t>
      </w:r>
    </w:p>
    <w:p w14:paraId="4293DF1D" w14:textId="77777777" w:rsidR="002815F6" w:rsidRDefault="002815F6">
      <w:pPr>
        <w:ind w:left="567" w:right="567"/>
        <w:jc w:val="both"/>
        <w:rPr>
          <w:rFonts w:ascii="Palatino Linotype" w:eastAsia="Palatino Linotype" w:hAnsi="Palatino Linotype" w:cs="Palatino Linotype"/>
          <w:i/>
          <w:sz w:val="22"/>
          <w:szCs w:val="22"/>
        </w:rPr>
      </w:pPr>
    </w:p>
    <w:p w14:paraId="3DE32664"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4E448F69"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73E9B1E" w14:textId="77777777" w:rsidR="002815F6" w:rsidRDefault="00532EF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Recibos o las constancias de </w:t>
      </w:r>
      <w:proofErr w:type="spellStart"/>
      <w:r>
        <w:rPr>
          <w:rFonts w:ascii="Palatino Linotype" w:eastAsia="Palatino Linotype" w:hAnsi="Palatino Linotype" w:cs="Palatino Linotype"/>
          <w:i/>
          <w:sz w:val="22"/>
          <w:szCs w:val="22"/>
          <w:u w:val="single"/>
        </w:rPr>
        <w:t>deposito</w:t>
      </w:r>
      <w:proofErr w:type="spellEnd"/>
      <w:r>
        <w:rPr>
          <w:rFonts w:ascii="Palatino Linotype" w:eastAsia="Palatino Linotype" w:hAnsi="Palatino Linotype" w:cs="Palatino Linotype"/>
          <w:i/>
          <w:sz w:val="22"/>
          <w:szCs w:val="22"/>
        </w:rPr>
        <w:t xml:space="preserve"> o del medio de información magnética o electrónica que sean utilizadas para el pago de salarios, </w:t>
      </w:r>
      <w:r>
        <w:rPr>
          <w:rFonts w:ascii="Palatino Linotype" w:eastAsia="Palatino Linotype" w:hAnsi="Palatino Linotype" w:cs="Palatino Linotype"/>
          <w:i/>
          <w:sz w:val="22"/>
          <w:szCs w:val="22"/>
          <w:u w:val="single"/>
        </w:rPr>
        <w:t>prima vacacional, aguinaldo</w:t>
      </w:r>
      <w:r>
        <w:rPr>
          <w:rFonts w:ascii="Palatino Linotype" w:eastAsia="Palatino Linotype" w:hAnsi="Palatino Linotype" w:cs="Palatino Linotype"/>
          <w:i/>
          <w:sz w:val="22"/>
          <w:szCs w:val="22"/>
        </w:rPr>
        <w:t xml:space="preserve"> y demás prestaciones establecidas en la presente ley…”</w:t>
      </w:r>
    </w:p>
    <w:p w14:paraId="77D19DEB" w14:textId="77777777" w:rsidR="002815F6" w:rsidRDefault="002815F6">
      <w:pPr>
        <w:spacing w:line="360" w:lineRule="auto"/>
        <w:jc w:val="both"/>
        <w:rPr>
          <w:rFonts w:ascii="Palatino Linotype" w:eastAsia="Palatino Linotype" w:hAnsi="Palatino Linotype" w:cs="Palatino Linotype"/>
        </w:rPr>
      </w:pPr>
    </w:p>
    <w:p w14:paraId="3FA44046"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Ordenamientos normativos con los cuales se logra acreditar que se deben expedir los recibos de pago por concepto de aguinaldo y prima vacacional y demás prestaciones. </w:t>
      </w:r>
    </w:p>
    <w:p w14:paraId="1B4299AB"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la respuesta se observa que </w:t>
      </w:r>
      <w:proofErr w:type="gramStart"/>
      <w:r>
        <w:rPr>
          <w:rFonts w:ascii="Palatino Linotype" w:eastAsia="Palatino Linotype" w:hAnsi="Palatino Linotype" w:cs="Palatino Linotype"/>
        </w:rPr>
        <w:t>la  Tesorería</w:t>
      </w:r>
      <w:proofErr w:type="gramEnd"/>
      <w:r>
        <w:rPr>
          <w:rFonts w:ascii="Palatino Linotype" w:eastAsia="Palatino Linotype" w:hAnsi="Palatino Linotype" w:cs="Palatino Linotype"/>
        </w:rPr>
        <w:t xml:space="preserve"> Municipal del Ayuntamiento de Hueypoxtla, informó que lo solicitado se encuentra publicado para su consulta al público en el portal de IPOMEX, artículo 92 fracción VIII A denominado Remuneraciones, mismo que puede consultar en el siguiente link:</w:t>
      </w:r>
    </w:p>
    <w:p w14:paraId="650DFF99"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2B330A0" wp14:editId="4F5D3EB8">
            <wp:extent cx="5612130" cy="2008505"/>
            <wp:effectExtent l="0" t="0" r="0" b="0"/>
            <wp:docPr id="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2008505"/>
                    </a:xfrm>
                    <a:prstGeom prst="rect">
                      <a:avLst/>
                    </a:prstGeom>
                    <a:ln/>
                  </pic:spPr>
                </pic:pic>
              </a:graphicData>
            </a:graphic>
          </wp:inline>
        </w:drawing>
      </w:r>
      <w:r>
        <w:rPr>
          <w:rFonts w:ascii="Palatino Linotype" w:eastAsia="Palatino Linotype" w:hAnsi="Palatino Linotype" w:cs="Palatino Linotype"/>
        </w:rPr>
        <w:t xml:space="preserve">Lo cierto es que esta fue proporcionada en imagen, por ello, este Organismo Garante considera que dicho enlace no puede tenerse por válido, toda vez que los enlaces </w:t>
      </w:r>
      <w:r>
        <w:rPr>
          <w:rFonts w:ascii="Palatino Linotype" w:eastAsia="Palatino Linotype" w:hAnsi="Palatino Linotype" w:cs="Palatino Linotype"/>
        </w:rPr>
        <w:lastRenderedPageBreak/>
        <w:t>electrónicos deben ser precisos y directos, del caso concreto al corresponder a un documento PDF en formato de imagen no editable, pierde su característica de ser directo.</w:t>
      </w:r>
    </w:p>
    <w:p w14:paraId="65137F8D"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al ser demasiado extenso el número de caracteres que conforman el enlace, corresponde a una tarea ardua su captura, para posteriormente insertarlo en el navegador de Internet de manera manual, sin ningún tipo de error en su captura, se colige que deja de ser preciso, como lo establece la ley de la materia, por tanto son improcedentes, situación diferente acontece, cuando del mismo documento si es posible su captura mediante la selección del texto o mediante clic en el enlace cuando se remite en datos abiertos, contexto que en el caso concreto no ocurre.</w:t>
      </w:r>
    </w:p>
    <w:p w14:paraId="38111E70"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considera que en el caso de que la información peticionada obre en ligas electrónicas,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privilegiar la entrega de estas, en datos abiertos, es decir, en un formato que permita la accesibilidad y facilidad a los Particulares, para obtener la información contenida estas.</w:t>
      </w:r>
    </w:p>
    <w:p w14:paraId="03C97CD7"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Cómo se logra observar,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 bien señaló una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 por lo que, se considera que incumplió con lo establecido en el artículo 161 de la Ley de Transparencia y Acceso a la Información Pública del Estado de México y Municipios. </w:t>
      </w:r>
    </w:p>
    <w:p w14:paraId="63C708E3"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otro lado, sobre la información contenida en dicho enlace electrónico,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que es información que se encuentra en su portal de IPOMEX, artículo 92 fracción VIII A denominado Remuneraciones, como se observa a continuación:</w:t>
      </w:r>
    </w:p>
    <w:p w14:paraId="65ACE2ED"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473BF574" wp14:editId="62445076">
            <wp:extent cx="5612130" cy="3556000"/>
            <wp:effectExtent l="0" t="0" r="0" b="0"/>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612130" cy="3556000"/>
                    </a:xfrm>
                    <a:prstGeom prst="rect">
                      <a:avLst/>
                    </a:prstGeom>
                    <a:ln/>
                  </pic:spPr>
                </pic:pic>
              </a:graphicData>
            </a:graphic>
          </wp:inline>
        </w:drawing>
      </w:r>
    </w:p>
    <w:p w14:paraId="348A7E9B"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La cual efectivamente no corresponde con lo solicitado, en razón de que el artículo 92 fracción VIII de la Ley de Transparencia y Acceso a la Información Pública del Estado de México y Municipios, corresponde a la remuneración bruta y neta de todos los servidores públicos de base o de confianza, de todas las percepciones, incluyendo sueldos, prestaciones, gratificaciones, primas, comisiones, dietas, bonos, estímulos, ingresos y sistemas de compensación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claro en solicitar el soporte documental que contiene la conciliación de nómina. </w:t>
      </w:r>
    </w:p>
    <w:p w14:paraId="4027D85A" w14:textId="77777777" w:rsidR="002815F6" w:rsidRDefault="00532EF7">
      <w:pPr>
        <w:widowControl w:val="0"/>
        <w:tabs>
          <w:tab w:val="center" w:pos="452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Razones por las cuales lo procedente es ordenar la conciliación de nómina del Ayuntamiento de Hueypoxtla de la primera y segunda quincena de diciembre del año 2023, así como el aguinaldo, prima vacacional y </w:t>
      </w:r>
      <w:proofErr w:type="gramStart"/>
      <w:r>
        <w:rPr>
          <w:rFonts w:ascii="Palatino Linotype" w:eastAsia="Palatino Linotype" w:hAnsi="Palatino Linotype" w:cs="Palatino Linotype"/>
        </w:rPr>
        <w:t>demás prestaciones otorgados</w:t>
      </w:r>
      <w:proofErr w:type="gramEnd"/>
      <w:r>
        <w:rPr>
          <w:rFonts w:ascii="Palatino Linotype" w:eastAsia="Palatino Linotype" w:hAnsi="Palatino Linotype" w:cs="Palatino Linotype"/>
        </w:rPr>
        <w:t xml:space="preserve"> en diciembre de 2023, en versión pública conforme a lo señalado por el considerando quinto del presente fallo. </w:t>
      </w:r>
    </w:p>
    <w:p w14:paraId="53A3B894" w14:textId="77777777" w:rsidR="002815F6" w:rsidRDefault="002815F6">
      <w:pPr>
        <w:widowControl w:val="0"/>
        <w:tabs>
          <w:tab w:val="center" w:pos="4522"/>
        </w:tabs>
        <w:spacing w:line="360" w:lineRule="auto"/>
        <w:jc w:val="both"/>
        <w:rPr>
          <w:rFonts w:ascii="Palatino Linotype" w:eastAsia="Palatino Linotype" w:hAnsi="Palatino Linotype" w:cs="Palatino Linotype"/>
        </w:rPr>
      </w:pPr>
    </w:p>
    <w:p w14:paraId="4AECF555"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caso de que no se hayan pagado otras prestaciones en el mes de diciembre del 2023, que se ordenan, bastará que así se lo haga saber a la parte </w:t>
      </w:r>
      <w:r>
        <w:rPr>
          <w:rFonts w:ascii="Palatino Linotype" w:eastAsia="Palatino Linotype" w:hAnsi="Palatino Linotype" w:cs="Palatino Linotype"/>
          <w:b/>
        </w:rPr>
        <w:t>RECURRENTE</w:t>
      </w:r>
      <w:r>
        <w:rPr>
          <w:rFonts w:ascii="Palatino Linotype" w:eastAsia="Palatino Linotype" w:hAnsi="Palatino Linotype" w:cs="Palatino Linotype"/>
        </w:rPr>
        <w:t>, en términos de lo señalado por el segundo párrafo del artículo 19 de la Ley de Transparencia y Acceso a la Información Pública del Estado de México y Municipios, para tener por colmado su derecho de acceso a la información, que dispone lo siguiente:</w:t>
      </w:r>
    </w:p>
    <w:p w14:paraId="7F8CA979" w14:textId="77777777" w:rsidR="002815F6" w:rsidRDefault="002815F6">
      <w:pPr>
        <w:spacing w:line="360" w:lineRule="auto"/>
        <w:jc w:val="both"/>
        <w:rPr>
          <w:rFonts w:ascii="Palatino Linotype" w:eastAsia="Palatino Linotype" w:hAnsi="Palatino Linotype" w:cs="Palatino Linotype"/>
        </w:rPr>
      </w:pPr>
    </w:p>
    <w:p w14:paraId="524E80DD" w14:textId="77777777" w:rsidR="002815F6" w:rsidRDefault="00532EF7">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“Artículo 19…</w:t>
      </w:r>
    </w:p>
    <w:p w14:paraId="28B28C82" w14:textId="77777777" w:rsidR="002815F6" w:rsidRDefault="00532EF7">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64C5121E" w14:textId="77777777" w:rsidR="002815F6" w:rsidRDefault="00532EF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77550042" w14:textId="77777777" w:rsidR="002815F6" w:rsidRDefault="00532EF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12F7CB61"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w:t>
      </w:r>
      <w:proofErr w:type="gramStart"/>
      <w:r>
        <w:rPr>
          <w:rFonts w:ascii="Palatino Linotype" w:eastAsia="Palatino Linotype" w:hAnsi="Palatino Linotype" w:cs="Palatino Linotype"/>
          <w:i/>
          <w:sz w:val="22"/>
          <w:szCs w:val="22"/>
        </w:rPr>
        <w:t>por:…</w:t>
      </w:r>
      <w:proofErr w:type="gramEnd"/>
    </w:p>
    <w:p w14:paraId="47421531"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14:paraId="4D33C12E"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586ED62"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44DA31E"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21777990"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F7F3D9C"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4F6B81A2"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A58F658"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1EF8DA5" w14:textId="77777777" w:rsidR="002815F6" w:rsidRDefault="00532EF7">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0E19E091"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11C8C444"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5E1E10E9" w14:textId="77777777" w:rsidR="002815F6" w:rsidRDefault="00532EF7">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27B9AED"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AF35F99" w14:textId="77777777" w:rsidR="002815F6" w:rsidRDefault="00532EF7">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05A740D6"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7C6EF375"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77EC5AA"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571F5D4"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FF0B582" w14:textId="77777777" w:rsidR="002815F6" w:rsidRDefault="00532EF7">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307020DB"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14:paraId="58A94939"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14:paraId="716AFD79"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14:paraId="308B0F22"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Exista una orden judicial;</w:t>
      </w:r>
    </w:p>
    <w:p w14:paraId="61D04EB6"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0F688146"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37341626"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644280BA" w14:textId="77777777" w:rsidR="002815F6" w:rsidRDefault="00532E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66514000" w14:textId="77777777" w:rsidR="002815F6" w:rsidRDefault="002815F6">
      <w:pPr>
        <w:spacing w:line="360" w:lineRule="auto"/>
        <w:ind w:right="49"/>
        <w:jc w:val="both"/>
        <w:rPr>
          <w:rFonts w:ascii="Palatino Linotype" w:eastAsia="Palatino Linotype" w:hAnsi="Palatino Linotype" w:cs="Palatino Linotype"/>
        </w:rPr>
      </w:pPr>
    </w:p>
    <w:p w14:paraId="5611376F"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6D888BB1" w14:textId="77777777" w:rsidR="002815F6" w:rsidRDefault="002815F6">
      <w:pPr>
        <w:spacing w:line="360" w:lineRule="auto"/>
        <w:jc w:val="both"/>
        <w:rPr>
          <w:rFonts w:ascii="Palatino Linotype" w:eastAsia="Palatino Linotype" w:hAnsi="Palatino Linotype" w:cs="Palatino Linotype"/>
        </w:rPr>
      </w:pPr>
    </w:p>
    <w:p w14:paraId="2A63F47F"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57A774E4" w14:textId="77777777" w:rsidR="002815F6" w:rsidRDefault="002815F6">
      <w:pPr>
        <w:spacing w:line="360" w:lineRule="auto"/>
        <w:jc w:val="both"/>
        <w:rPr>
          <w:rFonts w:ascii="Palatino Linotype" w:eastAsia="Palatino Linotype" w:hAnsi="Palatino Linotype" w:cs="Palatino Linotype"/>
        </w:rPr>
      </w:pPr>
    </w:p>
    <w:p w14:paraId="4E3C36FA"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77160117" w14:textId="77777777" w:rsidR="002815F6" w:rsidRDefault="002815F6">
      <w:pPr>
        <w:spacing w:line="360" w:lineRule="auto"/>
        <w:jc w:val="both"/>
        <w:rPr>
          <w:rFonts w:ascii="Palatino Linotype" w:eastAsia="Palatino Linotype" w:hAnsi="Palatino Linotype" w:cs="Palatino Linotype"/>
        </w:rPr>
      </w:pPr>
    </w:p>
    <w:p w14:paraId="2234BB41" w14:textId="77777777" w:rsidR="002815F6" w:rsidRDefault="00532E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5C0075AB" w14:textId="77777777" w:rsidR="002815F6" w:rsidRDefault="00532E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14:paraId="18AEFEC9" w14:textId="77777777" w:rsidR="002815F6" w:rsidRDefault="00532EF7">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14:paraId="0C711A72" w14:textId="77777777" w:rsidR="002815F6" w:rsidRDefault="00532E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6A104E72" w14:textId="77777777" w:rsidR="002815F6" w:rsidRDefault="00532E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0E9E4CC0" w14:textId="77777777" w:rsidR="002815F6" w:rsidRDefault="00532E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69F3135A" w14:textId="77777777" w:rsidR="002815F6" w:rsidRDefault="002815F6">
      <w:pPr>
        <w:spacing w:line="360" w:lineRule="auto"/>
        <w:jc w:val="both"/>
        <w:rPr>
          <w:rFonts w:ascii="Palatino Linotype" w:eastAsia="Palatino Linotype" w:hAnsi="Palatino Linotype" w:cs="Palatino Linotype"/>
        </w:rPr>
      </w:pPr>
    </w:p>
    <w:p w14:paraId="2D3A46FA" w14:textId="77777777" w:rsidR="002815F6" w:rsidRDefault="00532EF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w:t>
      </w:r>
      <w:r>
        <w:rPr>
          <w:rFonts w:ascii="Palatino Linotype" w:eastAsia="Palatino Linotype" w:hAnsi="Palatino Linotype" w:cs="Palatino Linotype"/>
        </w:rPr>
        <w:lastRenderedPageBreak/>
        <w:t>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FC1B226"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el</w:t>
      </w:r>
      <w:r>
        <w:rPr>
          <w:rFonts w:ascii="Palatino Linotype" w:eastAsia="Palatino Linotype" w:hAnsi="Palatino Linotype" w:cs="Palatino Linotype"/>
          <w:b/>
        </w:rPr>
        <w:t xml:space="preserve"> número de empleado, </w:t>
      </w:r>
      <w:r>
        <w:rPr>
          <w:rFonts w:ascii="Palatino Linotype" w:eastAsia="Palatino Linotype" w:hAnsi="Palatino Linotype" w:cs="Palatino Linotype"/>
        </w:rPr>
        <w:t xml:space="preserve">así como de ser el caso, el </w:t>
      </w:r>
      <w:r>
        <w:rPr>
          <w:rFonts w:ascii="Palatino Linotype" w:eastAsia="Palatino Linotype" w:hAnsi="Palatino Linotype" w:cs="Palatino Linotype"/>
          <w:b/>
        </w:rPr>
        <w:t>folio fiscal</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cadena original, </w:t>
      </w:r>
      <w:r>
        <w:rPr>
          <w:rFonts w:ascii="Palatino Linotype" w:eastAsia="Palatino Linotype" w:hAnsi="Palatino Linotype" w:cs="Palatino Linotype"/>
        </w:rPr>
        <w:t>los</w:t>
      </w:r>
      <w:r>
        <w:rPr>
          <w:rFonts w:ascii="Palatino Linotype" w:eastAsia="Palatino Linotype" w:hAnsi="Palatino Linotype" w:cs="Palatino Linotype"/>
          <w:b/>
        </w:rPr>
        <w:t xml:space="preserve"> códigos bidimensionales o códigos QR,</w:t>
      </w:r>
      <w:r>
        <w:rPr>
          <w:rFonts w:ascii="Palatino Linotype" w:eastAsia="Palatino Linotype" w:hAnsi="Palatino Linotype" w:cs="Palatino Linotype"/>
        </w:rPr>
        <w:t xml:space="preserve"> y cualquier información de carácter fiscal, bajo las siguientes consideraciones. </w:t>
      </w:r>
    </w:p>
    <w:p w14:paraId="34DC20AA" w14:textId="77777777" w:rsidR="002815F6" w:rsidRDefault="00532EF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7BDDF0D2"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C6CAB0B"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es compartido por el Instituto Nacional de Transparencia, Acceso a la Información y Protección de Datos (INAI) a través del Criterio 19/17, el cual es del tenor literal siguiente:</w:t>
      </w:r>
    </w:p>
    <w:p w14:paraId="3FEA7720" w14:textId="77777777" w:rsidR="002815F6" w:rsidRDefault="00532EF7">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20E8CDF5" w14:textId="77777777" w:rsidR="002815F6" w:rsidRDefault="00532EF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E3206D9" w14:textId="77777777" w:rsidR="002815F6" w:rsidRDefault="00532EF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03D7A51"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14:paraId="518A33D7" w14:textId="77777777" w:rsidR="002815F6" w:rsidRDefault="00532EF7">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Pr>
          <w:rFonts w:ascii="Palatino Linotype" w:eastAsia="Palatino Linotype" w:hAnsi="Palatino Linotype" w:cs="Palatino Linotype"/>
          <w:i/>
          <w:color w:val="000000"/>
          <w:sz w:val="20"/>
          <w:szCs w:val="20"/>
        </w:rPr>
        <w:lastRenderedPageBreak/>
        <w:t xml:space="preserve">resto de los habitantes del país, por lo que la CURP está considerada como información confidencial.” </w:t>
      </w:r>
    </w:p>
    <w:p w14:paraId="3DF3A4B6"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4702A7AB" w14:textId="77777777" w:rsidR="002815F6" w:rsidRDefault="00532EF7">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14:paraId="4BE724E3"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D7EE32A" w14:textId="77777777" w:rsidR="002815F6" w:rsidRDefault="00532EF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Por cuanto hace a las deducciones, para entender los límites y alcances de esta restricción, es oportuno recurrir al artículo 84 de la Ley del Trabajo de los Servidores Públicos del Estado y Municipios:</w:t>
      </w:r>
    </w:p>
    <w:p w14:paraId="07DDC623" w14:textId="77777777" w:rsidR="002815F6" w:rsidRDefault="00532EF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14:paraId="6206D433"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14:paraId="3B079E2A" w14:textId="77777777" w:rsidR="002815F6" w:rsidRDefault="00532EF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2E4B91D7"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14:paraId="2426C41E"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E3E72A9"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3CC1AD57"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6D23A477"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14:paraId="0B695C79" w14:textId="77777777" w:rsidR="002815F6" w:rsidRDefault="00532EF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640D4F84" w14:textId="77777777" w:rsidR="002815F6" w:rsidRDefault="00532EF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6DB078AE" w14:textId="77777777" w:rsidR="002815F6" w:rsidRDefault="00532EF7">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612A379" w14:textId="77777777" w:rsidR="002815F6" w:rsidRDefault="00532EF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Pr>
          <w:rFonts w:ascii="Palatino Linotype" w:eastAsia="Palatino Linotype" w:hAnsi="Palatino Linotype" w:cs="Palatino Linotype"/>
          <w:color w:val="000000"/>
        </w:rPr>
        <w:lastRenderedPageBreak/>
        <w:t>créditos adquiridos con instituciones privadas que no se relacionen con el gasto público, son información que debe clasificarse como confidencial.</w:t>
      </w:r>
    </w:p>
    <w:p w14:paraId="341620F7" w14:textId="77777777" w:rsidR="002815F6" w:rsidRDefault="00532EF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14:paraId="4FFB6C8F"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De la información fiscal</w:t>
      </w:r>
      <w:r>
        <w:rPr>
          <w:rFonts w:ascii="Palatino Linotype" w:eastAsia="Palatino Linotype" w:hAnsi="Palatino Linotype" w:cs="Palatino Linotype"/>
        </w:rPr>
        <w:t xml:space="preserve">: </w:t>
      </w:r>
    </w:p>
    <w:p w14:paraId="7B809911"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Cadena Original</w:t>
      </w:r>
      <w:r>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0F7D0954"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o </w:t>
      </w:r>
      <w:r>
        <w:rPr>
          <w:rFonts w:ascii="Palatino Linotype" w:eastAsia="Palatino Linotype" w:hAnsi="Palatino Linotype" w:cs="Palatino Linotype"/>
          <w:b/>
        </w:rPr>
        <w:t xml:space="preserve">códigos QR, </w:t>
      </w:r>
      <w:r>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analizar dicha circunstancia con la finalidad de determinar si se actualiza algún supuesto de confidencialidad.</w:t>
      </w:r>
    </w:p>
    <w:p w14:paraId="4ADBA193"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sentido, si derivado del análisis efectuado por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66D257DF" w14:textId="77777777" w:rsidR="002815F6" w:rsidRDefault="00532EF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Pr>
          <w:rFonts w:ascii="Palatino Linotype" w:eastAsia="Palatino Linotype" w:hAnsi="Palatino Linotype" w:cs="Palatino Linotype"/>
        </w:rPr>
        <w:t>Responsable</w:t>
      </w:r>
      <w:proofErr w:type="gramEnd"/>
      <w:r>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E81ED30" w14:textId="77777777" w:rsidR="002815F6" w:rsidRDefault="002815F6">
      <w:pPr>
        <w:spacing w:line="360" w:lineRule="auto"/>
        <w:ind w:right="51"/>
        <w:jc w:val="both"/>
        <w:rPr>
          <w:rFonts w:ascii="Palatino Linotype" w:eastAsia="Palatino Linotype" w:hAnsi="Palatino Linotype" w:cs="Palatino Linotype"/>
        </w:rPr>
      </w:pPr>
    </w:p>
    <w:p w14:paraId="497528D9" w14:textId="77777777" w:rsidR="002815F6" w:rsidRDefault="00532E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2EACE194" w14:textId="77777777" w:rsidR="002815F6" w:rsidRDefault="00532E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3956AEF3" w14:textId="77777777" w:rsidR="002815F6" w:rsidRDefault="00532E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4D82855B" w14:textId="77777777" w:rsidR="002815F6" w:rsidRDefault="00532E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2342CF2C" w14:textId="77777777" w:rsidR="002815F6" w:rsidRDefault="00532E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5512A007" w14:textId="77777777" w:rsidR="002815F6" w:rsidRDefault="00532E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6920C9A" w14:textId="77777777" w:rsidR="002815F6" w:rsidRDefault="002815F6">
      <w:pPr>
        <w:ind w:left="992" w:right="1043"/>
        <w:jc w:val="both"/>
        <w:rPr>
          <w:rFonts w:ascii="Palatino Linotype" w:eastAsia="Palatino Linotype" w:hAnsi="Palatino Linotype" w:cs="Palatino Linotype"/>
          <w:i/>
          <w:sz w:val="22"/>
          <w:szCs w:val="22"/>
        </w:rPr>
      </w:pPr>
    </w:p>
    <w:p w14:paraId="6BFA4489"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B243EBE" w14:textId="77777777" w:rsidR="002815F6" w:rsidRDefault="002815F6">
      <w:pPr>
        <w:spacing w:line="360" w:lineRule="auto"/>
        <w:jc w:val="both"/>
        <w:rPr>
          <w:rFonts w:ascii="Palatino Linotype" w:eastAsia="Palatino Linotype" w:hAnsi="Palatino Linotype" w:cs="Palatino Linotype"/>
        </w:rPr>
      </w:pPr>
    </w:p>
    <w:p w14:paraId="3887EC58"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182C668" w14:textId="77777777" w:rsidR="002815F6" w:rsidRDefault="002815F6">
      <w:pPr>
        <w:spacing w:line="360" w:lineRule="auto"/>
        <w:jc w:val="both"/>
        <w:rPr>
          <w:rFonts w:ascii="Palatino Linotype" w:eastAsia="Palatino Linotype" w:hAnsi="Palatino Linotype" w:cs="Palatino Linotype"/>
        </w:rPr>
      </w:pPr>
    </w:p>
    <w:p w14:paraId="210266D7" w14:textId="77777777" w:rsidR="002815F6" w:rsidRDefault="00532EF7">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42FFE86" w14:textId="77777777" w:rsidR="002815F6" w:rsidRDefault="002815F6">
      <w:pPr>
        <w:spacing w:before="240" w:line="360" w:lineRule="auto"/>
        <w:ind w:right="51"/>
        <w:jc w:val="both"/>
        <w:rPr>
          <w:rFonts w:ascii="Palatino Linotype" w:eastAsia="Palatino Linotype" w:hAnsi="Palatino Linotype" w:cs="Palatino Linotype"/>
        </w:rPr>
      </w:pPr>
    </w:p>
    <w:p w14:paraId="70445243" w14:textId="77777777" w:rsidR="002815F6" w:rsidRDefault="00532EF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814D0A6" w14:textId="77777777" w:rsidR="002815F6" w:rsidRDefault="002815F6">
      <w:pPr>
        <w:spacing w:line="360" w:lineRule="auto"/>
        <w:ind w:right="51"/>
        <w:jc w:val="both"/>
        <w:rPr>
          <w:rFonts w:ascii="Palatino Linotype" w:eastAsia="Palatino Linotype" w:hAnsi="Palatino Linotype" w:cs="Palatino Linotype"/>
        </w:rPr>
      </w:pPr>
    </w:p>
    <w:p w14:paraId="219530F8"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3846A90" w14:textId="77777777" w:rsidR="002815F6" w:rsidRDefault="002815F6">
      <w:pPr>
        <w:ind w:left="709" w:right="709"/>
        <w:jc w:val="both"/>
        <w:rPr>
          <w:rFonts w:ascii="Palatino Linotype" w:eastAsia="Palatino Linotype" w:hAnsi="Palatino Linotype" w:cs="Palatino Linotype"/>
          <w:b/>
          <w:i/>
          <w:sz w:val="22"/>
          <w:szCs w:val="22"/>
        </w:rPr>
      </w:pPr>
    </w:p>
    <w:p w14:paraId="39F919AA"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245A5245" w14:textId="77777777" w:rsidR="002815F6" w:rsidRDefault="00532EF7">
      <w:pPr>
        <w:ind w:left="709" w:right="709"/>
        <w:jc w:val="both"/>
        <w:rPr>
          <w:color w:val="000000"/>
        </w:rPr>
      </w:pPr>
      <w:r>
        <w:rPr>
          <w:rFonts w:ascii="Palatino Linotype" w:eastAsia="Palatino Linotype" w:hAnsi="Palatino Linotype" w:cs="Palatino Linotype"/>
          <w:i/>
          <w:color w:val="000000"/>
          <w:sz w:val="22"/>
          <w:szCs w:val="22"/>
        </w:rPr>
        <w:t>“</w:t>
      </w:r>
      <w:proofErr w:type="gramStart"/>
      <w:r>
        <w:rPr>
          <w:rFonts w:ascii="Palatino Linotype" w:eastAsia="Palatino Linotype" w:hAnsi="Palatino Linotype" w:cs="Palatino Linotype"/>
          <w:b/>
          <w:i/>
          <w:color w:val="000000"/>
          <w:sz w:val="22"/>
          <w:szCs w:val="22"/>
        </w:rPr>
        <w:t>Segundo.-</w:t>
      </w:r>
      <w:proofErr w:type="gramEnd"/>
      <w:r>
        <w:rPr>
          <w:rFonts w:ascii="Palatino Linotype" w:eastAsia="Palatino Linotype" w:hAnsi="Palatino Linotype" w:cs="Palatino Linotype"/>
          <w:i/>
          <w:color w:val="000000"/>
          <w:sz w:val="22"/>
          <w:szCs w:val="22"/>
        </w:rPr>
        <w:t xml:space="preserve"> Para efectos de los presentes Lineamientos Generales, se entenderá por:</w:t>
      </w:r>
    </w:p>
    <w:p w14:paraId="3812EDCB"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XVIII.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Versión pública:</w:t>
      </w:r>
      <w:r>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sz w:val="22"/>
          <w:szCs w:val="22"/>
          <w:u w:val="single"/>
        </w:rPr>
        <w:t>fundando y motivando la</w:t>
      </w:r>
      <w:r>
        <w:rPr>
          <w:rFonts w:ascii="Palatino Linotype" w:eastAsia="Palatino Linotype" w:hAnsi="Palatino Linotype" w:cs="Palatino Linotype"/>
          <w:i/>
          <w:color w:val="000000"/>
          <w:sz w:val="22"/>
          <w:szCs w:val="22"/>
        </w:rPr>
        <w:t xml:space="preserve"> reserva o </w:t>
      </w:r>
      <w:r>
        <w:rPr>
          <w:rFonts w:ascii="Palatino Linotype" w:eastAsia="Palatino Linotype" w:hAnsi="Palatino Linotype" w:cs="Palatino Linotype"/>
          <w:b/>
          <w:i/>
          <w:color w:val="000000"/>
          <w:sz w:val="22"/>
          <w:szCs w:val="22"/>
          <w:u w:val="single"/>
        </w:rPr>
        <w:lastRenderedPageBreak/>
        <w:t>confidencialidad</w:t>
      </w:r>
      <w:r>
        <w:rPr>
          <w:rFonts w:ascii="Palatino Linotype" w:eastAsia="Palatino Linotype" w:hAnsi="Palatino Linotype" w:cs="Palatino Linotype"/>
          <w:i/>
          <w:color w:val="000000"/>
          <w:sz w:val="22"/>
          <w:szCs w:val="22"/>
        </w:rPr>
        <w:t>, a través de la resolución que para tal efecto emita el Comité de Transparencia.</w:t>
      </w:r>
    </w:p>
    <w:p w14:paraId="49395E96"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Cuarto.</w:t>
      </w:r>
      <w:r>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8EE722A" w14:textId="77777777" w:rsidR="002815F6" w:rsidRDefault="00532EF7">
      <w:pPr>
        <w:ind w:left="709" w:right="709"/>
        <w:jc w:val="both"/>
        <w:rPr>
          <w:color w:val="000000"/>
        </w:rPr>
      </w:pPr>
      <w:r>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2E9E8EA6"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Quinto.</w:t>
      </w:r>
      <w:r>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3D34488"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w:t>
      </w:r>
    </w:p>
    <w:p w14:paraId="2AF8E129"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Séptimo.</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28E2ADE0"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reciba una solicitud de acceso a la información;</w:t>
      </w:r>
    </w:p>
    <w:p w14:paraId="1B3524E6"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w:t>
      </w:r>
      <w:proofErr w:type="gramStart"/>
      <w:r>
        <w:rPr>
          <w:rFonts w:ascii="Palatino Linotype" w:eastAsia="Palatino Linotype" w:hAnsi="Palatino Linotype" w:cs="Palatino Linotype"/>
          <w:i/>
          <w:color w:val="000000"/>
          <w:sz w:val="22"/>
          <w:szCs w:val="22"/>
        </w:rPr>
        <w:t>Se  determine</w:t>
      </w:r>
      <w:proofErr w:type="gramEnd"/>
      <w:r>
        <w:rPr>
          <w:rFonts w:ascii="Palatino Linotype" w:eastAsia="Palatino Linotype" w:hAnsi="Palatino Linotype" w:cs="Palatino Linotype"/>
          <w:i/>
          <w:color w:val="000000"/>
          <w:sz w:val="22"/>
          <w:szCs w:val="22"/>
        </w:rPr>
        <w:t xml:space="preserve"> mediante resolución del Comité de Transparencia, el órgano garante </w:t>
      </w:r>
    </w:p>
    <w:p w14:paraId="60D539B5" w14:textId="77777777" w:rsidR="002815F6" w:rsidRDefault="00532EF7">
      <w:pPr>
        <w:ind w:left="709" w:right="709"/>
        <w:jc w:val="both"/>
        <w:rPr>
          <w:color w:val="000000"/>
        </w:rPr>
      </w:pPr>
      <w:r>
        <w:rPr>
          <w:rFonts w:ascii="Palatino Linotype" w:eastAsia="Palatino Linotype" w:hAnsi="Palatino Linotype" w:cs="Palatino Linotype"/>
          <w:i/>
          <w:color w:val="000000"/>
          <w:sz w:val="22"/>
          <w:szCs w:val="22"/>
        </w:rPr>
        <w:t>competente, o en cumplimiento a una sentencia del Poder Judicial; o</w:t>
      </w:r>
    </w:p>
    <w:p w14:paraId="6F13D0C2"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663C93EA" w14:textId="77777777" w:rsidR="002815F6" w:rsidRDefault="00532EF7">
      <w:pPr>
        <w:ind w:left="709" w:right="709"/>
        <w:jc w:val="both"/>
        <w:rPr>
          <w:color w:val="000000"/>
        </w:rPr>
      </w:pPr>
      <w:r>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3D037883"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Octavo.</w:t>
      </w:r>
      <w:r>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93300C6" w14:textId="77777777" w:rsidR="002815F6" w:rsidRDefault="00532EF7">
      <w:pPr>
        <w:ind w:left="709" w:right="709"/>
        <w:jc w:val="both"/>
        <w:rPr>
          <w:color w:val="000000"/>
        </w:rPr>
      </w:pPr>
      <w:r>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44B174D6"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6DC0577"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lastRenderedPageBreak/>
        <w:t>Noveno.</w:t>
      </w:r>
      <w:r>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CA8A43" w14:textId="77777777" w:rsidR="002815F6" w:rsidRDefault="00532EF7">
      <w:pPr>
        <w:ind w:left="709" w:right="709"/>
        <w:jc w:val="both"/>
        <w:rPr>
          <w:color w:val="000000"/>
        </w:rPr>
      </w:pPr>
      <w:r>
        <w:rPr>
          <w:rFonts w:ascii="Palatino Linotype" w:eastAsia="Palatino Linotype" w:hAnsi="Palatino Linotype" w:cs="Palatino Linotype"/>
          <w:b/>
          <w:i/>
          <w:color w:val="000000"/>
          <w:sz w:val="22"/>
          <w:szCs w:val="22"/>
        </w:rPr>
        <w:t>Décimo.</w:t>
      </w:r>
      <w:r>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226F29F" w14:textId="77777777" w:rsidR="002815F6" w:rsidRDefault="00532EF7">
      <w:pPr>
        <w:ind w:left="709" w:right="709"/>
        <w:jc w:val="both"/>
        <w:rPr>
          <w:color w:val="000000"/>
        </w:rPr>
      </w:pPr>
      <w:r>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5B36A623"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Décimo primero.</w:t>
      </w:r>
      <w:r>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A90679A" w14:textId="77777777" w:rsidR="002815F6" w:rsidRDefault="002815F6">
      <w:pPr>
        <w:ind w:right="709"/>
        <w:jc w:val="both"/>
        <w:rPr>
          <w:color w:val="000000"/>
        </w:rPr>
      </w:pPr>
    </w:p>
    <w:p w14:paraId="70E36572" w14:textId="77777777" w:rsidR="002815F6" w:rsidRDefault="00532EF7">
      <w:pPr>
        <w:ind w:left="709" w:right="709"/>
        <w:jc w:val="both"/>
        <w:rPr>
          <w:color w:val="000000"/>
        </w:rPr>
      </w:pPr>
      <w:r>
        <w:rPr>
          <w:rFonts w:ascii="Palatino Linotype" w:eastAsia="Palatino Linotype" w:hAnsi="Palatino Linotype" w:cs="Palatino Linotype"/>
          <w:i/>
          <w:color w:val="000000"/>
          <w:sz w:val="22"/>
          <w:szCs w:val="22"/>
        </w:rPr>
        <w:t>[…]</w:t>
      </w:r>
    </w:p>
    <w:p w14:paraId="5EB7B2D5" w14:textId="77777777" w:rsidR="002815F6" w:rsidRDefault="00532EF7">
      <w:pPr>
        <w:ind w:left="709" w:right="709"/>
        <w:jc w:val="center"/>
        <w:rPr>
          <w:color w:val="000000"/>
        </w:rPr>
      </w:pPr>
      <w:r>
        <w:rPr>
          <w:rFonts w:ascii="Palatino Linotype" w:eastAsia="Palatino Linotype" w:hAnsi="Palatino Linotype" w:cs="Palatino Linotype"/>
          <w:b/>
          <w:i/>
          <w:color w:val="000000"/>
          <w:sz w:val="22"/>
          <w:szCs w:val="22"/>
        </w:rPr>
        <w:t>CAPÍTULO VIII</w:t>
      </w:r>
    </w:p>
    <w:p w14:paraId="48548F49" w14:textId="77777777" w:rsidR="002815F6" w:rsidRDefault="00532EF7">
      <w:pPr>
        <w:spacing w:after="160"/>
        <w:ind w:left="709" w:right="709"/>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 LOS ELEMENTOS PARA LA CLASIFICACIÓN</w:t>
      </w:r>
    </w:p>
    <w:p w14:paraId="6F09D1A9"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w:t>
      </w:r>
      <w:r>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6BD410B"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 primero</w:t>
      </w:r>
      <w:r>
        <w:rPr>
          <w:rFonts w:ascii="Palatino Linotype" w:eastAsia="Palatino Linotype" w:hAnsi="Palatino Linotype" w:cs="Palatino Linotype"/>
          <w:i/>
          <w:color w:val="000000"/>
          <w:sz w:val="22"/>
          <w:szCs w:val="22"/>
        </w:rPr>
        <w:t>. Toda acta del Comité de Transparencia deberá contener:</w:t>
      </w:r>
    </w:p>
    <w:p w14:paraId="05753E8F"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El número de sesión y fecha; </w:t>
      </w:r>
    </w:p>
    <w:p w14:paraId="7DED9537"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El nombre del área que solicitó la clasificación de información;</w:t>
      </w:r>
    </w:p>
    <w:p w14:paraId="1E8251B3"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La fundamentación legal y motivación correspondiente;</w:t>
      </w:r>
    </w:p>
    <w:p w14:paraId="0884F71A"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La resolución o resoluciones aprobadas; y</w:t>
      </w:r>
    </w:p>
    <w:p w14:paraId="70086753"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La rúbrica o firma digital de cada integrante del Comité de Transparencia. </w:t>
      </w:r>
    </w:p>
    <w:p w14:paraId="0D70D4EA"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3CA4CEEE"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19A34399"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Descripción de las partes o secciones reservadas, en caso de clasificación parcial;</w:t>
      </w:r>
    </w:p>
    <w:p w14:paraId="276514D5"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El periodo por el que mantendrá su clasificación y fecha de expiración; y</w:t>
      </w:r>
    </w:p>
    <w:p w14:paraId="6BDCF775"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IV. El nombre del titular y área encargada de realizar la versión pública del documento, en su caso.</w:t>
      </w:r>
    </w:p>
    <w:p w14:paraId="170E39AB"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17C719D5"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C36C982"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 segundo</w:t>
      </w:r>
      <w:r>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CDD64DA"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0472FD3B"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4A6961A0"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47D322DF"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Señalar las personas o instancias autorizadas a acceder a la información clasificada.</w:t>
      </w:r>
    </w:p>
    <w:p w14:paraId="09EDA67F"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7D1915AC"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66168E3" w14:textId="77777777" w:rsidR="002815F6" w:rsidRDefault="00532EF7">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2019A9E" w14:textId="77777777" w:rsidR="002815F6" w:rsidRDefault="00532EF7">
      <w:pPr>
        <w:ind w:left="709" w:right="709"/>
        <w:jc w:val="both"/>
      </w:pPr>
      <w:r>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Pr>
          <w:rFonts w:ascii="Palatino Linotype" w:eastAsia="Palatino Linotype" w:hAnsi="Palatino Linotype" w:cs="Palatino Linotype"/>
          <w:i/>
          <w:color w:val="000000"/>
          <w:sz w:val="22"/>
          <w:szCs w:val="22"/>
        </w:rPr>
        <w:t>testado</w:t>
      </w:r>
      <w:proofErr w:type="spellEnd"/>
      <w:r>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295642F" w14:textId="77777777" w:rsidR="002815F6" w:rsidRDefault="002815F6">
      <w:pPr>
        <w:spacing w:line="360" w:lineRule="auto"/>
        <w:jc w:val="both"/>
        <w:rPr>
          <w:rFonts w:ascii="Palatino Linotype" w:eastAsia="Palatino Linotype" w:hAnsi="Palatino Linotype" w:cs="Palatino Linotype"/>
        </w:rPr>
      </w:pPr>
    </w:p>
    <w:p w14:paraId="28312F2D"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01EB8B7F" w14:textId="77777777" w:rsidR="002815F6" w:rsidRDefault="002815F6">
      <w:pPr>
        <w:spacing w:line="360" w:lineRule="auto"/>
        <w:jc w:val="both"/>
        <w:rPr>
          <w:rFonts w:ascii="Palatino Linotype" w:eastAsia="Palatino Linotype" w:hAnsi="Palatino Linotype" w:cs="Palatino Linotype"/>
        </w:rPr>
      </w:pPr>
    </w:p>
    <w:p w14:paraId="445338D0" w14:textId="77777777" w:rsidR="002815F6" w:rsidRDefault="00532EF7">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47B76DD0"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w:t>
      </w:r>
      <w:r>
        <w:rPr>
          <w:rFonts w:ascii="Palatino Linotype" w:eastAsia="Palatino Linotype" w:hAnsi="Palatino Linotype" w:cs="Palatino Linotype"/>
        </w:rPr>
        <w:lastRenderedPageBreak/>
        <w:t xml:space="preserve">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Pr>
          <w:rFonts w:ascii="Palatino Linotype" w:eastAsia="Palatino Linotype" w:hAnsi="Palatino Linotype" w:cs="Palatino Linotype"/>
          <w:b/>
        </w:rPr>
        <w:t>que desempeñen funciones operativas</w:t>
      </w:r>
      <w:r>
        <w:rPr>
          <w:rFonts w:ascii="Palatino Linotype" w:eastAsia="Palatino Linotype" w:hAnsi="Palatino Linotype" w:cs="Palatino Linotype"/>
        </w:rPr>
        <w:t>.</w:t>
      </w:r>
    </w:p>
    <w:p w14:paraId="62FCA4C5"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149FC1A"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w:t>
      </w:r>
      <w:r>
        <w:rPr>
          <w:rFonts w:ascii="Palatino Linotype" w:eastAsia="Palatino Linotype" w:hAnsi="Palatino Linotype" w:cs="Palatino Linotype"/>
        </w:rPr>
        <w:lastRenderedPageBreak/>
        <w:t>orden y la paz pública, por lo que, no se trata de una medida desproporcional, ni excesiva.</w:t>
      </w:r>
    </w:p>
    <w:p w14:paraId="5E591F73"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1C186CD9" w14:textId="77777777" w:rsidR="002815F6" w:rsidRDefault="00532EF7">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70149426" w14:textId="77777777" w:rsidR="002815F6" w:rsidRDefault="00532EF7">
      <w:pPr>
        <w:tabs>
          <w:tab w:val="left" w:pos="4962"/>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Pr>
          <w:rFonts w:ascii="Palatino Linotype" w:eastAsia="Palatino Linotype" w:hAnsi="Palatino Linotype" w:cs="Palatino Linotype"/>
          <w:i/>
          <w:sz w:val="22"/>
          <w:szCs w:val="22"/>
        </w:rPr>
        <w:t>obstante</w:t>
      </w:r>
      <w:proofErr w:type="gramEnd"/>
      <w:r>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Pr>
          <w:rFonts w:ascii="Palatino Linotype" w:eastAsia="Palatino Linotype" w:hAnsi="Palatino Linotype" w:cs="Palatino Linotype"/>
          <w:i/>
          <w:sz w:val="22"/>
          <w:szCs w:val="22"/>
        </w:rPr>
        <w:lastRenderedPageBreak/>
        <w:t>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0847568" w14:textId="77777777" w:rsidR="002815F6" w:rsidRDefault="00532E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Pr>
          <w:rFonts w:ascii="Palatino Linotype" w:eastAsia="Palatino Linotype" w:hAnsi="Palatino Linotype" w:cs="Palatino Linotype"/>
          <w:b/>
        </w:rPr>
        <w:t>funciones de carácter operativo.</w:t>
      </w:r>
    </w:p>
    <w:p w14:paraId="5498FD82" w14:textId="77777777" w:rsidR="002815F6" w:rsidRDefault="00532EF7">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0C423F31" w14:textId="77777777" w:rsidR="002815F6" w:rsidRDefault="00532EF7">
      <w:pPr>
        <w:spacing w:before="120" w:after="120"/>
        <w:ind w:left="851"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w:t>
      </w:r>
      <w:r>
        <w:rPr>
          <w:rFonts w:ascii="Palatino Linotype" w:eastAsia="Palatino Linotype" w:hAnsi="Palatino Linotype" w:cs="Palatino Linotype"/>
          <w:i/>
          <w:sz w:val="22"/>
          <w:szCs w:val="22"/>
        </w:rPr>
        <w:lastRenderedPageBreak/>
        <w:t xml:space="preserve">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647F01E8" w14:textId="77777777" w:rsidR="002815F6" w:rsidRDefault="00532EF7">
      <w:pPr>
        <w:spacing w:before="120" w:after="12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7790994" w14:textId="77777777" w:rsidR="002815F6" w:rsidRDefault="002815F6">
      <w:pPr>
        <w:spacing w:after="240" w:line="360" w:lineRule="auto"/>
        <w:jc w:val="both"/>
        <w:rPr>
          <w:rFonts w:ascii="Palatino Linotype" w:eastAsia="Palatino Linotype" w:hAnsi="Palatino Linotype" w:cs="Palatino Linotype"/>
        </w:rPr>
      </w:pPr>
    </w:p>
    <w:p w14:paraId="79716CF8" w14:textId="77777777" w:rsidR="002815F6" w:rsidRDefault="00532EF7">
      <w:pPr>
        <w:pBdr>
          <w:top w:val="nil"/>
          <w:left w:val="nil"/>
          <w:bottom w:val="nil"/>
          <w:right w:val="nil"/>
          <w:between w:val="nil"/>
        </w:pBdr>
        <w:shd w:val="clear" w:color="auto" w:fill="FFFFFF"/>
        <w:spacing w:after="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F6E7031" w14:textId="77777777" w:rsidR="002815F6" w:rsidRDefault="002815F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AD2B24A" w14:textId="77777777" w:rsidR="002815F6" w:rsidRDefault="00532EF7">
      <w:pPr>
        <w:pBdr>
          <w:top w:val="nil"/>
          <w:left w:val="nil"/>
          <w:bottom w:val="nil"/>
          <w:right w:val="nil"/>
          <w:between w:val="nil"/>
        </w:pBdr>
        <w:spacing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200E73FC" w14:textId="77777777" w:rsidR="002815F6" w:rsidRDefault="00532EF7">
      <w:pPr>
        <w:spacing w:line="360" w:lineRule="auto"/>
        <w:jc w:val="both"/>
        <w:rPr>
          <w:rFonts w:ascii="Palatino Linotype" w:eastAsia="Palatino Linotype" w:hAnsi="Palatino Linotype" w:cs="Palatino Linotype"/>
        </w:rPr>
      </w:pPr>
      <w:bookmarkStart w:id="4" w:name="_heading=h.3dy6vkm" w:colFirst="0" w:colLast="0"/>
      <w:bookmarkEnd w:id="4"/>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w:t>
      </w:r>
      <w:r>
        <w:rPr>
          <w:rFonts w:ascii="Palatino Linotype" w:eastAsia="Palatino Linotype" w:hAnsi="Palatino Linotype" w:cs="Palatino Linotype"/>
          <w:b/>
        </w:rPr>
        <w:t xml:space="preserve"> FUNDADO</w:t>
      </w:r>
      <w:r>
        <w:rPr>
          <w:rFonts w:ascii="Palatino Linotype" w:eastAsia="Palatino Linotype" w:hAnsi="Palatino Linotype" w:cs="Palatino Linotype"/>
        </w:rPr>
        <w:t xml:space="preserve"> el motivo de inconformidad hecho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07139/INFOEM/IP/RR/2024,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65845FBD" w14:textId="77777777" w:rsidR="002815F6" w:rsidRDefault="002815F6">
      <w:pPr>
        <w:spacing w:line="360" w:lineRule="auto"/>
        <w:ind w:right="49"/>
        <w:jc w:val="both"/>
        <w:rPr>
          <w:rFonts w:ascii="Palatino Linotype" w:eastAsia="Palatino Linotype" w:hAnsi="Palatino Linotype" w:cs="Palatino Linotype"/>
          <w:b/>
        </w:rPr>
      </w:pPr>
    </w:p>
    <w:p w14:paraId="2259C3A8" w14:textId="77777777" w:rsidR="002815F6" w:rsidRDefault="00532EF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 los Considerandos Cuarto y Quinto, haga entrega vía Sistema de Acceso a la Información Mexiquense (SAIMEX), en versión pública, de</w:t>
      </w:r>
      <w:r>
        <w:rPr>
          <w:rFonts w:ascii="Palatino Linotype" w:eastAsia="Palatino Linotype" w:hAnsi="Palatino Linotype" w:cs="Palatino Linotype"/>
          <w:highlight w:val="white"/>
        </w:rPr>
        <w:t xml:space="preserve"> lo siguiente:</w:t>
      </w:r>
    </w:p>
    <w:p w14:paraId="68B3D062" w14:textId="77777777" w:rsidR="002815F6" w:rsidRDefault="00532EF7">
      <w:pPr>
        <w:numPr>
          <w:ilvl w:val="0"/>
          <w:numId w:val="1"/>
        </w:numPr>
        <w:pBdr>
          <w:top w:val="nil"/>
          <w:left w:val="nil"/>
          <w:bottom w:val="nil"/>
          <w:right w:val="nil"/>
          <w:between w:val="nil"/>
        </w:pBdr>
        <w:spacing w:before="240" w:after="240" w:line="360" w:lineRule="auto"/>
        <w:jc w:val="both"/>
        <w:rPr>
          <w:color w:val="000000"/>
        </w:rPr>
      </w:pPr>
      <w:bookmarkStart w:id="5" w:name="_heading=h.4d34og8" w:colFirst="0" w:colLast="0"/>
      <w:bookmarkEnd w:id="5"/>
      <w:r>
        <w:rPr>
          <w:rFonts w:ascii="Palatino Linotype" w:eastAsia="Palatino Linotype" w:hAnsi="Palatino Linotype" w:cs="Palatino Linotype"/>
        </w:rPr>
        <w:t>La conciliación de nómina del Ayuntamiento de Hueypoxtla de la primera y segunda quincena de diciembre del año 2023, así como el aguinaldo, prima vacacional</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y </w:t>
      </w:r>
      <w:proofErr w:type="gramStart"/>
      <w:r>
        <w:rPr>
          <w:rFonts w:ascii="Palatino Linotype" w:eastAsia="Palatino Linotype" w:hAnsi="Palatino Linotype" w:cs="Palatino Linotype"/>
        </w:rPr>
        <w:t>demás prestaciones otorgados</w:t>
      </w:r>
      <w:proofErr w:type="gramEnd"/>
      <w:r>
        <w:rPr>
          <w:rFonts w:ascii="Palatino Linotype" w:eastAsia="Palatino Linotype" w:hAnsi="Palatino Linotype" w:cs="Palatino Linotype"/>
        </w:rPr>
        <w:t xml:space="preserve"> en diciembre de 2023.</w:t>
      </w:r>
    </w:p>
    <w:p w14:paraId="554E1CF6" w14:textId="77777777" w:rsidR="002815F6" w:rsidRDefault="00532EF7">
      <w:pPr>
        <w:spacing w:after="120"/>
        <w:ind w:left="360" w:right="4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30B9EFA5" w14:textId="77777777" w:rsidR="002815F6" w:rsidRDefault="00532EF7">
      <w:pPr>
        <w:spacing w:after="120"/>
        <w:ind w:left="360" w:right="4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el caso de que no se hayan pagado otras prestaciones en el mes de diciembre del 2023, bastará</w:t>
      </w:r>
      <w:r>
        <w:rPr>
          <w:rFonts w:ascii="Palatino Linotype" w:eastAsia="Palatino Linotype" w:hAnsi="Palatino Linotype" w:cs="Palatino Linotype"/>
          <w:i/>
          <w:color w:val="000000"/>
          <w:sz w:val="22"/>
          <w:szCs w:val="22"/>
        </w:rPr>
        <w:t xml:space="preserve"> con que así lo haga del conocimiento de la parte Recurrente, de manera clara y precisa, en términos del artículo 19, párrafo segundo de </w:t>
      </w:r>
      <w:proofErr w:type="gramStart"/>
      <w:r>
        <w:rPr>
          <w:rFonts w:ascii="Palatino Linotype" w:eastAsia="Palatino Linotype" w:hAnsi="Palatino Linotype" w:cs="Palatino Linotype"/>
          <w:i/>
          <w:color w:val="000000"/>
          <w:sz w:val="22"/>
          <w:szCs w:val="22"/>
        </w:rPr>
        <w:t>la  Ley</w:t>
      </w:r>
      <w:proofErr w:type="gramEnd"/>
      <w:r>
        <w:rPr>
          <w:rFonts w:ascii="Palatino Linotype" w:eastAsia="Palatino Linotype" w:hAnsi="Palatino Linotype" w:cs="Palatino Linotype"/>
          <w:i/>
          <w:color w:val="000000"/>
          <w:sz w:val="22"/>
          <w:szCs w:val="22"/>
        </w:rPr>
        <w:t xml:space="preserve"> de Transparencia y Acceso a la Información pública del Estado de México y Municipios para tener por colmado el requerimiento de información.</w:t>
      </w:r>
    </w:p>
    <w:p w14:paraId="682B6475" w14:textId="77777777" w:rsidR="002815F6" w:rsidRDefault="002815F6">
      <w:pPr>
        <w:spacing w:after="120"/>
        <w:ind w:left="360" w:right="40"/>
        <w:jc w:val="both"/>
        <w:rPr>
          <w:rFonts w:ascii="Palatino Linotype" w:eastAsia="Palatino Linotype" w:hAnsi="Palatino Linotype" w:cs="Palatino Linotype"/>
          <w:i/>
          <w:sz w:val="22"/>
          <w:szCs w:val="22"/>
        </w:rPr>
      </w:pPr>
    </w:p>
    <w:p w14:paraId="63B9BC56" w14:textId="77777777" w:rsidR="002815F6" w:rsidRDefault="002815F6">
      <w:pPr>
        <w:spacing w:line="360" w:lineRule="auto"/>
        <w:ind w:right="-93"/>
        <w:jc w:val="both"/>
        <w:rPr>
          <w:rFonts w:ascii="Palatino Linotype" w:eastAsia="Palatino Linotype" w:hAnsi="Palatino Linotype" w:cs="Palatino Linotype"/>
          <w:b/>
          <w:color w:val="FF0000"/>
        </w:rPr>
      </w:pPr>
    </w:p>
    <w:p w14:paraId="677B154B" w14:textId="77777777" w:rsidR="002815F6" w:rsidRDefault="00532EF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la presente resolución al T</w:t>
      </w:r>
      <w:r>
        <w:rPr>
          <w:rFonts w:ascii="Palatino Linotype" w:eastAsia="Palatino Linotype" w:hAnsi="Palatino Linotype" w:cs="Palatino Linotype"/>
          <w:b/>
        </w:rPr>
        <w:t xml:space="preserve">itular de la Unidad de Transparencia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7ECC738" w14:textId="77777777" w:rsidR="002815F6" w:rsidRDefault="002815F6">
      <w:pPr>
        <w:spacing w:line="360" w:lineRule="auto"/>
        <w:ind w:right="-93"/>
        <w:jc w:val="both"/>
        <w:rPr>
          <w:rFonts w:ascii="Palatino Linotype" w:eastAsia="Palatino Linotype" w:hAnsi="Palatino Linotype" w:cs="Palatino Linotype"/>
        </w:rPr>
      </w:pPr>
    </w:p>
    <w:p w14:paraId="51A39B8A" w14:textId="77777777" w:rsidR="002815F6" w:rsidRDefault="00532E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0C92E211" w14:textId="77777777" w:rsidR="002815F6" w:rsidRDefault="002815F6">
      <w:pPr>
        <w:spacing w:line="360" w:lineRule="auto"/>
        <w:jc w:val="both"/>
        <w:rPr>
          <w:rFonts w:ascii="Palatino Linotype" w:eastAsia="Palatino Linotype" w:hAnsi="Palatino Linotype" w:cs="Palatino Linotype"/>
          <w:b/>
        </w:rPr>
      </w:pPr>
    </w:p>
    <w:p w14:paraId="79F74CFC" w14:textId="77777777" w:rsidR="002815F6" w:rsidRDefault="00532EF7">
      <w:pPr>
        <w:spacing w:line="360" w:lineRule="auto"/>
        <w:ind w:right="49"/>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b/>
        </w:rPr>
        <w:t xml:space="preserve">QUINTO.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Pr>
          <w:rFonts w:ascii="Palatino Linotype" w:eastAsia="Palatino Linotype" w:hAnsi="Palatino Linotype" w:cs="Palatino Linotype"/>
        </w:rPr>
        <w:lastRenderedPageBreak/>
        <w:t>Municipios, podrá impugnar la presente resolución vía Juicio de Amparo en los términos de las leyes aplicables.</w:t>
      </w:r>
    </w:p>
    <w:p w14:paraId="1F516333" w14:textId="77777777" w:rsidR="002815F6" w:rsidRDefault="00532EF7">
      <w:pPr>
        <w:spacing w:before="240" w:after="240" w:line="360" w:lineRule="auto"/>
        <w:jc w:val="both"/>
        <w:rPr>
          <w:rFonts w:ascii="Palatino Linotype" w:eastAsia="Palatino Linotype" w:hAnsi="Palatino Linotype" w:cs="Palatino Linotype"/>
        </w:rPr>
      </w:pPr>
      <w:bookmarkStart w:id="7" w:name="_heading=h.1fob9te" w:colFirst="0" w:colLast="0"/>
      <w:bookmarkEnd w:id="7"/>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A32393">
        <w:rPr>
          <w:rFonts w:ascii="Palatino Linotype" w:eastAsia="Palatino Linotype" w:hAnsi="Palatino Linotype" w:cs="Palatino Linotype"/>
        </w:rPr>
        <w:t>(</w:t>
      </w:r>
      <w:r>
        <w:rPr>
          <w:rFonts w:ascii="Palatino Linotype" w:eastAsia="Palatino Linotype" w:hAnsi="Palatino Linotype" w:cs="Palatino Linotype"/>
        </w:rPr>
        <w:t>EMITIENDO VOTO PARTICULAR</w:t>
      </w:r>
      <w:r w:rsidR="00A32393">
        <w:rPr>
          <w:rFonts w:ascii="Palatino Linotype" w:eastAsia="Palatino Linotype" w:hAnsi="Palatino Linotype" w:cs="Palatino Linotype"/>
        </w:rPr>
        <w:t>)</w:t>
      </w:r>
      <w:r>
        <w:rPr>
          <w:rFonts w:ascii="Palatino Linotype" w:eastAsia="Palatino Linotype" w:hAnsi="Palatino Linotype" w:cs="Palatino Linotype"/>
        </w:rPr>
        <w:t xml:space="preserve"> Y GUADALUPE RAMÍREZ PEÑA </w:t>
      </w:r>
      <w:r w:rsidR="00A32393">
        <w:rPr>
          <w:rFonts w:ascii="Palatino Linotype" w:eastAsia="Palatino Linotype" w:hAnsi="Palatino Linotype" w:cs="Palatino Linotype"/>
        </w:rPr>
        <w:t>(</w:t>
      </w:r>
      <w:r>
        <w:rPr>
          <w:rFonts w:ascii="Palatino Linotype" w:eastAsia="Palatino Linotype" w:hAnsi="Palatino Linotype" w:cs="Palatino Linotype"/>
        </w:rPr>
        <w:t>EMITIENDO VOTO PARTICULAR</w:t>
      </w:r>
      <w:r w:rsidR="00A32393">
        <w:rPr>
          <w:rFonts w:ascii="Palatino Linotype" w:eastAsia="Palatino Linotype" w:hAnsi="Palatino Linotype" w:cs="Palatino Linotype"/>
        </w:rPr>
        <w:t>)</w:t>
      </w:r>
      <w:r>
        <w:rPr>
          <w:rFonts w:ascii="Palatino Linotype" w:eastAsia="Palatino Linotype" w:hAnsi="Palatino Linotype" w:cs="Palatino Linotype"/>
        </w:rPr>
        <w:t>; EN LA CUADRAGÉSIMA SEGUNDA SESIÓN ORDINARIA CELEBRADA EL CUATRO DE DICIEMBRE DE DOS MIL VEINTICUATRO, ANTE EL SECRETARIO TÉCNICO DEL PLENO ALEXIS TAPIA RAMÍREZ.</w:t>
      </w:r>
    </w:p>
    <w:p w14:paraId="1057548D" w14:textId="77777777" w:rsidR="00A32393" w:rsidRDefault="00A32393">
      <w:pPr>
        <w:spacing w:before="240" w:after="240" w:line="360" w:lineRule="auto"/>
        <w:jc w:val="both"/>
        <w:rPr>
          <w:rFonts w:ascii="Palatino Linotype" w:eastAsia="Palatino Linotype" w:hAnsi="Palatino Linotype" w:cs="Palatino Linotype"/>
        </w:rPr>
      </w:pPr>
    </w:p>
    <w:p w14:paraId="01536178" w14:textId="77777777" w:rsidR="00A32393" w:rsidRDefault="00A32393">
      <w:pPr>
        <w:spacing w:before="240" w:after="240" w:line="360" w:lineRule="auto"/>
        <w:jc w:val="both"/>
        <w:rPr>
          <w:rFonts w:ascii="Palatino Linotype" w:eastAsia="Palatino Linotype" w:hAnsi="Palatino Linotype" w:cs="Palatino Linotype"/>
        </w:rPr>
      </w:pPr>
    </w:p>
    <w:p w14:paraId="76CEED91" w14:textId="77777777" w:rsidR="00A32393" w:rsidRDefault="00A32393">
      <w:pPr>
        <w:spacing w:before="240" w:after="240" w:line="360" w:lineRule="auto"/>
        <w:jc w:val="both"/>
        <w:rPr>
          <w:rFonts w:ascii="Palatino Linotype" w:eastAsia="Palatino Linotype" w:hAnsi="Palatino Linotype" w:cs="Palatino Linotype"/>
        </w:rPr>
      </w:pPr>
    </w:p>
    <w:p w14:paraId="7B7CBD9F" w14:textId="77777777" w:rsidR="00A32393" w:rsidRDefault="00A32393">
      <w:pPr>
        <w:spacing w:before="240" w:after="240" w:line="360" w:lineRule="auto"/>
        <w:jc w:val="both"/>
        <w:rPr>
          <w:rFonts w:ascii="Palatino Linotype" w:eastAsia="Palatino Linotype" w:hAnsi="Palatino Linotype" w:cs="Palatino Linotype"/>
        </w:rPr>
      </w:pPr>
    </w:p>
    <w:p w14:paraId="7B83825B" w14:textId="77777777" w:rsidR="00A32393" w:rsidRDefault="00A32393">
      <w:pPr>
        <w:spacing w:before="240" w:after="240" w:line="360" w:lineRule="auto"/>
        <w:jc w:val="both"/>
        <w:rPr>
          <w:rFonts w:ascii="Palatino Linotype" w:eastAsia="Palatino Linotype" w:hAnsi="Palatino Linotype" w:cs="Palatino Linotype"/>
        </w:rPr>
      </w:pPr>
    </w:p>
    <w:p w14:paraId="7F2CD82A" w14:textId="77777777" w:rsidR="00A32393" w:rsidRDefault="00A32393">
      <w:pPr>
        <w:spacing w:before="240" w:after="240" w:line="360" w:lineRule="auto"/>
        <w:jc w:val="both"/>
        <w:rPr>
          <w:rFonts w:ascii="Palatino Linotype" w:eastAsia="Palatino Linotype" w:hAnsi="Palatino Linotype" w:cs="Palatino Linotype"/>
        </w:rPr>
      </w:pPr>
    </w:p>
    <w:p w14:paraId="766DADE1" w14:textId="77777777" w:rsidR="00A32393" w:rsidRDefault="00A32393">
      <w:pPr>
        <w:spacing w:before="240" w:after="240" w:line="360" w:lineRule="auto"/>
        <w:jc w:val="both"/>
        <w:rPr>
          <w:rFonts w:ascii="Palatino Linotype" w:eastAsia="Palatino Linotype" w:hAnsi="Palatino Linotype" w:cs="Palatino Linotype"/>
        </w:rPr>
      </w:pPr>
    </w:p>
    <w:p w14:paraId="68B47CDC" w14:textId="77777777" w:rsidR="00A32393" w:rsidRDefault="00A32393">
      <w:pPr>
        <w:spacing w:before="240" w:after="240" w:line="360" w:lineRule="auto"/>
        <w:jc w:val="both"/>
        <w:rPr>
          <w:rFonts w:ascii="Palatino Linotype" w:eastAsia="Palatino Linotype" w:hAnsi="Palatino Linotype" w:cs="Palatino Linotype"/>
        </w:rPr>
      </w:pPr>
    </w:p>
    <w:p w14:paraId="6F26E1F4" w14:textId="77777777" w:rsidR="00A32393" w:rsidRDefault="00A32393">
      <w:pPr>
        <w:spacing w:before="240" w:after="240" w:line="360" w:lineRule="auto"/>
        <w:jc w:val="both"/>
        <w:rPr>
          <w:rFonts w:ascii="Palatino Linotype" w:eastAsia="Palatino Linotype" w:hAnsi="Palatino Linotype" w:cs="Palatino Linotype"/>
        </w:rPr>
      </w:pPr>
    </w:p>
    <w:p w14:paraId="41B74C45" w14:textId="77777777" w:rsidR="00A32393" w:rsidRDefault="00A32393">
      <w:pPr>
        <w:spacing w:before="240" w:after="240" w:line="360" w:lineRule="auto"/>
        <w:jc w:val="both"/>
        <w:rPr>
          <w:rFonts w:ascii="Palatino Linotype" w:eastAsia="Palatino Linotype" w:hAnsi="Palatino Linotype" w:cs="Palatino Linotype"/>
        </w:rPr>
      </w:pPr>
    </w:p>
    <w:p w14:paraId="2FF5CC02" w14:textId="77777777" w:rsidR="00A32393" w:rsidRDefault="00A32393">
      <w:pPr>
        <w:spacing w:before="240" w:after="240" w:line="360" w:lineRule="auto"/>
        <w:jc w:val="both"/>
        <w:rPr>
          <w:rFonts w:ascii="Palatino Linotype" w:eastAsia="Palatino Linotype" w:hAnsi="Palatino Linotype" w:cs="Palatino Linotype"/>
        </w:rPr>
      </w:pPr>
    </w:p>
    <w:sectPr w:rsidR="00A32393">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D1AF2" w14:textId="77777777" w:rsidR="00744184" w:rsidRDefault="00744184">
      <w:r>
        <w:separator/>
      </w:r>
    </w:p>
  </w:endnote>
  <w:endnote w:type="continuationSeparator" w:id="0">
    <w:p w14:paraId="6B671A5F" w14:textId="77777777" w:rsidR="00744184" w:rsidRDefault="00744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7636" w14:textId="77777777" w:rsidR="002815F6" w:rsidRDefault="00532EF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5933">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5933">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4819E197" w14:textId="77777777" w:rsidR="002815F6" w:rsidRDefault="002815F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F926" w14:textId="77777777" w:rsidR="002815F6" w:rsidRDefault="00532EF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593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5933">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7D1DDFF9" w14:textId="77777777" w:rsidR="002815F6" w:rsidRDefault="002815F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F993A" w14:textId="77777777" w:rsidR="00744184" w:rsidRDefault="00744184">
      <w:r>
        <w:separator/>
      </w:r>
    </w:p>
  </w:footnote>
  <w:footnote w:type="continuationSeparator" w:id="0">
    <w:p w14:paraId="7188F94B" w14:textId="77777777" w:rsidR="00744184" w:rsidRDefault="00744184">
      <w:r>
        <w:continuationSeparator/>
      </w:r>
    </w:p>
  </w:footnote>
  <w:footnote w:id="1">
    <w:p w14:paraId="5FD400A6" w14:textId="77777777" w:rsidR="002815F6" w:rsidRDefault="00532EF7">
      <w:pPr>
        <w:rPr>
          <w:rFonts w:ascii="Palatino Linotype" w:eastAsia="Palatino Linotype" w:hAnsi="Palatino Linotype" w:cs="Palatino Linotype"/>
          <w:sz w:val="16"/>
          <w:szCs w:val="16"/>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El precepto legal en cita establece que los Municipios son sujetos de fiscalización.</w:t>
      </w:r>
    </w:p>
  </w:footnote>
  <w:footnote w:id="2">
    <w:p w14:paraId="6329C78E" w14:textId="77777777" w:rsidR="002815F6" w:rsidRDefault="00532EF7">
      <w:pPr>
        <w:rPr>
          <w:rFonts w:ascii="Palatino Linotype" w:eastAsia="Palatino Linotype" w:hAnsi="Palatino Linotype" w:cs="Palatino Linotype"/>
          <w:sz w:val="18"/>
          <w:szCs w:val="18"/>
        </w:rPr>
      </w:pPr>
      <w:r>
        <w:rPr>
          <w:vertAlign w:val="superscript"/>
        </w:rPr>
        <w:footnoteRef/>
      </w:r>
      <w:r>
        <w:rPr>
          <w:rFonts w:ascii="Palatino Linotype" w:eastAsia="Palatino Linotype" w:hAnsi="Palatino Linotype" w:cs="Palatino Linotype"/>
          <w:sz w:val="18"/>
          <w:szCs w:val="18"/>
        </w:rPr>
        <w:t xml:space="preserve"> A partir del ejercicio fiscal de 2021, son informes trimestrales.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AAE1" w14:textId="77777777" w:rsidR="002815F6" w:rsidRDefault="00532EF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5E504E3B" wp14:editId="49D61F2D">
          <wp:simplePos x="0" y="0"/>
          <wp:positionH relativeFrom="column">
            <wp:posOffset>-1080129</wp:posOffset>
          </wp:positionH>
          <wp:positionV relativeFrom="paragraph">
            <wp:posOffset>-488309</wp:posOffset>
          </wp:positionV>
          <wp:extent cx="7809865" cy="10165715"/>
          <wp:effectExtent l="0" t="0" r="0" b="0"/>
          <wp:wrapNone/>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2815F6" w14:paraId="7A991C44" w14:textId="77777777">
      <w:tc>
        <w:tcPr>
          <w:tcW w:w="2489" w:type="dxa"/>
          <w:shd w:val="clear" w:color="auto" w:fill="auto"/>
        </w:tcPr>
        <w:p w14:paraId="533E5BAB" w14:textId="77777777" w:rsidR="002815F6" w:rsidRDefault="00532E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A4F9879" w14:textId="77777777" w:rsidR="002815F6" w:rsidRDefault="00532EF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07139/INFOEM/IP/RR/2024</w:t>
          </w:r>
        </w:p>
      </w:tc>
    </w:tr>
    <w:tr w:rsidR="002815F6" w14:paraId="212C3EEB" w14:textId="77777777">
      <w:trPr>
        <w:trHeight w:val="228"/>
      </w:trPr>
      <w:tc>
        <w:tcPr>
          <w:tcW w:w="2489" w:type="dxa"/>
          <w:shd w:val="clear" w:color="auto" w:fill="auto"/>
          <w:vAlign w:val="center"/>
        </w:tcPr>
        <w:p w14:paraId="5EDE5363" w14:textId="77777777" w:rsidR="002815F6" w:rsidRDefault="00532E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231F261" w14:textId="77777777" w:rsidR="002815F6" w:rsidRDefault="00532EF7">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Hueypoxtla.</w:t>
          </w:r>
        </w:p>
      </w:tc>
    </w:tr>
    <w:tr w:rsidR="002815F6" w14:paraId="206726AC" w14:textId="77777777">
      <w:tc>
        <w:tcPr>
          <w:tcW w:w="2489" w:type="dxa"/>
          <w:shd w:val="clear" w:color="auto" w:fill="auto"/>
          <w:vAlign w:val="center"/>
        </w:tcPr>
        <w:p w14:paraId="39768261" w14:textId="77777777" w:rsidR="002815F6" w:rsidRDefault="00532EF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274A83F" w14:textId="77777777" w:rsidR="002815F6" w:rsidRDefault="00532EF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434749" w14:textId="77777777" w:rsidR="002815F6" w:rsidRDefault="00532EF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EA47" w14:textId="77777777" w:rsidR="002815F6" w:rsidRDefault="002815F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670" w:type="dxa"/>
      <w:tblInd w:w="3261" w:type="dxa"/>
      <w:tblLayout w:type="fixed"/>
      <w:tblLook w:val="0400" w:firstRow="0" w:lastRow="0" w:firstColumn="0" w:lastColumn="0" w:noHBand="0" w:noVBand="1"/>
    </w:tblPr>
    <w:tblGrid>
      <w:gridCol w:w="2551"/>
      <w:gridCol w:w="3119"/>
    </w:tblGrid>
    <w:tr w:rsidR="002815F6" w14:paraId="38CC2FAF" w14:textId="77777777">
      <w:tc>
        <w:tcPr>
          <w:tcW w:w="2551" w:type="dxa"/>
          <w:shd w:val="clear" w:color="auto" w:fill="auto"/>
          <w:vAlign w:val="center"/>
        </w:tcPr>
        <w:p w14:paraId="005481F5" w14:textId="77777777" w:rsidR="002815F6" w:rsidRDefault="00532E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50A5784" w14:textId="77777777" w:rsidR="002815F6" w:rsidRDefault="00532EF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07139/INFOEM/IP/RR/2024</w:t>
          </w:r>
        </w:p>
      </w:tc>
    </w:tr>
    <w:tr w:rsidR="002815F6" w14:paraId="149E9B17" w14:textId="77777777">
      <w:trPr>
        <w:trHeight w:val="130"/>
      </w:trPr>
      <w:tc>
        <w:tcPr>
          <w:tcW w:w="2551" w:type="dxa"/>
          <w:shd w:val="clear" w:color="auto" w:fill="auto"/>
          <w:vAlign w:val="center"/>
        </w:tcPr>
        <w:p w14:paraId="0C4E0E71" w14:textId="77777777" w:rsidR="002815F6" w:rsidRDefault="00532E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98CAB91" w14:textId="6828B7E2" w:rsidR="002815F6" w:rsidRDefault="00A4516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XXXXXXXX XX XXX XXXXXX XXXXXXXXXX </w:t>
          </w:r>
          <w:r w:rsidR="00532EF7">
            <w:rPr>
              <w:noProof/>
            </w:rPr>
            <w:drawing>
              <wp:anchor distT="0" distB="0" distL="0" distR="0" simplePos="0" relativeHeight="251659264" behindDoc="1" locked="0" layoutInCell="1" hidden="0" allowOverlap="1" wp14:anchorId="3676D0D9" wp14:editId="0736E3F6">
                <wp:simplePos x="0" y="0"/>
                <wp:positionH relativeFrom="column">
                  <wp:posOffset>-4629146</wp:posOffset>
                </wp:positionH>
                <wp:positionV relativeFrom="paragraph">
                  <wp:posOffset>-407663</wp:posOffset>
                </wp:positionV>
                <wp:extent cx="7809865" cy="10165715"/>
                <wp:effectExtent l="0" t="0" r="0" b="0"/>
                <wp:wrapNone/>
                <wp:docPr id="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2815F6" w14:paraId="2C23BB14" w14:textId="77777777">
      <w:trPr>
        <w:trHeight w:val="228"/>
      </w:trPr>
      <w:tc>
        <w:tcPr>
          <w:tcW w:w="2551" w:type="dxa"/>
          <w:shd w:val="clear" w:color="auto" w:fill="auto"/>
          <w:vAlign w:val="center"/>
        </w:tcPr>
        <w:p w14:paraId="23B08ACA" w14:textId="77777777" w:rsidR="002815F6" w:rsidRDefault="00532E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6C91B28" w14:textId="77777777" w:rsidR="002815F6" w:rsidRDefault="00532EF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Hueypoxtla.</w:t>
          </w:r>
        </w:p>
      </w:tc>
    </w:tr>
    <w:tr w:rsidR="002815F6" w14:paraId="58551DC8" w14:textId="77777777">
      <w:tc>
        <w:tcPr>
          <w:tcW w:w="2551" w:type="dxa"/>
          <w:shd w:val="clear" w:color="auto" w:fill="auto"/>
          <w:vAlign w:val="center"/>
        </w:tcPr>
        <w:p w14:paraId="71CCB72B" w14:textId="77777777" w:rsidR="002815F6" w:rsidRDefault="00532E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59BE2B5" w14:textId="77777777" w:rsidR="002815F6" w:rsidRDefault="00532EF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646E4D" w14:textId="77777777" w:rsidR="002815F6" w:rsidRDefault="002815F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85438"/>
    <w:multiLevelType w:val="multilevel"/>
    <w:tmpl w:val="6EBEF53A"/>
    <w:lvl w:ilvl="0">
      <w:start w:val="2"/>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5D561C"/>
    <w:multiLevelType w:val="multilevel"/>
    <w:tmpl w:val="73F62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F6"/>
    <w:rsid w:val="002815F6"/>
    <w:rsid w:val="00532EF7"/>
    <w:rsid w:val="00744184"/>
    <w:rsid w:val="00995933"/>
    <w:rsid w:val="00A32393"/>
    <w:rsid w:val="00A4516B"/>
    <w:rsid w:val="00BA5FCC"/>
    <w:rsid w:val="00E86B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3776A"/>
  <w15:docId w15:val="{34C66949-B53A-45FF-8705-75ED2FBAA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55B"/>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paragraph" w:customStyle="1" w:styleId="Citas">
    <w:name w:val="Citas"/>
    <w:basedOn w:val="Normal"/>
    <w:qFormat/>
    <w:rsid w:val="0080344A"/>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253438.pag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beBP/7omm8DB6JHpBv+uYhBvjg==">CgMxLjAyCGguZ2pkZ3hzMgloLjN6bnlzaDcyCWguMzBqMHpsbDIIaC50eWpjd3QyCWguM2R5NnZrbTIJaC40ZDM0b2c4MgloLjJldDkycDAyCWguMWZvYjl0ZTgAciExWmhLNnJtbXBBcFNKMElPS3Q0anVmcHVGd3o0R0gxRFk=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13532</Words>
  <Characters>74426</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2024-12-06T19:21:00Z</cp:lastPrinted>
  <dcterms:created xsi:type="dcterms:W3CDTF">2025-01-15T17:46:00Z</dcterms:created>
  <dcterms:modified xsi:type="dcterms:W3CDTF">2025-01-15T17:46:00Z</dcterms:modified>
</cp:coreProperties>
</file>