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28342"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veintisiete de noviembre de dos mil veinticuatro. </w:t>
      </w:r>
    </w:p>
    <w:p w14:paraId="2E0242C2"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b/>
        </w:rPr>
        <w:t>VISTO</w:t>
      </w:r>
      <w:r w:rsidRPr="004C3DAB">
        <w:rPr>
          <w:rFonts w:ascii="Palatino Linotype" w:eastAsia="Palatino Linotype" w:hAnsi="Palatino Linotype" w:cs="Palatino Linotype"/>
        </w:rPr>
        <w:t xml:space="preserve"> el expediente formado con motivo del recurso de revisión </w:t>
      </w:r>
      <w:r w:rsidRPr="004C3DAB">
        <w:rPr>
          <w:rFonts w:ascii="Palatino Linotype" w:eastAsia="Palatino Linotype" w:hAnsi="Palatino Linotype" w:cs="Palatino Linotype"/>
          <w:b/>
        </w:rPr>
        <w:t>06689/INFOEM/IP/RR/2024</w:t>
      </w:r>
      <w:r w:rsidRPr="004C3DAB">
        <w:rPr>
          <w:rFonts w:ascii="Palatino Linotype" w:eastAsia="Palatino Linotype" w:hAnsi="Palatino Linotype" w:cs="Palatino Linotype"/>
        </w:rPr>
        <w:t>, interpuesto por</w:t>
      </w:r>
      <w:r w:rsidRPr="004C3DAB">
        <w:rPr>
          <w:rFonts w:ascii="Palatino Linotype" w:eastAsia="Palatino Linotype" w:hAnsi="Palatino Linotype" w:cs="Palatino Linotype"/>
          <w:b/>
        </w:rPr>
        <w:t xml:space="preserve"> una persona que no proporcionó nombre o seudónimo,</w:t>
      </w:r>
      <w:r w:rsidRPr="004C3DAB">
        <w:rPr>
          <w:rFonts w:ascii="Palatino Linotype" w:eastAsia="Palatino Linotype" w:hAnsi="Palatino Linotype" w:cs="Palatino Linotype"/>
        </w:rPr>
        <w:t xml:space="preserve"> en lo sucesivo</w:t>
      </w:r>
      <w:r w:rsidRPr="004C3DAB">
        <w:rPr>
          <w:rFonts w:ascii="Palatino Linotype" w:eastAsia="Palatino Linotype" w:hAnsi="Palatino Linotype" w:cs="Palatino Linotype"/>
          <w:b/>
        </w:rPr>
        <w:t xml:space="preserve"> </w:t>
      </w:r>
      <w:r w:rsidRPr="004C3DAB">
        <w:rPr>
          <w:rFonts w:ascii="Palatino Linotype" w:eastAsia="Palatino Linotype" w:hAnsi="Palatino Linotype" w:cs="Palatino Linotype"/>
        </w:rPr>
        <w:t xml:space="preserve">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en contra de la respuesta a la solicitud de información con número de folio </w:t>
      </w:r>
      <w:r w:rsidRPr="004C3DAB">
        <w:rPr>
          <w:rFonts w:ascii="Palatino Linotype" w:eastAsia="Palatino Linotype" w:hAnsi="Palatino Linotype" w:cs="Palatino Linotype"/>
          <w:b/>
        </w:rPr>
        <w:t xml:space="preserve">00463/TEMAMATL/IP/2024, </w:t>
      </w:r>
      <w:r w:rsidRPr="004C3DAB">
        <w:rPr>
          <w:rFonts w:ascii="Palatino Linotype" w:eastAsia="Palatino Linotype" w:hAnsi="Palatino Linotype" w:cs="Palatino Linotype"/>
        </w:rPr>
        <w:t xml:space="preserve">por parte del </w:t>
      </w:r>
      <w:r w:rsidRPr="004C3DAB">
        <w:rPr>
          <w:rFonts w:ascii="Palatino Linotype" w:eastAsia="Palatino Linotype" w:hAnsi="Palatino Linotype" w:cs="Palatino Linotype"/>
          <w:b/>
        </w:rPr>
        <w:t xml:space="preserve">Ayuntamiento de Temamatla, </w:t>
      </w:r>
      <w:r w:rsidRPr="004C3DAB">
        <w:rPr>
          <w:rFonts w:ascii="Palatino Linotype" w:eastAsia="Palatino Linotype" w:hAnsi="Palatino Linotype" w:cs="Palatino Linotype"/>
        </w:rPr>
        <w:t xml:space="preserve">en lo sucesivo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se procede a dictar la presente resolución con base en los siguientes: </w:t>
      </w:r>
    </w:p>
    <w:p w14:paraId="27C7E6C4" w14:textId="77777777" w:rsidR="00AD3E4B" w:rsidRPr="004C3DAB" w:rsidRDefault="000E1E1C">
      <w:pPr>
        <w:spacing w:before="240" w:after="240" w:line="360" w:lineRule="auto"/>
        <w:jc w:val="center"/>
        <w:rPr>
          <w:rFonts w:ascii="Palatino Linotype" w:eastAsia="Palatino Linotype" w:hAnsi="Palatino Linotype" w:cs="Palatino Linotype"/>
          <w:b/>
        </w:rPr>
      </w:pPr>
      <w:r w:rsidRPr="004C3DAB">
        <w:rPr>
          <w:rFonts w:ascii="Palatino Linotype" w:eastAsia="Palatino Linotype" w:hAnsi="Palatino Linotype" w:cs="Palatino Linotype"/>
          <w:b/>
        </w:rPr>
        <w:t>I. A N T E C E D E N T E S</w:t>
      </w:r>
    </w:p>
    <w:p w14:paraId="3AECC253" w14:textId="77777777" w:rsidR="00AD3E4B" w:rsidRPr="004C3DAB" w:rsidRDefault="000E1E1C">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4C3DAB">
        <w:rPr>
          <w:rFonts w:ascii="Palatino Linotype" w:eastAsia="Palatino Linotype" w:hAnsi="Palatino Linotype" w:cs="Palatino Linotype"/>
          <w:b/>
        </w:rPr>
        <w:t>1. Solicitud de acceso a la información.</w:t>
      </w:r>
      <w:r w:rsidRPr="004C3DAB">
        <w:rPr>
          <w:rFonts w:ascii="Palatino Linotype" w:eastAsia="Palatino Linotype" w:hAnsi="Palatino Linotype" w:cs="Palatino Linotype"/>
        </w:rPr>
        <w:t xml:space="preserve"> El </w:t>
      </w:r>
      <w:r w:rsidRPr="004C3DAB">
        <w:rPr>
          <w:rFonts w:ascii="Palatino Linotype" w:eastAsia="Palatino Linotype" w:hAnsi="Palatino Linotype" w:cs="Palatino Linotype"/>
          <w:b/>
        </w:rPr>
        <w:t>dos de octubre de dos mil veinticuatro,</w:t>
      </w:r>
      <w:r w:rsidRPr="004C3DAB">
        <w:rPr>
          <w:rFonts w:ascii="Palatino Linotype" w:eastAsia="Palatino Linotype" w:hAnsi="Palatino Linotype" w:cs="Palatino Linotype"/>
        </w:rPr>
        <w:t xml:space="preserve"> la parte </w:t>
      </w:r>
      <w:r w:rsidRPr="004C3DAB">
        <w:rPr>
          <w:rFonts w:ascii="Palatino Linotype" w:eastAsia="Palatino Linotype" w:hAnsi="Palatino Linotype" w:cs="Palatino Linotype"/>
          <w:b/>
        </w:rPr>
        <w:t xml:space="preserve">Recurrente </w:t>
      </w:r>
      <w:r w:rsidRPr="004C3DAB">
        <w:rPr>
          <w:rFonts w:ascii="Palatino Linotype" w:eastAsia="Palatino Linotype" w:hAnsi="Palatino Linotype" w:cs="Palatino Linotype"/>
        </w:rPr>
        <w:t xml:space="preserve">presentó, a través del Sistema de Acceso a la Información Mexiquense, en lo subsecuente el </w:t>
      </w:r>
      <w:r w:rsidRPr="004C3DAB">
        <w:rPr>
          <w:rFonts w:ascii="Palatino Linotype" w:eastAsia="Palatino Linotype" w:hAnsi="Palatino Linotype" w:cs="Palatino Linotype"/>
          <w:b/>
        </w:rPr>
        <w:t>SAIMEX,</w:t>
      </w:r>
      <w:r w:rsidRPr="004C3DAB">
        <w:rPr>
          <w:rFonts w:ascii="Palatino Linotype" w:eastAsia="Palatino Linotype" w:hAnsi="Palatino Linotype" w:cs="Palatino Linotype"/>
        </w:rPr>
        <w:t xml:space="preserve"> ante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la solicitud de acceso a la información pública, mediante la cual requirió la información siguiente: </w:t>
      </w:r>
    </w:p>
    <w:p w14:paraId="27E7AAD1" w14:textId="77777777" w:rsidR="00AD3E4B" w:rsidRPr="004C3DAB" w:rsidRDefault="000E1E1C">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4C3DAB">
        <w:rPr>
          <w:rFonts w:ascii="Palatino Linotype" w:eastAsia="Palatino Linotype" w:hAnsi="Palatino Linotype" w:cs="Palatino Linotype"/>
          <w:i/>
          <w:sz w:val="22"/>
          <w:szCs w:val="22"/>
        </w:rPr>
        <w:t xml:space="preserve"> “Cuantas licencias de uso de suelo se expidieron mensualmente y </w:t>
      </w:r>
      <w:proofErr w:type="spellStart"/>
      <w:r w:rsidRPr="004C3DAB">
        <w:rPr>
          <w:rFonts w:ascii="Palatino Linotype" w:eastAsia="Palatino Linotype" w:hAnsi="Palatino Linotype" w:cs="Palatino Linotype"/>
          <w:i/>
          <w:sz w:val="22"/>
          <w:szCs w:val="22"/>
        </w:rPr>
        <w:t>cual</w:t>
      </w:r>
      <w:proofErr w:type="spellEnd"/>
      <w:r w:rsidRPr="004C3DAB">
        <w:rPr>
          <w:rFonts w:ascii="Palatino Linotype" w:eastAsia="Palatino Linotype" w:hAnsi="Palatino Linotype" w:cs="Palatino Linotype"/>
          <w:i/>
          <w:sz w:val="22"/>
          <w:szCs w:val="22"/>
        </w:rPr>
        <w:t xml:space="preserve"> fue el importe de la recaudación mensual por este concepto durante la administración 2022 2024</w:t>
      </w:r>
      <w:r w:rsidRPr="004C3DAB">
        <w:rPr>
          <w:rFonts w:ascii="Palatino Linotype" w:eastAsia="Palatino Linotype" w:hAnsi="Palatino Linotype" w:cs="Palatino Linotype"/>
          <w:b/>
          <w:i/>
          <w:sz w:val="22"/>
          <w:szCs w:val="22"/>
        </w:rPr>
        <w:t>”</w:t>
      </w:r>
      <w:r w:rsidRPr="004C3DAB">
        <w:rPr>
          <w:rFonts w:ascii="Palatino Linotype" w:eastAsia="Palatino Linotype" w:hAnsi="Palatino Linotype" w:cs="Palatino Linotype"/>
          <w:i/>
          <w:sz w:val="22"/>
          <w:szCs w:val="22"/>
        </w:rPr>
        <w:t xml:space="preserve"> (sic) </w:t>
      </w:r>
    </w:p>
    <w:p w14:paraId="7D90E465" w14:textId="77777777" w:rsidR="00AD3E4B" w:rsidRPr="004C3DAB" w:rsidRDefault="000E1E1C">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4C3DAB">
        <w:rPr>
          <w:rFonts w:ascii="Palatino Linotype" w:eastAsia="Palatino Linotype" w:hAnsi="Palatino Linotype" w:cs="Palatino Linotype"/>
          <w:b/>
        </w:rPr>
        <w:t>Modalidad de Entrega:</w:t>
      </w:r>
      <w:r w:rsidRPr="004C3DAB">
        <w:rPr>
          <w:rFonts w:ascii="Palatino Linotype" w:eastAsia="Palatino Linotype" w:hAnsi="Palatino Linotype" w:cs="Palatino Linotype"/>
        </w:rPr>
        <w:t xml:space="preserve"> a través </w:t>
      </w:r>
      <w:r w:rsidRPr="004C3DAB">
        <w:rPr>
          <w:rFonts w:ascii="Palatino Linotype" w:eastAsia="Palatino Linotype" w:hAnsi="Palatino Linotype" w:cs="Palatino Linotype"/>
          <w:b/>
        </w:rPr>
        <w:t>de SAIMEX</w:t>
      </w:r>
    </w:p>
    <w:p w14:paraId="3A96FA0B"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b/>
        </w:rPr>
        <w:t xml:space="preserve">2. Respuesta. </w:t>
      </w:r>
      <w:r w:rsidRPr="004C3DAB">
        <w:rPr>
          <w:rFonts w:ascii="Palatino Linotype" w:eastAsia="Palatino Linotype" w:hAnsi="Palatino Linotype" w:cs="Palatino Linotype"/>
        </w:rPr>
        <w:t>El</w:t>
      </w:r>
      <w:r w:rsidRPr="004C3DAB">
        <w:rPr>
          <w:rFonts w:ascii="Palatino Linotype" w:eastAsia="Palatino Linotype" w:hAnsi="Palatino Linotype" w:cs="Palatino Linotype"/>
          <w:b/>
        </w:rPr>
        <w:t xml:space="preserve"> veintidós de octubre de dos mil veinticuatro</w:t>
      </w:r>
      <w:r w:rsidRPr="004C3DAB">
        <w:rPr>
          <w:rFonts w:ascii="Palatino Linotype" w:eastAsia="Palatino Linotype" w:hAnsi="Palatino Linotype" w:cs="Palatino Linotype"/>
        </w:rPr>
        <w:t xml:space="preserve">,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D033B82" w14:textId="77777777" w:rsidR="00AD3E4B" w:rsidRPr="004C3DAB" w:rsidRDefault="000E1E1C">
      <w:pPr>
        <w:spacing w:before="240" w:after="240"/>
        <w:ind w:left="851" w:right="902"/>
        <w:jc w:val="both"/>
        <w:rPr>
          <w:rFonts w:ascii="Palatino Linotype" w:eastAsia="Palatino Linotype" w:hAnsi="Palatino Linotype" w:cs="Palatino Linotype"/>
          <w:b/>
          <w:i/>
          <w:sz w:val="22"/>
          <w:szCs w:val="22"/>
        </w:rPr>
      </w:pPr>
      <w:r w:rsidRPr="004C3DAB">
        <w:rPr>
          <w:rFonts w:ascii="Palatino Linotype" w:eastAsia="Palatino Linotype" w:hAnsi="Palatino Linotype" w:cs="Palatino Linotype"/>
          <w:i/>
          <w:sz w:val="22"/>
          <w:szCs w:val="22"/>
        </w:rPr>
        <w:lastRenderedPageBreak/>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w:t>
      </w:r>
      <w:r w:rsidRPr="004C3DAB">
        <w:rPr>
          <w:rFonts w:ascii="Palatino Linotype" w:eastAsia="Palatino Linotype" w:hAnsi="Palatino Linotype" w:cs="Palatino Linotype"/>
          <w:i/>
          <w:sz w:val="22"/>
          <w:szCs w:val="22"/>
        </w:rPr>
        <w:lastRenderedPageBreak/>
        <w:t>SUJETO OBLIGADO. RESPUESTA FUNDADA Y MOTIVADA EN EL CONTENIDO DEL OFICIO QUE SE ADJUNTA, DANDO RESPUESTA CLARA Y PRECISA DADA LA INDAGATORIA DEL SOLICITANTE...” (sic)</w:t>
      </w:r>
    </w:p>
    <w:p w14:paraId="100EB6F5"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adjuntó lo siguiente:</w:t>
      </w:r>
    </w:p>
    <w:p w14:paraId="1F8D887B" w14:textId="77777777" w:rsidR="00AD3E4B" w:rsidRPr="004C3DAB" w:rsidRDefault="000E1E1C">
      <w:pPr>
        <w:spacing w:before="240" w:after="240" w:line="360" w:lineRule="auto"/>
        <w:ind w:right="49"/>
        <w:jc w:val="both"/>
        <w:rPr>
          <w:rFonts w:ascii="Palatino Linotype" w:eastAsia="Palatino Linotype" w:hAnsi="Palatino Linotype" w:cs="Palatino Linotype"/>
          <w:b/>
        </w:rPr>
      </w:pPr>
      <w:r w:rsidRPr="004C3DAB">
        <w:rPr>
          <w:rFonts w:ascii="Palatino Linotype" w:eastAsia="Palatino Linotype" w:hAnsi="Palatino Linotype" w:cs="Palatino Linotype"/>
        </w:rPr>
        <w:t>- Oficio número DDUYE/099/2024, del diecinueve de octubre de dos mil veinticuatro, mediante el cual el Director de Desarrollo Urbano y Ecología, propuso la consulta directa de la información de conformidad con el artículo 158 y 164 de la Ley de Transparencia y Acceso a la Información Pública del Estado de México y Municipios, bajo el argumento de que por cuestiones de la entrega recepción próxima derivado de la culminación del periodo 2022 -2024, su tiempo y atención está enfocada en ello, y al no contar con personal auxiliar que le apoye le es imposible desglosar el trámite de su interés de manera mensual, asimismo,</w:t>
      </w:r>
      <w:r w:rsidRPr="004C3DAB">
        <w:rPr>
          <w:rFonts w:ascii="Palatino Linotype" w:eastAsia="Palatino Linotype" w:hAnsi="Palatino Linotype" w:cs="Palatino Linotype"/>
          <w:b/>
        </w:rPr>
        <w:t xml:space="preserve"> manifestó que el dato de recaudación monetaria le compete al área de Tesorería.</w:t>
      </w:r>
    </w:p>
    <w:p w14:paraId="13B9A85C"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rPr>
        <w:t>En tal sentido, hizo de conocimiento las formalidades para la consulta de la información de conformidad con los Lineamientos Generales en Materia de Clasificación y Desclasificación de la Información, así como para la Elaboración de Versiones Públicas., entre las que destaca la propuesta de la fecha y horario para la consulta de la información solicitada, fijada el día 24 de octubre de 2024, en un horario de 9:00 a 9:14 am, en la oficina de Desarrollo Urbano y Ecología.</w:t>
      </w:r>
    </w:p>
    <w:p w14:paraId="547C8472"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 Acta de la Octogésima Cuarta Sesión Ordinaria del Comité de Transparencia, celebrada el veintiuno de octubre de dos mil veinticuatro, en la cual se sometió a consideración de los integrantes la propuesta de cambio de modalidad en la entrega de la información en diversas solicitudes de información, entre las que se encuentra </w:t>
      </w:r>
      <w:r w:rsidRPr="004C3DAB">
        <w:rPr>
          <w:rFonts w:ascii="Palatino Linotype" w:eastAsia="Palatino Linotype" w:hAnsi="Palatino Linotype" w:cs="Palatino Linotype"/>
        </w:rPr>
        <w:lastRenderedPageBreak/>
        <w:t>solicitud 00463/TEMAMATL/IP/2024, aprobándose dicha propuesta por unanimidad de votos, mediante el acuerdo ACT/TEMA/UTAIP/ORDINARIA/84/2024/TERCERO, como se observa a continuación:</w:t>
      </w:r>
    </w:p>
    <w:p w14:paraId="47F1FE01" w14:textId="77777777" w:rsidR="00AD3E4B" w:rsidRPr="004C3DAB" w:rsidRDefault="000E1E1C">
      <w:pPr>
        <w:spacing w:before="240" w:after="240" w:line="360" w:lineRule="auto"/>
        <w:ind w:right="49"/>
        <w:jc w:val="center"/>
        <w:rPr>
          <w:rFonts w:ascii="Palatino Linotype" w:eastAsia="Palatino Linotype" w:hAnsi="Palatino Linotype" w:cs="Palatino Linotype"/>
        </w:rPr>
      </w:pPr>
      <w:r w:rsidRPr="004C3DAB">
        <w:rPr>
          <w:rFonts w:ascii="Palatino Linotype" w:eastAsia="Palatino Linotype" w:hAnsi="Palatino Linotype" w:cs="Palatino Linotype"/>
          <w:noProof/>
        </w:rPr>
        <w:drawing>
          <wp:inline distT="0" distB="0" distL="0" distR="0" wp14:anchorId="0F5A5FDF" wp14:editId="191CACA8">
            <wp:extent cx="4860000" cy="1342851"/>
            <wp:effectExtent l="0" t="0" r="0" b="0"/>
            <wp:docPr id="19520825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4860000" cy="1342851"/>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7C1856CF" wp14:editId="4CC742BA">
            <wp:extent cx="4860000" cy="855655"/>
            <wp:effectExtent l="0" t="0" r="0" b="0"/>
            <wp:docPr id="19520825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4126"/>
                    <a:stretch>
                      <a:fillRect/>
                    </a:stretch>
                  </pic:blipFill>
                  <pic:spPr>
                    <a:xfrm>
                      <a:off x="0" y="0"/>
                      <a:ext cx="4860000" cy="855655"/>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1357B968" wp14:editId="27708A79">
            <wp:extent cx="4860000" cy="2241385"/>
            <wp:effectExtent l="0" t="0" r="0" b="0"/>
            <wp:docPr id="19520825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860000" cy="2241385"/>
                    </a:xfrm>
                    <a:prstGeom prst="rect">
                      <a:avLst/>
                    </a:prstGeom>
                    <a:ln/>
                  </pic:spPr>
                </pic:pic>
              </a:graphicData>
            </a:graphic>
          </wp:inline>
        </w:drawing>
      </w:r>
    </w:p>
    <w:p w14:paraId="29AA381E" w14:textId="77777777" w:rsidR="00AD3E4B" w:rsidRPr="004C3DAB" w:rsidRDefault="000E1E1C">
      <w:pPr>
        <w:spacing w:before="240" w:after="240" w:line="360" w:lineRule="auto"/>
        <w:ind w:right="49"/>
        <w:jc w:val="both"/>
        <w:rPr>
          <w:rFonts w:ascii="Palatino Linotype" w:eastAsia="Palatino Linotype" w:hAnsi="Palatino Linotype" w:cs="Palatino Linotype"/>
          <w:b/>
        </w:rPr>
      </w:pPr>
      <w:r w:rsidRPr="004C3DAB">
        <w:rPr>
          <w:rFonts w:ascii="Palatino Linotype" w:eastAsia="Palatino Linotype" w:hAnsi="Palatino Linotype" w:cs="Palatino Linotype"/>
          <w:b/>
        </w:rPr>
        <w:t xml:space="preserve">3. Interposición del recurso de revisión. </w:t>
      </w:r>
      <w:r w:rsidRPr="004C3DAB">
        <w:rPr>
          <w:rFonts w:ascii="Palatino Linotype" w:eastAsia="Palatino Linotype" w:hAnsi="Palatino Linotype" w:cs="Palatino Linotype"/>
        </w:rPr>
        <w:t xml:space="preserve">Inconforme con los términos de la respuesta emitida por parte del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el </w:t>
      </w:r>
      <w:r w:rsidRPr="004C3DAB">
        <w:rPr>
          <w:rFonts w:ascii="Palatino Linotype" w:eastAsia="Palatino Linotype" w:hAnsi="Palatino Linotype" w:cs="Palatino Linotype"/>
          <w:b/>
        </w:rPr>
        <w:t>veinticinco de octubre de dos mil veinticuatro,</w:t>
      </w:r>
      <w:r w:rsidRPr="004C3DAB">
        <w:rPr>
          <w:rFonts w:ascii="Palatino Linotype" w:eastAsia="Palatino Linotype" w:hAnsi="Palatino Linotype" w:cs="Palatino Linotype"/>
        </w:rPr>
        <w:t xml:space="preserve">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interpuso el recurso de revisión a través de </w:t>
      </w:r>
      <w:r w:rsidRPr="004C3DAB">
        <w:rPr>
          <w:rFonts w:ascii="Palatino Linotype" w:eastAsia="Palatino Linotype" w:hAnsi="Palatino Linotype" w:cs="Palatino Linotype"/>
          <w:b/>
        </w:rPr>
        <w:t xml:space="preserve">SAIMEX, </w:t>
      </w:r>
      <w:r w:rsidRPr="004C3DAB">
        <w:rPr>
          <w:rFonts w:ascii="Palatino Linotype" w:eastAsia="Palatino Linotype" w:hAnsi="Palatino Linotype" w:cs="Palatino Linotype"/>
        </w:rPr>
        <w:t>en donde se manifestó de la siguiente manera:</w:t>
      </w:r>
    </w:p>
    <w:p w14:paraId="0237A2E1" w14:textId="77777777" w:rsidR="00AD3E4B" w:rsidRPr="004C3DAB" w:rsidRDefault="000E1E1C">
      <w:pPr>
        <w:tabs>
          <w:tab w:val="left" w:pos="2745"/>
        </w:tabs>
        <w:spacing w:before="240" w:after="240" w:line="360" w:lineRule="auto"/>
        <w:jc w:val="both"/>
        <w:rPr>
          <w:rFonts w:ascii="Palatino Linotype" w:eastAsia="Palatino Linotype" w:hAnsi="Palatino Linotype" w:cs="Palatino Linotype"/>
          <w:b/>
        </w:rPr>
      </w:pPr>
      <w:r w:rsidRPr="004C3DAB">
        <w:rPr>
          <w:rFonts w:ascii="Palatino Linotype" w:eastAsia="Palatino Linotype" w:hAnsi="Palatino Linotype" w:cs="Palatino Linotype"/>
          <w:b/>
        </w:rPr>
        <w:lastRenderedPageBreak/>
        <w:t xml:space="preserve">Acto impugnado: </w:t>
      </w:r>
    </w:p>
    <w:p w14:paraId="2B704C42" w14:textId="77777777" w:rsidR="00AD3E4B" w:rsidRPr="004C3DAB" w:rsidRDefault="000E1E1C">
      <w:pPr>
        <w:tabs>
          <w:tab w:val="left" w:pos="2745"/>
        </w:tabs>
        <w:spacing w:before="240" w:after="240"/>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“RESPUESTA OTORGADA” (sic)</w:t>
      </w:r>
    </w:p>
    <w:p w14:paraId="0E2A5480" w14:textId="77777777" w:rsidR="00AD3E4B" w:rsidRPr="004C3DAB" w:rsidRDefault="000E1E1C">
      <w:pPr>
        <w:spacing w:line="360" w:lineRule="auto"/>
        <w:jc w:val="both"/>
        <w:rPr>
          <w:rFonts w:ascii="Palatino Linotype" w:eastAsia="Palatino Linotype" w:hAnsi="Palatino Linotype" w:cs="Palatino Linotype"/>
        </w:rPr>
      </w:pPr>
      <w:bookmarkStart w:id="3" w:name="_heading=h.30j0zll" w:colFirst="0" w:colLast="0"/>
      <w:bookmarkEnd w:id="3"/>
      <w:r w:rsidRPr="004C3DAB">
        <w:rPr>
          <w:rFonts w:ascii="Palatino Linotype" w:eastAsia="Palatino Linotype" w:hAnsi="Palatino Linotype" w:cs="Palatino Linotype"/>
          <w:b/>
        </w:rPr>
        <w:t>Y Razones o motivos de inconformidad</w:t>
      </w:r>
      <w:r w:rsidRPr="004C3DAB">
        <w:rPr>
          <w:rFonts w:ascii="Palatino Linotype" w:eastAsia="Palatino Linotype" w:hAnsi="Palatino Linotype" w:cs="Palatino Linotype"/>
        </w:rPr>
        <w:t xml:space="preserve">: </w:t>
      </w:r>
    </w:p>
    <w:p w14:paraId="08F878C9" w14:textId="77777777" w:rsidR="00AD3E4B" w:rsidRPr="004C3DAB" w:rsidRDefault="000E1E1C">
      <w:pPr>
        <w:tabs>
          <w:tab w:val="left" w:pos="2745"/>
        </w:tabs>
        <w:spacing w:before="240" w:after="240"/>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EL SUJETO OBLIGADO MANIFIESTA QUE LA ENTREGA DE INFORMACION SERA MEDIANTE CONSULTA DIRECTA</w:t>
      </w:r>
      <w:r w:rsidRPr="004C3DAB">
        <w:rPr>
          <w:rFonts w:ascii="Palatino Linotype" w:eastAsia="Palatino Linotype" w:hAnsi="Palatino Linotype" w:cs="Palatino Linotype"/>
          <w:i/>
          <w:sz w:val="22"/>
          <w:szCs w:val="22"/>
        </w:rPr>
        <w:t xml:space="preserve"> EN UNA FECHA Y UN HORARIO IGUAL AL ESTABLECIDO EN LAS SOLICITUDES 438, 441, 442, 445, 446, 448, 449, 450, 451, 452, 454, 455, 456, 458, 459, 460, 461, 462, 463, 464, 465, 466, 467, 468, 470, 471, 472, 473, 474, 480, 481, 482, 483, 493, 498, 499, 500, 560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w:t>
      </w:r>
      <w:r w:rsidRPr="004C3DAB">
        <w:rPr>
          <w:rFonts w:ascii="Palatino Linotype" w:eastAsia="Palatino Linotype" w:hAnsi="Palatino Linotype" w:cs="Palatino Linotype"/>
          <w:b/>
          <w:i/>
          <w:sz w:val="22"/>
          <w:szCs w:val="22"/>
        </w:rPr>
        <w:t>SOLICITO QUE LA INFORMACION SEA ENTREGADA A TRAVES DE ESTA PLATAFORMA</w:t>
      </w:r>
      <w:r w:rsidRPr="004C3DAB">
        <w:rPr>
          <w:rFonts w:ascii="Palatino Linotype" w:eastAsia="Palatino Linotype" w:hAnsi="Palatino Linotype" w:cs="Palatino Linotype"/>
          <w:i/>
          <w:sz w:val="22"/>
          <w:szCs w:val="22"/>
        </w:rPr>
        <w:t xml:space="preserve"> EL SUJETO OBLIGADO MANIFIESTA LA INEXISTENCIA DE LA INFORMACION, SIN ADJUNTAR EL ACTA DEL COMITE DE TRANSPARENCIA QUE HAYA VERIFICADO Y AUTORIZADO ESTE SUPUESTO” (sic)</w:t>
      </w:r>
    </w:p>
    <w:p w14:paraId="3F3E7908"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b/>
        </w:rPr>
        <w:t xml:space="preserve">4. Turno. </w:t>
      </w:r>
      <w:r w:rsidRPr="004C3DA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C3DAB">
        <w:rPr>
          <w:rFonts w:ascii="Palatino Linotype" w:eastAsia="Palatino Linotype" w:hAnsi="Palatino Linotype" w:cs="Palatino Linotype"/>
          <w:b/>
        </w:rPr>
        <w:t xml:space="preserve">Guadalupe Ramírez Peña, </w:t>
      </w:r>
      <w:r w:rsidRPr="004C3DAB">
        <w:rPr>
          <w:rFonts w:ascii="Palatino Linotype" w:eastAsia="Palatino Linotype" w:hAnsi="Palatino Linotype" w:cs="Palatino Linotype"/>
        </w:rPr>
        <w:t xml:space="preserve">a efecto de que analizara sobre su admisión o su </w:t>
      </w:r>
      <w:proofErr w:type="spellStart"/>
      <w:r w:rsidRPr="004C3DAB">
        <w:rPr>
          <w:rFonts w:ascii="Palatino Linotype" w:eastAsia="Palatino Linotype" w:hAnsi="Palatino Linotype" w:cs="Palatino Linotype"/>
        </w:rPr>
        <w:t>desechamiento</w:t>
      </w:r>
      <w:proofErr w:type="spellEnd"/>
      <w:r w:rsidRPr="004C3DAB">
        <w:rPr>
          <w:rFonts w:ascii="Palatino Linotype" w:eastAsia="Palatino Linotype" w:hAnsi="Palatino Linotype" w:cs="Palatino Linotype"/>
        </w:rPr>
        <w:t>.</w:t>
      </w:r>
    </w:p>
    <w:p w14:paraId="5AB602B8" w14:textId="77777777" w:rsidR="00AD3E4B" w:rsidRPr="004C3DAB" w:rsidRDefault="000E1E1C">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4C3DAB">
        <w:rPr>
          <w:rFonts w:ascii="Palatino Linotype" w:eastAsia="Palatino Linotype" w:hAnsi="Palatino Linotype" w:cs="Palatino Linotype"/>
          <w:b/>
        </w:rPr>
        <w:lastRenderedPageBreak/>
        <w:t>5. Admisión del Recurso de revisión.</w:t>
      </w:r>
      <w:r w:rsidRPr="004C3DAB">
        <w:rPr>
          <w:rFonts w:ascii="Palatino Linotype" w:eastAsia="Palatino Linotype" w:hAnsi="Palatino Linotype" w:cs="Palatino Linotype"/>
        </w:rPr>
        <w:t xml:space="preserve"> El</w:t>
      </w:r>
      <w:r w:rsidRPr="004C3DAB">
        <w:rPr>
          <w:rFonts w:ascii="Palatino Linotype" w:eastAsia="Palatino Linotype" w:hAnsi="Palatino Linotype" w:cs="Palatino Linotype"/>
          <w:b/>
        </w:rPr>
        <w:t xml:space="preserve"> treinta de octubre de dos mil veinticuatro, </w:t>
      </w:r>
      <w:r w:rsidRPr="004C3DA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presentara su informe justificado.</w:t>
      </w:r>
    </w:p>
    <w:p w14:paraId="13932C61" w14:textId="77777777" w:rsidR="00AD3E4B" w:rsidRPr="004C3DAB" w:rsidRDefault="000E1E1C">
      <w:pPr>
        <w:widowControl w:val="0"/>
        <w:spacing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b/>
        </w:rPr>
        <w:t>6. Manifestaciones</w:t>
      </w:r>
      <w:r w:rsidRPr="004C3DAB">
        <w:rPr>
          <w:rFonts w:ascii="Palatino Linotype" w:eastAsia="Palatino Linotype" w:hAnsi="Palatino Linotype" w:cs="Palatino Linotype"/>
        </w:rPr>
        <w:t xml:space="preserve">. De constancias del expediente electrónico del SAIMEX, se observa que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fue omiso en rendir su informe justificado; así como, la parte </w:t>
      </w:r>
      <w:r w:rsidRPr="004C3DAB">
        <w:rPr>
          <w:rFonts w:ascii="Palatino Linotype" w:eastAsia="Palatino Linotype" w:hAnsi="Palatino Linotype" w:cs="Palatino Linotype"/>
          <w:b/>
        </w:rPr>
        <w:t xml:space="preserve">Recurrente </w:t>
      </w:r>
      <w:r w:rsidRPr="004C3DAB">
        <w:rPr>
          <w:rFonts w:ascii="Palatino Linotype" w:eastAsia="Palatino Linotype" w:hAnsi="Palatino Linotype" w:cs="Palatino Linotype"/>
        </w:rPr>
        <w:t>fue omisa en hacer valer manifestaciones o rendir alegatos que conforme a derecho resultaran procedentes, como se muestra:</w:t>
      </w:r>
    </w:p>
    <w:p w14:paraId="101A4F6C"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noProof/>
        </w:rPr>
        <w:drawing>
          <wp:inline distT="0" distB="0" distL="0" distR="0" wp14:anchorId="237D0692" wp14:editId="0E71D4E0">
            <wp:extent cx="5612130" cy="1468120"/>
            <wp:effectExtent l="0" t="0" r="0" b="0"/>
            <wp:docPr id="19520825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612130" cy="1468120"/>
                    </a:xfrm>
                    <a:prstGeom prst="rect">
                      <a:avLst/>
                    </a:prstGeom>
                    <a:ln/>
                  </pic:spPr>
                </pic:pic>
              </a:graphicData>
            </a:graphic>
          </wp:inline>
        </w:drawing>
      </w:r>
    </w:p>
    <w:p w14:paraId="5C658EF7"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b/>
        </w:rPr>
        <w:t xml:space="preserve">7. Cierre de instrucción. </w:t>
      </w:r>
      <w:r w:rsidRPr="004C3DA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4C3DAB">
        <w:rPr>
          <w:rFonts w:ascii="Palatino Linotype" w:eastAsia="Palatino Linotype" w:hAnsi="Palatino Linotype" w:cs="Palatino Linotype"/>
          <w:b/>
        </w:rPr>
        <w:t>doce de noviembre de dos mil veinticuatro</w:t>
      </w:r>
      <w:r w:rsidRPr="004C3DA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F2A846E"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D273C9C" w14:textId="77777777" w:rsidR="00AD3E4B" w:rsidRPr="004C3DAB" w:rsidRDefault="000E1E1C">
      <w:pPr>
        <w:widowControl w:val="0"/>
        <w:spacing w:before="240" w:after="240" w:line="360" w:lineRule="auto"/>
        <w:jc w:val="center"/>
        <w:rPr>
          <w:rFonts w:ascii="Palatino Linotype" w:eastAsia="Palatino Linotype" w:hAnsi="Palatino Linotype" w:cs="Palatino Linotype"/>
          <w:b/>
        </w:rPr>
      </w:pPr>
      <w:r w:rsidRPr="004C3DAB">
        <w:rPr>
          <w:rFonts w:ascii="Palatino Linotype" w:eastAsia="Palatino Linotype" w:hAnsi="Palatino Linotype" w:cs="Palatino Linotype"/>
          <w:b/>
        </w:rPr>
        <w:t>II. C O N S I D E R A N D O S</w:t>
      </w:r>
    </w:p>
    <w:p w14:paraId="454D25E8"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b/>
        </w:rPr>
        <w:t>Primero. Competencia.</w:t>
      </w:r>
      <w:r w:rsidRPr="004C3DA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B40B13" w14:textId="77777777" w:rsidR="00AD3E4B" w:rsidRPr="004C3DAB" w:rsidRDefault="000E1E1C">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4C3DAB">
        <w:rPr>
          <w:rFonts w:ascii="Palatino Linotype" w:eastAsia="Palatino Linotype" w:hAnsi="Palatino Linotype" w:cs="Palatino Linotype"/>
          <w:b/>
        </w:rPr>
        <w:t>Segundo. Oportunidad y Procedibilidad del Recurso de Revisión</w:t>
      </w:r>
      <w:r w:rsidRPr="004C3DA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519B0EC"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remitió </w:t>
      </w:r>
      <w:r w:rsidRPr="004C3DAB">
        <w:rPr>
          <w:rFonts w:ascii="Palatino Linotype" w:eastAsia="Palatino Linotype" w:hAnsi="Palatino Linotype" w:cs="Palatino Linotype"/>
        </w:rPr>
        <w:lastRenderedPageBreak/>
        <w:t xml:space="preserve">la respuesta a la solicitud de información el </w:t>
      </w:r>
      <w:r w:rsidRPr="004C3DAB">
        <w:rPr>
          <w:rFonts w:ascii="Palatino Linotype" w:eastAsia="Palatino Linotype" w:hAnsi="Palatino Linotype" w:cs="Palatino Linotype"/>
          <w:b/>
        </w:rPr>
        <w:t xml:space="preserve">veintidós de octubre de dos mil veinticuatro, </w:t>
      </w:r>
      <w:r w:rsidRPr="004C3DAB">
        <w:rPr>
          <w:rFonts w:ascii="Palatino Linotype" w:eastAsia="Palatino Linotype" w:hAnsi="Palatino Linotype" w:cs="Palatino Linotype"/>
        </w:rPr>
        <w:t xml:space="preserve">mientras que el recurso de revisión interpuesto por </w:t>
      </w:r>
      <w:r w:rsidRPr="004C3DAB">
        <w:rPr>
          <w:rFonts w:ascii="Palatino Linotype" w:eastAsia="Palatino Linotype" w:hAnsi="Palatino Linotype" w:cs="Palatino Linotype"/>
          <w:b/>
        </w:rPr>
        <w:t>la parte</w:t>
      </w:r>
      <w:r w:rsidRPr="004C3DAB">
        <w:rPr>
          <w:rFonts w:ascii="Palatino Linotype" w:eastAsia="Palatino Linotype" w:hAnsi="Palatino Linotype" w:cs="Palatino Linotype"/>
        </w:rPr>
        <w:t xml:space="preserv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se tuvo por presentado el </w:t>
      </w:r>
      <w:r w:rsidRPr="004C3DAB">
        <w:rPr>
          <w:rFonts w:ascii="Palatino Linotype" w:eastAsia="Palatino Linotype" w:hAnsi="Palatino Linotype" w:cs="Palatino Linotype"/>
          <w:b/>
        </w:rPr>
        <w:t>veinticinco de octubre de dos mil veinticuatro</w:t>
      </w:r>
      <w:r w:rsidRPr="004C3DAB">
        <w:rPr>
          <w:rFonts w:ascii="Palatino Linotype" w:eastAsia="Palatino Linotype" w:hAnsi="Palatino Linotype" w:cs="Palatino Linotype"/>
        </w:rPr>
        <w:t xml:space="preserve"> esto es, </w:t>
      </w:r>
      <w:r w:rsidRPr="004C3DAB">
        <w:rPr>
          <w:rFonts w:ascii="Palatino Linotype" w:eastAsia="Palatino Linotype" w:hAnsi="Palatino Linotype" w:cs="Palatino Linotype"/>
          <w:b/>
        </w:rPr>
        <w:t>al tercer día hábil siguiente a aquel</w:t>
      </w:r>
      <w:r w:rsidRPr="004C3DAB">
        <w:rPr>
          <w:rFonts w:ascii="Palatino Linotype" w:eastAsia="Palatino Linotype" w:hAnsi="Palatino Linotype" w:cs="Palatino Linotype"/>
        </w:rPr>
        <w:t xml:space="preserve"> </w:t>
      </w:r>
      <w:r w:rsidRPr="004C3DAB">
        <w:rPr>
          <w:rFonts w:ascii="Palatino Linotype" w:eastAsia="Palatino Linotype" w:hAnsi="Palatino Linotype" w:cs="Palatino Linotype"/>
          <w:b/>
        </w:rPr>
        <w:t>en que se tuvo conocimiento de la respuesta impugnada</w:t>
      </w:r>
      <w:r w:rsidRPr="004C3DAB">
        <w:rPr>
          <w:rFonts w:ascii="Palatino Linotype" w:eastAsia="Palatino Linotype" w:hAnsi="Palatino Linotype" w:cs="Palatino Linotype"/>
        </w:rPr>
        <w:t>. En este sentido, se concluye que el presente recurso de revisión se encuentra dentro de los márgenes temporales previstos en las disposiciones legales referidas.</w:t>
      </w:r>
    </w:p>
    <w:p w14:paraId="45A4F91E" w14:textId="77777777" w:rsidR="00AD3E4B" w:rsidRPr="004C3DAB" w:rsidRDefault="000E1E1C">
      <w:pPr>
        <w:spacing w:line="360" w:lineRule="auto"/>
        <w:jc w:val="both"/>
        <w:rPr>
          <w:rFonts w:ascii="Palatino Linotype" w:eastAsia="Palatino Linotype" w:hAnsi="Palatino Linotype" w:cs="Palatino Linotype"/>
        </w:rPr>
      </w:pPr>
      <w:bookmarkStart w:id="6" w:name="_heading=h.3znysh7" w:colFirst="0" w:colLast="0"/>
      <w:bookmarkEnd w:id="6"/>
      <w:r w:rsidRPr="004C3DAB">
        <w:rPr>
          <w:rFonts w:ascii="Palatino Linotype" w:eastAsia="Palatino Linotype" w:hAnsi="Palatino Linotype" w:cs="Palatino Linotype"/>
        </w:rPr>
        <w:t>Además, por cuanto hace a la procedibilidad del recurso de revisión, es de suma importancia señalar que la parte</w:t>
      </w:r>
      <w:r w:rsidRPr="004C3DAB">
        <w:rPr>
          <w:rFonts w:ascii="Palatino Linotype" w:eastAsia="Palatino Linotype" w:hAnsi="Palatino Linotype" w:cs="Palatino Linotype"/>
          <w:b/>
        </w:rPr>
        <w:t xml:space="preserve"> Recurrente</w:t>
      </w:r>
      <w:r w:rsidRPr="004C3DAB">
        <w:rPr>
          <w:rFonts w:ascii="Palatino Linotype" w:eastAsia="Palatino Linotype" w:hAnsi="Palatino Linotype" w:cs="Palatino Linotype"/>
        </w:rPr>
        <w:t xml:space="preserve">, no señaló un </w:t>
      </w:r>
      <w:r w:rsidRPr="004C3DAB">
        <w:rPr>
          <w:rFonts w:ascii="Palatino Linotype" w:eastAsia="Palatino Linotype" w:hAnsi="Palatino Linotype" w:cs="Palatino Linotype"/>
          <w:b/>
        </w:rPr>
        <w:t>nombre</w:t>
      </w:r>
      <w:r w:rsidRPr="004C3DAB">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F5D441"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Las solicitudes anónimas</w:t>
      </w:r>
      <w:r w:rsidRPr="004C3DAB">
        <w:rPr>
          <w:rFonts w:ascii="Palatino Linotype" w:eastAsia="Palatino Linotype" w:hAnsi="Palatino Linotype" w:cs="Palatino Linotype"/>
          <w:i/>
          <w:sz w:val="22"/>
          <w:szCs w:val="22"/>
        </w:rPr>
        <w:t xml:space="preserve">, con nombre incompleto o </w:t>
      </w:r>
      <w:r w:rsidRPr="004C3DAB">
        <w:rPr>
          <w:rFonts w:ascii="Palatino Linotype" w:eastAsia="Palatino Linotype" w:hAnsi="Palatino Linotype" w:cs="Palatino Linotype"/>
          <w:b/>
          <w:i/>
          <w:sz w:val="22"/>
          <w:szCs w:val="22"/>
        </w:rPr>
        <w:t>seudónimo</w:t>
      </w:r>
      <w:r w:rsidRPr="004C3DAB">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45DCB215" w14:textId="77777777" w:rsidR="00AD3E4B" w:rsidRPr="004C3DAB" w:rsidRDefault="000E1E1C">
      <w:pPr>
        <w:spacing w:before="240" w:after="240" w:line="360" w:lineRule="auto"/>
        <w:jc w:val="both"/>
        <w:rPr>
          <w:rFonts w:ascii="Palatino Linotype" w:eastAsia="Palatino Linotype" w:hAnsi="Palatino Linotype" w:cs="Palatino Linotype"/>
          <w:b/>
        </w:rPr>
      </w:pPr>
      <w:r w:rsidRPr="004C3DAB">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4C3DAB">
        <w:rPr>
          <w:rFonts w:ascii="Palatino Linotype" w:eastAsia="Palatino Linotype" w:hAnsi="Palatino Linotype" w:cs="Palatino Linotype"/>
          <w:b/>
        </w:rPr>
        <w:t xml:space="preserve"> SAIMEX.</w:t>
      </w:r>
    </w:p>
    <w:p w14:paraId="3EA89BC2"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en sus motivos de inconformidad, de acuerdo al artículo 179, fracción VIII del ordenamiento legal citado, que a la letra dice: </w:t>
      </w:r>
    </w:p>
    <w:p w14:paraId="656C29EE"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Artículo 179.</w:t>
      </w:r>
      <w:r w:rsidRPr="004C3DA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191821B" w14:textId="77777777" w:rsidR="00AD3E4B" w:rsidRPr="004C3DAB" w:rsidRDefault="000E1E1C">
      <w:pPr>
        <w:spacing w:before="120" w:after="120"/>
        <w:ind w:left="1134" w:right="902"/>
        <w:rPr>
          <w:rFonts w:ascii="Palatino Linotype" w:eastAsia="Palatino Linotype" w:hAnsi="Palatino Linotype" w:cs="Palatino Linotype"/>
          <w:b/>
          <w:i/>
          <w:sz w:val="22"/>
          <w:szCs w:val="22"/>
        </w:rPr>
      </w:pPr>
      <w:r w:rsidRPr="004C3DAB">
        <w:rPr>
          <w:rFonts w:ascii="Palatino Linotype" w:eastAsia="Palatino Linotype" w:hAnsi="Palatino Linotype" w:cs="Palatino Linotype"/>
          <w:b/>
          <w:i/>
          <w:sz w:val="22"/>
          <w:szCs w:val="22"/>
        </w:rPr>
        <w:t>...</w:t>
      </w:r>
    </w:p>
    <w:p w14:paraId="4638F5D6" w14:textId="77777777" w:rsidR="00AD3E4B" w:rsidRPr="004C3DAB" w:rsidRDefault="000E1E1C">
      <w:pPr>
        <w:spacing w:before="120" w:after="120"/>
        <w:ind w:left="1134" w:right="902"/>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 xml:space="preserve">VIII. </w:t>
      </w:r>
      <w:r w:rsidRPr="004C3DAB">
        <w:rPr>
          <w:rFonts w:ascii="Palatino Linotype" w:eastAsia="Palatino Linotype" w:hAnsi="Palatino Linotype" w:cs="Palatino Linotype"/>
          <w:i/>
          <w:sz w:val="22"/>
          <w:szCs w:val="22"/>
        </w:rPr>
        <w:t>La notificación, entrega o puesta a disposición de información en una modalidad o formato distinto al solicitado;”</w:t>
      </w:r>
    </w:p>
    <w:p w14:paraId="123BFD25" w14:textId="77777777" w:rsidR="00AD3E4B" w:rsidRPr="004C3DAB" w:rsidRDefault="000E1E1C">
      <w:pPr>
        <w:spacing w:before="240" w:after="240" w:line="360" w:lineRule="auto"/>
        <w:jc w:val="both"/>
        <w:rPr>
          <w:rFonts w:ascii="Palatino Linotype" w:eastAsia="Palatino Linotype" w:hAnsi="Palatino Linotype" w:cs="Palatino Linotype"/>
          <w:b/>
        </w:rPr>
      </w:pPr>
      <w:r w:rsidRPr="004C3DAB">
        <w:rPr>
          <w:rFonts w:ascii="Palatino Linotype" w:eastAsia="Palatino Linotype" w:hAnsi="Palatino Linotype" w:cs="Palatino Linotype"/>
          <w:b/>
        </w:rPr>
        <w:t xml:space="preserve">Tercero. Materia de la revisión. </w:t>
      </w:r>
      <w:r w:rsidRPr="004C3DA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C3DAB">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4C3DAB">
        <w:rPr>
          <w:rFonts w:ascii="Palatino Linotype" w:eastAsia="Palatino Linotype" w:hAnsi="Palatino Linotype" w:cs="Palatino Linotype"/>
        </w:rPr>
        <w:t xml:space="preserve">de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o en su defecto, en caso de ser procedente, ordenar la entrega de información.</w:t>
      </w:r>
    </w:p>
    <w:p w14:paraId="226B30B0" w14:textId="77777777" w:rsidR="00AD3E4B" w:rsidRPr="004C3DAB" w:rsidRDefault="000E1E1C">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4C3DAB">
        <w:rPr>
          <w:rFonts w:ascii="Palatino Linotype" w:eastAsia="Palatino Linotype" w:hAnsi="Palatino Linotype" w:cs="Palatino Linotype"/>
          <w:b/>
        </w:rPr>
        <w:t xml:space="preserve">Cuarto. Estudio del asunto. </w:t>
      </w:r>
      <w:r w:rsidRPr="004C3DAB">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53784EA"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Artículo 4</w:t>
      </w:r>
      <w:r w:rsidRPr="004C3DA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4C3DAB">
        <w:rPr>
          <w:rFonts w:ascii="Palatino Linotype" w:eastAsia="Palatino Linotype" w:hAnsi="Palatino Linotype" w:cs="Palatino Linotype"/>
          <w:i/>
          <w:sz w:val="22"/>
          <w:szCs w:val="22"/>
        </w:rPr>
        <w:lastRenderedPageBreak/>
        <w:t xml:space="preserve">solicitar información pública, sin necesidad de acreditar personalidad ni interés jurídico. </w:t>
      </w:r>
    </w:p>
    <w:p w14:paraId="3DF2C898"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C3DA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60642EA"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C3DAB">
        <w:rPr>
          <w:rFonts w:ascii="Palatino Linotype" w:eastAsia="Palatino Linotype" w:hAnsi="Palatino Linotype" w:cs="Palatino Linotype"/>
          <w:i/>
          <w:sz w:val="22"/>
          <w:szCs w:val="22"/>
        </w:rPr>
        <w:t>.”</w:t>
      </w:r>
    </w:p>
    <w:p w14:paraId="5941E0B9"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F57119E"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“Artículo 12.-</w:t>
      </w:r>
      <w:r w:rsidRPr="004C3DA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A4BB044"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C3DAB">
        <w:rPr>
          <w:rFonts w:ascii="Palatino Linotype" w:eastAsia="Palatino Linotype" w:hAnsi="Palatino Linotype" w:cs="Palatino Linotype"/>
          <w:i/>
          <w:sz w:val="22"/>
          <w:szCs w:val="22"/>
        </w:rPr>
        <w:t xml:space="preserve">. </w:t>
      </w:r>
      <w:r w:rsidRPr="004C3DA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24B600B0" w14:textId="77777777" w:rsidR="00AD3E4B" w:rsidRPr="004C3DAB" w:rsidRDefault="000E1E1C">
      <w:pPr>
        <w:spacing w:before="240" w:after="240" w:line="360" w:lineRule="auto"/>
        <w:ind w:right="-93"/>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5452D8F" w14:textId="77777777" w:rsidR="00AD3E4B" w:rsidRPr="004C3DAB" w:rsidRDefault="000E1E1C">
      <w:pPr>
        <w:spacing w:before="240" w:after="240" w:line="360" w:lineRule="auto"/>
        <w:jc w:val="both"/>
        <w:rPr>
          <w:rFonts w:ascii="Palatino Linotype" w:eastAsia="Palatino Linotype" w:hAnsi="Palatino Linotype" w:cs="Palatino Linotype"/>
          <w:b/>
        </w:rPr>
      </w:pPr>
      <w:r w:rsidRPr="004C3DAB">
        <w:rPr>
          <w:rFonts w:ascii="Palatino Linotype" w:eastAsia="Palatino Linotype" w:hAnsi="Palatino Linotype" w:cs="Palatino Linotype"/>
        </w:rPr>
        <w:t xml:space="preserve">Sirve de apoyo a lo anterior, el Criterio de Interpretación, con clave de control número SO/003/2017, emitido por el Instituto Nacional de Transparencia, Acceso a la Información y Protección de Datos Personales, </w:t>
      </w:r>
      <w:proofErr w:type="gramStart"/>
      <w:r w:rsidRPr="004C3DAB">
        <w:rPr>
          <w:rFonts w:ascii="Palatino Linotype" w:eastAsia="Palatino Linotype" w:hAnsi="Palatino Linotype" w:cs="Palatino Linotype"/>
        </w:rPr>
        <w:t>que</w:t>
      </w:r>
      <w:proofErr w:type="gramEnd"/>
      <w:r w:rsidRPr="004C3DAB">
        <w:rPr>
          <w:rFonts w:ascii="Palatino Linotype" w:eastAsia="Palatino Linotype" w:hAnsi="Palatino Linotype" w:cs="Palatino Linotype"/>
        </w:rPr>
        <w:t xml:space="preserve"> por rubro y texto, dispone lo siguiente:</w:t>
      </w:r>
      <w:r w:rsidRPr="004C3DAB">
        <w:rPr>
          <w:rFonts w:ascii="Palatino Linotype" w:eastAsia="Palatino Linotype" w:hAnsi="Palatino Linotype" w:cs="Palatino Linotype"/>
          <w:b/>
        </w:rPr>
        <w:t xml:space="preserve"> </w:t>
      </w:r>
    </w:p>
    <w:p w14:paraId="79F1CE0B"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No existe obligación de elaborar documentos ad hoc para atender las solicitudes de acceso a la información.</w:t>
      </w:r>
      <w:r w:rsidRPr="004C3DA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4C7A6904" w14:textId="77777777" w:rsidR="00AD3E4B" w:rsidRPr="004C3DAB" w:rsidRDefault="000E1E1C">
      <w:pPr>
        <w:spacing w:before="120" w:after="12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4C3DAB">
        <w:rPr>
          <w:rFonts w:ascii="Palatino Linotype" w:eastAsia="Palatino Linotype" w:hAnsi="Palatino Linotype" w:cs="Palatino Linotype"/>
        </w:rPr>
        <w:lastRenderedPageBreak/>
        <w:t>que es deber de los Sujetos Obligados, garantizar el Derecho de Acceso a la Información Pública.</w:t>
      </w:r>
    </w:p>
    <w:p w14:paraId="0F1BA363" w14:textId="77777777" w:rsidR="00AD3E4B" w:rsidRPr="004C3DAB" w:rsidRDefault="000E1E1C">
      <w:pPr>
        <w:spacing w:before="120" w:after="12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257B3C7"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 xml:space="preserve">Artículo 3. </w:t>
      </w:r>
      <w:r w:rsidRPr="004C3DAB">
        <w:rPr>
          <w:rFonts w:ascii="Palatino Linotype" w:eastAsia="Palatino Linotype" w:hAnsi="Palatino Linotype" w:cs="Palatino Linotype"/>
          <w:i/>
          <w:sz w:val="22"/>
          <w:szCs w:val="22"/>
        </w:rPr>
        <w:t>Para los efectos de la presente Ley se entenderá por:</w:t>
      </w:r>
    </w:p>
    <w:p w14:paraId="6998B694"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p>
    <w:p w14:paraId="22A12B14"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XI. Documento:</w:t>
      </w:r>
      <w:r w:rsidRPr="004C3DAB">
        <w:rPr>
          <w:rFonts w:ascii="Palatino Linotype" w:eastAsia="Palatino Linotype" w:hAnsi="Palatino Linotype" w:cs="Palatino Linotype"/>
          <w:i/>
          <w:sz w:val="22"/>
          <w:szCs w:val="22"/>
        </w:rPr>
        <w:t xml:space="preserve"> Los expedientes, reportes, estudios, actas</w:t>
      </w:r>
      <w:r w:rsidRPr="004C3DAB">
        <w:rPr>
          <w:rFonts w:ascii="Palatino Linotype" w:eastAsia="Palatino Linotype" w:hAnsi="Palatino Linotype" w:cs="Palatino Linotype"/>
          <w:b/>
          <w:i/>
          <w:sz w:val="22"/>
          <w:szCs w:val="22"/>
        </w:rPr>
        <w:t>,</w:t>
      </w:r>
      <w:r w:rsidRPr="004C3DA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BFE538B"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6D7B498"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sz w:val="22"/>
          <w:szCs w:val="22"/>
        </w:rPr>
        <w:lastRenderedPageBreak/>
        <w:t>“</w:t>
      </w:r>
      <w:r w:rsidRPr="004C3DA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C3DA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37EE6F"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 xml:space="preserve">En </w:t>
      </w:r>
      <w:proofErr w:type="gramStart"/>
      <w:r w:rsidRPr="004C3DAB">
        <w:rPr>
          <w:rFonts w:ascii="Palatino Linotype" w:eastAsia="Palatino Linotype" w:hAnsi="Palatino Linotype" w:cs="Palatino Linotype"/>
          <w:i/>
          <w:sz w:val="22"/>
          <w:szCs w:val="22"/>
        </w:rPr>
        <w:t>consecuencia</w:t>
      </w:r>
      <w:proofErr w:type="gramEnd"/>
      <w:r w:rsidRPr="004C3DA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8C2C92E"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C3DAB">
        <w:rPr>
          <w:rFonts w:ascii="Palatino Linotype" w:eastAsia="Palatino Linotype" w:hAnsi="Palatino Linotype" w:cs="Palatino Linotype"/>
          <w:i/>
          <w:sz w:val="22"/>
          <w:szCs w:val="22"/>
        </w:rPr>
        <w:t>que</w:t>
      </w:r>
      <w:proofErr w:type="gramEnd"/>
      <w:r w:rsidRPr="004C3DAB">
        <w:rPr>
          <w:rFonts w:ascii="Palatino Linotype" w:eastAsia="Palatino Linotype" w:hAnsi="Palatino Linotype" w:cs="Palatino Linotype"/>
          <w:i/>
          <w:sz w:val="22"/>
          <w:szCs w:val="22"/>
        </w:rPr>
        <w:t xml:space="preserve"> en ejercicio de las atribuciones conferidas, sea generada por los Sujetos Obligados;</w:t>
      </w:r>
    </w:p>
    <w:p w14:paraId="53ACADAC"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4C3DAB">
        <w:rPr>
          <w:rFonts w:ascii="Palatino Linotype" w:eastAsia="Palatino Linotype" w:hAnsi="Palatino Linotype" w:cs="Palatino Linotype"/>
          <w:i/>
          <w:sz w:val="22"/>
          <w:szCs w:val="22"/>
        </w:rPr>
        <w:t>que</w:t>
      </w:r>
      <w:proofErr w:type="gramEnd"/>
      <w:r w:rsidRPr="004C3DAB">
        <w:rPr>
          <w:rFonts w:ascii="Palatino Linotype" w:eastAsia="Palatino Linotype" w:hAnsi="Palatino Linotype" w:cs="Palatino Linotype"/>
          <w:i/>
          <w:sz w:val="22"/>
          <w:szCs w:val="22"/>
        </w:rPr>
        <w:t xml:space="preserve"> en ejercicio de las atribuciones conferidas, sea administrada por los Sujetos Obligados, y</w:t>
      </w:r>
    </w:p>
    <w:p w14:paraId="228F6FA9"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 xml:space="preserve">3) Que se trate de información registrada en cualquier soporte documental, </w:t>
      </w:r>
      <w:proofErr w:type="gramStart"/>
      <w:r w:rsidRPr="004C3DAB">
        <w:rPr>
          <w:rFonts w:ascii="Palatino Linotype" w:eastAsia="Palatino Linotype" w:hAnsi="Palatino Linotype" w:cs="Palatino Linotype"/>
          <w:i/>
          <w:sz w:val="22"/>
          <w:szCs w:val="22"/>
        </w:rPr>
        <w:t>que</w:t>
      </w:r>
      <w:proofErr w:type="gramEnd"/>
      <w:r w:rsidRPr="004C3DAB">
        <w:rPr>
          <w:rFonts w:ascii="Palatino Linotype" w:eastAsia="Palatino Linotype" w:hAnsi="Palatino Linotype" w:cs="Palatino Linotype"/>
          <w:i/>
          <w:sz w:val="22"/>
          <w:szCs w:val="22"/>
        </w:rPr>
        <w:t xml:space="preserve"> en ejercicio de las atribuciones conferidas, se encuentre en posesión de los Sujetos Obligados.” </w:t>
      </w:r>
    </w:p>
    <w:p w14:paraId="73BB6781" w14:textId="77777777" w:rsidR="00AD3E4B" w:rsidRPr="004C3DAB" w:rsidRDefault="000E1E1C">
      <w:pPr>
        <w:spacing w:before="240" w:after="240" w:line="360" w:lineRule="auto"/>
        <w:ind w:right="51"/>
        <w:jc w:val="both"/>
        <w:rPr>
          <w:rFonts w:ascii="Palatino Linotype" w:eastAsia="Palatino Linotype" w:hAnsi="Palatino Linotype" w:cs="Palatino Linotype"/>
        </w:rPr>
      </w:pPr>
      <w:r w:rsidRPr="004C3DAB">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7EBA25"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w:t>
      </w:r>
      <w:r w:rsidRPr="004C3DAB">
        <w:rPr>
          <w:rFonts w:ascii="Palatino Linotype" w:eastAsia="Palatino Linotype" w:hAnsi="Palatino Linotype" w:cs="Palatino Linotype"/>
        </w:rPr>
        <w:lastRenderedPageBreak/>
        <w:t>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3B80810" w14:textId="77777777" w:rsidR="00AD3E4B" w:rsidRPr="004C3DAB" w:rsidRDefault="000E1E1C">
      <w:pPr>
        <w:spacing w:before="240" w:after="240" w:line="360" w:lineRule="auto"/>
        <w:ind w:right="51"/>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requirió al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le proporcione, información consistente en lo siguiente:</w:t>
      </w:r>
    </w:p>
    <w:p w14:paraId="561A39EF" w14:textId="77777777" w:rsidR="00AD3E4B" w:rsidRPr="004C3DAB" w:rsidRDefault="000E1E1C">
      <w:pPr>
        <w:spacing w:before="240" w:after="240" w:line="360" w:lineRule="auto"/>
        <w:ind w:right="51"/>
        <w:jc w:val="both"/>
        <w:rPr>
          <w:rFonts w:ascii="Palatino Linotype" w:eastAsia="Palatino Linotype" w:hAnsi="Palatino Linotype" w:cs="Palatino Linotype"/>
        </w:rPr>
      </w:pPr>
      <w:r w:rsidRPr="004C3DAB">
        <w:rPr>
          <w:rFonts w:ascii="Palatino Linotype" w:eastAsia="Palatino Linotype" w:hAnsi="Palatino Linotype" w:cs="Palatino Linotype"/>
        </w:rPr>
        <w:t>Durante la administración pública municipal 2022 -2024:</w:t>
      </w:r>
    </w:p>
    <w:p w14:paraId="472D63C9" w14:textId="77777777" w:rsidR="00AD3E4B" w:rsidRPr="004C3DAB" w:rsidRDefault="000E1E1C">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rPr>
      </w:pPr>
      <w:r w:rsidRPr="004C3DAB">
        <w:rPr>
          <w:rFonts w:ascii="Palatino Linotype" w:eastAsia="Palatino Linotype" w:hAnsi="Palatino Linotype" w:cs="Palatino Linotype"/>
        </w:rPr>
        <w:t>1. Número de licencias de uso de suelo que se expidieron mensualmente.</w:t>
      </w:r>
    </w:p>
    <w:p w14:paraId="3359E751" w14:textId="77777777" w:rsidR="00AD3E4B" w:rsidRPr="004C3DAB" w:rsidRDefault="000E1E1C">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rPr>
      </w:pPr>
      <w:r w:rsidRPr="004C3DAB">
        <w:rPr>
          <w:rFonts w:ascii="Palatino Linotype" w:eastAsia="Palatino Linotype" w:hAnsi="Palatino Linotype" w:cs="Palatino Linotype"/>
        </w:rPr>
        <w:t>2.  Monto de la recaudación mensual por dicho concepto.</w:t>
      </w:r>
    </w:p>
    <w:p w14:paraId="1B0BEB57"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respuesta,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por conducto del </w:t>
      </w:r>
      <w:proofErr w:type="gramStart"/>
      <w:r w:rsidRPr="004C3DAB">
        <w:rPr>
          <w:rFonts w:ascii="Palatino Linotype" w:eastAsia="Palatino Linotype" w:hAnsi="Palatino Linotype" w:cs="Palatino Linotype"/>
        </w:rPr>
        <w:t>Director</w:t>
      </w:r>
      <w:proofErr w:type="gramEnd"/>
      <w:r w:rsidRPr="004C3DAB">
        <w:rPr>
          <w:rFonts w:ascii="Palatino Linotype" w:eastAsia="Palatino Linotype" w:hAnsi="Palatino Linotype" w:cs="Palatino Linotype"/>
        </w:rPr>
        <w:t xml:space="preserve"> de Desarrollo Urbano y Ecología, propuso </w:t>
      </w:r>
      <w:r w:rsidR="00B67AFD" w:rsidRPr="004C3DAB">
        <w:rPr>
          <w:rFonts w:ascii="Palatino Linotype" w:eastAsia="Palatino Linotype" w:hAnsi="Palatino Linotype" w:cs="Palatino Linotype"/>
        </w:rPr>
        <w:t>el cambio en la modalidad de entrega de la información a consulta directa</w:t>
      </w:r>
      <w:r w:rsidRPr="004C3DAB">
        <w:rPr>
          <w:rFonts w:ascii="Palatino Linotype" w:eastAsia="Palatino Linotype" w:hAnsi="Palatino Linotype" w:cs="Palatino Linotype"/>
        </w:rPr>
        <w:t>, bajo el argumento de que por cuestiones de la entrega recepción próxima derivado de la culminación del periodo 2022 -2024, su tiempo y atención está enfocada en ello, y al no contar con personal auxiliar que le apoye le es imposible desglosar el trámite de su interés de manera mensual. Dicha propuesta</w:t>
      </w:r>
      <w:r w:rsidR="00BE1857" w:rsidRPr="004C3DAB">
        <w:rPr>
          <w:rFonts w:ascii="Palatino Linotype" w:eastAsia="Palatino Linotype" w:hAnsi="Palatino Linotype" w:cs="Palatino Linotype"/>
        </w:rPr>
        <w:t xml:space="preserve"> fue aprobada por el Comité de T</w:t>
      </w:r>
      <w:r w:rsidRPr="004C3DAB">
        <w:rPr>
          <w:rFonts w:ascii="Palatino Linotype" w:eastAsia="Palatino Linotype" w:hAnsi="Palatino Linotype" w:cs="Palatino Linotype"/>
        </w:rPr>
        <w:t xml:space="preserve">ransparencia mediante el acuerdo </w:t>
      </w:r>
      <w:r w:rsidRPr="004C3DAB">
        <w:rPr>
          <w:rFonts w:ascii="Palatino Linotype" w:eastAsia="Palatino Linotype" w:hAnsi="Palatino Linotype" w:cs="Palatino Linotype"/>
        </w:rPr>
        <w:lastRenderedPageBreak/>
        <w:t>ACT/TEMA/UTAIP/ORDINARIA/84/2024/TERCERO, de la Octogésima Cuarta Sesión Ordinaria, cuya acta se anexó a la respuesta.</w:t>
      </w:r>
    </w:p>
    <w:p w14:paraId="33502513" w14:textId="77777777" w:rsidR="00AD3E4B" w:rsidRPr="004C3DAB" w:rsidRDefault="000E1E1C">
      <w:pPr>
        <w:spacing w:before="240" w:after="240" w:line="360" w:lineRule="auto"/>
        <w:ind w:right="49"/>
        <w:jc w:val="both"/>
        <w:rPr>
          <w:rFonts w:ascii="Palatino Linotype" w:eastAsia="Palatino Linotype" w:hAnsi="Palatino Linotype" w:cs="Palatino Linotype"/>
          <w:b/>
        </w:rPr>
      </w:pPr>
      <w:r w:rsidRPr="004C3DAB">
        <w:rPr>
          <w:rFonts w:ascii="Palatino Linotype" w:eastAsia="Palatino Linotype" w:hAnsi="Palatino Linotype" w:cs="Palatino Linotype"/>
        </w:rPr>
        <w:t>Asimismo, el</w:t>
      </w:r>
      <w:r w:rsidRPr="004C3DAB">
        <w:rPr>
          <w:rFonts w:ascii="Palatino Linotype" w:eastAsia="Palatino Linotype" w:hAnsi="Palatino Linotype" w:cs="Palatino Linotype"/>
          <w:b/>
        </w:rPr>
        <w:t xml:space="preserve"> </w:t>
      </w:r>
      <w:proofErr w:type="gramStart"/>
      <w:r w:rsidRPr="004C3DAB">
        <w:rPr>
          <w:rFonts w:ascii="Palatino Linotype" w:eastAsia="Palatino Linotype" w:hAnsi="Palatino Linotype" w:cs="Palatino Linotype"/>
        </w:rPr>
        <w:t>Director</w:t>
      </w:r>
      <w:proofErr w:type="gramEnd"/>
      <w:r w:rsidRPr="004C3DAB">
        <w:rPr>
          <w:rFonts w:ascii="Palatino Linotype" w:eastAsia="Palatino Linotype" w:hAnsi="Palatino Linotype" w:cs="Palatino Linotype"/>
        </w:rPr>
        <w:t xml:space="preserve"> de Desarrollo Urbano y Ecología </w:t>
      </w:r>
      <w:r w:rsidRPr="004C3DAB">
        <w:rPr>
          <w:rFonts w:ascii="Palatino Linotype" w:eastAsia="Palatino Linotype" w:hAnsi="Palatino Linotype" w:cs="Palatino Linotype"/>
          <w:b/>
        </w:rPr>
        <w:t>manifestó que el dato de recaudación monetaria le compete al área de Tesorería.</w:t>
      </w:r>
    </w:p>
    <w:p w14:paraId="24AB13C9"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Al no estar conforme con los términos de la respuesta emitida, la parte </w:t>
      </w:r>
      <w:r w:rsidRPr="004C3DAB">
        <w:rPr>
          <w:rFonts w:ascii="Palatino Linotype" w:eastAsia="Palatino Linotype" w:hAnsi="Palatino Linotype" w:cs="Palatino Linotype"/>
          <w:b/>
        </w:rPr>
        <w:t xml:space="preserve">Recurrente </w:t>
      </w:r>
      <w:r w:rsidRPr="004C3DAB">
        <w:rPr>
          <w:rFonts w:ascii="Palatino Linotype" w:eastAsia="Palatino Linotype" w:hAnsi="Palatino Linotype" w:cs="Palatino Linotype"/>
        </w:rPr>
        <w:t xml:space="preserve">interpuso el recurso de revisión que ahora se resuelve, donde señaló como motivo de inconformidad, en lo medular el cambio de modalidad en la entrega de la información, argumentando </w:t>
      </w:r>
      <w:proofErr w:type="gramStart"/>
      <w:r w:rsidRPr="004C3DAB">
        <w:rPr>
          <w:rFonts w:ascii="Palatino Linotype" w:eastAsia="Palatino Linotype" w:hAnsi="Palatino Linotype" w:cs="Palatino Linotype"/>
        </w:rPr>
        <w:t>que</w:t>
      </w:r>
      <w:proofErr w:type="gramEnd"/>
      <w:r w:rsidRPr="004C3DAB">
        <w:rPr>
          <w:rFonts w:ascii="Palatino Linotype" w:eastAsia="Palatino Linotype" w:hAnsi="Palatino Linotype" w:cs="Palatino Linotype"/>
        </w:rPr>
        <w:t xml:space="preserve"> al haberse establecido una fecha y horario igual en diversas solicitudes en lugares distintos, es una situación imposible solventar, razón por la cual en el acto solicitó que la información le fuese entregada a través del SAIMEX.</w:t>
      </w:r>
    </w:p>
    <w:p w14:paraId="5222BD3E"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Cabe señalar que a través del recurso de revisión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realizó diversos planteamientos subjetivos, tales como “…</w:t>
      </w:r>
      <w:r w:rsidRPr="004C3DAB">
        <w:rPr>
          <w:rFonts w:ascii="Palatino Linotype" w:eastAsia="Palatino Linotype" w:hAnsi="Palatino Linotype" w:cs="Palatino Linotype"/>
          <w:i/>
        </w:rPr>
        <w:t>EN UN ACTO DE TOTAL OPACIDAD E IRREGULARIDAD, MENOSCABANDO LO ESTIPULADO EN LOS ARTICULOS…</w:t>
      </w:r>
      <w:r w:rsidRPr="004C3DAB">
        <w:rPr>
          <w:rFonts w:ascii="Palatino Linotype" w:eastAsia="Palatino Linotype" w:hAnsi="Palatino Linotype" w:cs="Palatino Linotype"/>
        </w:rPr>
        <w:t>”, “…</w:t>
      </w:r>
      <w:r w:rsidRPr="004C3DAB">
        <w:rPr>
          <w:rFonts w:ascii="Palatino Linotype" w:eastAsia="Palatino Linotype" w:hAnsi="Palatino Linotype" w:cs="Palatino Linotype"/>
          <w:i/>
        </w:rPr>
        <w:t>DEMOSTRANDO DE MANERA RECURRENTE QUE EL SUJETO OBLIGADO ENTORPESE EL DERECHO AL ACCESO DE LA INFORMACION SOLICITADA</w:t>
      </w:r>
      <w:r w:rsidRPr="004C3DAB">
        <w:rPr>
          <w:rFonts w:ascii="Palatino Linotype" w:eastAsia="Palatino Linotype" w:hAnsi="Palatino Linotype" w:cs="Palatino Linotype"/>
        </w:rPr>
        <w:t xml:space="preserve">…”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w:t>
      </w:r>
      <w:r w:rsidRPr="004C3DAB">
        <w:rPr>
          <w:rFonts w:ascii="Palatino Linotype" w:eastAsia="Palatino Linotype" w:hAnsi="Palatino Linotype" w:cs="Palatino Linotype"/>
        </w:rPr>
        <w:lastRenderedPageBreak/>
        <w:t>de expresión, cuya finalidad consiste en contextualizar los sus motivos de inconformidad. En este sentido, se trata de manifestaciones sobre las cuales este Instituto no está facultado para pronunciarse.</w:t>
      </w:r>
    </w:p>
    <w:p w14:paraId="19C2C858"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rPr>
        <w:t>Asimismo, refirió que “…</w:t>
      </w:r>
      <w:r w:rsidRPr="004C3DAB">
        <w:rPr>
          <w:rFonts w:ascii="Palatino Linotype" w:eastAsia="Palatino Linotype" w:hAnsi="Palatino Linotype" w:cs="Palatino Linotype"/>
          <w:i/>
        </w:rPr>
        <w:t>EL SUJETO OBLIGADO MANIFIESTA LA INEXISTENCIA DE LA INFORMACION, SIN ADJUNTAR EL ACTA DEL COMITE DE TRANSPARENCIA QUE HAYA VERIFICADO Y AUTORIZADO ESTE SUPUESTO</w:t>
      </w:r>
      <w:r w:rsidRPr="004C3DAB">
        <w:rPr>
          <w:rFonts w:ascii="Palatino Linotype" w:eastAsia="Palatino Linotype" w:hAnsi="Palatino Linotype" w:cs="Palatino Linotype"/>
        </w:rPr>
        <w:t>…” (sic) sin embargo, derivado del análisis de las constancias que integran el expediente electrónico no se advierte que el Sujeto Obligado hubiese declarado la inexistencia de la información materia del asunto que nos ocupa, por lo que dichos alegatos son inoperantes al no guardar relación con el contenido de la respuesta otorgada.</w:t>
      </w:r>
    </w:p>
    <w:p w14:paraId="608CA31F"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Una vez puntualizado lo anterior, no pasa inadvertido para este Organismo Garante que los motivos de inconformidad alegados, no versan sobre la totalidad de la información proporcionada por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ya que la parte </w:t>
      </w:r>
      <w:r w:rsidRPr="004C3DAB">
        <w:rPr>
          <w:rFonts w:ascii="Palatino Linotype" w:eastAsia="Palatino Linotype" w:hAnsi="Palatino Linotype" w:cs="Palatino Linotype"/>
          <w:b/>
        </w:rPr>
        <w:t xml:space="preserve">Recurrente </w:t>
      </w:r>
      <w:r w:rsidRPr="004C3DAB">
        <w:rPr>
          <w:rFonts w:ascii="Palatino Linotype" w:eastAsia="Palatino Linotype" w:hAnsi="Palatino Linotype" w:cs="Palatino Linotype"/>
        </w:rPr>
        <w:t xml:space="preserve">alegó específicamente el cambio de modalidad en la entrega, la cual fue propuesta por el Director de Desarrollo Urbano y Ecología respecto de la información que es de su competencia, esto es, el número de licencias de uso de suelo que se expidieron mensualmente durante el periodo solicitado, en virtud de que </w:t>
      </w:r>
      <w:r w:rsidRPr="004C3DAB">
        <w:rPr>
          <w:rFonts w:ascii="Palatino Linotype" w:eastAsia="Palatino Linotype" w:hAnsi="Palatino Linotype" w:cs="Palatino Linotype"/>
          <w:b/>
          <w:u w:val="single"/>
        </w:rPr>
        <w:t>hizo de conocimiento que el monto de la recaudación mensual corresponde a la Tesorería Municipal, la cual</w:t>
      </w:r>
      <w:r w:rsidR="00BE1857" w:rsidRPr="004C3DAB">
        <w:rPr>
          <w:rFonts w:ascii="Palatino Linotype" w:eastAsia="Palatino Linotype" w:hAnsi="Palatino Linotype" w:cs="Palatino Linotype"/>
          <w:b/>
        </w:rPr>
        <w:t xml:space="preserve"> </w:t>
      </w:r>
      <w:r w:rsidR="00BE1857" w:rsidRPr="004C3DAB">
        <w:rPr>
          <w:rFonts w:ascii="Palatino Linotype" w:eastAsia="Palatino Linotype" w:hAnsi="Palatino Linotype" w:cs="Palatino Linotype"/>
        </w:rPr>
        <w:t xml:space="preserve">como desprende del Acta de la Octogésima Cuarta Sesión Ordinaria del Comité de Transparencia, </w:t>
      </w:r>
      <w:r w:rsidRPr="004C3DAB">
        <w:rPr>
          <w:rFonts w:ascii="Palatino Linotype" w:eastAsia="Palatino Linotype" w:hAnsi="Palatino Linotype" w:cs="Palatino Linotype"/>
          <w:b/>
          <w:u w:val="single"/>
        </w:rPr>
        <w:t>NO solicitó el cambio de modalidad en la entrega</w:t>
      </w:r>
      <w:r w:rsidRPr="004C3DAB">
        <w:rPr>
          <w:rFonts w:ascii="Palatino Linotype" w:eastAsia="Palatino Linotype" w:hAnsi="Palatino Linotype" w:cs="Palatino Linotype"/>
          <w:b/>
        </w:rPr>
        <w:t xml:space="preserve"> </w:t>
      </w:r>
      <w:r w:rsidRPr="004C3DAB">
        <w:rPr>
          <w:rFonts w:ascii="Palatino Linotype" w:eastAsia="Palatino Linotype" w:hAnsi="Palatino Linotype" w:cs="Palatino Linotype"/>
        </w:rPr>
        <w:t xml:space="preserve">por lo que se refiere a la solicitud </w:t>
      </w:r>
      <w:r w:rsidRPr="004C3DAB">
        <w:rPr>
          <w:rFonts w:ascii="Palatino Linotype" w:eastAsia="Palatino Linotype" w:hAnsi="Palatino Linotype" w:cs="Palatino Linotype"/>
          <w:b/>
          <w:u w:val="single"/>
        </w:rPr>
        <w:t>00463/TEMAMATL/IP/2024</w:t>
      </w:r>
      <w:r w:rsidR="00BE1857" w:rsidRPr="004C3DAB">
        <w:rPr>
          <w:rFonts w:ascii="Palatino Linotype" w:eastAsia="Palatino Linotype" w:hAnsi="Palatino Linotype" w:cs="Palatino Linotype"/>
        </w:rPr>
        <w:t xml:space="preserve">, </w:t>
      </w:r>
      <w:r w:rsidRPr="004C3DAB">
        <w:rPr>
          <w:rFonts w:ascii="Palatino Linotype" w:eastAsia="Palatino Linotype" w:hAnsi="Palatino Linotype" w:cs="Palatino Linotype"/>
        </w:rPr>
        <w:t>como se ilustra a continuación para un mejor entendimiento:</w:t>
      </w:r>
    </w:p>
    <w:p w14:paraId="0E5ABD39" w14:textId="77777777" w:rsidR="00AD3E4B" w:rsidRPr="004C3DAB" w:rsidRDefault="000E1E1C">
      <w:pPr>
        <w:spacing w:before="240" w:after="240" w:line="360" w:lineRule="auto"/>
        <w:jc w:val="center"/>
        <w:rPr>
          <w:rFonts w:ascii="Palatino Linotype" w:eastAsia="Palatino Linotype" w:hAnsi="Palatino Linotype" w:cs="Palatino Linotype"/>
        </w:rPr>
      </w:pPr>
      <w:r w:rsidRPr="004C3DAB">
        <w:rPr>
          <w:rFonts w:ascii="Palatino Linotype" w:eastAsia="Palatino Linotype" w:hAnsi="Palatino Linotype" w:cs="Palatino Linotype"/>
          <w:noProof/>
        </w:rPr>
        <w:lastRenderedPageBreak/>
        <w:drawing>
          <wp:inline distT="0" distB="0" distL="0" distR="0" wp14:anchorId="400053F1" wp14:editId="67A111BA">
            <wp:extent cx="4860000" cy="1921344"/>
            <wp:effectExtent l="0" t="0" r="0" b="0"/>
            <wp:docPr id="19520825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860000" cy="1921344"/>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2931E9DC" wp14:editId="7AE555DD">
            <wp:extent cx="4860000" cy="669776"/>
            <wp:effectExtent l="0" t="0" r="0" b="0"/>
            <wp:docPr id="19520825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860000" cy="669776"/>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4B1C0149" wp14:editId="0C6A2D0E">
            <wp:extent cx="4860000" cy="1324705"/>
            <wp:effectExtent l="0" t="0" r="0" b="0"/>
            <wp:docPr id="19520825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860000" cy="1324705"/>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604F3C43" wp14:editId="5AC7CFCC">
            <wp:extent cx="4860000" cy="3204257"/>
            <wp:effectExtent l="0" t="0" r="0" b="0"/>
            <wp:docPr id="19520825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860000" cy="3204257"/>
                    </a:xfrm>
                    <a:prstGeom prst="rect">
                      <a:avLst/>
                    </a:prstGeom>
                    <a:ln/>
                  </pic:spPr>
                </pic:pic>
              </a:graphicData>
            </a:graphic>
          </wp:inline>
        </w:drawing>
      </w:r>
    </w:p>
    <w:p w14:paraId="4A19E8D5" w14:textId="77777777" w:rsidR="00AD3E4B" w:rsidRPr="004C3DAB" w:rsidRDefault="000E1E1C">
      <w:pPr>
        <w:spacing w:before="240" w:after="240" w:line="360" w:lineRule="auto"/>
        <w:jc w:val="center"/>
        <w:rPr>
          <w:rFonts w:ascii="Palatino Linotype" w:eastAsia="Palatino Linotype" w:hAnsi="Palatino Linotype" w:cs="Palatino Linotype"/>
        </w:rPr>
      </w:pPr>
      <w:r w:rsidRPr="004C3DAB">
        <w:rPr>
          <w:rFonts w:ascii="Palatino Linotype" w:eastAsia="Palatino Linotype" w:hAnsi="Palatino Linotype" w:cs="Palatino Linotype"/>
          <w:noProof/>
        </w:rPr>
        <w:lastRenderedPageBreak/>
        <w:drawing>
          <wp:inline distT="0" distB="0" distL="0" distR="0" wp14:anchorId="3E7BAFCF" wp14:editId="2A1464DA">
            <wp:extent cx="4860000" cy="682974"/>
            <wp:effectExtent l="0" t="0" r="0" b="0"/>
            <wp:docPr id="19520825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860000" cy="682974"/>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6B6DD210" wp14:editId="6F20ABF7">
            <wp:extent cx="4860000" cy="696721"/>
            <wp:effectExtent l="0" t="0" r="0" b="0"/>
            <wp:docPr id="19520825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4860000" cy="696721"/>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5372222F" wp14:editId="5C963DDD">
            <wp:extent cx="4860000" cy="1334053"/>
            <wp:effectExtent l="0" t="0" r="0" b="0"/>
            <wp:docPr id="19520825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860000" cy="1334053"/>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0AD02A7E" wp14:editId="6EFAEA21">
            <wp:extent cx="4860000" cy="713768"/>
            <wp:effectExtent l="0" t="0" r="0" b="0"/>
            <wp:docPr id="19520825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4860000" cy="713768"/>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2AF4E355" wp14:editId="0FC20AB9">
            <wp:extent cx="4860000" cy="692872"/>
            <wp:effectExtent l="0" t="0" r="0" b="0"/>
            <wp:docPr id="19520825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4860000" cy="692872"/>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222222B1" wp14:editId="12999EB8">
            <wp:extent cx="4860000" cy="1401141"/>
            <wp:effectExtent l="0" t="0" r="0" b="0"/>
            <wp:docPr id="19520825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4860000" cy="1401141"/>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2A6AB816" wp14:editId="5B24E328">
            <wp:extent cx="4860000" cy="623585"/>
            <wp:effectExtent l="0" t="0" r="0" b="0"/>
            <wp:docPr id="19520825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860000" cy="623585"/>
                    </a:xfrm>
                    <a:prstGeom prst="rect">
                      <a:avLst/>
                    </a:prstGeom>
                    <a:ln/>
                  </pic:spPr>
                </pic:pic>
              </a:graphicData>
            </a:graphic>
          </wp:inline>
        </w:drawing>
      </w:r>
    </w:p>
    <w:p w14:paraId="5F0604E6" w14:textId="77777777" w:rsidR="00AD3E4B" w:rsidRPr="004C3DAB" w:rsidRDefault="000E1E1C">
      <w:pPr>
        <w:spacing w:before="240" w:after="240" w:line="360" w:lineRule="auto"/>
        <w:jc w:val="center"/>
        <w:rPr>
          <w:rFonts w:ascii="Palatino Linotype" w:eastAsia="Palatino Linotype" w:hAnsi="Palatino Linotype" w:cs="Palatino Linotype"/>
        </w:rPr>
      </w:pPr>
      <w:r w:rsidRPr="004C3DAB">
        <w:rPr>
          <w:rFonts w:ascii="Palatino Linotype" w:eastAsia="Palatino Linotype" w:hAnsi="Palatino Linotype" w:cs="Palatino Linotype"/>
          <w:noProof/>
        </w:rPr>
        <w:lastRenderedPageBreak/>
        <w:drawing>
          <wp:inline distT="0" distB="0" distL="0" distR="0" wp14:anchorId="312B5418" wp14:editId="6645D909">
            <wp:extent cx="4860000" cy="825947"/>
            <wp:effectExtent l="0" t="0" r="0" b="0"/>
            <wp:docPr id="19520825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4860000" cy="825947"/>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20A41094" wp14:editId="511CBD3B">
            <wp:extent cx="4860000" cy="3274094"/>
            <wp:effectExtent l="0" t="0" r="0" b="0"/>
            <wp:docPr id="19520825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4860000" cy="3274094"/>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56945481" wp14:editId="137AAB10">
            <wp:extent cx="4788000" cy="3275116"/>
            <wp:effectExtent l="0" t="0" r="0" b="0"/>
            <wp:docPr id="19520825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l="3136" b="35243"/>
                    <a:stretch>
                      <a:fillRect/>
                    </a:stretch>
                  </pic:blipFill>
                  <pic:spPr>
                    <a:xfrm>
                      <a:off x="0" y="0"/>
                      <a:ext cx="4788000" cy="3275116"/>
                    </a:xfrm>
                    <a:prstGeom prst="rect">
                      <a:avLst/>
                    </a:prstGeom>
                    <a:ln/>
                  </pic:spPr>
                </pic:pic>
              </a:graphicData>
            </a:graphic>
          </wp:inline>
        </w:drawing>
      </w:r>
    </w:p>
    <w:p w14:paraId="04F6DD60" w14:textId="77777777" w:rsidR="00AD3E4B" w:rsidRPr="004C3DAB" w:rsidRDefault="000E1E1C">
      <w:pPr>
        <w:spacing w:before="240" w:after="240" w:line="360" w:lineRule="auto"/>
        <w:jc w:val="center"/>
        <w:rPr>
          <w:rFonts w:ascii="Palatino Linotype" w:eastAsia="Palatino Linotype" w:hAnsi="Palatino Linotype" w:cs="Palatino Linotype"/>
        </w:rPr>
      </w:pPr>
      <w:r w:rsidRPr="004C3DAB">
        <w:rPr>
          <w:rFonts w:ascii="Palatino Linotype" w:eastAsia="Palatino Linotype" w:hAnsi="Palatino Linotype" w:cs="Palatino Linotype"/>
          <w:noProof/>
        </w:rPr>
        <w:lastRenderedPageBreak/>
        <w:drawing>
          <wp:inline distT="0" distB="0" distL="0" distR="0" wp14:anchorId="64014240" wp14:editId="1F578F5B">
            <wp:extent cx="4860000" cy="1876884"/>
            <wp:effectExtent l="0" t="0" r="0" b="0"/>
            <wp:docPr id="19520825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t="62256"/>
                    <a:stretch>
                      <a:fillRect/>
                    </a:stretch>
                  </pic:blipFill>
                  <pic:spPr>
                    <a:xfrm>
                      <a:off x="0" y="0"/>
                      <a:ext cx="4860000" cy="1876884"/>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7D23646E" wp14:editId="51D0D003">
            <wp:extent cx="4860000" cy="3822342"/>
            <wp:effectExtent l="0" t="0" r="0" b="0"/>
            <wp:docPr id="19520825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860000" cy="3822342"/>
                    </a:xfrm>
                    <a:prstGeom prst="rect">
                      <a:avLst/>
                    </a:prstGeom>
                    <a:ln/>
                  </pic:spPr>
                </pic:pic>
              </a:graphicData>
            </a:graphic>
          </wp:inline>
        </w:drawing>
      </w:r>
      <w:r w:rsidRPr="004C3DAB">
        <w:rPr>
          <w:rFonts w:ascii="Palatino Linotype" w:eastAsia="Palatino Linotype" w:hAnsi="Palatino Linotype" w:cs="Palatino Linotype"/>
          <w:noProof/>
        </w:rPr>
        <w:drawing>
          <wp:inline distT="0" distB="0" distL="0" distR="0" wp14:anchorId="52C8ED43" wp14:editId="01430BF2">
            <wp:extent cx="4860000" cy="869939"/>
            <wp:effectExtent l="0" t="0" r="0" b="0"/>
            <wp:docPr id="1952082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4860000" cy="869939"/>
                    </a:xfrm>
                    <a:prstGeom prst="rect">
                      <a:avLst/>
                    </a:prstGeom>
                    <a:ln/>
                  </pic:spPr>
                </pic:pic>
              </a:graphicData>
            </a:graphic>
          </wp:inline>
        </w:drawing>
      </w:r>
    </w:p>
    <w:p w14:paraId="0D975BFB" w14:textId="77777777" w:rsidR="00AD3E4B" w:rsidRPr="004C3DAB" w:rsidRDefault="000E1E1C">
      <w:pPr>
        <w:spacing w:before="240" w:after="240" w:line="360" w:lineRule="auto"/>
        <w:jc w:val="center"/>
        <w:rPr>
          <w:rFonts w:ascii="Palatino Linotype" w:eastAsia="Palatino Linotype" w:hAnsi="Palatino Linotype" w:cs="Palatino Linotype"/>
        </w:rPr>
      </w:pPr>
      <w:r w:rsidRPr="004C3DAB">
        <w:rPr>
          <w:rFonts w:ascii="Palatino Linotype" w:eastAsia="Palatino Linotype" w:hAnsi="Palatino Linotype" w:cs="Palatino Linotype"/>
          <w:noProof/>
        </w:rPr>
        <w:lastRenderedPageBreak/>
        <w:drawing>
          <wp:inline distT="0" distB="0" distL="0" distR="0" wp14:anchorId="042DE5E9" wp14:editId="6FD9C873">
            <wp:extent cx="4860000" cy="2139104"/>
            <wp:effectExtent l="0" t="0" r="0" b="0"/>
            <wp:docPr id="19520825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4860000" cy="2139104"/>
                    </a:xfrm>
                    <a:prstGeom prst="rect">
                      <a:avLst/>
                    </a:prstGeom>
                    <a:ln/>
                  </pic:spPr>
                </pic:pic>
              </a:graphicData>
            </a:graphic>
          </wp:inline>
        </w:drawing>
      </w:r>
      <w:r w:rsidRPr="004C3DAB">
        <w:rPr>
          <w:noProof/>
        </w:rPr>
        <mc:AlternateContent>
          <mc:Choice Requires="wpg">
            <w:drawing>
              <wp:anchor distT="0" distB="0" distL="114300" distR="114300" simplePos="0" relativeHeight="251658240" behindDoc="0" locked="0" layoutInCell="1" hidden="0" allowOverlap="1" wp14:anchorId="10EBE0F2" wp14:editId="44214D33">
                <wp:simplePos x="0" y="0"/>
                <wp:positionH relativeFrom="column">
                  <wp:posOffset>304800</wp:posOffset>
                </wp:positionH>
                <wp:positionV relativeFrom="paragraph">
                  <wp:posOffset>571500</wp:posOffset>
                </wp:positionV>
                <wp:extent cx="5000625" cy="942975"/>
                <wp:effectExtent l="0" t="0" r="0" b="0"/>
                <wp:wrapNone/>
                <wp:docPr id="1952082512" name="Rectángulo 1952082512"/>
                <wp:cNvGraphicFramePr/>
                <a:graphic xmlns:a="http://schemas.openxmlformats.org/drawingml/2006/main">
                  <a:graphicData uri="http://schemas.microsoft.com/office/word/2010/wordprocessingShape">
                    <wps:wsp>
                      <wps:cNvSpPr/>
                      <wps:spPr>
                        <a:xfrm>
                          <a:off x="2864738" y="3327563"/>
                          <a:ext cx="4962525" cy="904875"/>
                        </a:xfrm>
                        <a:prstGeom prst="rect">
                          <a:avLst/>
                        </a:prstGeom>
                        <a:noFill/>
                        <a:ln w="38100" cap="flat" cmpd="sng">
                          <a:solidFill>
                            <a:srgbClr val="C00000"/>
                          </a:solidFill>
                          <a:prstDash val="solid"/>
                          <a:round/>
                          <a:headEnd type="none" w="sm" len="sm"/>
                          <a:tailEnd type="none" w="sm" len="sm"/>
                        </a:ln>
                      </wps:spPr>
                      <wps:txbx>
                        <w:txbxContent>
                          <w:p w14:paraId="03A9DCC9" w14:textId="77777777" w:rsidR="00AD3E4B" w:rsidRDefault="00AD3E4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304800</wp:posOffset>
                </wp:positionH>
                <wp:positionV relativeFrom="paragraph">
                  <wp:posOffset>571500</wp:posOffset>
                </wp:positionV>
                <wp:extent cx="5000625" cy="942975"/>
                <wp:effectExtent b="0" l="0" r="0" t="0"/>
                <wp:wrapNone/>
                <wp:docPr id="1952082512"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5000625" cy="942975"/>
                        </a:xfrm>
                        <a:prstGeom prst="rect"/>
                        <a:ln/>
                      </pic:spPr>
                    </pic:pic>
                  </a:graphicData>
                </a:graphic>
              </wp:anchor>
            </w:drawing>
          </mc:Fallback>
        </mc:AlternateContent>
      </w:r>
    </w:p>
    <w:p w14:paraId="02B07731"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Por tanto, al haberse inconformado respecto del ca</w:t>
      </w:r>
      <w:r w:rsidR="00BE1857" w:rsidRPr="004C3DAB">
        <w:rPr>
          <w:rFonts w:ascii="Palatino Linotype" w:eastAsia="Palatino Linotype" w:hAnsi="Palatino Linotype" w:cs="Palatino Linotype"/>
        </w:rPr>
        <w:t xml:space="preserve">mbio de modalidad en la entrega, el cual fue </w:t>
      </w:r>
      <w:r w:rsidRPr="004C3DAB">
        <w:rPr>
          <w:rFonts w:ascii="Palatino Linotype" w:eastAsia="Palatino Linotype" w:hAnsi="Palatino Linotype" w:cs="Palatino Linotype"/>
        </w:rPr>
        <w:t>propu</w:t>
      </w:r>
      <w:r w:rsidR="00BE1857" w:rsidRPr="004C3DAB">
        <w:rPr>
          <w:rFonts w:ascii="Palatino Linotype" w:eastAsia="Palatino Linotype" w:hAnsi="Palatino Linotype" w:cs="Palatino Linotype"/>
        </w:rPr>
        <w:t xml:space="preserve">esto por </w:t>
      </w:r>
      <w:r w:rsidRPr="004C3DAB">
        <w:rPr>
          <w:rFonts w:ascii="Palatino Linotype" w:eastAsia="Palatino Linotype" w:hAnsi="Palatino Linotype" w:cs="Palatino Linotype"/>
        </w:rPr>
        <w:t>la Dirección de Desarrollo Urbano respecto de la información que le compete, la parte de la respuesta relativa al monto recaudado mensualmente por concepto de derechos para la expedición de licencias de uso de suelo debe declararse consentida al no haber sido impugnada,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46D93F75" w14:textId="77777777" w:rsidR="00AD3E4B" w:rsidRPr="004C3DAB" w:rsidRDefault="000E1E1C">
      <w:pPr>
        <w:spacing w:before="240" w:after="36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Lo anterior es así, debido a que cuando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impugna la respuesta del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ésta conforme con la información entregada al no contravenir la misma. </w:t>
      </w:r>
    </w:p>
    <w:p w14:paraId="17644F3D"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7E409892" w14:textId="77777777" w:rsidR="00AD3E4B" w:rsidRPr="004C3DAB" w:rsidRDefault="000E1E1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 xml:space="preserve">Actos consentidos tácitamente. Improcedencia de su análisis. </w:t>
      </w:r>
      <w:r w:rsidRPr="004C3DAB">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F2A08D6"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AA1AD84" w14:textId="77777777" w:rsidR="00AD3E4B" w:rsidRPr="004C3DAB" w:rsidRDefault="000E1E1C">
      <w:pPr>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mallCaps/>
          <w:sz w:val="22"/>
          <w:szCs w:val="22"/>
        </w:rPr>
        <w:t xml:space="preserve">“ACTOS CONSENTIDOS. SON LOS QUE NO SE IMPUGNAN MEDIANTE EL RECURSO IDÓNEO. </w:t>
      </w:r>
      <w:r w:rsidRPr="004C3DAB">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4C3DAB">
        <w:rPr>
          <w:rFonts w:ascii="Palatino Linotype" w:eastAsia="Palatino Linotype" w:hAnsi="Palatino Linotype" w:cs="Palatino Linotype"/>
          <w:i/>
          <w:sz w:val="22"/>
          <w:szCs w:val="22"/>
        </w:rPr>
        <w:t>ya que</w:t>
      </w:r>
      <w:proofErr w:type="gramEnd"/>
      <w:r w:rsidRPr="004C3DAB">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8A8E81"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Durante el periodo de manifestaciones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fue omiso en rendir su informe justificado, y la parte </w:t>
      </w:r>
      <w:r w:rsidRPr="004C3DAB">
        <w:rPr>
          <w:rFonts w:ascii="Palatino Linotype" w:eastAsia="Palatino Linotype" w:hAnsi="Palatino Linotype" w:cs="Palatino Linotype"/>
          <w:b/>
        </w:rPr>
        <w:t xml:space="preserve">Recurrente </w:t>
      </w:r>
      <w:r w:rsidRPr="004C3DAB">
        <w:rPr>
          <w:rFonts w:ascii="Palatino Linotype" w:eastAsia="Palatino Linotype" w:hAnsi="Palatino Linotype" w:cs="Palatino Linotype"/>
        </w:rPr>
        <w:t xml:space="preserve">fue omisa en hacer valer manifestaciones o rendir alegatos que conforme a derecho resultaran procedentes, por lo </w:t>
      </w:r>
      <w:proofErr w:type="gramStart"/>
      <w:r w:rsidRPr="004C3DAB">
        <w:rPr>
          <w:rFonts w:ascii="Palatino Linotype" w:eastAsia="Palatino Linotype" w:hAnsi="Palatino Linotype" w:cs="Palatino Linotype"/>
        </w:rPr>
        <w:t>tanto</w:t>
      </w:r>
      <w:proofErr w:type="gramEnd"/>
      <w:r w:rsidRPr="004C3DAB">
        <w:rPr>
          <w:rFonts w:ascii="Palatino Linotype" w:eastAsia="Palatino Linotype" w:hAnsi="Palatino Linotype" w:cs="Palatino Linotype"/>
        </w:rPr>
        <w:t xml:space="preserve"> se tiene por precluido su derecho.</w:t>
      </w:r>
    </w:p>
    <w:p w14:paraId="69898D67"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en contraposición con el motivo de inconformidad alegado por la parte </w:t>
      </w:r>
      <w:r w:rsidRPr="004C3DAB">
        <w:rPr>
          <w:rFonts w:ascii="Palatino Linotype" w:eastAsia="Palatino Linotype" w:hAnsi="Palatino Linotype" w:cs="Palatino Linotype"/>
          <w:b/>
        </w:rPr>
        <w:t xml:space="preserve">Recurrente, </w:t>
      </w:r>
      <w:r w:rsidRPr="004C3DAB">
        <w:rPr>
          <w:rFonts w:ascii="Palatino Linotype" w:eastAsia="Palatino Linotype" w:hAnsi="Palatino Linotype" w:cs="Palatino Linotype"/>
        </w:rPr>
        <w:t xml:space="preserve">con la finalidad de determinar si el Derecho de acceso de esta se </w:t>
      </w:r>
      <w:r w:rsidRPr="004C3DAB">
        <w:rPr>
          <w:rFonts w:ascii="Palatino Linotype" w:eastAsia="Palatino Linotype" w:hAnsi="Palatino Linotype" w:cs="Palatino Linotype"/>
        </w:rPr>
        <w:lastRenderedPageBreak/>
        <w:t>satisfizo, o, en su defecto, ordenar el soporte documental correspondiente, en caso de ser procedente.</w:t>
      </w:r>
    </w:p>
    <w:p w14:paraId="5D029E81"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En este tenor, se debe resaltar, en primer lugar, que los motivos de inconformidad de la parte</w:t>
      </w:r>
      <w:r w:rsidRPr="004C3DAB">
        <w:rPr>
          <w:rFonts w:ascii="Palatino Linotype" w:eastAsia="Palatino Linotype" w:hAnsi="Palatino Linotype" w:cs="Palatino Linotype"/>
          <w:b/>
        </w:rPr>
        <w:t xml:space="preserve"> Recurrente</w:t>
      </w:r>
      <w:r w:rsidRPr="004C3DAB">
        <w:rPr>
          <w:rFonts w:ascii="Palatino Linotype" w:eastAsia="Palatino Linotype" w:hAnsi="Palatino Linotype" w:cs="Palatino Linotype"/>
        </w:rPr>
        <w:t xml:space="preserve"> suponen que existió una omisión en el actuar del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al momento de realizar un cambio de modalidad, pues como ha quedado claro, la persona solicitante requirió que la información le fuera remitida mediante el SAIMEX, sistema que tiene como propósito facilitar en la entidad el ejercicio del derecho humano de acceso a la información pública, de forma sencilla y gratuita, como se ilustra a continuación:</w:t>
      </w:r>
    </w:p>
    <w:p w14:paraId="48879EE4" w14:textId="77777777" w:rsidR="00AD3E4B" w:rsidRPr="004C3DAB" w:rsidRDefault="000E1E1C">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4C3DAB">
        <w:rPr>
          <w:rFonts w:ascii="Palatino Linotype" w:eastAsia="Palatino Linotype" w:hAnsi="Palatino Linotype" w:cs="Palatino Linotype"/>
          <w:noProof/>
        </w:rPr>
        <w:drawing>
          <wp:inline distT="0" distB="0" distL="0" distR="0" wp14:anchorId="4C9B7A96" wp14:editId="03BABD43">
            <wp:extent cx="4680000" cy="1650022"/>
            <wp:effectExtent l="0" t="0" r="0" b="0"/>
            <wp:docPr id="19520825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4680000" cy="1650022"/>
                    </a:xfrm>
                    <a:prstGeom prst="rect">
                      <a:avLst/>
                    </a:prstGeom>
                    <a:ln/>
                  </pic:spPr>
                </pic:pic>
              </a:graphicData>
            </a:graphic>
          </wp:inline>
        </w:drawing>
      </w:r>
    </w:p>
    <w:p w14:paraId="15E77D7A"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este sentido, por lo que respecta al </w:t>
      </w:r>
      <w:r w:rsidRPr="004C3DAB">
        <w:rPr>
          <w:rFonts w:ascii="Palatino Linotype" w:eastAsia="Palatino Linotype" w:hAnsi="Palatino Linotype" w:cs="Palatino Linotype"/>
          <w:b/>
          <w:u w:val="single"/>
        </w:rPr>
        <w:t>cambio de modalidad en la entrega de información</w:t>
      </w:r>
      <w:r w:rsidRPr="004C3DAB">
        <w:rPr>
          <w:rFonts w:ascii="Palatino Linotype" w:eastAsia="Palatino Linotype" w:hAnsi="Palatino Linotype" w:cs="Palatino Linotype"/>
        </w:rPr>
        <w:t xml:space="preserve">, conviene mencionar que el artículo 155, fracción V, de la Ley de Transparencia y Acceso a la Información Pública del Estado de México y Municipios, precisa que, para presentar una solicitud, la persona solicitante podrá señalar </w:t>
      </w:r>
      <w:r w:rsidRPr="004C3DAB">
        <w:rPr>
          <w:rFonts w:ascii="Palatino Linotype" w:eastAsia="Palatino Linotype" w:hAnsi="Palatino Linotype" w:cs="Palatino Linotype"/>
          <w:b/>
        </w:rPr>
        <w:t>la modalidad en la que prefiere se otorgue el acceso a la información</w:t>
      </w:r>
      <w:r w:rsidRPr="004C3DAB">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w:t>
      </w:r>
      <w:r w:rsidRPr="004C3DAB">
        <w:rPr>
          <w:rFonts w:ascii="Palatino Linotype" w:eastAsia="Palatino Linotype" w:hAnsi="Palatino Linotype" w:cs="Palatino Linotype"/>
        </w:rPr>
        <w:lastRenderedPageBreak/>
        <w:t>Garante determinó en el formato de solicitud, que podría ser SAIMEX, CD-ROM (con costo), copias simples (con costo), copias certificadas (con costo), consulta directa (sin costo), o bien, cualquier otro que determine la persona solicitante.</w:t>
      </w:r>
    </w:p>
    <w:p w14:paraId="6CC57354" w14:textId="77777777" w:rsidR="00AD3E4B" w:rsidRPr="004C3DAB" w:rsidRDefault="000E1E1C">
      <w:pPr>
        <w:spacing w:before="240" w:after="240" w:line="360" w:lineRule="auto"/>
        <w:jc w:val="both"/>
        <w:rPr>
          <w:rFonts w:ascii="Palatino Linotype" w:eastAsia="Palatino Linotype" w:hAnsi="Palatino Linotype" w:cs="Palatino Linotype"/>
          <w:b/>
        </w:rPr>
      </w:pPr>
      <w:r w:rsidRPr="004C3DAB">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4C3DAB">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6DE65EB1"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39CB8BD6" w14:textId="77777777" w:rsidR="00AD3E4B" w:rsidRPr="004C3DAB" w:rsidRDefault="000E1E1C">
      <w:pPr>
        <w:spacing w:before="120" w:after="120"/>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“FUNDAMENTACIÓN Y MOTIVACIÓN DE LOS ACTOS ADMINISTRATIVOS</w:t>
      </w:r>
      <w:r w:rsidRPr="004C3DAB">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w:t>
      </w:r>
      <w:r w:rsidRPr="004C3DAB">
        <w:rPr>
          <w:rFonts w:ascii="Palatino Linotype" w:eastAsia="Palatino Linotype" w:hAnsi="Palatino Linotype" w:cs="Palatino Linotype"/>
          <w:i/>
          <w:sz w:val="22"/>
          <w:szCs w:val="22"/>
        </w:rPr>
        <w:lastRenderedPageBreak/>
        <w:t xml:space="preserve">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4C3DAB">
        <w:rPr>
          <w:rFonts w:ascii="Palatino Linotype" w:eastAsia="Palatino Linotype" w:hAnsi="Palatino Linotype" w:cs="Palatino Linotype"/>
          <w:i/>
          <w:sz w:val="22"/>
          <w:szCs w:val="22"/>
        </w:rPr>
        <w:t>subincisos</w:t>
      </w:r>
      <w:proofErr w:type="spellEnd"/>
      <w:r w:rsidRPr="004C3DAB">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50C05AFF"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7E6FC2B2" w14:textId="77777777" w:rsidR="00AD3E4B" w:rsidRPr="004C3DAB" w:rsidRDefault="000E1E1C">
      <w:pPr>
        <w:spacing w:before="120" w:after="120"/>
        <w:ind w:left="851" w:right="851"/>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rPr>
        <w:t>“</w:t>
      </w:r>
      <w:r w:rsidRPr="004C3DAB">
        <w:rPr>
          <w:rFonts w:ascii="Palatino Linotype" w:eastAsia="Palatino Linotype" w:hAnsi="Palatino Linotype" w:cs="Palatino Linotype"/>
          <w:b/>
          <w:i/>
          <w:sz w:val="22"/>
          <w:szCs w:val="22"/>
        </w:rPr>
        <w:t>Artículo 160.</w:t>
      </w:r>
      <w:r w:rsidRPr="004C3DAB">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08D339B" w14:textId="77777777" w:rsidR="00AD3E4B" w:rsidRPr="004C3DAB" w:rsidRDefault="000E1E1C">
      <w:pPr>
        <w:spacing w:before="120" w:after="120"/>
        <w:ind w:left="851" w:right="851"/>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Artículo 164.</w:t>
      </w:r>
      <w:r w:rsidRPr="004C3DAB">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4C3DAB">
        <w:rPr>
          <w:rFonts w:ascii="Palatino Linotype" w:eastAsia="Palatino Linotype" w:hAnsi="Palatino Linotype" w:cs="Palatino Linotype"/>
          <w:b/>
          <w:i/>
          <w:sz w:val="22"/>
          <w:szCs w:val="22"/>
          <w:u w:val="single"/>
        </w:rPr>
        <w:t xml:space="preserve">el sujeto obligado deberá ofrecer otra u otras </w:t>
      </w:r>
      <w:r w:rsidRPr="004C3DAB">
        <w:rPr>
          <w:rFonts w:ascii="Palatino Linotype" w:eastAsia="Palatino Linotype" w:hAnsi="Palatino Linotype" w:cs="Palatino Linotype"/>
          <w:b/>
          <w:i/>
          <w:sz w:val="22"/>
          <w:szCs w:val="22"/>
          <w:u w:val="single"/>
        </w:rPr>
        <w:lastRenderedPageBreak/>
        <w:t>modalidades de entrega.</w:t>
      </w:r>
      <w:r w:rsidRPr="004C3DAB">
        <w:rPr>
          <w:rFonts w:ascii="Palatino Linotype" w:eastAsia="Palatino Linotype" w:hAnsi="Palatino Linotype" w:cs="Palatino Linotype"/>
          <w:i/>
          <w:sz w:val="22"/>
          <w:szCs w:val="22"/>
        </w:rPr>
        <w:t xml:space="preserve"> En cualquier caso, se deberá fundar y motivar la necesidad de ofrecer otras modalidades.”</w:t>
      </w:r>
    </w:p>
    <w:p w14:paraId="64018E68"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2AC12877"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4F3A1A4C"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tales consideraciones, la entrega deberá hacerse, </w:t>
      </w:r>
      <w:r w:rsidRPr="004C3DAB">
        <w:rPr>
          <w:rFonts w:ascii="Palatino Linotype" w:eastAsia="Palatino Linotype" w:hAnsi="Palatino Linotype" w:cs="Palatino Linotype"/>
          <w:b/>
        </w:rPr>
        <w:t>en la medida de lo posible, en la forma solicitada por el interesado, salvo que exista un impedimento justificado para atenderla</w:t>
      </w:r>
      <w:r w:rsidRPr="004C3DAB">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4C3DAB">
        <w:rPr>
          <w:rFonts w:ascii="Palatino Linotype" w:eastAsia="Palatino Linotype" w:hAnsi="Palatino Linotype" w:cs="Palatino Linotype"/>
          <w:b/>
        </w:rPr>
        <w:t>sólo procede, en caso de que se acredite la imposibilidad de atenderla.</w:t>
      </w:r>
      <w:r w:rsidRPr="004C3DAB">
        <w:rPr>
          <w:rFonts w:ascii="Palatino Linotype" w:eastAsia="Palatino Linotype" w:hAnsi="Palatino Linotype" w:cs="Palatino Linotype"/>
        </w:rPr>
        <w:t xml:space="preserve"> </w:t>
      </w:r>
    </w:p>
    <w:p w14:paraId="030FB0E0"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Así, cuando se justifique el impedimento, </w:t>
      </w:r>
      <w:r w:rsidRPr="004C3DAB">
        <w:rPr>
          <w:rFonts w:ascii="Palatino Linotype" w:eastAsia="Palatino Linotype" w:hAnsi="Palatino Linotype" w:cs="Palatino Linotype"/>
          <w:b/>
        </w:rPr>
        <w:t>los Sujetos Obligados deberán ofrecer al particular otras modalidades de entrega que permita la información</w:t>
      </w:r>
      <w:r w:rsidRPr="004C3DAB">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incluidos los electrónicos, lo que se robustece con el criterio 08/17, emitido por el Pleno del </w:t>
      </w:r>
      <w:r w:rsidRPr="004C3DAB">
        <w:rPr>
          <w:rFonts w:ascii="Palatino Linotype" w:eastAsia="Palatino Linotype" w:hAnsi="Palatino Linotype" w:cs="Palatino Linotype"/>
        </w:rPr>
        <w:lastRenderedPageBreak/>
        <w:t>Instituto Nacional de Transparencia, Acceso a la Información y Protección de Datos Personales, el cual establece lo siguiente:</w:t>
      </w:r>
    </w:p>
    <w:p w14:paraId="0C013DFF" w14:textId="77777777" w:rsidR="00AD3E4B" w:rsidRPr="004C3DAB" w:rsidRDefault="000E1E1C">
      <w:pPr>
        <w:spacing w:before="120" w:after="120"/>
        <w:ind w:left="851" w:right="851"/>
        <w:jc w:val="both"/>
        <w:rPr>
          <w:rFonts w:ascii="Palatino Linotype" w:eastAsia="Palatino Linotype" w:hAnsi="Palatino Linotype" w:cs="Palatino Linotype"/>
          <w:b/>
          <w:i/>
          <w:sz w:val="22"/>
          <w:szCs w:val="22"/>
          <w:u w:val="single"/>
        </w:rPr>
      </w:pPr>
      <w:r w:rsidRPr="004C3DAB">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4C3DAB">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4C3DAB">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4C3DAB">
        <w:rPr>
          <w:rFonts w:ascii="Palatino Linotype" w:eastAsia="Palatino Linotype" w:hAnsi="Palatino Linotype" w:cs="Palatino Linotype"/>
          <w:b/>
          <w:i/>
          <w:sz w:val="22"/>
          <w:szCs w:val="22"/>
        </w:rPr>
        <w:t>.”</w:t>
      </w:r>
    </w:p>
    <w:p w14:paraId="26B41118" w14:textId="77777777" w:rsidR="00AD3E4B" w:rsidRPr="004C3DAB" w:rsidRDefault="000E1E1C">
      <w:pPr>
        <w:spacing w:before="240" w:after="240" w:line="360" w:lineRule="auto"/>
        <w:jc w:val="both"/>
        <w:rPr>
          <w:rFonts w:ascii="Palatino Linotype" w:eastAsia="Palatino Linotype" w:hAnsi="Palatino Linotype" w:cs="Palatino Linotype"/>
          <w:b/>
        </w:rPr>
      </w:pPr>
      <w:r w:rsidRPr="004C3DAB">
        <w:rPr>
          <w:rFonts w:ascii="Palatino Linotype" w:eastAsia="Palatino Linotype" w:hAnsi="Palatino Linotype" w:cs="Palatino Linotype"/>
        </w:rPr>
        <w:t>Del citado criterio, se desprende que cuando</w:t>
      </w:r>
      <w:r w:rsidRPr="004C3DAB">
        <w:rPr>
          <w:rFonts w:ascii="Palatino Linotype" w:eastAsia="Palatino Linotype" w:hAnsi="Palatino Linotype" w:cs="Palatino Linotype"/>
          <w:b/>
        </w:rPr>
        <w:t xml:space="preserve"> la información no pueda entregarse o enviarse en la modalidad elegida, </w:t>
      </w:r>
      <w:r w:rsidRPr="004C3DAB">
        <w:rPr>
          <w:rFonts w:ascii="Palatino Linotype" w:eastAsia="Palatino Linotype" w:hAnsi="Palatino Linotype" w:cs="Palatino Linotype"/>
        </w:rPr>
        <w:t xml:space="preserve">para que la obligación de acceso a la información se tenga por cumplida, </w:t>
      </w:r>
      <w:r w:rsidRPr="004C3DAB">
        <w:rPr>
          <w:rFonts w:ascii="Palatino Linotype" w:eastAsia="Palatino Linotype" w:hAnsi="Palatino Linotype" w:cs="Palatino Linotype"/>
          <w:b/>
        </w:rPr>
        <w:t>el Sujeto Obligado deberá ofrecer otra u otras modalidades de entrega.</w:t>
      </w:r>
      <w:r w:rsidRPr="004C3DAB">
        <w:rPr>
          <w:rFonts w:ascii="Palatino Linotype" w:eastAsia="Palatino Linotype" w:hAnsi="Palatino Linotype" w:cs="Palatino Linotype"/>
        </w:rPr>
        <w:t xml:space="preserve"> En cualquier caso, </w:t>
      </w:r>
      <w:r w:rsidRPr="004C3DAB">
        <w:rPr>
          <w:rFonts w:ascii="Palatino Linotype" w:eastAsia="Palatino Linotype" w:hAnsi="Palatino Linotype" w:cs="Palatino Linotype"/>
          <w:b/>
        </w:rPr>
        <w:t>se deberá fundar y motivar la necesidad de ofrecer otras modalidades</w:t>
      </w:r>
      <w:r w:rsidRPr="004C3DAB">
        <w:rPr>
          <w:rFonts w:ascii="Palatino Linotype" w:eastAsia="Palatino Linotype" w:hAnsi="Palatino Linotype" w:cs="Palatino Linotype"/>
        </w:rPr>
        <w:t xml:space="preserve"> que lo permitan, </w:t>
      </w:r>
      <w:r w:rsidRPr="004C3DAB">
        <w:rPr>
          <w:rFonts w:ascii="Palatino Linotype" w:eastAsia="Palatino Linotype" w:hAnsi="Palatino Linotype" w:cs="Palatino Linotype"/>
          <w:b/>
        </w:rPr>
        <w:t>procurando reducir los costos de entrega.</w:t>
      </w:r>
    </w:p>
    <w:p w14:paraId="65008BB1" w14:textId="77777777" w:rsidR="00AD3E4B" w:rsidRPr="004C3DAB" w:rsidRDefault="000E1E1C">
      <w:pPr>
        <w:spacing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60FBE8EB" w14:textId="77777777" w:rsidR="00AD3E4B" w:rsidRPr="004C3DAB" w:rsidRDefault="000E1E1C">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4C3DAB">
        <w:rPr>
          <w:rFonts w:ascii="Palatino Linotype" w:eastAsia="Palatino Linotype" w:hAnsi="Palatino Linotype" w:cs="Palatino Linotype"/>
        </w:rPr>
        <w:t>Las razones por las cuales la información implicaba un análisis, estudio o procesamiento de datos;</w:t>
      </w:r>
    </w:p>
    <w:p w14:paraId="3B2358D6" w14:textId="77777777" w:rsidR="00AD3E4B" w:rsidRPr="004C3DAB" w:rsidRDefault="000E1E1C">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4C3DAB">
        <w:rPr>
          <w:rFonts w:ascii="Palatino Linotype" w:eastAsia="Palatino Linotype" w:hAnsi="Palatino Linotype" w:cs="Palatino Linotype"/>
        </w:rPr>
        <w:t>El tiempo no es suficiente para atender la solicitud en la modalidad elegida, y</w:t>
      </w:r>
    </w:p>
    <w:p w14:paraId="5613DEEF" w14:textId="77777777" w:rsidR="00AD3E4B" w:rsidRPr="004C3DAB" w:rsidRDefault="000E1E1C">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La cantidad de recursos humanos y materiales con los que cuenta el Sujeto Obligado son insuficientes.</w:t>
      </w:r>
    </w:p>
    <w:p w14:paraId="535C64D1"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Derivado de lo anterior, se colige que en el presente asunto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no acreditó el impedimento para proporcionar la información a través del SAIMEX, siendo de suma importancia mencionar que el motivo para el cambio de modalidad no lo son las capacidades del referido sistema, ya que no se alegó que los documentos mediante los cuales se daría respuesta excedieran las capacidades técnicas del mismo, sino que el servidor público habilitado de la Dirección de Desarrollo Urbano y Ecología pretendió justificar el cambio de modalidad en la carga de trabajo derivado del proceso de entrega recepción ante conclusión próxima de la administración pública municipal del periodo 2022 - 2024, </w:t>
      </w:r>
      <w:r w:rsidR="00BE1857" w:rsidRPr="004C3DAB">
        <w:rPr>
          <w:rFonts w:ascii="Palatino Linotype" w:eastAsia="Palatino Linotype" w:hAnsi="Palatino Linotype" w:cs="Palatino Linotype"/>
        </w:rPr>
        <w:t xml:space="preserve">lo cual </w:t>
      </w:r>
      <w:r w:rsidRPr="004C3DAB">
        <w:rPr>
          <w:rFonts w:ascii="Palatino Linotype" w:eastAsia="Palatino Linotype" w:hAnsi="Palatino Linotype" w:cs="Palatino Linotype"/>
        </w:rPr>
        <w:t xml:space="preserve">implica que su tiempo y atención se enfoque en las actividades relacionadas con dicho proceso, al no contar con personal auxiliar, y por ende, se encuentra imposibilitado para </w:t>
      </w:r>
      <w:r w:rsidRPr="004C3DAB">
        <w:rPr>
          <w:rFonts w:ascii="Palatino Linotype" w:eastAsia="Palatino Linotype" w:hAnsi="Palatino Linotype" w:cs="Palatino Linotype"/>
          <w:b/>
        </w:rPr>
        <w:t xml:space="preserve">desglosar el </w:t>
      </w:r>
      <w:proofErr w:type="spellStart"/>
      <w:r w:rsidRPr="004C3DAB">
        <w:rPr>
          <w:rFonts w:ascii="Palatino Linotype" w:eastAsia="Palatino Linotype" w:hAnsi="Palatino Linotype" w:cs="Palatino Linotype"/>
          <w:b/>
        </w:rPr>
        <w:t>tramite</w:t>
      </w:r>
      <w:proofErr w:type="spellEnd"/>
      <w:r w:rsidRPr="004C3DAB">
        <w:rPr>
          <w:rFonts w:ascii="Palatino Linotype" w:eastAsia="Palatino Linotype" w:hAnsi="Palatino Linotype" w:cs="Palatino Linotype"/>
          <w:b/>
        </w:rPr>
        <w:t xml:space="preserve"> requerido de forma mensual, </w:t>
      </w:r>
      <w:r w:rsidRPr="004C3DAB">
        <w:rPr>
          <w:rFonts w:ascii="Palatino Linotype" w:eastAsia="Palatino Linotype" w:hAnsi="Palatino Linotype" w:cs="Palatino Linotype"/>
        </w:rPr>
        <w:t xml:space="preserve">sin embargo, no </w:t>
      </w:r>
      <w:r w:rsidRPr="004C3DAB">
        <w:rPr>
          <w:rFonts w:ascii="Palatino Linotype" w:eastAsia="Palatino Linotype" w:hAnsi="Palatino Linotype" w:cs="Palatino Linotype"/>
          <w:b/>
        </w:rPr>
        <w:t>refirió de manera clara</w:t>
      </w:r>
      <w:r w:rsidRPr="004C3DAB">
        <w:rPr>
          <w:rFonts w:ascii="Palatino Linotype" w:eastAsia="Palatino Linotype" w:hAnsi="Palatino Linotype" w:cs="Palatino Linotype"/>
        </w:rPr>
        <w:t xml:space="preserve">, </w:t>
      </w:r>
      <w:r w:rsidRPr="004C3DAB">
        <w:rPr>
          <w:rFonts w:ascii="Palatino Linotype" w:eastAsia="Palatino Linotype" w:hAnsi="Palatino Linotype" w:cs="Palatino Linotype"/>
          <w:b/>
        </w:rPr>
        <w:t>las razones y fundamentos suficientes que impiden la entrega de la información a través de la modalidad elegida,</w:t>
      </w:r>
      <w:r w:rsidRPr="004C3DAB">
        <w:rPr>
          <w:rFonts w:ascii="Palatino Linotype" w:eastAsia="Palatino Linotype" w:hAnsi="Palatino Linotype" w:cs="Palatino Linotype"/>
        </w:rPr>
        <w:t xml:space="preserve"> como lo es de manera enunciativa más no limitativa, que lo peticionado implica un análisis, procesamiento o estudio de documentos cuy</w:t>
      </w:r>
      <w:r w:rsidR="00D35CE0" w:rsidRPr="004C3DAB">
        <w:rPr>
          <w:rFonts w:ascii="Palatino Linotype" w:eastAsia="Palatino Linotype" w:hAnsi="Palatino Linotype" w:cs="Palatino Linotype"/>
        </w:rPr>
        <w:t xml:space="preserve">a reproducción sobrepasará sus </w:t>
      </w:r>
      <w:r w:rsidRPr="004C3DAB">
        <w:rPr>
          <w:rFonts w:ascii="Palatino Linotype" w:eastAsia="Palatino Linotype" w:hAnsi="Palatino Linotype" w:cs="Palatino Linotype"/>
        </w:rPr>
        <w:t>capacidades técnicas, administrativas y humanas</w:t>
      </w:r>
      <w:r w:rsidRPr="004C3DAB">
        <w:rPr>
          <w:rFonts w:ascii="Palatino Linotype" w:eastAsia="Palatino Linotype" w:hAnsi="Palatino Linotype" w:cs="Palatino Linotype"/>
          <w:b/>
        </w:rPr>
        <w:t>; </w:t>
      </w:r>
      <w:r w:rsidRPr="004C3DAB">
        <w:rPr>
          <w:rFonts w:ascii="Palatino Linotype" w:eastAsia="Palatino Linotype" w:hAnsi="Palatino Linotype" w:cs="Palatino Linotype"/>
        </w:rPr>
        <w:t>precisando, por ejemplo, el número de personas que se encuentran en el área competente, el formato en que se encuentra la información -</w:t>
      </w:r>
      <w:r w:rsidRPr="004C3DAB">
        <w:rPr>
          <w:rFonts w:ascii="Palatino Linotype" w:eastAsia="Palatino Linotype" w:hAnsi="Palatino Linotype" w:cs="Palatino Linotype"/>
          <w:sz w:val="22"/>
          <w:szCs w:val="22"/>
        </w:rPr>
        <w:t>digital o físico</w:t>
      </w:r>
      <w:r w:rsidRPr="004C3DAB">
        <w:rPr>
          <w:rFonts w:ascii="Palatino Linotype" w:eastAsia="Palatino Linotype" w:hAnsi="Palatino Linotype" w:cs="Palatino Linotype"/>
        </w:rPr>
        <w:t>-</w:t>
      </w:r>
      <w:r w:rsidRPr="004C3DAB">
        <w:rPr>
          <w:rFonts w:ascii="Palatino Linotype" w:eastAsia="Palatino Linotype" w:hAnsi="Palatino Linotype" w:cs="Palatino Linotype"/>
          <w:b/>
        </w:rPr>
        <w:t>;</w:t>
      </w:r>
      <w:r w:rsidRPr="004C3DAB">
        <w:rPr>
          <w:rFonts w:ascii="Palatino Linotype" w:eastAsia="Palatino Linotype" w:hAnsi="Palatino Linotype" w:cs="Palatino Linotype"/>
        </w:rPr>
        <w:t xml:space="preserve"> si lo peticionado se encuentra en uno o varios expedientes; el cúmulo de información con la cual se daría respuesta a la solicitud -</w:t>
      </w:r>
      <w:r w:rsidRPr="004C3DAB">
        <w:rPr>
          <w:rFonts w:ascii="Palatino Linotype" w:eastAsia="Palatino Linotype" w:hAnsi="Palatino Linotype" w:cs="Palatino Linotype"/>
          <w:sz w:val="22"/>
          <w:szCs w:val="22"/>
        </w:rPr>
        <w:t>el número de documentos generados, precisando el número de hojas o cuando menos un aproximado, así como el peso o tamaño de los mismos</w:t>
      </w:r>
      <w:r w:rsidRPr="004C3DAB">
        <w:rPr>
          <w:rFonts w:ascii="Palatino Linotype" w:eastAsia="Palatino Linotype" w:hAnsi="Palatino Linotype" w:cs="Palatino Linotype"/>
        </w:rPr>
        <w:t xml:space="preserve">-, la cantidad de recursos humanos y materiales con los que </w:t>
      </w:r>
      <w:r w:rsidRPr="004C3DAB">
        <w:rPr>
          <w:rFonts w:ascii="Palatino Linotype" w:eastAsia="Palatino Linotype" w:hAnsi="Palatino Linotype" w:cs="Palatino Linotype"/>
        </w:rPr>
        <w:lastRenderedPageBreak/>
        <w:t>cuenta, el tiempo insuficiente para para atender la solicitud</w:t>
      </w:r>
      <w:r w:rsidR="0053781A" w:rsidRPr="004C3DAB">
        <w:rPr>
          <w:rFonts w:ascii="Palatino Linotype" w:eastAsia="Palatino Linotype" w:hAnsi="Palatino Linotype" w:cs="Palatino Linotype"/>
        </w:rPr>
        <w:t xml:space="preserve"> en los términos que precisa la Ley</w:t>
      </w:r>
      <w:r w:rsidRPr="004C3DAB">
        <w:rPr>
          <w:rFonts w:ascii="Palatino Linotype" w:eastAsia="Palatino Linotype" w:hAnsi="Palatino Linotype" w:cs="Palatino Linotype"/>
        </w:rPr>
        <w:t xml:space="preserve">, etcétera. </w:t>
      </w:r>
    </w:p>
    <w:p w14:paraId="1A9498A5"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En tal contexto,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14:paraId="51B0A8F0"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este orden de ideas, se reitera que el Derecho de acceso a la información pública se satisface en aquellos casos en que se entregue el soporte documental en el que conste la información solicitada, sin necesidad de elaborar documentos </w:t>
      </w:r>
      <w:r w:rsidRPr="004C3DAB">
        <w:rPr>
          <w:rFonts w:ascii="Palatino Linotype" w:eastAsia="Palatino Linotype" w:hAnsi="Palatino Linotype" w:cs="Palatino Linotype"/>
          <w:i/>
        </w:rPr>
        <w:t>ad hoc</w:t>
      </w:r>
      <w:r w:rsidRPr="004C3DAB">
        <w:rPr>
          <w:rFonts w:ascii="Palatino Linotype" w:eastAsia="Palatino Linotype" w:hAnsi="Palatino Linotype" w:cs="Palatino Linotype"/>
        </w:rPr>
        <w:t xml:space="preserve">, de conformidad con en el artículo 160 de la Ley de Transparencia y Acceso a la Información Pública del Estado de México y Municipios, el cual refiere que los Sujetos Obligados deberán entregar la información que obre en sus archivos. </w:t>
      </w:r>
    </w:p>
    <w:p w14:paraId="014DE578" w14:textId="77777777" w:rsidR="00AD3E4B" w:rsidRPr="004C3DAB" w:rsidRDefault="000E1E1C">
      <w:pPr>
        <w:widowControl w:val="0"/>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necesidades de las personas solicitantes; por lo que, en el presente caso,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deberá entregar los documentos que den cuenta de lo peticionado.</w:t>
      </w:r>
    </w:p>
    <w:p w14:paraId="2468DDC0"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No obstante, se debe recordar que la persona solicitante requirió la información descrita en la solicitud de acceso a la información pública durante la administración pública municipal 2022 -2024, la cual inició el uno de enero de dos mil veintidós y concluye el treinta y uno de diciembre de dos mil veinticuatro, sin embargo, la solicitud se tuvo por presentada el dos de octubre de dos mil veinticuatro, por lo que es ineludible señalar que la información sobre hechos que aún no se han generado debido a la temporalidad, son hechos futuros e inciertos, los cuales no se pueden determinar ya que están supeditados a la conclusión de los mismos; por lo que no es procedente que los Sujetos Obligados proporcionen dicha información.</w:t>
      </w:r>
    </w:p>
    <w:p w14:paraId="660FC838" w14:textId="77777777" w:rsidR="00AD3E4B" w:rsidRPr="004C3DAB" w:rsidRDefault="000E1E1C">
      <w:pPr>
        <w:spacing w:before="240" w:after="240" w:line="360" w:lineRule="auto"/>
        <w:ind w:right="-93"/>
        <w:jc w:val="both"/>
        <w:rPr>
          <w:rFonts w:ascii="Palatino Linotype" w:eastAsia="Palatino Linotype" w:hAnsi="Palatino Linotype" w:cs="Palatino Linotype"/>
        </w:rPr>
      </w:pPr>
      <w:r w:rsidRPr="004C3DAB">
        <w:rPr>
          <w:rFonts w:ascii="Palatino Linotype" w:eastAsia="Palatino Linotype" w:hAnsi="Palatino Linotype" w:cs="Palatino Linotype"/>
        </w:rPr>
        <w:t>Lo anterior se robustece con la Tesis Aislada con número de registro 209001</w:t>
      </w:r>
      <w:r w:rsidRPr="004C3DAB">
        <w:rPr>
          <w:rFonts w:ascii="Palatino Linotype" w:eastAsia="Palatino Linotype" w:hAnsi="Palatino Linotype" w:cs="Palatino Linotype"/>
          <w:vertAlign w:val="superscript"/>
        </w:rPr>
        <w:footnoteReference w:id="1"/>
      </w:r>
      <w:r w:rsidRPr="004C3DAB">
        <w:rPr>
          <w:rFonts w:ascii="Palatino Linotype" w:eastAsia="Palatino Linotype" w:hAnsi="Palatino Linotype" w:cs="Palatino Linotype"/>
        </w:rPr>
        <w:t xml:space="preserve">, de la Suprema Corte de Justicia de la Nación, emitida por los Tribunales Colegiados de </w:t>
      </w:r>
      <w:proofErr w:type="gramStart"/>
      <w:r w:rsidRPr="004C3DAB">
        <w:rPr>
          <w:rFonts w:ascii="Palatino Linotype" w:eastAsia="Palatino Linotype" w:hAnsi="Palatino Linotype" w:cs="Palatino Linotype"/>
        </w:rPr>
        <w:t>Circuito,  que</w:t>
      </w:r>
      <w:proofErr w:type="gramEnd"/>
      <w:r w:rsidRPr="004C3DAB">
        <w:rPr>
          <w:rFonts w:ascii="Palatino Linotype" w:eastAsia="Palatino Linotype" w:hAnsi="Palatino Linotype" w:cs="Palatino Linotype"/>
        </w:rPr>
        <w:t xml:space="preserve"> a la letra señala:</w:t>
      </w:r>
    </w:p>
    <w:p w14:paraId="0680FDE7" w14:textId="77777777" w:rsidR="00AD3E4B" w:rsidRPr="004C3DAB" w:rsidRDefault="000E1E1C">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 xml:space="preserve">“ACTOS FUTUROS DE REALIZACION INCIERTA. NO PROCEDE EL JUICIO DE AMPARO CONTRA LOS. </w:t>
      </w:r>
      <w:r w:rsidRPr="004C3DAB">
        <w:rPr>
          <w:rFonts w:ascii="Palatino Linotype" w:eastAsia="Palatino Linotype" w:hAnsi="Palatino Linotype" w:cs="Palatino Linotype"/>
          <w:i/>
          <w:sz w:val="22"/>
          <w:szCs w:val="22"/>
        </w:rPr>
        <w:t>Contra actos futuros de realización incierta no procede el juicio de garantías.”</w:t>
      </w:r>
    </w:p>
    <w:p w14:paraId="1D9931C8" w14:textId="77777777" w:rsidR="00AD3E4B" w:rsidRPr="004C3DAB" w:rsidRDefault="000E1E1C">
      <w:pPr>
        <w:spacing w:before="240" w:after="240" w:line="360" w:lineRule="auto"/>
        <w:ind w:right="51"/>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ese sentido, no es procedente la exigencia de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de que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atienda su solicitud en los términos solicitados, es decir, al día treinta y uno de diciembre de dos mil veinticuatro, pues dicha autoridad únicamente está constreñida a proporcionar la información pública que genere en uso de sus atribuciones de derecho público con anterioridad a la fecha de la solicitud de información, esto es al dos de octubre de dos mil veinticuatro.</w:t>
      </w:r>
    </w:p>
    <w:p w14:paraId="1917753D"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Por tal razón resulta dable ordenar, previa búsqueda exhaustiva y razonable, la entrega del soporte documental, en versión pública de ser necesario, donde conste el número de licencias de uso de suelo que se expidieron del uno de enero de dos mil veintidós al dos de octubre de dos mil veinticuatro, de manera mensual.</w:t>
      </w:r>
    </w:p>
    <w:p w14:paraId="33F965C0"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Para tales efectos, es oportuno mencionar que el Código Administrativo del Estado de México, en su artículo 5.10, fracción VI, señala que los municipios tendrán la atribución de expedir </w:t>
      </w:r>
      <w:r w:rsidRPr="004C3DAB">
        <w:rPr>
          <w:rFonts w:ascii="Palatino Linotype" w:eastAsia="Palatino Linotype" w:hAnsi="Palatino Linotype" w:cs="Palatino Linotype"/>
          <w:u w:val="single"/>
        </w:rPr>
        <w:t>licencias de uso de suelo</w:t>
      </w:r>
      <w:r w:rsidRPr="004C3DAB">
        <w:rPr>
          <w:rFonts w:ascii="Palatino Linotype" w:eastAsia="Palatino Linotype" w:hAnsi="Palatino Linotype" w:cs="Palatino Linotype"/>
        </w:rPr>
        <w:t>, como se lee a continuación:</w:t>
      </w:r>
    </w:p>
    <w:p w14:paraId="01C14042"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Artículo 5.10</w:t>
      </w:r>
      <w:r w:rsidRPr="004C3DAB">
        <w:rPr>
          <w:rFonts w:ascii="Palatino Linotype" w:eastAsia="Palatino Linotype" w:hAnsi="Palatino Linotype" w:cs="Palatino Linotype"/>
          <w:i/>
          <w:sz w:val="22"/>
          <w:szCs w:val="22"/>
        </w:rPr>
        <w:t xml:space="preserve">. Los municipios tendrán las atribuciones siguientes: </w:t>
      </w:r>
    </w:p>
    <w:p w14:paraId="6DCADEB8"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p>
    <w:p w14:paraId="1ACF2246"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VI.</w:t>
      </w:r>
      <w:r w:rsidRPr="004C3DAB">
        <w:rPr>
          <w:rFonts w:ascii="Palatino Linotype" w:eastAsia="Palatino Linotype" w:hAnsi="Palatino Linotype" w:cs="Palatino Linotype"/>
          <w:i/>
          <w:sz w:val="22"/>
          <w:szCs w:val="22"/>
        </w:rPr>
        <w:t xml:space="preserve"> Expedir cédulas informativas de zonificación, </w:t>
      </w:r>
      <w:r w:rsidRPr="004C3DAB">
        <w:rPr>
          <w:rFonts w:ascii="Palatino Linotype" w:eastAsia="Palatino Linotype" w:hAnsi="Palatino Linotype" w:cs="Palatino Linotype"/>
          <w:b/>
          <w:i/>
          <w:sz w:val="22"/>
          <w:szCs w:val="22"/>
        </w:rPr>
        <w:t>licencias de uso de suelo</w:t>
      </w:r>
      <w:r w:rsidRPr="004C3DAB">
        <w:rPr>
          <w:rFonts w:ascii="Palatino Linotype" w:eastAsia="Palatino Linotype" w:hAnsi="Palatino Linotype" w:cs="Palatino Linotype"/>
          <w:i/>
          <w:sz w:val="22"/>
          <w:szCs w:val="22"/>
        </w:rPr>
        <w:t xml:space="preserve"> y licencias de construcción…”</w:t>
      </w:r>
    </w:p>
    <w:p w14:paraId="1762915A" w14:textId="77777777" w:rsidR="00AD3E4B" w:rsidRPr="004C3DAB" w:rsidRDefault="000E1E1C">
      <w:pPr>
        <w:tabs>
          <w:tab w:val="left" w:pos="4962"/>
        </w:tabs>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sz w:val="22"/>
          <w:szCs w:val="22"/>
        </w:rPr>
        <w:t xml:space="preserve">Por su parte, el </w:t>
      </w:r>
      <w:r w:rsidRPr="004C3DAB">
        <w:rPr>
          <w:rFonts w:ascii="Palatino Linotype" w:eastAsia="Palatino Linotype" w:hAnsi="Palatino Linotype" w:cs="Palatino Linotype"/>
        </w:rPr>
        <w:t xml:space="preserve">artículo 12 de la Ley Orgánica Municipal del Estado de México, faculta a los ayuntamientos, entre ellos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a la regularización de su suelo, en términos de los Planes de Desarrollo Urbano, el cual señala:</w:t>
      </w:r>
    </w:p>
    <w:p w14:paraId="3B6EECD5" w14:textId="77777777" w:rsidR="00AD3E4B" w:rsidRPr="004C3DAB" w:rsidRDefault="000E1E1C">
      <w:pPr>
        <w:ind w:left="851" w:right="899"/>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Artículo 12.</w:t>
      </w:r>
      <w:r w:rsidRPr="004C3DAB">
        <w:rPr>
          <w:rFonts w:ascii="Palatino Linotype" w:eastAsia="Palatino Linotype" w:hAnsi="Palatino Linotype" w:cs="Palatino Linotype"/>
          <w:i/>
          <w:sz w:val="22"/>
          <w:szCs w:val="22"/>
        </w:rPr>
        <w:t xml:space="preserve">- Los municipios controlarán y vigilarán, coordinada y concurrentemente con el Gobierno del Estado, la utilización del suelo en sus jurisdicciones territoriales, en los términos de la ley de la materia y los Planes de Desarrollo Urbano correspondientes.” </w:t>
      </w:r>
    </w:p>
    <w:p w14:paraId="298077A1" w14:textId="77777777" w:rsidR="00AD3E4B" w:rsidRPr="004C3DAB" w:rsidRDefault="000E1E1C">
      <w:pPr>
        <w:spacing w:before="240" w:after="240" w:line="360" w:lineRule="auto"/>
        <w:ind w:right="-91"/>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este sentido, es importante referir las atribuciones de área del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que dio respuesta, siendo la Dirección Desarrollo Urbano y Ecología, las cuales se encuentran señaladas en el artículo 96 </w:t>
      </w:r>
      <w:proofErr w:type="spellStart"/>
      <w:r w:rsidRPr="004C3DAB">
        <w:rPr>
          <w:rFonts w:ascii="Palatino Linotype" w:eastAsia="Palatino Linotype" w:hAnsi="Palatino Linotype" w:cs="Palatino Linotype"/>
        </w:rPr>
        <w:t>sexies</w:t>
      </w:r>
      <w:proofErr w:type="spellEnd"/>
      <w:r w:rsidRPr="004C3DAB">
        <w:rPr>
          <w:rFonts w:ascii="Palatino Linotype" w:eastAsia="Palatino Linotype" w:hAnsi="Palatino Linotype" w:cs="Palatino Linotype"/>
        </w:rPr>
        <w:t>, en específico en la fracción VI de la Ley Orgánica Municipal del Estado de México, que señala:</w:t>
      </w:r>
    </w:p>
    <w:p w14:paraId="407A2392"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 xml:space="preserve">Artículo 96. </w:t>
      </w:r>
      <w:proofErr w:type="spellStart"/>
      <w:r w:rsidRPr="004C3DAB">
        <w:rPr>
          <w:rFonts w:ascii="Palatino Linotype" w:eastAsia="Palatino Linotype" w:hAnsi="Palatino Linotype" w:cs="Palatino Linotype"/>
          <w:b/>
          <w:i/>
          <w:sz w:val="22"/>
          <w:szCs w:val="22"/>
        </w:rPr>
        <w:t>Sexies</w:t>
      </w:r>
      <w:proofErr w:type="spellEnd"/>
      <w:r w:rsidRPr="004C3DAB">
        <w:rPr>
          <w:rFonts w:ascii="Palatino Linotype" w:eastAsia="Palatino Linotype" w:hAnsi="Palatino Linotype" w:cs="Palatino Linotype"/>
          <w:i/>
          <w:sz w:val="22"/>
          <w:szCs w:val="22"/>
        </w:rPr>
        <w:t xml:space="preserve">. El </w:t>
      </w:r>
      <w:proofErr w:type="gramStart"/>
      <w:r w:rsidRPr="004C3DAB">
        <w:rPr>
          <w:rFonts w:ascii="Palatino Linotype" w:eastAsia="Palatino Linotype" w:hAnsi="Palatino Linotype" w:cs="Palatino Linotype"/>
          <w:i/>
          <w:sz w:val="22"/>
          <w:szCs w:val="22"/>
        </w:rPr>
        <w:t>Director</w:t>
      </w:r>
      <w:proofErr w:type="gramEnd"/>
      <w:r w:rsidRPr="004C3DAB">
        <w:rPr>
          <w:rFonts w:ascii="Palatino Linotype" w:eastAsia="Palatino Linotype" w:hAnsi="Palatino Linotype" w:cs="Palatino Linotype"/>
          <w:i/>
          <w:sz w:val="22"/>
          <w:szCs w:val="22"/>
        </w:rPr>
        <w:t xml:space="preserve"> de Desarrollo Urbano o el Titular de la Unidad Administrativa equivalente, tiene las atribuciones siguientes: </w:t>
      </w:r>
    </w:p>
    <w:p w14:paraId="28B367D7" w14:textId="77777777" w:rsidR="00AD3E4B" w:rsidRPr="004C3DAB" w:rsidRDefault="000E1E1C">
      <w:pPr>
        <w:spacing w:before="120" w:after="120"/>
        <w:ind w:left="1134" w:right="902"/>
        <w:jc w:val="both"/>
        <w:rPr>
          <w:rFonts w:ascii="Palatino Linotype" w:eastAsia="Palatino Linotype" w:hAnsi="Palatino Linotype" w:cs="Palatino Linotype"/>
          <w:b/>
          <w:i/>
          <w:sz w:val="22"/>
          <w:szCs w:val="22"/>
        </w:rPr>
      </w:pPr>
      <w:r w:rsidRPr="004C3DAB">
        <w:rPr>
          <w:rFonts w:ascii="Palatino Linotype" w:eastAsia="Palatino Linotype" w:hAnsi="Palatino Linotype" w:cs="Palatino Linotype"/>
          <w:b/>
          <w:i/>
          <w:sz w:val="22"/>
          <w:szCs w:val="22"/>
        </w:rPr>
        <w:t>…</w:t>
      </w:r>
    </w:p>
    <w:p w14:paraId="05A367BE"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lastRenderedPageBreak/>
        <w:t>VI</w:t>
      </w:r>
      <w:r w:rsidRPr="004C3DAB">
        <w:rPr>
          <w:rFonts w:ascii="Palatino Linotype" w:eastAsia="Palatino Linotype" w:hAnsi="Palatino Linotype" w:cs="Palatino Linotype"/>
          <w:i/>
          <w:sz w:val="22"/>
          <w:szCs w:val="22"/>
        </w:rPr>
        <w:t xml:space="preserve">. Analizar las cédulas informativas de zonificación, </w:t>
      </w:r>
      <w:r w:rsidRPr="004C3DAB">
        <w:rPr>
          <w:rFonts w:ascii="Palatino Linotype" w:eastAsia="Palatino Linotype" w:hAnsi="Palatino Linotype" w:cs="Palatino Linotype"/>
          <w:b/>
          <w:i/>
          <w:sz w:val="22"/>
          <w:szCs w:val="22"/>
          <w:u w:val="single"/>
        </w:rPr>
        <w:t>licencias de uso de suelo</w:t>
      </w:r>
      <w:r w:rsidRPr="004C3DAB">
        <w:rPr>
          <w:rFonts w:ascii="Palatino Linotype" w:eastAsia="Palatino Linotype" w:hAnsi="Palatino Linotype" w:cs="Palatino Linotype"/>
          <w:i/>
          <w:sz w:val="22"/>
          <w:szCs w:val="22"/>
        </w:rPr>
        <w:t xml:space="preserve"> y licencias de construcción…”</w:t>
      </w:r>
    </w:p>
    <w:p w14:paraId="68CFA62F"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Asimismo, no obsta mencionar que la información solicitada se relaciona con la obligación de transparencia prevista en el artículo 94, fracción I, inciso f), de la Ley de Transparencia y Acceso a la Información Pública del Estado de México y Municipios, consistente en lo siguiente: </w:t>
      </w:r>
    </w:p>
    <w:p w14:paraId="012741D4" w14:textId="77777777" w:rsidR="00AD3E4B" w:rsidRPr="004C3DAB" w:rsidRDefault="000E1E1C">
      <w:pPr>
        <w:ind w:left="851" w:right="899"/>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Artículo 94</w:t>
      </w:r>
      <w:r w:rsidRPr="004C3DAB">
        <w:rPr>
          <w:rFonts w:ascii="Palatino Linotype" w:eastAsia="Palatino Linotype" w:hAnsi="Palatino Linotype" w:cs="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5A1512F1" w14:textId="77777777" w:rsidR="00AD3E4B" w:rsidRPr="004C3DAB" w:rsidRDefault="000E1E1C">
      <w:pPr>
        <w:ind w:left="851" w:right="899"/>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w:t>
      </w:r>
      <w:r w:rsidRPr="004C3DAB">
        <w:rPr>
          <w:rFonts w:ascii="Palatino Linotype" w:eastAsia="Palatino Linotype" w:hAnsi="Palatino Linotype" w:cs="Palatino Linotype"/>
          <w:i/>
          <w:sz w:val="22"/>
          <w:szCs w:val="22"/>
        </w:rPr>
        <w:t xml:space="preserve">. En el caso del Poder Ejecutivo </w:t>
      </w:r>
      <w:r w:rsidRPr="004C3DAB">
        <w:rPr>
          <w:rFonts w:ascii="Palatino Linotype" w:eastAsia="Palatino Linotype" w:hAnsi="Palatino Linotype" w:cs="Palatino Linotype"/>
          <w:b/>
          <w:i/>
          <w:sz w:val="22"/>
          <w:szCs w:val="22"/>
        </w:rPr>
        <w:t>y los Municipios</w:t>
      </w:r>
      <w:r w:rsidRPr="004C3DAB">
        <w:rPr>
          <w:rFonts w:ascii="Palatino Linotype" w:eastAsia="Palatino Linotype" w:hAnsi="Palatino Linotype" w:cs="Palatino Linotype"/>
          <w:i/>
          <w:sz w:val="22"/>
          <w:szCs w:val="22"/>
        </w:rPr>
        <w:t>, en el ámbito de su competencia:</w:t>
      </w:r>
    </w:p>
    <w:p w14:paraId="758498D7" w14:textId="77777777" w:rsidR="00AD3E4B" w:rsidRPr="004C3DAB" w:rsidRDefault="000E1E1C">
      <w:pPr>
        <w:ind w:left="1134" w:right="899"/>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p>
    <w:p w14:paraId="7AE86DFB"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f)</w:t>
      </w:r>
      <w:r w:rsidRPr="004C3DAB">
        <w:rPr>
          <w:rFonts w:ascii="Palatino Linotype" w:eastAsia="Palatino Linotype" w:hAnsi="Palatino Linotype" w:cs="Palatino Linotype"/>
          <w:i/>
          <w:sz w:val="22"/>
          <w:szCs w:val="22"/>
        </w:rPr>
        <w:t xml:space="preserve"> La información detallada que contengan los planes de desarrollo urbano, ordenamiento territorial y ecológico, los tipos y usos de suelo, </w:t>
      </w:r>
      <w:r w:rsidRPr="004C3DAB">
        <w:rPr>
          <w:rFonts w:ascii="Palatino Linotype" w:eastAsia="Palatino Linotype" w:hAnsi="Palatino Linotype" w:cs="Palatino Linotype"/>
          <w:b/>
          <w:i/>
          <w:sz w:val="22"/>
          <w:szCs w:val="22"/>
          <w:u w:val="single"/>
        </w:rPr>
        <w:t>licencias de uso y construcción</w:t>
      </w:r>
      <w:r w:rsidRPr="004C3DAB">
        <w:rPr>
          <w:rFonts w:ascii="Palatino Linotype" w:eastAsia="Palatino Linotype" w:hAnsi="Palatino Linotype" w:cs="Palatino Linotype"/>
          <w:i/>
          <w:sz w:val="22"/>
          <w:szCs w:val="22"/>
        </w:rPr>
        <w:t xml:space="preserve"> otorgadas por los gobiernos municipales…”</w:t>
      </w:r>
    </w:p>
    <w:p w14:paraId="41D03C61" w14:textId="77777777" w:rsidR="00AD3E4B" w:rsidRPr="004C3DAB" w:rsidRDefault="000E1E1C">
      <w:pPr>
        <w:spacing w:before="240" w:after="240" w:line="360" w:lineRule="auto"/>
        <w:ind w:right="51"/>
        <w:jc w:val="both"/>
        <w:rPr>
          <w:rFonts w:ascii="Palatino Linotype" w:eastAsia="Palatino Linotype" w:hAnsi="Palatino Linotype" w:cs="Palatino Linotype"/>
        </w:rPr>
      </w:pPr>
      <w:r w:rsidRPr="004C3DAB">
        <w:rPr>
          <w:rFonts w:ascii="Palatino Linotype" w:eastAsia="Palatino Linotype" w:hAnsi="Palatino Linotype" w:cs="Palatino Linotype"/>
        </w:rPr>
        <w:t>Del precepto citado se desprende que los municipios cuentan con el deber de poner a disposición del público de manera permanente y actualizada en los respectivos medios electrónicos, entre otra información la concerniente a las licencias de uso de suelo otorgadas por los gobiernos municipales, y, 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lo siguiente:</w:t>
      </w:r>
    </w:p>
    <w:p w14:paraId="6CA93B5D"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lastRenderedPageBreak/>
        <w:t xml:space="preserve">“Los Programas Nacionales, Regionales, Estatales y Municipales de desarrollo urbano y de vivienda, ordenamiento territorial y ecológico son instrumentos públicos que buscan ordenar y desarrollar el territorio mexicano. </w:t>
      </w:r>
    </w:p>
    <w:p w14:paraId="33574EBB"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La publicación de toda la información relacionada con la planeación, coordinación, administración y ejecución de los proyectos y programas de desarrollo territorial en general, es de vital importancia para todas las personas que pueden ser beneficiadas y/o afectadas, directa o indirectamente a través de estas políticas públicas. El publicar esta información constituye aspectos sumamente importantes en la vida local y nacional en tanto que se dan cambios generados en el contexto territorial sin que la ciudadanía reconozca los planes urbanos, de ordenamiento territorial y las licencias de uso de suelo respectivas.”</w:t>
      </w:r>
    </w:p>
    <w:p w14:paraId="37741DCC" w14:textId="77777777" w:rsidR="00AD3E4B" w:rsidRPr="004C3DAB" w:rsidRDefault="000E1E1C">
      <w:pPr>
        <w:spacing w:before="240" w:after="240" w:line="360" w:lineRule="auto"/>
        <w:ind w:right="-91"/>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En este tenor los Sujetos Obligados deben observar los criterios sustantivos de contenido, los criterios </w:t>
      </w:r>
      <w:proofErr w:type="gramStart"/>
      <w:r w:rsidRPr="004C3DAB">
        <w:rPr>
          <w:rFonts w:ascii="Palatino Linotype" w:eastAsia="Palatino Linotype" w:hAnsi="Palatino Linotype" w:cs="Palatino Linotype"/>
        </w:rPr>
        <w:t>adjetivos  de</w:t>
      </w:r>
      <w:proofErr w:type="gramEnd"/>
      <w:r w:rsidRPr="004C3DAB">
        <w:rPr>
          <w:rFonts w:ascii="Palatino Linotype" w:eastAsia="Palatino Linotype" w:hAnsi="Palatino Linotype" w:cs="Palatino Linotype"/>
        </w:rPr>
        <w:t xml:space="preserve"> actualización, los criterios adjetivos de confiabilidad, y los criterios adjetivos de formato que establecen los Lineamientos Técnicos Generales para la publicación, homologación y estandarización de la información referidos con antelación. </w:t>
      </w:r>
    </w:p>
    <w:p w14:paraId="7CA7E7FC" w14:textId="77777777" w:rsidR="00AD3E4B" w:rsidRPr="004C3DAB" w:rsidRDefault="000E1E1C">
      <w:pPr>
        <w:spacing w:before="240" w:after="240" w:line="360" w:lineRule="auto"/>
        <w:ind w:right="-91"/>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Para el tema que nos ocupa, los Lineamientos establecen el formato 5f, para la publicación de la información, el cual incluye todos los campos especificados en los criterios sustantivos de contenido: </w:t>
      </w:r>
    </w:p>
    <w:p w14:paraId="507B9652" w14:textId="77777777" w:rsidR="00AD3E4B" w:rsidRPr="004C3DAB" w:rsidRDefault="000E1E1C">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4C3DAB">
        <w:rPr>
          <w:rFonts w:ascii="Palatino Linotype" w:eastAsia="Palatino Linotype" w:hAnsi="Palatino Linotype" w:cs="Palatino Linotype"/>
          <w:noProof/>
        </w:rPr>
        <w:drawing>
          <wp:inline distT="0" distB="0" distL="0" distR="0" wp14:anchorId="2DFB74FA" wp14:editId="22C37928">
            <wp:extent cx="5400000" cy="1759671"/>
            <wp:effectExtent l="0" t="0" r="0" b="0"/>
            <wp:docPr id="19520825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b="71440"/>
                    <a:stretch>
                      <a:fillRect/>
                    </a:stretch>
                  </pic:blipFill>
                  <pic:spPr>
                    <a:xfrm>
                      <a:off x="0" y="0"/>
                      <a:ext cx="5400000" cy="1759671"/>
                    </a:xfrm>
                    <a:prstGeom prst="rect">
                      <a:avLst/>
                    </a:prstGeom>
                    <a:ln/>
                  </pic:spPr>
                </pic:pic>
              </a:graphicData>
            </a:graphic>
          </wp:inline>
        </w:drawing>
      </w:r>
    </w:p>
    <w:p w14:paraId="3042B7A9" w14:textId="77777777" w:rsidR="00AD3E4B" w:rsidRPr="004C3DAB" w:rsidRDefault="000E1E1C">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bookmarkStart w:id="8" w:name="_heading=h.44sinio" w:colFirst="0" w:colLast="0"/>
      <w:bookmarkEnd w:id="8"/>
      <w:r w:rsidRPr="004C3DAB">
        <w:rPr>
          <w:rFonts w:ascii="Palatino Linotype" w:eastAsia="Palatino Linotype" w:hAnsi="Palatino Linotype" w:cs="Palatino Linotype"/>
          <w:noProof/>
        </w:rPr>
        <w:lastRenderedPageBreak/>
        <w:drawing>
          <wp:inline distT="0" distB="0" distL="0" distR="0" wp14:anchorId="400BC14F" wp14:editId="1E03BC02">
            <wp:extent cx="5400000" cy="1668021"/>
            <wp:effectExtent l="0" t="0" r="0" b="0"/>
            <wp:docPr id="19520825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t="71701" b="1224"/>
                    <a:stretch>
                      <a:fillRect/>
                    </a:stretch>
                  </pic:blipFill>
                  <pic:spPr>
                    <a:xfrm>
                      <a:off x="0" y="0"/>
                      <a:ext cx="5400000" cy="1668021"/>
                    </a:xfrm>
                    <a:prstGeom prst="rect">
                      <a:avLst/>
                    </a:prstGeom>
                    <a:ln/>
                  </pic:spPr>
                </pic:pic>
              </a:graphicData>
            </a:graphic>
          </wp:inline>
        </w:drawing>
      </w:r>
    </w:p>
    <w:p w14:paraId="0A8C8924"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Bajo esta línea de pensamiento, se concluye que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cuenta con atribuciones para expedir licencias de uso de suelo, sin embargo, además de que dichos documentos son emitidos a solicitud de parte, no debe perderse de vista que en el caso particular </w:t>
      </w:r>
      <w:r w:rsidRPr="004C3DAB">
        <w:rPr>
          <w:rFonts w:ascii="Palatino Linotype" w:eastAsia="Palatino Linotype" w:hAnsi="Palatino Linotype" w:cs="Palatino Linotype"/>
          <w:b/>
          <w:u w:val="single"/>
        </w:rPr>
        <w:t>la persona solicitante NO requirió el acceso a dichos documentos</w:t>
      </w:r>
      <w:r w:rsidRPr="004C3DAB">
        <w:rPr>
          <w:rFonts w:ascii="Palatino Linotype" w:eastAsia="Palatino Linotype" w:hAnsi="Palatino Linotype" w:cs="Palatino Linotype"/>
        </w:rPr>
        <w:t xml:space="preserve">, sino </w:t>
      </w:r>
      <w:r w:rsidRPr="004C3DAB">
        <w:rPr>
          <w:rFonts w:ascii="Palatino Linotype" w:eastAsia="Palatino Linotype" w:hAnsi="Palatino Linotype" w:cs="Palatino Linotype"/>
          <w:b/>
          <w:u w:val="single"/>
        </w:rPr>
        <w:t>al número de licencias de uso de suelo que el Sujeto Obligado expidió durante el periodo señalado</w:t>
      </w:r>
      <w:r w:rsidRPr="004C3DAB">
        <w:rPr>
          <w:rFonts w:ascii="Palatino Linotype" w:eastAsia="Palatino Linotype" w:hAnsi="Palatino Linotype" w:cs="Palatino Linotype"/>
        </w:rPr>
        <w:t xml:space="preserve">, información que además debe estar desglosada de manera mensual,  asimismo, que de la normatividad analizada para la resolución del presente asunto, no se localizó disposición legal alguna que obligue </w:t>
      </w:r>
      <w:r w:rsidR="0053781A" w:rsidRPr="004C3DAB">
        <w:rPr>
          <w:rFonts w:ascii="Palatino Linotype" w:eastAsia="Palatino Linotype" w:hAnsi="Palatino Linotype" w:cs="Palatino Linotype"/>
        </w:rPr>
        <w:t xml:space="preserve">al ente público </w:t>
      </w:r>
      <w:r w:rsidRPr="004C3DAB">
        <w:rPr>
          <w:rFonts w:ascii="Palatino Linotype" w:eastAsia="Palatino Linotype" w:hAnsi="Palatino Linotype" w:cs="Palatino Linotype"/>
        </w:rPr>
        <w:t>a generar información o contar con un registro en los términos requeridos, por lo que, si derivado de la búsqueda se ordena no llegara a localizar documento alguno que satisfaga lo solicitado,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4C75ED23"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Artículo 19</w:t>
      </w:r>
      <w:r w:rsidRPr="004C3DAB">
        <w:rPr>
          <w:rFonts w:ascii="Palatino Linotype" w:eastAsia="Palatino Linotype" w:hAnsi="Palatino Linotype" w:cs="Palatino Linotype"/>
          <w:i/>
          <w:sz w:val="22"/>
          <w:szCs w:val="22"/>
        </w:rPr>
        <w:t>…</w:t>
      </w:r>
    </w:p>
    <w:p w14:paraId="6317475B"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F1960A1"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lastRenderedPageBreak/>
        <w:t xml:space="preserve">De lo hasta aquí expuesto, se concluye que los motivos de inconformidad de la parte </w:t>
      </w:r>
      <w:r w:rsidRPr="004C3DAB">
        <w:rPr>
          <w:rFonts w:ascii="Palatino Linotype" w:eastAsia="Palatino Linotype" w:hAnsi="Palatino Linotype" w:cs="Palatino Linotype"/>
          <w:b/>
        </w:rPr>
        <w:t xml:space="preserve">Recurrente </w:t>
      </w:r>
      <w:r w:rsidRPr="004C3DAB">
        <w:rPr>
          <w:rFonts w:ascii="Palatino Linotype" w:eastAsia="Palatino Linotype" w:hAnsi="Palatino Linotype" w:cs="Palatino Linotype"/>
        </w:rPr>
        <w:t xml:space="preserve">devienen fundados, siendo procedente </w:t>
      </w:r>
      <w:r w:rsidRPr="004C3DAB">
        <w:rPr>
          <w:rFonts w:ascii="Palatino Linotype" w:eastAsia="Palatino Linotype" w:hAnsi="Palatino Linotype" w:cs="Palatino Linotype"/>
          <w:i/>
        </w:rPr>
        <w:t xml:space="preserve">Modificar </w:t>
      </w:r>
      <w:r w:rsidRPr="004C3DAB">
        <w:rPr>
          <w:rFonts w:ascii="Palatino Linotype" w:eastAsia="Palatino Linotype" w:hAnsi="Palatino Linotype" w:cs="Palatino Linotype"/>
        </w:rPr>
        <w:t xml:space="preserve">la respuesta proporcionada por el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5B9CA98C" w14:textId="77777777" w:rsidR="00AD3E4B" w:rsidRPr="004C3DAB" w:rsidRDefault="000E1E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b/>
        </w:rPr>
        <w:t>Quinto. Versión Pública.</w:t>
      </w:r>
      <w:r w:rsidRPr="004C3DAB">
        <w:rPr>
          <w:rFonts w:ascii="Palatino Linotype" w:eastAsia="Palatino Linotype" w:hAnsi="Palatino Linotype" w:cs="Palatino Linotype"/>
          <w:sz w:val="28"/>
          <w:szCs w:val="28"/>
        </w:rPr>
        <w:t xml:space="preserve"> </w:t>
      </w:r>
      <w:r w:rsidRPr="004C3DA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sin menoscabo al derecho a la protección de los datos personales de terceros.</w:t>
      </w:r>
    </w:p>
    <w:p w14:paraId="24214E61"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2CC8B602"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Artículo 3</w:t>
      </w:r>
      <w:r w:rsidRPr="004C3DAB">
        <w:rPr>
          <w:rFonts w:ascii="Palatino Linotype" w:eastAsia="Palatino Linotype" w:hAnsi="Palatino Linotype" w:cs="Palatino Linotype"/>
          <w:i/>
          <w:sz w:val="22"/>
          <w:szCs w:val="22"/>
        </w:rPr>
        <w:t>. Para los efectos de la presente Ley se entenderá por:</w:t>
      </w:r>
    </w:p>
    <w:p w14:paraId="2AFB2B3E"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p>
    <w:p w14:paraId="00B6AC10"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IX. Datos personales</w:t>
      </w:r>
      <w:r w:rsidRPr="004C3DA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AF3A0AD"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XX. Información clasificada</w:t>
      </w:r>
      <w:r w:rsidRPr="004C3DAB">
        <w:rPr>
          <w:rFonts w:ascii="Palatino Linotype" w:eastAsia="Palatino Linotype" w:hAnsi="Palatino Linotype" w:cs="Palatino Linotype"/>
          <w:i/>
          <w:sz w:val="22"/>
          <w:szCs w:val="22"/>
        </w:rPr>
        <w:t>: Aquella considerada por la presente Ley como reservada o confidencial;</w:t>
      </w:r>
    </w:p>
    <w:p w14:paraId="6F67F5E5"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 xml:space="preserve">XXI. Información confidencial: </w:t>
      </w:r>
      <w:r w:rsidRPr="004C3DAB">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4C3DAB">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025150E6"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XLV. Versión pública:</w:t>
      </w:r>
      <w:r w:rsidRPr="004C3DA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4994107"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p>
    <w:p w14:paraId="0660693D"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Artículo 91.</w:t>
      </w:r>
      <w:r w:rsidRPr="004C3DA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BB1FC67"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Artículo 132.</w:t>
      </w:r>
      <w:r w:rsidRPr="004C3DAB">
        <w:rPr>
          <w:rFonts w:ascii="Palatino Linotype" w:eastAsia="Palatino Linotype" w:hAnsi="Palatino Linotype" w:cs="Palatino Linotype"/>
          <w:i/>
          <w:sz w:val="22"/>
          <w:szCs w:val="22"/>
        </w:rPr>
        <w:t xml:space="preserve"> La clasificación de la información se llevará a cabo en el momento en que:</w:t>
      </w:r>
    </w:p>
    <w:p w14:paraId="362CCF4B"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w:t>
      </w:r>
      <w:r w:rsidRPr="004C3DAB">
        <w:rPr>
          <w:rFonts w:ascii="Palatino Linotype" w:eastAsia="Palatino Linotype" w:hAnsi="Palatino Linotype" w:cs="Palatino Linotype"/>
          <w:i/>
          <w:sz w:val="22"/>
          <w:szCs w:val="22"/>
        </w:rPr>
        <w:t>. Se reciba una solicitud de acceso a la información;</w:t>
      </w:r>
    </w:p>
    <w:p w14:paraId="701934F4"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II.</w:t>
      </w:r>
      <w:r w:rsidRPr="004C3DAB">
        <w:rPr>
          <w:rFonts w:ascii="Palatino Linotype" w:eastAsia="Palatino Linotype" w:hAnsi="Palatino Linotype" w:cs="Palatino Linotype"/>
          <w:i/>
          <w:sz w:val="22"/>
          <w:szCs w:val="22"/>
        </w:rPr>
        <w:t xml:space="preserve"> Se determine mediante resolución de autoridad competente; o</w:t>
      </w:r>
    </w:p>
    <w:p w14:paraId="12116423"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III.</w:t>
      </w:r>
      <w:r w:rsidRPr="004C3DA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03B50FB"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w:t>
      </w:r>
    </w:p>
    <w:p w14:paraId="3E9E84DA"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Artículo 137.</w:t>
      </w:r>
      <w:r w:rsidRPr="004C3DA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25B669A" w14:textId="77777777" w:rsidR="00AD3E4B" w:rsidRPr="004C3DAB" w:rsidRDefault="000E1E1C">
      <w:pPr>
        <w:spacing w:before="120" w:after="120"/>
        <w:ind w:left="851" w:right="902"/>
        <w:jc w:val="both"/>
        <w:rPr>
          <w:rFonts w:ascii="Palatino Linotype" w:eastAsia="Palatino Linotype" w:hAnsi="Palatino Linotype" w:cs="Palatino Linotype"/>
          <w:b/>
          <w:i/>
          <w:sz w:val="22"/>
          <w:szCs w:val="22"/>
        </w:rPr>
      </w:pPr>
      <w:r w:rsidRPr="004C3DAB">
        <w:rPr>
          <w:rFonts w:ascii="Palatino Linotype" w:eastAsia="Palatino Linotype" w:hAnsi="Palatino Linotype" w:cs="Palatino Linotype"/>
          <w:b/>
          <w:i/>
          <w:sz w:val="22"/>
          <w:szCs w:val="22"/>
        </w:rPr>
        <w:t>…</w:t>
      </w:r>
    </w:p>
    <w:p w14:paraId="677BFFC1"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Artículo 143</w:t>
      </w:r>
      <w:r w:rsidRPr="004C3DA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B0F78D7"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w:t>
      </w:r>
      <w:r w:rsidRPr="004C3DA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B9B8EE5"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w:t>
      </w:r>
      <w:r w:rsidRPr="004C3DAB">
        <w:rPr>
          <w:rFonts w:ascii="Palatino Linotype" w:eastAsia="Palatino Linotype" w:hAnsi="Palatino Linotype" w:cs="Palatino Linotype"/>
        </w:rPr>
        <w:lastRenderedPageBreak/>
        <w:t>desclasificarán y generarán, en su caso, versiones públicas de expedientes o documentos que contengan partes o secciones clasificadas.</w:t>
      </w:r>
    </w:p>
    <w:p w14:paraId="59C5C945"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C7535B" w14:textId="77777777" w:rsidR="00AD3E4B" w:rsidRPr="004C3DAB" w:rsidRDefault="000E1E1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Respecto a las formalidades que deberá llevar el acuerdo de clasificación que deberá emitir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60D58420"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 xml:space="preserve"> “Quincuagésimo. </w:t>
      </w:r>
      <w:r w:rsidRPr="004C3DA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A3AB70F" w14:textId="77777777" w:rsidR="00AD3E4B" w:rsidRPr="004C3DAB" w:rsidRDefault="000E1E1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 xml:space="preserve">Quincuagésimo primero. </w:t>
      </w:r>
      <w:r w:rsidRPr="004C3DAB">
        <w:rPr>
          <w:rFonts w:ascii="Palatino Linotype" w:eastAsia="Palatino Linotype" w:hAnsi="Palatino Linotype" w:cs="Palatino Linotype"/>
          <w:i/>
          <w:sz w:val="22"/>
          <w:szCs w:val="22"/>
        </w:rPr>
        <w:t xml:space="preserve">Toda acta del Comité de Transparencia deberá contener: </w:t>
      </w:r>
    </w:p>
    <w:p w14:paraId="398DA8D2"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w:t>
      </w:r>
      <w:r w:rsidRPr="004C3DAB">
        <w:rPr>
          <w:rFonts w:ascii="Palatino Linotype" w:eastAsia="Palatino Linotype" w:hAnsi="Palatino Linotype" w:cs="Palatino Linotype"/>
          <w:i/>
          <w:sz w:val="22"/>
          <w:szCs w:val="22"/>
        </w:rPr>
        <w:t xml:space="preserve"> El número de sesión y fecha; </w:t>
      </w:r>
    </w:p>
    <w:p w14:paraId="0A924933"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lastRenderedPageBreak/>
        <w:t>II</w:t>
      </w:r>
      <w:r w:rsidRPr="004C3DAB">
        <w:rPr>
          <w:rFonts w:ascii="Palatino Linotype" w:eastAsia="Palatino Linotype" w:hAnsi="Palatino Linotype" w:cs="Palatino Linotype"/>
          <w:i/>
          <w:sz w:val="22"/>
          <w:szCs w:val="22"/>
        </w:rPr>
        <w:t xml:space="preserve">. El nombre del área que solicitó la clasificación de información; </w:t>
      </w:r>
    </w:p>
    <w:p w14:paraId="290ED2E4"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III</w:t>
      </w:r>
      <w:r w:rsidRPr="004C3DAB">
        <w:rPr>
          <w:rFonts w:ascii="Palatino Linotype" w:eastAsia="Palatino Linotype" w:hAnsi="Palatino Linotype" w:cs="Palatino Linotype"/>
          <w:i/>
          <w:sz w:val="22"/>
          <w:szCs w:val="22"/>
        </w:rPr>
        <w:t xml:space="preserve">. La fundamentación legal y motivación correspondiente; </w:t>
      </w:r>
    </w:p>
    <w:p w14:paraId="38BD327F"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IV</w:t>
      </w:r>
      <w:r w:rsidRPr="004C3DAB">
        <w:rPr>
          <w:rFonts w:ascii="Palatino Linotype" w:eastAsia="Palatino Linotype" w:hAnsi="Palatino Linotype" w:cs="Palatino Linotype"/>
          <w:i/>
          <w:sz w:val="22"/>
          <w:szCs w:val="22"/>
        </w:rPr>
        <w:t xml:space="preserve">. La resolución o resoluciones aprobadas; y </w:t>
      </w:r>
    </w:p>
    <w:p w14:paraId="4D46F86B"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V</w:t>
      </w:r>
      <w:r w:rsidRPr="004C3DAB">
        <w:rPr>
          <w:rFonts w:ascii="Palatino Linotype" w:eastAsia="Palatino Linotype" w:hAnsi="Palatino Linotype" w:cs="Palatino Linotype"/>
          <w:i/>
          <w:sz w:val="22"/>
          <w:szCs w:val="22"/>
        </w:rPr>
        <w:t xml:space="preserve">. La rúbrica o firma digital de cada integrante del Comité de Transparencia. </w:t>
      </w:r>
    </w:p>
    <w:p w14:paraId="36B5093F" w14:textId="77777777" w:rsidR="00AD3E4B" w:rsidRPr="004C3DAB" w:rsidRDefault="000E1E1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A3090B3"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w:t>
      </w:r>
      <w:r w:rsidRPr="004C3DA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42C0290"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4C3DAB">
        <w:rPr>
          <w:rFonts w:ascii="Palatino Linotype" w:eastAsia="Palatino Linotype" w:hAnsi="Palatino Linotype" w:cs="Palatino Linotype"/>
          <w:b/>
          <w:i/>
          <w:sz w:val="22"/>
          <w:szCs w:val="22"/>
        </w:rPr>
        <w:t>II</w:t>
      </w:r>
      <w:r w:rsidRPr="004C3DAB">
        <w:rPr>
          <w:rFonts w:ascii="Palatino Linotype" w:eastAsia="Palatino Linotype" w:hAnsi="Palatino Linotype" w:cs="Palatino Linotype"/>
          <w:i/>
          <w:sz w:val="22"/>
          <w:szCs w:val="22"/>
        </w:rPr>
        <w:t>. Descripción de las partes o secciones reservadas, en caso de clasificación parcial</w:t>
      </w:r>
      <w:r w:rsidRPr="004C3DAB">
        <w:rPr>
          <w:rFonts w:ascii="Palatino Linotype" w:eastAsia="Palatino Linotype" w:hAnsi="Palatino Linotype" w:cs="Palatino Linotype"/>
          <w:b/>
          <w:i/>
          <w:sz w:val="22"/>
          <w:szCs w:val="22"/>
        </w:rPr>
        <w:t xml:space="preserve">; </w:t>
      </w:r>
    </w:p>
    <w:p w14:paraId="776B187D"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III.</w:t>
      </w:r>
      <w:r w:rsidRPr="004C3DAB">
        <w:rPr>
          <w:rFonts w:ascii="Palatino Linotype" w:eastAsia="Palatino Linotype" w:hAnsi="Palatino Linotype" w:cs="Palatino Linotype"/>
          <w:i/>
          <w:sz w:val="22"/>
          <w:szCs w:val="22"/>
        </w:rPr>
        <w:t xml:space="preserve"> El periodo por el que mantendrá su clasificación y fecha de expiración; y </w:t>
      </w:r>
    </w:p>
    <w:p w14:paraId="62976CDE" w14:textId="77777777" w:rsidR="00AD3E4B" w:rsidRPr="004C3DAB" w:rsidRDefault="000E1E1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IV.</w:t>
      </w:r>
      <w:r w:rsidRPr="004C3DA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6386B6B" w14:textId="77777777" w:rsidR="00AD3E4B" w:rsidRPr="004C3DAB" w:rsidRDefault="000E1E1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D7DE1DB" w14:textId="77777777" w:rsidR="00AD3E4B" w:rsidRPr="004C3DAB" w:rsidRDefault="000E1E1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14E5D50" w14:textId="77777777" w:rsidR="00AD3E4B" w:rsidRPr="004C3DAB" w:rsidRDefault="000E1E1C">
      <w:pPr>
        <w:spacing w:before="120" w:after="120"/>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Quincuagésimo segundo</w:t>
      </w:r>
      <w:r w:rsidRPr="004C3DA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65E75DE" w14:textId="77777777" w:rsidR="00AD3E4B" w:rsidRPr="004C3DAB" w:rsidRDefault="000E1E1C">
      <w:pPr>
        <w:spacing w:before="120" w:after="120"/>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 xml:space="preserve">En el caso </w:t>
      </w:r>
      <w:proofErr w:type="spellStart"/>
      <w:r w:rsidRPr="004C3DAB">
        <w:rPr>
          <w:rFonts w:ascii="Palatino Linotype" w:eastAsia="Palatino Linotype" w:hAnsi="Palatino Linotype" w:cs="Palatino Linotype"/>
          <w:i/>
          <w:sz w:val="22"/>
          <w:szCs w:val="22"/>
        </w:rPr>
        <w:t>especifico</w:t>
      </w:r>
      <w:proofErr w:type="spellEnd"/>
      <w:r w:rsidRPr="004C3DAB">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60DC9B24" w14:textId="77777777" w:rsidR="00AD3E4B" w:rsidRPr="004C3DAB" w:rsidRDefault="000E1E1C">
      <w:pPr>
        <w:spacing w:before="120" w:after="120"/>
        <w:ind w:left="1134"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w:t>
      </w:r>
      <w:r w:rsidRPr="004C3DA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A38A30D" w14:textId="77777777" w:rsidR="00AD3E4B" w:rsidRPr="004C3DAB" w:rsidRDefault="000E1E1C">
      <w:pPr>
        <w:spacing w:before="120" w:after="120"/>
        <w:ind w:left="1134"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II.</w:t>
      </w:r>
      <w:r w:rsidRPr="004C3DA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9D3DD93" w14:textId="77777777" w:rsidR="00AD3E4B" w:rsidRPr="004C3DAB" w:rsidRDefault="000E1E1C">
      <w:pPr>
        <w:spacing w:before="120" w:after="120"/>
        <w:ind w:left="1134"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lastRenderedPageBreak/>
        <w:t>III.</w:t>
      </w:r>
      <w:r w:rsidRPr="004C3DAB">
        <w:rPr>
          <w:rFonts w:ascii="Palatino Linotype" w:eastAsia="Palatino Linotype" w:hAnsi="Palatino Linotype" w:cs="Palatino Linotype"/>
          <w:i/>
          <w:sz w:val="22"/>
          <w:szCs w:val="22"/>
        </w:rPr>
        <w:t xml:space="preserve"> Señalar las personas o instancias autorizadas a acceder a la información clasificada.</w:t>
      </w:r>
    </w:p>
    <w:p w14:paraId="0FE81E8E" w14:textId="77777777" w:rsidR="00AD3E4B" w:rsidRPr="004C3DAB" w:rsidRDefault="000E1E1C">
      <w:pPr>
        <w:spacing w:before="120" w:after="120"/>
        <w:ind w:left="851" w:right="900"/>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6E8F25E"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Asimismo, deberá observar los Lineamientos Quincuagésimo cuarto, Quincuagésimo quinto, Quincuagésimo séptimo y Quincuagésimo octavo, establecen lo siguiente:</w:t>
      </w:r>
    </w:p>
    <w:p w14:paraId="41A6F69C" w14:textId="77777777" w:rsidR="00AD3E4B" w:rsidRPr="004C3DAB" w:rsidRDefault="000E1E1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4C3DAB">
        <w:rPr>
          <w:rFonts w:ascii="Palatino Linotype" w:eastAsia="Palatino Linotype" w:hAnsi="Palatino Linotype" w:cs="Palatino Linotype"/>
          <w:i/>
          <w:sz w:val="22"/>
          <w:szCs w:val="22"/>
        </w:rPr>
        <w:t>“</w:t>
      </w:r>
      <w:r w:rsidRPr="004C3DAB">
        <w:rPr>
          <w:rFonts w:ascii="Palatino Linotype" w:eastAsia="Palatino Linotype" w:hAnsi="Palatino Linotype" w:cs="Palatino Linotype"/>
          <w:b/>
          <w:i/>
          <w:sz w:val="22"/>
          <w:szCs w:val="22"/>
        </w:rPr>
        <w:t xml:space="preserve">Quincuagésimo cuarto. </w:t>
      </w:r>
      <w:r w:rsidRPr="004C3DA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C3DAB">
        <w:rPr>
          <w:rFonts w:ascii="Palatino Linotype" w:eastAsia="Palatino Linotype" w:hAnsi="Palatino Linotype" w:cs="Palatino Linotype"/>
          <w:b/>
          <w:i/>
          <w:sz w:val="22"/>
          <w:szCs w:val="22"/>
        </w:rPr>
        <w:t xml:space="preserve"> </w:t>
      </w:r>
    </w:p>
    <w:p w14:paraId="3D4F9F2E"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 xml:space="preserve">Quincuagésimo quinto. </w:t>
      </w:r>
      <w:r w:rsidRPr="004C3DA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C3DAB">
        <w:rPr>
          <w:rFonts w:ascii="Palatino Linotype" w:eastAsia="Palatino Linotype" w:hAnsi="Palatino Linotype" w:cs="Palatino Linotype"/>
          <w:i/>
          <w:sz w:val="22"/>
          <w:szCs w:val="22"/>
        </w:rPr>
        <w:t>testado</w:t>
      </w:r>
      <w:proofErr w:type="spellEnd"/>
      <w:r w:rsidRPr="004C3DA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29A7FC1" w14:textId="77777777" w:rsidR="00AD3E4B" w:rsidRPr="004C3DAB" w:rsidRDefault="000E1E1C">
      <w:pPr>
        <w:spacing w:before="120" w:after="120"/>
        <w:ind w:left="851" w:right="902"/>
        <w:jc w:val="both"/>
        <w:rPr>
          <w:rFonts w:ascii="Palatino Linotype" w:eastAsia="Palatino Linotype" w:hAnsi="Palatino Linotype" w:cs="Palatino Linotype"/>
          <w:b/>
          <w:i/>
          <w:sz w:val="22"/>
          <w:szCs w:val="22"/>
        </w:rPr>
      </w:pPr>
      <w:r w:rsidRPr="004C3DAB">
        <w:rPr>
          <w:rFonts w:ascii="Palatino Linotype" w:eastAsia="Palatino Linotype" w:hAnsi="Palatino Linotype" w:cs="Palatino Linotype"/>
          <w:b/>
          <w:i/>
          <w:sz w:val="22"/>
          <w:szCs w:val="22"/>
        </w:rPr>
        <w:t>...</w:t>
      </w:r>
    </w:p>
    <w:p w14:paraId="6C23D2FF"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Quincuagésimo séptimo</w:t>
      </w:r>
      <w:r w:rsidRPr="004C3DA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5627035"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w:t>
      </w:r>
      <w:r w:rsidRPr="004C3DA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C776691"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II.</w:t>
      </w:r>
      <w:r w:rsidRPr="004C3DA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BA67CD4" w14:textId="77777777" w:rsidR="00AD3E4B" w:rsidRPr="004C3DAB" w:rsidRDefault="000E1E1C">
      <w:pPr>
        <w:spacing w:before="120" w:after="120"/>
        <w:ind w:left="1134"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III</w:t>
      </w:r>
      <w:r w:rsidRPr="004C3DA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D0F94AD"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49C78B83" w14:textId="77777777" w:rsidR="00AD3E4B" w:rsidRPr="004C3DAB" w:rsidRDefault="000E1E1C">
      <w:pPr>
        <w:spacing w:before="120" w:after="120"/>
        <w:ind w:left="851" w:right="902"/>
        <w:jc w:val="both"/>
        <w:rPr>
          <w:rFonts w:ascii="Palatino Linotype" w:eastAsia="Palatino Linotype" w:hAnsi="Palatino Linotype" w:cs="Palatino Linotype"/>
          <w:i/>
          <w:sz w:val="22"/>
          <w:szCs w:val="22"/>
        </w:rPr>
      </w:pPr>
      <w:r w:rsidRPr="004C3DAB">
        <w:rPr>
          <w:rFonts w:ascii="Palatino Linotype" w:eastAsia="Palatino Linotype" w:hAnsi="Palatino Linotype" w:cs="Palatino Linotype"/>
          <w:b/>
          <w:i/>
          <w:sz w:val="22"/>
          <w:szCs w:val="22"/>
        </w:rPr>
        <w:t>Quincuagésimo octavo</w:t>
      </w:r>
      <w:r w:rsidRPr="004C3DA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73FF231"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3B3AEDDC" w14:textId="77777777" w:rsidR="00AD3E4B" w:rsidRPr="004C3DAB" w:rsidRDefault="000E1E1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C3DAB">
        <w:rPr>
          <w:rFonts w:ascii="Palatino Linotype" w:eastAsia="Palatino Linotype" w:hAnsi="Palatino Linotype" w:cs="Palatino Linotype"/>
          <w:b/>
        </w:rPr>
        <w:t>III. R E S U E L V E</w:t>
      </w:r>
    </w:p>
    <w:p w14:paraId="5EC3E344" w14:textId="77777777" w:rsidR="00AD3E4B" w:rsidRPr="004C3DAB" w:rsidRDefault="000E1E1C">
      <w:pPr>
        <w:spacing w:before="240" w:after="240" w:line="360" w:lineRule="auto"/>
        <w:jc w:val="both"/>
        <w:rPr>
          <w:rFonts w:ascii="Palatino Linotype" w:eastAsia="Palatino Linotype" w:hAnsi="Palatino Linotype" w:cs="Palatino Linotype"/>
        </w:rPr>
      </w:pPr>
      <w:bookmarkStart w:id="9" w:name="_heading=h.26in1rg" w:colFirst="0" w:colLast="0"/>
      <w:bookmarkEnd w:id="9"/>
      <w:r w:rsidRPr="004C3DAB">
        <w:rPr>
          <w:rFonts w:ascii="Palatino Linotype" w:eastAsia="Palatino Linotype" w:hAnsi="Palatino Linotype" w:cs="Palatino Linotype"/>
          <w:b/>
        </w:rPr>
        <w:t xml:space="preserve">Primero. </w:t>
      </w:r>
      <w:r w:rsidRPr="004C3DAB">
        <w:rPr>
          <w:rFonts w:ascii="Palatino Linotype" w:eastAsia="Palatino Linotype" w:hAnsi="Palatino Linotype" w:cs="Palatino Linotype"/>
        </w:rPr>
        <w:t>Resultan</w:t>
      </w:r>
      <w:r w:rsidRPr="004C3DAB">
        <w:rPr>
          <w:rFonts w:ascii="Palatino Linotype" w:eastAsia="Palatino Linotype" w:hAnsi="Palatino Linotype" w:cs="Palatino Linotype"/>
          <w:b/>
        </w:rPr>
        <w:t xml:space="preserve"> parcialmente fundadas</w:t>
      </w:r>
      <w:r w:rsidRPr="004C3DAB">
        <w:rPr>
          <w:rFonts w:ascii="Palatino Linotype" w:eastAsia="Palatino Linotype" w:hAnsi="Palatino Linotype" w:cs="Palatino Linotype"/>
        </w:rPr>
        <w:t xml:space="preserve"> las razones o motivos de inconformidad hechos valer por la parte</w:t>
      </w:r>
      <w:r w:rsidRPr="004C3DAB">
        <w:rPr>
          <w:rFonts w:ascii="Palatino Linotype" w:eastAsia="Palatino Linotype" w:hAnsi="Palatino Linotype" w:cs="Palatino Linotype"/>
          <w:b/>
        </w:rPr>
        <w:t xml:space="preserve"> Recurrente</w:t>
      </w:r>
      <w:r w:rsidRPr="004C3DAB">
        <w:rPr>
          <w:rFonts w:ascii="Palatino Linotype" w:eastAsia="Palatino Linotype" w:hAnsi="Palatino Linotype" w:cs="Palatino Linotype"/>
        </w:rPr>
        <w:t xml:space="preserve"> en el recurso de revisión </w:t>
      </w:r>
      <w:r w:rsidRPr="004C3DAB">
        <w:rPr>
          <w:rFonts w:ascii="Palatino Linotype" w:eastAsia="Palatino Linotype" w:hAnsi="Palatino Linotype" w:cs="Palatino Linotype"/>
          <w:b/>
        </w:rPr>
        <w:t>06689/INFOEM/IP/RR/2024</w:t>
      </w:r>
      <w:r w:rsidRPr="004C3DAB">
        <w:rPr>
          <w:rFonts w:ascii="Palatino Linotype" w:eastAsia="Palatino Linotype" w:hAnsi="Palatino Linotype" w:cs="Palatino Linotype"/>
        </w:rPr>
        <w:t xml:space="preserve">; por lo que, en términos del </w:t>
      </w:r>
      <w:r w:rsidRPr="004C3DAB">
        <w:rPr>
          <w:rFonts w:ascii="Palatino Linotype" w:eastAsia="Palatino Linotype" w:hAnsi="Palatino Linotype" w:cs="Palatino Linotype"/>
          <w:b/>
        </w:rPr>
        <w:t>Considerando</w:t>
      </w:r>
      <w:r w:rsidRPr="004C3DAB">
        <w:rPr>
          <w:rFonts w:ascii="Palatino Linotype" w:eastAsia="Palatino Linotype" w:hAnsi="Palatino Linotype" w:cs="Palatino Linotype"/>
        </w:rPr>
        <w:t xml:space="preserve"> </w:t>
      </w:r>
      <w:r w:rsidRPr="004C3DAB">
        <w:rPr>
          <w:rFonts w:ascii="Palatino Linotype" w:eastAsia="Palatino Linotype" w:hAnsi="Palatino Linotype" w:cs="Palatino Linotype"/>
          <w:b/>
        </w:rPr>
        <w:t xml:space="preserve">Cuarto </w:t>
      </w:r>
      <w:r w:rsidRPr="004C3DAB">
        <w:rPr>
          <w:rFonts w:ascii="Palatino Linotype" w:eastAsia="Palatino Linotype" w:hAnsi="Palatino Linotype" w:cs="Palatino Linotype"/>
        </w:rPr>
        <w:t xml:space="preserve">de esta resolución, se </w:t>
      </w:r>
      <w:r w:rsidRPr="004C3DAB">
        <w:rPr>
          <w:rFonts w:ascii="Palatino Linotype" w:eastAsia="Palatino Linotype" w:hAnsi="Palatino Linotype" w:cs="Palatino Linotype"/>
          <w:b/>
        </w:rPr>
        <w:t>Modifica</w:t>
      </w:r>
      <w:r w:rsidRPr="004C3DAB">
        <w:rPr>
          <w:rFonts w:ascii="Palatino Linotype" w:eastAsia="Palatino Linotype" w:hAnsi="Palatino Linotype" w:cs="Palatino Linotype"/>
        </w:rPr>
        <w:t xml:space="preserve"> la respuesta emitida por el </w:t>
      </w:r>
      <w:r w:rsidRPr="004C3DAB">
        <w:rPr>
          <w:rFonts w:ascii="Palatino Linotype" w:eastAsia="Palatino Linotype" w:hAnsi="Palatino Linotype" w:cs="Palatino Linotype"/>
          <w:b/>
        </w:rPr>
        <w:t xml:space="preserve">Sujeto Obligado. </w:t>
      </w:r>
    </w:p>
    <w:p w14:paraId="1BF29972" w14:textId="77777777" w:rsidR="00AD3E4B" w:rsidRPr="004C3DAB" w:rsidRDefault="000E1E1C">
      <w:pPr>
        <w:spacing w:before="240" w:after="240" w:line="360" w:lineRule="auto"/>
        <w:ind w:right="49"/>
        <w:jc w:val="both"/>
        <w:rPr>
          <w:rFonts w:ascii="Palatino Linotype" w:eastAsia="Palatino Linotype" w:hAnsi="Palatino Linotype" w:cs="Palatino Linotype"/>
        </w:rPr>
      </w:pPr>
      <w:r w:rsidRPr="004C3DAB">
        <w:rPr>
          <w:rFonts w:ascii="Palatino Linotype" w:eastAsia="Palatino Linotype" w:hAnsi="Palatino Linotype" w:cs="Palatino Linotype"/>
          <w:b/>
        </w:rPr>
        <w:t xml:space="preserve">Segundo. </w:t>
      </w:r>
      <w:r w:rsidRPr="004C3DAB">
        <w:rPr>
          <w:rFonts w:ascii="Palatino Linotype" w:eastAsia="Palatino Linotype" w:hAnsi="Palatino Linotype" w:cs="Palatino Linotype"/>
        </w:rPr>
        <w:t xml:space="preserve">Se </w:t>
      </w:r>
      <w:r w:rsidRPr="004C3DAB">
        <w:rPr>
          <w:rFonts w:ascii="Palatino Linotype" w:eastAsia="Palatino Linotype" w:hAnsi="Palatino Linotype" w:cs="Palatino Linotype"/>
          <w:b/>
        </w:rPr>
        <w:t xml:space="preserve">Ordena </w:t>
      </w:r>
      <w:r w:rsidRPr="004C3DAB">
        <w:rPr>
          <w:rFonts w:ascii="Palatino Linotype" w:eastAsia="Palatino Linotype" w:hAnsi="Palatino Linotype" w:cs="Palatino Linotype"/>
        </w:rPr>
        <w:t xml:space="preserve">al </w:t>
      </w:r>
      <w:r w:rsidRPr="004C3DAB">
        <w:rPr>
          <w:rFonts w:ascii="Palatino Linotype" w:eastAsia="Palatino Linotype" w:hAnsi="Palatino Linotype" w:cs="Palatino Linotype"/>
          <w:b/>
        </w:rPr>
        <w:t xml:space="preserve">Sujeto Obligado, </w:t>
      </w:r>
      <w:r w:rsidRPr="004C3DAB">
        <w:rPr>
          <w:rFonts w:ascii="Palatino Linotype" w:eastAsia="Palatino Linotype" w:hAnsi="Palatino Linotype" w:cs="Palatino Linotype"/>
        </w:rPr>
        <w:t xml:space="preserve">en términos de los </w:t>
      </w:r>
      <w:r w:rsidRPr="004C3DAB">
        <w:rPr>
          <w:rFonts w:ascii="Palatino Linotype" w:eastAsia="Palatino Linotype" w:hAnsi="Palatino Linotype" w:cs="Palatino Linotype"/>
          <w:b/>
        </w:rPr>
        <w:t>Considerandos</w:t>
      </w:r>
      <w:r w:rsidRPr="004C3DAB">
        <w:rPr>
          <w:rFonts w:ascii="Palatino Linotype" w:eastAsia="Palatino Linotype" w:hAnsi="Palatino Linotype" w:cs="Palatino Linotype"/>
        </w:rPr>
        <w:t xml:space="preserve"> </w:t>
      </w:r>
      <w:r w:rsidRPr="004C3DAB">
        <w:rPr>
          <w:rFonts w:ascii="Palatino Linotype" w:eastAsia="Palatino Linotype" w:hAnsi="Palatino Linotype" w:cs="Palatino Linotype"/>
          <w:b/>
        </w:rPr>
        <w:t xml:space="preserve">Cuarto </w:t>
      </w:r>
      <w:r w:rsidRPr="004C3DAB">
        <w:rPr>
          <w:rFonts w:ascii="Palatino Linotype" w:eastAsia="Palatino Linotype" w:hAnsi="Palatino Linotype" w:cs="Palatino Linotype"/>
        </w:rPr>
        <w:t xml:space="preserve">y </w:t>
      </w:r>
      <w:r w:rsidRPr="004C3DAB">
        <w:rPr>
          <w:rFonts w:ascii="Palatino Linotype" w:eastAsia="Palatino Linotype" w:hAnsi="Palatino Linotype" w:cs="Palatino Linotype"/>
          <w:b/>
        </w:rPr>
        <w:t xml:space="preserve">Quinto </w:t>
      </w:r>
      <w:r w:rsidRPr="004C3DAB">
        <w:rPr>
          <w:rFonts w:ascii="Palatino Linotype" w:eastAsia="Palatino Linotype" w:hAnsi="Palatino Linotype" w:cs="Palatino Linotype"/>
        </w:rPr>
        <w:t xml:space="preserve">de esta resolución, haga entrega, vía </w:t>
      </w:r>
      <w:r w:rsidRPr="004C3DAB">
        <w:rPr>
          <w:rFonts w:ascii="Palatino Linotype" w:eastAsia="Palatino Linotype" w:hAnsi="Palatino Linotype" w:cs="Palatino Linotype"/>
          <w:b/>
        </w:rPr>
        <w:t>SAIMEX</w:t>
      </w:r>
      <w:r w:rsidRPr="004C3DAB">
        <w:rPr>
          <w:rFonts w:ascii="Palatino Linotype" w:eastAsia="Palatino Linotype" w:hAnsi="Palatino Linotype" w:cs="Palatino Linotype"/>
        </w:rPr>
        <w:t>, previa búsqueda exhaustiva y razonable, de ser procedente en versión pública, del o los documentos donde conste lo siguiente:</w:t>
      </w:r>
    </w:p>
    <w:p w14:paraId="44F579EA" w14:textId="77777777" w:rsidR="00AD3E4B" w:rsidRPr="004C3DAB" w:rsidRDefault="000E1E1C">
      <w:pPr>
        <w:spacing w:before="240" w:after="240" w:line="360" w:lineRule="auto"/>
        <w:ind w:left="284" w:right="49"/>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De las licencias de uso de suelo expedidas del uno de enero de dos mil veintidós, al dos de octubre de dos mil veinticuatro: </w:t>
      </w:r>
    </w:p>
    <w:p w14:paraId="1852D523" w14:textId="77777777" w:rsidR="00AD3E4B" w:rsidRPr="004C3DAB" w:rsidRDefault="000E1E1C">
      <w:pPr>
        <w:spacing w:line="360" w:lineRule="auto"/>
        <w:ind w:left="567"/>
        <w:jc w:val="both"/>
        <w:rPr>
          <w:rFonts w:ascii="Palatino Linotype" w:eastAsia="Palatino Linotype" w:hAnsi="Palatino Linotype" w:cs="Palatino Linotype"/>
        </w:rPr>
      </w:pPr>
      <w:r w:rsidRPr="004C3DAB">
        <w:rPr>
          <w:rFonts w:ascii="Palatino Linotype" w:eastAsia="Palatino Linotype" w:hAnsi="Palatino Linotype" w:cs="Palatino Linotype"/>
        </w:rPr>
        <w:t>1. Número de licencias expedidas de manera mensual.</w:t>
      </w:r>
    </w:p>
    <w:p w14:paraId="3CC74BFF" w14:textId="77777777" w:rsidR="00AD3E4B" w:rsidRPr="004C3DAB" w:rsidRDefault="000E1E1C">
      <w:pPr>
        <w:spacing w:before="120" w:after="120"/>
        <w:ind w:left="284" w:right="-91"/>
        <w:jc w:val="both"/>
        <w:rPr>
          <w:rFonts w:ascii="Palatino Linotype" w:eastAsia="Palatino Linotype" w:hAnsi="Palatino Linotype" w:cs="Palatino Linotype"/>
          <w:sz w:val="20"/>
          <w:szCs w:val="20"/>
        </w:rPr>
      </w:pPr>
      <w:bookmarkStart w:id="10" w:name="_heading=h.35nkun2" w:colFirst="0" w:colLast="0"/>
      <w:bookmarkEnd w:id="10"/>
      <w:r w:rsidRPr="004C3DAB">
        <w:rPr>
          <w:rFonts w:ascii="Palatino Linotype" w:eastAsia="Palatino Linotype" w:hAnsi="Palatino Linotype" w:cs="Palatino Linotype"/>
          <w:i/>
          <w:sz w:val="20"/>
          <w:szCs w:val="20"/>
        </w:rPr>
        <w:lastRenderedPageBreak/>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r w:rsidRPr="004C3DAB">
        <w:rPr>
          <w:rFonts w:ascii="Palatino Linotype" w:eastAsia="Palatino Linotype" w:hAnsi="Palatino Linotype" w:cs="Palatino Linotype"/>
          <w:sz w:val="20"/>
          <w:szCs w:val="20"/>
        </w:rPr>
        <w:t>.</w:t>
      </w:r>
    </w:p>
    <w:p w14:paraId="44BB5CE3" w14:textId="77777777" w:rsidR="00AD3E4B" w:rsidRPr="004C3DAB" w:rsidRDefault="000E1E1C">
      <w:pPr>
        <w:spacing w:before="120" w:after="120"/>
        <w:ind w:left="284" w:right="-91"/>
        <w:jc w:val="both"/>
        <w:rPr>
          <w:rFonts w:ascii="Palatino Linotype" w:eastAsia="Palatino Linotype" w:hAnsi="Palatino Linotype" w:cs="Palatino Linotype"/>
          <w:i/>
          <w:sz w:val="20"/>
          <w:szCs w:val="20"/>
        </w:rPr>
      </w:pPr>
      <w:r w:rsidRPr="004C3DAB">
        <w:rPr>
          <w:rFonts w:ascii="Palatino Linotype" w:eastAsia="Palatino Linotype" w:hAnsi="Palatino Linotype" w:cs="Palatino Linotype"/>
          <w:i/>
          <w:sz w:val="20"/>
          <w:szCs w:val="20"/>
        </w:rPr>
        <w:t xml:space="preserve">En el supuesto que la información ordenada no obre en los archivos del </w:t>
      </w:r>
      <w:r w:rsidRPr="004C3DAB">
        <w:rPr>
          <w:rFonts w:ascii="Palatino Linotype" w:eastAsia="Palatino Linotype" w:hAnsi="Palatino Linotype" w:cs="Palatino Linotype"/>
          <w:b/>
          <w:i/>
          <w:sz w:val="20"/>
          <w:szCs w:val="20"/>
        </w:rPr>
        <w:t>Sujeto Obligado</w:t>
      </w:r>
      <w:r w:rsidRPr="004C3DAB">
        <w:rPr>
          <w:rFonts w:ascii="Palatino Linotype" w:eastAsia="Palatino Linotype" w:hAnsi="Palatino Linotype" w:cs="Palatino Linotype"/>
          <w:i/>
          <w:sz w:val="20"/>
          <w:szCs w:val="20"/>
        </w:rPr>
        <w:t xml:space="preserve">, bastará con que así lo haga del conocimiento de la parte </w:t>
      </w:r>
      <w:r w:rsidRPr="004C3DAB">
        <w:rPr>
          <w:rFonts w:ascii="Palatino Linotype" w:eastAsia="Palatino Linotype" w:hAnsi="Palatino Linotype" w:cs="Palatino Linotype"/>
          <w:b/>
          <w:i/>
          <w:sz w:val="20"/>
          <w:szCs w:val="20"/>
        </w:rPr>
        <w:t>Recurrente</w:t>
      </w:r>
      <w:r w:rsidRPr="004C3DAB">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 para tener por colmado el requerimiento de información.</w:t>
      </w:r>
    </w:p>
    <w:p w14:paraId="62E755D7"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b/>
        </w:rPr>
        <w:t xml:space="preserve">Tercero. Notifíquese, </w:t>
      </w:r>
      <w:r w:rsidRPr="004C3DAB">
        <w:rPr>
          <w:rFonts w:ascii="Palatino Linotype" w:eastAsia="Palatino Linotype" w:hAnsi="Palatino Linotype" w:cs="Palatino Linotype"/>
        </w:rPr>
        <w:t xml:space="preserve">vía </w:t>
      </w:r>
      <w:r w:rsidRPr="004C3DAB">
        <w:rPr>
          <w:rFonts w:ascii="Palatino Linotype" w:eastAsia="Palatino Linotype" w:hAnsi="Palatino Linotype" w:cs="Palatino Linotype"/>
          <w:b/>
        </w:rPr>
        <w:t>SAIMEX</w:t>
      </w:r>
      <w:r w:rsidRPr="004C3DAB">
        <w:rPr>
          <w:rFonts w:ascii="Palatino Linotype" w:eastAsia="Palatino Linotype" w:hAnsi="Palatino Linotype" w:cs="Palatino Linotype"/>
        </w:rPr>
        <w:t xml:space="preserve">, al Titular de la Unidad de Transparencia del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FD51017" w14:textId="77777777" w:rsidR="00AD3E4B" w:rsidRPr="004C3DAB" w:rsidRDefault="000E1E1C">
      <w:pPr>
        <w:spacing w:before="240" w:after="240" w:line="360" w:lineRule="auto"/>
        <w:jc w:val="both"/>
        <w:rPr>
          <w:rFonts w:ascii="Palatino Linotype" w:eastAsia="Palatino Linotype" w:hAnsi="Palatino Linotype" w:cs="Palatino Linotype"/>
        </w:rPr>
      </w:pPr>
      <w:r w:rsidRPr="004C3DA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C3DAB">
        <w:rPr>
          <w:rFonts w:ascii="Palatino Linotype" w:eastAsia="Palatino Linotype" w:hAnsi="Palatino Linotype" w:cs="Palatino Linotype"/>
          <w:b/>
        </w:rPr>
        <w:t>Sujeto Obligado</w:t>
      </w:r>
      <w:r w:rsidRPr="004C3DAB">
        <w:rPr>
          <w:rFonts w:ascii="Palatino Linotype" w:eastAsia="Palatino Linotype" w:hAnsi="Palatino Linotype" w:cs="Palatino Linotype"/>
        </w:rPr>
        <w:t xml:space="preserve"> de manera fundada y motivada, podrá solicitar una ampliación de plazo para el cumplimiento de la presente resolución.</w:t>
      </w:r>
    </w:p>
    <w:p w14:paraId="0BD72D48" w14:textId="77777777" w:rsidR="00AD3E4B" w:rsidRPr="004C3DAB" w:rsidRDefault="000E1E1C">
      <w:pPr>
        <w:spacing w:before="240" w:after="240" w:line="360" w:lineRule="auto"/>
        <w:jc w:val="both"/>
        <w:rPr>
          <w:rFonts w:ascii="Palatino Linotype" w:eastAsia="Palatino Linotype" w:hAnsi="Palatino Linotype" w:cs="Palatino Linotype"/>
        </w:rPr>
      </w:pPr>
      <w:bookmarkStart w:id="11" w:name="_heading=h.17dp8vu" w:colFirst="0" w:colLast="0"/>
      <w:bookmarkEnd w:id="11"/>
      <w:r w:rsidRPr="004C3DAB">
        <w:rPr>
          <w:rFonts w:ascii="Palatino Linotype" w:eastAsia="Palatino Linotype" w:hAnsi="Palatino Linotype" w:cs="Palatino Linotype"/>
          <w:b/>
        </w:rPr>
        <w:t xml:space="preserve">Cuarto.  Notifíquese, </w:t>
      </w:r>
      <w:r w:rsidRPr="004C3DAB">
        <w:rPr>
          <w:rFonts w:ascii="Palatino Linotype" w:eastAsia="Palatino Linotype" w:hAnsi="Palatino Linotype" w:cs="Palatino Linotype"/>
        </w:rPr>
        <w:t xml:space="preserve">vía </w:t>
      </w:r>
      <w:r w:rsidRPr="004C3DAB">
        <w:rPr>
          <w:rFonts w:ascii="Palatino Linotype" w:eastAsia="Palatino Linotype" w:hAnsi="Palatino Linotype" w:cs="Palatino Linotype"/>
          <w:b/>
        </w:rPr>
        <w:t>SAIMEX</w:t>
      </w:r>
      <w:r w:rsidRPr="004C3DAB">
        <w:rPr>
          <w:rFonts w:ascii="Palatino Linotype" w:eastAsia="Palatino Linotype" w:hAnsi="Palatino Linotype" w:cs="Palatino Linotype"/>
        </w:rPr>
        <w:t xml:space="preserve">, a la parte </w:t>
      </w:r>
      <w:r w:rsidRPr="004C3DAB">
        <w:rPr>
          <w:rFonts w:ascii="Palatino Linotype" w:eastAsia="Palatino Linotype" w:hAnsi="Palatino Linotype" w:cs="Palatino Linotype"/>
          <w:b/>
        </w:rPr>
        <w:t>Recurrente</w:t>
      </w:r>
      <w:r w:rsidRPr="004C3DA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4C3DAB">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58F0DE59" w14:textId="77777777" w:rsidR="00AD3E4B" w:rsidRPr="004C3DAB" w:rsidRDefault="000E1E1C">
      <w:pPr>
        <w:spacing w:line="360" w:lineRule="auto"/>
        <w:jc w:val="both"/>
        <w:rPr>
          <w:rFonts w:ascii="Palatino Linotype" w:eastAsia="Palatino Linotype" w:hAnsi="Palatino Linotype" w:cs="Palatino Linotype"/>
        </w:rPr>
      </w:pPr>
      <w:bookmarkStart w:id="12" w:name="_heading=h.lnxbz9" w:colFirst="0" w:colLast="0"/>
      <w:bookmarkEnd w:id="12"/>
      <w:r w:rsidRPr="004C3DA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VEINTISIETE DE NOVIEMBRE DE DOS MIL VEINTICUATRO, ANTE EL SECRETARIO TÉCNICO DEL PLENO ALEXIS TAPIA RAMÍREZ.</w:t>
      </w:r>
    </w:p>
    <w:p w14:paraId="2B8EE934" w14:textId="77777777" w:rsidR="00AD3E4B" w:rsidRPr="004C3DAB" w:rsidRDefault="00AD3E4B">
      <w:pPr>
        <w:spacing w:line="360" w:lineRule="auto"/>
        <w:jc w:val="both"/>
        <w:rPr>
          <w:rFonts w:ascii="Palatino Linotype" w:eastAsia="Palatino Linotype" w:hAnsi="Palatino Linotype" w:cs="Palatino Linotype"/>
        </w:rPr>
      </w:pPr>
      <w:bookmarkStart w:id="13" w:name="_heading=h.1fob9te" w:colFirst="0" w:colLast="0"/>
      <w:bookmarkEnd w:id="13"/>
    </w:p>
    <w:p w14:paraId="249546CF" w14:textId="77777777" w:rsidR="00AD3E4B" w:rsidRPr="004C3DAB" w:rsidRDefault="00AD3E4B">
      <w:pPr>
        <w:rPr>
          <w:rFonts w:ascii="Palatino Linotype" w:eastAsia="Palatino Linotype" w:hAnsi="Palatino Linotype" w:cs="Palatino Linotype"/>
        </w:rPr>
      </w:pPr>
    </w:p>
    <w:p w14:paraId="0DCA41A7" w14:textId="77777777" w:rsidR="00AD3E4B" w:rsidRPr="004C3DAB" w:rsidRDefault="00AD3E4B">
      <w:pPr>
        <w:rPr>
          <w:rFonts w:ascii="Palatino Linotype" w:eastAsia="Palatino Linotype" w:hAnsi="Palatino Linotype" w:cs="Palatino Linotype"/>
        </w:rPr>
      </w:pPr>
    </w:p>
    <w:p w14:paraId="23455DF7" w14:textId="77777777" w:rsidR="00AD3E4B" w:rsidRPr="004C3DAB" w:rsidRDefault="00AD3E4B">
      <w:pPr>
        <w:rPr>
          <w:rFonts w:ascii="Palatino Linotype" w:eastAsia="Palatino Linotype" w:hAnsi="Palatino Linotype" w:cs="Palatino Linotype"/>
        </w:rPr>
      </w:pPr>
    </w:p>
    <w:p w14:paraId="37328C58" w14:textId="77777777" w:rsidR="00AD3E4B" w:rsidRPr="004C3DAB" w:rsidRDefault="00AD3E4B">
      <w:pPr>
        <w:rPr>
          <w:rFonts w:ascii="Palatino Linotype" w:eastAsia="Palatino Linotype" w:hAnsi="Palatino Linotype" w:cs="Palatino Linotype"/>
        </w:rPr>
      </w:pPr>
    </w:p>
    <w:p w14:paraId="293EEDFA" w14:textId="77777777" w:rsidR="00AD3E4B" w:rsidRPr="004C3DAB" w:rsidRDefault="00AD3E4B">
      <w:pPr>
        <w:rPr>
          <w:rFonts w:ascii="Palatino Linotype" w:eastAsia="Palatino Linotype" w:hAnsi="Palatino Linotype" w:cs="Palatino Linotype"/>
        </w:rPr>
      </w:pPr>
    </w:p>
    <w:p w14:paraId="6E3C59C6" w14:textId="77777777" w:rsidR="00AD3E4B" w:rsidRPr="004C3DAB" w:rsidRDefault="00AD3E4B">
      <w:pPr>
        <w:rPr>
          <w:rFonts w:ascii="Palatino Linotype" w:eastAsia="Palatino Linotype" w:hAnsi="Palatino Linotype" w:cs="Palatino Linotype"/>
        </w:rPr>
      </w:pPr>
    </w:p>
    <w:p w14:paraId="1C4CE57C" w14:textId="77777777" w:rsidR="00AD3E4B" w:rsidRPr="004C3DAB" w:rsidRDefault="00AD3E4B">
      <w:pPr>
        <w:rPr>
          <w:rFonts w:ascii="Palatino Linotype" w:eastAsia="Palatino Linotype" w:hAnsi="Palatino Linotype" w:cs="Palatino Linotype"/>
        </w:rPr>
      </w:pPr>
    </w:p>
    <w:p w14:paraId="4D0C96E5" w14:textId="77777777" w:rsidR="00AD3E4B" w:rsidRPr="004C3DAB" w:rsidRDefault="00AD3E4B">
      <w:pPr>
        <w:rPr>
          <w:rFonts w:ascii="Palatino Linotype" w:eastAsia="Palatino Linotype" w:hAnsi="Palatino Linotype" w:cs="Palatino Linotype"/>
        </w:rPr>
      </w:pPr>
    </w:p>
    <w:p w14:paraId="7705A8A7" w14:textId="77777777" w:rsidR="00AD3E4B" w:rsidRPr="004C3DAB" w:rsidRDefault="00AD3E4B">
      <w:pPr>
        <w:rPr>
          <w:rFonts w:ascii="Palatino Linotype" w:eastAsia="Palatino Linotype" w:hAnsi="Palatino Linotype" w:cs="Palatino Linotype"/>
        </w:rPr>
      </w:pPr>
    </w:p>
    <w:p w14:paraId="2F240A3A" w14:textId="77777777" w:rsidR="00AD3E4B" w:rsidRPr="004C3DAB" w:rsidRDefault="00AD3E4B">
      <w:pPr>
        <w:spacing w:line="360" w:lineRule="auto"/>
        <w:jc w:val="both"/>
        <w:rPr>
          <w:rFonts w:ascii="Palatino Linotype" w:eastAsia="Palatino Linotype" w:hAnsi="Palatino Linotype" w:cs="Palatino Linotype"/>
        </w:rPr>
      </w:pPr>
      <w:bookmarkStart w:id="14" w:name="_heading=h.3rdcrjn" w:colFirst="0" w:colLast="0"/>
      <w:bookmarkEnd w:id="14"/>
    </w:p>
    <w:p w14:paraId="14A91AC8" w14:textId="77777777" w:rsidR="00AD3E4B" w:rsidRPr="004C3DAB" w:rsidRDefault="00AD3E4B">
      <w:pPr>
        <w:spacing w:line="360" w:lineRule="auto"/>
        <w:jc w:val="both"/>
        <w:rPr>
          <w:rFonts w:ascii="Palatino Linotype" w:eastAsia="Palatino Linotype" w:hAnsi="Palatino Linotype" w:cs="Palatino Linotype"/>
        </w:rPr>
      </w:pPr>
    </w:p>
    <w:p w14:paraId="3675179D" w14:textId="77777777" w:rsidR="00AD3E4B" w:rsidRPr="004C3DAB" w:rsidRDefault="00AD3E4B">
      <w:pPr>
        <w:spacing w:line="360" w:lineRule="auto"/>
        <w:jc w:val="both"/>
        <w:rPr>
          <w:rFonts w:ascii="Palatino Linotype" w:eastAsia="Palatino Linotype" w:hAnsi="Palatino Linotype" w:cs="Palatino Linotype"/>
        </w:rPr>
      </w:pPr>
    </w:p>
    <w:p w14:paraId="4517BB46" w14:textId="77777777" w:rsidR="00AD3E4B" w:rsidRPr="004C3DAB" w:rsidRDefault="00AD3E4B">
      <w:pPr>
        <w:spacing w:line="360" w:lineRule="auto"/>
        <w:jc w:val="both"/>
        <w:rPr>
          <w:rFonts w:ascii="Palatino Linotype" w:eastAsia="Palatino Linotype" w:hAnsi="Palatino Linotype" w:cs="Palatino Linotype"/>
        </w:rPr>
      </w:pPr>
      <w:bookmarkStart w:id="15" w:name="_heading=h.1t3h5sf" w:colFirst="0" w:colLast="0"/>
      <w:bookmarkEnd w:id="15"/>
    </w:p>
    <w:p w14:paraId="3A785315" w14:textId="77777777" w:rsidR="00AD3E4B" w:rsidRPr="004C3DAB" w:rsidRDefault="00AD3E4B">
      <w:pPr>
        <w:spacing w:line="360" w:lineRule="auto"/>
        <w:jc w:val="both"/>
        <w:rPr>
          <w:rFonts w:ascii="Palatino Linotype" w:eastAsia="Palatino Linotype" w:hAnsi="Palatino Linotype" w:cs="Palatino Linotype"/>
        </w:rPr>
      </w:pPr>
    </w:p>
    <w:p w14:paraId="351820A0" w14:textId="77777777" w:rsidR="00AD3E4B" w:rsidRPr="004C3DAB" w:rsidRDefault="00AD3E4B">
      <w:pPr>
        <w:spacing w:line="360" w:lineRule="auto"/>
        <w:jc w:val="both"/>
        <w:rPr>
          <w:rFonts w:ascii="Palatino Linotype" w:eastAsia="Palatino Linotype" w:hAnsi="Palatino Linotype" w:cs="Palatino Linotype"/>
        </w:rPr>
      </w:pPr>
    </w:p>
    <w:p w14:paraId="79A8655A" w14:textId="77777777" w:rsidR="00AD3E4B" w:rsidRPr="004C3DAB" w:rsidRDefault="00AD3E4B">
      <w:pPr>
        <w:spacing w:line="360" w:lineRule="auto"/>
        <w:jc w:val="both"/>
        <w:rPr>
          <w:rFonts w:ascii="Palatino Linotype" w:eastAsia="Palatino Linotype" w:hAnsi="Palatino Linotype" w:cs="Palatino Linotype"/>
        </w:rPr>
      </w:pPr>
    </w:p>
    <w:p w14:paraId="4C45159F" w14:textId="77777777" w:rsidR="00AD3E4B" w:rsidRPr="004C3DAB" w:rsidRDefault="00AD3E4B">
      <w:pPr>
        <w:spacing w:line="360" w:lineRule="auto"/>
        <w:jc w:val="both"/>
        <w:rPr>
          <w:rFonts w:ascii="Palatino Linotype" w:eastAsia="Palatino Linotype" w:hAnsi="Palatino Linotype" w:cs="Palatino Linotype"/>
        </w:rPr>
      </w:pPr>
    </w:p>
    <w:p w14:paraId="115B4C35" w14:textId="77777777" w:rsidR="00AD3E4B" w:rsidRPr="004C3DAB" w:rsidRDefault="00AD3E4B">
      <w:pPr>
        <w:spacing w:line="360" w:lineRule="auto"/>
        <w:jc w:val="both"/>
        <w:rPr>
          <w:rFonts w:ascii="Palatino Linotype" w:eastAsia="Palatino Linotype" w:hAnsi="Palatino Linotype" w:cs="Palatino Linotype"/>
        </w:rPr>
      </w:pPr>
    </w:p>
    <w:p w14:paraId="76873FC1" w14:textId="77777777" w:rsidR="00AD3E4B" w:rsidRPr="004C3DAB" w:rsidRDefault="00AD3E4B">
      <w:pPr>
        <w:spacing w:line="360" w:lineRule="auto"/>
        <w:jc w:val="both"/>
        <w:rPr>
          <w:rFonts w:ascii="Palatino Linotype" w:eastAsia="Palatino Linotype" w:hAnsi="Palatino Linotype" w:cs="Palatino Linotype"/>
        </w:rPr>
      </w:pPr>
    </w:p>
    <w:p w14:paraId="3DA5B94A" w14:textId="77777777" w:rsidR="00AD3E4B" w:rsidRPr="004C3DAB" w:rsidRDefault="00AD3E4B">
      <w:pPr>
        <w:spacing w:line="360" w:lineRule="auto"/>
        <w:jc w:val="both"/>
        <w:rPr>
          <w:rFonts w:ascii="Palatino Linotype" w:eastAsia="Palatino Linotype" w:hAnsi="Palatino Linotype" w:cs="Palatino Linotype"/>
        </w:rPr>
      </w:pPr>
    </w:p>
    <w:p w14:paraId="19C20E32" w14:textId="77777777" w:rsidR="00AD3E4B" w:rsidRPr="004C3DAB" w:rsidRDefault="00AD3E4B">
      <w:pPr>
        <w:spacing w:line="360" w:lineRule="auto"/>
        <w:jc w:val="both"/>
        <w:rPr>
          <w:rFonts w:ascii="Palatino Linotype" w:eastAsia="Palatino Linotype" w:hAnsi="Palatino Linotype" w:cs="Palatino Linotype"/>
        </w:rPr>
      </w:pPr>
    </w:p>
    <w:p w14:paraId="44A7647D" w14:textId="77777777" w:rsidR="00AD3E4B" w:rsidRPr="004C3DAB" w:rsidRDefault="00AD3E4B">
      <w:pPr>
        <w:spacing w:line="360" w:lineRule="auto"/>
        <w:jc w:val="both"/>
        <w:rPr>
          <w:rFonts w:ascii="Palatino Linotype" w:eastAsia="Palatino Linotype" w:hAnsi="Palatino Linotype" w:cs="Palatino Linotype"/>
        </w:rPr>
      </w:pPr>
    </w:p>
    <w:p w14:paraId="64C6DE75" w14:textId="77777777" w:rsidR="00AD3E4B" w:rsidRPr="004C3DAB" w:rsidRDefault="00AD3E4B">
      <w:pPr>
        <w:spacing w:line="360" w:lineRule="auto"/>
        <w:jc w:val="both"/>
        <w:rPr>
          <w:rFonts w:ascii="Palatino Linotype" w:eastAsia="Palatino Linotype" w:hAnsi="Palatino Linotype" w:cs="Palatino Linotype"/>
        </w:rPr>
      </w:pPr>
    </w:p>
    <w:p w14:paraId="3C51208C" w14:textId="77777777" w:rsidR="00AD3E4B" w:rsidRPr="004C3DAB" w:rsidRDefault="00AD3E4B">
      <w:pPr>
        <w:spacing w:line="360" w:lineRule="auto"/>
        <w:jc w:val="both"/>
        <w:rPr>
          <w:rFonts w:ascii="Palatino Linotype" w:eastAsia="Palatino Linotype" w:hAnsi="Palatino Linotype" w:cs="Palatino Linotype"/>
        </w:rPr>
      </w:pPr>
    </w:p>
    <w:sectPr w:rsidR="00AD3E4B" w:rsidRPr="004C3DAB">
      <w:headerReference w:type="default" r:id="rId33"/>
      <w:footerReference w:type="default" r:id="rId34"/>
      <w:headerReference w:type="first" r:id="rId35"/>
      <w:footerReference w:type="first" r:id="rId3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2D67" w14:textId="77777777" w:rsidR="0052208B" w:rsidRDefault="0052208B">
      <w:r>
        <w:separator/>
      </w:r>
    </w:p>
  </w:endnote>
  <w:endnote w:type="continuationSeparator" w:id="0">
    <w:p w14:paraId="45F23E80" w14:textId="77777777" w:rsidR="0052208B" w:rsidRDefault="0052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5184" w14:textId="77777777" w:rsidR="00AD3E4B" w:rsidRDefault="000E1E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9497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9497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4AEBED39" w14:textId="77777777" w:rsidR="00AD3E4B" w:rsidRDefault="00AD3E4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08A0" w14:textId="77777777" w:rsidR="00AD3E4B" w:rsidRDefault="000E1E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9497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9497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7ED1AB54" w14:textId="77777777" w:rsidR="00AD3E4B" w:rsidRDefault="00AD3E4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05712" w14:textId="77777777" w:rsidR="0052208B" w:rsidRDefault="0052208B">
      <w:r>
        <w:separator/>
      </w:r>
    </w:p>
  </w:footnote>
  <w:footnote w:type="continuationSeparator" w:id="0">
    <w:p w14:paraId="41D0BFD9" w14:textId="77777777" w:rsidR="0052208B" w:rsidRDefault="0052208B">
      <w:r>
        <w:continuationSeparator/>
      </w:r>
    </w:p>
  </w:footnote>
  <w:footnote w:id="1">
    <w:p w14:paraId="6D0DDCD0" w14:textId="77777777" w:rsidR="00AD3E4B" w:rsidRDefault="000E1E1C">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XX.308 K, </w:t>
      </w:r>
      <w:r>
        <w:rPr>
          <w:rFonts w:ascii="Palatino Linotype" w:eastAsia="Palatino Linotype" w:hAnsi="Palatino Linotype" w:cs="Palatino Linotype"/>
          <w:i/>
          <w:color w:val="000000"/>
          <w:sz w:val="16"/>
          <w:szCs w:val="16"/>
        </w:rPr>
        <w:t>Semanario Judicial de la Federación</w:t>
      </w:r>
      <w:r>
        <w:rPr>
          <w:rFonts w:ascii="Palatino Linotype" w:eastAsia="Palatino Linotype" w:hAnsi="Palatino Linotype" w:cs="Palatino Linotype"/>
          <w:color w:val="000000"/>
          <w:sz w:val="16"/>
          <w:szCs w:val="16"/>
        </w:rPr>
        <w:t>, Octava Época, tomo XV-1, febrero de 1995, pág. 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5126" w14:textId="77777777" w:rsidR="00AD3E4B" w:rsidRDefault="000E1E1C">
    <w:pPr>
      <w:rPr>
        <w:rFonts w:ascii="Cambria" w:eastAsia="Cambria" w:hAnsi="Cambria" w:cs="Cambria"/>
        <w:color w:val="000000"/>
      </w:rPr>
    </w:pPr>
    <w:r>
      <w:rPr>
        <w:noProof/>
      </w:rPr>
      <w:drawing>
        <wp:anchor distT="0" distB="0" distL="0" distR="0" simplePos="0" relativeHeight="251658240" behindDoc="1" locked="0" layoutInCell="1" hidden="0" allowOverlap="1" wp14:anchorId="4F865269" wp14:editId="6F14606E">
          <wp:simplePos x="0" y="0"/>
          <wp:positionH relativeFrom="column">
            <wp:posOffset>-1080101</wp:posOffset>
          </wp:positionH>
          <wp:positionV relativeFrom="paragraph">
            <wp:posOffset>-488275</wp:posOffset>
          </wp:positionV>
          <wp:extent cx="7809865" cy="10165715"/>
          <wp:effectExtent l="0" t="0" r="0" b="0"/>
          <wp:wrapNone/>
          <wp:docPr id="19520825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AD3E4B" w14:paraId="46E8C5FC" w14:textId="77777777">
      <w:tc>
        <w:tcPr>
          <w:tcW w:w="2489" w:type="dxa"/>
          <w:shd w:val="clear" w:color="auto" w:fill="auto"/>
        </w:tcPr>
        <w:p w14:paraId="5A7DF426" w14:textId="77777777" w:rsidR="00AD3E4B" w:rsidRDefault="000E1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D0C2B60" w14:textId="77777777" w:rsidR="00AD3E4B" w:rsidRDefault="000E1E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06689/INFOEM/IP/RR/2024</w:t>
          </w:r>
        </w:p>
      </w:tc>
    </w:tr>
    <w:tr w:rsidR="00AD3E4B" w14:paraId="13C2A373" w14:textId="77777777">
      <w:trPr>
        <w:trHeight w:val="228"/>
      </w:trPr>
      <w:tc>
        <w:tcPr>
          <w:tcW w:w="2489" w:type="dxa"/>
          <w:shd w:val="clear" w:color="auto" w:fill="auto"/>
          <w:vAlign w:val="center"/>
        </w:tcPr>
        <w:p w14:paraId="6B0032A8" w14:textId="77777777" w:rsidR="00AD3E4B" w:rsidRDefault="000E1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1A43645" w14:textId="77777777" w:rsidR="00AD3E4B" w:rsidRDefault="000E1E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AD3E4B" w14:paraId="5CAC0CAD" w14:textId="77777777">
      <w:tc>
        <w:tcPr>
          <w:tcW w:w="2489" w:type="dxa"/>
          <w:shd w:val="clear" w:color="auto" w:fill="auto"/>
          <w:vAlign w:val="center"/>
        </w:tcPr>
        <w:p w14:paraId="2D0536F7" w14:textId="77777777" w:rsidR="00AD3E4B" w:rsidRDefault="000E1E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C1A6BF3" w14:textId="77777777" w:rsidR="00AD3E4B" w:rsidRDefault="000E1E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6F1E44" w14:textId="77777777" w:rsidR="00AD3E4B" w:rsidRDefault="000E1E1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BA3E" w14:textId="77777777" w:rsidR="00AD3E4B" w:rsidRDefault="000E1E1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7BC45770" wp14:editId="365B7114">
          <wp:simplePos x="0" y="0"/>
          <wp:positionH relativeFrom="column">
            <wp:posOffset>-1080127</wp:posOffset>
          </wp:positionH>
          <wp:positionV relativeFrom="paragraph">
            <wp:posOffset>-369902</wp:posOffset>
          </wp:positionV>
          <wp:extent cx="7809865" cy="10165715"/>
          <wp:effectExtent l="0" t="0" r="0" b="0"/>
          <wp:wrapNone/>
          <wp:docPr id="19520825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5953" w:type="dxa"/>
      <w:tblInd w:w="3261" w:type="dxa"/>
      <w:tblLayout w:type="fixed"/>
      <w:tblLook w:val="0400" w:firstRow="0" w:lastRow="0" w:firstColumn="0" w:lastColumn="0" w:noHBand="0" w:noVBand="1"/>
    </w:tblPr>
    <w:tblGrid>
      <w:gridCol w:w="2489"/>
      <w:gridCol w:w="3464"/>
    </w:tblGrid>
    <w:tr w:rsidR="00AD3E4B" w14:paraId="7AC7A4D9" w14:textId="77777777">
      <w:tc>
        <w:tcPr>
          <w:tcW w:w="2489" w:type="dxa"/>
          <w:shd w:val="clear" w:color="auto" w:fill="auto"/>
        </w:tcPr>
        <w:p w14:paraId="281CC2BA" w14:textId="77777777" w:rsidR="00AD3E4B" w:rsidRDefault="000E1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2672A1E" w14:textId="77777777" w:rsidR="00AD3E4B" w:rsidRDefault="000E1E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06689/INFOEM/IP/RR/2024</w:t>
          </w:r>
        </w:p>
      </w:tc>
    </w:tr>
    <w:tr w:rsidR="00AD3E4B" w14:paraId="2C8BE852" w14:textId="77777777">
      <w:tc>
        <w:tcPr>
          <w:tcW w:w="2489" w:type="dxa"/>
          <w:shd w:val="clear" w:color="auto" w:fill="auto"/>
        </w:tcPr>
        <w:p w14:paraId="580C2506" w14:textId="77777777" w:rsidR="00AD3E4B" w:rsidRDefault="000E1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64F52B52" w14:textId="77777777" w:rsidR="00AD3E4B" w:rsidRDefault="00AD3E4B">
          <w:pPr>
            <w:ind w:right="175"/>
            <w:jc w:val="both"/>
            <w:rPr>
              <w:rFonts w:ascii="Palatino Linotype" w:eastAsia="Palatino Linotype" w:hAnsi="Palatino Linotype" w:cs="Palatino Linotype"/>
              <w:b/>
              <w:sz w:val="22"/>
              <w:szCs w:val="22"/>
            </w:rPr>
          </w:pPr>
        </w:p>
      </w:tc>
    </w:tr>
    <w:tr w:rsidR="00AD3E4B" w14:paraId="569A66BC" w14:textId="77777777">
      <w:trPr>
        <w:trHeight w:val="228"/>
      </w:trPr>
      <w:tc>
        <w:tcPr>
          <w:tcW w:w="2489" w:type="dxa"/>
          <w:shd w:val="clear" w:color="auto" w:fill="auto"/>
          <w:vAlign w:val="center"/>
        </w:tcPr>
        <w:p w14:paraId="0E5C4B1D" w14:textId="77777777" w:rsidR="00AD3E4B" w:rsidRDefault="000E1E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5BA494B" w14:textId="77777777" w:rsidR="00AD3E4B" w:rsidRDefault="000E1E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AD3E4B" w14:paraId="530667BC" w14:textId="77777777">
      <w:tc>
        <w:tcPr>
          <w:tcW w:w="2489" w:type="dxa"/>
          <w:shd w:val="clear" w:color="auto" w:fill="auto"/>
          <w:vAlign w:val="center"/>
        </w:tcPr>
        <w:p w14:paraId="7C6425BE" w14:textId="77777777" w:rsidR="00AD3E4B" w:rsidRDefault="000E1E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908D5FF" w14:textId="77777777" w:rsidR="00AD3E4B" w:rsidRDefault="000E1E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C677CE" w14:textId="77777777" w:rsidR="00AD3E4B" w:rsidRDefault="00AD3E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408A"/>
    <w:multiLevelType w:val="multilevel"/>
    <w:tmpl w:val="63B6B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2025FA"/>
    <w:multiLevelType w:val="multilevel"/>
    <w:tmpl w:val="34F4DA7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E4B"/>
    <w:rsid w:val="000E1E1C"/>
    <w:rsid w:val="0019497D"/>
    <w:rsid w:val="00355B39"/>
    <w:rsid w:val="00436A78"/>
    <w:rsid w:val="004C3DAB"/>
    <w:rsid w:val="0052208B"/>
    <w:rsid w:val="0053781A"/>
    <w:rsid w:val="005B2BB8"/>
    <w:rsid w:val="00630BB3"/>
    <w:rsid w:val="007C59C8"/>
    <w:rsid w:val="00AD3E4B"/>
    <w:rsid w:val="00B67AFD"/>
    <w:rsid w:val="00BE1857"/>
    <w:rsid w:val="00C76DA1"/>
    <w:rsid w:val="00D35CE0"/>
    <w:rsid w:val="00EC4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00C78"/>
  <w15:docId w15:val="{9AB3CC5C-9AF1-4FC7-BAE5-7D9D0DE2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725B9E"/>
    <w:rPr>
      <w:color w:val="605E5C"/>
      <w:shd w:val="clear" w:color="auto" w:fill="E1DFDD"/>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61419D"/>
    <w:rPr>
      <w:sz w:val="16"/>
      <w:szCs w:val="16"/>
    </w:rPr>
  </w:style>
  <w:style w:type="paragraph" w:styleId="Textocomentario">
    <w:name w:val="annotation text"/>
    <w:basedOn w:val="Normal"/>
    <w:link w:val="TextocomentarioCar"/>
    <w:uiPriority w:val="99"/>
    <w:semiHidden/>
    <w:unhideWhenUsed/>
    <w:rsid w:val="0061419D"/>
    <w:rPr>
      <w:sz w:val="20"/>
      <w:szCs w:val="20"/>
    </w:rPr>
  </w:style>
  <w:style w:type="character" w:customStyle="1" w:styleId="TextocomentarioCar">
    <w:name w:val="Texto comentario Car"/>
    <w:basedOn w:val="Fuentedeprrafopredeter"/>
    <w:link w:val="Textocomentario"/>
    <w:uiPriority w:val="99"/>
    <w:semiHidden/>
    <w:rsid w:val="0061419D"/>
    <w:rPr>
      <w:sz w:val="20"/>
      <w:szCs w:val="20"/>
    </w:rPr>
  </w:style>
  <w:style w:type="paragraph" w:styleId="Asuntodelcomentario">
    <w:name w:val="annotation subject"/>
    <w:basedOn w:val="Textocomentario"/>
    <w:next w:val="Textocomentario"/>
    <w:link w:val="AsuntodelcomentarioCar"/>
    <w:uiPriority w:val="99"/>
    <w:semiHidden/>
    <w:unhideWhenUsed/>
    <w:rsid w:val="0061419D"/>
    <w:rPr>
      <w:b/>
      <w:bCs/>
    </w:rPr>
  </w:style>
  <w:style w:type="character" w:customStyle="1" w:styleId="AsuntodelcomentarioCar">
    <w:name w:val="Asunto del comentario Car"/>
    <w:basedOn w:val="TextocomentarioCar"/>
    <w:link w:val="Asuntodelcomentario"/>
    <w:uiPriority w:val="99"/>
    <w:semiHidden/>
    <w:rsid w:val="0061419D"/>
    <w:rPr>
      <w:b/>
      <w:bCs/>
      <w:sz w:val="20"/>
      <w:szCs w:val="20"/>
    </w:r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C97C14"/>
    <w:rPr>
      <w:b/>
      <w:bCs/>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gIBrZh5A4eRPVU16W91edt7sQ==">CgMxLjAyCWguNGQzNG9nODIIaC5namRneHMyCWguM2R5NnZrbTIJaC4zMGowemxsMgloLjJzOGV5bzEyCGgudHlqY3d0MgloLjN6bnlzaDcyCWguMmV0OTJwMDIJaC40NHNpbmlvMgloLjI2aW4xcmcyCWguMzVua3VuMjIJaC4xN2RwOHZ1MghoLmxueGJ6OTIJaC4xZm9iOXRlMgloLjNyZGNyam4yCWguMXQzaDVzZjgAciExejU1X1ZIbVljUEdyV1FYTENBSlVDWXV5a0lHQ0xvX00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1D4513-DECF-447D-8CDC-68C0295B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9788</Words>
  <Characters>53835</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2024-11-29T18:48:00Z</cp:lastPrinted>
  <dcterms:created xsi:type="dcterms:W3CDTF">2024-12-06T20:00:00Z</dcterms:created>
  <dcterms:modified xsi:type="dcterms:W3CDTF">2024-12-06T20:00:00Z</dcterms:modified>
</cp:coreProperties>
</file>