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8D6" w14:textId="7D2A37F1" w:rsidR="00E93FC1" w:rsidRPr="00530A31" w:rsidRDefault="00E93FC1" w:rsidP="00730D0C">
      <w:pPr>
        <w:tabs>
          <w:tab w:val="left" w:pos="0"/>
        </w:tabs>
        <w:spacing w:before="240" w:after="240" w:line="360" w:lineRule="auto"/>
        <w:jc w:val="both"/>
        <w:rPr>
          <w:rFonts w:ascii="Palatino Linotype" w:hAnsi="Palatino Linotype"/>
        </w:rPr>
      </w:pPr>
      <w:r w:rsidRPr="00530A3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460B8" w:rsidRPr="00530A31">
        <w:rPr>
          <w:rFonts w:ascii="Palatino Linotype" w:hAnsi="Palatino Linotype"/>
        </w:rPr>
        <w:t xml:space="preserve">de fecha </w:t>
      </w:r>
      <w:r w:rsidR="002F551E" w:rsidRPr="00530A31">
        <w:rPr>
          <w:rFonts w:ascii="Palatino Linotype" w:hAnsi="Palatino Linotype"/>
        </w:rPr>
        <w:t xml:space="preserve">ocho </w:t>
      </w:r>
      <w:r w:rsidR="00530A31" w:rsidRPr="00530A31">
        <w:rPr>
          <w:rFonts w:ascii="Palatino Linotype" w:hAnsi="Palatino Linotype"/>
        </w:rPr>
        <w:t xml:space="preserve">(08) </w:t>
      </w:r>
      <w:r w:rsidR="002F551E" w:rsidRPr="00530A31">
        <w:rPr>
          <w:rFonts w:ascii="Palatino Linotype" w:hAnsi="Palatino Linotype"/>
        </w:rPr>
        <w:t>de febrero</w:t>
      </w:r>
      <w:r w:rsidR="00A460B8" w:rsidRPr="00530A31">
        <w:rPr>
          <w:rFonts w:ascii="Palatino Linotype" w:hAnsi="Palatino Linotype"/>
        </w:rPr>
        <w:t xml:space="preserve"> de dos mil veinticuatro.</w:t>
      </w:r>
      <w:r w:rsidR="004F050E" w:rsidRPr="00530A31">
        <w:rPr>
          <w:rFonts w:ascii="Palatino Linotype" w:hAnsi="Palatino Linotype"/>
        </w:rPr>
        <w:t xml:space="preserve"> </w:t>
      </w:r>
    </w:p>
    <w:p w14:paraId="2157DA54" w14:textId="339EA515" w:rsidR="00E93FC1" w:rsidRDefault="00E93FC1" w:rsidP="00730D0C">
      <w:pPr>
        <w:spacing w:before="240" w:after="240" w:line="360" w:lineRule="auto"/>
        <w:jc w:val="both"/>
        <w:rPr>
          <w:rFonts w:ascii="Palatino Linotype" w:hAnsi="Palatino Linotype"/>
        </w:rPr>
      </w:pPr>
      <w:r w:rsidRPr="00530A31">
        <w:rPr>
          <w:rFonts w:ascii="Palatino Linotype" w:hAnsi="Palatino Linotype"/>
          <w:b/>
        </w:rPr>
        <w:t>VISTO</w:t>
      </w:r>
      <w:r w:rsidRPr="00530A31">
        <w:rPr>
          <w:rFonts w:ascii="Palatino Linotype" w:hAnsi="Palatino Linotype"/>
        </w:rPr>
        <w:t xml:space="preserve"> </w:t>
      </w:r>
      <w:r w:rsidR="00686B08" w:rsidRPr="00530A31">
        <w:rPr>
          <w:rFonts w:ascii="Palatino Linotype" w:hAnsi="Palatino Linotype"/>
        </w:rPr>
        <w:t>el</w:t>
      </w:r>
      <w:r w:rsidRPr="00530A31">
        <w:rPr>
          <w:rFonts w:ascii="Palatino Linotype" w:hAnsi="Palatino Linotype"/>
        </w:rPr>
        <w:t xml:space="preserve"> expediente electrónico formado con motivo de</w:t>
      </w:r>
      <w:r w:rsidR="00686B08" w:rsidRPr="00530A31">
        <w:rPr>
          <w:rFonts w:ascii="Palatino Linotype" w:hAnsi="Palatino Linotype"/>
        </w:rPr>
        <w:t>l</w:t>
      </w:r>
      <w:r w:rsidRPr="00530A31">
        <w:rPr>
          <w:rFonts w:ascii="Palatino Linotype" w:hAnsi="Palatino Linotype"/>
        </w:rPr>
        <w:t xml:space="preserve"> recurso de revisión </w:t>
      </w:r>
      <w:r w:rsidR="00052206" w:rsidRPr="00530A31">
        <w:rPr>
          <w:rFonts w:ascii="Palatino Linotype" w:hAnsi="Palatino Linotype" w:cs="Arial"/>
          <w:b/>
          <w:bCs/>
        </w:rPr>
        <w:t>0</w:t>
      </w:r>
      <w:r w:rsidR="002F0945" w:rsidRPr="00530A31">
        <w:rPr>
          <w:rFonts w:ascii="Palatino Linotype" w:hAnsi="Palatino Linotype" w:cs="Arial"/>
          <w:b/>
          <w:bCs/>
        </w:rPr>
        <w:t>4298</w:t>
      </w:r>
      <w:r w:rsidRPr="00530A31">
        <w:rPr>
          <w:rFonts w:ascii="Palatino Linotype" w:hAnsi="Palatino Linotype" w:cs="Arial"/>
          <w:b/>
          <w:bCs/>
        </w:rPr>
        <w:t>/INFOEM/IP/RR/202</w:t>
      </w:r>
      <w:r w:rsidR="002F551E" w:rsidRPr="00530A31">
        <w:rPr>
          <w:rFonts w:ascii="Palatino Linotype" w:hAnsi="Palatino Linotype" w:cs="Arial"/>
          <w:b/>
          <w:bCs/>
        </w:rPr>
        <w:t>2</w:t>
      </w:r>
      <w:r w:rsidR="00530A31">
        <w:rPr>
          <w:rFonts w:ascii="Palatino Linotype" w:hAnsi="Palatino Linotype" w:cs="Arial"/>
          <w:b/>
          <w:bCs/>
        </w:rPr>
        <w:t>,</w:t>
      </w:r>
      <w:r w:rsidR="00686B08" w:rsidRPr="00530A31">
        <w:rPr>
          <w:rFonts w:ascii="Palatino Linotype" w:hAnsi="Palatino Linotype" w:cs="Arial"/>
          <w:b/>
          <w:bCs/>
        </w:rPr>
        <w:t xml:space="preserve"> </w:t>
      </w:r>
      <w:r w:rsidRPr="00530A31">
        <w:rPr>
          <w:rFonts w:ascii="Palatino Linotype" w:hAnsi="Palatino Linotype"/>
        </w:rPr>
        <w:t>promovido</w:t>
      </w:r>
      <w:r w:rsidR="00686B08" w:rsidRPr="00530A31">
        <w:rPr>
          <w:rFonts w:ascii="Palatino Linotype" w:hAnsi="Palatino Linotype"/>
        </w:rPr>
        <w:t xml:space="preserve"> </w:t>
      </w:r>
      <w:r w:rsidR="00ED613E" w:rsidRPr="00530A31">
        <w:rPr>
          <w:rFonts w:ascii="Palatino Linotype" w:hAnsi="Palatino Linotype"/>
        </w:rPr>
        <w:t>por</w:t>
      </w:r>
      <w:r w:rsidR="00ED613E" w:rsidRPr="00530A31">
        <w:rPr>
          <w:rFonts w:ascii="Palatino Linotype" w:hAnsi="Palatino Linotype"/>
          <w:b/>
          <w:bCs/>
        </w:rPr>
        <w:t xml:space="preserve"> </w:t>
      </w:r>
      <w:r w:rsidR="0035609E">
        <w:rPr>
          <w:rFonts w:ascii="Palatino Linotype" w:eastAsia="Calibri" w:hAnsi="Palatino Linotype" w:cs="Tahoma"/>
          <w:b/>
          <w:bCs/>
          <w:lang w:val="es-ES" w:eastAsia="en-US"/>
        </w:rPr>
        <w:t xml:space="preserve">XXX </w:t>
      </w:r>
      <w:proofErr w:type="spellStart"/>
      <w:r w:rsidR="0035609E">
        <w:rPr>
          <w:rFonts w:ascii="Palatino Linotype" w:eastAsia="Calibri" w:hAnsi="Palatino Linotype" w:cs="Tahoma"/>
          <w:b/>
          <w:bCs/>
          <w:lang w:val="es-ES" w:eastAsia="en-US"/>
        </w:rPr>
        <w:t>XXX</w:t>
      </w:r>
      <w:proofErr w:type="spellEnd"/>
      <w:r w:rsidR="0035609E">
        <w:rPr>
          <w:rFonts w:ascii="Palatino Linotype" w:eastAsia="Calibri" w:hAnsi="Palatino Linotype" w:cs="Tahoma"/>
          <w:b/>
          <w:bCs/>
          <w:lang w:val="es-ES" w:eastAsia="en-US"/>
        </w:rPr>
        <w:t xml:space="preserve"> </w:t>
      </w:r>
      <w:proofErr w:type="spellStart"/>
      <w:r w:rsidR="0035609E">
        <w:rPr>
          <w:rFonts w:ascii="Palatino Linotype" w:eastAsia="Calibri" w:hAnsi="Palatino Linotype" w:cs="Tahoma"/>
          <w:b/>
          <w:bCs/>
          <w:lang w:val="es-ES" w:eastAsia="en-US"/>
        </w:rPr>
        <w:t>XXX</w:t>
      </w:r>
      <w:proofErr w:type="spellEnd"/>
      <w:r w:rsidR="00ED613E" w:rsidRPr="00530A31">
        <w:rPr>
          <w:rFonts w:ascii="Palatino Linotype" w:hAnsi="Palatino Linotype"/>
          <w:b/>
          <w:bCs/>
        </w:rPr>
        <w:t xml:space="preserve">, </w:t>
      </w:r>
      <w:r w:rsidR="00ED613E" w:rsidRPr="00530A31">
        <w:rPr>
          <w:rFonts w:ascii="Palatino Linotype" w:hAnsi="Palatino Linotype"/>
        </w:rPr>
        <w:t>en lo sucesivo</w:t>
      </w:r>
      <w:r w:rsidR="00530A31">
        <w:rPr>
          <w:rFonts w:ascii="Palatino Linotype" w:hAnsi="Palatino Linotype"/>
        </w:rPr>
        <w:t xml:space="preserve"> se identificará como</w:t>
      </w:r>
      <w:r w:rsidR="00ED613E" w:rsidRPr="00530A31">
        <w:rPr>
          <w:rFonts w:ascii="Palatino Linotype" w:hAnsi="Palatino Linotype"/>
        </w:rPr>
        <w:t xml:space="preserve"> la</w:t>
      </w:r>
      <w:r w:rsidR="00FB7BDC" w:rsidRPr="00530A31">
        <w:rPr>
          <w:rFonts w:ascii="Palatino Linotype" w:hAnsi="Palatino Linotype"/>
        </w:rPr>
        <w:t xml:space="preserve"> </w:t>
      </w:r>
      <w:r w:rsidRPr="00530A31">
        <w:rPr>
          <w:rFonts w:ascii="Palatino Linotype" w:hAnsi="Palatino Linotype"/>
          <w:b/>
        </w:rPr>
        <w:t>RECURRENTE</w:t>
      </w:r>
      <w:r w:rsidRPr="00530A31">
        <w:rPr>
          <w:rFonts w:ascii="Palatino Linotype" w:hAnsi="Palatino Linotype"/>
        </w:rPr>
        <w:t>, en contra de</w:t>
      </w:r>
      <w:r w:rsidR="00686B08" w:rsidRPr="00530A31">
        <w:rPr>
          <w:rFonts w:ascii="Palatino Linotype" w:hAnsi="Palatino Linotype"/>
        </w:rPr>
        <w:t xml:space="preserve"> la</w:t>
      </w:r>
      <w:r w:rsidRPr="00530A31">
        <w:rPr>
          <w:rFonts w:ascii="Palatino Linotype" w:hAnsi="Palatino Linotype" w:cs="Arial"/>
        </w:rPr>
        <w:t xml:space="preserve"> respuesta de</w:t>
      </w:r>
      <w:r w:rsidR="00A460B8" w:rsidRPr="00530A31">
        <w:rPr>
          <w:rFonts w:ascii="Palatino Linotype" w:hAnsi="Palatino Linotype" w:cs="Arial"/>
        </w:rPr>
        <w:t xml:space="preserve">l </w:t>
      </w:r>
      <w:r w:rsidR="002F0945" w:rsidRPr="00530A31">
        <w:rPr>
          <w:rFonts w:ascii="Palatino Linotype" w:eastAsia="Calibri" w:hAnsi="Palatino Linotype" w:cs="Tahoma"/>
          <w:b/>
          <w:lang w:eastAsia="en-US"/>
        </w:rPr>
        <w:t>Organismo Público Descentralizado para la Prestación de Los Servicios de Agua Potable Alcantarillado y Saneamiento del Municipio de Tlalnepantla</w:t>
      </w:r>
      <w:r w:rsidR="002F551E" w:rsidRPr="00530A31">
        <w:rPr>
          <w:rFonts w:ascii="Palatino Linotype" w:eastAsia="Calibri" w:hAnsi="Palatino Linotype" w:cs="Tahoma"/>
          <w:b/>
          <w:lang w:eastAsia="en-US"/>
        </w:rPr>
        <w:t xml:space="preserve"> de Baz</w:t>
      </w:r>
      <w:r w:rsidRPr="00530A31">
        <w:rPr>
          <w:rFonts w:ascii="Palatino Linotype" w:hAnsi="Palatino Linotype" w:cs="Arial"/>
          <w:b/>
        </w:rPr>
        <w:t xml:space="preserve">, </w:t>
      </w:r>
      <w:r w:rsidRPr="00530A31">
        <w:rPr>
          <w:rFonts w:ascii="Palatino Linotype" w:hAnsi="Palatino Linotype"/>
        </w:rPr>
        <w:t xml:space="preserve">en </w:t>
      </w:r>
      <w:r w:rsidR="00530A31">
        <w:rPr>
          <w:rFonts w:ascii="Palatino Linotype" w:hAnsi="Palatino Linotype"/>
        </w:rPr>
        <w:t>adelante</w:t>
      </w:r>
      <w:r w:rsidRPr="00530A31">
        <w:rPr>
          <w:rFonts w:ascii="Palatino Linotype" w:hAnsi="Palatino Linotype"/>
        </w:rPr>
        <w:t xml:space="preserve"> el</w:t>
      </w:r>
      <w:r w:rsidRPr="00530A31">
        <w:rPr>
          <w:rFonts w:ascii="Palatino Linotype" w:hAnsi="Palatino Linotype"/>
          <w:b/>
        </w:rPr>
        <w:t xml:space="preserve"> SUJETO OBLIGADO, </w:t>
      </w:r>
      <w:r w:rsidRPr="00530A31">
        <w:rPr>
          <w:rFonts w:ascii="Palatino Linotype" w:hAnsi="Palatino Linotype"/>
        </w:rPr>
        <w:t>se procede a dictar la presente resolució</w:t>
      </w:r>
      <w:r w:rsidR="004F050E" w:rsidRPr="00530A31">
        <w:rPr>
          <w:rFonts w:ascii="Palatino Linotype" w:hAnsi="Palatino Linotype"/>
        </w:rPr>
        <w:t>n, con base en los siguientes:</w:t>
      </w:r>
    </w:p>
    <w:p w14:paraId="34A56025" w14:textId="77777777" w:rsidR="00530A31" w:rsidRPr="00530A31" w:rsidRDefault="00530A31" w:rsidP="00730D0C">
      <w:pPr>
        <w:spacing w:before="240" w:after="240" w:line="360" w:lineRule="auto"/>
        <w:jc w:val="both"/>
        <w:rPr>
          <w:rFonts w:ascii="Palatino Linotype" w:hAnsi="Palatino Linotype"/>
        </w:rPr>
      </w:pPr>
    </w:p>
    <w:p w14:paraId="425F8129" w14:textId="77777777" w:rsidR="00E93FC1" w:rsidRPr="00530A31" w:rsidRDefault="00E93FC1" w:rsidP="004F050E">
      <w:pPr>
        <w:keepNext/>
        <w:keepLines/>
        <w:tabs>
          <w:tab w:val="left" w:pos="0"/>
        </w:tabs>
        <w:spacing w:before="240" w:after="240" w:line="360" w:lineRule="auto"/>
        <w:jc w:val="center"/>
        <w:outlineLvl w:val="0"/>
        <w:rPr>
          <w:rFonts w:ascii="Palatino Linotype" w:hAnsi="Palatino Linotype"/>
          <w:b/>
          <w:lang w:eastAsia="en-US"/>
        </w:rPr>
      </w:pPr>
      <w:bookmarkStart w:id="0" w:name="_Toc496274633"/>
      <w:bookmarkStart w:id="1" w:name="_Toc490060616"/>
      <w:bookmarkStart w:id="2" w:name="_Toc499727165"/>
      <w:bookmarkStart w:id="3" w:name="_Toc94119610"/>
      <w:r w:rsidRPr="00530A31">
        <w:rPr>
          <w:rFonts w:ascii="Palatino Linotype" w:hAnsi="Palatino Linotype"/>
          <w:b/>
          <w:lang w:eastAsia="en-US"/>
        </w:rPr>
        <w:t>ANTECEDENTES</w:t>
      </w:r>
      <w:bookmarkEnd w:id="0"/>
      <w:bookmarkEnd w:id="1"/>
      <w:bookmarkEnd w:id="2"/>
      <w:bookmarkEnd w:id="3"/>
    </w:p>
    <w:p w14:paraId="64EAE805" w14:textId="37C200BF" w:rsidR="00E93FC1" w:rsidRPr="00530A31" w:rsidRDefault="00A7471C" w:rsidP="00A460B8">
      <w:pPr>
        <w:numPr>
          <w:ilvl w:val="0"/>
          <w:numId w:val="1"/>
        </w:numPr>
        <w:tabs>
          <w:tab w:val="left" w:pos="0"/>
        </w:tabs>
        <w:spacing w:before="240" w:after="240" w:line="360" w:lineRule="auto"/>
        <w:ind w:left="0" w:firstLine="0"/>
        <w:contextualSpacing/>
        <w:jc w:val="both"/>
        <w:rPr>
          <w:rFonts w:ascii="Palatino Linotype" w:eastAsia="Calibri" w:hAnsi="Palatino Linotype" w:cs="Arial"/>
          <w:lang w:val="es-ES"/>
        </w:rPr>
      </w:pPr>
      <w:r w:rsidRPr="00530A31">
        <w:rPr>
          <w:rFonts w:ascii="Palatino Linotype" w:eastAsia="Calibri" w:hAnsi="Palatino Linotype" w:cs="Arial"/>
          <w:lang w:val="es-ES"/>
        </w:rPr>
        <w:t xml:space="preserve">El </w:t>
      </w:r>
      <w:r w:rsidR="002F0945" w:rsidRPr="00530A31">
        <w:rPr>
          <w:rFonts w:ascii="Palatino Linotype" w:eastAsia="Calibri" w:hAnsi="Palatino Linotype" w:cs="Arial"/>
          <w:lang w:val="es-ES"/>
        </w:rPr>
        <w:t>quince de febrero de dos mil veintidós</w:t>
      </w:r>
      <w:r w:rsidR="00E93FC1" w:rsidRPr="00530A31">
        <w:rPr>
          <w:rFonts w:ascii="Palatino Linotype" w:eastAsia="Calibri" w:hAnsi="Palatino Linotype" w:cs="Arial"/>
          <w:lang w:val="es-ES"/>
        </w:rPr>
        <w:t>,</w:t>
      </w:r>
      <w:r w:rsidR="00E93FC1" w:rsidRPr="00530A31">
        <w:rPr>
          <w:rFonts w:ascii="Palatino Linotype" w:eastAsia="Calibri" w:hAnsi="Palatino Linotype"/>
          <w:lang w:val="es-ES"/>
        </w:rPr>
        <w:t xml:space="preserve"> </w:t>
      </w:r>
      <w:r w:rsidR="00E93FC1" w:rsidRPr="00530A31">
        <w:rPr>
          <w:rFonts w:ascii="Palatino Linotype" w:hAnsi="Palatino Linotype"/>
        </w:rPr>
        <w:t>el</w:t>
      </w:r>
      <w:r w:rsidR="00E93FC1" w:rsidRPr="00530A31">
        <w:rPr>
          <w:rFonts w:ascii="Palatino Linotype" w:hAnsi="Palatino Linotype"/>
          <w:b/>
        </w:rPr>
        <w:t xml:space="preserve"> </w:t>
      </w:r>
      <w:r w:rsidR="00D11F51" w:rsidRPr="00530A31">
        <w:rPr>
          <w:rFonts w:ascii="Palatino Linotype" w:hAnsi="Palatino Linotype"/>
          <w:b/>
          <w:bCs/>
        </w:rPr>
        <w:t>RECURRENTE</w:t>
      </w:r>
      <w:r w:rsidR="00E93FC1" w:rsidRPr="00530A31">
        <w:rPr>
          <w:rFonts w:ascii="Palatino Linotype" w:hAnsi="Palatino Linotype"/>
          <w:b/>
          <w:bCs/>
        </w:rPr>
        <w:t xml:space="preserve"> </w:t>
      </w:r>
      <w:r w:rsidR="00E93FC1" w:rsidRPr="00530A31">
        <w:rPr>
          <w:rFonts w:ascii="Palatino Linotype" w:hAnsi="Palatino Linotype"/>
        </w:rPr>
        <w:t>presentó</w:t>
      </w:r>
      <w:r w:rsidR="00E93FC1" w:rsidRPr="00530A31">
        <w:rPr>
          <w:rFonts w:ascii="Palatino Linotype" w:hAnsi="Palatino Linotype"/>
          <w:b/>
        </w:rPr>
        <w:t xml:space="preserve"> </w:t>
      </w:r>
      <w:r w:rsidR="00E93FC1" w:rsidRPr="00530A31">
        <w:rPr>
          <w:rFonts w:ascii="Palatino Linotype" w:eastAsia="Calibri" w:hAnsi="Palatino Linotype" w:cs="Arial"/>
          <w:lang w:val="es-ES"/>
        </w:rPr>
        <w:t xml:space="preserve">ante el </w:t>
      </w:r>
      <w:r w:rsidR="00E93FC1" w:rsidRPr="00530A31">
        <w:rPr>
          <w:rFonts w:ascii="Palatino Linotype" w:eastAsia="Calibri" w:hAnsi="Palatino Linotype" w:cs="Arial"/>
          <w:b/>
          <w:lang w:val="es-ES"/>
        </w:rPr>
        <w:t>SUJETO OBLIGADO,</w:t>
      </w:r>
      <w:r w:rsidR="00E93FC1" w:rsidRPr="00530A31">
        <w:rPr>
          <w:rFonts w:ascii="Palatino Linotype" w:eastAsia="Calibri" w:hAnsi="Palatino Linotype" w:cs="Arial"/>
        </w:rPr>
        <w:t xml:space="preserve"> </w:t>
      </w:r>
      <w:r w:rsidRPr="00530A31">
        <w:rPr>
          <w:rFonts w:ascii="Palatino Linotype" w:eastAsia="Calibri" w:hAnsi="Palatino Linotype" w:cs="Arial"/>
        </w:rPr>
        <w:t xml:space="preserve">a través de la </w:t>
      </w:r>
      <w:r w:rsidR="007A3D32" w:rsidRPr="00530A31">
        <w:rPr>
          <w:rFonts w:ascii="Palatino Linotype" w:eastAsia="Calibri" w:hAnsi="Palatino Linotype" w:cs="Arial"/>
        </w:rPr>
        <w:t>Plataforma</w:t>
      </w:r>
      <w:r w:rsidR="002F551E" w:rsidRPr="00530A31">
        <w:rPr>
          <w:rFonts w:ascii="Palatino Linotype" w:eastAsia="Calibri" w:hAnsi="Palatino Linotype" w:cs="Arial"/>
        </w:rPr>
        <w:t xml:space="preserve"> Nacional de Transparencia </w:t>
      </w:r>
      <w:r w:rsidR="002F551E" w:rsidRPr="00530A31">
        <w:rPr>
          <w:rFonts w:ascii="Palatino Linotype" w:eastAsia="Calibri" w:hAnsi="Palatino Linotype" w:cs="Arial"/>
          <w:b/>
        </w:rPr>
        <w:t>(PNT)</w:t>
      </w:r>
      <w:r w:rsidR="007A3D32" w:rsidRPr="00530A31">
        <w:rPr>
          <w:rFonts w:ascii="Palatino Linotype" w:eastAsia="Calibri" w:hAnsi="Palatino Linotype" w:cs="Arial"/>
          <w:b/>
        </w:rPr>
        <w:t>,</w:t>
      </w:r>
      <w:r w:rsidR="00E93FC1" w:rsidRPr="00530A31">
        <w:rPr>
          <w:rFonts w:ascii="Palatino Linotype" w:eastAsia="Calibri" w:hAnsi="Palatino Linotype" w:cs="Arial"/>
          <w:lang w:val="es-ES"/>
        </w:rPr>
        <w:t xml:space="preserve"> la solicitud de información pública registrad</w:t>
      </w:r>
      <w:r w:rsidR="00686B08" w:rsidRPr="00530A31">
        <w:rPr>
          <w:rFonts w:ascii="Palatino Linotype" w:eastAsia="Calibri" w:hAnsi="Palatino Linotype" w:cs="Arial"/>
          <w:lang w:val="es-ES"/>
        </w:rPr>
        <w:t>a</w:t>
      </w:r>
      <w:r w:rsidR="00E93FC1" w:rsidRPr="00530A31">
        <w:rPr>
          <w:rFonts w:ascii="Palatino Linotype" w:eastAsia="Calibri" w:hAnsi="Palatino Linotype" w:cs="Arial"/>
          <w:lang w:val="es-ES"/>
        </w:rPr>
        <w:t xml:space="preserve"> con </w:t>
      </w:r>
      <w:r w:rsidR="00686B08" w:rsidRPr="00530A31">
        <w:rPr>
          <w:rFonts w:ascii="Palatino Linotype" w:eastAsia="Calibri" w:hAnsi="Palatino Linotype" w:cs="Arial"/>
          <w:lang w:val="es-ES"/>
        </w:rPr>
        <w:t>el</w:t>
      </w:r>
      <w:r w:rsidR="00E93FC1" w:rsidRPr="00530A31">
        <w:rPr>
          <w:rFonts w:ascii="Palatino Linotype" w:eastAsia="Calibri" w:hAnsi="Palatino Linotype" w:cs="Arial"/>
          <w:lang w:val="es-ES"/>
        </w:rPr>
        <w:t xml:space="preserve"> número </w:t>
      </w:r>
      <w:r w:rsidR="00731106" w:rsidRPr="00530A31">
        <w:rPr>
          <w:rFonts w:ascii="Palatino Linotype" w:hAnsi="Palatino Linotype"/>
          <w:b/>
          <w:bCs/>
        </w:rPr>
        <w:t>0</w:t>
      </w:r>
      <w:r w:rsidR="00052206" w:rsidRPr="00530A31">
        <w:rPr>
          <w:rFonts w:ascii="Palatino Linotype" w:hAnsi="Palatino Linotype"/>
          <w:b/>
          <w:bCs/>
        </w:rPr>
        <w:t>0</w:t>
      </w:r>
      <w:r w:rsidR="002F0945" w:rsidRPr="00530A31">
        <w:rPr>
          <w:rFonts w:ascii="Palatino Linotype" w:hAnsi="Palatino Linotype"/>
          <w:b/>
          <w:bCs/>
        </w:rPr>
        <w:t>073</w:t>
      </w:r>
      <w:r w:rsidR="001846CB" w:rsidRPr="00530A31">
        <w:rPr>
          <w:rFonts w:ascii="Palatino Linotype" w:hAnsi="Palatino Linotype"/>
          <w:b/>
          <w:bCs/>
        </w:rPr>
        <w:t>/</w:t>
      </w:r>
      <w:r w:rsidR="002F0945" w:rsidRPr="00530A31">
        <w:rPr>
          <w:rFonts w:ascii="Palatino Linotype" w:hAnsi="Palatino Linotype"/>
          <w:b/>
          <w:bCs/>
        </w:rPr>
        <w:t>OASTLALNE</w:t>
      </w:r>
      <w:r w:rsidR="001846CB" w:rsidRPr="00530A31">
        <w:rPr>
          <w:rFonts w:ascii="Palatino Linotype" w:hAnsi="Palatino Linotype"/>
          <w:b/>
          <w:bCs/>
        </w:rPr>
        <w:t>/IP/202</w:t>
      </w:r>
      <w:r w:rsidR="002F0945" w:rsidRPr="00530A31">
        <w:rPr>
          <w:rFonts w:ascii="Palatino Linotype" w:hAnsi="Palatino Linotype"/>
          <w:b/>
          <w:bCs/>
        </w:rPr>
        <w:t>2</w:t>
      </w:r>
      <w:r w:rsidR="00731106" w:rsidRPr="00530A31">
        <w:rPr>
          <w:rFonts w:ascii="Palatino Linotype" w:hAnsi="Palatino Linotype"/>
          <w:b/>
          <w:bCs/>
        </w:rPr>
        <w:t>,</w:t>
      </w:r>
      <w:r w:rsidR="00686B08" w:rsidRPr="00530A31">
        <w:rPr>
          <w:rFonts w:ascii="Palatino Linotype" w:eastAsia="Calibri" w:hAnsi="Palatino Linotype" w:cs="Arial"/>
          <w:lang w:val="es-ES"/>
        </w:rPr>
        <w:t xml:space="preserve"> </w:t>
      </w:r>
      <w:r w:rsidR="00530A31">
        <w:rPr>
          <w:rFonts w:ascii="Palatino Linotype" w:eastAsia="Calibri" w:hAnsi="Palatino Linotype" w:cs="Arial"/>
          <w:lang w:val="es-ES"/>
        </w:rPr>
        <w:t>en la que</w:t>
      </w:r>
      <w:r w:rsidR="00E93FC1" w:rsidRPr="00530A31">
        <w:rPr>
          <w:rFonts w:ascii="Palatino Linotype" w:eastAsia="Calibri" w:hAnsi="Palatino Linotype" w:cs="Arial"/>
          <w:lang w:val="es-ES"/>
        </w:rPr>
        <w:t xml:space="preserve"> se solicitó:</w:t>
      </w:r>
    </w:p>
    <w:p w14:paraId="45234F90" w14:textId="77777777" w:rsidR="001846CB" w:rsidRPr="00530A31" w:rsidRDefault="001846CB" w:rsidP="0047361F">
      <w:pPr>
        <w:ind w:right="539"/>
        <w:jc w:val="both"/>
        <w:rPr>
          <w:rFonts w:ascii="Palatino Linotype" w:eastAsia="Calibri" w:hAnsi="Palatino Linotype" w:cs="Arial"/>
        </w:rPr>
      </w:pPr>
    </w:p>
    <w:p w14:paraId="50328B31" w14:textId="7E0015DD" w:rsidR="000E3DDC" w:rsidRPr="00530A31" w:rsidRDefault="00686B08" w:rsidP="002F0945">
      <w:pPr>
        <w:ind w:left="567" w:right="539"/>
        <w:jc w:val="both"/>
        <w:rPr>
          <w:rFonts w:ascii="Palatino Linotype" w:hAnsi="Palatino Linotype"/>
          <w:i/>
          <w:iCs/>
          <w:color w:val="000000"/>
        </w:rPr>
      </w:pPr>
      <w:r w:rsidRPr="00530A31">
        <w:rPr>
          <w:rFonts w:ascii="Palatino Linotype" w:hAnsi="Palatino Linotype"/>
          <w:i/>
          <w:iCs/>
          <w:color w:val="000000"/>
        </w:rPr>
        <w:t>“</w:t>
      </w:r>
      <w:r w:rsidR="002F0945" w:rsidRPr="00530A31">
        <w:rPr>
          <w:rFonts w:ascii="Palatino Linotype" w:hAnsi="Palatino Linotype"/>
          <w:i/>
          <w:color w:val="000000"/>
        </w:rPr>
        <w:t xml:space="preserve">Se entregue información pública consistente en relación de cantidad total de medidores vendidos por el OPDM de diversas medidas en mm de 13, 19, 25, 38, 50, 65, 80, 100, 125, 150, 200, 250, 300, 500 o ½”, 1”, 1 ½”, 2”, 2 ½”, 3”, 4”, 5”, 6”, 8”, 10”, 12”, 16”, 20” u otros diámetros de tomas, separado por usuarios </w:t>
      </w:r>
      <w:proofErr w:type="spellStart"/>
      <w:r w:rsidR="002F0945" w:rsidRPr="00530A31">
        <w:rPr>
          <w:rFonts w:ascii="Palatino Linotype" w:hAnsi="Palatino Linotype"/>
          <w:i/>
          <w:color w:val="000000"/>
        </w:rPr>
        <w:t>domesticos</w:t>
      </w:r>
      <w:proofErr w:type="spellEnd"/>
      <w:r w:rsidR="002F0945" w:rsidRPr="00530A31">
        <w:rPr>
          <w:rFonts w:ascii="Palatino Linotype" w:hAnsi="Palatino Linotype"/>
          <w:i/>
          <w:color w:val="000000"/>
        </w:rPr>
        <w:t xml:space="preserve"> y no </w:t>
      </w:r>
      <w:proofErr w:type="spellStart"/>
      <w:r w:rsidR="002F0945" w:rsidRPr="00530A31">
        <w:rPr>
          <w:rFonts w:ascii="Palatino Linotype" w:hAnsi="Palatino Linotype"/>
          <w:i/>
          <w:color w:val="000000"/>
        </w:rPr>
        <w:t>domesticos</w:t>
      </w:r>
      <w:proofErr w:type="spellEnd"/>
      <w:r w:rsidR="002F0945" w:rsidRPr="00530A31">
        <w:rPr>
          <w:rFonts w:ascii="Palatino Linotype" w:hAnsi="Palatino Linotype"/>
          <w:i/>
          <w:color w:val="000000"/>
        </w:rPr>
        <w:t xml:space="preserve">, por mes de enero, febrero, marzo, abril, mayo, junio, julio, agosto, septiembre, octubre, noviembre y diciembre de los años de 2019, 2020, 2021 y enero y febrero del año 2022, separado por cada una de las zonas que maneja </w:t>
      </w:r>
      <w:r w:rsidR="002F0945" w:rsidRPr="00530A31">
        <w:rPr>
          <w:rFonts w:ascii="Palatino Linotype" w:hAnsi="Palatino Linotype"/>
          <w:i/>
          <w:color w:val="000000"/>
        </w:rPr>
        <w:lastRenderedPageBreak/>
        <w:t xml:space="preserve">el </w:t>
      </w:r>
      <w:proofErr w:type="spellStart"/>
      <w:r w:rsidR="002F0945" w:rsidRPr="00530A31">
        <w:rPr>
          <w:rFonts w:ascii="Palatino Linotype" w:hAnsi="Palatino Linotype"/>
          <w:i/>
          <w:color w:val="000000"/>
        </w:rPr>
        <w:t>opdm</w:t>
      </w:r>
      <w:proofErr w:type="spellEnd"/>
      <w:r w:rsidR="002F0945" w:rsidRPr="00530A31">
        <w:rPr>
          <w:rFonts w:ascii="Palatino Linotype" w:hAnsi="Palatino Linotype"/>
          <w:i/>
          <w:color w:val="000000"/>
        </w:rPr>
        <w:t xml:space="preserve">, y los ingresos derivados del pago de dichos medidores por mes y por año. Y se entregue relación de stock de medidores que tiene disponibles el </w:t>
      </w:r>
      <w:proofErr w:type="spellStart"/>
      <w:r w:rsidR="002F0945" w:rsidRPr="00530A31">
        <w:rPr>
          <w:rFonts w:ascii="Palatino Linotype" w:hAnsi="Palatino Linotype"/>
          <w:i/>
          <w:color w:val="000000"/>
        </w:rPr>
        <w:t>opdm</w:t>
      </w:r>
      <w:proofErr w:type="spellEnd"/>
      <w:r w:rsidR="002F0945" w:rsidRPr="00530A31">
        <w:rPr>
          <w:rFonts w:ascii="Palatino Linotype" w:hAnsi="Palatino Linotype"/>
          <w:i/>
          <w:color w:val="000000"/>
        </w:rPr>
        <w:t xml:space="preserve"> en sus almacenes por tamaño y tipo de medidor al mes de febrero 2022</w:t>
      </w:r>
      <w:r w:rsidRPr="00530A31">
        <w:rPr>
          <w:rFonts w:ascii="Palatino Linotype" w:hAnsi="Palatino Linotype"/>
          <w:i/>
          <w:iCs/>
          <w:color w:val="000000"/>
        </w:rPr>
        <w:t>” (Sic)</w:t>
      </w:r>
    </w:p>
    <w:p w14:paraId="287A8F47" w14:textId="77777777" w:rsidR="000E3DDC" w:rsidRPr="00530A31" w:rsidRDefault="000E3DDC" w:rsidP="00686B08">
      <w:pPr>
        <w:ind w:right="539"/>
        <w:jc w:val="both"/>
        <w:rPr>
          <w:rFonts w:ascii="Palatino Linotype" w:hAnsi="Palatino Linotype"/>
        </w:rPr>
      </w:pPr>
    </w:p>
    <w:p w14:paraId="19C3618A" w14:textId="77777777" w:rsidR="002F551E" w:rsidRPr="00530A31" w:rsidRDefault="00E93FC1" w:rsidP="002F551E">
      <w:pPr>
        <w:pStyle w:val="Prrafodelista"/>
        <w:numPr>
          <w:ilvl w:val="0"/>
          <w:numId w:val="1"/>
        </w:numPr>
        <w:spacing w:before="240" w:after="240" w:line="360" w:lineRule="auto"/>
        <w:ind w:left="0" w:firstLine="0"/>
        <w:jc w:val="both"/>
        <w:rPr>
          <w:rFonts w:ascii="Palatino Linotype" w:hAnsi="Palatino Linotype" w:cs="Arial"/>
          <w:i/>
          <w:sz w:val="24"/>
        </w:rPr>
      </w:pPr>
      <w:r w:rsidRPr="00530A31">
        <w:rPr>
          <w:rFonts w:ascii="Palatino Linotype" w:hAnsi="Palatino Linotype" w:cs="Arial"/>
          <w:sz w:val="24"/>
        </w:rPr>
        <w:t xml:space="preserve">Se hace constar que se señaló como modalidad de entrega de la información a través </w:t>
      </w:r>
      <w:r w:rsidR="00E919FF" w:rsidRPr="00530A31">
        <w:rPr>
          <w:rFonts w:ascii="Palatino Linotype" w:hAnsi="Palatino Linotype" w:cs="Arial"/>
          <w:sz w:val="24"/>
        </w:rPr>
        <w:t xml:space="preserve">del Sistema de Acceso a la Información Mexiquense </w:t>
      </w:r>
      <w:r w:rsidR="00E919FF" w:rsidRPr="00530A31">
        <w:rPr>
          <w:rFonts w:ascii="Palatino Linotype" w:hAnsi="Palatino Linotype" w:cs="Arial"/>
          <w:b/>
          <w:bCs/>
          <w:sz w:val="24"/>
        </w:rPr>
        <w:t>(SAIMEX).</w:t>
      </w:r>
    </w:p>
    <w:p w14:paraId="432A32C8" w14:textId="77777777" w:rsidR="002F551E" w:rsidRPr="00530A31" w:rsidRDefault="002F551E" w:rsidP="002F551E">
      <w:pPr>
        <w:pStyle w:val="Prrafodelista"/>
        <w:spacing w:before="240" w:after="240" w:line="360" w:lineRule="auto"/>
        <w:ind w:left="0"/>
        <w:jc w:val="both"/>
        <w:rPr>
          <w:rFonts w:ascii="Palatino Linotype" w:hAnsi="Palatino Linotype" w:cs="Arial"/>
          <w:i/>
          <w:sz w:val="24"/>
        </w:rPr>
      </w:pPr>
    </w:p>
    <w:p w14:paraId="35ECE393" w14:textId="558CA2CD" w:rsidR="00052206" w:rsidRPr="00530A31" w:rsidRDefault="00E93FC1" w:rsidP="002F551E">
      <w:pPr>
        <w:pStyle w:val="Prrafodelista"/>
        <w:numPr>
          <w:ilvl w:val="0"/>
          <w:numId w:val="1"/>
        </w:numPr>
        <w:spacing w:before="240" w:after="240" w:line="360" w:lineRule="auto"/>
        <w:ind w:left="0" w:firstLine="0"/>
        <w:jc w:val="both"/>
        <w:rPr>
          <w:rFonts w:ascii="Palatino Linotype" w:hAnsi="Palatino Linotype" w:cs="Arial"/>
          <w:i/>
          <w:sz w:val="24"/>
        </w:rPr>
      </w:pPr>
      <w:r w:rsidRPr="00530A31">
        <w:rPr>
          <w:rFonts w:ascii="Palatino Linotype" w:eastAsia="Calibri" w:hAnsi="Palatino Linotype" w:cs="Arial"/>
          <w:sz w:val="24"/>
          <w:lang w:val="es-AR"/>
        </w:rPr>
        <w:t>El</w:t>
      </w:r>
      <w:r w:rsidR="00E50E5B" w:rsidRPr="00530A31">
        <w:rPr>
          <w:rFonts w:ascii="Palatino Linotype" w:hAnsi="Palatino Linotype" w:cs="Arial"/>
          <w:sz w:val="24"/>
          <w:lang w:val="es-ES"/>
        </w:rPr>
        <w:t xml:space="preserve"> </w:t>
      </w:r>
      <w:r w:rsidR="00826820" w:rsidRPr="00530A31">
        <w:rPr>
          <w:rFonts w:ascii="Palatino Linotype" w:hAnsi="Palatino Linotype" w:cs="Arial"/>
          <w:sz w:val="24"/>
          <w:lang w:val="es-ES"/>
        </w:rPr>
        <w:t>nueve de marzo de dos mil veintidós</w:t>
      </w:r>
      <w:r w:rsidRPr="00530A31">
        <w:rPr>
          <w:rFonts w:ascii="Palatino Linotype" w:hAnsi="Palatino Linotype" w:cs="Arial"/>
          <w:sz w:val="24"/>
          <w:lang w:val="es-ES"/>
        </w:rPr>
        <w:t xml:space="preserve">, el </w:t>
      </w:r>
      <w:r w:rsidRPr="00530A31">
        <w:rPr>
          <w:rFonts w:ascii="Palatino Linotype" w:hAnsi="Palatino Linotype" w:cs="Arial"/>
          <w:b/>
          <w:sz w:val="24"/>
          <w:lang w:val="es-ES"/>
        </w:rPr>
        <w:t xml:space="preserve">SUJETO OBLIGADO </w:t>
      </w:r>
      <w:bookmarkStart w:id="4" w:name="_Toc472500652"/>
      <w:bookmarkStart w:id="5" w:name="_Toc472427085"/>
      <w:bookmarkStart w:id="6" w:name="_Toc462307683"/>
      <w:r w:rsidRPr="00530A31">
        <w:rPr>
          <w:rFonts w:ascii="Palatino Linotype" w:hAnsi="Palatino Linotype" w:cs="Arial"/>
          <w:sz w:val="24"/>
          <w:lang w:val="es-ES"/>
        </w:rPr>
        <w:t>dio respuesta a la solicitud</w:t>
      </w:r>
      <w:r w:rsidR="00D11F51" w:rsidRPr="00530A31">
        <w:rPr>
          <w:rFonts w:ascii="Palatino Linotype" w:hAnsi="Palatino Linotype" w:cs="Arial"/>
          <w:sz w:val="24"/>
          <w:lang w:val="es-ES"/>
        </w:rPr>
        <w:t xml:space="preserve">, </w:t>
      </w:r>
      <w:r w:rsidRPr="00530A31">
        <w:rPr>
          <w:rFonts w:ascii="Palatino Linotype" w:hAnsi="Palatino Linotype" w:cs="Arial"/>
          <w:sz w:val="24"/>
          <w:lang w:val="es-ES"/>
        </w:rPr>
        <w:t>en l</w:t>
      </w:r>
      <w:r w:rsidR="00954B71" w:rsidRPr="00530A31">
        <w:rPr>
          <w:rFonts w:ascii="Palatino Linotype" w:hAnsi="Palatino Linotype" w:cs="Arial"/>
          <w:sz w:val="24"/>
          <w:lang w:val="es-ES"/>
        </w:rPr>
        <w:t>os</w:t>
      </w:r>
      <w:r w:rsidRPr="00530A31">
        <w:rPr>
          <w:rFonts w:ascii="Palatino Linotype" w:hAnsi="Palatino Linotype" w:cs="Arial"/>
          <w:sz w:val="24"/>
          <w:lang w:val="es-ES"/>
        </w:rPr>
        <w:t xml:space="preserve"> siguiente</w:t>
      </w:r>
      <w:r w:rsidR="00954B71" w:rsidRPr="00530A31">
        <w:rPr>
          <w:rFonts w:ascii="Palatino Linotype" w:hAnsi="Palatino Linotype" w:cs="Arial"/>
          <w:sz w:val="24"/>
          <w:lang w:val="es-ES"/>
        </w:rPr>
        <w:t>s términos</w:t>
      </w:r>
      <w:r w:rsidRPr="00530A31">
        <w:rPr>
          <w:rFonts w:ascii="Palatino Linotype" w:hAnsi="Palatino Linotype" w:cs="Arial"/>
          <w:sz w:val="24"/>
          <w:lang w:val="es-ES"/>
        </w:rPr>
        <w:t>:</w:t>
      </w:r>
    </w:p>
    <w:p w14:paraId="00A0DF01" w14:textId="52060BB1" w:rsidR="00CB7E79" w:rsidRPr="00530A31" w:rsidRDefault="00052206" w:rsidP="00826820">
      <w:pPr>
        <w:ind w:left="567" w:right="539"/>
        <w:jc w:val="both"/>
        <w:rPr>
          <w:rFonts w:ascii="Palatino Linotype" w:hAnsi="Palatino Linotype"/>
          <w:i/>
          <w:iCs/>
          <w:color w:val="000000"/>
          <w:sz w:val="22"/>
        </w:rPr>
      </w:pPr>
      <w:r w:rsidRPr="00530A31">
        <w:rPr>
          <w:rFonts w:ascii="Palatino Linotype" w:hAnsi="Palatino Linotype"/>
          <w:i/>
          <w:iCs/>
          <w:color w:val="000000"/>
          <w:sz w:val="22"/>
        </w:rPr>
        <w:t>“</w:t>
      </w:r>
      <w:r w:rsidR="00D11F51" w:rsidRPr="00530A31">
        <w:rPr>
          <w:rFonts w:ascii="Palatino Linotype" w:hAnsi="Palatino Linotype"/>
          <w:i/>
          <w:iCs/>
          <w:color w:val="000000"/>
          <w:sz w:val="22"/>
        </w:rPr>
        <w:t>…</w:t>
      </w:r>
      <w:r w:rsidR="00826820" w:rsidRPr="00530A31">
        <w:rPr>
          <w:rFonts w:ascii="Palatino Linotype" w:hAnsi="Palatino Linotype"/>
          <w:i/>
          <w:color w:val="000000"/>
          <w:sz w:val="22"/>
        </w:rPr>
        <w:t>Se envía archivos electrónicos en respuesta a su solicitud de información con número de folio SAIMEX 00073/OASTLALNE/IP/2022</w:t>
      </w:r>
      <w:r w:rsidR="00924470" w:rsidRPr="00530A31">
        <w:rPr>
          <w:rFonts w:ascii="Palatino Linotype" w:hAnsi="Palatino Linotype"/>
          <w:i/>
          <w:iCs/>
          <w:color w:val="000000"/>
          <w:sz w:val="22"/>
        </w:rPr>
        <w:t>.</w:t>
      </w:r>
      <w:r w:rsidR="00FB7BDC" w:rsidRPr="00530A31">
        <w:rPr>
          <w:rFonts w:ascii="Palatino Linotype" w:hAnsi="Palatino Linotype"/>
          <w:i/>
          <w:iCs/>
          <w:color w:val="000000"/>
          <w:sz w:val="22"/>
        </w:rPr>
        <w:t>.</w:t>
      </w:r>
      <w:r w:rsidR="00D11F51" w:rsidRPr="00530A31">
        <w:rPr>
          <w:rFonts w:ascii="Palatino Linotype" w:hAnsi="Palatino Linotype"/>
          <w:i/>
          <w:iCs/>
          <w:color w:val="000000"/>
          <w:sz w:val="22"/>
        </w:rPr>
        <w:t>.</w:t>
      </w:r>
      <w:r w:rsidR="00686B08" w:rsidRPr="00530A31">
        <w:rPr>
          <w:rFonts w:ascii="Palatino Linotype" w:hAnsi="Palatino Linotype"/>
          <w:i/>
          <w:iCs/>
          <w:color w:val="000000"/>
          <w:sz w:val="22"/>
        </w:rPr>
        <w:t>” (Sic)</w:t>
      </w:r>
    </w:p>
    <w:p w14:paraId="4D8FED6E" w14:textId="77777777" w:rsidR="00686B08" w:rsidRPr="00530A31" w:rsidRDefault="00686B08" w:rsidP="00052206">
      <w:pPr>
        <w:ind w:right="539"/>
        <w:jc w:val="both"/>
        <w:rPr>
          <w:rFonts w:ascii="Palatino Linotype" w:hAnsi="Palatino Linotype"/>
          <w:i/>
          <w:iCs/>
          <w:color w:val="000000"/>
          <w:sz w:val="22"/>
        </w:rPr>
      </w:pPr>
    </w:p>
    <w:p w14:paraId="4522F9B1" w14:textId="5B0453FF" w:rsidR="00FB7BDC" w:rsidRPr="00530A31" w:rsidRDefault="00FB7BDC" w:rsidP="00D11F51">
      <w:pPr>
        <w:ind w:right="-28"/>
        <w:jc w:val="both"/>
        <w:rPr>
          <w:rFonts w:ascii="Palatino Linotype" w:hAnsi="Palatino Linotype"/>
          <w:color w:val="000000" w:themeColor="text1"/>
          <w:sz w:val="22"/>
        </w:rPr>
      </w:pPr>
      <w:r w:rsidRPr="00530A31">
        <w:rPr>
          <w:rFonts w:ascii="Palatino Linotype" w:hAnsi="Palatino Linotype"/>
          <w:color w:val="000000" w:themeColor="text1"/>
          <w:sz w:val="22"/>
        </w:rPr>
        <w:t>Ar</w:t>
      </w:r>
      <w:r w:rsidR="004C7C60" w:rsidRPr="00530A31">
        <w:rPr>
          <w:rFonts w:ascii="Palatino Linotype" w:hAnsi="Palatino Linotype"/>
          <w:color w:val="000000" w:themeColor="text1"/>
          <w:sz w:val="22"/>
        </w:rPr>
        <w:t>c</w:t>
      </w:r>
      <w:r w:rsidRPr="00530A31">
        <w:rPr>
          <w:rFonts w:ascii="Palatino Linotype" w:hAnsi="Palatino Linotype"/>
          <w:color w:val="000000" w:themeColor="text1"/>
          <w:sz w:val="22"/>
        </w:rPr>
        <w:t>hivos electrónicos adjuntos:</w:t>
      </w:r>
    </w:p>
    <w:p w14:paraId="27678CA2" w14:textId="77777777" w:rsidR="003B68D3" w:rsidRPr="00530A31" w:rsidRDefault="003B68D3" w:rsidP="00D11F51">
      <w:pPr>
        <w:ind w:right="-28"/>
        <w:jc w:val="both"/>
        <w:rPr>
          <w:rFonts w:ascii="Palatino Linotype" w:hAnsi="Palatino Linotype"/>
          <w:color w:val="000000" w:themeColor="text1"/>
          <w:sz w:val="22"/>
        </w:rPr>
      </w:pPr>
    </w:p>
    <w:p w14:paraId="3D0CEF1F" w14:textId="77777777" w:rsidR="003B68D3" w:rsidRPr="00530A31" w:rsidRDefault="00085915" w:rsidP="00C0732F">
      <w:pPr>
        <w:pStyle w:val="Prrafodelista"/>
        <w:numPr>
          <w:ilvl w:val="0"/>
          <w:numId w:val="42"/>
        </w:numPr>
        <w:ind w:left="567" w:right="539" w:firstLine="0"/>
        <w:jc w:val="both"/>
        <w:rPr>
          <w:rFonts w:ascii="Palatino Linotype" w:hAnsi="Palatino Linotype"/>
        </w:rPr>
      </w:pPr>
      <w:hyperlink r:id="rId8" w:tgtFrame="_blank" w:history="1">
        <w:r w:rsidR="003B68D3" w:rsidRPr="00530A31">
          <w:rPr>
            <w:rStyle w:val="Hipervnculo"/>
            <w:rFonts w:ascii="Palatino Linotype" w:eastAsiaTheme="majorEastAsia" w:hAnsi="Palatino Linotype" w:cs="Arial"/>
            <w:b/>
            <w:bCs/>
            <w:color w:val="auto"/>
            <w:u w:val="none"/>
          </w:rPr>
          <w:t>CONTESTACION DAFYC SAIMEX 73.pdf</w:t>
        </w:r>
      </w:hyperlink>
      <w:r w:rsidR="003B68D3" w:rsidRPr="00530A31">
        <w:rPr>
          <w:rFonts w:ascii="Palatino Linotype" w:hAnsi="Palatino Linotype"/>
        </w:rPr>
        <w:t xml:space="preserve">: </w:t>
      </w:r>
    </w:p>
    <w:p w14:paraId="54C9ADA9" w14:textId="77777777" w:rsidR="003B68D3" w:rsidRPr="00530A31" w:rsidRDefault="003B68D3" w:rsidP="003B68D3">
      <w:pPr>
        <w:ind w:right="539"/>
        <w:jc w:val="both"/>
        <w:rPr>
          <w:rFonts w:ascii="Palatino Linotype" w:hAnsi="Palatino Linotype"/>
          <w:sz w:val="22"/>
        </w:rPr>
      </w:pPr>
    </w:p>
    <w:p w14:paraId="104069B7" w14:textId="4D941A11" w:rsidR="003B68D3" w:rsidRPr="00530A31" w:rsidRDefault="003B68D3" w:rsidP="00C0732F">
      <w:pPr>
        <w:pStyle w:val="Prrafodelista"/>
        <w:numPr>
          <w:ilvl w:val="0"/>
          <w:numId w:val="43"/>
        </w:numPr>
        <w:ind w:left="851" w:right="539" w:firstLine="0"/>
        <w:jc w:val="both"/>
        <w:rPr>
          <w:rFonts w:ascii="Palatino Linotype" w:hAnsi="Palatino Linotype"/>
        </w:rPr>
      </w:pPr>
      <w:r w:rsidRPr="00530A31">
        <w:rPr>
          <w:rFonts w:ascii="Palatino Linotype" w:hAnsi="Palatino Linotype"/>
          <w:b/>
        </w:rPr>
        <w:t>Oficio OPDM/</w:t>
      </w:r>
      <w:proofErr w:type="spellStart"/>
      <w:r w:rsidRPr="00530A31">
        <w:rPr>
          <w:rFonts w:ascii="Palatino Linotype" w:hAnsi="Palatino Linotype"/>
          <w:b/>
        </w:rPr>
        <w:t>DAFyC</w:t>
      </w:r>
      <w:proofErr w:type="spellEnd"/>
      <w:r w:rsidRPr="00530A31">
        <w:rPr>
          <w:rFonts w:ascii="Palatino Linotype" w:hAnsi="Palatino Linotype"/>
          <w:b/>
        </w:rPr>
        <w:t>/SF/141/2022</w:t>
      </w:r>
      <w:r w:rsidRPr="00530A31">
        <w:rPr>
          <w:rFonts w:ascii="Palatino Linotype" w:hAnsi="Palatino Linotype"/>
        </w:rPr>
        <w:t xml:space="preserve"> suscrito por el </w:t>
      </w:r>
      <w:proofErr w:type="gramStart"/>
      <w:r w:rsidRPr="00530A31">
        <w:rPr>
          <w:rFonts w:ascii="Palatino Linotype" w:hAnsi="Palatino Linotype"/>
        </w:rPr>
        <w:t>Subdirector</w:t>
      </w:r>
      <w:proofErr w:type="gramEnd"/>
      <w:r w:rsidRPr="00530A31">
        <w:rPr>
          <w:rFonts w:ascii="Palatino Linotype" w:hAnsi="Palatino Linotype"/>
        </w:rPr>
        <w:t xml:space="preserve"> de Finanzas, por medio del cual, respecto a </w:t>
      </w:r>
      <w:r w:rsidRPr="00530A31">
        <w:rPr>
          <w:rFonts w:ascii="Palatino Linotype" w:hAnsi="Palatino Linotype"/>
          <w:i/>
        </w:rPr>
        <w:t>“… y los ingresos derivados del pago de dichos medidores por mes y año.” (Sic),</w:t>
      </w:r>
      <w:r w:rsidRPr="00530A31">
        <w:rPr>
          <w:rFonts w:ascii="Palatino Linotype" w:hAnsi="Palatino Linotype"/>
        </w:rPr>
        <w:t xml:space="preserve"> </w:t>
      </w:r>
      <w:r w:rsidRPr="00530A31">
        <w:rPr>
          <w:rFonts w:ascii="Palatino Linotype" w:hAnsi="Palatino Linotype"/>
          <w:b/>
          <w:u w:val="single"/>
        </w:rPr>
        <w:t>refirió hacer entrega de información respectiva a 2019, 2020, 2021 y, enero y febrero de 2022</w:t>
      </w:r>
      <w:r w:rsidRPr="00530A31">
        <w:rPr>
          <w:rFonts w:ascii="Palatino Linotype" w:hAnsi="Palatino Linotype"/>
          <w:u w:val="single"/>
        </w:rPr>
        <w:t>,</w:t>
      </w:r>
      <w:r w:rsidRPr="00530A31">
        <w:rPr>
          <w:rFonts w:ascii="Palatino Linotype" w:hAnsi="Palatino Linotype"/>
        </w:rPr>
        <w:t xml:space="preserve"> aclarando que, a partir de 2020 la partida presupuestal 2990 cambió de denominación: antes -medidores de agua- y después –otros enseres-. Asimismo, señaló que </w:t>
      </w:r>
      <w:r w:rsidRPr="00530A31">
        <w:rPr>
          <w:rFonts w:ascii="Palatino Linotype" w:hAnsi="Palatino Linotype"/>
          <w:b/>
          <w:u w:val="single"/>
        </w:rPr>
        <w:t xml:space="preserve">la información correspondiente a enero y febrero de 2022 se obtuvo del sistema comercial </w:t>
      </w:r>
      <w:proofErr w:type="spellStart"/>
      <w:r w:rsidRPr="00530A31">
        <w:rPr>
          <w:rFonts w:ascii="Palatino Linotype" w:hAnsi="Palatino Linotype"/>
          <w:b/>
          <w:u w:val="single"/>
        </w:rPr>
        <w:t>Atl</w:t>
      </w:r>
      <w:proofErr w:type="spellEnd"/>
      <w:r w:rsidRPr="00530A31">
        <w:rPr>
          <w:rFonts w:ascii="Palatino Linotype" w:hAnsi="Palatino Linotype"/>
        </w:rPr>
        <w:t>, en virtud de que el presupuesto de ingresos y egresos que regiría para el ejercicio fiscal 2022 se encontraba en proceso de carga contable-presupuestal.</w:t>
      </w:r>
      <w:r w:rsidR="004D007C" w:rsidRPr="00530A31">
        <w:rPr>
          <w:rFonts w:ascii="Palatino Linotype" w:hAnsi="Palatino Linotype"/>
        </w:rPr>
        <w:t xml:space="preserve"> </w:t>
      </w:r>
      <w:r w:rsidR="004D007C" w:rsidRPr="00530A31">
        <w:rPr>
          <w:rFonts w:ascii="Palatino Linotype" w:hAnsi="Palatino Linotype"/>
          <w:b/>
        </w:rPr>
        <w:t xml:space="preserve">(Anexos denominados: </w:t>
      </w:r>
      <w:hyperlink r:id="rId9" w:tgtFrame="_blank" w:history="1">
        <w:r w:rsidR="004D007C" w:rsidRPr="00530A31">
          <w:rPr>
            <w:rStyle w:val="Hipervnculo"/>
            <w:rFonts w:ascii="Palatino Linotype" w:eastAsiaTheme="majorEastAsia" w:hAnsi="Palatino Linotype" w:cs="Arial"/>
            <w:b/>
            <w:bCs/>
            <w:color w:val="auto"/>
            <w:u w:val="none"/>
          </w:rPr>
          <w:t>2019.pdf</w:t>
        </w:r>
      </w:hyperlink>
      <w:r w:rsidR="004D007C" w:rsidRPr="00530A31">
        <w:rPr>
          <w:rStyle w:val="Hipervnculo"/>
          <w:rFonts w:ascii="Palatino Linotype" w:eastAsiaTheme="majorEastAsia" w:hAnsi="Palatino Linotype" w:cs="Arial"/>
          <w:b/>
          <w:bCs/>
          <w:color w:val="auto"/>
          <w:u w:val="none"/>
        </w:rPr>
        <w:t xml:space="preserve">, </w:t>
      </w:r>
      <w:hyperlink r:id="rId10" w:tgtFrame="_blank" w:history="1">
        <w:r w:rsidR="004D007C" w:rsidRPr="00530A31">
          <w:rPr>
            <w:rStyle w:val="Hipervnculo"/>
            <w:rFonts w:ascii="Palatino Linotype" w:eastAsiaTheme="majorEastAsia" w:hAnsi="Palatino Linotype" w:cs="Arial"/>
            <w:b/>
            <w:bCs/>
            <w:color w:val="auto"/>
            <w:u w:val="none"/>
          </w:rPr>
          <w:t>2020.pdf</w:t>
        </w:r>
      </w:hyperlink>
      <w:r w:rsidR="004D007C" w:rsidRPr="00530A31">
        <w:rPr>
          <w:rStyle w:val="Hipervnculo"/>
          <w:rFonts w:ascii="Palatino Linotype" w:eastAsiaTheme="majorEastAsia" w:hAnsi="Palatino Linotype" w:cs="Arial"/>
          <w:b/>
          <w:bCs/>
          <w:color w:val="auto"/>
          <w:u w:val="none"/>
        </w:rPr>
        <w:t xml:space="preserve">, </w:t>
      </w:r>
      <w:hyperlink r:id="rId11" w:tgtFrame="_blank" w:history="1">
        <w:r w:rsidR="004D007C" w:rsidRPr="00530A31">
          <w:rPr>
            <w:rStyle w:val="Hipervnculo"/>
            <w:rFonts w:ascii="Palatino Linotype" w:eastAsiaTheme="majorEastAsia" w:hAnsi="Palatino Linotype" w:cs="Arial"/>
            <w:b/>
            <w:bCs/>
            <w:color w:val="auto"/>
            <w:u w:val="none"/>
          </w:rPr>
          <w:t>2021.pdf</w:t>
        </w:r>
      </w:hyperlink>
      <w:r w:rsidR="004D007C" w:rsidRPr="00530A31">
        <w:rPr>
          <w:rStyle w:val="Hipervnculo"/>
          <w:rFonts w:ascii="Palatino Linotype" w:eastAsiaTheme="majorEastAsia" w:hAnsi="Palatino Linotype" w:cs="Arial"/>
          <w:b/>
          <w:bCs/>
          <w:color w:val="auto"/>
          <w:u w:val="none"/>
        </w:rPr>
        <w:t xml:space="preserve">, </w:t>
      </w:r>
      <w:hyperlink r:id="rId12" w:tgtFrame="_blank" w:history="1">
        <w:r w:rsidR="004D007C" w:rsidRPr="00530A31">
          <w:rPr>
            <w:rStyle w:val="Hipervnculo"/>
            <w:rFonts w:ascii="Palatino Linotype" w:eastAsiaTheme="majorEastAsia" w:hAnsi="Palatino Linotype" w:cs="Arial"/>
            <w:b/>
            <w:bCs/>
            <w:color w:val="auto"/>
            <w:u w:val="none"/>
          </w:rPr>
          <w:t>2022 ENERO.pdf</w:t>
        </w:r>
      </w:hyperlink>
      <w:r w:rsidR="004D007C" w:rsidRPr="00530A31">
        <w:rPr>
          <w:rFonts w:ascii="Palatino Linotype" w:hAnsi="Palatino Linotype"/>
          <w:b/>
        </w:rPr>
        <w:t xml:space="preserve"> y </w:t>
      </w:r>
      <w:hyperlink r:id="rId13" w:tgtFrame="_blank" w:history="1">
        <w:r w:rsidR="004D007C" w:rsidRPr="00530A31">
          <w:rPr>
            <w:rStyle w:val="Hipervnculo"/>
            <w:rFonts w:ascii="Palatino Linotype" w:eastAsiaTheme="majorEastAsia" w:hAnsi="Palatino Linotype" w:cs="Arial"/>
            <w:b/>
            <w:bCs/>
            <w:color w:val="auto"/>
            <w:u w:val="none"/>
          </w:rPr>
          <w:t>2022 FEBRERO.pdf</w:t>
        </w:r>
      </w:hyperlink>
      <w:r w:rsidR="004D007C" w:rsidRPr="00530A31">
        <w:rPr>
          <w:rFonts w:ascii="Palatino Linotype" w:hAnsi="Palatino Linotype"/>
          <w:b/>
        </w:rPr>
        <w:t>).</w:t>
      </w:r>
    </w:p>
    <w:p w14:paraId="3FAC39AF" w14:textId="77777777" w:rsidR="003B68D3" w:rsidRPr="00530A31" w:rsidRDefault="003B68D3" w:rsidP="00C0732F">
      <w:pPr>
        <w:ind w:left="851" w:right="539"/>
        <w:jc w:val="both"/>
        <w:rPr>
          <w:rFonts w:ascii="Palatino Linotype" w:hAnsi="Palatino Linotype"/>
          <w:sz w:val="22"/>
        </w:rPr>
      </w:pPr>
    </w:p>
    <w:p w14:paraId="468CC090" w14:textId="301FBEDE" w:rsidR="003B68D3" w:rsidRPr="00530A31" w:rsidRDefault="003B68D3" w:rsidP="00C0732F">
      <w:pPr>
        <w:pStyle w:val="Prrafodelista"/>
        <w:numPr>
          <w:ilvl w:val="0"/>
          <w:numId w:val="43"/>
        </w:numPr>
        <w:ind w:left="851" w:right="539" w:firstLine="0"/>
        <w:jc w:val="both"/>
        <w:rPr>
          <w:rFonts w:ascii="Palatino Linotype" w:hAnsi="Palatino Linotype"/>
        </w:rPr>
      </w:pPr>
      <w:r w:rsidRPr="00530A31">
        <w:rPr>
          <w:rFonts w:ascii="Palatino Linotype" w:hAnsi="Palatino Linotype"/>
          <w:b/>
        </w:rPr>
        <w:t>Oficio OPDM/SC/0619/2022</w:t>
      </w:r>
      <w:r w:rsidRPr="00530A31">
        <w:rPr>
          <w:rFonts w:ascii="Palatino Linotype" w:hAnsi="Palatino Linotype"/>
        </w:rPr>
        <w:t xml:space="preserve"> suscrito por el </w:t>
      </w:r>
      <w:r w:rsidR="004B413C" w:rsidRPr="00530A31">
        <w:rPr>
          <w:rFonts w:ascii="Palatino Linotype" w:hAnsi="Palatino Linotype"/>
        </w:rPr>
        <w:t xml:space="preserve">Subdirector </w:t>
      </w:r>
      <w:r w:rsidR="004B413C" w:rsidRPr="00530A31">
        <w:rPr>
          <w:rStyle w:val="Hipervnculo"/>
          <w:rFonts w:ascii="Palatino Linotype" w:eastAsiaTheme="majorEastAsia" w:hAnsi="Palatino Linotype" w:cs="Arial"/>
          <w:bCs/>
          <w:color w:val="auto"/>
          <w:u w:val="none"/>
        </w:rPr>
        <w:t>Comercial del OPDM</w:t>
      </w:r>
      <w:r w:rsidRPr="00530A31">
        <w:rPr>
          <w:rFonts w:ascii="Palatino Linotype" w:hAnsi="Palatino Linotype"/>
        </w:rPr>
        <w:t xml:space="preserve">, por medio del cual, respecto a </w:t>
      </w:r>
      <w:r w:rsidRPr="00530A31">
        <w:rPr>
          <w:rFonts w:ascii="Palatino Linotype" w:hAnsi="Palatino Linotype"/>
          <w:i/>
          <w:iCs/>
          <w:color w:val="000000"/>
        </w:rPr>
        <w:t>“</w:t>
      </w:r>
      <w:r w:rsidRPr="00530A31">
        <w:rPr>
          <w:rFonts w:ascii="Palatino Linotype" w:hAnsi="Palatino Linotype"/>
          <w:i/>
          <w:color w:val="000000"/>
        </w:rPr>
        <w:t xml:space="preserve">Se entregue información pública consistente en relación de cantidad total de medidores vendidos por el OPDM de diversas medidas en mm de 13, 19, 25, 38, 50, 65, 80, 100, 125, 150, 200, 250, 300, 500 o ½”, 1”, 1 ½”, 2”, 2 ½”, 3”, 4”, 5”, 6”, 8”, 10”, 12”, 16”, 20” u otros diámetros de tomas, separado por usuarios domésticos y no domésticos, por mes de enero, febrero, marzo, abril, mayo, junio, julio, agosto, septiembre, octubre, noviembre y diciembre de los años de 2019, 2020, 2021 y enero y febrero del año 2022, separado por cada una de las zonas que maneja el </w:t>
      </w:r>
      <w:proofErr w:type="spellStart"/>
      <w:r w:rsidRPr="00530A31">
        <w:rPr>
          <w:rFonts w:ascii="Palatino Linotype" w:hAnsi="Palatino Linotype"/>
          <w:i/>
          <w:color w:val="000000"/>
        </w:rPr>
        <w:t>opdm</w:t>
      </w:r>
      <w:proofErr w:type="spellEnd"/>
      <w:r w:rsidRPr="00530A31">
        <w:rPr>
          <w:rFonts w:ascii="Palatino Linotype" w:hAnsi="Palatino Linotype"/>
          <w:i/>
          <w:color w:val="000000"/>
        </w:rPr>
        <w:t>, y los ingresos derivados del pago de dichos medidores por mes y por año…” (Sic),</w:t>
      </w:r>
      <w:r w:rsidRPr="00530A31">
        <w:rPr>
          <w:rFonts w:ascii="Palatino Linotype" w:hAnsi="Palatino Linotype"/>
          <w:color w:val="000000"/>
        </w:rPr>
        <w:t xml:space="preserve"> </w:t>
      </w:r>
      <w:r w:rsidRPr="00530A31">
        <w:rPr>
          <w:rFonts w:ascii="Palatino Linotype" w:hAnsi="Palatino Linotype"/>
          <w:b/>
          <w:color w:val="000000"/>
          <w:u w:val="single"/>
        </w:rPr>
        <w:t>hizo entrega del listado que contiene la cantidad de medidores vendidos de 13, 19 y 100 mm, ½”, ¾”, 4”, así como, 39, 51, 64 y 75 mm, 1 ½”, 2”, 3” y 3 ¼” diámetros; durante 2019, 2020, 2021 y 2022 (por mes).</w:t>
      </w:r>
    </w:p>
    <w:p w14:paraId="1B57BA90" w14:textId="77777777" w:rsidR="004D007C" w:rsidRPr="00530A31" w:rsidRDefault="004D007C" w:rsidP="002E0E0A">
      <w:pPr>
        <w:pStyle w:val="Prrafodelista"/>
        <w:ind w:left="851" w:right="539"/>
        <w:rPr>
          <w:rFonts w:ascii="Palatino Linotype" w:hAnsi="Palatino Linotype"/>
        </w:rPr>
      </w:pPr>
    </w:p>
    <w:p w14:paraId="6292230E" w14:textId="4200519F" w:rsidR="004D007C" w:rsidRPr="00530A31" w:rsidRDefault="004D007C" w:rsidP="002E0E0A">
      <w:pPr>
        <w:pStyle w:val="Prrafodelista"/>
        <w:numPr>
          <w:ilvl w:val="0"/>
          <w:numId w:val="43"/>
        </w:numPr>
        <w:ind w:left="851" w:right="539" w:firstLine="0"/>
        <w:jc w:val="both"/>
        <w:rPr>
          <w:rFonts w:ascii="Palatino Linotype" w:hAnsi="Palatino Linotype"/>
        </w:rPr>
      </w:pPr>
      <w:r w:rsidRPr="00530A31">
        <w:rPr>
          <w:rFonts w:ascii="Palatino Linotype" w:hAnsi="Palatino Linotype"/>
          <w:b/>
        </w:rPr>
        <w:t>Oficio OPDM/SA/02-211/2022</w:t>
      </w:r>
      <w:r w:rsidRPr="00530A31">
        <w:rPr>
          <w:rFonts w:ascii="Palatino Linotype" w:hAnsi="Palatino Linotype"/>
        </w:rPr>
        <w:t xml:space="preserve"> suscrito por el </w:t>
      </w:r>
      <w:proofErr w:type="gramStart"/>
      <w:r w:rsidRPr="00530A31">
        <w:rPr>
          <w:rFonts w:ascii="Palatino Linotype" w:hAnsi="Palatino Linotype"/>
        </w:rPr>
        <w:t>Jefe</w:t>
      </w:r>
      <w:proofErr w:type="gramEnd"/>
      <w:r w:rsidRPr="00530A31">
        <w:rPr>
          <w:rFonts w:ascii="Palatino Linotype" w:hAnsi="Palatino Linotype"/>
        </w:rPr>
        <w:t xml:space="preserve"> del Departamento de Adquisiciones y el Subdirector de Administración, por medio del cual, </w:t>
      </w:r>
      <w:r w:rsidRPr="00530A31">
        <w:rPr>
          <w:rFonts w:ascii="Palatino Linotype" w:hAnsi="Palatino Linotype"/>
          <w:b/>
          <w:u w:val="single"/>
        </w:rPr>
        <w:t>remitió la relación de stock de medidores que están disponibles en los almacenes del OPDM</w:t>
      </w:r>
      <w:r w:rsidR="00C0732F" w:rsidRPr="00530A31">
        <w:rPr>
          <w:rFonts w:ascii="Palatino Linotype" w:hAnsi="Palatino Linotype"/>
          <w:b/>
          <w:u w:val="single"/>
        </w:rPr>
        <w:t xml:space="preserve"> (San Juan y Guerrero)</w:t>
      </w:r>
      <w:r w:rsidRPr="00530A31">
        <w:rPr>
          <w:rFonts w:ascii="Palatino Linotype" w:hAnsi="Palatino Linotype"/>
          <w:b/>
          <w:u w:val="single"/>
        </w:rPr>
        <w:t xml:space="preserve"> al mes de febrero de </w:t>
      </w:r>
      <w:r w:rsidR="00C0732F" w:rsidRPr="00530A31">
        <w:rPr>
          <w:rFonts w:ascii="Palatino Linotype" w:hAnsi="Palatino Linotype"/>
          <w:b/>
          <w:u w:val="single"/>
        </w:rPr>
        <w:t>2022, bajo los siguientes rubros: ALMACEN, ARTÍCULO, FAMILIA, MEDIDA y EXISTENCIA.</w:t>
      </w:r>
    </w:p>
    <w:p w14:paraId="1E893198" w14:textId="77777777" w:rsidR="003B68D3" w:rsidRPr="00530A31" w:rsidRDefault="003B68D3" w:rsidP="002E0E0A">
      <w:pPr>
        <w:ind w:right="539"/>
        <w:jc w:val="both"/>
        <w:rPr>
          <w:rFonts w:ascii="Palatino Linotype" w:hAnsi="Palatino Linotype"/>
          <w:sz w:val="22"/>
        </w:rPr>
      </w:pPr>
    </w:p>
    <w:p w14:paraId="0A9CA458" w14:textId="109ADA06" w:rsidR="004D007C" w:rsidRPr="00530A31" w:rsidRDefault="00085915" w:rsidP="002E0E0A">
      <w:pPr>
        <w:pStyle w:val="Prrafodelista"/>
        <w:numPr>
          <w:ilvl w:val="0"/>
          <w:numId w:val="42"/>
        </w:numPr>
        <w:ind w:left="567" w:right="539" w:firstLine="0"/>
        <w:jc w:val="both"/>
        <w:rPr>
          <w:rStyle w:val="Hipervnculo"/>
          <w:rFonts w:ascii="Palatino Linotype" w:hAnsi="Palatino Linotype"/>
          <w:color w:val="auto"/>
          <w:u w:val="none"/>
        </w:rPr>
      </w:pPr>
      <w:hyperlink r:id="rId14" w:tgtFrame="_blank" w:history="1">
        <w:r w:rsidR="004D007C" w:rsidRPr="00530A31">
          <w:rPr>
            <w:rStyle w:val="Hipervnculo"/>
            <w:rFonts w:ascii="Palatino Linotype" w:eastAsiaTheme="majorEastAsia" w:hAnsi="Palatino Linotype" w:cs="Arial"/>
            <w:b/>
            <w:bCs/>
            <w:color w:val="auto"/>
            <w:u w:val="none"/>
          </w:rPr>
          <w:t>2019.pdf</w:t>
        </w:r>
      </w:hyperlink>
      <w:r w:rsidR="004D007C" w:rsidRPr="00530A31">
        <w:rPr>
          <w:rFonts w:ascii="Palatino Linotype" w:hAnsi="Palatino Linotype"/>
        </w:rPr>
        <w:t>: PbRM-10c - Estado Comparativo Presupuestal de Egresos 2019.</w:t>
      </w:r>
    </w:p>
    <w:p w14:paraId="600C0CAD" w14:textId="44688133" w:rsidR="003B68D3" w:rsidRPr="00530A31" w:rsidRDefault="00085915" w:rsidP="002E0E0A">
      <w:pPr>
        <w:pStyle w:val="Prrafodelista"/>
        <w:numPr>
          <w:ilvl w:val="0"/>
          <w:numId w:val="42"/>
        </w:numPr>
        <w:ind w:left="567" w:right="539" w:firstLine="0"/>
        <w:jc w:val="both"/>
        <w:rPr>
          <w:rStyle w:val="Hipervnculo"/>
          <w:rFonts w:ascii="Palatino Linotype" w:hAnsi="Palatino Linotype"/>
          <w:color w:val="auto"/>
          <w:u w:val="none"/>
        </w:rPr>
      </w:pPr>
      <w:hyperlink r:id="rId15" w:tgtFrame="_blank" w:history="1">
        <w:r w:rsidR="00826820" w:rsidRPr="00530A31">
          <w:rPr>
            <w:rStyle w:val="Hipervnculo"/>
            <w:rFonts w:ascii="Palatino Linotype" w:eastAsiaTheme="majorEastAsia" w:hAnsi="Palatino Linotype" w:cs="Arial"/>
            <w:b/>
            <w:bCs/>
            <w:color w:val="auto"/>
            <w:u w:val="none"/>
          </w:rPr>
          <w:t>2020.pdf</w:t>
        </w:r>
      </w:hyperlink>
      <w:r w:rsidR="00826820" w:rsidRPr="00530A31">
        <w:rPr>
          <w:rFonts w:ascii="Palatino Linotype" w:hAnsi="Palatino Linotype"/>
        </w:rPr>
        <w:t>:</w:t>
      </w:r>
      <w:r w:rsidR="00843D77" w:rsidRPr="00530A31">
        <w:rPr>
          <w:rFonts w:ascii="Palatino Linotype" w:hAnsi="Palatino Linotype"/>
        </w:rPr>
        <w:t xml:space="preserve"> PbRM-10c - Estado Comparativo Presupuestal de Egresos 2020.</w:t>
      </w:r>
    </w:p>
    <w:p w14:paraId="4D18EB0C" w14:textId="0C952354" w:rsidR="004D007C" w:rsidRPr="00530A31" w:rsidRDefault="00085915" w:rsidP="002E0E0A">
      <w:pPr>
        <w:pStyle w:val="Prrafodelista"/>
        <w:numPr>
          <w:ilvl w:val="0"/>
          <w:numId w:val="42"/>
        </w:numPr>
        <w:ind w:left="567" w:right="539" w:firstLine="0"/>
        <w:jc w:val="both"/>
        <w:rPr>
          <w:rFonts w:ascii="Palatino Linotype" w:hAnsi="Palatino Linotype"/>
        </w:rPr>
      </w:pPr>
      <w:hyperlink r:id="rId16" w:tgtFrame="_blank" w:history="1">
        <w:r w:rsidR="00826820" w:rsidRPr="00530A31">
          <w:rPr>
            <w:rStyle w:val="Hipervnculo"/>
            <w:rFonts w:ascii="Palatino Linotype" w:eastAsiaTheme="majorEastAsia" w:hAnsi="Palatino Linotype" w:cs="Arial"/>
            <w:b/>
            <w:bCs/>
            <w:color w:val="auto"/>
            <w:u w:val="none"/>
          </w:rPr>
          <w:t>2021.pdf</w:t>
        </w:r>
      </w:hyperlink>
      <w:r w:rsidR="00826820" w:rsidRPr="00530A31">
        <w:rPr>
          <w:rFonts w:ascii="Palatino Linotype" w:hAnsi="Palatino Linotype"/>
        </w:rPr>
        <w:t>:</w:t>
      </w:r>
      <w:r w:rsidR="00521500" w:rsidRPr="00530A31">
        <w:rPr>
          <w:rFonts w:ascii="Palatino Linotype" w:hAnsi="Palatino Linotype"/>
        </w:rPr>
        <w:t xml:space="preserve"> PbRM-10c - Estado Compa</w:t>
      </w:r>
      <w:r w:rsidR="004D007C" w:rsidRPr="00530A31">
        <w:rPr>
          <w:rFonts w:ascii="Palatino Linotype" w:hAnsi="Palatino Linotype"/>
        </w:rPr>
        <w:t xml:space="preserve">rativo Presupuestal de Egresos </w:t>
      </w:r>
      <w:r w:rsidR="00522917" w:rsidRPr="00530A31">
        <w:rPr>
          <w:rFonts w:ascii="Palatino Linotype" w:hAnsi="Palatino Linotype"/>
        </w:rPr>
        <w:t>2021.</w:t>
      </w:r>
    </w:p>
    <w:p w14:paraId="2C188317" w14:textId="5F44BB5D" w:rsidR="004D007C" w:rsidRPr="00530A31" w:rsidRDefault="00085915" w:rsidP="002E0E0A">
      <w:pPr>
        <w:pStyle w:val="Prrafodelista"/>
        <w:numPr>
          <w:ilvl w:val="0"/>
          <w:numId w:val="42"/>
        </w:numPr>
        <w:ind w:left="567" w:right="539" w:firstLine="0"/>
        <w:jc w:val="both"/>
        <w:rPr>
          <w:rStyle w:val="Hipervnculo"/>
          <w:rFonts w:ascii="Palatino Linotype" w:hAnsi="Palatino Linotype"/>
          <w:color w:val="auto"/>
          <w:u w:val="none"/>
        </w:rPr>
      </w:pPr>
      <w:hyperlink r:id="rId17" w:tgtFrame="_blank" w:history="1">
        <w:r w:rsidR="004D007C" w:rsidRPr="00530A31">
          <w:rPr>
            <w:rStyle w:val="Hipervnculo"/>
            <w:rFonts w:ascii="Palatino Linotype" w:eastAsiaTheme="majorEastAsia" w:hAnsi="Palatino Linotype" w:cs="Arial"/>
            <w:b/>
            <w:bCs/>
            <w:color w:val="auto"/>
            <w:u w:val="none"/>
          </w:rPr>
          <w:t>2022 ENERO.pdf</w:t>
        </w:r>
      </w:hyperlink>
      <w:r w:rsidR="004D007C" w:rsidRPr="00530A31">
        <w:rPr>
          <w:rFonts w:ascii="Palatino Linotype" w:hAnsi="Palatino Linotype"/>
        </w:rPr>
        <w:t xml:space="preserve">: Documento en el que se informa la recaudación por compra de medidor </w:t>
      </w:r>
      <w:r w:rsidR="00C0732F" w:rsidRPr="00530A31">
        <w:rPr>
          <w:rFonts w:ascii="Palatino Linotype" w:hAnsi="Palatino Linotype"/>
        </w:rPr>
        <w:t xml:space="preserve">de enero de </w:t>
      </w:r>
      <w:r w:rsidR="004D007C" w:rsidRPr="00530A31">
        <w:rPr>
          <w:rFonts w:ascii="Palatino Linotype" w:hAnsi="Palatino Linotype"/>
        </w:rPr>
        <w:t>2022 – importe total $689,961.00.</w:t>
      </w:r>
    </w:p>
    <w:p w14:paraId="1BC812AD" w14:textId="56C1E304" w:rsidR="004D007C" w:rsidRPr="00530A31" w:rsidRDefault="00085915" w:rsidP="002E0E0A">
      <w:pPr>
        <w:pStyle w:val="Prrafodelista"/>
        <w:numPr>
          <w:ilvl w:val="0"/>
          <w:numId w:val="42"/>
        </w:numPr>
        <w:ind w:left="567" w:right="539" w:firstLine="0"/>
        <w:jc w:val="both"/>
        <w:rPr>
          <w:rFonts w:ascii="Palatino Linotype" w:hAnsi="Palatino Linotype"/>
        </w:rPr>
      </w:pPr>
      <w:hyperlink r:id="rId18" w:tgtFrame="_blank" w:history="1">
        <w:r w:rsidR="004D007C" w:rsidRPr="00530A31">
          <w:rPr>
            <w:rStyle w:val="Hipervnculo"/>
            <w:rFonts w:ascii="Palatino Linotype" w:eastAsiaTheme="majorEastAsia" w:hAnsi="Palatino Linotype" w:cs="Arial"/>
            <w:b/>
            <w:bCs/>
            <w:color w:val="auto"/>
            <w:u w:val="none"/>
          </w:rPr>
          <w:t>2022 FEBRERO.pdf</w:t>
        </w:r>
      </w:hyperlink>
      <w:r w:rsidR="004D007C" w:rsidRPr="00530A31">
        <w:rPr>
          <w:rFonts w:ascii="Palatino Linotype" w:hAnsi="Palatino Linotype"/>
        </w:rPr>
        <w:t>: Documento en el que se informa la recaud</w:t>
      </w:r>
      <w:r w:rsidR="00C0732F" w:rsidRPr="00530A31">
        <w:rPr>
          <w:rFonts w:ascii="Palatino Linotype" w:hAnsi="Palatino Linotype"/>
        </w:rPr>
        <w:t xml:space="preserve">ación por compra de medidor de febrero </w:t>
      </w:r>
      <w:r w:rsidR="004D007C" w:rsidRPr="00530A31">
        <w:rPr>
          <w:rFonts w:ascii="Palatino Linotype" w:hAnsi="Palatino Linotype"/>
        </w:rPr>
        <w:t>2022 – importe total $499,614.00.</w:t>
      </w:r>
    </w:p>
    <w:p w14:paraId="195CD680" w14:textId="77777777" w:rsidR="003B68D3" w:rsidRPr="00530A31" w:rsidRDefault="003B68D3" w:rsidP="00C0732F">
      <w:pPr>
        <w:ind w:right="539"/>
        <w:jc w:val="both"/>
        <w:rPr>
          <w:rFonts w:ascii="Palatino Linotype" w:hAnsi="Palatino Linotype"/>
        </w:rPr>
      </w:pPr>
    </w:p>
    <w:p w14:paraId="61B6C78E" w14:textId="15FC959B" w:rsidR="00E93FC1" w:rsidRPr="00530A31" w:rsidRDefault="00F476D7" w:rsidP="00686B08">
      <w:pPr>
        <w:pStyle w:val="Prrafodelista"/>
        <w:numPr>
          <w:ilvl w:val="0"/>
          <w:numId w:val="1"/>
        </w:numPr>
        <w:tabs>
          <w:tab w:val="left" w:pos="0"/>
        </w:tabs>
        <w:spacing w:before="240" w:after="240" w:line="360" w:lineRule="auto"/>
        <w:ind w:left="0" w:firstLine="0"/>
        <w:jc w:val="both"/>
        <w:rPr>
          <w:rFonts w:ascii="Palatino Linotype" w:eastAsia="MS Mincho" w:hAnsi="Palatino Linotype" w:cs="Arial"/>
          <w:b/>
          <w:bCs/>
          <w:sz w:val="24"/>
        </w:rPr>
      </w:pPr>
      <w:r w:rsidRPr="00530A31">
        <w:rPr>
          <w:rFonts w:ascii="Palatino Linotype" w:hAnsi="Palatino Linotype" w:cs="Arial"/>
          <w:sz w:val="24"/>
          <w:lang w:val="es-ES"/>
        </w:rPr>
        <w:t>E</w:t>
      </w:r>
      <w:r w:rsidR="00D11F51" w:rsidRPr="00530A31">
        <w:rPr>
          <w:rFonts w:ascii="Palatino Linotype" w:hAnsi="Palatino Linotype" w:cs="Arial"/>
          <w:sz w:val="24"/>
          <w:lang w:val="es-ES"/>
        </w:rPr>
        <w:t xml:space="preserve">l </w:t>
      </w:r>
      <w:r w:rsidR="00826820" w:rsidRPr="00530A31">
        <w:rPr>
          <w:rFonts w:ascii="Palatino Linotype" w:hAnsi="Palatino Linotype" w:cs="Arial"/>
          <w:sz w:val="24"/>
          <w:lang w:val="es-ES"/>
        </w:rPr>
        <w:t>veintidós de marzo de dos mil veintidós</w:t>
      </w:r>
      <w:r w:rsidR="00E93FC1" w:rsidRPr="00530A31">
        <w:rPr>
          <w:rFonts w:ascii="Palatino Linotype" w:hAnsi="Palatino Linotype" w:cs="Arial"/>
          <w:b/>
          <w:sz w:val="24"/>
          <w:lang w:val="es-ES"/>
        </w:rPr>
        <w:t>,</w:t>
      </w:r>
      <w:r w:rsidR="00E93FC1" w:rsidRPr="00530A31">
        <w:rPr>
          <w:rFonts w:ascii="Palatino Linotype" w:hAnsi="Palatino Linotype" w:cs="Arial"/>
          <w:sz w:val="24"/>
          <w:lang w:val="es-ES"/>
        </w:rPr>
        <w:t xml:space="preserve"> el </w:t>
      </w:r>
      <w:r w:rsidR="003C3850" w:rsidRPr="00530A31">
        <w:rPr>
          <w:rFonts w:ascii="Palatino Linotype" w:hAnsi="Palatino Linotype" w:cs="Arial"/>
          <w:b/>
          <w:bCs/>
          <w:sz w:val="24"/>
          <w:lang w:val="es-ES"/>
        </w:rPr>
        <w:t xml:space="preserve">RECURRENTE </w:t>
      </w:r>
      <w:r w:rsidR="00E93FC1" w:rsidRPr="00530A31">
        <w:rPr>
          <w:rFonts w:ascii="Palatino Linotype" w:hAnsi="Palatino Linotype" w:cs="Arial"/>
          <w:sz w:val="24"/>
          <w:lang w:val="es-ES"/>
        </w:rPr>
        <w:t xml:space="preserve">interpuso </w:t>
      </w:r>
      <w:r w:rsidR="00686B08" w:rsidRPr="00530A31">
        <w:rPr>
          <w:rFonts w:ascii="Palatino Linotype" w:hAnsi="Palatino Linotype" w:cs="Arial"/>
          <w:sz w:val="24"/>
          <w:lang w:val="es-ES"/>
        </w:rPr>
        <w:t xml:space="preserve">el </w:t>
      </w:r>
      <w:r w:rsidR="00E93FC1" w:rsidRPr="00530A31">
        <w:rPr>
          <w:rFonts w:ascii="Palatino Linotype" w:hAnsi="Palatino Linotype" w:cs="Arial"/>
          <w:sz w:val="24"/>
          <w:lang w:val="es-ES"/>
        </w:rPr>
        <w:t>recurso de revisión, señalando como:</w:t>
      </w:r>
    </w:p>
    <w:bookmarkEnd w:id="4"/>
    <w:bookmarkEnd w:id="5"/>
    <w:bookmarkEnd w:id="6"/>
    <w:p w14:paraId="14C55AA6" w14:textId="30EED3AF" w:rsidR="00E93FC1" w:rsidRPr="00530A31" w:rsidRDefault="00E93FC1" w:rsidP="00ED613E">
      <w:pPr>
        <w:ind w:left="567" w:right="539"/>
        <w:jc w:val="both"/>
        <w:rPr>
          <w:rFonts w:ascii="Palatino Linotype" w:hAnsi="Palatino Linotype"/>
          <w:i/>
          <w:sz w:val="22"/>
        </w:rPr>
      </w:pPr>
      <w:r w:rsidRPr="00530A31">
        <w:rPr>
          <w:rFonts w:ascii="Palatino Linotype" w:eastAsia="Calibri" w:hAnsi="Palatino Linotype" w:cs="Arial"/>
          <w:b/>
          <w:sz w:val="22"/>
          <w:lang w:val="es-ES"/>
        </w:rPr>
        <w:t>Acto impugnado:</w:t>
      </w:r>
      <w:r w:rsidRPr="00530A31">
        <w:rPr>
          <w:rFonts w:ascii="Palatino Linotype" w:eastAsia="Calibri" w:hAnsi="Palatino Linotype" w:cs="Arial"/>
          <w:i/>
          <w:sz w:val="22"/>
          <w:lang w:val="es-ES"/>
        </w:rPr>
        <w:t xml:space="preserve"> </w:t>
      </w:r>
      <w:r w:rsidRPr="00530A31">
        <w:rPr>
          <w:rFonts w:ascii="Palatino Linotype" w:eastAsia="Calibri" w:hAnsi="Palatino Linotype" w:cs="Arial"/>
          <w:i/>
          <w:iCs/>
          <w:sz w:val="22"/>
          <w:lang w:val="es-ES"/>
        </w:rPr>
        <w:t>“</w:t>
      </w:r>
      <w:r w:rsidR="00826820" w:rsidRPr="00530A31">
        <w:rPr>
          <w:rFonts w:ascii="Palatino Linotype" w:hAnsi="Palatino Linotype"/>
          <w:i/>
          <w:color w:val="000000"/>
          <w:sz w:val="22"/>
        </w:rPr>
        <w:t xml:space="preserve">Se promueve Recurso de Revisión por haber entregado la información INCOMPLETA y ante la NEGATIVA DE ACCESO A LA INFORMACIÓN y la simulación de entrega de información por parte del Sujeto Obligado, toda vez que no se me entrego la información como se </w:t>
      </w:r>
      <w:proofErr w:type="spellStart"/>
      <w:r w:rsidR="00826820" w:rsidRPr="00530A31">
        <w:rPr>
          <w:rFonts w:ascii="Palatino Linotype" w:hAnsi="Palatino Linotype"/>
          <w:i/>
          <w:color w:val="000000"/>
          <w:sz w:val="22"/>
        </w:rPr>
        <w:t>solicito</w:t>
      </w:r>
      <w:proofErr w:type="spellEnd"/>
      <w:r w:rsidR="00826820" w:rsidRPr="00530A31">
        <w:rPr>
          <w:rFonts w:ascii="Palatino Linotype" w:hAnsi="Palatino Linotype"/>
          <w:i/>
          <w:color w:val="000000"/>
          <w:sz w:val="22"/>
        </w:rPr>
        <w:t xml:space="preserve"> haciendo falta la información de “total de medidores vendidos por el OPDM de diversas medidas en mm de 13, 19, 25, 38, 50, 65, 80, 100, 125, 150, 200, 250, 300, 500 o ½”, 1”, 1 ½”, 2”, 2 ½”, 3”, 4”, 5”, 6”, 8”, 10”, 12”, 16”, 20” u otros diámetros de tomas, separado por usuarios </w:t>
      </w:r>
      <w:proofErr w:type="spellStart"/>
      <w:r w:rsidR="00826820" w:rsidRPr="00530A31">
        <w:rPr>
          <w:rFonts w:ascii="Palatino Linotype" w:hAnsi="Palatino Linotype"/>
          <w:i/>
          <w:color w:val="000000"/>
          <w:sz w:val="22"/>
        </w:rPr>
        <w:t>domesticos</w:t>
      </w:r>
      <w:proofErr w:type="spellEnd"/>
      <w:r w:rsidR="00826820" w:rsidRPr="00530A31">
        <w:rPr>
          <w:rFonts w:ascii="Palatino Linotype" w:hAnsi="Palatino Linotype"/>
          <w:i/>
          <w:color w:val="000000"/>
          <w:sz w:val="22"/>
        </w:rPr>
        <w:t xml:space="preserve"> y no </w:t>
      </w:r>
      <w:proofErr w:type="spellStart"/>
      <w:r w:rsidR="00826820" w:rsidRPr="00530A31">
        <w:rPr>
          <w:rFonts w:ascii="Palatino Linotype" w:hAnsi="Palatino Linotype"/>
          <w:i/>
          <w:color w:val="000000"/>
          <w:sz w:val="22"/>
        </w:rPr>
        <w:t>domesticos</w:t>
      </w:r>
      <w:proofErr w:type="spellEnd"/>
      <w:r w:rsidR="00826820" w:rsidRPr="00530A31">
        <w:rPr>
          <w:rFonts w:ascii="Palatino Linotype" w:hAnsi="Palatino Linotype"/>
          <w:i/>
          <w:color w:val="000000"/>
          <w:sz w:val="22"/>
        </w:rPr>
        <w:t xml:space="preserve">” y TAMPOCO SE ME ENTREGO como se </w:t>
      </w:r>
      <w:proofErr w:type="spellStart"/>
      <w:r w:rsidR="00826820" w:rsidRPr="00530A31">
        <w:rPr>
          <w:rFonts w:ascii="Palatino Linotype" w:hAnsi="Palatino Linotype"/>
          <w:i/>
          <w:color w:val="000000"/>
          <w:sz w:val="22"/>
        </w:rPr>
        <w:t>solicito</w:t>
      </w:r>
      <w:proofErr w:type="spellEnd"/>
      <w:r w:rsidR="00826820" w:rsidRPr="00530A31">
        <w:rPr>
          <w:rFonts w:ascii="Palatino Linotype" w:hAnsi="Palatino Linotype"/>
          <w:i/>
          <w:color w:val="000000"/>
          <w:sz w:val="22"/>
        </w:rPr>
        <w:t xml:space="preserve"> “por mes de enero, febrero, marzo, abril, mayo, junio, julio, agosto, septiembre, octubre, noviembre y diciembre de los años de 2019, 2020, 2021 y enero y febrero del año 2022, separado por cada una de las zonas que maneja el </w:t>
      </w:r>
      <w:proofErr w:type="spellStart"/>
      <w:r w:rsidR="00826820" w:rsidRPr="00530A31">
        <w:rPr>
          <w:rFonts w:ascii="Palatino Linotype" w:hAnsi="Palatino Linotype"/>
          <w:i/>
          <w:color w:val="000000"/>
          <w:sz w:val="22"/>
        </w:rPr>
        <w:t>opdm</w:t>
      </w:r>
      <w:proofErr w:type="spellEnd"/>
      <w:r w:rsidR="00826820" w:rsidRPr="00530A31">
        <w:rPr>
          <w:rFonts w:ascii="Palatino Linotype" w:hAnsi="Palatino Linotype"/>
          <w:i/>
          <w:color w:val="000000"/>
          <w:sz w:val="22"/>
        </w:rPr>
        <w:t xml:space="preserve">” haciendo falta la separación por cada una de las zonas por cada uno de los meses, diámetros y por tipo de usuarios </w:t>
      </w:r>
      <w:proofErr w:type="spellStart"/>
      <w:r w:rsidR="00826820" w:rsidRPr="00530A31">
        <w:rPr>
          <w:rFonts w:ascii="Palatino Linotype" w:hAnsi="Palatino Linotype"/>
          <w:i/>
          <w:color w:val="000000"/>
          <w:sz w:val="22"/>
        </w:rPr>
        <w:t>domesticos</w:t>
      </w:r>
      <w:proofErr w:type="spellEnd"/>
      <w:r w:rsidR="00826820" w:rsidRPr="00530A31">
        <w:rPr>
          <w:rFonts w:ascii="Palatino Linotype" w:hAnsi="Palatino Linotype"/>
          <w:i/>
          <w:color w:val="000000"/>
          <w:sz w:val="22"/>
        </w:rPr>
        <w:t xml:space="preserve"> y no </w:t>
      </w:r>
      <w:proofErr w:type="spellStart"/>
      <w:r w:rsidR="00826820" w:rsidRPr="00530A31">
        <w:rPr>
          <w:rFonts w:ascii="Palatino Linotype" w:hAnsi="Palatino Linotype"/>
          <w:i/>
          <w:color w:val="000000"/>
          <w:sz w:val="22"/>
        </w:rPr>
        <w:t>domesticos</w:t>
      </w:r>
      <w:proofErr w:type="spellEnd"/>
      <w:r w:rsidR="00826820" w:rsidRPr="00530A31">
        <w:rPr>
          <w:rFonts w:ascii="Palatino Linotype" w:hAnsi="Palatino Linotype"/>
          <w:i/>
          <w:color w:val="000000"/>
          <w:sz w:val="22"/>
        </w:rPr>
        <w:t xml:space="preserve"> </w:t>
      </w:r>
      <w:proofErr w:type="spellStart"/>
      <w:r w:rsidR="00826820" w:rsidRPr="00530A31">
        <w:rPr>
          <w:rFonts w:ascii="Palatino Linotype" w:hAnsi="Palatino Linotype"/>
          <w:i/>
          <w:color w:val="000000"/>
          <w:sz w:val="22"/>
        </w:rPr>
        <w:t>tambien</w:t>
      </w:r>
      <w:proofErr w:type="spellEnd"/>
      <w:r w:rsidR="00826820" w:rsidRPr="00530A31">
        <w:rPr>
          <w:rFonts w:ascii="Palatino Linotype" w:hAnsi="Palatino Linotype"/>
          <w:i/>
          <w:color w:val="000000"/>
          <w:sz w:val="22"/>
        </w:rPr>
        <w:t xml:space="preserve"> por mes de cada uno de los años de 2019, 2020 y 2021, con lo cual están violando nuestro derecho a recibir información pública establecido en el </w:t>
      </w:r>
      <w:proofErr w:type="spellStart"/>
      <w:r w:rsidR="00826820" w:rsidRPr="00530A31">
        <w:rPr>
          <w:rFonts w:ascii="Palatino Linotype" w:hAnsi="Palatino Linotype"/>
          <w:i/>
          <w:color w:val="000000"/>
          <w:sz w:val="22"/>
        </w:rPr>
        <w:t>articulo</w:t>
      </w:r>
      <w:proofErr w:type="spellEnd"/>
      <w:r w:rsidR="00826820" w:rsidRPr="00530A31">
        <w:rPr>
          <w:rFonts w:ascii="Palatino Linotype" w:hAnsi="Palatino Linotype"/>
          <w:i/>
          <w:color w:val="000000"/>
          <w:sz w:val="22"/>
        </w:rPr>
        <w:t xml:space="preserve"> 6 de la constitución política bajo el principio de máxima publicidad, y no se </w:t>
      </w:r>
      <w:proofErr w:type="spellStart"/>
      <w:r w:rsidR="00826820" w:rsidRPr="00530A31">
        <w:rPr>
          <w:rFonts w:ascii="Palatino Linotype" w:hAnsi="Palatino Linotype"/>
          <w:i/>
          <w:color w:val="000000"/>
          <w:sz w:val="22"/>
        </w:rPr>
        <w:t>solicito</w:t>
      </w:r>
      <w:proofErr w:type="spellEnd"/>
      <w:r w:rsidR="00826820" w:rsidRPr="00530A31">
        <w:rPr>
          <w:rFonts w:ascii="Palatino Linotype" w:hAnsi="Palatino Linotype"/>
          <w:i/>
          <w:color w:val="000000"/>
          <w:sz w:val="22"/>
        </w:rPr>
        <w:t xml:space="preserve"> </w:t>
      </w:r>
      <w:proofErr w:type="spellStart"/>
      <w:r w:rsidR="00826820" w:rsidRPr="00530A31">
        <w:rPr>
          <w:rFonts w:ascii="Palatino Linotype" w:hAnsi="Palatino Linotype"/>
          <w:i/>
          <w:color w:val="000000"/>
          <w:sz w:val="22"/>
        </w:rPr>
        <w:t>ningun</w:t>
      </w:r>
      <w:proofErr w:type="spellEnd"/>
      <w:r w:rsidR="00826820" w:rsidRPr="00530A31">
        <w:rPr>
          <w:rFonts w:ascii="Palatino Linotype" w:hAnsi="Palatino Linotype"/>
          <w:i/>
          <w:color w:val="000000"/>
          <w:sz w:val="22"/>
        </w:rPr>
        <w:t xml:space="preserve"> estado comparativo presupuestal de egresos, solo los ingresos derivados del pago de dichos medidores por mes y por año, por zona y por tipo de usuario </w:t>
      </w:r>
      <w:proofErr w:type="spellStart"/>
      <w:r w:rsidR="00826820" w:rsidRPr="00530A31">
        <w:rPr>
          <w:rFonts w:ascii="Palatino Linotype" w:hAnsi="Palatino Linotype"/>
          <w:i/>
          <w:color w:val="000000"/>
          <w:sz w:val="22"/>
        </w:rPr>
        <w:t>domestico</w:t>
      </w:r>
      <w:proofErr w:type="spellEnd"/>
      <w:r w:rsidR="00826820" w:rsidRPr="00530A31">
        <w:rPr>
          <w:rFonts w:ascii="Palatino Linotype" w:hAnsi="Palatino Linotype"/>
          <w:i/>
          <w:color w:val="000000"/>
          <w:sz w:val="22"/>
        </w:rPr>
        <w:t xml:space="preserve"> y no domestico</w:t>
      </w:r>
      <w:r w:rsidR="00A95951" w:rsidRPr="00530A31">
        <w:rPr>
          <w:rFonts w:ascii="Palatino Linotype" w:hAnsi="Palatino Linotype"/>
          <w:i/>
          <w:iCs/>
          <w:color w:val="000000"/>
          <w:sz w:val="22"/>
        </w:rPr>
        <w:t>” (Sic)</w:t>
      </w:r>
    </w:p>
    <w:p w14:paraId="6F27AF4B" w14:textId="77777777" w:rsidR="00A95951" w:rsidRPr="00530A31" w:rsidRDefault="00A95951" w:rsidP="00ED613E">
      <w:pPr>
        <w:ind w:left="567" w:right="539"/>
        <w:jc w:val="both"/>
        <w:rPr>
          <w:rFonts w:ascii="Palatino Linotype" w:hAnsi="Palatino Linotype"/>
          <w:i/>
          <w:sz w:val="22"/>
        </w:rPr>
      </w:pPr>
    </w:p>
    <w:p w14:paraId="366CE518" w14:textId="77777777" w:rsidR="00826820" w:rsidRPr="00530A31" w:rsidRDefault="00E93FC1" w:rsidP="00ED613E">
      <w:pPr>
        <w:ind w:left="567" w:right="539"/>
        <w:jc w:val="both"/>
        <w:rPr>
          <w:rFonts w:ascii="Palatino Linotype" w:eastAsia="MS Mincho" w:hAnsi="Palatino Linotype"/>
          <w:i/>
          <w:sz w:val="22"/>
        </w:rPr>
      </w:pPr>
      <w:r w:rsidRPr="00530A31">
        <w:rPr>
          <w:rFonts w:ascii="Palatino Linotype" w:eastAsia="MS Gothic" w:hAnsi="Palatino Linotype"/>
          <w:b/>
          <w:sz w:val="22"/>
          <w:lang w:val="es-ES"/>
        </w:rPr>
        <w:t>Razones o Motivos de inconformidad</w:t>
      </w:r>
      <w:r w:rsidRPr="00530A31">
        <w:rPr>
          <w:rFonts w:ascii="Palatino Linotype" w:eastAsia="MS Mincho" w:hAnsi="Palatino Linotype"/>
          <w:i/>
          <w:sz w:val="22"/>
        </w:rPr>
        <w:t xml:space="preserve">: </w:t>
      </w:r>
    </w:p>
    <w:p w14:paraId="2CA779C5" w14:textId="0A9DA7FB" w:rsidR="005F1134" w:rsidRPr="00530A31" w:rsidRDefault="00826820" w:rsidP="00ED613E">
      <w:pPr>
        <w:ind w:left="567" w:right="539"/>
        <w:jc w:val="both"/>
        <w:rPr>
          <w:rFonts w:ascii="Palatino Linotype" w:hAnsi="Palatino Linotype"/>
          <w:sz w:val="22"/>
        </w:rPr>
      </w:pPr>
      <w:r w:rsidRPr="00530A31">
        <w:rPr>
          <w:rFonts w:ascii="Palatino Linotype" w:eastAsia="MS Mincho" w:hAnsi="Palatino Linotype"/>
          <w:sz w:val="22"/>
        </w:rPr>
        <w:t>(No se señalaron razones o motivos de inconformidad)</w:t>
      </w:r>
    </w:p>
    <w:p w14:paraId="4FC94033" w14:textId="77777777" w:rsidR="00734B74" w:rsidRPr="00530A31" w:rsidRDefault="00734B74" w:rsidP="00734B74">
      <w:pPr>
        <w:spacing w:before="240" w:after="240" w:line="360" w:lineRule="auto"/>
        <w:contextualSpacing/>
        <w:jc w:val="both"/>
        <w:rPr>
          <w:rFonts w:ascii="Palatino Linotype" w:eastAsia="MS Mincho" w:hAnsi="Palatino Linotype"/>
          <w:iCs/>
          <w:color w:val="000000"/>
        </w:rPr>
      </w:pPr>
    </w:p>
    <w:p w14:paraId="7675CFAE" w14:textId="77777777" w:rsidR="00521500" w:rsidRPr="00530A31" w:rsidRDefault="00734B74" w:rsidP="00521500">
      <w:pPr>
        <w:numPr>
          <w:ilvl w:val="0"/>
          <w:numId w:val="1"/>
        </w:numPr>
        <w:spacing w:before="240" w:after="240" w:line="360" w:lineRule="auto"/>
        <w:ind w:left="0" w:firstLine="0"/>
        <w:contextualSpacing/>
        <w:jc w:val="both"/>
        <w:rPr>
          <w:rFonts w:ascii="Palatino Linotype" w:eastAsia="MS Mincho" w:hAnsi="Palatino Linotype"/>
          <w:i/>
          <w:color w:val="000000"/>
        </w:rPr>
      </w:pPr>
      <w:r w:rsidRPr="00530A31">
        <w:rPr>
          <w:rFonts w:ascii="Palatino Linotype" w:eastAsia="MS Mincho" w:hAnsi="Palatino Linotype"/>
          <w:iCs/>
          <w:color w:val="000000"/>
        </w:rPr>
        <w:t xml:space="preserve">La </w:t>
      </w:r>
      <w:r w:rsidRPr="00530A31">
        <w:rPr>
          <w:rFonts w:ascii="Palatino Linotype" w:eastAsia="Calibri" w:hAnsi="Palatino Linotype" w:cs="Arial"/>
          <w:iCs/>
          <w:lang w:val="es-ES"/>
        </w:rPr>
        <w:t>Comisionada</w:t>
      </w:r>
      <w:r w:rsidRPr="00530A31">
        <w:rPr>
          <w:rFonts w:ascii="Palatino Linotype" w:eastAsia="Calibri" w:hAnsi="Palatino Linotype" w:cs="Arial"/>
          <w:lang w:val="es-ES"/>
        </w:rPr>
        <w:t xml:space="preserve"> Ponente, con fundamento en lo dispuesto por el artículo 185 fracción II de la ley de la materia, a través de</w:t>
      </w:r>
      <w:r w:rsidR="00686B08" w:rsidRPr="00530A31">
        <w:rPr>
          <w:rFonts w:ascii="Palatino Linotype" w:eastAsia="Calibri" w:hAnsi="Palatino Linotype" w:cs="Arial"/>
          <w:lang w:val="es-ES"/>
        </w:rPr>
        <w:t>l</w:t>
      </w:r>
      <w:r w:rsidRPr="00530A31">
        <w:rPr>
          <w:rFonts w:ascii="Palatino Linotype" w:eastAsia="Calibri" w:hAnsi="Palatino Linotype" w:cs="Arial"/>
          <w:lang w:val="es-ES"/>
        </w:rPr>
        <w:t xml:space="preserve"> acuerdo</w:t>
      </w:r>
      <w:r w:rsidR="00686B08" w:rsidRPr="00530A31">
        <w:rPr>
          <w:rFonts w:ascii="Palatino Linotype" w:eastAsia="Calibri" w:hAnsi="Palatino Linotype" w:cs="Arial"/>
          <w:lang w:val="es-ES"/>
        </w:rPr>
        <w:t xml:space="preserve"> </w:t>
      </w:r>
      <w:r w:rsidRPr="00530A31">
        <w:rPr>
          <w:rFonts w:ascii="Palatino Linotype" w:eastAsia="Calibri" w:hAnsi="Palatino Linotype" w:cs="Arial"/>
          <w:lang w:val="es-ES"/>
        </w:rPr>
        <w:t xml:space="preserve">de admisión del </w:t>
      </w:r>
      <w:r w:rsidR="00826820" w:rsidRPr="00530A31">
        <w:rPr>
          <w:rFonts w:ascii="Palatino Linotype" w:eastAsia="Calibri" w:hAnsi="Palatino Linotype" w:cs="Arial"/>
          <w:lang w:val="es-ES"/>
        </w:rPr>
        <w:t>veintiocho de marzo de dos mil veintidós</w:t>
      </w:r>
      <w:r w:rsidRPr="00530A31">
        <w:rPr>
          <w:rFonts w:ascii="Palatino Linotype" w:eastAsia="Calibri" w:hAnsi="Palatino Linotype" w:cs="Arial"/>
          <w:lang w:val="es-ES"/>
        </w:rPr>
        <w:t xml:space="preserve">, puso a disposición de las partes </w:t>
      </w:r>
      <w:r w:rsidR="00686B08" w:rsidRPr="00530A31">
        <w:rPr>
          <w:rFonts w:ascii="Palatino Linotype" w:eastAsia="Calibri" w:hAnsi="Palatino Linotype" w:cs="Arial"/>
          <w:lang w:val="es-ES"/>
        </w:rPr>
        <w:t xml:space="preserve">el </w:t>
      </w:r>
      <w:r w:rsidRPr="00530A31">
        <w:rPr>
          <w:rFonts w:ascii="Palatino Linotype" w:eastAsia="Calibri" w:hAnsi="Palatino Linotype" w:cs="Arial"/>
          <w:lang w:val="es-ES"/>
        </w:rPr>
        <w:t xml:space="preserve"> expediente</w:t>
      </w:r>
      <w:r w:rsidR="00686B08" w:rsidRPr="00530A31">
        <w:rPr>
          <w:rFonts w:ascii="Palatino Linotype" w:eastAsia="Calibri" w:hAnsi="Palatino Linotype" w:cs="Arial"/>
          <w:lang w:val="es-ES"/>
        </w:rPr>
        <w:t xml:space="preserve"> </w:t>
      </w:r>
      <w:r w:rsidRPr="00530A31">
        <w:rPr>
          <w:rFonts w:ascii="Palatino Linotype" w:eastAsia="Calibri" w:hAnsi="Palatino Linotype" w:cs="Arial"/>
          <w:lang w:val="es-ES"/>
        </w:rPr>
        <w:t xml:space="preserve">electrónicos </w:t>
      </w:r>
      <w:r w:rsidRPr="00530A31">
        <w:rPr>
          <w:rFonts w:ascii="Palatino Linotype" w:eastAsia="Calibri" w:hAnsi="Palatino Linotype" w:cs="Arial"/>
        </w:rPr>
        <w:t xml:space="preserve">vía </w:t>
      </w:r>
      <w:r w:rsidRPr="00530A31">
        <w:rPr>
          <w:rFonts w:ascii="Palatino Linotype" w:eastAsia="Calibri" w:hAnsi="Palatino Linotype" w:cs="Arial"/>
          <w:lang w:val="es-ES"/>
        </w:rPr>
        <w:t xml:space="preserve">Sistema de Acceso a la Información Mexiquense </w:t>
      </w:r>
      <w:r w:rsidRPr="00530A31">
        <w:rPr>
          <w:rFonts w:ascii="Palatino Linotype" w:eastAsia="Calibri" w:hAnsi="Palatino Linotype" w:cs="Arial"/>
          <w:b/>
          <w:lang w:val="es-ES"/>
        </w:rPr>
        <w:t xml:space="preserve">SAIMEX </w:t>
      </w:r>
      <w:r w:rsidRPr="00530A31">
        <w:rPr>
          <w:rFonts w:ascii="Palatino Linotype" w:eastAsia="Calibri" w:hAnsi="Palatino Linotype" w:cs="Arial"/>
          <w:lang w:val="es-ES"/>
        </w:rPr>
        <w:t xml:space="preserve">a efecto de que en un </w:t>
      </w:r>
      <w:r w:rsidRPr="00530A31">
        <w:rPr>
          <w:rFonts w:ascii="Palatino Linotype" w:eastAsia="Calibri" w:hAnsi="Palatino Linotype" w:cs="Arial"/>
          <w:lang w:val="es-ES"/>
        </w:rPr>
        <w:lastRenderedPageBreak/>
        <w:t xml:space="preserve">plazo máximo de siete días manifestaran lo que a su derecho conviniera, ofrecieran pruebas y alegatos según correspondiera a los casos concretos, de esta forma para que el </w:t>
      </w:r>
      <w:r w:rsidRPr="00530A31">
        <w:rPr>
          <w:rFonts w:ascii="Palatino Linotype" w:eastAsia="Calibri" w:hAnsi="Palatino Linotype" w:cs="Arial"/>
          <w:b/>
          <w:lang w:val="es-ES"/>
        </w:rPr>
        <w:t>SUJETO OBLIGADO</w:t>
      </w:r>
      <w:r w:rsidRPr="00530A31">
        <w:rPr>
          <w:rFonts w:ascii="Palatino Linotype" w:eastAsia="Calibri" w:hAnsi="Palatino Linotype" w:cs="Arial"/>
          <w:lang w:val="es-ES"/>
        </w:rPr>
        <w:t xml:space="preserve"> presentara </w:t>
      </w:r>
      <w:r w:rsidR="00686B08" w:rsidRPr="00530A31">
        <w:rPr>
          <w:rFonts w:ascii="Palatino Linotype" w:eastAsia="Calibri" w:hAnsi="Palatino Linotype" w:cs="Arial"/>
          <w:lang w:val="es-ES"/>
        </w:rPr>
        <w:t>el</w:t>
      </w:r>
      <w:r w:rsidRPr="00530A31">
        <w:rPr>
          <w:rFonts w:ascii="Palatino Linotype" w:eastAsia="Calibri" w:hAnsi="Palatino Linotype" w:cs="Arial"/>
          <w:lang w:val="es-ES"/>
        </w:rPr>
        <w:t xml:space="preserve"> Informe Justificado</w:t>
      </w:r>
      <w:r w:rsidR="00686B08" w:rsidRPr="00530A31">
        <w:rPr>
          <w:rFonts w:ascii="Palatino Linotype" w:eastAsia="Calibri" w:hAnsi="Palatino Linotype" w:cs="Arial"/>
          <w:lang w:val="es-ES"/>
        </w:rPr>
        <w:t xml:space="preserve"> </w:t>
      </w:r>
      <w:r w:rsidRPr="00530A31">
        <w:rPr>
          <w:rFonts w:ascii="Palatino Linotype" w:eastAsia="Calibri" w:hAnsi="Palatino Linotype" w:cs="Arial"/>
          <w:lang w:val="es-ES"/>
        </w:rPr>
        <w:t>procedente</w:t>
      </w:r>
      <w:r w:rsidR="00686B08" w:rsidRPr="00530A31">
        <w:rPr>
          <w:rFonts w:ascii="Palatino Linotype" w:eastAsia="Calibri" w:hAnsi="Palatino Linotype" w:cs="Arial"/>
          <w:lang w:val="es-ES"/>
        </w:rPr>
        <w:t>.</w:t>
      </w:r>
    </w:p>
    <w:p w14:paraId="319B8BE1" w14:textId="77777777" w:rsidR="00521500" w:rsidRPr="00530A31" w:rsidRDefault="00521500" w:rsidP="00521500">
      <w:pPr>
        <w:spacing w:before="240" w:after="240" w:line="360" w:lineRule="auto"/>
        <w:contextualSpacing/>
        <w:jc w:val="both"/>
        <w:rPr>
          <w:rFonts w:ascii="Palatino Linotype" w:eastAsia="MS Mincho" w:hAnsi="Palatino Linotype"/>
          <w:i/>
          <w:color w:val="000000"/>
        </w:rPr>
      </w:pPr>
    </w:p>
    <w:p w14:paraId="751972F2" w14:textId="77777777" w:rsidR="004C1D29" w:rsidRPr="00530A31" w:rsidRDefault="001532BF" w:rsidP="00521500">
      <w:pPr>
        <w:numPr>
          <w:ilvl w:val="0"/>
          <w:numId w:val="1"/>
        </w:numPr>
        <w:spacing w:before="240" w:after="240" w:line="360" w:lineRule="auto"/>
        <w:ind w:left="0" w:firstLine="0"/>
        <w:contextualSpacing/>
        <w:jc w:val="both"/>
        <w:rPr>
          <w:rFonts w:ascii="Palatino Linotype" w:eastAsia="MS Mincho" w:hAnsi="Palatino Linotype"/>
          <w:i/>
          <w:color w:val="000000"/>
        </w:rPr>
      </w:pPr>
      <w:r w:rsidRPr="00530A31">
        <w:rPr>
          <w:rFonts w:ascii="Palatino Linotype" w:eastAsia="MS Mincho" w:hAnsi="Palatino Linotype"/>
          <w:iCs/>
          <w:color w:val="000000"/>
        </w:rPr>
        <w:t>El</w:t>
      </w:r>
      <w:r w:rsidR="000E3DDC" w:rsidRPr="00530A31">
        <w:rPr>
          <w:rFonts w:ascii="Palatino Linotype" w:eastAsia="MS Mincho" w:hAnsi="Palatino Linotype"/>
          <w:iCs/>
          <w:color w:val="000000"/>
        </w:rPr>
        <w:t xml:space="preserve"> </w:t>
      </w:r>
      <w:r w:rsidR="00826820" w:rsidRPr="00530A31">
        <w:rPr>
          <w:rFonts w:ascii="Palatino Linotype" w:eastAsia="MS Mincho" w:hAnsi="Palatino Linotype"/>
          <w:iCs/>
          <w:color w:val="000000"/>
        </w:rPr>
        <w:t xml:space="preserve">cinco de abril de dos mil veintidós, el </w:t>
      </w:r>
      <w:r w:rsidRPr="00530A31">
        <w:rPr>
          <w:rFonts w:ascii="Palatino Linotype" w:eastAsiaTheme="minorEastAsia" w:hAnsi="Palatino Linotype"/>
          <w:b/>
          <w:bCs/>
          <w:iCs/>
          <w:lang w:val="es-ES_tradnl" w:eastAsia="es-ES"/>
        </w:rPr>
        <w:t>SUJETO OBLIGADO</w:t>
      </w:r>
      <w:r w:rsidR="00CD1847" w:rsidRPr="00530A31">
        <w:rPr>
          <w:rFonts w:ascii="Palatino Linotype" w:eastAsiaTheme="minorEastAsia" w:hAnsi="Palatino Linotype"/>
          <w:b/>
          <w:bCs/>
          <w:iCs/>
          <w:lang w:val="es-ES_tradnl" w:eastAsia="es-ES"/>
        </w:rPr>
        <w:t xml:space="preserve"> </w:t>
      </w:r>
      <w:r w:rsidRPr="00530A31">
        <w:rPr>
          <w:rFonts w:ascii="Palatino Linotype" w:eastAsiaTheme="minorEastAsia" w:hAnsi="Palatino Linotype"/>
          <w:iCs/>
          <w:lang w:val="es-ES_tradnl" w:eastAsia="es-ES"/>
        </w:rPr>
        <w:t xml:space="preserve">rindió </w:t>
      </w:r>
      <w:r w:rsidR="00C82FE5" w:rsidRPr="00530A31">
        <w:rPr>
          <w:rFonts w:ascii="Palatino Linotype" w:eastAsiaTheme="minorEastAsia" w:hAnsi="Palatino Linotype"/>
          <w:iCs/>
          <w:lang w:val="es-ES_tradnl" w:eastAsia="es-ES"/>
        </w:rPr>
        <w:t>el</w:t>
      </w:r>
      <w:r w:rsidR="00D92924" w:rsidRPr="00530A31">
        <w:rPr>
          <w:rFonts w:ascii="Palatino Linotype" w:eastAsiaTheme="minorEastAsia" w:hAnsi="Palatino Linotype"/>
          <w:iCs/>
          <w:lang w:val="es-ES_tradnl" w:eastAsia="es-ES"/>
        </w:rPr>
        <w:t xml:space="preserve"> </w:t>
      </w:r>
      <w:r w:rsidRPr="00530A31">
        <w:rPr>
          <w:rFonts w:ascii="Palatino Linotype" w:eastAsiaTheme="minorEastAsia" w:hAnsi="Palatino Linotype"/>
          <w:iCs/>
          <w:lang w:val="es-ES_tradnl" w:eastAsia="es-ES"/>
        </w:rPr>
        <w:t>informe justificado</w:t>
      </w:r>
      <w:r w:rsidR="00C82FE5" w:rsidRPr="00530A31">
        <w:rPr>
          <w:rFonts w:ascii="Palatino Linotype" w:eastAsiaTheme="minorEastAsia" w:hAnsi="Palatino Linotype"/>
          <w:iCs/>
          <w:lang w:val="es-ES_tradnl" w:eastAsia="es-ES"/>
        </w:rPr>
        <w:t xml:space="preserve"> </w:t>
      </w:r>
      <w:r w:rsidR="004C1D29" w:rsidRPr="00530A31">
        <w:rPr>
          <w:rFonts w:ascii="Palatino Linotype" w:eastAsiaTheme="minorEastAsia" w:hAnsi="Palatino Linotype"/>
          <w:iCs/>
          <w:lang w:val="es-ES_tradnl" w:eastAsia="es-ES"/>
        </w:rPr>
        <w:t>por medio del siguiente archivo electrónico:</w:t>
      </w:r>
    </w:p>
    <w:p w14:paraId="122E1DED" w14:textId="77777777" w:rsidR="004C1D29" w:rsidRPr="00530A31" w:rsidRDefault="004C1D29" w:rsidP="004C1D29">
      <w:pPr>
        <w:rPr>
          <w:rFonts w:ascii="Palatino Linotype" w:eastAsiaTheme="minorEastAsia" w:hAnsi="Palatino Linotype"/>
          <w:iCs/>
          <w:lang w:val="es-ES_tradnl" w:eastAsia="es-ES"/>
        </w:rPr>
      </w:pPr>
    </w:p>
    <w:p w14:paraId="2D6450BA" w14:textId="6203A516" w:rsidR="004C1D29" w:rsidRPr="00530A31" w:rsidRDefault="00085915" w:rsidP="004B413C">
      <w:pPr>
        <w:pStyle w:val="Prrafodelista"/>
        <w:numPr>
          <w:ilvl w:val="0"/>
          <w:numId w:val="44"/>
        </w:numPr>
        <w:spacing w:before="240" w:after="240"/>
        <w:jc w:val="both"/>
        <w:rPr>
          <w:rStyle w:val="Hipervnculo"/>
          <w:rFonts w:ascii="Palatino Linotype" w:eastAsia="MS Mincho" w:hAnsi="Palatino Linotype"/>
          <w:i/>
          <w:color w:val="000000"/>
          <w:u w:val="none"/>
        </w:rPr>
      </w:pPr>
      <w:hyperlink r:id="rId19" w:history="1">
        <w:r w:rsidR="00826820" w:rsidRPr="00530A31">
          <w:rPr>
            <w:rStyle w:val="Hipervnculo"/>
            <w:rFonts w:ascii="Palatino Linotype" w:eastAsiaTheme="majorEastAsia" w:hAnsi="Palatino Linotype" w:cs="Arial"/>
            <w:b/>
            <w:bCs/>
            <w:color w:val="auto"/>
            <w:u w:val="none"/>
          </w:rPr>
          <w:t>RR 4298 SAIMEX 73.pdf</w:t>
        </w:r>
      </w:hyperlink>
      <w:r w:rsidR="004C1D29" w:rsidRPr="00530A31">
        <w:rPr>
          <w:rStyle w:val="Hipervnculo"/>
          <w:rFonts w:ascii="Palatino Linotype" w:eastAsiaTheme="majorEastAsia" w:hAnsi="Palatino Linotype" w:cs="Arial"/>
          <w:b/>
          <w:bCs/>
          <w:color w:val="auto"/>
          <w:u w:val="none"/>
        </w:rPr>
        <w:t>:</w:t>
      </w:r>
    </w:p>
    <w:p w14:paraId="40E119C1" w14:textId="1782CC25" w:rsidR="004C1D29" w:rsidRPr="00530A31" w:rsidRDefault="004C1D29" w:rsidP="004B413C">
      <w:pPr>
        <w:pStyle w:val="Prrafodelista"/>
        <w:numPr>
          <w:ilvl w:val="0"/>
          <w:numId w:val="46"/>
        </w:numPr>
        <w:spacing w:before="240" w:after="240"/>
        <w:jc w:val="both"/>
        <w:rPr>
          <w:rStyle w:val="Hipervnculo"/>
          <w:rFonts w:ascii="Palatino Linotype" w:eastAsia="MS Mincho" w:hAnsi="Palatino Linotype"/>
          <w:i/>
          <w:color w:val="000000"/>
          <w:u w:val="none"/>
        </w:rPr>
      </w:pPr>
      <w:r w:rsidRPr="00530A31">
        <w:rPr>
          <w:rStyle w:val="Hipervnculo"/>
          <w:rFonts w:ascii="Palatino Linotype" w:eastAsiaTheme="majorEastAsia" w:hAnsi="Palatino Linotype" w:cs="Arial"/>
          <w:bCs/>
          <w:color w:val="auto"/>
          <w:u w:val="none"/>
        </w:rPr>
        <w:t>Oficio</w:t>
      </w:r>
      <w:r w:rsidRPr="00530A31">
        <w:rPr>
          <w:rStyle w:val="Hipervnculo"/>
          <w:rFonts w:ascii="Palatino Linotype" w:eastAsiaTheme="majorEastAsia" w:hAnsi="Palatino Linotype" w:cs="Arial"/>
          <w:b/>
          <w:bCs/>
          <w:color w:val="auto"/>
          <w:u w:val="none"/>
        </w:rPr>
        <w:t xml:space="preserve"> OPDM/DAFYC/SF/216/2022 </w:t>
      </w:r>
      <w:r w:rsidRPr="00530A31">
        <w:rPr>
          <w:rStyle w:val="Hipervnculo"/>
          <w:rFonts w:ascii="Palatino Linotype" w:eastAsiaTheme="majorEastAsia" w:hAnsi="Palatino Linotype" w:cs="Arial"/>
          <w:bCs/>
          <w:color w:val="auto"/>
          <w:u w:val="none"/>
        </w:rPr>
        <w:t xml:space="preserve">suscrito por el Subdirector de Finanzas, por medio del cual, </w:t>
      </w:r>
      <w:r w:rsidR="004B413C" w:rsidRPr="00530A31">
        <w:rPr>
          <w:rStyle w:val="Hipervnculo"/>
          <w:rFonts w:ascii="Palatino Linotype" w:eastAsiaTheme="majorEastAsia" w:hAnsi="Palatino Linotype" w:cs="Arial"/>
          <w:bCs/>
          <w:color w:val="auto"/>
          <w:u w:val="none"/>
        </w:rPr>
        <w:t xml:space="preserve">respecto a </w:t>
      </w:r>
      <w:r w:rsidR="004B413C" w:rsidRPr="00530A31">
        <w:rPr>
          <w:rStyle w:val="Hipervnculo"/>
          <w:rFonts w:ascii="Palatino Linotype" w:eastAsiaTheme="majorEastAsia" w:hAnsi="Palatino Linotype" w:cs="Arial"/>
          <w:bCs/>
          <w:i/>
          <w:color w:val="auto"/>
          <w:u w:val="none"/>
        </w:rPr>
        <w:t>“y no se solicitó ningún estado comparativo presupuestal de egresos, solo los ingresos derivados del pago de dichos medidores por mes y por año, por zona y por tiempo de usuario doméstico y no doméstico” (Sic)</w:t>
      </w:r>
      <w:r w:rsidR="004B413C" w:rsidRPr="00530A31">
        <w:rPr>
          <w:rStyle w:val="Hipervnculo"/>
          <w:rFonts w:ascii="Palatino Linotype" w:eastAsiaTheme="majorEastAsia" w:hAnsi="Palatino Linotype" w:cs="Arial"/>
          <w:bCs/>
          <w:color w:val="auto"/>
          <w:u w:val="none"/>
        </w:rPr>
        <w:t xml:space="preserve">; </w:t>
      </w:r>
      <w:r w:rsidR="004B413C" w:rsidRPr="00530A31">
        <w:rPr>
          <w:rStyle w:val="Hipervnculo"/>
          <w:rFonts w:ascii="Palatino Linotype" w:eastAsiaTheme="majorEastAsia" w:hAnsi="Palatino Linotype" w:cs="Arial"/>
          <w:b/>
          <w:bCs/>
          <w:color w:val="auto"/>
          <w:u w:val="none"/>
        </w:rPr>
        <w:t>refirió que la información que se entregó consistente en el estado comparativo presupuestal de egresos es para sustentar la compra de medidores, que, a su vez, el SUJETO OBLIGADO vende a cada usuario del servicio de agua potable, alcantarillado y saneamiento del Municipio de Tlalnepantla, en correlación al stock en almacén de dichos aparatos.</w:t>
      </w:r>
    </w:p>
    <w:p w14:paraId="45DB34FA" w14:textId="77777777" w:rsidR="004B413C" w:rsidRPr="00530A31" w:rsidRDefault="004B413C" w:rsidP="004B413C">
      <w:pPr>
        <w:pStyle w:val="Prrafodelista"/>
        <w:spacing w:before="240" w:after="240"/>
        <w:ind w:left="1080"/>
        <w:jc w:val="both"/>
        <w:rPr>
          <w:rStyle w:val="Hipervnculo"/>
          <w:rFonts w:ascii="Palatino Linotype" w:eastAsia="MS Mincho" w:hAnsi="Palatino Linotype"/>
          <w:i/>
          <w:color w:val="000000"/>
          <w:u w:val="none"/>
        </w:rPr>
      </w:pPr>
    </w:p>
    <w:p w14:paraId="48482134" w14:textId="20797514" w:rsidR="004B413C" w:rsidRPr="00530A31" w:rsidRDefault="004B413C" w:rsidP="004B413C">
      <w:pPr>
        <w:pStyle w:val="Prrafodelista"/>
        <w:numPr>
          <w:ilvl w:val="0"/>
          <w:numId w:val="46"/>
        </w:numPr>
        <w:spacing w:before="240" w:after="240"/>
        <w:jc w:val="both"/>
        <w:rPr>
          <w:rFonts w:ascii="Palatino Linotype" w:eastAsia="MS Mincho" w:hAnsi="Palatino Linotype"/>
          <w:i/>
          <w:color w:val="000000"/>
        </w:rPr>
      </w:pPr>
      <w:r w:rsidRPr="00530A31">
        <w:rPr>
          <w:rStyle w:val="Hipervnculo"/>
          <w:rFonts w:ascii="Palatino Linotype" w:eastAsiaTheme="majorEastAsia" w:hAnsi="Palatino Linotype" w:cs="Arial"/>
          <w:bCs/>
          <w:color w:val="auto"/>
          <w:u w:val="none"/>
        </w:rPr>
        <w:t xml:space="preserve">Oficio OPDM/SC/825/2022 suscrito por el </w:t>
      </w:r>
      <w:proofErr w:type="gramStart"/>
      <w:r w:rsidRPr="00530A31">
        <w:rPr>
          <w:rStyle w:val="Hipervnculo"/>
          <w:rFonts w:ascii="Palatino Linotype" w:eastAsiaTheme="majorEastAsia" w:hAnsi="Palatino Linotype" w:cs="Arial"/>
          <w:bCs/>
          <w:color w:val="auto"/>
          <w:u w:val="none"/>
        </w:rPr>
        <w:t>Subdirector</w:t>
      </w:r>
      <w:proofErr w:type="gramEnd"/>
      <w:r w:rsidRPr="00530A31">
        <w:rPr>
          <w:rStyle w:val="Hipervnculo"/>
          <w:rFonts w:ascii="Palatino Linotype" w:eastAsiaTheme="majorEastAsia" w:hAnsi="Palatino Linotype" w:cs="Arial"/>
          <w:bCs/>
          <w:color w:val="auto"/>
          <w:u w:val="none"/>
        </w:rPr>
        <w:t xml:space="preserve"> Comercial del OPDM, por medio del cual, </w:t>
      </w:r>
      <w:r w:rsidR="00054A59" w:rsidRPr="00530A31">
        <w:rPr>
          <w:rStyle w:val="Hipervnculo"/>
          <w:rFonts w:ascii="Palatino Linotype" w:eastAsiaTheme="majorEastAsia" w:hAnsi="Palatino Linotype" w:cs="Arial"/>
          <w:b/>
          <w:bCs/>
          <w:color w:val="auto"/>
          <w:u w:val="none"/>
        </w:rPr>
        <w:t xml:space="preserve">reiteró su respuesta inicial y remitió de nueva cuenta el </w:t>
      </w:r>
      <w:r w:rsidR="00054A59" w:rsidRPr="00530A31">
        <w:rPr>
          <w:rFonts w:ascii="Palatino Linotype" w:hAnsi="Palatino Linotype"/>
          <w:b/>
          <w:color w:val="000000"/>
          <w:u w:val="single"/>
        </w:rPr>
        <w:t>listado que contiene la cantidad de medidores vendidos durante 2019, 2020, 2021 y 2022 (por mes), de los siguientes diámetros: 13, 19 y 100 mm, ½”, ¾”, 4”, 39, 51, 64 y 75 mm, 1 ½”, 2”, 3” y 3 ¼”.</w:t>
      </w:r>
    </w:p>
    <w:p w14:paraId="0F05DA60" w14:textId="77777777" w:rsidR="00826820" w:rsidRPr="00530A31" w:rsidRDefault="00826820" w:rsidP="00A76CD6">
      <w:pPr>
        <w:rPr>
          <w:rFonts w:ascii="Palatino Linotype" w:eastAsiaTheme="minorEastAsia" w:hAnsi="Palatino Linotype"/>
          <w:iCs/>
          <w:lang w:val="es-ES_tradnl" w:eastAsia="es-ES"/>
        </w:rPr>
      </w:pPr>
    </w:p>
    <w:p w14:paraId="21CF802D" w14:textId="77777777" w:rsidR="00A76CD6" w:rsidRPr="00530A31" w:rsidRDefault="00826820"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Theme="minorEastAsia" w:hAnsi="Palatino Linotype"/>
          <w:iCs/>
          <w:lang w:val="es-ES_tradnl" w:eastAsia="es-ES"/>
        </w:rPr>
        <w:t>P</w:t>
      </w:r>
      <w:r w:rsidR="001532BF" w:rsidRPr="00530A31">
        <w:rPr>
          <w:rFonts w:ascii="Palatino Linotype" w:eastAsiaTheme="minorEastAsia" w:hAnsi="Palatino Linotype"/>
          <w:iCs/>
          <w:lang w:val="es-ES_tradnl" w:eastAsia="es-ES"/>
        </w:rPr>
        <w:t>or su parte</w:t>
      </w:r>
      <w:r w:rsidR="00D11F51" w:rsidRPr="00530A31">
        <w:rPr>
          <w:rFonts w:ascii="Palatino Linotype" w:eastAsiaTheme="minorEastAsia" w:hAnsi="Palatino Linotype"/>
          <w:iCs/>
          <w:lang w:val="es-ES_tradnl" w:eastAsia="es-ES"/>
        </w:rPr>
        <w:t>,</w:t>
      </w:r>
      <w:r w:rsidR="001532BF" w:rsidRPr="00530A31">
        <w:rPr>
          <w:rFonts w:ascii="Palatino Linotype" w:eastAsiaTheme="minorEastAsia" w:hAnsi="Palatino Linotype"/>
          <w:iCs/>
          <w:lang w:val="es-ES_tradnl" w:eastAsia="es-ES"/>
        </w:rPr>
        <w:t xml:space="preserve"> </w:t>
      </w:r>
      <w:r w:rsidR="00D11F51" w:rsidRPr="00530A31">
        <w:rPr>
          <w:rFonts w:ascii="Palatino Linotype" w:eastAsiaTheme="minorEastAsia" w:hAnsi="Palatino Linotype"/>
          <w:iCs/>
          <w:lang w:val="es-ES_tradnl" w:eastAsia="es-ES"/>
        </w:rPr>
        <w:t>el</w:t>
      </w:r>
      <w:r w:rsidR="001532BF" w:rsidRPr="00530A31">
        <w:rPr>
          <w:rFonts w:ascii="Palatino Linotype" w:eastAsiaTheme="minorEastAsia" w:hAnsi="Palatino Linotype"/>
          <w:iCs/>
          <w:lang w:val="es-ES_tradnl" w:eastAsia="es-ES"/>
        </w:rPr>
        <w:t xml:space="preserve"> </w:t>
      </w:r>
      <w:r w:rsidR="001532BF" w:rsidRPr="00530A31">
        <w:rPr>
          <w:rFonts w:ascii="Palatino Linotype" w:eastAsiaTheme="minorEastAsia" w:hAnsi="Palatino Linotype"/>
          <w:b/>
          <w:iCs/>
          <w:lang w:val="es-ES_tradnl" w:eastAsia="es-ES"/>
        </w:rPr>
        <w:t xml:space="preserve">RECURRENTE </w:t>
      </w:r>
      <w:r w:rsidR="001532BF" w:rsidRPr="00530A31">
        <w:rPr>
          <w:rFonts w:ascii="Palatino Linotype" w:eastAsiaTheme="minorEastAsia" w:hAnsi="Palatino Linotype"/>
          <w:iCs/>
          <w:lang w:val="es-ES_tradnl" w:eastAsia="es-ES"/>
        </w:rPr>
        <w:t>no presentó alegatos ni ofreció medios de prueba</w:t>
      </w:r>
      <w:r w:rsidR="001532BF" w:rsidRPr="00530A31">
        <w:rPr>
          <w:rFonts w:ascii="Palatino Linotype" w:eastAsiaTheme="minorEastAsia" w:hAnsi="Palatino Linotype"/>
          <w:lang w:val="es-ES_tradnl" w:eastAsia="es-ES"/>
        </w:rPr>
        <w:t xml:space="preserve">, según constancias del Sistema de Acceso a la Información Mexiquense </w:t>
      </w:r>
      <w:r w:rsidR="001532BF" w:rsidRPr="00530A31">
        <w:rPr>
          <w:rFonts w:ascii="Palatino Linotype" w:eastAsiaTheme="minorEastAsia" w:hAnsi="Palatino Linotype"/>
          <w:b/>
          <w:lang w:val="es-ES_tradnl" w:eastAsia="es-ES"/>
        </w:rPr>
        <w:t>SAIMEX.</w:t>
      </w:r>
    </w:p>
    <w:p w14:paraId="14EED4FA" w14:textId="77777777" w:rsidR="00A76CD6" w:rsidRPr="00530A31" w:rsidRDefault="00A76CD6" w:rsidP="002F551E">
      <w:pPr>
        <w:rPr>
          <w:rFonts w:ascii="Palatino Linotype" w:eastAsia="MS Mincho" w:hAnsi="Palatino Linotype"/>
          <w:b/>
        </w:rPr>
      </w:pPr>
    </w:p>
    <w:p w14:paraId="6433F30B" w14:textId="77777777" w:rsidR="00A76CD6" w:rsidRPr="00530A3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MS Mincho" w:hAnsi="Palatino Linotype"/>
        </w:rPr>
        <w:lastRenderedPageBreak/>
        <w:t xml:space="preserve">El dos de junio de dos mil veintidós, </w:t>
      </w:r>
      <w:r w:rsidRPr="00530A31">
        <w:rPr>
          <w:rFonts w:ascii="Palatino Linotype" w:hAnsi="Palatino Linotype" w:cs="Arial"/>
          <w:color w:val="000000" w:themeColor="text1"/>
        </w:rPr>
        <w:t xml:space="preserve">se notificó el acuerdo de ampliación de plazo, </w:t>
      </w:r>
      <w:r w:rsidRPr="00530A31">
        <w:rPr>
          <w:rFonts w:ascii="Palatino Linotype" w:hAnsi="Palatino Linotype" w:cs="Arial"/>
          <w:color w:val="000000" w:themeColor="text1"/>
          <w:lang w:val="es-ES"/>
        </w:rPr>
        <w:t>con fundamento en el artículo 181, tercer párrafo, de la Ley de Transparencia y Acceso a la Información Pública del Estado de México y Municipios</w:t>
      </w:r>
      <w:r w:rsidRPr="00530A31">
        <w:rPr>
          <w:rFonts w:ascii="Palatino Linotype" w:hAnsi="Palatino Linotype" w:cs="Arial"/>
          <w:bCs/>
          <w:color w:val="000000" w:themeColor="text1"/>
          <w:lang w:val="es-ES"/>
        </w:rPr>
        <w:t>.</w:t>
      </w:r>
    </w:p>
    <w:p w14:paraId="6F023D4B" w14:textId="77777777" w:rsidR="00A76CD6" w:rsidRPr="00530A31" w:rsidRDefault="00A76CD6" w:rsidP="00A76CD6">
      <w:pPr>
        <w:rPr>
          <w:rFonts w:ascii="Palatino Linotype" w:eastAsia="Calibri" w:hAnsi="Palatino Linotype" w:cs="Arial"/>
          <w:color w:val="000000" w:themeColor="text1"/>
          <w:lang w:val="es-ES"/>
        </w:rPr>
      </w:pPr>
    </w:p>
    <w:p w14:paraId="0919FECD" w14:textId="77777777" w:rsidR="00A76CD6" w:rsidRPr="00530A3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color w:val="000000" w:themeColor="text1"/>
          <w:lang w:val="es-ES"/>
        </w:rPr>
        <w:t xml:space="preserve">Este </w:t>
      </w:r>
      <w:r w:rsidRPr="00530A31">
        <w:rPr>
          <w:rFonts w:ascii="Palatino Linotype" w:eastAsia="Calibri" w:hAnsi="Palatino Linotype" w:cs="Arial"/>
        </w:rPr>
        <w:t>Organismo Garante no pasa por alto explicar, que la dilación en la resolución del presente asunto encuentra justificación en el alto número de recursos de revisión recibidos dentro del primer semestre del dos mil veintidós; que, en comparación con los recibidos el año pasado, y en 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414965A9" w14:textId="77777777" w:rsidR="00A76CD6" w:rsidRPr="00530A31" w:rsidRDefault="00A76CD6" w:rsidP="00A76CD6">
      <w:pPr>
        <w:rPr>
          <w:rFonts w:ascii="Palatino Linotype" w:hAnsi="Palatino Linotype"/>
        </w:rPr>
      </w:pPr>
    </w:p>
    <w:p w14:paraId="52478A18" w14:textId="77777777" w:rsidR="00A76CD6" w:rsidRPr="00530A3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hAnsi="Palatino Linotype"/>
        </w:rPr>
        <w:t xml:space="preserve">Por ello, es menester precisar </w:t>
      </w:r>
      <w:proofErr w:type="gramStart"/>
      <w:r w:rsidRPr="00530A31">
        <w:rPr>
          <w:rFonts w:ascii="Palatino Linotype" w:hAnsi="Palatino Linotype"/>
        </w:rPr>
        <w:t>que</w:t>
      </w:r>
      <w:proofErr w:type="gramEnd"/>
      <w:r w:rsidRPr="00530A31">
        <w:rPr>
          <w:rFonts w:ascii="Palatino Linotype" w:hAnsi="Palatino Linotype"/>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40EA1112" w14:textId="77777777" w:rsidR="00A76CD6" w:rsidRPr="00530A31" w:rsidRDefault="00A76CD6" w:rsidP="00A76CD6">
      <w:pPr>
        <w:rPr>
          <w:rFonts w:ascii="Palatino Linotype" w:eastAsia="Calibri" w:hAnsi="Palatino Linotype" w:cs="Arial"/>
          <w:color w:val="000000" w:themeColor="text1"/>
        </w:rPr>
      </w:pPr>
    </w:p>
    <w:p w14:paraId="6428A111" w14:textId="5188F802" w:rsidR="00A76CD6" w:rsidRPr="00530A3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color w:val="000000" w:themeColor="text1"/>
        </w:rPr>
        <w:t xml:space="preserve">Así, </w:t>
      </w:r>
      <w:r w:rsidRPr="00530A31">
        <w:rPr>
          <w:rFonts w:ascii="Palatino Linotype" w:hAnsi="Palatino Linotype"/>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52124D" w14:textId="77777777" w:rsidR="00521500" w:rsidRPr="00530A31" w:rsidRDefault="00521500" w:rsidP="00521500">
      <w:pPr>
        <w:spacing w:before="240" w:after="240" w:line="360" w:lineRule="auto"/>
        <w:contextualSpacing/>
        <w:jc w:val="both"/>
        <w:rPr>
          <w:rFonts w:ascii="Palatino Linotype" w:eastAsiaTheme="minorEastAsia" w:hAnsi="Palatino Linotype"/>
          <w:iCs/>
          <w:lang w:eastAsia="es-ES"/>
        </w:rPr>
      </w:pPr>
    </w:p>
    <w:p w14:paraId="1E1413EB" w14:textId="77777777" w:rsidR="00A76CD6" w:rsidRPr="00530A3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rPr>
        <w:t xml:space="preserve">En </w:t>
      </w:r>
      <w:r w:rsidRPr="00530A31">
        <w:rPr>
          <w:rFonts w:ascii="Palatino Linotype" w:hAnsi="Palatino Linotype"/>
        </w:rPr>
        <w:t>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66B9460" w14:textId="77777777" w:rsidR="00A76CD6" w:rsidRPr="00530A31" w:rsidRDefault="00A76CD6" w:rsidP="00A76CD6">
      <w:pPr>
        <w:spacing w:before="240" w:after="240" w:line="360" w:lineRule="auto"/>
        <w:contextualSpacing/>
        <w:jc w:val="both"/>
        <w:rPr>
          <w:rFonts w:ascii="Palatino Linotype" w:eastAsiaTheme="minorEastAsia" w:hAnsi="Palatino Linotype"/>
          <w:iCs/>
          <w:lang w:eastAsia="es-ES"/>
        </w:rPr>
      </w:pPr>
    </w:p>
    <w:p w14:paraId="227A34E4" w14:textId="77777777" w:rsidR="00A76CD6" w:rsidRPr="00530A31" w:rsidRDefault="00A76CD6" w:rsidP="00A76CD6">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rPr>
        <w:t xml:space="preserve">Por </w:t>
      </w:r>
      <w:r w:rsidRPr="00530A31">
        <w:rPr>
          <w:rFonts w:ascii="Palatino Linotype" w:hAnsi="Palatino Linotype"/>
        </w:rPr>
        <w:t>ello, excepcionalmente, si un asunto es resuelto con posterioridad a los plazos señalados por la norma debe analizarse la razonabilidad de dicha dilación atendiendo a los siguientes criterios:</w:t>
      </w:r>
    </w:p>
    <w:p w14:paraId="2E2E559D" w14:textId="77777777" w:rsidR="00F365CD" w:rsidRPr="00530A3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530A31">
        <w:rPr>
          <w:rFonts w:ascii="Palatino Linotype" w:eastAsia="Calibri" w:hAnsi="Palatino Linotype" w:cs="Arial"/>
          <w:b/>
          <w:bCs/>
        </w:rPr>
        <w:t>Complejidad del Asunto:</w:t>
      </w:r>
      <w:r w:rsidRPr="00530A31">
        <w:rPr>
          <w:rFonts w:ascii="Palatino Linotype" w:eastAsia="Calibri" w:hAnsi="Palatino Linotype" w:cs="Arial"/>
        </w:rPr>
        <w:t xml:space="preserve"> La complejidad de la prueba, la pluralidad de sujetos procesales, el tiempo transcurrido, las características y contexto del recurso.</w:t>
      </w:r>
    </w:p>
    <w:p w14:paraId="4297458C" w14:textId="77777777" w:rsidR="00F365CD" w:rsidRPr="00530A3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530A31">
        <w:rPr>
          <w:rFonts w:ascii="Palatino Linotype" w:eastAsia="Calibri" w:hAnsi="Palatino Linotype" w:cs="Arial"/>
          <w:b/>
          <w:bCs/>
        </w:rPr>
        <w:t>Actividad Procesal del interesado:</w:t>
      </w:r>
      <w:r w:rsidRPr="00530A31">
        <w:rPr>
          <w:rFonts w:ascii="Palatino Linotype" w:eastAsia="Calibri" w:hAnsi="Palatino Linotype" w:cs="Arial"/>
        </w:rPr>
        <w:t xml:space="preserve"> Acciones u omisiones del interesado.</w:t>
      </w:r>
    </w:p>
    <w:p w14:paraId="4053D9B6" w14:textId="77777777" w:rsidR="00F365CD" w:rsidRPr="00530A31" w:rsidRDefault="00F365CD" w:rsidP="00F365CD">
      <w:pPr>
        <w:pStyle w:val="Prrafodelista"/>
        <w:numPr>
          <w:ilvl w:val="1"/>
          <w:numId w:val="41"/>
        </w:numPr>
        <w:tabs>
          <w:tab w:val="left" w:pos="426"/>
        </w:tabs>
        <w:ind w:left="567" w:right="539" w:hanging="142"/>
        <w:jc w:val="both"/>
        <w:rPr>
          <w:rFonts w:ascii="Palatino Linotype" w:eastAsia="Calibri" w:hAnsi="Palatino Linotype" w:cs="Arial"/>
        </w:rPr>
      </w:pPr>
      <w:r w:rsidRPr="00530A31">
        <w:rPr>
          <w:rFonts w:ascii="Palatino Linotype" w:eastAsia="Calibri" w:hAnsi="Palatino Linotype" w:cs="Arial"/>
          <w:b/>
          <w:bCs/>
        </w:rPr>
        <w:t>Conducta de la Autoridad:</w:t>
      </w:r>
      <w:r w:rsidRPr="00530A31">
        <w:rPr>
          <w:rFonts w:ascii="Palatino Linotype" w:eastAsia="Calibri" w:hAnsi="Palatino Linotype" w:cs="Arial"/>
        </w:rPr>
        <w:t xml:space="preserve"> Las Acciones u omisiones realizadas en el procedimiento. Así como si la autoridad actuó con la debida diligencia.</w:t>
      </w:r>
    </w:p>
    <w:p w14:paraId="69E2993F" w14:textId="260905C4" w:rsidR="00A76CD6" w:rsidRPr="00530A31" w:rsidRDefault="00F365CD" w:rsidP="00F365CD">
      <w:pPr>
        <w:pStyle w:val="Prrafodelista"/>
        <w:numPr>
          <w:ilvl w:val="1"/>
          <w:numId w:val="41"/>
        </w:numPr>
        <w:tabs>
          <w:tab w:val="left" w:pos="426"/>
        </w:tabs>
        <w:ind w:left="567" w:right="539" w:hanging="142"/>
        <w:jc w:val="both"/>
        <w:rPr>
          <w:rFonts w:ascii="Palatino Linotype" w:hAnsi="Palatino Linotype"/>
          <w:color w:val="000000" w:themeColor="text1"/>
        </w:rPr>
      </w:pPr>
      <w:r w:rsidRPr="00530A31">
        <w:rPr>
          <w:rFonts w:ascii="Palatino Linotype" w:eastAsia="Calibri" w:hAnsi="Palatino Linotype" w:cs="Arial"/>
          <w:b/>
          <w:bCs/>
        </w:rPr>
        <w:t xml:space="preserve">La afectación generada en la situación jurídica de la persona involucrada en el proceso: </w:t>
      </w:r>
      <w:r w:rsidRPr="00530A31">
        <w:rPr>
          <w:rFonts w:ascii="Palatino Linotype" w:eastAsia="Calibri" w:hAnsi="Palatino Linotype" w:cs="Arial"/>
        </w:rPr>
        <w:t>Violación a sus derechos humanos.</w:t>
      </w:r>
    </w:p>
    <w:p w14:paraId="351E06D7" w14:textId="77777777" w:rsidR="00A76CD6" w:rsidRPr="00530A31" w:rsidRDefault="00A76CD6" w:rsidP="00A76CD6">
      <w:pPr>
        <w:rPr>
          <w:rFonts w:ascii="Palatino Linotype" w:eastAsia="Calibri" w:hAnsi="Palatino Linotype" w:cs="Arial"/>
          <w:color w:val="000000" w:themeColor="text1"/>
        </w:rPr>
      </w:pPr>
    </w:p>
    <w:p w14:paraId="7924C92A" w14:textId="77777777" w:rsidR="00F365CD" w:rsidRPr="00530A3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color w:val="000000" w:themeColor="text1"/>
        </w:rPr>
        <w:t xml:space="preserve">De </w:t>
      </w:r>
      <w:r w:rsidRPr="00530A31">
        <w:rPr>
          <w:rFonts w:ascii="Palatino Linotype" w:hAnsi="Palatino Linotype"/>
        </w:rPr>
        <w:t>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1D508" w14:textId="77777777" w:rsidR="00F365CD" w:rsidRPr="00530A31" w:rsidRDefault="00F365CD" w:rsidP="00F365CD">
      <w:pPr>
        <w:spacing w:before="240" w:after="240" w:line="360" w:lineRule="auto"/>
        <w:contextualSpacing/>
        <w:jc w:val="both"/>
        <w:rPr>
          <w:rFonts w:ascii="Palatino Linotype" w:eastAsiaTheme="minorEastAsia" w:hAnsi="Palatino Linotype"/>
          <w:iCs/>
          <w:lang w:eastAsia="es-ES"/>
        </w:rPr>
      </w:pPr>
    </w:p>
    <w:p w14:paraId="2891B35D" w14:textId="71510724" w:rsidR="00F365CD" w:rsidRPr="00530A3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rPr>
        <w:t xml:space="preserve">Argumento </w:t>
      </w:r>
      <w:r w:rsidRPr="00530A31">
        <w:rPr>
          <w:rFonts w:ascii="Palatino Linotype" w:hAnsi="Palatino Linotype"/>
        </w:rPr>
        <w:t xml:space="preserve">que encuentra sustento en la jurisprudencia P./J. 32/92 emitida por el Pleno de la Suprema Corte de Justicia de la Nación de rubro </w:t>
      </w:r>
      <w:r w:rsidRPr="00530A31">
        <w:rPr>
          <w:rFonts w:ascii="Palatino Linotype" w:hAnsi="Palatino Linotype"/>
          <w:i/>
        </w:rPr>
        <w:t xml:space="preserve">“TÉRMINOS </w:t>
      </w:r>
      <w:r w:rsidRPr="00530A31">
        <w:rPr>
          <w:rFonts w:ascii="Palatino Linotype" w:hAnsi="Palatino Linotype"/>
          <w:i/>
        </w:rPr>
        <w:lastRenderedPageBreak/>
        <w:t>PROCESALES. PARA DETERMINAR SI UN FUNCIONARIO JUDICIAL ACTUÓ INDEBIDAMENTE POR NO RESPETARLOS SE DEBE ATENDER AL PRESUPUESTO QUE CONSIDERÓ EL LEGISLADOR AL FIJARLOS Y LAS CARACTERÍSTICAS DEL CASO.”</w:t>
      </w:r>
      <w:r w:rsidRPr="00530A31">
        <w:rPr>
          <w:rStyle w:val="Refdenotaalpie"/>
          <w:rFonts w:ascii="Palatino Linotype" w:hAnsi="Palatino Linotype"/>
          <w:i/>
        </w:rPr>
        <w:footnoteReference w:id="1"/>
      </w:r>
      <w:r w:rsidRPr="00530A31">
        <w:rPr>
          <w:rFonts w:ascii="Palatino Linotype" w:hAnsi="Palatino Linotype"/>
        </w:rPr>
        <w:t>, visible en la Gaceta del Seminario Judicial de la Federación con el registro digital 205635.</w:t>
      </w:r>
    </w:p>
    <w:p w14:paraId="188B312E" w14:textId="77777777" w:rsidR="00F365CD" w:rsidRPr="00530A3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rPr>
        <w:t xml:space="preserve">Razones </w:t>
      </w:r>
      <w:r w:rsidRPr="00530A31">
        <w:rPr>
          <w:rFonts w:ascii="Palatino Linotype" w:hAnsi="Palatino Linotype"/>
        </w:rPr>
        <w:t xml:space="preserve">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530A31">
        <w:rPr>
          <w:rFonts w:ascii="Palatino Linotype"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754F0508" w14:textId="77777777" w:rsidR="00F365CD" w:rsidRPr="00530A31" w:rsidRDefault="00F365CD" w:rsidP="00F365CD">
      <w:pPr>
        <w:rPr>
          <w:rFonts w:ascii="Palatino Linotype" w:eastAsia="Calibri" w:hAnsi="Palatino Linotype" w:cs="Arial"/>
        </w:rPr>
      </w:pPr>
    </w:p>
    <w:p w14:paraId="7793E82E" w14:textId="77777777" w:rsidR="00F365CD" w:rsidRPr="00530A31" w:rsidRDefault="00A76CD6" w:rsidP="00F365CD">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rPr>
        <w:t xml:space="preserve">Por </w:t>
      </w:r>
      <w:r w:rsidRPr="00530A31">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0EF92962" w14:textId="77777777" w:rsidR="00F365CD" w:rsidRPr="00530A31" w:rsidRDefault="00F365CD" w:rsidP="00F365CD">
      <w:pPr>
        <w:rPr>
          <w:rFonts w:ascii="Palatino Linotype" w:eastAsia="Calibri" w:hAnsi="Palatino Linotype" w:cs="Arial"/>
        </w:rPr>
      </w:pPr>
    </w:p>
    <w:p w14:paraId="72DBD59D" w14:textId="77777777" w:rsidR="002F551E" w:rsidRPr="00530A31" w:rsidRDefault="00A76CD6" w:rsidP="002F551E">
      <w:pPr>
        <w:numPr>
          <w:ilvl w:val="0"/>
          <w:numId w:val="1"/>
        </w:numPr>
        <w:spacing w:before="240" w:after="240" w:line="360" w:lineRule="auto"/>
        <w:ind w:left="0" w:firstLine="0"/>
        <w:contextualSpacing/>
        <w:jc w:val="both"/>
        <w:rPr>
          <w:rFonts w:ascii="Palatino Linotype" w:eastAsiaTheme="minorEastAsia" w:hAnsi="Palatino Linotype"/>
          <w:iCs/>
          <w:lang w:eastAsia="es-ES"/>
        </w:rPr>
      </w:pPr>
      <w:r w:rsidRPr="00530A31">
        <w:rPr>
          <w:rFonts w:ascii="Palatino Linotype" w:eastAsia="Calibri" w:hAnsi="Palatino Linotype" w:cs="Arial"/>
        </w:rPr>
        <w:t xml:space="preserve">Al </w:t>
      </w:r>
      <w:r w:rsidRPr="00530A31">
        <w:rPr>
          <w:rFonts w:ascii="Palatino Linotype" w:hAnsi="Palatino Linotype"/>
        </w:rPr>
        <w:t>respecto, también son de considerar los criterios sostenidos por el Cuarto Tribunal Colegiado en Materia Administrativa del Primer Circuito, cuyos rubros y datos de identificación son los siguientes:</w:t>
      </w:r>
    </w:p>
    <w:p w14:paraId="7233E1FF" w14:textId="77777777" w:rsidR="002F551E" w:rsidRPr="00530A31" w:rsidRDefault="002F551E" w:rsidP="002F551E">
      <w:pPr>
        <w:spacing w:before="240" w:after="240" w:line="360" w:lineRule="auto"/>
        <w:contextualSpacing/>
        <w:jc w:val="both"/>
        <w:rPr>
          <w:rFonts w:ascii="Palatino Linotype" w:hAnsi="Palatino Linotype"/>
          <w:b/>
          <w:i/>
        </w:rPr>
      </w:pPr>
    </w:p>
    <w:p w14:paraId="0BDE59F5" w14:textId="769ED8E0" w:rsidR="00A76CD6" w:rsidRPr="00530A31" w:rsidRDefault="00A76CD6" w:rsidP="002F551E">
      <w:pPr>
        <w:spacing w:before="240" w:after="240"/>
        <w:ind w:left="567" w:right="539"/>
        <w:contextualSpacing/>
        <w:jc w:val="both"/>
        <w:rPr>
          <w:rFonts w:ascii="Palatino Linotype" w:eastAsiaTheme="minorEastAsia" w:hAnsi="Palatino Linotype"/>
          <w:iCs/>
          <w:sz w:val="22"/>
          <w:lang w:eastAsia="es-ES"/>
        </w:rPr>
      </w:pPr>
      <w:r w:rsidRPr="00530A31">
        <w:rPr>
          <w:rFonts w:ascii="Palatino Linotype" w:hAnsi="Palatino Linotype"/>
          <w:b/>
          <w:i/>
          <w:sz w:val="22"/>
        </w:rPr>
        <w:t>PLAZO RAZONABLE PARA RESOLVER. DIMENSIÓN Y EFECTOS DE ESTE CONCEPTO CUANDO SE ADUCE EXCESIVA CARGA DE TRABAJO.</w:t>
      </w:r>
      <w:r w:rsidRPr="00530A31">
        <w:rPr>
          <w:rFonts w:ascii="Palatino Linotype" w:hAnsi="Palatino Linotype"/>
          <w:i/>
          <w:sz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w:t>
      </w:r>
      <w:r w:rsidRPr="00530A31">
        <w:rPr>
          <w:rFonts w:ascii="Palatino Linotype" w:hAnsi="Palatino Linotype"/>
          <w:i/>
          <w:sz w:val="22"/>
        </w:rPr>
        <w:lastRenderedPageBreak/>
        <w:t>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razonamientos que son extensivos no sólo a las autoridades jurisdiccionales, sino también a todas aquellas que tienen injerencia en trámites análogos.”</w:t>
      </w:r>
      <w:r w:rsidRPr="00530A31">
        <w:rPr>
          <w:rStyle w:val="Refdenotaalpie"/>
          <w:rFonts w:ascii="Palatino Linotype" w:hAnsi="Palatino Linotype"/>
          <w:i/>
          <w:sz w:val="22"/>
        </w:rPr>
        <w:footnoteReference w:id="2"/>
      </w:r>
    </w:p>
    <w:p w14:paraId="6C2DC89E" w14:textId="77777777" w:rsidR="00A76CD6" w:rsidRPr="00530A31" w:rsidRDefault="00A76CD6" w:rsidP="00A76CD6">
      <w:pPr>
        <w:pStyle w:val="Prrafodelista"/>
        <w:ind w:left="567" w:right="567"/>
        <w:jc w:val="both"/>
        <w:rPr>
          <w:rFonts w:ascii="Palatino Linotype" w:hAnsi="Palatino Linotype"/>
          <w:i/>
        </w:rPr>
      </w:pPr>
    </w:p>
    <w:p w14:paraId="33765394" w14:textId="77777777" w:rsidR="00A76CD6" w:rsidRPr="00530A31" w:rsidRDefault="00A76CD6" w:rsidP="00A76CD6">
      <w:pPr>
        <w:pStyle w:val="Prrafodelista"/>
        <w:ind w:left="567" w:right="567"/>
        <w:jc w:val="both"/>
        <w:rPr>
          <w:rFonts w:ascii="Palatino Linotype" w:hAnsi="Palatino Linotype"/>
          <w:i/>
        </w:rPr>
      </w:pPr>
      <w:r w:rsidRPr="00530A31">
        <w:rPr>
          <w:rFonts w:ascii="Palatino Linotype" w:hAnsi="Palatino Linotype"/>
          <w:b/>
          <w:i/>
        </w:rPr>
        <w:t>PLAZO RAZONABLE PARA RESOLVER. CONCEPTO Y ELEMENTOS QUE LO INTEGRAN A LA LUZ DEL DERECHO INTERNACIONAL DE LOS DERECHOS HUMANOS.</w:t>
      </w:r>
      <w:r w:rsidRPr="00530A31">
        <w:rPr>
          <w:rFonts w:ascii="Palatino Linotype" w:hAnsi="Palatino Linotype"/>
          <w:i/>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w:t>
      </w:r>
      <w:r w:rsidRPr="00530A31">
        <w:rPr>
          <w:rFonts w:ascii="Palatino Linotype" w:hAnsi="Palatino Linotype"/>
          <w:i/>
        </w:rPr>
        <w:lastRenderedPageBreak/>
        <w:t>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530A31">
        <w:rPr>
          <w:rStyle w:val="Refdenotaalpie"/>
          <w:rFonts w:ascii="Palatino Linotype" w:hAnsi="Palatino Linotype"/>
          <w:i/>
        </w:rPr>
        <w:footnoteReference w:id="3"/>
      </w:r>
    </w:p>
    <w:p w14:paraId="5D712A1C" w14:textId="77777777" w:rsidR="00A76CD6" w:rsidRPr="00530A31" w:rsidRDefault="00A76CD6" w:rsidP="002F551E">
      <w:pPr>
        <w:spacing w:line="360" w:lineRule="auto"/>
        <w:ind w:right="567"/>
        <w:jc w:val="both"/>
        <w:rPr>
          <w:rFonts w:ascii="Palatino Linotype" w:hAnsi="Palatino Linotype"/>
        </w:rPr>
      </w:pPr>
    </w:p>
    <w:p w14:paraId="0C5F99B2" w14:textId="596949BD" w:rsidR="00A76CD6" w:rsidRPr="00530A31" w:rsidRDefault="00A76CD6" w:rsidP="00A76CD6">
      <w:pPr>
        <w:numPr>
          <w:ilvl w:val="0"/>
          <w:numId w:val="1"/>
        </w:numPr>
        <w:spacing w:before="240" w:after="240" w:line="360" w:lineRule="auto"/>
        <w:ind w:left="0" w:firstLine="0"/>
        <w:contextualSpacing/>
        <w:jc w:val="both"/>
        <w:rPr>
          <w:rFonts w:ascii="Palatino Linotype" w:eastAsia="MS Mincho" w:hAnsi="Palatino Linotype"/>
          <w:b/>
        </w:rPr>
      </w:pPr>
      <w:r w:rsidRPr="00530A31">
        <w:rPr>
          <w:rFonts w:ascii="Palatino Linotype" w:eastAsia="Calibri" w:hAnsi="Palatino Linotype" w:cs="Arial"/>
          <w:color w:val="000000" w:themeColor="text1"/>
        </w:rPr>
        <w:t xml:space="preserve">Por </w:t>
      </w:r>
      <w:r w:rsidRPr="00530A31">
        <w:rPr>
          <w:rFonts w:ascii="Palatino Linotype" w:hAnsi="Palatino Linotype"/>
        </w:rPr>
        <w:t>ello, este Organismo Garante, comprometido con la tutela de los derechos humanos confiados, señala que este exceso del plazo legal para resolver el presente asunto, resulta de carácter excepcional.</w:t>
      </w:r>
    </w:p>
    <w:p w14:paraId="315786F1" w14:textId="77777777" w:rsidR="00A76CD6" w:rsidRPr="00530A31" w:rsidRDefault="00A76CD6" w:rsidP="00A76CD6">
      <w:pPr>
        <w:spacing w:before="240" w:after="240" w:line="360" w:lineRule="auto"/>
        <w:contextualSpacing/>
        <w:jc w:val="both"/>
        <w:rPr>
          <w:rFonts w:ascii="Palatino Linotype" w:eastAsia="MS Mincho" w:hAnsi="Palatino Linotype"/>
          <w:b/>
        </w:rPr>
      </w:pPr>
    </w:p>
    <w:p w14:paraId="1DCCDD23" w14:textId="28A3673F" w:rsidR="00A76CD6" w:rsidRPr="00530A31" w:rsidRDefault="00E93FC1" w:rsidP="00A76CD6">
      <w:pPr>
        <w:numPr>
          <w:ilvl w:val="0"/>
          <w:numId w:val="1"/>
        </w:numPr>
        <w:spacing w:before="240" w:after="240" w:line="360" w:lineRule="auto"/>
        <w:ind w:left="0" w:firstLine="0"/>
        <w:contextualSpacing/>
        <w:jc w:val="both"/>
        <w:rPr>
          <w:rFonts w:ascii="Palatino Linotype" w:eastAsia="MS Mincho" w:hAnsi="Palatino Linotype"/>
          <w:b/>
        </w:rPr>
      </w:pPr>
      <w:r w:rsidRPr="00530A31">
        <w:rPr>
          <w:rFonts w:ascii="Palatino Linotype" w:eastAsia="MS Mincho" w:hAnsi="Palatino Linotype"/>
        </w:rPr>
        <w:t>La Comisionada Ponente</w:t>
      </w:r>
      <w:r w:rsidR="00530A31">
        <w:rPr>
          <w:rFonts w:ascii="Palatino Linotype" w:eastAsia="MS Mincho" w:hAnsi="Palatino Linotype"/>
        </w:rPr>
        <w:t>,</w:t>
      </w:r>
      <w:r w:rsidRPr="00530A31">
        <w:rPr>
          <w:rFonts w:ascii="Palatino Linotype" w:eastAsia="MS Mincho" w:hAnsi="Palatino Linotype"/>
        </w:rPr>
        <w:t xml:space="preserve"> decretó e</w:t>
      </w:r>
      <w:r w:rsidR="007B0BCA" w:rsidRPr="00530A31">
        <w:rPr>
          <w:rFonts w:ascii="Palatino Linotype" w:eastAsia="MS Mincho" w:hAnsi="Palatino Linotype"/>
        </w:rPr>
        <w:t xml:space="preserve">l </w:t>
      </w:r>
      <w:r w:rsidRPr="00530A31">
        <w:rPr>
          <w:rFonts w:ascii="Palatino Linotype" w:eastAsia="MS Mincho" w:hAnsi="Palatino Linotype"/>
        </w:rPr>
        <w:t>cierre de instrucción</w:t>
      </w:r>
      <w:r w:rsidRPr="00530A31">
        <w:rPr>
          <w:rFonts w:ascii="Palatino Linotype" w:eastAsia="MS Mincho" w:hAnsi="Palatino Linotype" w:cs="Arial"/>
        </w:rPr>
        <w:t xml:space="preserve"> </w:t>
      </w:r>
      <w:r w:rsidRPr="00530A31">
        <w:rPr>
          <w:rFonts w:ascii="Palatino Linotype" w:eastAsia="MS Mincho" w:hAnsi="Palatino Linotype"/>
        </w:rPr>
        <w:t xml:space="preserve">mediante acuerdo del </w:t>
      </w:r>
      <w:r w:rsidR="002F551E" w:rsidRPr="00530A31">
        <w:rPr>
          <w:rFonts w:ascii="Palatino Linotype" w:eastAsia="MS Mincho" w:hAnsi="Palatino Linotype"/>
        </w:rPr>
        <w:t>treinta</w:t>
      </w:r>
      <w:r w:rsidR="00A76CD6" w:rsidRPr="00530A31">
        <w:rPr>
          <w:rFonts w:ascii="Palatino Linotype" w:eastAsia="MS Mincho" w:hAnsi="Palatino Linotype"/>
        </w:rPr>
        <w:t xml:space="preserve"> de enero de dos mil veinticuatro</w:t>
      </w:r>
      <w:r w:rsidRPr="00530A31">
        <w:rPr>
          <w:rFonts w:ascii="Palatino Linotype" w:eastAsia="MS Mincho" w:hAnsi="Palatino Linotype"/>
        </w:rPr>
        <w:t>,</w:t>
      </w:r>
      <w:r w:rsidR="007353A8" w:rsidRPr="00530A31">
        <w:rPr>
          <w:rFonts w:ascii="Palatino Linotype" w:eastAsia="MS Mincho" w:hAnsi="Palatino Linotype"/>
        </w:rPr>
        <w:t xml:space="preserve"> </w:t>
      </w:r>
      <w:r w:rsidR="00D92924" w:rsidRPr="00530A31">
        <w:rPr>
          <w:rFonts w:ascii="Palatino Linotype" w:eastAsia="MS Mincho" w:hAnsi="Palatino Linotype"/>
        </w:rPr>
        <w:t xml:space="preserve">por lo que, ordenó turnar el </w:t>
      </w:r>
      <w:r w:rsidRPr="00530A31">
        <w:rPr>
          <w:rFonts w:ascii="Palatino Linotype" w:eastAsia="MS Mincho" w:hAnsi="Palatino Linotype" w:cs="Arial"/>
        </w:rPr>
        <w:t xml:space="preserve">expediente a resolución, misma que a continuación se </w:t>
      </w:r>
      <w:proofErr w:type="gramStart"/>
      <w:r w:rsidRPr="00530A31">
        <w:rPr>
          <w:rFonts w:ascii="Palatino Linotype" w:eastAsia="MS Mincho" w:hAnsi="Palatino Linotype" w:cs="Arial"/>
        </w:rPr>
        <w:t>pronuncia.</w:t>
      </w:r>
      <w:r w:rsidR="003630BC" w:rsidRPr="00530A31">
        <w:rPr>
          <w:rFonts w:ascii="Palatino Linotype" w:eastAsia="MS Mincho" w:hAnsi="Palatino Linotype" w:cs="Arial"/>
        </w:rPr>
        <w:t>------------------------------------------</w:t>
      </w:r>
      <w:r w:rsidR="002A433E" w:rsidRPr="00530A31">
        <w:rPr>
          <w:rFonts w:ascii="Palatino Linotype" w:eastAsia="MS Mincho" w:hAnsi="Palatino Linotype"/>
        </w:rPr>
        <w:t>--</w:t>
      </w:r>
      <w:proofErr w:type="gramEnd"/>
    </w:p>
    <w:p w14:paraId="4C8BD1A2" w14:textId="77777777" w:rsidR="00054A59" w:rsidRPr="00530A31" w:rsidRDefault="00054A59" w:rsidP="00054A59">
      <w:pPr>
        <w:spacing w:before="240" w:after="240" w:line="360" w:lineRule="auto"/>
        <w:contextualSpacing/>
        <w:jc w:val="both"/>
        <w:rPr>
          <w:rFonts w:ascii="Palatino Linotype" w:eastAsia="MS Mincho" w:hAnsi="Palatino Linotype"/>
          <w:b/>
        </w:rPr>
      </w:pPr>
    </w:p>
    <w:p w14:paraId="520E4110" w14:textId="0C517AB6" w:rsidR="00E93FC1" w:rsidRPr="00530A31" w:rsidRDefault="00E93FC1" w:rsidP="00A234A5">
      <w:pPr>
        <w:keepNext/>
        <w:keepLines/>
        <w:spacing w:before="240" w:after="240" w:line="360" w:lineRule="auto"/>
        <w:jc w:val="center"/>
        <w:outlineLvl w:val="0"/>
        <w:rPr>
          <w:rFonts w:ascii="Palatino Linotype" w:eastAsia="MS Gothic" w:hAnsi="Palatino Linotype"/>
          <w:b/>
          <w:lang w:eastAsia="en-US"/>
        </w:rPr>
      </w:pPr>
      <w:bookmarkStart w:id="7" w:name="_Toc491791302"/>
      <w:bookmarkStart w:id="8" w:name="_Toc528153788"/>
      <w:bookmarkStart w:id="9" w:name="_Toc94119611"/>
      <w:r w:rsidRPr="00530A31">
        <w:rPr>
          <w:rFonts w:ascii="Palatino Linotype" w:eastAsia="MS Gothic" w:hAnsi="Palatino Linotype"/>
          <w:b/>
          <w:lang w:eastAsia="en-US"/>
        </w:rPr>
        <w:lastRenderedPageBreak/>
        <w:t>CONSIDERANDO</w:t>
      </w:r>
      <w:bookmarkEnd w:id="7"/>
      <w:bookmarkEnd w:id="8"/>
      <w:bookmarkEnd w:id="9"/>
    </w:p>
    <w:p w14:paraId="07E2F35C" w14:textId="77777777" w:rsidR="00E93FC1" w:rsidRPr="00530A31" w:rsidRDefault="00E93FC1" w:rsidP="002442EA">
      <w:pPr>
        <w:keepNext/>
        <w:keepLines/>
        <w:spacing w:before="240" w:after="240" w:line="360" w:lineRule="auto"/>
        <w:outlineLvl w:val="1"/>
        <w:rPr>
          <w:rFonts w:ascii="Palatino Linotype" w:eastAsia="MS Gothic" w:hAnsi="Palatino Linotype"/>
          <w:b/>
          <w:lang w:eastAsia="en-US"/>
        </w:rPr>
      </w:pPr>
      <w:bookmarkStart w:id="10" w:name="_Toc491791303"/>
      <w:bookmarkStart w:id="11" w:name="_Toc528153789"/>
      <w:bookmarkStart w:id="12" w:name="_Toc94119612"/>
      <w:r w:rsidRPr="00530A31">
        <w:rPr>
          <w:rFonts w:ascii="Palatino Linotype" w:eastAsia="MS Gothic" w:hAnsi="Palatino Linotype"/>
          <w:b/>
          <w:lang w:eastAsia="en-US"/>
        </w:rPr>
        <w:t>PRIMERO. De la competencia</w:t>
      </w:r>
      <w:bookmarkEnd w:id="10"/>
      <w:bookmarkEnd w:id="11"/>
      <w:r w:rsidRPr="00530A31">
        <w:rPr>
          <w:rFonts w:ascii="Palatino Linotype" w:eastAsia="MS Gothic" w:hAnsi="Palatino Linotype"/>
          <w:b/>
          <w:lang w:eastAsia="en-US"/>
        </w:rPr>
        <w:t>.</w:t>
      </w:r>
      <w:bookmarkEnd w:id="12"/>
    </w:p>
    <w:p w14:paraId="5F22FAC6" w14:textId="2453121C" w:rsidR="002F551E" w:rsidRPr="00530A31" w:rsidRDefault="00E93FC1" w:rsidP="002F551E">
      <w:pPr>
        <w:keepNext/>
        <w:keepLines/>
        <w:numPr>
          <w:ilvl w:val="0"/>
          <w:numId w:val="1"/>
        </w:numPr>
        <w:spacing w:before="240" w:after="240" w:line="360" w:lineRule="auto"/>
        <w:ind w:left="0" w:firstLine="0"/>
        <w:jc w:val="both"/>
        <w:outlineLvl w:val="1"/>
        <w:rPr>
          <w:rFonts w:ascii="Palatino Linotype" w:eastAsia="MS Gothic" w:hAnsi="Palatino Linotype"/>
          <w:b/>
          <w:lang w:eastAsia="en-US"/>
        </w:rPr>
      </w:pPr>
      <w:r w:rsidRPr="00530A31">
        <w:rPr>
          <w:rFonts w:ascii="Palatino Linotype" w:eastAsia="Calibri" w:hAnsi="Palatino Linotype"/>
          <w:lang w:val="es-ES"/>
        </w:rPr>
        <w:t xml:space="preserve">Este </w:t>
      </w:r>
      <w:bookmarkStart w:id="13" w:name="_Toc491791304"/>
      <w:bookmarkStart w:id="14" w:name="_Toc528153790"/>
      <w:bookmarkStart w:id="15" w:name="_Toc94119613"/>
      <w:r w:rsidR="003630BC" w:rsidRPr="00530A31">
        <w:rPr>
          <w:rFonts w:ascii="Palatino Linotype" w:hAnsi="Palatino Linotype" w:cs="Arial"/>
          <w:color w:val="222222"/>
          <w:shd w:val="clear" w:color="auto" w:fill="FFFFFF"/>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CCB6BDD" w14:textId="2530DFAD" w:rsidR="00E93FC1" w:rsidRPr="00530A31" w:rsidRDefault="00E93FC1" w:rsidP="003630BC">
      <w:pPr>
        <w:keepNext/>
        <w:keepLines/>
        <w:spacing w:before="240" w:after="240" w:line="360" w:lineRule="auto"/>
        <w:jc w:val="both"/>
        <w:outlineLvl w:val="1"/>
        <w:rPr>
          <w:rFonts w:ascii="Palatino Linotype" w:eastAsia="MS Gothic" w:hAnsi="Palatino Linotype"/>
          <w:b/>
          <w:lang w:eastAsia="en-US"/>
        </w:rPr>
      </w:pPr>
      <w:r w:rsidRPr="00530A31">
        <w:rPr>
          <w:rFonts w:ascii="Palatino Linotype" w:eastAsia="MS Gothic" w:hAnsi="Palatino Linotype"/>
          <w:b/>
          <w:lang w:eastAsia="en-US"/>
        </w:rPr>
        <w:t>SEGUNDO. De la oportunidad y procedencia.</w:t>
      </w:r>
      <w:bookmarkEnd w:id="13"/>
      <w:bookmarkEnd w:id="14"/>
      <w:bookmarkEnd w:id="15"/>
    </w:p>
    <w:p w14:paraId="19131B48" w14:textId="6C09C0A4" w:rsidR="00080A89" w:rsidRPr="00530A31" w:rsidRDefault="00E93FC1" w:rsidP="00CD1847">
      <w:pPr>
        <w:numPr>
          <w:ilvl w:val="0"/>
          <w:numId w:val="1"/>
        </w:numPr>
        <w:spacing w:before="240" w:after="240" w:line="360" w:lineRule="auto"/>
        <w:ind w:left="0" w:right="48" w:firstLine="0"/>
        <w:contextualSpacing/>
        <w:jc w:val="both"/>
        <w:rPr>
          <w:rFonts w:ascii="Palatino Linotype" w:eastAsiaTheme="minorEastAsia" w:hAnsi="Palatino Linotype"/>
          <w:lang w:val="es-ES_tradnl" w:eastAsia="es-ES"/>
        </w:rPr>
      </w:pPr>
      <w:r w:rsidRPr="00530A31">
        <w:rPr>
          <w:rFonts w:ascii="Palatino Linotype" w:eastAsia="Calibri" w:hAnsi="Palatino Linotype" w:cs="Arial"/>
          <w:lang w:val="es-ES_tradnl" w:eastAsia="es-ES"/>
        </w:rPr>
        <w:t xml:space="preserve">El medio de impugnación fue presentado a través del </w:t>
      </w:r>
      <w:r w:rsidRPr="00530A31">
        <w:rPr>
          <w:rFonts w:ascii="Palatino Linotype" w:eastAsia="Calibri" w:hAnsi="Palatino Linotype" w:cs="Arial"/>
          <w:b/>
          <w:lang w:val="es-ES_tradnl" w:eastAsia="es-ES"/>
        </w:rPr>
        <w:t>SAIMEX,</w:t>
      </w:r>
      <w:r w:rsidRPr="00530A31">
        <w:rPr>
          <w:rFonts w:ascii="Palatino Linotype" w:eastAsia="Calibri" w:hAnsi="Palatino Linotype" w:cs="Arial"/>
          <w:lang w:val="es-ES_tradnl" w:eastAsia="es-ES"/>
        </w:rPr>
        <w:t xml:space="preserve"> en el formato previamente aprobado para tal efecto y dentro del plazo legal de quince días hábiles otorgados; para el caso en particular es de señalar que el </w:t>
      </w:r>
      <w:r w:rsidRPr="00530A31">
        <w:rPr>
          <w:rFonts w:ascii="Palatino Linotype" w:eastAsia="Calibri" w:hAnsi="Palatino Linotype" w:cs="Arial"/>
          <w:b/>
          <w:lang w:val="es-ES_tradnl" w:eastAsia="es-ES"/>
        </w:rPr>
        <w:t>SUJETO OBLIGADO</w:t>
      </w:r>
      <w:r w:rsidRPr="00530A31">
        <w:rPr>
          <w:rFonts w:ascii="Palatino Linotype" w:eastAsia="Calibri" w:hAnsi="Palatino Linotype" w:cs="Arial"/>
          <w:lang w:val="es-ES_tradnl" w:eastAsia="es-ES"/>
        </w:rPr>
        <w:t xml:space="preserve"> entregó respuesta</w:t>
      </w:r>
      <w:r w:rsidR="007B0BCA" w:rsidRPr="00530A31">
        <w:rPr>
          <w:rFonts w:ascii="Palatino Linotype" w:eastAsia="Calibri" w:hAnsi="Palatino Linotype" w:cs="Arial"/>
          <w:lang w:val="es-ES_tradnl" w:eastAsia="es-ES"/>
        </w:rPr>
        <w:t>s</w:t>
      </w:r>
      <w:r w:rsidRPr="00530A31">
        <w:rPr>
          <w:rFonts w:ascii="Palatino Linotype" w:eastAsia="Calibri" w:hAnsi="Palatino Linotype" w:cs="Arial"/>
          <w:lang w:val="es-ES_tradnl" w:eastAsia="es-ES"/>
        </w:rPr>
        <w:t xml:space="preserve"> el </w:t>
      </w:r>
      <w:r w:rsidR="00CC65AB" w:rsidRPr="00530A31">
        <w:rPr>
          <w:rFonts w:ascii="Palatino Linotype" w:eastAsia="Calibri" w:hAnsi="Palatino Linotype" w:cs="Arial"/>
          <w:lang w:val="es-ES_tradnl" w:eastAsia="es-ES"/>
        </w:rPr>
        <w:t>nueve de marzo de dos mil veintidós</w:t>
      </w:r>
      <w:r w:rsidRPr="00530A31">
        <w:rPr>
          <w:rFonts w:ascii="Palatino Linotype" w:eastAsia="Calibri" w:hAnsi="Palatino Linotype" w:cs="Arial"/>
          <w:lang w:val="es-ES_tradnl" w:eastAsia="es-ES"/>
        </w:rPr>
        <w:t xml:space="preserve">, </w:t>
      </w:r>
      <w:r w:rsidRPr="00530A31">
        <w:rPr>
          <w:rFonts w:ascii="Palatino Linotype" w:eastAsiaTheme="minorEastAsia" w:hAnsi="Palatino Linotype" w:cs="Arial"/>
          <w:lang w:val="es-ES_tradnl" w:eastAsia="es-ES"/>
        </w:rPr>
        <w:t>de tal forma que el plazo para interponer el recurso transcurrió del</w:t>
      </w:r>
      <w:r w:rsidR="000F14F6" w:rsidRPr="00530A31">
        <w:rPr>
          <w:rFonts w:ascii="Palatino Linotype" w:eastAsiaTheme="minorEastAsia" w:hAnsi="Palatino Linotype" w:cs="Arial"/>
          <w:lang w:val="es-ES_tradnl" w:eastAsia="es-ES"/>
        </w:rPr>
        <w:t xml:space="preserve"> </w:t>
      </w:r>
      <w:r w:rsidR="00CC65AB" w:rsidRPr="00530A31">
        <w:rPr>
          <w:rFonts w:ascii="Palatino Linotype" w:eastAsiaTheme="minorEastAsia" w:hAnsi="Palatino Linotype" w:cs="Arial"/>
          <w:lang w:val="es-ES_tradnl" w:eastAsia="es-ES"/>
        </w:rPr>
        <w:t>diez al treinta y uno de marzo de dos mil veintidós</w:t>
      </w:r>
      <w:r w:rsidRPr="00530A31">
        <w:rPr>
          <w:rFonts w:ascii="Palatino Linotype" w:eastAsiaTheme="minorEastAsia" w:hAnsi="Palatino Linotype" w:cs="Arial"/>
          <w:lang w:val="es-ES_tradnl" w:eastAsia="es-ES"/>
        </w:rPr>
        <w:t xml:space="preserve">; en consecuencia, si el </w:t>
      </w:r>
      <w:r w:rsidR="00D11F51" w:rsidRPr="00530A31">
        <w:rPr>
          <w:rFonts w:ascii="Palatino Linotype" w:eastAsiaTheme="minorEastAsia" w:hAnsi="Palatino Linotype" w:cs="Arial"/>
          <w:b/>
          <w:bCs/>
          <w:lang w:val="es-ES_tradnl" w:eastAsia="es-ES"/>
        </w:rPr>
        <w:t>RECURRENTE</w:t>
      </w:r>
      <w:r w:rsidRPr="00530A31">
        <w:rPr>
          <w:rFonts w:ascii="Palatino Linotype" w:eastAsiaTheme="minorEastAsia" w:hAnsi="Palatino Linotype" w:cs="Arial"/>
          <w:lang w:val="es-ES_tradnl" w:eastAsia="es-ES"/>
        </w:rPr>
        <w:t xml:space="preserve"> presentó su inconformidad el </w:t>
      </w:r>
      <w:r w:rsidR="00CC65AB" w:rsidRPr="00530A31">
        <w:rPr>
          <w:rFonts w:ascii="Palatino Linotype" w:eastAsiaTheme="minorEastAsia" w:hAnsi="Palatino Linotype" w:cs="Arial"/>
          <w:lang w:val="es-ES_tradnl" w:eastAsia="es-ES"/>
        </w:rPr>
        <w:t>veintidós de marzo de dos mil veintidós</w:t>
      </w:r>
      <w:r w:rsidRPr="00530A31">
        <w:rPr>
          <w:rFonts w:ascii="Palatino Linotype" w:eastAsiaTheme="minorEastAsia" w:hAnsi="Palatino Linotype" w:cs="Arial"/>
          <w:lang w:val="es-ES_tradnl" w:eastAsia="es-ES"/>
        </w:rPr>
        <w:t xml:space="preserve">, se encuentra dentro de los márgenes </w:t>
      </w:r>
      <w:r w:rsidRPr="00530A31">
        <w:rPr>
          <w:rFonts w:ascii="Palatino Linotype" w:eastAsiaTheme="minorEastAsia" w:hAnsi="Palatino Linotype" w:cs="Arial"/>
          <w:lang w:val="es-ES_tradnl" w:eastAsia="es-ES"/>
        </w:rPr>
        <w:lastRenderedPageBreak/>
        <w:t xml:space="preserve">temporales previstos en el artículo 178 de la </w:t>
      </w:r>
      <w:r w:rsidRPr="00530A31">
        <w:rPr>
          <w:rFonts w:ascii="Palatino Linotype" w:eastAsiaTheme="minorEastAsia" w:hAnsi="Palatino Linotype" w:cs="Arial"/>
          <w:b/>
          <w:lang w:val="es-ES_tradnl" w:eastAsia="es-ES"/>
        </w:rPr>
        <w:t xml:space="preserve">Ley de Transparencia y Acceso a la Información Pública del Estado de México y Municipios </w:t>
      </w:r>
      <w:r w:rsidR="00CC65AB" w:rsidRPr="00530A31">
        <w:rPr>
          <w:rFonts w:ascii="Palatino Linotype" w:eastAsiaTheme="minorEastAsia" w:hAnsi="Palatino Linotype" w:cs="Arial"/>
          <w:lang w:val="es-ES_tradnl" w:eastAsia="es-ES"/>
        </w:rPr>
        <w:t>vigente.</w:t>
      </w:r>
    </w:p>
    <w:p w14:paraId="4D303C2D" w14:textId="77777777" w:rsidR="00CC65AB" w:rsidRPr="00530A31" w:rsidRDefault="00CC65AB" w:rsidP="00CC65AB">
      <w:pPr>
        <w:spacing w:before="240" w:after="240" w:line="360" w:lineRule="auto"/>
        <w:ind w:right="48"/>
        <w:contextualSpacing/>
        <w:jc w:val="both"/>
        <w:rPr>
          <w:rFonts w:ascii="Palatino Linotype" w:eastAsiaTheme="minorEastAsia" w:hAnsi="Palatino Linotype"/>
          <w:lang w:val="es-ES_tradnl" w:eastAsia="es-ES"/>
        </w:rPr>
      </w:pPr>
    </w:p>
    <w:p w14:paraId="35B02788" w14:textId="25D28A5F" w:rsidR="00E93FC1" w:rsidRPr="00530A31" w:rsidRDefault="00E93FC1" w:rsidP="00B73C19">
      <w:pPr>
        <w:numPr>
          <w:ilvl w:val="0"/>
          <w:numId w:val="1"/>
        </w:numPr>
        <w:spacing w:before="240" w:after="240" w:line="360" w:lineRule="auto"/>
        <w:ind w:left="0" w:right="49" w:firstLine="0"/>
        <w:contextualSpacing/>
        <w:jc w:val="both"/>
        <w:rPr>
          <w:rFonts w:ascii="Palatino Linotype" w:eastAsia="Calibri" w:hAnsi="Palatino Linotype" w:cs="Arial"/>
          <w:b/>
        </w:rPr>
      </w:pPr>
      <w:r w:rsidRPr="00530A31">
        <w:rPr>
          <w:rFonts w:ascii="Palatino Linotype" w:eastAsia="Calibri" w:hAnsi="Palatino Linotype" w:cs="Arial"/>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E94E32" w14:textId="77777777" w:rsidR="00897584" w:rsidRPr="00530A31" w:rsidRDefault="00897584" w:rsidP="00897584">
      <w:pPr>
        <w:spacing w:before="240" w:after="240" w:line="360" w:lineRule="auto"/>
        <w:ind w:right="49"/>
        <w:contextualSpacing/>
        <w:jc w:val="both"/>
        <w:rPr>
          <w:rFonts w:ascii="Palatino Linotype" w:eastAsia="Calibri" w:hAnsi="Palatino Linotype" w:cs="Arial"/>
          <w:b/>
        </w:rPr>
      </w:pPr>
    </w:p>
    <w:p w14:paraId="2E699A13" w14:textId="77777777" w:rsidR="00E93FC1" w:rsidRPr="00530A31" w:rsidRDefault="00E93FC1" w:rsidP="009C09D4">
      <w:pPr>
        <w:keepNext/>
        <w:keepLines/>
        <w:spacing w:before="240" w:after="240" w:line="360" w:lineRule="auto"/>
        <w:ind w:right="48"/>
        <w:outlineLvl w:val="0"/>
        <w:rPr>
          <w:rFonts w:ascii="Palatino Linotype" w:eastAsia="MS Gothic" w:hAnsi="Palatino Linotype"/>
          <w:b/>
        </w:rPr>
      </w:pPr>
      <w:bookmarkStart w:id="16" w:name="_Toc65713731"/>
      <w:bookmarkStart w:id="17" w:name="_Toc94119614"/>
      <w:r w:rsidRPr="00530A31">
        <w:rPr>
          <w:rFonts w:ascii="Palatino Linotype" w:eastAsia="MS Mincho" w:hAnsi="Palatino Linotype" w:cstheme="majorBidi"/>
          <w:b/>
          <w:lang w:val="es-ES_tradnl" w:eastAsia="es-ES"/>
        </w:rPr>
        <w:t>TERCERO. Planteamiento de la Litis</w:t>
      </w:r>
      <w:r w:rsidRPr="00530A31">
        <w:rPr>
          <w:rFonts w:ascii="Palatino Linotype" w:eastAsia="MS Gothic" w:hAnsi="Palatino Linotype"/>
          <w:b/>
        </w:rPr>
        <w:t>.</w:t>
      </w:r>
      <w:bookmarkEnd w:id="16"/>
      <w:bookmarkEnd w:id="17"/>
    </w:p>
    <w:p w14:paraId="3C6BF98D" w14:textId="3ECE5A3C" w:rsidR="006E3492" w:rsidRPr="00530A31" w:rsidRDefault="009C09D4" w:rsidP="006E3492">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530A31">
        <w:rPr>
          <w:rFonts w:ascii="Palatino Linotype" w:hAnsi="Palatino Linotype" w:cs="Arial"/>
          <w:color w:val="000000" w:themeColor="text1"/>
          <w:sz w:val="24"/>
        </w:rPr>
        <w:t xml:space="preserve">El </w:t>
      </w:r>
      <w:r w:rsidR="00D11F51" w:rsidRPr="00530A31">
        <w:rPr>
          <w:rFonts w:ascii="Palatino Linotype" w:hAnsi="Palatino Linotype" w:cs="Arial"/>
          <w:b/>
          <w:bCs/>
          <w:color w:val="000000" w:themeColor="text1"/>
          <w:sz w:val="24"/>
        </w:rPr>
        <w:t>RECURRENTE</w:t>
      </w:r>
      <w:r w:rsidR="006E3492" w:rsidRPr="00530A31">
        <w:rPr>
          <w:rFonts w:ascii="Palatino Linotype" w:hAnsi="Palatino Linotype" w:cs="Arial"/>
          <w:color w:val="000000" w:themeColor="text1"/>
          <w:sz w:val="24"/>
        </w:rPr>
        <w:t xml:space="preserve"> solicitó:</w:t>
      </w:r>
    </w:p>
    <w:p w14:paraId="1A273BA1" w14:textId="67B2F754" w:rsidR="006E3492" w:rsidRPr="00530A31" w:rsidRDefault="006E3492" w:rsidP="006E3492">
      <w:pPr>
        <w:pStyle w:val="Prrafodelista"/>
        <w:numPr>
          <w:ilvl w:val="0"/>
          <w:numId w:val="47"/>
        </w:numPr>
        <w:ind w:left="567" w:right="539" w:firstLine="0"/>
        <w:jc w:val="both"/>
        <w:rPr>
          <w:rFonts w:ascii="Palatino Linotype" w:hAnsi="Palatino Linotype"/>
          <w:b/>
        </w:rPr>
      </w:pPr>
      <w:r w:rsidRPr="00530A31">
        <w:rPr>
          <w:rFonts w:ascii="Palatino Linotype" w:hAnsi="Palatino Linotype"/>
          <w:b/>
        </w:rPr>
        <w:t>La relación de la cantidad total de medidores vendidos, de diversas medidas en mm de 13, 19, 25, 38, 50, 65, 80, 100, 125, 150, 200, 250, 300, 500 o ½”, 1”, 1 ½”, 2”, 2 ½”, 3”, 4”, 5”, 6”, 8”, 10”, 12”, 16”, 20” u otros diámetros de tomas, clasificado por usuarios domésticos y no domésticos, por mes de enero a diciembre de 2019, 2020, 2021 y enero y febrero de 2022, y por cada zona que maneja el OPDM;</w:t>
      </w:r>
    </w:p>
    <w:p w14:paraId="673F216E" w14:textId="77777777" w:rsidR="003D5317" w:rsidRPr="00530A31" w:rsidRDefault="003D5317" w:rsidP="003D5317">
      <w:pPr>
        <w:pStyle w:val="Prrafodelista"/>
        <w:ind w:left="567" w:right="539"/>
        <w:jc w:val="both"/>
        <w:rPr>
          <w:rFonts w:ascii="Palatino Linotype" w:hAnsi="Palatino Linotype"/>
          <w:b/>
        </w:rPr>
      </w:pPr>
    </w:p>
    <w:p w14:paraId="20CEF00E" w14:textId="77777777" w:rsidR="006E3492" w:rsidRPr="00530A31" w:rsidRDefault="006E3492" w:rsidP="006E3492">
      <w:pPr>
        <w:pStyle w:val="Prrafodelista"/>
        <w:numPr>
          <w:ilvl w:val="0"/>
          <w:numId w:val="47"/>
        </w:numPr>
        <w:ind w:left="567" w:right="539" w:firstLine="0"/>
        <w:jc w:val="both"/>
        <w:rPr>
          <w:rFonts w:ascii="Palatino Linotype" w:hAnsi="Palatino Linotype"/>
          <w:b/>
        </w:rPr>
      </w:pPr>
      <w:r w:rsidRPr="00530A31">
        <w:rPr>
          <w:rFonts w:ascii="Palatino Linotype" w:hAnsi="Palatino Linotype"/>
          <w:b/>
        </w:rPr>
        <w:t>Los ingresos derivados del pago de dichos medidores por mes y por año; y</w:t>
      </w:r>
    </w:p>
    <w:p w14:paraId="57B0BC1F" w14:textId="77777777" w:rsidR="003D5317" w:rsidRPr="00530A31" w:rsidRDefault="003D5317" w:rsidP="003D5317">
      <w:pPr>
        <w:pStyle w:val="Prrafodelista"/>
        <w:ind w:left="567" w:right="539"/>
        <w:jc w:val="both"/>
        <w:rPr>
          <w:rFonts w:ascii="Palatino Linotype" w:hAnsi="Palatino Linotype"/>
          <w:b/>
        </w:rPr>
      </w:pPr>
    </w:p>
    <w:p w14:paraId="6F7AF308" w14:textId="3B9DC4BB" w:rsidR="00CD1847" w:rsidRDefault="006E3492" w:rsidP="003D5317">
      <w:pPr>
        <w:pStyle w:val="Prrafodelista"/>
        <w:numPr>
          <w:ilvl w:val="0"/>
          <w:numId w:val="47"/>
        </w:numPr>
        <w:ind w:left="567" w:right="539" w:firstLine="0"/>
        <w:jc w:val="both"/>
        <w:rPr>
          <w:rFonts w:ascii="Palatino Linotype" w:hAnsi="Palatino Linotype"/>
          <w:b/>
        </w:rPr>
      </w:pPr>
      <w:r w:rsidRPr="00530A31">
        <w:rPr>
          <w:rFonts w:ascii="Palatino Linotype" w:hAnsi="Palatino Linotype"/>
          <w:b/>
        </w:rPr>
        <w:t>La relación de stock de los medidores que tiene disponible el OPDM en sus almacenes por tamaño y tipo de medidor</w:t>
      </w:r>
      <w:r w:rsidR="003D5317" w:rsidRPr="00530A31">
        <w:rPr>
          <w:rFonts w:ascii="Palatino Linotype" w:hAnsi="Palatino Linotype"/>
          <w:b/>
        </w:rPr>
        <w:t>,</w:t>
      </w:r>
      <w:r w:rsidRPr="00530A31">
        <w:rPr>
          <w:rFonts w:ascii="Palatino Linotype" w:hAnsi="Palatino Linotype"/>
          <w:b/>
        </w:rPr>
        <w:t xml:space="preserve"> al mes de febrero 2022.</w:t>
      </w:r>
    </w:p>
    <w:p w14:paraId="20F147A8" w14:textId="77777777" w:rsidR="00530A31" w:rsidRPr="00530A31" w:rsidRDefault="00530A31" w:rsidP="00530A31">
      <w:pPr>
        <w:pStyle w:val="Prrafodelista"/>
        <w:rPr>
          <w:rFonts w:ascii="Palatino Linotype" w:hAnsi="Palatino Linotype"/>
          <w:b/>
        </w:rPr>
      </w:pPr>
    </w:p>
    <w:p w14:paraId="1FBC96C8" w14:textId="77777777" w:rsidR="00530A31" w:rsidRPr="00530A31" w:rsidRDefault="00530A31" w:rsidP="00530A31">
      <w:pPr>
        <w:ind w:left="567" w:right="539"/>
        <w:jc w:val="both"/>
        <w:rPr>
          <w:rFonts w:ascii="Palatino Linotype" w:hAnsi="Palatino Linotype"/>
          <w:b/>
        </w:rPr>
      </w:pPr>
    </w:p>
    <w:p w14:paraId="61395D6C" w14:textId="560C8FC8" w:rsidR="005E26C5" w:rsidRPr="00530A31" w:rsidRDefault="00E93FC1" w:rsidP="005E26C5">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530A31">
        <w:rPr>
          <w:rFonts w:ascii="Palatino Linotype" w:hAnsi="Palatino Linotype"/>
          <w:iCs/>
          <w:color w:val="000000"/>
          <w:sz w:val="24"/>
        </w:rPr>
        <w:t>En respuest</w:t>
      </w:r>
      <w:r w:rsidR="00655E90" w:rsidRPr="00530A31">
        <w:rPr>
          <w:rFonts w:ascii="Palatino Linotype" w:hAnsi="Palatino Linotype"/>
          <w:iCs/>
          <w:color w:val="000000"/>
          <w:sz w:val="24"/>
        </w:rPr>
        <w:t xml:space="preserve">a, el </w:t>
      </w:r>
      <w:r w:rsidR="00655E90" w:rsidRPr="00530A31">
        <w:rPr>
          <w:rFonts w:ascii="Palatino Linotype" w:hAnsi="Palatino Linotype"/>
          <w:b/>
          <w:bCs/>
          <w:iCs/>
          <w:color w:val="000000"/>
          <w:sz w:val="24"/>
        </w:rPr>
        <w:t>SUJETO OBLIGADO</w:t>
      </w:r>
      <w:r w:rsidR="00655E90" w:rsidRPr="00530A31">
        <w:rPr>
          <w:rFonts w:ascii="Palatino Linotype" w:hAnsi="Palatino Linotype"/>
          <w:iCs/>
          <w:color w:val="000000"/>
          <w:sz w:val="24"/>
        </w:rPr>
        <w:t xml:space="preserve"> </w:t>
      </w:r>
      <w:r w:rsidR="00495062" w:rsidRPr="00530A31">
        <w:rPr>
          <w:rFonts w:ascii="Palatino Linotype" w:hAnsi="Palatino Linotype"/>
          <w:iCs/>
          <w:color w:val="000000"/>
          <w:sz w:val="24"/>
        </w:rPr>
        <w:t xml:space="preserve">por medio </w:t>
      </w:r>
      <w:r w:rsidR="005E26C5" w:rsidRPr="00530A31">
        <w:rPr>
          <w:rFonts w:ascii="Palatino Linotype" w:hAnsi="Palatino Linotype"/>
          <w:iCs/>
          <w:color w:val="000000"/>
          <w:sz w:val="24"/>
        </w:rPr>
        <w:t>d</w:t>
      </w:r>
      <w:r w:rsidR="005E26C5" w:rsidRPr="00530A31">
        <w:rPr>
          <w:rFonts w:ascii="Palatino Linotype" w:hAnsi="Palatino Linotype"/>
          <w:sz w:val="24"/>
        </w:rPr>
        <w:t xml:space="preserve">el </w:t>
      </w:r>
      <w:r w:rsidR="003D5317" w:rsidRPr="00530A31">
        <w:rPr>
          <w:rFonts w:ascii="Palatino Linotype" w:hAnsi="Palatino Linotype"/>
          <w:sz w:val="24"/>
        </w:rPr>
        <w:t>Subdirector de Finanzas, hizo entrega de los PbRM-10c – “Estado Comparativo Presupuestal de Egresos”</w:t>
      </w:r>
      <w:r w:rsidR="00663824" w:rsidRPr="00530A31">
        <w:rPr>
          <w:rFonts w:ascii="Palatino Linotype" w:hAnsi="Palatino Linotype"/>
          <w:sz w:val="24"/>
        </w:rPr>
        <w:t xml:space="preserve"> (documento que sustenta la compra de medidores)</w:t>
      </w:r>
      <w:r w:rsidR="003D5317" w:rsidRPr="00530A31">
        <w:rPr>
          <w:rFonts w:ascii="Palatino Linotype" w:hAnsi="Palatino Linotype"/>
          <w:sz w:val="24"/>
        </w:rPr>
        <w:t xml:space="preserve"> de 2019, 2020, 2021, aclarando que, a partir de 2020 la partida presupuestal 2990</w:t>
      </w:r>
      <w:r w:rsidR="00663824" w:rsidRPr="00530A31">
        <w:rPr>
          <w:rFonts w:ascii="Palatino Linotype" w:hAnsi="Palatino Linotype"/>
          <w:sz w:val="24"/>
        </w:rPr>
        <w:t xml:space="preserve"> cambió de denominación: antes -</w:t>
      </w:r>
      <w:r w:rsidR="003D5317" w:rsidRPr="00530A31">
        <w:rPr>
          <w:rFonts w:ascii="Palatino Linotype" w:hAnsi="Palatino Linotype"/>
          <w:sz w:val="24"/>
        </w:rPr>
        <w:lastRenderedPageBreak/>
        <w:t>medidores de agua</w:t>
      </w:r>
      <w:r w:rsidR="00663824" w:rsidRPr="00530A31">
        <w:rPr>
          <w:rFonts w:ascii="Palatino Linotype" w:hAnsi="Palatino Linotype"/>
          <w:sz w:val="24"/>
        </w:rPr>
        <w:t>-</w:t>
      </w:r>
      <w:r w:rsidR="00D217C3" w:rsidRPr="00530A31">
        <w:rPr>
          <w:rFonts w:ascii="Palatino Linotype" w:hAnsi="Palatino Linotype"/>
          <w:sz w:val="24"/>
        </w:rPr>
        <w:t xml:space="preserve"> </w:t>
      </w:r>
      <w:r w:rsidR="00663824" w:rsidRPr="00530A31">
        <w:rPr>
          <w:rFonts w:ascii="Palatino Linotype" w:hAnsi="Palatino Linotype"/>
          <w:sz w:val="24"/>
        </w:rPr>
        <w:t>después -</w:t>
      </w:r>
      <w:r w:rsidR="003D5317" w:rsidRPr="00530A31">
        <w:rPr>
          <w:rFonts w:ascii="Palatino Linotype" w:hAnsi="Palatino Linotype"/>
          <w:sz w:val="24"/>
        </w:rPr>
        <w:t>otros enseres-</w:t>
      </w:r>
      <w:r w:rsidR="00D217C3" w:rsidRPr="00530A31">
        <w:rPr>
          <w:rFonts w:ascii="Palatino Linotype" w:hAnsi="Palatino Linotype"/>
          <w:sz w:val="24"/>
        </w:rPr>
        <w:t xml:space="preserve">, </w:t>
      </w:r>
      <w:r w:rsidR="003D5317" w:rsidRPr="00530A31">
        <w:rPr>
          <w:rFonts w:ascii="Palatino Linotype" w:hAnsi="Palatino Linotype"/>
          <w:sz w:val="24"/>
        </w:rPr>
        <w:t xml:space="preserve">y, de la información correspondiente a enero y febrero de 2022, remitió el documento en el que consta la recaudación por compra de medidores, el cual, se obtuvo del sistema comercial </w:t>
      </w:r>
      <w:proofErr w:type="spellStart"/>
      <w:r w:rsidR="003D5317" w:rsidRPr="00530A31">
        <w:rPr>
          <w:rFonts w:ascii="Palatino Linotype" w:hAnsi="Palatino Linotype"/>
          <w:sz w:val="24"/>
        </w:rPr>
        <w:t>Atl</w:t>
      </w:r>
      <w:proofErr w:type="spellEnd"/>
      <w:r w:rsidR="003D5317" w:rsidRPr="00530A31">
        <w:rPr>
          <w:rFonts w:ascii="Palatino Linotype" w:hAnsi="Palatino Linotype"/>
          <w:sz w:val="24"/>
        </w:rPr>
        <w:t>, en virtud de que el presupuesto de ingresos y egresos que regiría para el ejercicio fiscal 2022 se encontraba en proceso de carga contable-presupuestal.</w:t>
      </w:r>
      <w:r w:rsidR="00663824" w:rsidRPr="00530A31">
        <w:rPr>
          <w:rFonts w:ascii="Palatino Linotype" w:hAnsi="Palatino Linotype"/>
          <w:sz w:val="24"/>
        </w:rPr>
        <w:t xml:space="preserve"> Por su parte, el </w:t>
      </w:r>
      <w:proofErr w:type="gramStart"/>
      <w:r w:rsidR="00663824" w:rsidRPr="00530A31">
        <w:rPr>
          <w:rFonts w:ascii="Palatino Linotype" w:hAnsi="Palatino Linotype"/>
          <w:sz w:val="24"/>
        </w:rPr>
        <w:t>Subdirector</w:t>
      </w:r>
      <w:proofErr w:type="gramEnd"/>
      <w:r w:rsidR="00663824" w:rsidRPr="00530A31">
        <w:rPr>
          <w:rFonts w:ascii="Palatino Linotype" w:hAnsi="Palatino Linotype"/>
          <w:sz w:val="24"/>
        </w:rPr>
        <w:t xml:space="preserve"> Comercial del OPDM, hizo entrega del listado que contiene la cantidad de medidores vendidos durante 201</w:t>
      </w:r>
      <w:r w:rsidR="00D217C3" w:rsidRPr="00530A31">
        <w:rPr>
          <w:rFonts w:ascii="Palatino Linotype" w:hAnsi="Palatino Linotype"/>
          <w:sz w:val="24"/>
        </w:rPr>
        <w:t xml:space="preserve">9, 2020, 2021 y 2022 (por mes y diámetro). Finalmente, el </w:t>
      </w:r>
      <w:proofErr w:type="gramStart"/>
      <w:r w:rsidR="00D217C3" w:rsidRPr="00530A31">
        <w:rPr>
          <w:rFonts w:ascii="Palatino Linotype" w:hAnsi="Palatino Linotype"/>
          <w:sz w:val="24"/>
        </w:rPr>
        <w:t>Jefe</w:t>
      </w:r>
      <w:proofErr w:type="gramEnd"/>
      <w:r w:rsidR="00D217C3" w:rsidRPr="00530A31">
        <w:rPr>
          <w:rFonts w:ascii="Palatino Linotype" w:hAnsi="Palatino Linotype"/>
          <w:sz w:val="24"/>
        </w:rPr>
        <w:t xml:space="preserve"> del Departamento de Adquisiciones y el Subdirector de Administración remitió la relación del stock de medidores disponibles en los almacenes del OPDM (San Juan y Guerrero), al mes de febrero de 2022.</w:t>
      </w:r>
    </w:p>
    <w:p w14:paraId="11AF201A" w14:textId="77777777" w:rsidR="008866EB" w:rsidRPr="00530A31" w:rsidRDefault="008866EB" w:rsidP="008866EB">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00DEA11" w14:textId="5E39453C" w:rsidR="005C049D" w:rsidRPr="00530A31" w:rsidRDefault="00D217C3" w:rsidP="00B44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530A31">
        <w:rPr>
          <w:rFonts w:ascii="Palatino Linotype" w:hAnsi="Palatino Linotype"/>
          <w:sz w:val="24"/>
        </w:rPr>
        <w:t>Posteriormente</w:t>
      </w:r>
      <w:r w:rsidR="00E93FC1" w:rsidRPr="00530A31">
        <w:rPr>
          <w:rFonts w:ascii="Palatino Linotype" w:hAnsi="Palatino Linotype"/>
          <w:sz w:val="24"/>
        </w:rPr>
        <w:t xml:space="preserve">, el </w:t>
      </w:r>
      <w:r w:rsidR="00D11F51" w:rsidRPr="00530A31">
        <w:rPr>
          <w:rFonts w:ascii="Palatino Linotype" w:hAnsi="Palatino Linotype"/>
          <w:b/>
          <w:bCs/>
          <w:sz w:val="24"/>
        </w:rPr>
        <w:t xml:space="preserve">RECURRENTE </w:t>
      </w:r>
      <w:r w:rsidRPr="00530A31">
        <w:rPr>
          <w:rFonts w:ascii="Palatino Linotype" w:hAnsi="Palatino Linotype"/>
          <w:bCs/>
          <w:sz w:val="24"/>
        </w:rPr>
        <w:t>se inconformó mediante</w:t>
      </w:r>
      <w:r w:rsidRPr="00530A31">
        <w:rPr>
          <w:rFonts w:ascii="Palatino Linotype" w:hAnsi="Palatino Linotype"/>
          <w:b/>
          <w:bCs/>
          <w:sz w:val="24"/>
        </w:rPr>
        <w:t xml:space="preserve"> </w:t>
      </w:r>
      <w:r w:rsidR="00E93FC1" w:rsidRPr="00530A31">
        <w:rPr>
          <w:rFonts w:ascii="Palatino Linotype" w:hAnsi="Palatino Linotype"/>
          <w:sz w:val="24"/>
        </w:rPr>
        <w:t>recurso de revisión</w:t>
      </w:r>
      <w:r w:rsidR="00D5736F" w:rsidRPr="00530A31">
        <w:rPr>
          <w:rFonts w:ascii="Palatino Linotype" w:hAnsi="Palatino Linotype"/>
          <w:sz w:val="24"/>
        </w:rPr>
        <w:t xml:space="preserve"> </w:t>
      </w:r>
      <w:r w:rsidRPr="00530A31">
        <w:rPr>
          <w:rFonts w:ascii="Palatino Linotype" w:hAnsi="Palatino Linotype"/>
          <w:sz w:val="24"/>
        </w:rPr>
        <w:t>donde</w:t>
      </w:r>
      <w:r w:rsidR="00E93FC1" w:rsidRPr="00530A31">
        <w:rPr>
          <w:rFonts w:ascii="Palatino Linotype" w:hAnsi="Palatino Linotype"/>
          <w:sz w:val="24"/>
        </w:rPr>
        <w:t xml:space="preserve"> </w:t>
      </w:r>
      <w:r w:rsidR="00D12AD2" w:rsidRPr="00530A31">
        <w:rPr>
          <w:rFonts w:ascii="Palatino Linotype" w:hAnsi="Palatino Linotype"/>
          <w:sz w:val="24"/>
        </w:rPr>
        <w:t>manifestó como</w:t>
      </w:r>
      <w:r w:rsidR="00E93FC1" w:rsidRPr="00530A31">
        <w:rPr>
          <w:rFonts w:ascii="Palatino Linotype" w:hAnsi="Palatino Linotype"/>
          <w:sz w:val="24"/>
        </w:rPr>
        <w:t xml:space="preserve"> motivos de inconformidad</w:t>
      </w:r>
      <w:r w:rsidRPr="00530A31">
        <w:rPr>
          <w:rFonts w:ascii="Palatino Linotype" w:hAnsi="Palatino Linotype"/>
          <w:sz w:val="24"/>
        </w:rPr>
        <w:t>,</w:t>
      </w:r>
      <w:r w:rsidR="00F91816" w:rsidRPr="00530A31">
        <w:rPr>
          <w:rFonts w:ascii="Palatino Linotype" w:hAnsi="Palatino Linotype"/>
          <w:sz w:val="24"/>
        </w:rPr>
        <w:t xml:space="preserve"> </w:t>
      </w:r>
      <w:r w:rsidR="005E26C5" w:rsidRPr="00530A31">
        <w:rPr>
          <w:rFonts w:ascii="Palatino Linotype" w:hAnsi="Palatino Linotype"/>
          <w:sz w:val="24"/>
        </w:rPr>
        <w:t xml:space="preserve">la </w:t>
      </w:r>
      <w:r w:rsidR="00805834" w:rsidRPr="00530A31">
        <w:rPr>
          <w:rFonts w:ascii="Palatino Linotype" w:hAnsi="Palatino Linotype"/>
          <w:sz w:val="24"/>
        </w:rPr>
        <w:t xml:space="preserve">entrega de información incompleta y la </w:t>
      </w:r>
      <w:r w:rsidR="005E26C5" w:rsidRPr="00530A31">
        <w:rPr>
          <w:rFonts w:ascii="Palatino Linotype" w:hAnsi="Palatino Linotype"/>
          <w:sz w:val="24"/>
        </w:rPr>
        <w:t>n</w:t>
      </w:r>
      <w:r w:rsidRPr="00530A31">
        <w:rPr>
          <w:rFonts w:ascii="Palatino Linotype" w:hAnsi="Palatino Linotype"/>
          <w:sz w:val="24"/>
        </w:rPr>
        <w:t xml:space="preserve">egativa de la información, </w:t>
      </w:r>
      <w:r w:rsidR="00051689" w:rsidRPr="00530A31">
        <w:rPr>
          <w:rFonts w:ascii="Palatino Linotype" w:hAnsi="Palatino Linotype"/>
          <w:sz w:val="24"/>
        </w:rPr>
        <w:t>ya que, a su consideración, no le entregaron la información conforme a la clasificación solicitada, ni lo correspondiente al total de medidores vendidos respecto a las medidas referidas en la solicitud</w:t>
      </w:r>
      <w:r w:rsidR="00993CA5" w:rsidRPr="00530A31">
        <w:rPr>
          <w:rFonts w:ascii="Palatino Linotype" w:hAnsi="Palatino Linotype"/>
          <w:sz w:val="24"/>
        </w:rPr>
        <w:t>, asimismo, señaló que no solicitó ningún estado comparativo presupuestal de egresos.</w:t>
      </w:r>
    </w:p>
    <w:p w14:paraId="6CB378E3" w14:textId="77777777" w:rsidR="00A567BA" w:rsidRPr="00530A31" w:rsidRDefault="00A567BA" w:rsidP="00A567BA">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6D724B35" w14:textId="77777777" w:rsidR="00F9515A" w:rsidRPr="00530A31"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530A31">
        <w:rPr>
          <w:rFonts w:ascii="Palatino Linotype" w:eastAsia="MS Gothic" w:hAnsi="Palatino Linotype"/>
          <w:sz w:val="24"/>
        </w:rPr>
        <w:t xml:space="preserve">En consecuencia, la Litis a resolver en este recurso, se circunscribe a determinar </w:t>
      </w:r>
      <w:r w:rsidR="009678C8" w:rsidRPr="00530A31">
        <w:rPr>
          <w:rFonts w:ascii="Palatino Linotype" w:eastAsia="MS Gothic" w:hAnsi="Palatino Linotype"/>
          <w:sz w:val="24"/>
        </w:rPr>
        <w:t xml:space="preserve">si la respuesta colma con lo solicitado o </w:t>
      </w:r>
      <w:r w:rsidRPr="00530A31">
        <w:rPr>
          <w:rFonts w:ascii="Palatino Linotype" w:eastAsia="MS Gothic" w:hAnsi="Palatino Linotype"/>
          <w:sz w:val="24"/>
        </w:rPr>
        <w:t xml:space="preserve">si se actualizan las causales de procedencia previstas </w:t>
      </w:r>
      <w:r w:rsidRPr="00530A31">
        <w:rPr>
          <w:rFonts w:ascii="Palatino Linotype" w:hAnsi="Palatino Linotype"/>
          <w:sz w:val="24"/>
        </w:rPr>
        <w:t>e</w:t>
      </w:r>
      <w:r w:rsidR="009678C8" w:rsidRPr="00530A31">
        <w:rPr>
          <w:rFonts w:ascii="Palatino Linotype" w:hAnsi="Palatino Linotype"/>
          <w:sz w:val="24"/>
        </w:rPr>
        <w:t>n</w:t>
      </w:r>
      <w:r w:rsidR="009C09D4" w:rsidRPr="00530A31">
        <w:rPr>
          <w:rFonts w:ascii="Palatino Linotype" w:hAnsi="Palatino Linotype"/>
          <w:sz w:val="24"/>
        </w:rPr>
        <w:t xml:space="preserve"> el artículo 179, fracción </w:t>
      </w:r>
      <w:r w:rsidR="005E26C5" w:rsidRPr="00530A31">
        <w:rPr>
          <w:rFonts w:ascii="Palatino Linotype" w:hAnsi="Palatino Linotype"/>
          <w:sz w:val="24"/>
        </w:rPr>
        <w:t>I</w:t>
      </w:r>
      <w:r w:rsidR="00805834" w:rsidRPr="00530A31">
        <w:rPr>
          <w:rFonts w:ascii="Palatino Linotype" w:hAnsi="Palatino Linotype"/>
          <w:sz w:val="24"/>
        </w:rPr>
        <w:t xml:space="preserve"> y V</w:t>
      </w:r>
      <w:r w:rsidR="00C82FE5" w:rsidRPr="00530A31">
        <w:rPr>
          <w:rFonts w:ascii="Palatino Linotype" w:hAnsi="Palatino Linotype"/>
          <w:sz w:val="24"/>
        </w:rPr>
        <w:t xml:space="preserve"> </w:t>
      </w:r>
      <w:r w:rsidRPr="00530A31">
        <w:rPr>
          <w:rFonts w:ascii="Palatino Linotype" w:hAnsi="Palatino Linotype"/>
          <w:sz w:val="24"/>
        </w:rPr>
        <w:t xml:space="preserve">de la Ley de Transparencia y Acceso a la Información Pública del Estado de México y Municipios; </w:t>
      </w:r>
      <w:r w:rsidR="009678C8" w:rsidRPr="00530A31">
        <w:rPr>
          <w:rFonts w:ascii="Palatino Linotype" w:hAnsi="Palatino Linotype"/>
          <w:sz w:val="24"/>
        </w:rPr>
        <w:t xml:space="preserve">que establece </w:t>
      </w:r>
      <w:r w:rsidR="009678C8" w:rsidRPr="00530A31">
        <w:rPr>
          <w:rFonts w:ascii="Palatino Linotype" w:hAnsi="Palatino Linotype"/>
          <w:b/>
          <w:sz w:val="24"/>
        </w:rPr>
        <w:t>la negati</w:t>
      </w:r>
      <w:r w:rsidR="009C09D4" w:rsidRPr="00530A31">
        <w:rPr>
          <w:rFonts w:ascii="Palatino Linotype" w:hAnsi="Palatino Linotype"/>
          <w:b/>
          <w:sz w:val="24"/>
        </w:rPr>
        <w:t>va de la información</w:t>
      </w:r>
      <w:r w:rsidR="00DC73DA" w:rsidRPr="00530A31">
        <w:rPr>
          <w:rFonts w:ascii="Palatino Linotype" w:hAnsi="Palatino Linotype"/>
          <w:b/>
          <w:sz w:val="24"/>
        </w:rPr>
        <w:t xml:space="preserve"> solicitada</w:t>
      </w:r>
      <w:r w:rsidR="00805834" w:rsidRPr="00530A31">
        <w:rPr>
          <w:rFonts w:ascii="Palatino Linotype" w:hAnsi="Palatino Linotype"/>
          <w:b/>
          <w:sz w:val="24"/>
        </w:rPr>
        <w:t xml:space="preserve"> y la entrega de información incompleta.</w:t>
      </w:r>
    </w:p>
    <w:p w14:paraId="7F2CCDB2" w14:textId="77777777" w:rsidR="00F9515A" w:rsidRPr="00530A31" w:rsidRDefault="00F9515A" w:rsidP="00F9515A">
      <w:pPr>
        <w:pStyle w:val="Prrafodelista"/>
        <w:spacing w:before="240" w:after="240"/>
        <w:ind w:left="0" w:right="48"/>
        <w:jc w:val="both"/>
        <w:rPr>
          <w:rFonts w:ascii="Palatino Linotype" w:eastAsiaTheme="minorEastAsia" w:hAnsi="Palatino Linotype"/>
          <w:sz w:val="24"/>
          <w:lang w:val="es-ES_tradnl" w:eastAsia="es-ES"/>
        </w:rPr>
      </w:pPr>
    </w:p>
    <w:p w14:paraId="0EE207FA" w14:textId="77777777" w:rsidR="00F9515A" w:rsidRPr="00530A31" w:rsidRDefault="00F9515A" w:rsidP="00F9515A">
      <w:pPr>
        <w:pStyle w:val="Ttulo1"/>
        <w:spacing w:before="0" w:after="240" w:line="360" w:lineRule="auto"/>
        <w:rPr>
          <w:rFonts w:ascii="Palatino Linotype" w:eastAsia="MS Gothic" w:hAnsi="Palatino Linotype"/>
          <w:b/>
          <w:color w:val="auto"/>
          <w:sz w:val="24"/>
          <w:szCs w:val="24"/>
          <w:lang w:val="es-ES_tradnl"/>
        </w:rPr>
      </w:pPr>
      <w:bookmarkStart w:id="18" w:name="_Toc65713733"/>
      <w:bookmarkStart w:id="19" w:name="_Toc94119615"/>
      <w:r w:rsidRPr="00530A31">
        <w:rPr>
          <w:rFonts w:ascii="Palatino Linotype" w:eastAsia="MS Gothic" w:hAnsi="Palatino Linotype"/>
          <w:b/>
          <w:color w:val="auto"/>
          <w:sz w:val="24"/>
          <w:szCs w:val="24"/>
          <w:lang w:val="es-ES_tradnl"/>
        </w:rPr>
        <w:t>CUARTO. Del estudio y resolución del recurso de revisión.</w:t>
      </w:r>
      <w:bookmarkEnd w:id="18"/>
      <w:bookmarkEnd w:id="19"/>
    </w:p>
    <w:p w14:paraId="4887700A" w14:textId="01F712A3" w:rsidR="00F9515A" w:rsidRPr="00530A31" w:rsidRDefault="00F9515A" w:rsidP="00F9515A">
      <w:pPr>
        <w:pStyle w:val="Ttulo1"/>
        <w:numPr>
          <w:ilvl w:val="0"/>
          <w:numId w:val="31"/>
        </w:numPr>
        <w:spacing w:before="0" w:after="240" w:line="360" w:lineRule="auto"/>
        <w:rPr>
          <w:rFonts w:ascii="Palatino Linotype" w:eastAsia="MS Gothic" w:hAnsi="Palatino Linotype"/>
          <w:b/>
          <w:color w:val="auto"/>
          <w:sz w:val="24"/>
          <w:szCs w:val="24"/>
          <w:lang w:val="es-ES_tradnl" w:eastAsia="es-ES"/>
        </w:rPr>
      </w:pPr>
      <w:bookmarkStart w:id="20" w:name="_Toc498528948"/>
      <w:bookmarkStart w:id="21" w:name="_Toc71234379"/>
      <w:bookmarkStart w:id="22" w:name="_Toc71239557"/>
      <w:bookmarkStart w:id="23" w:name="_Toc80812776"/>
      <w:bookmarkStart w:id="24" w:name="_Toc83301639"/>
      <w:bookmarkStart w:id="25" w:name="_Toc94119616"/>
      <w:r w:rsidRPr="00530A31">
        <w:rPr>
          <w:rFonts w:ascii="Palatino Linotype" w:eastAsia="MS Gothic" w:hAnsi="Palatino Linotype"/>
          <w:b/>
          <w:color w:val="auto"/>
          <w:sz w:val="24"/>
          <w:szCs w:val="24"/>
          <w:lang w:val="es-ES_tradnl" w:eastAsia="es-ES"/>
        </w:rPr>
        <w:t>De</w:t>
      </w:r>
      <w:bookmarkEnd w:id="20"/>
      <w:r w:rsidRPr="00530A31">
        <w:rPr>
          <w:rFonts w:ascii="Palatino Linotype" w:eastAsia="MS Gothic" w:hAnsi="Palatino Linotype"/>
          <w:b/>
          <w:color w:val="auto"/>
          <w:sz w:val="24"/>
          <w:szCs w:val="24"/>
          <w:lang w:val="es-ES_tradnl" w:eastAsia="es-ES"/>
        </w:rPr>
        <w:t>l derecho de acceso a la información.</w:t>
      </w:r>
      <w:bookmarkEnd w:id="21"/>
      <w:bookmarkEnd w:id="22"/>
      <w:bookmarkEnd w:id="23"/>
      <w:bookmarkEnd w:id="24"/>
      <w:bookmarkEnd w:id="25"/>
    </w:p>
    <w:p w14:paraId="0FA204D3" w14:textId="77777777" w:rsidR="00F9515A" w:rsidRPr="00530A31"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530A31">
        <w:rPr>
          <w:rFonts w:ascii="Palatino Linotype" w:eastAsiaTheme="minorEastAsia" w:hAnsi="Palatino Linotype"/>
          <w:sz w:val="24"/>
          <w:lang w:val="es-ES_tradnl" w:eastAsia="es-ES"/>
        </w:rPr>
        <w:t>E</w:t>
      </w:r>
      <w:r w:rsidRPr="00530A31">
        <w:rPr>
          <w:rFonts w:ascii="Palatino Linotype" w:hAnsi="Palatino Linotype" w:cs="Arial"/>
          <w:color w:val="000000"/>
          <w:sz w:val="24"/>
          <w:lang w:val="es-ES_tradnl"/>
        </w:rPr>
        <w:t>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r w:rsidRPr="00530A31">
        <w:rPr>
          <w:rFonts w:ascii="Palatino Linotype" w:hAnsi="Palatino Linotype" w:cs="Arial"/>
          <w:color w:val="000000"/>
          <w:sz w:val="24"/>
          <w:lang w:val="es-ES_tradnl" w:eastAsia="es-ES"/>
        </w:rPr>
        <w:t xml:space="preserve">. </w:t>
      </w:r>
    </w:p>
    <w:p w14:paraId="6D63F2F3" w14:textId="77777777" w:rsidR="00F9515A" w:rsidRPr="00530A31" w:rsidRDefault="00F9515A" w:rsidP="00F9515A">
      <w:pPr>
        <w:pStyle w:val="Prrafodelista"/>
        <w:spacing w:before="240" w:after="240" w:line="360" w:lineRule="auto"/>
        <w:ind w:left="0" w:right="48"/>
        <w:jc w:val="both"/>
        <w:rPr>
          <w:rFonts w:ascii="Palatino Linotype" w:eastAsia="MS Gothic" w:hAnsi="Palatino Linotype"/>
          <w:sz w:val="24"/>
        </w:rPr>
      </w:pPr>
    </w:p>
    <w:p w14:paraId="2883EB9B" w14:textId="13BB4A77" w:rsidR="00F9515A" w:rsidRPr="00530A31"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530A31">
        <w:rPr>
          <w:rFonts w:ascii="Palatino Linotype" w:hAnsi="Palatino Linotype"/>
          <w:sz w:val="24"/>
          <w:lang w:val="es-ES_tradnl" w:eastAsia="es-ES"/>
        </w:rPr>
        <w:t xml:space="preserve">Definiendo el Derecho de Acceso a la Información Pública como: </w:t>
      </w:r>
      <w:r w:rsidRPr="00530A31">
        <w:rPr>
          <w:rFonts w:ascii="Palatino Linotype" w:eastAsiaTheme="minorEastAsia" w:hAnsi="Palatino Linotype"/>
          <w:i/>
          <w:color w:val="000000"/>
          <w:sz w:val="24"/>
          <w:lang w:val="es-ES_tradnl" w:eastAsia="es-ES"/>
        </w:rPr>
        <w:t>La igualdad de oportunidades para recibir, buscar e impartir información</w:t>
      </w:r>
      <w:r w:rsidRPr="00530A31">
        <w:rPr>
          <w:rFonts w:eastAsiaTheme="minorEastAsia"/>
          <w:i/>
          <w:sz w:val="24"/>
          <w:vertAlign w:val="superscript"/>
          <w:lang w:val="es-ES_tradnl" w:eastAsia="es-ES"/>
        </w:rPr>
        <w:footnoteReference w:id="4"/>
      </w:r>
      <w:r w:rsidRPr="00530A31">
        <w:rPr>
          <w:rFonts w:ascii="Palatino Linotype" w:eastAsiaTheme="minorEastAsia" w:hAnsi="Palatino Linotype"/>
          <w:i/>
          <w:color w:val="000000"/>
          <w:sz w:val="24"/>
          <w:lang w:val="es-ES_tradnl" w:eastAsia="es-ES"/>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530A31">
        <w:rPr>
          <w:rFonts w:eastAsiaTheme="minorEastAsia"/>
          <w:i/>
          <w:sz w:val="24"/>
          <w:vertAlign w:val="superscript"/>
          <w:lang w:val="es-ES_tradnl" w:eastAsia="es-ES"/>
        </w:rPr>
        <w:footnoteReference w:id="5"/>
      </w:r>
      <w:r w:rsidRPr="00530A31">
        <w:rPr>
          <w:rFonts w:ascii="Palatino Linotype" w:eastAsiaTheme="minorEastAsia" w:hAnsi="Palatino Linotype"/>
          <w:color w:val="000000"/>
          <w:sz w:val="24"/>
          <w:lang w:val="es-ES_tradnl" w:eastAsia="es-ES"/>
        </w:rPr>
        <w:t>que se constituye como una herramienta fundamental para ejercer</w:t>
      </w:r>
      <w:r w:rsidRPr="00530A31">
        <w:rPr>
          <w:rFonts w:ascii="Palatino Linotype" w:eastAsiaTheme="minorEastAsia" w:hAnsi="Palatino Linotype"/>
          <w:i/>
          <w:color w:val="000000"/>
          <w:sz w:val="24"/>
          <w:lang w:val="es-ES_tradnl" w:eastAsia="es-ES"/>
        </w:rPr>
        <w:t xml:space="preserve"> el control democrático de las gestiones estatales, de forma tal que puedan cuestionar, indagar y considerar si se está dando un adecuado cumplimiento a las funciones públicas,</w:t>
      </w:r>
      <w:r w:rsidRPr="00530A31">
        <w:rPr>
          <w:rFonts w:eastAsiaTheme="minorEastAsia"/>
          <w:i/>
          <w:sz w:val="24"/>
          <w:vertAlign w:val="superscript"/>
          <w:lang w:val="es-ES_tradnl" w:eastAsia="es-ES"/>
        </w:rPr>
        <w:footnoteReference w:id="6"/>
      </w:r>
      <w:r w:rsidRPr="00530A31">
        <w:rPr>
          <w:rFonts w:ascii="Palatino Linotype" w:eastAsiaTheme="minorEastAsia" w:hAnsi="Palatino Linotype"/>
          <w:color w:val="000000"/>
          <w:sz w:val="24"/>
          <w:lang w:val="es-ES_tradnl" w:eastAsia="es-ES"/>
        </w:rPr>
        <w:t>fomentando</w:t>
      </w:r>
      <w:r w:rsidRPr="00530A31">
        <w:rPr>
          <w:rFonts w:ascii="Palatino Linotype" w:eastAsiaTheme="minorEastAsia" w:hAnsi="Palatino Linotype"/>
          <w:i/>
          <w:color w:val="000000"/>
          <w:sz w:val="24"/>
          <w:lang w:val="es-ES_tradnl" w:eastAsia="es-ES"/>
        </w:rPr>
        <w:t xml:space="preserve"> la transparencia de las actividades estatales y </w:t>
      </w:r>
      <w:r w:rsidRPr="00530A31">
        <w:rPr>
          <w:rFonts w:ascii="Palatino Linotype" w:eastAsiaTheme="minorEastAsia" w:hAnsi="Palatino Linotype"/>
          <w:color w:val="000000"/>
          <w:sz w:val="24"/>
          <w:lang w:val="es-ES_tradnl" w:eastAsia="es-ES"/>
        </w:rPr>
        <w:t>promoviendo</w:t>
      </w:r>
      <w:r w:rsidRPr="00530A31">
        <w:rPr>
          <w:rFonts w:ascii="Palatino Linotype" w:eastAsiaTheme="minorEastAsia" w:hAnsi="Palatino Linotype"/>
          <w:i/>
          <w:color w:val="000000"/>
          <w:sz w:val="24"/>
          <w:lang w:val="es-ES_tradnl" w:eastAsia="es-ES"/>
        </w:rPr>
        <w:t xml:space="preserve"> la responsabilidad de los funcionarios sobre su gestión pública,</w:t>
      </w:r>
      <w:r w:rsidRPr="00530A31">
        <w:rPr>
          <w:rFonts w:eastAsiaTheme="minorEastAsia"/>
          <w:i/>
          <w:sz w:val="24"/>
          <w:vertAlign w:val="superscript"/>
          <w:lang w:val="es-ES_tradnl" w:eastAsia="es-ES"/>
        </w:rPr>
        <w:footnoteReference w:id="7"/>
      </w:r>
      <w:r w:rsidRPr="00530A31">
        <w:rPr>
          <w:rFonts w:ascii="Palatino Linotype" w:eastAsiaTheme="minorEastAsia" w:hAnsi="Palatino Linotype"/>
          <w:color w:val="000000"/>
          <w:sz w:val="24"/>
          <w:lang w:val="es-ES_tradnl" w:eastAsia="es-ES"/>
        </w:rPr>
        <w:t>que permite</w:t>
      </w:r>
      <w:r w:rsidRPr="00530A31">
        <w:rPr>
          <w:rFonts w:ascii="Palatino Linotype" w:eastAsiaTheme="minorEastAsia" w:hAnsi="Palatino Linotype"/>
          <w:i/>
          <w:color w:val="000000"/>
          <w:sz w:val="24"/>
          <w:lang w:val="es-ES_tradnl" w:eastAsia="es-ES"/>
        </w:rPr>
        <w:t xml:space="preserve"> </w:t>
      </w:r>
      <w:r w:rsidRPr="00530A31">
        <w:rPr>
          <w:rFonts w:ascii="Palatino Linotype" w:eastAsiaTheme="minorEastAsia" w:hAnsi="Palatino Linotype"/>
          <w:i/>
          <w:color w:val="000000"/>
          <w:sz w:val="24"/>
          <w:lang w:val="es-ES_tradnl" w:eastAsia="es-ES"/>
        </w:rPr>
        <w:lastRenderedPageBreak/>
        <w:t>saber qué están haciendo los gobiernos por sus pueblos, sin lo cual la verdad languidecería y la participación en el gobierno permanecería fragmentada.</w:t>
      </w:r>
    </w:p>
    <w:p w14:paraId="13247B1E" w14:textId="77777777" w:rsidR="00F9515A" w:rsidRPr="00530A31" w:rsidRDefault="00F9515A" w:rsidP="00F9515A">
      <w:pPr>
        <w:pStyle w:val="Prrafodelista"/>
        <w:spacing w:before="240" w:after="240" w:line="360" w:lineRule="auto"/>
        <w:ind w:left="0" w:right="48"/>
        <w:jc w:val="both"/>
        <w:rPr>
          <w:rFonts w:ascii="Palatino Linotype" w:eastAsia="MS Gothic" w:hAnsi="Palatino Linotype"/>
          <w:sz w:val="24"/>
        </w:rPr>
      </w:pPr>
    </w:p>
    <w:p w14:paraId="674AACC5" w14:textId="77777777" w:rsidR="00F9515A" w:rsidRPr="00530A31" w:rsidRDefault="00E93FC1" w:rsidP="00F9515A">
      <w:pPr>
        <w:pStyle w:val="Prrafodelista"/>
        <w:numPr>
          <w:ilvl w:val="0"/>
          <w:numId w:val="1"/>
        </w:numPr>
        <w:spacing w:before="240" w:after="240" w:line="360" w:lineRule="auto"/>
        <w:ind w:left="0" w:right="48" w:firstLine="0"/>
        <w:jc w:val="both"/>
        <w:rPr>
          <w:rFonts w:ascii="Palatino Linotype" w:eastAsia="MS Gothic" w:hAnsi="Palatino Linotype"/>
          <w:sz w:val="24"/>
        </w:rPr>
      </w:pPr>
      <w:r w:rsidRPr="00530A31">
        <w:rPr>
          <w:rFonts w:ascii="Palatino Linotype" w:hAnsi="Palatino Linotype"/>
          <w:sz w:val="24"/>
          <w:lang w:val="es-ES_tradnl" w:eastAsia="es-ES"/>
        </w:rPr>
        <w:t xml:space="preserve">En México, además de los derechos, están reconocidas las garantías para su protección, en ese sentido el párrafo tercero de artículo primero de la Constitución Política de los Estados Unidos </w:t>
      </w:r>
      <w:r w:rsidR="000C4EE6" w:rsidRPr="00530A31">
        <w:rPr>
          <w:rFonts w:ascii="Palatino Linotype" w:hAnsi="Palatino Linotype"/>
          <w:sz w:val="24"/>
          <w:lang w:val="es-ES_tradnl" w:eastAsia="es-ES"/>
        </w:rPr>
        <w:t>Mexicanos</w:t>
      </w:r>
      <w:r w:rsidRPr="00530A31">
        <w:rPr>
          <w:rFonts w:ascii="Palatino Linotype" w:hAnsi="Palatino Linotype"/>
          <w:sz w:val="24"/>
          <w:lang w:val="es-ES_tradnl" w:eastAsia="es-ES"/>
        </w:rPr>
        <w:t xml:space="preserve"> dispone lo siguiente:</w:t>
      </w:r>
    </w:p>
    <w:p w14:paraId="719B18EA" w14:textId="77777777" w:rsidR="00F9515A" w:rsidRPr="00530A31" w:rsidRDefault="00E93FC1" w:rsidP="00F9515A">
      <w:pPr>
        <w:pStyle w:val="Prrafodelista"/>
        <w:spacing w:before="240" w:after="240"/>
        <w:ind w:left="567" w:right="48"/>
        <w:jc w:val="both"/>
        <w:rPr>
          <w:rFonts w:ascii="Palatino Linotype" w:hAnsi="Palatino Linotype"/>
          <w:i/>
          <w:lang w:val="es-ES_tradnl" w:eastAsia="es-ES"/>
        </w:rPr>
      </w:pPr>
      <w:r w:rsidRPr="00530A31">
        <w:rPr>
          <w:rFonts w:ascii="Palatino Linotype" w:hAnsi="Palatino Linotype"/>
          <w:i/>
          <w:lang w:val="es-ES_tradnl" w:eastAsia="es-ES"/>
        </w:rPr>
        <w:t>“</w:t>
      </w:r>
      <w:r w:rsidRPr="00530A31">
        <w:rPr>
          <w:rFonts w:ascii="Palatino Linotype" w:hAnsi="Palatino Linotype"/>
          <w:b/>
          <w:i/>
          <w:lang w:val="es-ES_tradnl" w:eastAsia="es-ES"/>
        </w:rPr>
        <w:t>Artículo 1.-</w:t>
      </w:r>
      <w:r w:rsidRPr="00530A31">
        <w:rPr>
          <w:rFonts w:ascii="Palatino Linotype" w:hAnsi="Palatino Linotype"/>
          <w:i/>
          <w:lang w:val="es-ES_tradnl" w:eastAsia="es-ES"/>
        </w:rPr>
        <w:t xml:space="preserve"> </w:t>
      </w:r>
    </w:p>
    <w:p w14:paraId="2DB0923F" w14:textId="77777777" w:rsidR="00F9515A" w:rsidRPr="00530A31" w:rsidRDefault="00E93FC1" w:rsidP="00F9515A">
      <w:pPr>
        <w:pStyle w:val="Prrafodelista"/>
        <w:spacing w:before="240" w:after="240"/>
        <w:ind w:left="567" w:right="48"/>
        <w:jc w:val="both"/>
        <w:rPr>
          <w:rFonts w:ascii="Palatino Linotype" w:hAnsi="Palatino Linotype"/>
          <w:i/>
          <w:lang w:val="es-ES_tradnl" w:eastAsia="es-ES"/>
        </w:rPr>
      </w:pPr>
      <w:r w:rsidRPr="00530A31">
        <w:rPr>
          <w:rFonts w:ascii="Palatino Linotype" w:hAnsi="Palatino Linotype"/>
          <w:i/>
          <w:lang w:val="es-ES_tradnl" w:eastAsia="es-ES"/>
        </w:rPr>
        <w:t>(…)</w:t>
      </w:r>
    </w:p>
    <w:p w14:paraId="4055AD11" w14:textId="77777777" w:rsidR="00F9515A" w:rsidRPr="00530A31" w:rsidRDefault="00E93FC1" w:rsidP="00F9515A">
      <w:pPr>
        <w:pStyle w:val="Prrafodelista"/>
        <w:spacing w:before="240" w:after="240"/>
        <w:ind w:left="567" w:right="48"/>
        <w:jc w:val="both"/>
        <w:rPr>
          <w:rFonts w:ascii="Palatino Linotype" w:hAnsi="Palatino Linotype"/>
          <w:i/>
        </w:rPr>
      </w:pPr>
      <w:r w:rsidRPr="00530A31">
        <w:rPr>
          <w:rFonts w:ascii="Palatino Linotype" w:hAnsi="Palatino Linotype"/>
          <w:i/>
          <w:lang w:val="es-ES_tradnl" w:eastAsia="es-ES"/>
        </w:rPr>
        <w:t>Todas las</w:t>
      </w:r>
      <w:r w:rsidRPr="00530A31">
        <w:rPr>
          <w:rFonts w:ascii="Palatino Linotype" w:hAnsi="Palatino Linotype"/>
          <w:lang w:val="es-ES_tradnl" w:eastAsia="es-ES"/>
        </w:rPr>
        <w:t xml:space="preserve"> </w:t>
      </w:r>
      <w:r w:rsidRPr="00530A31">
        <w:rPr>
          <w:rFonts w:ascii="Palatino Linotype" w:hAnsi="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A6E4AF" w14:textId="249CEF1B" w:rsidR="00F9515A" w:rsidRPr="00530A31" w:rsidRDefault="00E93FC1" w:rsidP="00F9515A">
      <w:pPr>
        <w:pStyle w:val="Prrafodelista"/>
        <w:spacing w:before="240" w:after="240"/>
        <w:ind w:left="567" w:right="48"/>
        <w:jc w:val="both"/>
        <w:rPr>
          <w:rFonts w:ascii="Palatino Linotype" w:hAnsi="Palatino Linotype"/>
          <w:lang w:val="es-ES_tradnl" w:eastAsia="es-ES"/>
        </w:rPr>
      </w:pPr>
      <w:r w:rsidRPr="00530A31">
        <w:rPr>
          <w:rFonts w:ascii="Palatino Linotype" w:hAnsi="Palatino Linotype"/>
          <w:i/>
        </w:rPr>
        <w:t>(…)</w:t>
      </w:r>
      <w:r w:rsidR="00F9515A" w:rsidRPr="00530A31">
        <w:rPr>
          <w:rFonts w:ascii="Palatino Linotype" w:hAnsi="Palatino Linotype"/>
          <w:lang w:val="es-ES_tradnl" w:eastAsia="es-ES"/>
        </w:rPr>
        <w:t>”.</w:t>
      </w:r>
    </w:p>
    <w:p w14:paraId="338DB32E" w14:textId="77777777" w:rsidR="00F9515A" w:rsidRPr="00530A31" w:rsidRDefault="00F9515A" w:rsidP="00F9515A">
      <w:pPr>
        <w:pStyle w:val="Prrafodelista"/>
        <w:spacing w:before="240" w:after="240"/>
        <w:ind w:left="567" w:right="48"/>
        <w:jc w:val="both"/>
        <w:rPr>
          <w:rFonts w:ascii="Palatino Linotype" w:hAnsi="Palatino Linotype"/>
          <w:sz w:val="24"/>
          <w:lang w:val="es-ES_tradnl" w:eastAsia="es-ES"/>
        </w:rPr>
      </w:pPr>
    </w:p>
    <w:p w14:paraId="33957FEC" w14:textId="7A679AB9" w:rsidR="00E93FC1" w:rsidRPr="00530A3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530A31">
        <w:rPr>
          <w:rFonts w:ascii="Palatino Linotype" w:hAnsi="Palatino Linotype"/>
          <w:lang w:val="es-ES_tradnl" w:eastAsia="es-ES"/>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w:t>
      </w:r>
      <w:r w:rsidR="006B79D4" w:rsidRPr="00530A31">
        <w:rPr>
          <w:rFonts w:ascii="Palatino Linotype" w:hAnsi="Palatino Linotype"/>
          <w:lang w:val="es-ES_tradnl" w:eastAsia="es-ES"/>
        </w:rPr>
        <w:t>l</w:t>
      </w:r>
      <w:r w:rsidRPr="00530A31">
        <w:rPr>
          <w:rFonts w:ascii="Palatino Linotype" w:hAnsi="Palatino Linotype"/>
          <w:lang w:val="es-ES_tradnl" w:eastAsia="es-ES"/>
        </w:rPr>
        <w:t xml:space="preserve"> mismo artículo.</w:t>
      </w:r>
    </w:p>
    <w:p w14:paraId="73A79AC6" w14:textId="77777777" w:rsidR="00AC3086" w:rsidRPr="00530A31" w:rsidRDefault="00AC3086" w:rsidP="00AC3086">
      <w:pPr>
        <w:spacing w:before="240" w:after="240" w:line="360" w:lineRule="auto"/>
        <w:ind w:right="49"/>
        <w:contextualSpacing/>
        <w:jc w:val="both"/>
        <w:rPr>
          <w:rFonts w:ascii="Palatino Linotype" w:eastAsiaTheme="minorEastAsia" w:hAnsi="Palatino Linotype"/>
          <w:lang w:val="es-ES_tradnl" w:eastAsia="es-ES"/>
        </w:rPr>
      </w:pPr>
    </w:p>
    <w:p w14:paraId="095957CE" w14:textId="77777777" w:rsidR="00E93FC1" w:rsidRPr="00530A3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530A31">
        <w:rPr>
          <w:rFonts w:ascii="Palatino Linotype" w:eastAsiaTheme="minorEastAsia" w:hAnsi="Palatino Linotype"/>
          <w:lang w:val="es-ES_tradnl" w:eastAsia="es-ES"/>
        </w:rPr>
        <w:t xml:space="preserve">Así, conforme a la Constitución Política de las Estado Unidos Mexicanos </w:t>
      </w:r>
      <w:r w:rsidRPr="00530A31">
        <w:rPr>
          <w:rFonts w:ascii="Palatino Linotype" w:eastAsia="Calibri" w:hAnsi="Palatino Linotype"/>
          <w:lang w:val="es-ES_tradnl" w:eastAsia="es-ES"/>
        </w:rPr>
        <w:t>y la Constitución Política del Estado Libre y Soberano de México respectivamente</w:t>
      </w:r>
      <w:r w:rsidRPr="00530A31">
        <w:rPr>
          <w:rFonts w:ascii="Palatino Linotype" w:eastAsiaTheme="minorEastAsia" w:hAnsi="Palatino Linotype"/>
          <w:lang w:val="es-ES_tradnl" w:eastAsia="es-ES"/>
        </w:rPr>
        <w:t>, el cumplimiento de las garantías primarias, entendidas como obligaciones inmediatamente relacionadas con el Derecho de Acceso a la Información Pública, permiten que todas las autoridades, en el ámbito de sus atribuciones lo respeten, protejan y garanticen.</w:t>
      </w:r>
    </w:p>
    <w:p w14:paraId="275AE357" w14:textId="77777777" w:rsidR="00E93FC1" w:rsidRPr="00530A31"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530A31">
        <w:rPr>
          <w:rFonts w:ascii="Palatino Linotype" w:eastAsiaTheme="minorEastAsia" w:hAnsi="Palatino Linotype" w:cs="Arial"/>
          <w:b/>
          <w:bCs/>
          <w:i/>
          <w:sz w:val="22"/>
          <w:lang w:val="es-ES_tradnl" w:eastAsia="es-ES"/>
        </w:rPr>
        <w:lastRenderedPageBreak/>
        <w:t>Constitución Política de los Estados Unidos Mexicanos</w:t>
      </w:r>
    </w:p>
    <w:p w14:paraId="64D040F8" w14:textId="027F7F27" w:rsidR="00E93FC1" w:rsidRPr="00530A31"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530A31">
        <w:rPr>
          <w:rFonts w:ascii="Palatino Linotype" w:eastAsiaTheme="minorEastAsia" w:hAnsi="Palatino Linotype" w:cs="Arial"/>
          <w:b/>
          <w:bCs/>
          <w:i/>
          <w:sz w:val="22"/>
          <w:lang w:val="es-ES_tradnl" w:eastAsia="es-ES"/>
        </w:rPr>
        <w:t>“Artículo 6.</w:t>
      </w:r>
    </w:p>
    <w:p w14:paraId="2459450F" w14:textId="4C95FC0D" w:rsidR="00E93FC1" w:rsidRPr="00530A31"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Cs/>
          <w:i/>
          <w:sz w:val="22"/>
          <w:lang w:val="es-ES_tradnl" w:eastAsia="es-ES"/>
        </w:rPr>
        <w:t>(</w:t>
      </w:r>
      <w:r w:rsidR="00E93FC1" w:rsidRPr="00530A31">
        <w:rPr>
          <w:rFonts w:ascii="Palatino Linotype" w:eastAsiaTheme="minorEastAsia" w:hAnsi="Palatino Linotype" w:cs="Arial"/>
          <w:bCs/>
          <w:i/>
          <w:sz w:val="22"/>
          <w:lang w:val="es-ES_tradnl" w:eastAsia="es-ES"/>
        </w:rPr>
        <w:t>…</w:t>
      </w:r>
      <w:r w:rsidRPr="00530A31">
        <w:rPr>
          <w:rFonts w:ascii="Palatino Linotype" w:eastAsiaTheme="minorEastAsia" w:hAnsi="Palatino Linotype" w:cs="Arial"/>
          <w:bCs/>
          <w:i/>
          <w:sz w:val="22"/>
          <w:lang w:val="es-ES_tradnl" w:eastAsia="es-ES"/>
        </w:rPr>
        <w:t>)</w:t>
      </w:r>
    </w:p>
    <w:p w14:paraId="0FBB178F" w14:textId="77777777" w:rsidR="00E93FC1" w:rsidRPr="00530A3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Cs/>
          <w:i/>
          <w:sz w:val="22"/>
          <w:lang w:val="es-ES_tradnl" w:eastAsia="es-ES"/>
        </w:rPr>
        <w:t>Para efectos de lo dispuesto en el presente artículo se observará lo siguiente:</w:t>
      </w:r>
    </w:p>
    <w:p w14:paraId="2C73FA50" w14:textId="5AB66BD7" w:rsidR="00E93FC1" w:rsidRPr="00530A31"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530A31">
        <w:rPr>
          <w:rFonts w:ascii="Palatino Linotype" w:eastAsiaTheme="minorEastAsia" w:hAnsi="Palatino Linotype" w:cs="Arial"/>
          <w:b/>
          <w:bCs/>
          <w:i/>
          <w:sz w:val="22"/>
          <w:lang w:val="es-ES_tradnl" w:eastAsia="es-ES"/>
        </w:rPr>
        <w:t>A</w:t>
      </w:r>
      <w:r w:rsidRPr="00530A31">
        <w:rPr>
          <w:rFonts w:ascii="Palatino Linotype" w:eastAsiaTheme="minorEastAsia" w:hAnsi="Palatino Linotype" w:cs="Arial"/>
          <w:bCs/>
          <w:i/>
          <w:sz w:val="22"/>
          <w:lang w:val="es-ES_tradnl" w:eastAsia="es-ES"/>
        </w:rPr>
        <w:t xml:space="preserve">. </w:t>
      </w:r>
      <w:r w:rsidRPr="00530A31">
        <w:rPr>
          <w:rFonts w:ascii="Palatino Linotype" w:eastAsiaTheme="minorEastAsia" w:hAnsi="Palatino Linotype" w:cs="Arial"/>
          <w:b/>
          <w:bCs/>
          <w:i/>
          <w:sz w:val="22"/>
          <w:lang w:val="es-ES_tradnl" w:eastAsia="es-ES"/>
        </w:rPr>
        <w:t>Para el ejercicio del derecho de acceso a la información</w:t>
      </w:r>
      <w:r w:rsidRPr="00530A31">
        <w:rPr>
          <w:rFonts w:ascii="Palatino Linotype" w:eastAsiaTheme="minorEastAsia" w:hAnsi="Palatino Linotype" w:cs="Arial"/>
          <w:bCs/>
          <w:i/>
          <w:sz w:val="22"/>
          <w:lang w:val="es-ES_tradnl" w:eastAsia="es-ES"/>
        </w:rPr>
        <w:t xml:space="preserve">, la Federación y </w:t>
      </w:r>
      <w:r w:rsidRPr="00530A31">
        <w:rPr>
          <w:rFonts w:ascii="Palatino Linotype" w:eastAsiaTheme="minorEastAsia" w:hAnsi="Palatino Linotype" w:cs="Arial"/>
          <w:b/>
          <w:bCs/>
          <w:i/>
          <w:sz w:val="22"/>
          <w:lang w:val="es-ES_tradnl" w:eastAsia="es-ES"/>
        </w:rPr>
        <w:t>las entidades federativas, en el ámbito de sus respectivas competencias, se regirán por los siguientes principios y bases:</w:t>
      </w:r>
    </w:p>
    <w:p w14:paraId="351F1CFA" w14:textId="79BD615D" w:rsidR="00E93FC1" w:rsidRPr="00530A31" w:rsidRDefault="00E93FC1" w:rsidP="00F9515A">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
          <w:bCs/>
          <w:i/>
          <w:sz w:val="22"/>
          <w:lang w:val="es-ES_tradnl" w:eastAsia="es-ES"/>
        </w:rPr>
        <w:t xml:space="preserve">I. </w:t>
      </w:r>
      <w:r w:rsidRPr="00530A31">
        <w:rPr>
          <w:rFonts w:ascii="Palatino Linotype" w:eastAsiaTheme="minorEastAsia" w:hAnsi="Palatino Linotype" w:cs="Arial"/>
          <w:b/>
          <w:bCs/>
          <w:i/>
          <w:sz w:val="22"/>
          <w:lang w:val="es-ES_tradnl" w:eastAsia="es-ES"/>
        </w:rPr>
        <w:tab/>
        <w:t>Toda la información en posesión de cualquier</w:t>
      </w:r>
      <w:r w:rsidRPr="00530A31">
        <w:rPr>
          <w:rFonts w:ascii="Palatino Linotype" w:eastAsiaTheme="minorEastAsia" w:hAnsi="Palatino Linotype" w:cs="Arial"/>
          <w:bCs/>
          <w:i/>
          <w:sz w:val="22"/>
          <w:lang w:val="es-ES_tradnl" w:eastAsia="es-ES"/>
        </w:rPr>
        <w:t xml:space="preserve"> </w:t>
      </w:r>
      <w:r w:rsidRPr="00530A31">
        <w:rPr>
          <w:rFonts w:ascii="Palatino Linotype" w:eastAsiaTheme="minorEastAsia" w:hAnsi="Palatino Linotype" w:cs="Arial"/>
          <w:b/>
          <w:bCs/>
          <w:i/>
          <w:sz w:val="22"/>
          <w:lang w:val="es-ES_tradnl" w:eastAsia="es-ES"/>
        </w:rPr>
        <w:t>autoridad</w:t>
      </w:r>
      <w:r w:rsidRPr="00530A31">
        <w:rPr>
          <w:rFonts w:ascii="Palatino Linotype" w:eastAsiaTheme="minorEastAsia" w:hAnsi="Palatino Linotype" w:cs="Arial"/>
          <w:bCs/>
          <w:i/>
          <w:sz w:val="22"/>
          <w:lang w:val="es-ES_tradnl" w:eastAsia="es-ES"/>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530A31">
        <w:rPr>
          <w:rFonts w:ascii="Palatino Linotype" w:eastAsiaTheme="minorEastAsia" w:hAnsi="Palatino Linotype" w:cs="Arial"/>
          <w:b/>
          <w:bCs/>
          <w:i/>
          <w:sz w:val="22"/>
          <w:lang w:val="es-ES_tradnl" w:eastAsia="es-ES"/>
        </w:rPr>
        <w:t>municipal</w:t>
      </w:r>
      <w:r w:rsidRPr="00530A31">
        <w:rPr>
          <w:rFonts w:ascii="Palatino Linotype" w:eastAsiaTheme="minorEastAsia" w:hAnsi="Palatino Linotype" w:cs="Arial"/>
          <w:bCs/>
          <w:i/>
          <w:sz w:val="22"/>
          <w:lang w:val="es-ES_tradnl" w:eastAsia="es-ES"/>
        </w:rPr>
        <w:t xml:space="preserve">, </w:t>
      </w:r>
      <w:r w:rsidRPr="00530A31">
        <w:rPr>
          <w:rFonts w:ascii="Palatino Linotype" w:eastAsiaTheme="minorEastAsia" w:hAnsi="Palatino Linotype" w:cs="Arial"/>
          <w:b/>
          <w:bCs/>
          <w:i/>
          <w:sz w:val="22"/>
          <w:lang w:val="es-ES_tradnl" w:eastAsia="es-ES"/>
        </w:rPr>
        <w:t>es pública</w:t>
      </w:r>
      <w:r w:rsidRPr="00530A31">
        <w:rPr>
          <w:rFonts w:ascii="Palatino Linotype" w:eastAsiaTheme="minorEastAsia" w:hAnsi="Palatino Linotype" w:cs="Arial"/>
          <w:bCs/>
          <w:i/>
          <w:sz w:val="22"/>
          <w:lang w:val="es-ES_tradnl" w:eastAsia="es-ES"/>
        </w:rPr>
        <w:t xml:space="preserve"> y sólo podrá ser reservada temporalmente por razones de interés público y seguridad nacional, en los términos que fijen las leyes. </w:t>
      </w:r>
      <w:r w:rsidRPr="00530A31">
        <w:rPr>
          <w:rFonts w:ascii="Palatino Linotype" w:eastAsiaTheme="minorEastAsia" w:hAnsi="Palatino Linotype" w:cs="Arial"/>
          <w:b/>
          <w:bCs/>
          <w:i/>
          <w:sz w:val="22"/>
          <w:lang w:val="es-ES_tradnl" w:eastAsia="es-ES"/>
        </w:rPr>
        <w:t>En la interpretación de este derecho deberá prevalecer el principio de máxima publicidad. Los sujetos obligados deberán documentar todo acto que derive del ejercicio de sus facultades, competencias o funciones</w:t>
      </w:r>
      <w:r w:rsidRPr="00530A31">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714D2BC9" w14:textId="77777777" w:rsidR="00F9515A" w:rsidRPr="00530A31" w:rsidRDefault="00F9515A" w:rsidP="00F9515A">
      <w:pPr>
        <w:spacing w:before="240" w:after="240"/>
        <w:ind w:left="567" w:right="567"/>
        <w:jc w:val="both"/>
        <w:rPr>
          <w:rFonts w:ascii="Palatino Linotype" w:eastAsiaTheme="minorEastAsia" w:hAnsi="Palatino Linotype" w:cs="Arial"/>
          <w:bCs/>
          <w:i/>
          <w:sz w:val="22"/>
          <w:lang w:val="es-ES_tradnl" w:eastAsia="es-ES"/>
        </w:rPr>
      </w:pPr>
    </w:p>
    <w:p w14:paraId="05A782BB" w14:textId="77777777" w:rsidR="00E93FC1" w:rsidRPr="00530A31" w:rsidRDefault="00E93FC1" w:rsidP="008866EB">
      <w:pPr>
        <w:spacing w:before="240" w:after="240"/>
        <w:ind w:left="567" w:right="567"/>
        <w:jc w:val="both"/>
        <w:rPr>
          <w:rFonts w:ascii="Palatino Linotype" w:eastAsiaTheme="minorEastAsia" w:hAnsi="Palatino Linotype" w:cs="Arial"/>
          <w:b/>
          <w:bCs/>
          <w:i/>
          <w:sz w:val="22"/>
          <w:lang w:val="es-ES_tradnl" w:eastAsia="es-ES"/>
        </w:rPr>
      </w:pPr>
      <w:r w:rsidRPr="00530A31">
        <w:rPr>
          <w:rFonts w:ascii="Palatino Linotype" w:eastAsiaTheme="minorEastAsia" w:hAnsi="Palatino Linotype" w:cs="Arial"/>
          <w:b/>
          <w:bCs/>
          <w:i/>
          <w:sz w:val="22"/>
          <w:lang w:val="es-ES_tradnl" w:eastAsia="es-ES"/>
        </w:rPr>
        <w:t>Constitución Política del Estado Libre y Soberano de México</w:t>
      </w:r>
    </w:p>
    <w:p w14:paraId="064F0698" w14:textId="703DACEB" w:rsidR="00E93FC1" w:rsidRPr="00530A3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
          <w:bCs/>
          <w:i/>
          <w:sz w:val="22"/>
          <w:lang w:val="es-ES_tradnl" w:eastAsia="es-ES"/>
        </w:rPr>
        <w:t>“Artículo 5</w:t>
      </w:r>
      <w:r w:rsidRPr="00530A31">
        <w:rPr>
          <w:rFonts w:ascii="Palatino Linotype" w:eastAsiaTheme="minorEastAsia" w:hAnsi="Palatino Linotype" w:cs="Arial"/>
          <w:bCs/>
          <w:i/>
          <w:sz w:val="22"/>
          <w:lang w:val="es-ES_tradnl" w:eastAsia="es-ES"/>
        </w:rPr>
        <w:t xml:space="preserve">.- </w:t>
      </w:r>
    </w:p>
    <w:p w14:paraId="20BCB3B6" w14:textId="1DFA10F2" w:rsidR="00E93FC1" w:rsidRPr="00530A31" w:rsidRDefault="003630BC" w:rsidP="008866EB">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Cs/>
          <w:i/>
          <w:sz w:val="22"/>
          <w:lang w:val="es-ES_tradnl" w:eastAsia="es-ES"/>
        </w:rPr>
        <w:t>(</w:t>
      </w:r>
      <w:r w:rsidR="00E93FC1" w:rsidRPr="00530A31">
        <w:rPr>
          <w:rFonts w:ascii="Palatino Linotype" w:eastAsiaTheme="minorEastAsia" w:hAnsi="Palatino Linotype" w:cs="Arial"/>
          <w:bCs/>
          <w:i/>
          <w:sz w:val="22"/>
          <w:lang w:val="es-ES_tradnl" w:eastAsia="es-ES"/>
        </w:rPr>
        <w:t>…</w:t>
      </w:r>
      <w:r w:rsidRPr="00530A31">
        <w:rPr>
          <w:rFonts w:ascii="Palatino Linotype" w:eastAsiaTheme="minorEastAsia" w:hAnsi="Palatino Linotype" w:cs="Arial"/>
          <w:bCs/>
          <w:i/>
          <w:sz w:val="22"/>
          <w:lang w:val="es-ES_tradnl" w:eastAsia="es-ES"/>
        </w:rPr>
        <w:t>)</w:t>
      </w:r>
    </w:p>
    <w:p w14:paraId="02471354" w14:textId="77777777" w:rsidR="00E93FC1" w:rsidRPr="00530A3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
          <w:bCs/>
          <w:i/>
          <w:sz w:val="22"/>
          <w:lang w:val="es-ES_tradnl" w:eastAsia="es-ES"/>
        </w:rPr>
        <w:t>El derecho a la información será garantizado por el Estado. La ley establecerá las previsiones que permitan asegurar la protección, el respeto y la difusión de este derecho</w:t>
      </w:r>
      <w:r w:rsidRPr="00530A31">
        <w:rPr>
          <w:rFonts w:ascii="Palatino Linotype" w:eastAsiaTheme="minorEastAsia" w:hAnsi="Palatino Linotype" w:cs="Arial"/>
          <w:bCs/>
          <w:i/>
          <w:sz w:val="22"/>
          <w:lang w:val="es-ES_tradnl" w:eastAsia="es-ES"/>
        </w:rPr>
        <w:t>.</w:t>
      </w:r>
    </w:p>
    <w:p w14:paraId="7BBD388E" w14:textId="77777777" w:rsidR="00E93FC1" w:rsidRPr="00530A3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Cs/>
          <w:i/>
          <w:sz w:val="22"/>
          <w:lang w:val="es-ES_tradnl"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52FA4E3" w14:textId="77777777" w:rsidR="00E93FC1" w:rsidRPr="00530A31" w:rsidRDefault="00E93FC1" w:rsidP="008866EB">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
          <w:bCs/>
          <w:i/>
          <w:sz w:val="22"/>
          <w:lang w:val="es-ES_tradnl" w:eastAsia="es-ES"/>
        </w:rPr>
        <w:lastRenderedPageBreak/>
        <w:t>Este derecho se regirá por los principios y bases siguientes</w:t>
      </w:r>
      <w:r w:rsidRPr="00530A31">
        <w:rPr>
          <w:rFonts w:ascii="Palatino Linotype" w:eastAsiaTheme="minorEastAsia" w:hAnsi="Palatino Linotype" w:cs="Arial"/>
          <w:bCs/>
          <w:i/>
          <w:sz w:val="22"/>
          <w:lang w:val="es-ES_tradnl" w:eastAsia="es-ES"/>
        </w:rPr>
        <w:t>:</w:t>
      </w:r>
    </w:p>
    <w:p w14:paraId="60D54392" w14:textId="3895B9BA" w:rsidR="008866EB" w:rsidRPr="00530A31" w:rsidRDefault="00E93FC1" w:rsidP="00F9515A">
      <w:pPr>
        <w:spacing w:before="240" w:after="240"/>
        <w:ind w:left="567" w:right="567"/>
        <w:jc w:val="both"/>
        <w:rPr>
          <w:rFonts w:ascii="Palatino Linotype" w:eastAsiaTheme="minorEastAsia" w:hAnsi="Palatino Linotype" w:cs="Arial"/>
          <w:bCs/>
          <w:i/>
          <w:sz w:val="22"/>
          <w:lang w:val="es-ES_tradnl" w:eastAsia="es-ES"/>
        </w:rPr>
      </w:pPr>
      <w:r w:rsidRPr="00530A31">
        <w:rPr>
          <w:rFonts w:ascii="Palatino Linotype" w:eastAsiaTheme="minorEastAsia" w:hAnsi="Palatino Linotype" w:cs="Arial"/>
          <w:b/>
          <w:bCs/>
          <w:i/>
          <w:sz w:val="22"/>
          <w:lang w:val="es-ES_tradnl" w:eastAsia="es-ES"/>
        </w:rPr>
        <w:t>I. Toda la información en posesión de cualquier autoridad, entidad, órgano y organismos de los</w:t>
      </w:r>
      <w:r w:rsidRPr="00530A31">
        <w:rPr>
          <w:rFonts w:ascii="Palatino Linotype" w:eastAsiaTheme="minorEastAsia" w:hAnsi="Palatino Linotype" w:cs="Arial"/>
          <w:bCs/>
          <w:i/>
          <w:sz w:val="22"/>
          <w:lang w:val="es-ES_tradnl" w:eastAsia="es-ES"/>
        </w:rPr>
        <w:t xml:space="preserve"> Poderes Ejecutivo, Legislativo y Judicial, órganos autónomos, partidos políticos, fideicomisos y fondos públicos estatales y </w:t>
      </w:r>
      <w:r w:rsidRPr="00530A31">
        <w:rPr>
          <w:rFonts w:ascii="Palatino Linotype" w:eastAsiaTheme="minorEastAsia" w:hAnsi="Palatino Linotype" w:cs="Arial"/>
          <w:b/>
          <w:bCs/>
          <w:i/>
          <w:sz w:val="22"/>
          <w:lang w:val="es-ES_tradnl" w:eastAsia="es-ES"/>
        </w:rPr>
        <w:t>municipales</w:t>
      </w:r>
      <w:r w:rsidRPr="00530A31">
        <w:rPr>
          <w:rFonts w:ascii="Palatino Linotype" w:eastAsiaTheme="minorEastAsia" w:hAnsi="Palatino Linotype" w:cs="Arial"/>
          <w:bCs/>
          <w:i/>
          <w:sz w:val="22"/>
          <w:lang w:val="es-ES_tradnl" w:eastAsia="es-ES"/>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530A31">
        <w:rPr>
          <w:rFonts w:ascii="Palatino Linotype" w:eastAsiaTheme="minorEastAsia" w:hAnsi="Palatino Linotype" w:cs="Arial"/>
          <w:b/>
          <w:bCs/>
          <w:i/>
          <w:sz w:val="22"/>
          <w:lang w:val="es-ES_tradnl" w:eastAsia="es-ES"/>
        </w:rPr>
        <w:t>es pública</w:t>
      </w:r>
      <w:r w:rsidRPr="00530A31">
        <w:rPr>
          <w:rFonts w:ascii="Palatino Linotype" w:eastAsiaTheme="minorEastAsia" w:hAnsi="Palatino Linotype" w:cs="Arial"/>
          <w:bCs/>
          <w:i/>
          <w:sz w:val="22"/>
          <w:lang w:val="es-ES_tradnl" w:eastAsia="es-ES"/>
        </w:rPr>
        <w:t xml:space="preserve"> y sólo podrá ser reservada temporalmente por razones previstas en la Constitución Política de los Estados Unidos Mexicanos de interés público y seguridad, en los términos que fijen las leyes. </w:t>
      </w:r>
      <w:r w:rsidRPr="00530A31">
        <w:rPr>
          <w:rFonts w:ascii="Palatino Linotype" w:eastAsiaTheme="minorEastAsia" w:hAnsi="Palatino Linotype" w:cs="Arial"/>
          <w:b/>
          <w:bCs/>
          <w:i/>
          <w:sz w:val="22"/>
          <w:lang w:val="es-ES_tradnl" w:eastAsia="es-ES"/>
        </w:rPr>
        <w:t>En la interpretación de este derecho deberá prevalecer el principio de máxima publicidad</w:t>
      </w:r>
      <w:r w:rsidRPr="00530A31">
        <w:rPr>
          <w:rFonts w:ascii="Palatino Linotype" w:eastAsiaTheme="minorEastAsia" w:hAnsi="Palatino Linotype" w:cs="Arial"/>
          <w:bCs/>
          <w:i/>
          <w:sz w:val="22"/>
          <w:lang w:val="es-ES_tradnl" w:eastAsia="es-ES"/>
        </w:rPr>
        <w:t xml:space="preserve">. </w:t>
      </w:r>
      <w:r w:rsidRPr="00530A31">
        <w:rPr>
          <w:rFonts w:ascii="Palatino Linotype" w:eastAsiaTheme="minorEastAsia" w:hAnsi="Palatino Linotype" w:cs="Arial"/>
          <w:b/>
          <w:bCs/>
          <w:i/>
          <w:sz w:val="22"/>
          <w:lang w:val="es-ES_tradnl" w:eastAsia="es-ES"/>
        </w:rPr>
        <w:t>Los sujetos obligados deberán documentar todo acto que derive del ejercicio de sus facultades, competencias o funciones</w:t>
      </w:r>
      <w:r w:rsidRPr="00530A31">
        <w:rPr>
          <w:rFonts w:ascii="Palatino Linotype" w:eastAsiaTheme="minorEastAsia" w:hAnsi="Palatino Linotype" w:cs="Arial"/>
          <w:bCs/>
          <w:i/>
          <w:sz w:val="22"/>
          <w:lang w:val="es-ES_tradnl" w:eastAsia="es-ES"/>
        </w:rPr>
        <w:t>, la ley determinará los supuestos específicos bajo los cuales procederá la declaración de inexistencia de la información.”</w:t>
      </w:r>
    </w:p>
    <w:p w14:paraId="6302EA36" w14:textId="77777777" w:rsidR="00F9515A" w:rsidRPr="00530A31" w:rsidRDefault="00F9515A" w:rsidP="00F9515A">
      <w:pPr>
        <w:spacing w:before="240" w:after="240"/>
        <w:ind w:right="567"/>
        <w:jc w:val="both"/>
        <w:rPr>
          <w:rFonts w:ascii="Palatino Linotype" w:eastAsiaTheme="minorEastAsia" w:hAnsi="Palatino Linotype" w:cs="Arial"/>
          <w:bCs/>
          <w:i/>
          <w:lang w:val="es-ES_tradnl" w:eastAsia="es-ES"/>
        </w:rPr>
      </w:pPr>
    </w:p>
    <w:p w14:paraId="2AFD6BF4" w14:textId="03E86E1D" w:rsidR="00E93FC1" w:rsidRPr="00530A31" w:rsidRDefault="00E93FC1" w:rsidP="00730D0C">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530A31">
        <w:rPr>
          <w:rFonts w:ascii="Palatino Linotype" w:eastAsiaTheme="minorEastAsia" w:hAnsi="Palatino Linotype" w:cs="Arial"/>
          <w:lang w:val="es-ES_tradnl" w:eastAsia="es-ES"/>
        </w:rPr>
        <w:t xml:space="preserve">Según el artículo 150 de la Ley de Transparencia del Estado, la solicitud es la garantía primaria del Derecho de Acceso a la Información, además, establece que se regirá </w:t>
      </w:r>
      <w:r w:rsidRPr="00530A31">
        <w:rPr>
          <w:rFonts w:ascii="Palatino Linotype" w:eastAsiaTheme="minorEastAsia" w:hAnsi="Palatino Linotype" w:cs="Arial"/>
          <w:i/>
          <w:lang w:val="es-ES_tradnl" w:eastAsia="es-ES"/>
        </w:rPr>
        <w:t>por los principios de simplicidad, rapidez gratuidad del procedimiento, auxilio y orientación a los particulares</w:t>
      </w:r>
      <w:r w:rsidRPr="00530A31">
        <w:rPr>
          <w:rFonts w:ascii="Palatino Linotype" w:eastAsiaTheme="minorEastAsia" w:hAnsi="Palatino Linotype" w:cs="Arial"/>
          <w:lang w:val="es-ES_tradnl" w:eastAsia="es-ES"/>
        </w:rPr>
        <w:t>, contemplando el derecho de las personas con discapacidad y hablantes de lengua indígena.</w:t>
      </w:r>
    </w:p>
    <w:p w14:paraId="0DD3D56D" w14:textId="77777777" w:rsidR="00F9515A" w:rsidRPr="00530A31" w:rsidRDefault="00F9515A" w:rsidP="00F9515A">
      <w:pPr>
        <w:spacing w:before="240" w:after="240" w:line="360" w:lineRule="auto"/>
        <w:ind w:right="49"/>
        <w:contextualSpacing/>
        <w:jc w:val="both"/>
        <w:rPr>
          <w:rFonts w:ascii="Palatino Linotype" w:eastAsiaTheme="minorEastAsia" w:hAnsi="Palatino Linotype"/>
          <w:lang w:val="es-ES_tradnl" w:eastAsia="es-ES"/>
        </w:rPr>
      </w:pPr>
    </w:p>
    <w:p w14:paraId="5255809B" w14:textId="7FE7217B" w:rsidR="002F7D51" w:rsidRPr="00530A31" w:rsidRDefault="00E93FC1" w:rsidP="002F7D51">
      <w:pPr>
        <w:numPr>
          <w:ilvl w:val="0"/>
          <w:numId w:val="1"/>
        </w:numPr>
        <w:spacing w:before="240" w:after="240" w:line="360" w:lineRule="auto"/>
        <w:ind w:left="0" w:right="49" w:firstLine="0"/>
        <w:contextualSpacing/>
        <w:jc w:val="both"/>
        <w:rPr>
          <w:rFonts w:ascii="Palatino Linotype" w:eastAsiaTheme="minorEastAsia" w:hAnsi="Palatino Linotype"/>
          <w:lang w:val="es-ES_tradnl" w:eastAsia="es-ES"/>
        </w:rPr>
      </w:pPr>
      <w:r w:rsidRPr="00530A31">
        <w:rPr>
          <w:rFonts w:ascii="Palatino Linotype" w:eastAsiaTheme="minorEastAsia" w:hAnsi="Palatino Linotype" w:cs="Arial"/>
          <w:lang w:val="es-ES_tradnl" w:eastAsia="es-ES"/>
        </w:rPr>
        <w:t xml:space="preserve">El Derecho de Acceso a la Información se garantiza y respeta oportunamente, y según lo que dispone la Ley, las </w:t>
      </w:r>
      <w:r w:rsidRPr="00530A31">
        <w:rPr>
          <w:rFonts w:ascii="Palatino Linotype" w:eastAsiaTheme="minorEastAsia" w:hAnsi="Palatino Linotype" w:cs="Arial"/>
          <w:i/>
          <w:lang w:val="es-ES_tradnl" w:eastAsia="es-ES"/>
        </w:rPr>
        <w:t>solicitudes de acceso a la información</w:t>
      </w:r>
      <w:r w:rsidRPr="00530A31">
        <w:rPr>
          <w:rFonts w:ascii="Palatino Linotype" w:eastAsiaTheme="minorEastAsia" w:hAnsi="Palatino Linotype" w:cs="Arial"/>
          <w:lang w:val="es-ES_tradnl" w:eastAsia="es-ES"/>
        </w:rPr>
        <w:t>.</w:t>
      </w:r>
    </w:p>
    <w:p w14:paraId="6233FD2A" w14:textId="77777777" w:rsidR="00E93FC1" w:rsidRPr="00530A31" w:rsidRDefault="00E93FC1" w:rsidP="00730D0C">
      <w:pPr>
        <w:numPr>
          <w:ilvl w:val="0"/>
          <w:numId w:val="1"/>
        </w:numPr>
        <w:spacing w:line="360" w:lineRule="auto"/>
        <w:ind w:left="0" w:right="49" w:firstLine="0"/>
        <w:contextualSpacing/>
        <w:jc w:val="both"/>
        <w:rPr>
          <w:rFonts w:ascii="Palatino Linotype" w:eastAsiaTheme="minorEastAsia" w:hAnsi="Palatino Linotype"/>
          <w:lang w:val="es-ES_tradnl" w:eastAsia="es-ES"/>
        </w:rPr>
      </w:pPr>
      <w:r w:rsidRPr="00530A31">
        <w:rPr>
          <w:rFonts w:ascii="Palatino Linotype" w:eastAsiaTheme="minorEastAsia" w:hAnsi="Palatino Linotype" w:cs="Arial"/>
          <w:lang w:val="es-ES_tradnl" w:eastAsia="es-ES"/>
        </w:rPr>
        <w:t xml:space="preserve">Así entonces, se procede analizar, en primer lugar, si el </w:t>
      </w:r>
      <w:r w:rsidRPr="00530A31">
        <w:rPr>
          <w:rFonts w:ascii="Palatino Linotype" w:eastAsiaTheme="minorEastAsia" w:hAnsi="Palatino Linotype" w:cs="Arial"/>
          <w:b/>
          <w:bCs/>
          <w:lang w:val="es-ES_tradnl" w:eastAsia="es-ES"/>
        </w:rPr>
        <w:t>SUJETO OBLIGADO</w:t>
      </w:r>
      <w:r w:rsidRPr="00530A31">
        <w:rPr>
          <w:rFonts w:ascii="Palatino Linotype" w:eastAsiaTheme="minorEastAsia" w:hAnsi="Palatino Linotype" w:cs="Arial"/>
          <w:lang w:val="es-ES_tradnl" w:eastAsia="es-ES"/>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w:t>
      </w:r>
      <w:r w:rsidRPr="00530A31">
        <w:rPr>
          <w:rFonts w:ascii="Palatino Linotype" w:eastAsiaTheme="minorEastAsia" w:hAnsi="Palatino Linotype" w:cs="Arial"/>
          <w:lang w:val="es-ES_tradnl" w:eastAsia="es-ES"/>
        </w:rPr>
        <w:lastRenderedPageBreak/>
        <w:t>cumplió con su deber de respetar y garanti</w:t>
      </w:r>
      <w:r w:rsidR="00897584" w:rsidRPr="00530A31">
        <w:rPr>
          <w:rFonts w:ascii="Palatino Linotype" w:eastAsiaTheme="minorEastAsia" w:hAnsi="Palatino Linotype" w:cs="Arial"/>
          <w:lang w:val="es-ES_tradnl" w:eastAsia="es-ES"/>
        </w:rPr>
        <w:t xml:space="preserve">zar el derecho, entregando </w:t>
      </w:r>
      <w:r w:rsidRPr="00530A31">
        <w:rPr>
          <w:rFonts w:ascii="Palatino Linotype" w:eastAsiaTheme="minorEastAsia" w:hAnsi="Palatino Linotype" w:cs="Arial"/>
          <w:lang w:val="es-ES_tradnl" w:eastAsia="es-ES"/>
        </w:rPr>
        <w:t>la información solicitada.</w:t>
      </w:r>
      <w:bookmarkStart w:id="26" w:name="_Toc80812777"/>
    </w:p>
    <w:p w14:paraId="7F841C2E" w14:textId="77777777" w:rsidR="009C09D4" w:rsidRPr="00530A31" w:rsidRDefault="009C09D4" w:rsidP="009C09D4">
      <w:pPr>
        <w:spacing w:line="360" w:lineRule="auto"/>
        <w:ind w:right="49"/>
        <w:contextualSpacing/>
        <w:jc w:val="both"/>
        <w:rPr>
          <w:rFonts w:ascii="Palatino Linotype" w:eastAsiaTheme="minorEastAsia" w:hAnsi="Palatino Linotype"/>
          <w:lang w:val="es-ES_tradnl" w:eastAsia="es-ES"/>
        </w:rPr>
      </w:pPr>
    </w:p>
    <w:p w14:paraId="0A3A0E72" w14:textId="2C6F49BF" w:rsidR="00E93FC1" w:rsidRPr="00530A31" w:rsidRDefault="00E93FC1" w:rsidP="009C09D4">
      <w:pPr>
        <w:pStyle w:val="Ttulo1"/>
        <w:spacing w:before="0" w:after="240" w:line="360" w:lineRule="auto"/>
        <w:rPr>
          <w:rFonts w:ascii="Palatino Linotype" w:hAnsi="Palatino Linotype"/>
          <w:b/>
          <w:color w:val="auto"/>
          <w:sz w:val="24"/>
          <w:szCs w:val="24"/>
        </w:rPr>
      </w:pPr>
      <w:bookmarkStart w:id="27" w:name="_Toc83301641"/>
      <w:bookmarkStart w:id="28" w:name="_Toc94119617"/>
      <w:r w:rsidRPr="00530A31">
        <w:rPr>
          <w:rFonts w:ascii="Palatino Linotype" w:hAnsi="Palatino Linotype"/>
          <w:b/>
          <w:color w:val="auto"/>
          <w:sz w:val="24"/>
          <w:szCs w:val="24"/>
        </w:rPr>
        <w:t>II. De la información solicitada</w:t>
      </w:r>
      <w:bookmarkEnd w:id="26"/>
      <w:bookmarkEnd w:id="27"/>
      <w:r w:rsidRPr="00530A31">
        <w:rPr>
          <w:rFonts w:ascii="Palatino Linotype" w:hAnsi="Palatino Linotype"/>
          <w:b/>
          <w:color w:val="auto"/>
          <w:sz w:val="24"/>
          <w:szCs w:val="24"/>
        </w:rPr>
        <w:t xml:space="preserve"> y la respuesta del </w:t>
      </w:r>
      <w:r w:rsidR="00AE026F" w:rsidRPr="00530A31">
        <w:rPr>
          <w:rFonts w:ascii="Palatino Linotype" w:hAnsi="Palatino Linotype"/>
          <w:b/>
          <w:color w:val="auto"/>
          <w:sz w:val="24"/>
          <w:szCs w:val="24"/>
        </w:rPr>
        <w:t>SUJETO OBLIGADO</w:t>
      </w:r>
      <w:bookmarkEnd w:id="28"/>
    </w:p>
    <w:p w14:paraId="47D92A49" w14:textId="77777777" w:rsidR="005E26C5" w:rsidRPr="00530A31" w:rsidRDefault="00E93FC1" w:rsidP="005E26C5">
      <w:pPr>
        <w:pStyle w:val="Prrafodelista"/>
        <w:numPr>
          <w:ilvl w:val="0"/>
          <w:numId w:val="1"/>
        </w:numPr>
        <w:spacing w:before="240" w:after="240" w:line="360" w:lineRule="auto"/>
        <w:ind w:left="0" w:firstLine="0"/>
        <w:jc w:val="both"/>
        <w:rPr>
          <w:rFonts w:ascii="Palatino Linotype" w:eastAsia="Calibri" w:hAnsi="Palatino Linotype" w:cs="Arial"/>
          <w:sz w:val="24"/>
        </w:rPr>
      </w:pPr>
      <w:r w:rsidRPr="00530A31">
        <w:rPr>
          <w:rFonts w:ascii="Palatino Linotype" w:eastAsia="Calibri" w:hAnsi="Palatino Linotype" w:cs="Arial"/>
          <w:sz w:val="24"/>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0C872AE2" w14:textId="77777777" w:rsidR="005E26C5" w:rsidRPr="00530A31" w:rsidRDefault="005E26C5" w:rsidP="005E26C5">
      <w:pPr>
        <w:pStyle w:val="Prrafodelista"/>
        <w:spacing w:before="240" w:after="240" w:line="360" w:lineRule="auto"/>
        <w:ind w:left="0"/>
        <w:jc w:val="both"/>
        <w:rPr>
          <w:rFonts w:ascii="Palatino Linotype" w:eastAsia="Calibri" w:hAnsi="Palatino Linotype" w:cs="Arial"/>
          <w:sz w:val="24"/>
        </w:rPr>
      </w:pPr>
    </w:p>
    <w:p w14:paraId="06D4C528" w14:textId="0AB99B48" w:rsidR="00B44969" w:rsidRPr="00530A31" w:rsidRDefault="00F34AC5" w:rsidP="00993CA5">
      <w:pPr>
        <w:pStyle w:val="Prrafodelista"/>
        <w:numPr>
          <w:ilvl w:val="0"/>
          <w:numId w:val="1"/>
        </w:numPr>
        <w:spacing w:before="240" w:after="240" w:line="360" w:lineRule="auto"/>
        <w:ind w:left="0" w:right="48" w:firstLine="0"/>
        <w:jc w:val="both"/>
        <w:rPr>
          <w:rFonts w:ascii="Palatino Linotype" w:eastAsia="Calibri" w:hAnsi="Palatino Linotype" w:cs="Arial"/>
          <w:sz w:val="24"/>
          <w:lang w:val="es-ES_tradnl"/>
        </w:rPr>
      </w:pPr>
      <w:r w:rsidRPr="00530A31">
        <w:rPr>
          <w:rFonts w:ascii="Palatino Linotype" w:eastAsia="Calibri" w:hAnsi="Palatino Linotype" w:cs="Arial"/>
          <w:sz w:val="24"/>
        </w:rPr>
        <w:t xml:space="preserve">Así, </w:t>
      </w:r>
      <w:r w:rsidR="00EE743E" w:rsidRPr="00530A31">
        <w:rPr>
          <w:rFonts w:ascii="Palatino Linotype" w:eastAsia="Calibri" w:hAnsi="Palatino Linotype" w:cs="Arial"/>
          <w:sz w:val="24"/>
        </w:rPr>
        <w:t xml:space="preserve">debemos recapitular que el </w:t>
      </w:r>
      <w:r w:rsidR="00D11F51" w:rsidRPr="00530A31">
        <w:rPr>
          <w:rFonts w:ascii="Palatino Linotype" w:eastAsia="Calibri" w:hAnsi="Palatino Linotype" w:cs="Arial"/>
          <w:b/>
          <w:bCs/>
          <w:sz w:val="24"/>
        </w:rPr>
        <w:t>RECURRENTE</w:t>
      </w:r>
      <w:r w:rsidR="00EE743E" w:rsidRPr="00530A31">
        <w:rPr>
          <w:rFonts w:ascii="Palatino Linotype" w:eastAsia="Calibri" w:hAnsi="Palatino Linotype" w:cs="Arial"/>
          <w:sz w:val="24"/>
        </w:rPr>
        <w:t xml:space="preserve"> </w:t>
      </w:r>
      <w:r w:rsidR="00B44969" w:rsidRPr="00530A31">
        <w:rPr>
          <w:rFonts w:ascii="Palatino Linotype" w:eastAsia="Calibri" w:hAnsi="Palatino Linotype" w:cs="Arial"/>
          <w:sz w:val="24"/>
        </w:rPr>
        <w:t>solicitó</w:t>
      </w:r>
      <w:r w:rsidR="005E26C5" w:rsidRPr="00530A31">
        <w:rPr>
          <w:rFonts w:ascii="Palatino Linotype" w:hAnsi="Palatino Linotype"/>
          <w:sz w:val="24"/>
        </w:rPr>
        <w:t xml:space="preserve">: </w:t>
      </w:r>
    </w:p>
    <w:p w14:paraId="437F913B" w14:textId="77777777" w:rsidR="00993CA5" w:rsidRPr="00530A31" w:rsidRDefault="00993CA5" w:rsidP="00993CA5">
      <w:pPr>
        <w:pStyle w:val="Prrafodelista"/>
        <w:numPr>
          <w:ilvl w:val="0"/>
          <w:numId w:val="47"/>
        </w:numPr>
        <w:ind w:left="567" w:right="539" w:firstLine="0"/>
        <w:jc w:val="both"/>
        <w:rPr>
          <w:rFonts w:ascii="Palatino Linotype" w:hAnsi="Palatino Linotype"/>
          <w:b/>
        </w:rPr>
      </w:pPr>
      <w:r w:rsidRPr="00530A31">
        <w:rPr>
          <w:rFonts w:ascii="Palatino Linotype" w:hAnsi="Palatino Linotype"/>
          <w:b/>
        </w:rPr>
        <w:t>La relación de la cantidad total de medidores vendidos, de diversas medidas en mm de 13, 19, 25, 38, 50, 65, 80, 100, 125, 150, 200, 250, 300, 500 o ½”, 1”, 1 ½”, 2”, 2 ½”, 3”, 4”, 5”, 6”, 8”, 10”, 12”, 16”, 20” u otros diámetros de tomas, clasificado por usuarios domésticos y no domésticos, por mes de enero a diciembre de 2019, 2020, 2021 y enero y febrero de 2022, y por cada zona que maneja el OPDM;</w:t>
      </w:r>
    </w:p>
    <w:p w14:paraId="0FF3646C" w14:textId="77777777" w:rsidR="00993CA5" w:rsidRPr="00530A31" w:rsidRDefault="00993CA5" w:rsidP="00993CA5">
      <w:pPr>
        <w:pStyle w:val="Prrafodelista"/>
        <w:ind w:left="567" w:right="539"/>
        <w:jc w:val="both"/>
        <w:rPr>
          <w:rFonts w:ascii="Palatino Linotype" w:hAnsi="Palatino Linotype"/>
          <w:b/>
        </w:rPr>
      </w:pPr>
    </w:p>
    <w:p w14:paraId="07602A80" w14:textId="77777777" w:rsidR="00993CA5" w:rsidRPr="00530A31" w:rsidRDefault="00993CA5" w:rsidP="00993CA5">
      <w:pPr>
        <w:pStyle w:val="Prrafodelista"/>
        <w:numPr>
          <w:ilvl w:val="0"/>
          <w:numId w:val="47"/>
        </w:numPr>
        <w:ind w:left="567" w:right="539" w:firstLine="0"/>
        <w:jc w:val="both"/>
        <w:rPr>
          <w:rFonts w:ascii="Palatino Linotype" w:hAnsi="Palatino Linotype"/>
          <w:b/>
        </w:rPr>
      </w:pPr>
      <w:r w:rsidRPr="00530A31">
        <w:rPr>
          <w:rFonts w:ascii="Palatino Linotype" w:hAnsi="Palatino Linotype"/>
          <w:b/>
        </w:rPr>
        <w:t>Los ingresos derivados del pago de dichos medidores por mes y por año; y</w:t>
      </w:r>
    </w:p>
    <w:p w14:paraId="0F4B2ADF" w14:textId="77777777" w:rsidR="00993CA5" w:rsidRPr="00530A31" w:rsidRDefault="00993CA5" w:rsidP="00993CA5">
      <w:pPr>
        <w:pStyle w:val="Prrafodelista"/>
        <w:ind w:left="567" w:right="539"/>
        <w:jc w:val="both"/>
        <w:rPr>
          <w:rFonts w:ascii="Palatino Linotype" w:hAnsi="Palatino Linotype"/>
          <w:b/>
        </w:rPr>
      </w:pPr>
    </w:p>
    <w:p w14:paraId="51B87398" w14:textId="77777777" w:rsidR="00993CA5" w:rsidRPr="00530A31" w:rsidRDefault="00993CA5" w:rsidP="00993CA5">
      <w:pPr>
        <w:pStyle w:val="Prrafodelista"/>
        <w:numPr>
          <w:ilvl w:val="0"/>
          <w:numId w:val="47"/>
        </w:numPr>
        <w:ind w:left="567" w:right="539" w:firstLine="0"/>
        <w:jc w:val="both"/>
        <w:rPr>
          <w:rFonts w:ascii="Palatino Linotype" w:hAnsi="Palatino Linotype"/>
          <w:b/>
          <w:sz w:val="24"/>
        </w:rPr>
      </w:pPr>
      <w:r w:rsidRPr="00530A31">
        <w:rPr>
          <w:rFonts w:ascii="Palatino Linotype" w:hAnsi="Palatino Linotype"/>
          <w:b/>
        </w:rPr>
        <w:t xml:space="preserve">La relación de stock de los medidores que tiene disponible el </w:t>
      </w:r>
      <w:r w:rsidRPr="00530A31">
        <w:rPr>
          <w:rFonts w:ascii="Palatino Linotype" w:hAnsi="Palatino Linotype"/>
          <w:b/>
          <w:szCs w:val="22"/>
        </w:rPr>
        <w:t>OPDM en sus almacenes por tamaño y tipo de medidor, al mes de febrero 2022.</w:t>
      </w:r>
    </w:p>
    <w:p w14:paraId="15499902" w14:textId="77777777" w:rsidR="00993CA5" w:rsidRPr="00530A31" w:rsidRDefault="00993CA5" w:rsidP="00993CA5">
      <w:pPr>
        <w:pStyle w:val="Prrafodelista"/>
        <w:spacing w:before="240" w:after="240"/>
        <w:ind w:left="0" w:right="48"/>
        <w:jc w:val="both"/>
        <w:rPr>
          <w:rFonts w:ascii="Palatino Linotype" w:eastAsia="Calibri" w:hAnsi="Palatino Linotype" w:cs="Arial"/>
          <w:sz w:val="24"/>
          <w:lang w:val="es-ES_tradnl"/>
        </w:rPr>
      </w:pPr>
    </w:p>
    <w:p w14:paraId="59FD02A7" w14:textId="5766D17C" w:rsidR="00F83172" w:rsidRPr="00530A31" w:rsidRDefault="009C4F8B" w:rsidP="004069CB">
      <w:pPr>
        <w:pStyle w:val="Prrafodelista"/>
        <w:numPr>
          <w:ilvl w:val="0"/>
          <w:numId w:val="1"/>
        </w:numPr>
        <w:spacing w:before="240" w:after="240" w:line="360" w:lineRule="auto"/>
        <w:ind w:left="0" w:right="48" w:firstLine="0"/>
        <w:jc w:val="both"/>
        <w:rPr>
          <w:rFonts w:ascii="Palatino Linotype" w:eastAsia="MS Mincho" w:hAnsi="Palatino Linotype" w:cs="Arial"/>
          <w:iCs/>
          <w:sz w:val="24"/>
          <w:lang w:val="es-ES_tradnl" w:eastAsia="es-ES"/>
        </w:rPr>
      </w:pPr>
      <w:r w:rsidRPr="00530A31">
        <w:rPr>
          <w:rFonts w:ascii="Palatino Linotype" w:hAnsi="Palatino Linotype"/>
          <w:iCs/>
          <w:color w:val="000000"/>
          <w:sz w:val="24"/>
        </w:rPr>
        <w:t xml:space="preserve">En </w:t>
      </w:r>
      <w:r w:rsidR="00981445" w:rsidRPr="00530A31">
        <w:rPr>
          <w:rFonts w:ascii="Palatino Linotype" w:hAnsi="Palatino Linotype"/>
          <w:iCs/>
          <w:color w:val="000000"/>
          <w:sz w:val="24"/>
        </w:rPr>
        <w:t xml:space="preserve">respuesta, </w:t>
      </w:r>
      <w:r w:rsidR="00B44969" w:rsidRPr="00530A31">
        <w:rPr>
          <w:rFonts w:ascii="Palatino Linotype" w:hAnsi="Palatino Linotype"/>
          <w:iCs/>
          <w:color w:val="000000"/>
          <w:sz w:val="24"/>
        </w:rPr>
        <w:t xml:space="preserve">el </w:t>
      </w:r>
      <w:r w:rsidR="00B44969" w:rsidRPr="00530A31">
        <w:rPr>
          <w:rFonts w:ascii="Palatino Linotype" w:hAnsi="Palatino Linotype"/>
          <w:b/>
          <w:bCs/>
          <w:iCs/>
          <w:color w:val="000000"/>
          <w:sz w:val="24"/>
        </w:rPr>
        <w:t>SUJETO OBLIGADO</w:t>
      </w:r>
      <w:r w:rsidR="00B44969" w:rsidRPr="00530A31">
        <w:rPr>
          <w:rFonts w:ascii="Palatino Linotype" w:hAnsi="Palatino Linotype"/>
          <w:iCs/>
          <w:color w:val="000000"/>
          <w:sz w:val="24"/>
        </w:rPr>
        <w:t xml:space="preserve"> </w:t>
      </w:r>
      <w:r w:rsidR="00993CA5" w:rsidRPr="00530A31">
        <w:rPr>
          <w:rFonts w:ascii="Palatino Linotype" w:hAnsi="Palatino Linotype"/>
          <w:iCs/>
          <w:color w:val="000000"/>
          <w:sz w:val="24"/>
        </w:rPr>
        <w:t>por medio d</w:t>
      </w:r>
      <w:r w:rsidR="00993CA5" w:rsidRPr="00530A31">
        <w:rPr>
          <w:rFonts w:ascii="Palatino Linotype" w:hAnsi="Palatino Linotype"/>
          <w:sz w:val="24"/>
        </w:rPr>
        <w:t xml:space="preserve">el </w:t>
      </w:r>
      <w:r w:rsidR="00993CA5" w:rsidRPr="00530A31">
        <w:rPr>
          <w:rFonts w:ascii="Palatino Linotype" w:hAnsi="Palatino Linotype"/>
          <w:b/>
          <w:sz w:val="24"/>
        </w:rPr>
        <w:t>Subdirector de Finanzas</w:t>
      </w:r>
      <w:r w:rsidR="00993CA5" w:rsidRPr="00530A31">
        <w:rPr>
          <w:rFonts w:ascii="Palatino Linotype" w:hAnsi="Palatino Linotype"/>
          <w:sz w:val="24"/>
        </w:rPr>
        <w:t>, hizo entrega de los PbRM-10c – “Estado Comparativo Presupuestal de Egresos” (documento que sustenta la compra de medidores) de 2019, 2020, 2021, aclarando que, a partir de 2020 la partida presupuestal 2990 cambió de denominación: antes -</w:t>
      </w:r>
      <w:r w:rsidR="00993CA5" w:rsidRPr="00530A31">
        <w:rPr>
          <w:rFonts w:ascii="Palatino Linotype" w:hAnsi="Palatino Linotype"/>
          <w:sz w:val="24"/>
        </w:rPr>
        <w:lastRenderedPageBreak/>
        <w:t xml:space="preserve">medidores de agua- después -otros enseres-, y, de la información correspondiente a enero y febrero de 2022, remitió el documento en el que consta la recaudación por compra de medidores, el cual, se obtuvo del sistema comercial </w:t>
      </w:r>
      <w:proofErr w:type="spellStart"/>
      <w:r w:rsidR="00993CA5" w:rsidRPr="00530A31">
        <w:rPr>
          <w:rFonts w:ascii="Palatino Linotype" w:hAnsi="Palatino Linotype"/>
          <w:sz w:val="24"/>
        </w:rPr>
        <w:t>Atl</w:t>
      </w:r>
      <w:proofErr w:type="spellEnd"/>
      <w:r w:rsidR="00993CA5" w:rsidRPr="00530A31">
        <w:rPr>
          <w:rFonts w:ascii="Palatino Linotype" w:hAnsi="Palatino Linotype"/>
          <w:sz w:val="24"/>
        </w:rPr>
        <w:t xml:space="preserve">, en virtud de que el presupuesto de ingresos y egresos que regiría para el ejercicio fiscal 2022 se encontraba en proceso de carga contable-presupuestal. Por su parte, el </w:t>
      </w:r>
      <w:proofErr w:type="gramStart"/>
      <w:r w:rsidR="00993CA5" w:rsidRPr="00530A31">
        <w:rPr>
          <w:rFonts w:ascii="Palatino Linotype" w:hAnsi="Palatino Linotype"/>
          <w:b/>
          <w:sz w:val="24"/>
        </w:rPr>
        <w:t>Subdirector</w:t>
      </w:r>
      <w:proofErr w:type="gramEnd"/>
      <w:r w:rsidR="00993CA5" w:rsidRPr="00530A31">
        <w:rPr>
          <w:rFonts w:ascii="Palatino Linotype" w:hAnsi="Palatino Linotype"/>
          <w:b/>
          <w:sz w:val="24"/>
        </w:rPr>
        <w:t xml:space="preserve"> Comercial del OPDM,</w:t>
      </w:r>
      <w:r w:rsidR="00993CA5" w:rsidRPr="00530A31">
        <w:rPr>
          <w:rFonts w:ascii="Palatino Linotype" w:hAnsi="Palatino Linotype"/>
          <w:sz w:val="24"/>
        </w:rPr>
        <w:t xml:space="preserve"> hizo entrega del listado que contiene la cantidad de medidores vendidos durante 2019, 2020, 2021 y 2022 (por mes y diámetro). Finalmente, </w:t>
      </w:r>
      <w:r w:rsidR="00993CA5" w:rsidRPr="00530A31">
        <w:rPr>
          <w:rFonts w:ascii="Palatino Linotype" w:hAnsi="Palatino Linotype"/>
          <w:b/>
          <w:sz w:val="24"/>
        </w:rPr>
        <w:t xml:space="preserve">el </w:t>
      </w:r>
      <w:proofErr w:type="gramStart"/>
      <w:r w:rsidR="00993CA5" w:rsidRPr="00530A31">
        <w:rPr>
          <w:rFonts w:ascii="Palatino Linotype" w:hAnsi="Palatino Linotype"/>
          <w:b/>
          <w:sz w:val="24"/>
        </w:rPr>
        <w:t>Jefe</w:t>
      </w:r>
      <w:proofErr w:type="gramEnd"/>
      <w:r w:rsidR="00993CA5" w:rsidRPr="00530A31">
        <w:rPr>
          <w:rFonts w:ascii="Palatino Linotype" w:hAnsi="Palatino Linotype"/>
          <w:b/>
          <w:sz w:val="24"/>
        </w:rPr>
        <w:t xml:space="preserve"> del Departamento de Adquisiciones y el Subdirector de Administración</w:t>
      </w:r>
      <w:r w:rsidR="00993CA5" w:rsidRPr="00530A31">
        <w:rPr>
          <w:rFonts w:ascii="Palatino Linotype" w:hAnsi="Palatino Linotype"/>
          <w:sz w:val="24"/>
        </w:rPr>
        <w:t xml:space="preserve"> remitió la relación del stock de medidores disponibles en los almacenes del OPDM (San Juan y Guerrero), al mes de febrero de 2022.</w:t>
      </w:r>
    </w:p>
    <w:p w14:paraId="42AC75DD" w14:textId="77777777" w:rsidR="005E26C5" w:rsidRPr="00530A31" w:rsidRDefault="005E26C5" w:rsidP="00B44969">
      <w:pPr>
        <w:pStyle w:val="Prrafodelista"/>
        <w:spacing w:before="240" w:after="240" w:line="360" w:lineRule="auto"/>
        <w:ind w:left="0" w:right="48"/>
        <w:rPr>
          <w:rFonts w:ascii="Palatino Linotype" w:eastAsia="MS Mincho" w:hAnsi="Palatino Linotype" w:cs="Arial"/>
          <w:iCs/>
          <w:sz w:val="24"/>
          <w:lang w:val="es-ES_tradnl" w:eastAsia="es-ES"/>
        </w:rPr>
      </w:pPr>
    </w:p>
    <w:p w14:paraId="354A936E" w14:textId="332F79A5" w:rsidR="00F9515A" w:rsidRPr="00530A31" w:rsidRDefault="00A53673" w:rsidP="00F9515A">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hAnsi="Palatino Linotype"/>
          <w:sz w:val="24"/>
        </w:rPr>
        <w:t>Así</w:t>
      </w:r>
      <w:r w:rsidR="009C4F8B" w:rsidRPr="00530A31">
        <w:rPr>
          <w:rFonts w:ascii="Palatino Linotype" w:hAnsi="Palatino Linotype"/>
          <w:sz w:val="24"/>
        </w:rPr>
        <w:t>, el</w:t>
      </w:r>
      <w:r w:rsidR="009C4F8B" w:rsidRPr="00530A31">
        <w:rPr>
          <w:rFonts w:ascii="Palatino Linotype" w:hAnsi="Palatino Linotype"/>
          <w:b/>
          <w:bCs/>
          <w:sz w:val="24"/>
        </w:rPr>
        <w:t xml:space="preserve"> </w:t>
      </w:r>
      <w:r w:rsidR="00D11F51" w:rsidRPr="00530A31">
        <w:rPr>
          <w:rFonts w:ascii="Palatino Linotype" w:hAnsi="Palatino Linotype"/>
          <w:b/>
          <w:bCs/>
          <w:sz w:val="24"/>
        </w:rPr>
        <w:t>RECURRENTE</w:t>
      </w:r>
      <w:r w:rsidR="009C4F8B" w:rsidRPr="00530A31">
        <w:rPr>
          <w:rFonts w:ascii="Palatino Linotype" w:hAnsi="Palatino Linotype"/>
          <w:sz w:val="24"/>
        </w:rPr>
        <w:t xml:space="preserve"> interpuso recurso de revisión </w:t>
      </w:r>
      <w:bookmarkStart w:id="29" w:name="_Toc70625058"/>
      <w:bookmarkStart w:id="30" w:name="_Toc94119618"/>
      <w:r w:rsidR="00981445" w:rsidRPr="00530A31">
        <w:rPr>
          <w:rFonts w:ascii="Palatino Linotype" w:hAnsi="Palatino Linotype"/>
          <w:sz w:val="24"/>
        </w:rPr>
        <w:t xml:space="preserve">mediante el cual manifestó como motivos de inconformidad </w:t>
      </w:r>
      <w:r w:rsidR="00993CA5" w:rsidRPr="00530A31">
        <w:rPr>
          <w:rFonts w:ascii="Palatino Linotype" w:hAnsi="Palatino Linotype"/>
          <w:b/>
          <w:sz w:val="24"/>
        </w:rPr>
        <w:t>la entrega de información incompleta y la negativa de la información, ya que, a su consideración, no le entregaron la información conforme a la clasificación solicitada, ni lo correspondiente al total de medidores vendidos respecto a las medidas referidas en la solicitud, asimismo, señaló que no solicitó ningún estado comparativo presupuestal de egresos.</w:t>
      </w:r>
    </w:p>
    <w:p w14:paraId="57379F55" w14:textId="77777777" w:rsidR="00F9515A" w:rsidRPr="00530A31" w:rsidRDefault="00F9515A" w:rsidP="00F9515A">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4E6C5E66" w14:textId="0C9B3600" w:rsidR="00C67969" w:rsidRPr="00530A31" w:rsidRDefault="00A53673" w:rsidP="00C67969">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30A31">
        <w:rPr>
          <w:rFonts w:ascii="Palatino Linotype" w:eastAsia="MS Mincho" w:hAnsi="Palatino Linotype" w:cs="Arial"/>
          <w:bCs/>
          <w:sz w:val="24"/>
          <w:lang w:val="es-ES_tradnl" w:eastAsia="es-ES"/>
        </w:rPr>
        <w:t>En consecuencia, el</w:t>
      </w:r>
      <w:r w:rsidRPr="00530A31">
        <w:rPr>
          <w:rFonts w:ascii="Palatino Linotype" w:eastAsia="MS Mincho" w:hAnsi="Palatino Linotype" w:cs="Arial"/>
          <w:b/>
          <w:bCs/>
          <w:sz w:val="24"/>
          <w:lang w:val="es-ES_tradnl" w:eastAsia="es-ES"/>
        </w:rPr>
        <w:t xml:space="preserve"> SUJETO OBLIGADO </w:t>
      </w:r>
      <w:r w:rsidRPr="00530A31">
        <w:rPr>
          <w:rFonts w:ascii="Palatino Linotype" w:eastAsia="MS Mincho" w:hAnsi="Palatino Linotype" w:cs="Arial"/>
          <w:bCs/>
          <w:sz w:val="24"/>
          <w:lang w:val="es-ES_tradnl" w:eastAsia="es-ES"/>
        </w:rPr>
        <w:t xml:space="preserve">mediante informe justificado, </w:t>
      </w:r>
      <w:r w:rsidRPr="00530A31">
        <w:rPr>
          <w:rFonts w:ascii="Palatino Linotype" w:hAnsi="Palatino Linotype"/>
          <w:sz w:val="24"/>
        </w:rPr>
        <w:t xml:space="preserve">el </w:t>
      </w:r>
      <w:proofErr w:type="gramStart"/>
      <w:r w:rsidRPr="00530A31">
        <w:rPr>
          <w:rFonts w:ascii="Palatino Linotype" w:hAnsi="Palatino Linotype"/>
          <w:sz w:val="24"/>
        </w:rPr>
        <w:t>Subdirector</w:t>
      </w:r>
      <w:proofErr w:type="gramEnd"/>
      <w:r w:rsidRPr="00530A31">
        <w:rPr>
          <w:rFonts w:ascii="Palatino Linotype" w:hAnsi="Palatino Linotype"/>
          <w:sz w:val="24"/>
        </w:rPr>
        <w:t xml:space="preserve"> de Finanzas, refirió que la información que se entregó consistente en el estado comparativo presupuestal de egresos es para sustentar la compra de medidores, que, a su vez, se venden a cada usuario del servicio de agua potable, alcantarillado y saneamiento del Municipio de Tlalnepantla, en correlación al stock </w:t>
      </w:r>
      <w:r w:rsidRPr="00530A31">
        <w:rPr>
          <w:rFonts w:ascii="Palatino Linotype" w:hAnsi="Palatino Linotype"/>
          <w:sz w:val="24"/>
        </w:rPr>
        <w:lastRenderedPageBreak/>
        <w:t xml:space="preserve">en almacén de dichos aparatos. Por su parte, el </w:t>
      </w:r>
      <w:proofErr w:type="gramStart"/>
      <w:r w:rsidRPr="00530A31">
        <w:rPr>
          <w:rFonts w:ascii="Palatino Linotype" w:hAnsi="Palatino Linotype"/>
          <w:sz w:val="24"/>
        </w:rPr>
        <w:t>Subdirector</w:t>
      </w:r>
      <w:proofErr w:type="gramEnd"/>
      <w:r w:rsidRPr="00530A31">
        <w:rPr>
          <w:rFonts w:ascii="Palatino Linotype" w:hAnsi="Palatino Linotype"/>
          <w:sz w:val="24"/>
        </w:rPr>
        <w:t xml:space="preserve"> Comercial reiteró su respuesta inicial, y remitió de nueva cuenta el listado que contiene la cantidad de medidores vendidos durante 2019, 2020, 2021 y 2022 (por mes), de los siguientes diámetros: 13, 19 y 100 mm, ½”, ¾”, 4”, 39, 51, 64 y 75 mm, 1 ½”, 2”, 3” y 3 ¼”.</w:t>
      </w:r>
    </w:p>
    <w:p w14:paraId="2E6E4573" w14:textId="77777777" w:rsidR="00C67969" w:rsidRPr="00530A31" w:rsidRDefault="00C67969" w:rsidP="00C67969">
      <w:pPr>
        <w:pStyle w:val="Prrafodelista"/>
        <w:rPr>
          <w:rFonts w:ascii="Palatino Linotype" w:eastAsia="MS Mincho" w:hAnsi="Palatino Linotype" w:cs="Arial"/>
          <w:bCs/>
          <w:sz w:val="24"/>
          <w:lang w:val="es-ES_tradnl" w:eastAsia="es-ES"/>
        </w:rPr>
      </w:pPr>
    </w:p>
    <w:p w14:paraId="397348EF" w14:textId="31198094" w:rsidR="00C67969" w:rsidRPr="00530A31"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eastAsia="MS Mincho" w:hAnsi="Palatino Linotype" w:cs="Arial"/>
          <w:bCs/>
          <w:sz w:val="24"/>
          <w:lang w:val="es-ES_tradnl" w:eastAsia="es-ES"/>
        </w:rPr>
        <w:t xml:space="preserve">Expuesto </w:t>
      </w:r>
      <w:r w:rsidRPr="00530A31">
        <w:rPr>
          <w:rFonts w:ascii="Palatino Linotype" w:hAnsi="Palatino Linotype"/>
          <w:color w:val="000000" w:themeColor="text1"/>
          <w:sz w:val="24"/>
        </w:rPr>
        <w:t>lo anterior,</w:t>
      </w:r>
      <w:r w:rsidR="00C67969" w:rsidRPr="00530A31">
        <w:rPr>
          <w:rFonts w:ascii="Palatino Linotype" w:hAnsi="Palatino Linotype"/>
          <w:color w:val="000000" w:themeColor="text1"/>
          <w:sz w:val="24"/>
        </w:rPr>
        <w:t xml:space="preserve"> es preciso mencionar que el </w:t>
      </w:r>
      <w:r w:rsidR="00C67969" w:rsidRPr="00530A31">
        <w:rPr>
          <w:rFonts w:ascii="Palatino Linotype" w:hAnsi="Palatino Linotype"/>
          <w:b/>
          <w:color w:val="000000" w:themeColor="text1"/>
          <w:sz w:val="24"/>
        </w:rPr>
        <w:t>SUJETO OBLIGADO</w:t>
      </w:r>
      <w:r w:rsidR="00C67969" w:rsidRPr="00530A31">
        <w:rPr>
          <w:rFonts w:ascii="Palatino Linotype" w:hAnsi="Palatino Linotype"/>
          <w:color w:val="000000" w:themeColor="text1"/>
          <w:sz w:val="24"/>
        </w:rPr>
        <w:t xml:space="preserve"> en ningún momento negó la existencia de la información solicitada, por el contrario, de conformidad con los pronunciamientos re</w:t>
      </w:r>
      <w:r w:rsidR="00DF63EA" w:rsidRPr="00530A31">
        <w:rPr>
          <w:rFonts w:ascii="Palatino Linotype" w:hAnsi="Palatino Linotype"/>
          <w:color w:val="000000" w:themeColor="text1"/>
          <w:sz w:val="24"/>
        </w:rPr>
        <w:t>a</w:t>
      </w:r>
      <w:r w:rsidR="00C67969" w:rsidRPr="00530A31">
        <w:rPr>
          <w:rFonts w:ascii="Palatino Linotype" w:hAnsi="Palatino Linotype"/>
          <w:color w:val="000000" w:themeColor="text1"/>
          <w:sz w:val="24"/>
        </w:rPr>
        <w:t>l</w:t>
      </w:r>
      <w:r w:rsidR="00DF63EA" w:rsidRPr="00530A31">
        <w:rPr>
          <w:rFonts w:ascii="Palatino Linotype" w:hAnsi="Palatino Linotype"/>
          <w:color w:val="000000" w:themeColor="text1"/>
          <w:sz w:val="24"/>
        </w:rPr>
        <w:t>i</w:t>
      </w:r>
      <w:r w:rsidR="00C67969" w:rsidRPr="00530A31">
        <w:rPr>
          <w:rFonts w:ascii="Palatino Linotype" w:hAnsi="Palatino Linotype"/>
          <w:color w:val="000000" w:themeColor="text1"/>
          <w:sz w:val="24"/>
        </w:rPr>
        <w:t xml:space="preserve">zados tanto en respuesta como en informe justificado, </w:t>
      </w:r>
      <w:r w:rsidR="00DF63EA" w:rsidRPr="00530A31">
        <w:rPr>
          <w:rFonts w:ascii="Palatino Linotype" w:hAnsi="Palatino Linotype"/>
          <w:color w:val="000000" w:themeColor="text1"/>
          <w:sz w:val="24"/>
        </w:rPr>
        <w:t xml:space="preserve">queda constancia de que hizo entrega de la documentación requerida tal cual obran en sus </w:t>
      </w:r>
      <w:proofErr w:type="gramStart"/>
      <w:r w:rsidR="00DF63EA" w:rsidRPr="00530A31">
        <w:rPr>
          <w:rFonts w:ascii="Palatino Linotype" w:hAnsi="Palatino Linotype"/>
          <w:color w:val="000000" w:themeColor="text1"/>
          <w:sz w:val="24"/>
        </w:rPr>
        <w:t>archivos .</w:t>
      </w:r>
      <w:proofErr w:type="gramEnd"/>
    </w:p>
    <w:p w14:paraId="25317021" w14:textId="77777777" w:rsidR="00C67969" w:rsidRPr="00530A31" w:rsidRDefault="00C67969" w:rsidP="00C67969">
      <w:pPr>
        <w:pStyle w:val="Prrafodelista"/>
        <w:rPr>
          <w:rFonts w:ascii="Palatino Linotype" w:hAnsi="Palatino Linotype"/>
          <w:color w:val="000000" w:themeColor="text1"/>
          <w:sz w:val="24"/>
        </w:rPr>
      </w:pPr>
    </w:p>
    <w:p w14:paraId="3934D2BE" w14:textId="0B9BC78E" w:rsidR="00A53673" w:rsidRPr="00530A31"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hAnsi="Palatino Linotype"/>
          <w:color w:val="000000" w:themeColor="text1"/>
          <w:sz w:val="24"/>
        </w:rPr>
        <w:t xml:space="preserve"> </w:t>
      </w:r>
      <w:r w:rsidR="00DF63EA" w:rsidRPr="00530A31">
        <w:rPr>
          <w:rFonts w:ascii="Palatino Linotype" w:hAnsi="Palatino Linotype"/>
          <w:color w:val="000000" w:themeColor="text1"/>
          <w:sz w:val="24"/>
        </w:rPr>
        <w:t xml:space="preserve">Ahora bien, </w:t>
      </w:r>
      <w:r w:rsidRPr="00530A31">
        <w:rPr>
          <w:rFonts w:ascii="Palatino Linotype" w:hAnsi="Palatino Linotype"/>
          <w:color w:val="000000" w:themeColor="text1"/>
          <w:sz w:val="24"/>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3A859080" w14:textId="77777777" w:rsidR="00A53673" w:rsidRPr="00530A31" w:rsidRDefault="00A53673" w:rsidP="00A53673">
      <w:pPr>
        <w:rPr>
          <w:rFonts w:ascii="Palatino Linotype" w:hAnsi="Palatino Linotype"/>
          <w:color w:val="000000" w:themeColor="text1"/>
        </w:rPr>
      </w:pPr>
    </w:p>
    <w:p w14:paraId="3105514C" w14:textId="77777777" w:rsidR="00A53673" w:rsidRPr="00530A31"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hAnsi="Palatino Linotype"/>
          <w:color w:val="000000" w:themeColor="text1"/>
          <w:sz w:val="24"/>
        </w:rPr>
        <w:t xml:space="preserve">En este sentido, para </w:t>
      </w:r>
      <w:r w:rsidRPr="00530A31">
        <w:rPr>
          <w:rFonts w:ascii="Palatino Linotype" w:hAnsi="Palatino Linotype" w:cs="Arial"/>
          <w:sz w:val="24"/>
        </w:rPr>
        <w:t xml:space="preserve">atender las solicitudes de información, los Sujetos Obligados contarán con un área denominada </w:t>
      </w:r>
      <w:r w:rsidRPr="00530A31">
        <w:rPr>
          <w:rFonts w:ascii="Palatino Linotype" w:hAnsi="Palatino Linotype" w:cs="Arial"/>
          <w:b/>
          <w:bCs/>
          <w:sz w:val="24"/>
        </w:rPr>
        <w:t>Unidad de Transparencia</w:t>
      </w:r>
      <w:r w:rsidRPr="00530A31">
        <w:rPr>
          <w:rFonts w:ascii="Palatino Linotype" w:hAnsi="Palatino Linotype" w:cs="Arial"/>
          <w:sz w:val="24"/>
          <w:vertAlign w:val="superscript"/>
        </w:rPr>
        <w:footnoteReference w:id="8"/>
      </w:r>
      <w:r w:rsidRPr="00530A31">
        <w:rPr>
          <w:rFonts w:ascii="Palatino Linotype" w:hAnsi="Palatino Linotype" w:cs="Arial"/>
          <w:sz w:val="24"/>
        </w:rPr>
        <w:t xml:space="preserve">, la cual será presidida por un Titular, quien fungirá como enlace entre éstos y los solicitantes. </w:t>
      </w:r>
      <w:r w:rsidRPr="00530A31">
        <w:rPr>
          <w:rFonts w:ascii="Palatino Linotype" w:hAnsi="Palatino Linotype" w:cs="Arial"/>
          <w:sz w:val="24"/>
        </w:rPr>
        <w:lastRenderedPageBreak/>
        <w:t xml:space="preserve">Dicha Unidad </w:t>
      </w:r>
      <w:r w:rsidRPr="00530A31">
        <w:rPr>
          <w:rFonts w:ascii="Palatino Linotype" w:hAnsi="Palatino Linotype" w:cs="Arial"/>
          <w:b/>
          <w:bCs/>
          <w:sz w:val="24"/>
        </w:rPr>
        <w:t>será la encargada de tramitar internamente la solicitud de información</w:t>
      </w:r>
      <w:r w:rsidRPr="00530A31">
        <w:rPr>
          <w:rFonts w:ascii="Palatino Linotype" w:hAnsi="Palatino Linotype" w:cs="Arial"/>
          <w:sz w:val="24"/>
        </w:rPr>
        <w:t xml:space="preserve"> y tendrá la responsabilidad de verificar en cada caso que la misma no sea confidencial o reservada. Asimismo, contará con las facultades internas necesarias para </w:t>
      </w:r>
      <w:r w:rsidRPr="00530A31">
        <w:rPr>
          <w:rFonts w:ascii="Palatino Linotype" w:hAnsi="Palatino Linotype" w:cs="Arial"/>
          <w:b/>
          <w:bCs/>
          <w:sz w:val="24"/>
        </w:rPr>
        <w:t xml:space="preserve">gestionar la atención a las solicitudes de información </w:t>
      </w:r>
      <w:r w:rsidRPr="00530A31">
        <w:rPr>
          <w:rFonts w:ascii="Palatino Linotype" w:hAnsi="Palatino Linotype" w:cs="Arial"/>
          <w:sz w:val="24"/>
        </w:rPr>
        <w:t>en los términos de la Ley General y la Ley de Transparencia y Acceso a la Información Pública del Estado de México y Municipios</w:t>
      </w:r>
      <w:r w:rsidRPr="00530A31">
        <w:rPr>
          <w:rFonts w:ascii="Palatino Linotype" w:hAnsi="Palatino Linotype" w:cs="Arial"/>
          <w:sz w:val="24"/>
          <w:vertAlign w:val="superscript"/>
        </w:rPr>
        <w:footnoteReference w:id="9"/>
      </w:r>
      <w:r w:rsidRPr="00530A31">
        <w:rPr>
          <w:rFonts w:ascii="Palatino Linotype" w:hAnsi="Palatino Linotype" w:cs="Arial"/>
          <w:sz w:val="24"/>
        </w:rPr>
        <w:t>.</w:t>
      </w:r>
    </w:p>
    <w:p w14:paraId="340C9F6F" w14:textId="77777777" w:rsidR="00A53673" w:rsidRPr="00530A31" w:rsidRDefault="00A53673" w:rsidP="00A53673">
      <w:pPr>
        <w:pStyle w:val="Prrafodelista"/>
        <w:rPr>
          <w:rFonts w:ascii="Palatino Linotype" w:hAnsi="Palatino Linotype"/>
          <w:color w:val="000000" w:themeColor="text1"/>
          <w:sz w:val="24"/>
        </w:rPr>
      </w:pPr>
    </w:p>
    <w:p w14:paraId="634D4275" w14:textId="77777777" w:rsidR="00A53673" w:rsidRPr="00530A31"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hAnsi="Palatino Linotype"/>
          <w:color w:val="000000" w:themeColor="text1"/>
          <w:sz w:val="24"/>
        </w:rPr>
        <w:t xml:space="preserve">De </w:t>
      </w:r>
      <w:r w:rsidRPr="00530A31">
        <w:rPr>
          <w:rFonts w:ascii="Palatino Linotype" w:hAnsi="Palatino Linotype" w:cs="Arial"/>
          <w:color w:val="000000" w:themeColor="text1"/>
          <w:sz w:val="24"/>
        </w:rPr>
        <w:t>conformidad con lo dispuesto en la Ley de Transparencia y Acceso a la Información Pública del Estado de México y Municipios, las Unidades de Transparencia tendrán, entre sus atribuciones, las siguientes:</w:t>
      </w:r>
    </w:p>
    <w:p w14:paraId="3B8D5A0A" w14:textId="77777777" w:rsidR="00A53673" w:rsidRPr="00530A31" w:rsidRDefault="00A53673" w:rsidP="00A53673">
      <w:pPr>
        <w:pStyle w:val="Prrafodelista"/>
        <w:numPr>
          <w:ilvl w:val="1"/>
          <w:numId w:val="48"/>
        </w:numPr>
        <w:spacing w:before="240" w:after="240"/>
        <w:ind w:left="709" w:right="616" w:hanging="142"/>
        <w:jc w:val="both"/>
        <w:rPr>
          <w:rFonts w:ascii="Palatino Linotype" w:hAnsi="Palatino Linotype" w:cs="Arial"/>
          <w:b/>
          <w:i/>
          <w:color w:val="000000" w:themeColor="text1"/>
        </w:rPr>
      </w:pPr>
      <w:r w:rsidRPr="00530A31">
        <w:rPr>
          <w:rFonts w:ascii="Palatino Linotype" w:hAnsi="Palatino Linotype" w:cs="Arial"/>
          <w:b/>
          <w:i/>
          <w:color w:val="000000" w:themeColor="text1"/>
        </w:rPr>
        <w:t>Recibir, tramitar y dar respuesta a las solicitudes de acceso a la información;</w:t>
      </w:r>
    </w:p>
    <w:p w14:paraId="38C41058" w14:textId="77777777" w:rsidR="00A53673" w:rsidRPr="00530A31" w:rsidRDefault="00A53673" w:rsidP="00A53673">
      <w:pPr>
        <w:pStyle w:val="Prrafodelista"/>
        <w:numPr>
          <w:ilvl w:val="1"/>
          <w:numId w:val="48"/>
        </w:numPr>
        <w:spacing w:before="240" w:after="240"/>
        <w:ind w:left="709" w:right="616" w:hanging="142"/>
        <w:jc w:val="both"/>
        <w:rPr>
          <w:rFonts w:ascii="Palatino Linotype" w:hAnsi="Palatino Linotype" w:cs="Arial"/>
          <w:b/>
          <w:i/>
          <w:color w:val="000000" w:themeColor="text1"/>
        </w:rPr>
      </w:pPr>
      <w:r w:rsidRPr="00530A31">
        <w:rPr>
          <w:rFonts w:ascii="Palatino Linotype" w:hAnsi="Palatino Linotype" w:cs="Arial"/>
          <w:b/>
          <w:i/>
          <w:color w:val="000000" w:themeColor="text1"/>
        </w:rPr>
        <w:t xml:space="preserve">Realizar, con efectividad, los trámites internos necesarios para la atención de las solicitudes de acceso a la información; </w:t>
      </w:r>
    </w:p>
    <w:p w14:paraId="54B3CA39" w14:textId="77777777" w:rsidR="00A53673" w:rsidRPr="00530A31" w:rsidRDefault="00A53673" w:rsidP="00A53673">
      <w:pPr>
        <w:pStyle w:val="Prrafodelista"/>
        <w:numPr>
          <w:ilvl w:val="1"/>
          <w:numId w:val="48"/>
        </w:numPr>
        <w:spacing w:before="240" w:after="240"/>
        <w:ind w:left="709" w:right="616" w:hanging="142"/>
        <w:jc w:val="both"/>
        <w:rPr>
          <w:rFonts w:ascii="Palatino Linotype" w:hAnsi="Palatino Linotype" w:cs="Arial"/>
          <w:b/>
          <w:i/>
          <w:color w:val="000000" w:themeColor="text1"/>
        </w:rPr>
      </w:pPr>
      <w:r w:rsidRPr="00530A31">
        <w:rPr>
          <w:rFonts w:ascii="Palatino Linotype" w:hAnsi="Palatino Linotype" w:cs="Arial"/>
          <w:b/>
          <w:i/>
          <w:color w:val="000000" w:themeColor="text1"/>
        </w:rPr>
        <w:t xml:space="preserve">Entregar, en su caso, a los particulares la información solicitada; y </w:t>
      </w:r>
    </w:p>
    <w:p w14:paraId="1061C6C6" w14:textId="77777777" w:rsidR="00A53673" w:rsidRPr="00530A31" w:rsidRDefault="00A53673" w:rsidP="00A53673">
      <w:pPr>
        <w:pStyle w:val="Prrafodelista"/>
        <w:numPr>
          <w:ilvl w:val="1"/>
          <w:numId w:val="48"/>
        </w:numPr>
        <w:spacing w:before="240" w:after="240"/>
        <w:ind w:left="709" w:right="616" w:hanging="142"/>
        <w:jc w:val="both"/>
        <w:rPr>
          <w:rFonts w:ascii="Palatino Linotype" w:hAnsi="Palatino Linotype"/>
          <w:b/>
          <w:i/>
          <w:color w:val="000000" w:themeColor="text1"/>
        </w:rPr>
      </w:pPr>
      <w:r w:rsidRPr="00530A31">
        <w:rPr>
          <w:rFonts w:ascii="Palatino Linotype" w:hAnsi="Palatino Linotype" w:cs="Arial"/>
          <w:b/>
          <w:i/>
          <w:color w:val="000000" w:themeColor="text1"/>
        </w:rPr>
        <w:t>Efectuar las notificaciones a los solicitantes.</w:t>
      </w:r>
    </w:p>
    <w:p w14:paraId="12135A25" w14:textId="77777777" w:rsidR="00A53673" w:rsidRPr="00530A31" w:rsidRDefault="00A53673" w:rsidP="00A5367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B760A79" w14:textId="59E65C1D" w:rsidR="00A53673" w:rsidRPr="00530A31"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hAnsi="Palatino Linotype"/>
          <w:color w:val="000000" w:themeColor="text1"/>
          <w:sz w:val="24"/>
        </w:rPr>
        <w:t xml:space="preserve">Así, otros </w:t>
      </w:r>
      <w:r w:rsidRPr="00530A31">
        <w:rPr>
          <w:rFonts w:ascii="Palatino Linotype" w:hAnsi="Palatino Linotype" w:cs="Arial"/>
          <w:color w:val="000000" w:themeColor="text1"/>
          <w:sz w:val="24"/>
        </w:rPr>
        <w:t xml:space="preserve">sujetos del proceso de atención a las solicitudes de información son los servidores públicos habilitados, quienes serán designados por el titular del </w:t>
      </w:r>
      <w:r w:rsidRPr="00530A31">
        <w:rPr>
          <w:rFonts w:ascii="Palatino Linotype" w:hAnsi="Palatino Linotype" w:cs="Arial"/>
          <w:b/>
          <w:color w:val="000000" w:themeColor="text1"/>
          <w:sz w:val="24"/>
        </w:rPr>
        <w:t xml:space="preserve">SUJETO OBLIGADO </w:t>
      </w:r>
      <w:r w:rsidRPr="00530A31">
        <w:rPr>
          <w:rFonts w:ascii="Palatino Linotype" w:hAnsi="Palatino Linotype" w:cs="Arial"/>
          <w:color w:val="000000" w:themeColor="text1"/>
          <w:sz w:val="24"/>
        </w:rPr>
        <w:t>a propuesta del responsable de la Unidad de Transparencia</w:t>
      </w:r>
      <w:r w:rsidRPr="00530A31">
        <w:rPr>
          <w:rStyle w:val="Refdenotaalpie"/>
          <w:rFonts w:ascii="Palatino Linotype" w:hAnsi="Palatino Linotype" w:cs="Arial"/>
          <w:color w:val="000000" w:themeColor="text1"/>
          <w:sz w:val="24"/>
        </w:rPr>
        <w:footnoteReference w:id="10"/>
      </w:r>
      <w:r w:rsidRPr="00530A31">
        <w:rPr>
          <w:rFonts w:ascii="Palatino Linotype" w:hAnsi="Palatino Linotype" w:cs="Arial"/>
          <w:color w:val="000000" w:themeColor="text1"/>
          <w:sz w:val="24"/>
        </w:rPr>
        <w:t xml:space="preserve"> y tendrán, entre sus atribuciones, las siguientes</w:t>
      </w:r>
      <w:r w:rsidRPr="00530A31">
        <w:rPr>
          <w:rStyle w:val="Refdenotaalpie"/>
          <w:rFonts w:ascii="Palatino Linotype" w:hAnsi="Palatino Linotype" w:cs="Arial"/>
          <w:color w:val="000000" w:themeColor="text1"/>
          <w:sz w:val="24"/>
        </w:rPr>
        <w:footnoteReference w:id="11"/>
      </w:r>
      <w:r w:rsidRPr="00530A31">
        <w:rPr>
          <w:rFonts w:ascii="Palatino Linotype" w:hAnsi="Palatino Linotype" w:cs="Arial"/>
          <w:color w:val="000000" w:themeColor="text1"/>
          <w:sz w:val="24"/>
        </w:rPr>
        <w:t>:</w:t>
      </w:r>
    </w:p>
    <w:p w14:paraId="226C411B" w14:textId="77777777" w:rsidR="00A53673" w:rsidRPr="00530A31" w:rsidRDefault="00A53673" w:rsidP="00C67969">
      <w:pPr>
        <w:pStyle w:val="Prrafodelista"/>
        <w:numPr>
          <w:ilvl w:val="1"/>
          <w:numId w:val="49"/>
        </w:numPr>
        <w:spacing w:before="240" w:after="240"/>
        <w:ind w:left="709" w:right="51" w:hanging="142"/>
        <w:jc w:val="both"/>
        <w:rPr>
          <w:rFonts w:ascii="Palatino Linotype" w:hAnsi="Palatino Linotype" w:cs="Arial"/>
          <w:b/>
          <w:i/>
          <w:color w:val="000000" w:themeColor="text1"/>
        </w:rPr>
      </w:pPr>
      <w:r w:rsidRPr="00530A31">
        <w:rPr>
          <w:rFonts w:ascii="Palatino Linotype" w:hAnsi="Palatino Linotype" w:cs="Arial"/>
          <w:b/>
          <w:i/>
          <w:color w:val="000000" w:themeColor="text1"/>
        </w:rPr>
        <w:t>Localizar la información que le solicite la Unidad de Transparencia; y</w:t>
      </w:r>
    </w:p>
    <w:p w14:paraId="2E0A5D56" w14:textId="77777777" w:rsidR="00A53673" w:rsidRPr="00530A31" w:rsidRDefault="00A53673" w:rsidP="00C67969">
      <w:pPr>
        <w:pStyle w:val="Prrafodelista"/>
        <w:numPr>
          <w:ilvl w:val="1"/>
          <w:numId w:val="49"/>
        </w:numPr>
        <w:spacing w:before="240" w:after="240"/>
        <w:ind w:left="709" w:right="51" w:hanging="142"/>
        <w:jc w:val="both"/>
        <w:rPr>
          <w:rFonts w:ascii="Palatino Linotype" w:hAnsi="Palatino Linotype"/>
          <w:b/>
          <w:i/>
          <w:color w:val="000000" w:themeColor="text1"/>
        </w:rPr>
      </w:pPr>
      <w:r w:rsidRPr="00530A31">
        <w:rPr>
          <w:rFonts w:ascii="Palatino Linotype" w:hAnsi="Palatino Linotype" w:cs="Arial"/>
          <w:b/>
          <w:i/>
          <w:color w:val="000000" w:themeColor="text1"/>
        </w:rPr>
        <w:t>Proporcionar la información que obre en los archivos y que le sea solicitada por la Unidad de Transparencia.</w:t>
      </w:r>
    </w:p>
    <w:p w14:paraId="5EAB6C61" w14:textId="77777777" w:rsidR="00A53673" w:rsidRPr="00530A31" w:rsidRDefault="00A53673" w:rsidP="00A5367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00B2285" w14:textId="756898FA" w:rsidR="00993CA5" w:rsidRPr="00530A31" w:rsidRDefault="00A53673" w:rsidP="00A536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hAnsi="Palatino Linotype"/>
          <w:color w:val="000000" w:themeColor="text1"/>
          <w:sz w:val="24"/>
        </w:rPr>
        <w:lastRenderedPageBreak/>
        <w:t xml:space="preserve">De </w:t>
      </w:r>
      <w:r w:rsidRPr="00530A31">
        <w:rPr>
          <w:rFonts w:ascii="Palatino Linotype" w:hAnsi="Palatino Linotype" w:cs="Arial"/>
          <w:color w:val="000000" w:themeColor="text1"/>
          <w:sz w:val="24"/>
        </w:rPr>
        <w:t xml:space="preserve">tal manera que cada una de las áreas administrativas del </w:t>
      </w:r>
      <w:r w:rsidRPr="00530A31">
        <w:rPr>
          <w:rFonts w:ascii="Palatino Linotype" w:hAnsi="Palatino Linotype" w:cs="Arial"/>
          <w:b/>
          <w:bCs/>
          <w:color w:val="000000" w:themeColor="text1"/>
          <w:sz w:val="24"/>
        </w:rPr>
        <w:t>SUJETO OBLIGADO</w:t>
      </w:r>
      <w:r w:rsidRPr="00530A31">
        <w:rPr>
          <w:rFonts w:ascii="Palatino Linotype" w:hAnsi="Palatino Linotype" w:cs="Arial"/>
          <w:color w:val="000000" w:themeColor="text1"/>
          <w:sz w:val="24"/>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477823EE" w14:textId="77777777" w:rsidR="00A53673" w:rsidRPr="00530A31" w:rsidRDefault="00A53673" w:rsidP="00A5367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0F4F46EB" w14:textId="2391A083" w:rsidR="00AB0906" w:rsidRPr="00530A31" w:rsidRDefault="00A53673" w:rsidP="00AB0906">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eastAsia="MS Mincho" w:hAnsi="Palatino Linotype" w:cs="Arial"/>
          <w:bCs/>
          <w:sz w:val="24"/>
          <w:lang w:val="es-ES_tradnl" w:eastAsia="es-ES"/>
        </w:rPr>
        <w:t xml:space="preserve">Dicho lo anterior, </w:t>
      </w:r>
      <w:r w:rsidRPr="00530A31">
        <w:rPr>
          <w:rFonts w:ascii="Palatino Linotype" w:hAnsi="Palatino Linotype"/>
          <w:color w:val="000000" w:themeColor="text1"/>
          <w:sz w:val="24"/>
        </w:rPr>
        <w:t xml:space="preserve">resulta conveniente reiterar que, derivado del contenido de la solicitud de información, esta fue turnada y atendida por </w:t>
      </w:r>
      <w:r w:rsidR="00AB0906" w:rsidRPr="00530A31">
        <w:rPr>
          <w:rFonts w:ascii="Palatino Linotype" w:hAnsi="Palatino Linotype"/>
          <w:sz w:val="24"/>
        </w:rPr>
        <w:t>el Subdirector de Finanzas, el Subdirector Comercial, y el Jefe del Departamento de Adquisiciones y Subdirector de Administración respectivamente</w:t>
      </w:r>
      <w:r w:rsidRPr="00530A31">
        <w:rPr>
          <w:rFonts w:ascii="Palatino Linotype" w:hAnsi="Palatino Linotype"/>
          <w:sz w:val="24"/>
        </w:rPr>
        <w:t>, Servidor</w:t>
      </w:r>
      <w:r w:rsidR="00AB0906" w:rsidRPr="00530A31">
        <w:rPr>
          <w:rFonts w:ascii="Palatino Linotype" w:hAnsi="Palatino Linotype"/>
          <w:sz w:val="24"/>
        </w:rPr>
        <w:t>es</w:t>
      </w:r>
      <w:r w:rsidRPr="00530A31">
        <w:rPr>
          <w:rFonts w:ascii="Palatino Linotype" w:hAnsi="Palatino Linotype"/>
          <w:sz w:val="24"/>
        </w:rPr>
        <w:t xml:space="preserve"> Público</w:t>
      </w:r>
      <w:r w:rsidR="00AB0906" w:rsidRPr="00530A31">
        <w:rPr>
          <w:rFonts w:ascii="Palatino Linotype" w:hAnsi="Palatino Linotype"/>
          <w:sz w:val="24"/>
        </w:rPr>
        <w:t>s</w:t>
      </w:r>
      <w:r w:rsidRPr="00530A31">
        <w:rPr>
          <w:rFonts w:ascii="Palatino Linotype" w:hAnsi="Palatino Linotype"/>
          <w:sz w:val="24"/>
        </w:rPr>
        <w:t xml:space="preserve"> Habilitado</w:t>
      </w:r>
      <w:r w:rsidR="00AB0906" w:rsidRPr="00530A31">
        <w:rPr>
          <w:rFonts w:ascii="Palatino Linotype" w:hAnsi="Palatino Linotype"/>
          <w:sz w:val="24"/>
        </w:rPr>
        <w:t>s</w:t>
      </w:r>
      <w:r w:rsidRPr="00530A31">
        <w:rPr>
          <w:rFonts w:ascii="Palatino Linotype" w:hAnsi="Palatino Linotype"/>
          <w:sz w:val="24"/>
        </w:rPr>
        <w:t xml:space="preserve"> Competente</w:t>
      </w:r>
      <w:r w:rsidR="00AB0906" w:rsidRPr="00530A31">
        <w:rPr>
          <w:rFonts w:ascii="Palatino Linotype" w:hAnsi="Palatino Linotype"/>
          <w:sz w:val="24"/>
        </w:rPr>
        <w:t>s</w:t>
      </w:r>
      <w:r w:rsidRPr="00530A31">
        <w:rPr>
          <w:rFonts w:ascii="Palatino Linotype" w:hAnsi="Palatino Linotype"/>
          <w:sz w:val="24"/>
        </w:rPr>
        <w:t>;</w:t>
      </w:r>
      <w:r w:rsidR="00AB0906" w:rsidRPr="00530A31">
        <w:rPr>
          <w:rFonts w:ascii="Palatino Linotype" w:hAnsi="Palatino Linotype"/>
          <w:sz w:val="24"/>
        </w:rPr>
        <w:t xml:space="preserve"> de conformidad con las funciones y atribuciones que les arguyen, las cuales, se encuentran establecidas en </w:t>
      </w:r>
      <w:r w:rsidR="00AB0906" w:rsidRPr="00530A31">
        <w:rPr>
          <w:rFonts w:ascii="Palatino Linotype" w:eastAsia="MS Mincho" w:hAnsi="Palatino Linotype" w:cs="Arial"/>
          <w:bCs/>
          <w:sz w:val="24"/>
          <w:lang w:val="es-ES_tradnl" w:eastAsia="es-ES"/>
        </w:rPr>
        <w:t>el</w:t>
      </w:r>
      <w:r w:rsidR="00AB0906" w:rsidRPr="00530A31">
        <w:rPr>
          <w:rFonts w:ascii="Palatino Linotype" w:eastAsia="MS Mincho" w:hAnsi="Palatino Linotype" w:cs="Arial"/>
          <w:b/>
          <w:bCs/>
          <w:sz w:val="24"/>
          <w:lang w:val="es-ES_tradnl" w:eastAsia="es-ES"/>
        </w:rPr>
        <w:t xml:space="preserve"> Reglamento Interior del Organismo Público Descentralizado para la prestación de los Servicios de Agua Potable, Alcantarillado y Saneamiento del Municipio de Tlalnepantla.</w:t>
      </w:r>
    </w:p>
    <w:p w14:paraId="1666965F" w14:textId="77777777" w:rsidR="00AB0906" w:rsidRPr="00530A31" w:rsidRDefault="00AB0906" w:rsidP="00AB0906">
      <w:pPr>
        <w:pStyle w:val="Prrafodelista"/>
        <w:rPr>
          <w:rFonts w:ascii="Palatino Linotype" w:eastAsia="MS Mincho" w:hAnsi="Palatino Linotype" w:cs="Arial"/>
          <w:b/>
          <w:bCs/>
          <w:sz w:val="24"/>
          <w:lang w:val="es-ES_tradnl" w:eastAsia="es-ES"/>
        </w:rPr>
      </w:pPr>
    </w:p>
    <w:p w14:paraId="24C78C85" w14:textId="4D1CC3C9" w:rsidR="00AB0906" w:rsidRPr="00530A31" w:rsidRDefault="00AB0906" w:rsidP="00AB0906">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eastAsia="MS Mincho" w:hAnsi="Palatino Linotype" w:cs="Arial"/>
          <w:bCs/>
          <w:sz w:val="24"/>
          <w:lang w:val="es-ES_tradnl" w:eastAsia="es-ES"/>
        </w:rPr>
        <w:t xml:space="preserve">En este sentido, resulta conveniente señalar que, el artículo 18 del Reglamento previamente mencionado, señala que para </w:t>
      </w:r>
      <w:r w:rsidRPr="00530A31">
        <w:rPr>
          <w:rFonts w:ascii="Palatino Linotype" w:hAnsi="Palatino Linotype"/>
          <w:sz w:val="24"/>
        </w:rPr>
        <w:t xml:space="preserve">el ejercicio de las atribuciones y responsabilidades y para el estudio, planeación y despacho de los asuntos en diversos ramos de la Administración del Organismo, el </w:t>
      </w:r>
      <w:proofErr w:type="gramStart"/>
      <w:r w:rsidRPr="00530A31">
        <w:rPr>
          <w:rFonts w:ascii="Palatino Linotype" w:hAnsi="Palatino Linotype"/>
          <w:sz w:val="24"/>
        </w:rPr>
        <w:t>Director General</w:t>
      </w:r>
      <w:proofErr w:type="gramEnd"/>
      <w:r w:rsidRPr="00530A31">
        <w:rPr>
          <w:rFonts w:ascii="Palatino Linotype" w:hAnsi="Palatino Linotype"/>
          <w:sz w:val="24"/>
        </w:rPr>
        <w:t xml:space="preserve"> se auxiliará de las siguientes unidades administrativas:</w:t>
      </w:r>
    </w:p>
    <w:p w14:paraId="286D2164" w14:textId="35040592" w:rsidR="00AB0906" w:rsidRPr="00530A31" w:rsidRDefault="003478E3" w:rsidP="00AB0906">
      <w:pPr>
        <w:ind w:left="567" w:right="539"/>
        <w:rPr>
          <w:rFonts w:ascii="Palatino Linotype" w:hAnsi="Palatino Linotype"/>
          <w:i/>
          <w:sz w:val="22"/>
        </w:rPr>
      </w:pPr>
      <w:r w:rsidRPr="00530A31">
        <w:rPr>
          <w:rFonts w:ascii="Palatino Linotype" w:hAnsi="Palatino Linotype"/>
          <w:i/>
          <w:sz w:val="22"/>
        </w:rPr>
        <w:t>“</w:t>
      </w:r>
      <w:r w:rsidR="00AB0906" w:rsidRPr="00530A31">
        <w:rPr>
          <w:rFonts w:ascii="Palatino Linotype" w:hAnsi="Palatino Linotype"/>
          <w:i/>
          <w:sz w:val="22"/>
        </w:rPr>
        <w:t xml:space="preserve">I. Secretaría Particular; </w:t>
      </w:r>
    </w:p>
    <w:p w14:paraId="0845F992" w14:textId="77777777" w:rsidR="00AB0906" w:rsidRPr="00530A31" w:rsidRDefault="00AB0906" w:rsidP="00AB0906">
      <w:pPr>
        <w:ind w:left="567" w:right="539"/>
        <w:rPr>
          <w:rFonts w:ascii="Palatino Linotype" w:hAnsi="Palatino Linotype"/>
          <w:i/>
          <w:sz w:val="22"/>
        </w:rPr>
      </w:pPr>
      <w:r w:rsidRPr="00530A31">
        <w:rPr>
          <w:rFonts w:ascii="Palatino Linotype" w:hAnsi="Palatino Linotype"/>
          <w:i/>
          <w:sz w:val="22"/>
        </w:rPr>
        <w:t xml:space="preserve">II. Secretaría Técnica; </w:t>
      </w:r>
    </w:p>
    <w:p w14:paraId="47A7BFC9" w14:textId="7F8410EE" w:rsidR="00AB0906" w:rsidRPr="00530A31" w:rsidRDefault="00AB0906" w:rsidP="00AB0906">
      <w:pPr>
        <w:ind w:left="567" w:right="539"/>
        <w:rPr>
          <w:rFonts w:ascii="Palatino Linotype" w:hAnsi="Palatino Linotype"/>
          <w:i/>
          <w:sz w:val="22"/>
        </w:rPr>
      </w:pPr>
      <w:r w:rsidRPr="00530A31">
        <w:rPr>
          <w:rFonts w:ascii="Palatino Linotype" w:hAnsi="Palatino Linotype"/>
          <w:i/>
          <w:sz w:val="22"/>
        </w:rPr>
        <w:t xml:space="preserve">III. Coordinación Operativa; </w:t>
      </w:r>
    </w:p>
    <w:p w14:paraId="088A71D3" w14:textId="77777777" w:rsidR="00AB0906" w:rsidRPr="00530A31" w:rsidRDefault="00AB0906" w:rsidP="00AB0906">
      <w:pPr>
        <w:ind w:left="567" w:right="539"/>
        <w:rPr>
          <w:rFonts w:ascii="Palatino Linotype" w:hAnsi="Palatino Linotype"/>
          <w:i/>
          <w:sz w:val="22"/>
        </w:rPr>
      </w:pPr>
      <w:r w:rsidRPr="00530A31">
        <w:rPr>
          <w:rFonts w:ascii="Palatino Linotype" w:hAnsi="Palatino Linotype"/>
          <w:i/>
          <w:sz w:val="22"/>
        </w:rPr>
        <w:t xml:space="preserve">IV. Contraloría Interna; </w:t>
      </w:r>
    </w:p>
    <w:p w14:paraId="7651D897" w14:textId="423D6CC4" w:rsidR="00AB0906" w:rsidRPr="00530A31" w:rsidRDefault="00AB0906" w:rsidP="00AB0906">
      <w:pPr>
        <w:ind w:left="567" w:right="539"/>
        <w:rPr>
          <w:rFonts w:ascii="Palatino Linotype" w:hAnsi="Palatino Linotype"/>
          <w:b/>
          <w:i/>
          <w:sz w:val="22"/>
        </w:rPr>
      </w:pPr>
      <w:r w:rsidRPr="00530A31">
        <w:rPr>
          <w:rFonts w:ascii="Palatino Linotype" w:hAnsi="Palatino Linotype"/>
          <w:b/>
          <w:i/>
          <w:sz w:val="22"/>
        </w:rPr>
        <w:t xml:space="preserve">V. Dirección de Administración, Finanzas y Comercialización; </w:t>
      </w:r>
    </w:p>
    <w:p w14:paraId="49826F1F" w14:textId="77777777" w:rsidR="00AB0906" w:rsidRPr="00530A31" w:rsidRDefault="00AB0906" w:rsidP="00AB0906">
      <w:pPr>
        <w:ind w:left="567" w:right="539"/>
        <w:rPr>
          <w:rFonts w:ascii="Palatino Linotype" w:hAnsi="Palatino Linotype"/>
          <w:i/>
          <w:sz w:val="22"/>
        </w:rPr>
      </w:pPr>
      <w:r w:rsidRPr="00530A31">
        <w:rPr>
          <w:rFonts w:ascii="Palatino Linotype" w:hAnsi="Palatino Linotype"/>
          <w:i/>
          <w:sz w:val="22"/>
        </w:rPr>
        <w:lastRenderedPageBreak/>
        <w:t xml:space="preserve">VI. Dirección Jurídica; </w:t>
      </w:r>
    </w:p>
    <w:p w14:paraId="3B8FE6F9" w14:textId="2BEDE2E3" w:rsidR="00AB0906" w:rsidRPr="00530A31" w:rsidRDefault="00AB0906" w:rsidP="00AB0906">
      <w:pPr>
        <w:ind w:left="567" w:right="539"/>
        <w:rPr>
          <w:rFonts w:ascii="Palatino Linotype" w:hAnsi="Palatino Linotype"/>
          <w:i/>
          <w:sz w:val="22"/>
        </w:rPr>
      </w:pPr>
      <w:r w:rsidRPr="00530A31">
        <w:rPr>
          <w:rFonts w:ascii="Palatino Linotype" w:hAnsi="Palatino Linotype"/>
          <w:i/>
          <w:sz w:val="22"/>
        </w:rPr>
        <w:t xml:space="preserve">VII. Dirección de Construcción y Operación Hidráulica; y </w:t>
      </w:r>
    </w:p>
    <w:p w14:paraId="704F71B3" w14:textId="4EFF83E0" w:rsidR="00AB0906" w:rsidRPr="00530A31" w:rsidRDefault="00AB0906" w:rsidP="00AB0906">
      <w:pPr>
        <w:ind w:left="567" w:right="539"/>
        <w:rPr>
          <w:rFonts w:ascii="Palatino Linotype" w:eastAsia="MS Mincho" w:hAnsi="Palatino Linotype" w:cs="Arial"/>
          <w:b/>
          <w:bCs/>
          <w:i/>
          <w:sz w:val="22"/>
          <w:lang w:val="es-ES_tradnl" w:eastAsia="es-ES"/>
        </w:rPr>
      </w:pPr>
      <w:r w:rsidRPr="00530A31">
        <w:rPr>
          <w:rFonts w:ascii="Palatino Linotype" w:hAnsi="Palatino Linotype"/>
          <w:i/>
          <w:sz w:val="22"/>
        </w:rPr>
        <w:t>VIII. Delegación de Zona Oriente.</w:t>
      </w:r>
      <w:r w:rsidR="003478E3" w:rsidRPr="00530A31">
        <w:rPr>
          <w:rFonts w:ascii="Palatino Linotype" w:hAnsi="Palatino Linotype"/>
          <w:i/>
          <w:sz w:val="22"/>
        </w:rPr>
        <w:t>”</w:t>
      </w:r>
    </w:p>
    <w:p w14:paraId="159E2DCB" w14:textId="77777777" w:rsidR="00AB0906" w:rsidRPr="00530A31" w:rsidRDefault="00AB0906" w:rsidP="00AB0906">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448EB6B" w14:textId="3F7FB461" w:rsidR="00993CA5" w:rsidRPr="00530A31" w:rsidRDefault="003478E3" w:rsidP="00F9515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30A31">
        <w:rPr>
          <w:rFonts w:ascii="Palatino Linotype" w:eastAsia="MS Mincho" w:hAnsi="Palatino Linotype" w:cs="Arial"/>
          <w:bCs/>
          <w:sz w:val="24"/>
          <w:lang w:val="es-ES_tradnl" w:eastAsia="es-ES"/>
        </w:rPr>
        <w:t xml:space="preserve">Por su parte, el artículo 19 señala que son </w:t>
      </w:r>
      <w:r w:rsidRPr="00530A31">
        <w:rPr>
          <w:rFonts w:ascii="Palatino Linotype" w:hAnsi="Palatino Linotype"/>
          <w:sz w:val="24"/>
        </w:rPr>
        <w:t>autoridades fiscales, los siguientes servidores públicos del Organismo:</w:t>
      </w:r>
    </w:p>
    <w:p w14:paraId="1995E73F" w14:textId="7CF7F019"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“I. El </w:t>
      </w:r>
      <w:proofErr w:type="gramStart"/>
      <w:r w:rsidRPr="00530A31">
        <w:rPr>
          <w:rFonts w:ascii="Palatino Linotype" w:hAnsi="Palatino Linotype"/>
          <w:i/>
        </w:rPr>
        <w:t>Director General</w:t>
      </w:r>
      <w:proofErr w:type="gramEnd"/>
      <w:r w:rsidRPr="00530A31">
        <w:rPr>
          <w:rFonts w:ascii="Palatino Linotype" w:hAnsi="Palatino Linotype"/>
          <w:i/>
        </w:rPr>
        <w:t xml:space="preserve">; </w:t>
      </w:r>
    </w:p>
    <w:p w14:paraId="66C9DC69" w14:textId="77777777"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II. El </w:t>
      </w:r>
      <w:proofErr w:type="gramStart"/>
      <w:r w:rsidRPr="00530A31">
        <w:rPr>
          <w:rFonts w:ascii="Palatino Linotype" w:hAnsi="Palatino Linotype"/>
          <w:b/>
          <w:i/>
        </w:rPr>
        <w:t>Director</w:t>
      </w:r>
      <w:proofErr w:type="gramEnd"/>
      <w:r w:rsidRPr="00530A31">
        <w:rPr>
          <w:rFonts w:ascii="Palatino Linotype" w:hAnsi="Palatino Linotype"/>
          <w:b/>
          <w:i/>
        </w:rPr>
        <w:t xml:space="preserve"> de Administración, Finanzas y Comercialización; </w:t>
      </w:r>
    </w:p>
    <w:p w14:paraId="1842512C" w14:textId="77777777"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III. El </w:t>
      </w:r>
      <w:proofErr w:type="gramStart"/>
      <w:r w:rsidRPr="00530A31">
        <w:rPr>
          <w:rFonts w:ascii="Palatino Linotype" w:hAnsi="Palatino Linotype"/>
          <w:b/>
          <w:i/>
        </w:rPr>
        <w:t>Subdirector</w:t>
      </w:r>
      <w:proofErr w:type="gramEnd"/>
      <w:r w:rsidRPr="00530A31">
        <w:rPr>
          <w:rFonts w:ascii="Palatino Linotype" w:hAnsi="Palatino Linotype"/>
          <w:b/>
          <w:i/>
        </w:rPr>
        <w:t xml:space="preserve"> de Comercialización; y </w:t>
      </w:r>
    </w:p>
    <w:p w14:paraId="6F1087DF" w14:textId="73869065" w:rsidR="003478E3" w:rsidRPr="00530A31" w:rsidRDefault="003478E3" w:rsidP="003478E3">
      <w:pPr>
        <w:pStyle w:val="Prrafodelista"/>
        <w:spacing w:before="240" w:after="240"/>
        <w:ind w:left="567" w:right="539"/>
        <w:jc w:val="both"/>
        <w:rPr>
          <w:rFonts w:ascii="Palatino Linotype" w:eastAsia="MS Mincho" w:hAnsi="Palatino Linotype" w:cs="Arial"/>
          <w:b/>
          <w:bCs/>
          <w:i/>
          <w:lang w:val="es-ES_tradnl" w:eastAsia="es-ES"/>
        </w:rPr>
      </w:pPr>
      <w:r w:rsidRPr="00530A31">
        <w:rPr>
          <w:rFonts w:ascii="Palatino Linotype" w:hAnsi="Palatino Linotype"/>
          <w:i/>
        </w:rPr>
        <w:t>IV. El Titular del Departamento de Ejecución Fiscal”</w:t>
      </w:r>
    </w:p>
    <w:p w14:paraId="683958EA" w14:textId="77777777" w:rsidR="003478E3" w:rsidRPr="00530A31" w:rsidRDefault="003478E3" w:rsidP="003478E3">
      <w:pPr>
        <w:pStyle w:val="Prrafodelista"/>
        <w:spacing w:before="240" w:after="240"/>
        <w:ind w:left="0" w:right="48"/>
        <w:jc w:val="both"/>
        <w:rPr>
          <w:rFonts w:ascii="Palatino Linotype" w:eastAsia="MS Mincho" w:hAnsi="Palatino Linotype" w:cs="Arial"/>
          <w:b/>
          <w:bCs/>
          <w:sz w:val="24"/>
          <w:lang w:val="es-ES_tradnl" w:eastAsia="es-ES"/>
        </w:rPr>
      </w:pPr>
    </w:p>
    <w:p w14:paraId="2C7C5305" w14:textId="072CFA4E" w:rsidR="00993CA5" w:rsidRPr="00530A31" w:rsidRDefault="003478E3" w:rsidP="003478E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eastAsia="MS Mincho" w:hAnsi="Palatino Linotype" w:cs="Arial"/>
          <w:bCs/>
          <w:sz w:val="24"/>
          <w:lang w:val="es-ES_tradnl" w:eastAsia="es-ES"/>
        </w:rPr>
        <w:t xml:space="preserve">Correlativo a lo anterior, el artículo 39 del mismo ordenamiento legal, precisa que la </w:t>
      </w:r>
      <w:r w:rsidRPr="00530A31">
        <w:rPr>
          <w:rFonts w:ascii="Palatino Linotype" w:hAnsi="Palatino Linotype"/>
          <w:b/>
          <w:sz w:val="24"/>
        </w:rPr>
        <w:t>Dirección de Administración, Finanzas y Comercialización</w:t>
      </w:r>
      <w:r w:rsidRPr="00530A31">
        <w:rPr>
          <w:rFonts w:ascii="Palatino Linotype" w:hAnsi="Palatino Linotype"/>
          <w:i/>
          <w:sz w:val="24"/>
        </w:rPr>
        <w:t xml:space="preserve">; </w:t>
      </w:r>
      <w:r w:rsidRPr="00530A31">
        <w:rPr>
          <w:rFonts w:ascii="Palatino Linotype" w:hAnsi="Palatino Linotype"/>
          <w:sz w:val="24"/>
        </w:rPr>
        <w:t>debe conducir</w:t>
      </w:r>
      <w:r w:rsidRPr="00530A31">
        <w:rPr>
          <w:rFonts w:ascii="Palatino Linotype" w:hAnsi="Palatino Linotype"/>
          <w:i/>
          <w:sz w:val="24"/>
        </w:rPr>
        <w:t xml:space="preserve"> </w:t>
      </w:r>
      <w:r w:rsidRPr="00530A31">
        <w:rPr>
          <w:rFonts w:ascii="Palatino Linotype" w:hAnsi="Palatino Linotype"/>
          <w:sz w:val="24"/>
        </w:rPr>
        <w:t>estratégicamente las acciones administrativas, financieras y económicas del Organismo Público Descentralizado para la Prestación de los Servicios de Agua Potable, Alcantarillado y Saneamiento del Municipio de Tlalnepantla, induciendo la óptima comercialización de los servicios y eficaz administración de los recursos, procurando en todo momento el equilibrio financiero. Y contará con las siguientes atribuciones y facultades:</w:t>
      </w:r>
    </w:p>
    <w:p w14:paraId="046672CB" w14:textId="166DD99B"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“I. Planificar, organizar y controlar las actividades económicas del organismo; </w:t>
      </w:r>
    </w:p>
    <w:p w14:paraId="1F24BFDE" w14:textId="77777777"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II. Proveer a las unidades administrativas, de los bienes y servicios que requieran para el desarrollo de sus funciones; </w:t>
      </w:r>
    </w:p>
    <w:p w14:paraId="67B03B69" w14:textId="77777777"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III. Planear y supervisar las funciones y actividades de las áreas administrativas, para el logro eficaz del Objetivo General de esta dependencia. </w:t>
      </w:r>
    </w:p>
    <w:p w14:paraId="3F48D218" w14:textId="6EE413AB"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IV. Coordinar las actividades de las áreas que integran esta Dirección, para verificar que estas se lleven a cabo de manera adecuada, a fin de lograr el cumplimiento de las metas establecidas en el Plan de Desarrollo del Organismo. </w:t>
      </w:r>
    </w:p>
    <w:p w14:paraId="19DEE03F" w14:textId="67B0CAF1"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V. Asegurar la conservación y mantenimiento de los bienes muebles e inmuebles; </w:t>
      </w:r>
    </w:p>
    <w:p w14:paraId="13AF7C8A" w14:textId="77777777"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VI. Elaborar y mantener actualizado el inventario general y los expedientes de los bienes muebles e inmuebles; </w:t>
      </w:r>
    </w:p>
    <w:p w14:paraId="743511DD" w14:textId="77777777"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lastRenderedPageBreak/>
        <w:t xml:space="preserve">VII. Tramitar los procedimientos para las adquisiciones de bienes y servicios; </w:t>
      </w:r>
    </w:p>
    <w:p w14:paraId="6C8BF7BD" w14:textId="77777777"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VIII. Administrar los ingresos del organismo e invertir los recursos excedentes; </w:t>
      </w:r>
    </w:p>
    <w:p w14:paraId="41A05D80" w14:textId="50AC0A7D"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IX. Administrar, vigilar y controlar los almacenes y talleres; </w:t>
      </w:r>
    </w:p>
    <w:p w14:paraId="0F2EE3D3" w14:textId="402FD7C8"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 Administrar, vigilar y controlar los recursos humanos; </w:t>
      </w:r>
    </w:p>
    <w:p w14:paraId="0675FD29" w14:textId="77777777"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XI. Establecer, controlar y evaluar el programa de protección civil del Organismo; </w:t>
      </w:r>
    </w:p>
    <w:p w14:paraId="731B4EEC" w14:textId="77777777"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XII. Integrar, administrar, vigilar y controlar los presupuestos de ingresos y egresos de conformidad con las disposiciones legales aplicables; </w:t>
      </w:r>
    </w:p>
    <w:p w14:paraId="2D003BBD" w14:textId="79AFBB0D"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XIII. Programación y pago de las obligaciones del Organismo; </w:t>
      </w:r>
    </w:p>
    <w:p w14:paraId="3D29E76A" w14:textId="7D00919B"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XIV. Abrir, administrar y en su caso cancelar cuentas bancarias; </w:t>
      </w:r>
    </w:p>
    <w:p w14:paraId="03FB5481" w14:textId="77777777"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XV. Invertir los excedentes de efectivo, en valores que proporcionen seguridad; </w:t>
      </w:r>
    </w:p>
    <w:p w14:paraId="0D923CD0" w14:textId="5BE58512"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XVI. Custodiar los documentos mercantiles y títulos de crédito; </w:t>
      </w:r>
    </w:p>
    <w:p w14:paraId="65A7E3B9" w14:textId="77777777"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XVII. Administrar cooperaciones y aportaciones que amplíen el patrimonio del Organismo; </w:t>
      </w:r>
    </w:p>
    <w:p w14:paraId="1FE0B634" w14:textId="77777777" w:rsidR="003478E3" w:rsidRPr="00530A31" w:rsidRDefault="003478E3" w:rsidP="003478E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XVIII. Integrar y elaborar la contabilidad financiera y presupuestal. Gestionar la publicación anual en la Gaceta de Gobierno y en la Gaceta Municipal, del balance de los estados financieros; </w:t>
      </w:r>
    </w:p>
    <w:p w14:paraId="5EF38175" w14:textId="0ABABC24"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XIX. Diseñar y proponer sistemas para la contratación de créditos y para la vigilancia de su utilización; </w:t>
      </w:r>
    </w:p>
    <w:p w14:paraId="6CB67417" w14:textId="3EBA566C"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XX. Determinar los importes para los dictámenes de factibilidad de servicios en coordinación con la Dirección de Construcción y Operación Hidráulica.</w:t>
      </w:r>
    </w:p>
    <w:p w14:paraId="1F49CF45" w14:textId="77777777"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XXI. Ejercer los actos de autoridad fiscal que le corresponden al Organismo, por sí o mediante delegación expresa, así como signar todos los actos del procedimiento administrativo de ejecución, citaciones, notificaciones, así como las identificaciones de los </w:t>
      </w:r>
      <w:proofErr w:type="spellStart"/>
      <w:r w:rsidRPr="00530A31">
        <w:rPr>
          <w:rFonts w:ascii="Palatino Linotype" w:hAnsi="Palatino Linotype"/>
          <w:i/>
        </w:rPr>
        <w:t>lecturistas</w:t>
      </w:r>
      <w:proofErr w:type="spellEnd"/>
      <w:r w:rsidRPr="00530A31">
        <w:rPr>
          <w:rFonts w:ascii="Palatino Linotype" w:hAnsi="Palatino Linotype"/>
          <w:i/>
        </w:rPr>
        <w:t xml:space="preserve">, técnicos, inspectores y notificadores ejecutores. </w:t>
      </w:r>
    </w:p>
    <w:p w14:paraId="2947CAD0" w14:textId="6DA1457B"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XXII. Expedir las facturas para el suministro de agua potable y agua tratada en carro cisterna; </w:t>
      </w:r>
    </w:p>
    <w:p w14:paraId="38D05CFD" w14:textId="77777777"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XXIII. Someter a consideración del </w:t>
      </w:r>
      <w:proofErr w:type="gramStart"/>
      <w:r w:rsidRPr="00530A31">
        <w:rPr>
          <w:rFonts w:ascii="Palatino Linotype" w:hAnsi="Palatino Linotype"/>
          <w:i/>
        </w:rPr>
        <w:t>Director General</w:t>
      </w:r>
      <w:proofErr w:type="gramEnd"/>
      <w:r w:rsidRPr="00530A31">
        <w:rPr>
          <w:rFonts w:ascii="Palatino Linotype" w:hAnsi="Palatino Linotype"/>
          <w:i/>
        </w:rPr>
        <w:t xml:space="preserve">, la propuesta para fijar en términos de las disposiciones legales, las tarifas y políticas para el cobro de los derechos por la prestación de los servicios; </w:t>
      </w:r>
    </w:p>
    <w:p w14:paraId="4B0E51F0" w14:textId="2C8C1A52"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XXIV. De acuerdo con las disposiciones fiscales, proponer al Consejo Directivo, las políticas para subsidios, bonificaciones, condonaciones, descuentos, ajustes a contribuciones y sus accesorios y en su caso, aplicarlas; </w:t>
      </w:r>
    </w:p>
    <w:p w14:paraId="060A5C99" w14:textId="7F6A3A34" w:rsidR="003478E3" w:rsidRPr="00530A31" w:rsidRDefault="003478E3" w:rsidP="003478E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XXV. Presentar al director general, para su aprobación, las solicitudes de permisos para el suministro de agua potable y agua tratada en carro cisterna y supervisar que la operación se sujete a las leyes y condiciones aplicables; y </w:t>
      </w:r>
    </w:p>
    <w:p w14:paraId="4E25AD81" w14:textId="6636905B" w:rsidR="003478E3" w:rsidRPr="00530A31" w:rsidRDefault="003478E3" w:rsidP="003478E3">
      <w:pPr>
        <w:pStyle w:val="Prrafodelista"/>
        <w:spacing w:before="240" w:after="240"/>
        <w:ind w:left="567" w:right="539"/>
        <w:jc w:val="both"/>
        <w:rPr>
          <w:rFonts w:ascii="Palatino Linotype" w:eastAsia="MS Mincho" w:hAnsi="Palatino Linotype" w:cs="Arial"/>
          <w:b/>
          <w:bCs/>
          <w:i/>
          <w:lang w:val="es-ES_tradnl" w:eastAsia="es-ES"/>
        </w:rPr>
      </w:pPr>
      <w:r w:rsidRPr="00530A31">
        <w:rPr>
          <w:rFonts w:ascii="Palatino Linotype" w:hAnsi="Palatino Linotype"/>
          <w:i/>
        </w:rPr>
        <w:t xml:space="preserve">XXVI. Atender en el ámbito de su competencia, los asuntos que le encomiende el </w:t>
      </w:r>
      <w:proofErr w:type="gramStart"/>
      <w:r w:rsidRPr="00530A31">
        <w:rPr>
          <w:rFonts w:ascii="Palatino Linotype" w:hAnsi="Palatino Linotype"/>
          <w:i/>
        </w:rPr>
        <w:t>Director General</w:t>
      </w:r>
      <w:proofErr w:type="gramEnd"/>
      <w:r w:rsidRPr="00530A31">
        <w:rPr>
          <w:rFonts w:ascii="Palatino Linotype" w:hAnsi="Palatino Linotype"/>
          <w:i/>
        </w:rPr>
        <w:t>.”</w:t>
      </w:r>
    </w:p>
    <w:p w14:paraId="2552490B" w14:textId="77777777" w:rsidR="003478E3" w:rsidRPr="00530A31" w:rsidRDefault="003478E3" w:rsidP="003478E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3889B711" w14:textId="1C557B58" w:rsidR="00993CA5" w:rsidRPr="00530A31" w:rsidRDefault="0086181A" w:rsidP="00F9515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30A31">
        <w:rPr>
          <w:rFonts w:ascii="Palatino Linotype" w:eastAsia="MS Mincho" w:hAnsi="Palatino Linotype" w:cs="Arial"/>
          <w:bCs/>
          <w:sz w:val="24"/>
          <w:lang w:val="es-ES_tradnl" w:eastAsia="es-ES"/>
        </w:rPr>
        <w:lastRenderedPageBreak/>
        <w:t xml:space="preserve">Así, para el despacho de </w:t>
      </w:r>
      <w:r w:rsidRPr="00530A31">
        <w:rPr>
          <w:rFonts w:ascii="Palatino Linotype" w:hAnsi="Palatino Linotype"/>
          <w:sz w:val="24"/>
        </w:rPr>
        <w:t>de los asuntos de su competencia, la Dirección de Administración, Finanzas y Comercialización, se auxiliará de la Subdirección de Administración, Subdirección de Finanzas y Subdirección de Comercialización, así como, de las diferentes áreas que conforman las mismas.</w:t>
      </w:r>
    </w:p>
    <w:p w14:paraId="35878467" w14:textId="77777777" w:rsidR="0086181A" w:rsidRPr="00530A31" w:rsidRDefault="0086181A" w:rsidP="0086181A">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27640BC" w14:textId="4E6B328C" w:rsidR="0086181A" w:rsidRPr="00530A31" w:rsidRDefault="0086181A" w:rsidP="0086181A">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30A31">
        <w:rPr>
          <w:rFonts w:ascii="Palatino Linotype" w:eastAsia="MS Mincho" w:hAnsi="Palatino Linotype" w:cs="Arial"/>
          <w:bCs/>
          <w:sz w:val="24"/>
          <w:lang w:val="es-ES_tradnl" w:eastAsia="es-ES"/>
        </w:rPr>
        <w:t xml:space="preserve">En este sentido, el artículo 41 refiere que la </w:t>
      </w:r>
      <w:r w:rsidRPr="00530A31">
        <w:rPr>
          <w:rFonts w:ascii="Palatino Linotype" w:eastAsia="MS Mincho" w:hAnsi="Palatino Linotype" w:cs="Arial"/>
          <w:b/>
          <w:bCs/>
          <w:sz w:val="24"/>
          <w:lang w:val="es-ES_tradnl" w:eastAsia="es-ES"/>
        </w:rPr>
        <w:t>Subdirección de Administración</w:t>
      </w:r>
      <w:r w:rsidRPr="00530A31">
        <w:rPr>
          <w:rFonts w:ascii="Palatino Linotype" w:eastAsia="MS Mincho" w:hAnsi="Palatino Linotype" w:cs="Arial"/>
          <w:bCs/>
          <w:sz w:val="24"/>
          <w:lang w:val="es-ES_tradnl" w:eastAsia="es-ES"/>
        </w:rPr>
        <w:t xml:space="preserve"> debe dirigir, </w:t>
      </w:r>
      <w:r w:rsidRPr="00530A31">
        <w:rPr>
          <w:rFonts w:ascii="Palatino Linotype" w:hAnsi="Palatino Linotype"/>
          <w:sz w:val="24"/>
        </w:rPr>
        <w:t>planear y coordinar las áreas de Adquisiciones, Patrimonio y Servicios Generales, y Recursos Humanos; para implementar proyectos dirigidos a la eficaz administración de los recursos materiales y humanos de la organización; así como, planear y supervisar las funciones y actividades de las unidades administrativas que integran esta Subdirección, coordinar las actividades de esas unidades y verificar que estas se lleven a cabo de manera adecuada, a fin de lograr el cumplimiento de las metas establecidas en el Plan de Desarrollo del Organismo. Y tendrá las siguientes atribuciones y facultades:</w:t>
      </w:r>
    </w:p>
    <w:p w14:paraId="34006EB3" w14:textId="44C159F1" w:rsidR="0086181A" w:rsidRPr="00530A31" w:rsidRDefault="003D4473" w:rsidP="003D4473">
      <w:pPr>
        <w:pStyle w:val="Prrafodelista"/>
        <w:ind w:left="567" w:right="539"/>
        <w:rPr>
          <w:rFonts w:ascii="Palatino Linotype" w:hAnsi="Palatino Linotype"/>
          <w:i/>
        </w:rPr>
      </w:pPr>
      <w:r w:rsidRPr="00530A31">
        <w:rPr>
          <w:rFonts w:ascii="Palatino Linotype" w:hAnsi="Palatino Linotype"/>
          <w:i/>
        </w:rPr>
        <w:t>“</w:t>
      </w:r>
      <w:r w:rsidR="0086181A" w:rsidRPr="00530A31">
        <w:rPr>
          <w:rFonts w:ascii="Palatino Linotype" w:hAnsi="Palatino Linotype"/>
          <w:b/>
          <w:i/>
        </w:rPr>
        <w:t>I. Consolidar los requerimientos de bienes y servicios de las unidades administrativas, en base a su programación;</w:t>
      </w:r>
      <w:r w:rsidR="0086181A" w:rsidRPr="00530A31">
        <w:rPr>
          <w:rFonts w:ascii="Palatino Linotype" w:hAnsi="Palatino Linotype"/>
          <w:i/>
        </w:rPr>
        <w:t xml:space="preserve"> </w:t>
      </w:r>
    </w:p>
    <w:p w14:paraId="017EF782" w14:textId="0FA3A45E" w:rsidR="0086181A" w:rsidRPr="00530A31" w:rsidRDefault="0086181A" w:rsidP="003D4473">
      <w:pPr>
        <w:pStyle w:val="Prrafodelista"/>
        <w:ind w:left="567" w:right="539"/>
        <w:rPr>
          <w:rFonts w:ascii="Palatino Linotype" w:hAnsi="Palatino Linotype"/>
          <w:b/>
          <w:i/>
        </w:rPr>
      </w:pPr>
      <w:r w:rsidRPr="00530A31">
        <w:rPr>
          <w:rFonts w:ascii="Palatino Linotype" w:hAnsi="Palatino Linotype"/>
          <w:b/>
          <w:i/>
        </w:rPr>
        <w:t>II. Establecer e implementar los procedimientos para adquirir, recibir, almacenar, registrar, controlar y distribuir los bienes y servicios;</w:t>
      </w:r>
    </w:p>
    <w:p w14:paraId="13E56DBD" w14:textId="77777777" w:rsidR="0086181A" w:rsidRPr="00530A31" w:rsidRDefault="0086181A" w:rsidP="003D4473">
      <w:pPr>
        <w:pStyle w:val="Prrafodelista"/>
        <w:ind w:left="567" w:right="539"/>
        <w:rPr>
          <w:rFonts w:ascii="Palatino Linotype" w:hAnsi="Palatino Linotype"/>
          <w:i/>
        </w:rPr>
      </w:pPr>
      <w:r w:rsidRPr="00530A31">
        <w:rPr>
          <w:rFonts w:ascii="Palatino Linotype" w:hAnsi="Palatino Linotype"/>
          <w:i/>
        </w:rPr>
        <w:t xml:space="preserve">III. Asegurar el funcionamiento y actualización de los equipos móviles de radiocomunicación; </w:t>
      </w:r>
    </w:p>
    <w:p w14:paraId="6A5B96E4" w14:textId="77777777" w:rsidR="0086181A" w:rsidRPr="00530A31" w:rsidRDefault="0086181A" w:rsidP="003D4473">
      <w:pPr>
        <w:pStyle w:val="Prrafodelista"/>
        <w:ind w:left="567" w:right="539"/>
        <w:rPr>
          <w:rFonts w:ascii="Palatino Linotype" w:hAnsi="Palatino Linotype"/>
          <w:i/>
        </w:rPr>
      </w:pPr>
      <w:r w:rsidRPr="00530A31">
        <w:rPr>
          <w:rFonts w:ascii="Palatino Linotype" w:hAnsi="Palatino Linotype"/>
          <w:i/>
        </w:rPr>
        <w:t xml:space="preserve">IV. Atender las relaciones laborales del Organismo; </w:t>
      </w:r>
    </w:p>
    <w:p w14:paraId="3DCF7600" w14:textId="56B887C3" w:rsidR="0086181A" w:rsidRPr="00530A31" w:rsidRDefault="0086181A" w:rsidP="003D4473">
      <w:pPr>
        <w:pStyle w:val="Prrafodelista"/>
        <w:ind w:left="567" w:right="539"/>
        <w:rPr>
          <w:rFonts w:ascii="Palatino Linotype" w:hAnsi="Palatino Linotype"/>
          <w:i/>
        </w:rPr>
      </w:pPr>
      <w:r w:rsidRPr="00530A31">
        <w:rPr>
          <w:rFonts w:ascii="Palatino Linotype" w:hAnsi="Palatino Linotype"/>
          <w:i/>
        </w:rPr>
        <w:t xml:space="preserve">V. Fomentar el desarrollo profesional y personal de todos los empleados del Organismo; </w:t>
      </w:r>
    </w:p>
    <w:p w14:paraId="4A175304" w14:textId="5AEEA4A8" w:rsidR="0086181A" w:rsidRPr="00530A31" w:rsidRDefault="0086181A" w:rsidP="003D4473">
      <w:pPr>
        <w:pStyle w:val="Prrafodelista"/>
        <w:ind w:left="567" w:right="539"/>
        <w:rPr>
          <w:rFonts w:ascii="Palatino Linotype" w:hAnsi="Palatino Linotype"/>
          <w:i/>
        </w:rPr>
      </w:pPr>
      <w:r w:rsidRPr="00530A31">
        <w:rPr>
          <w:rFonts w:ascii="Palatino Linotype" w:hAnsi="Palatino Linotype"/>
          <w:i/>
        </w:rPr>
        <w:t xml:space="preserve">VI. Administrar, vigilar y controlar los recursos humanos; </w:t>
      </w:r>
    </w:p>
    <w:p w14:paraId="102FA5E3" w14:textId="77777777" w:rsidR="0086181A" w:rsidRPr="00530A31" w:rsidRDefault="0086181A" w:rsidP="003D4473">
      <w:pPr>
        <w:pStyle w:val="Prrafodelista"/>
        <w:ind w:left="567" w:right="539"/>
        <w:rPr>
          <w:rFonts w:ascii="Palatino Linotype" w:hAnsi="Palatino Linotype"/>
          <w:b/>
          <w:i/>
        </w:rPr>
      </w:pPr>
      <w:r w:rsidRPr="00530A31">
        <w:rPr>
          <w:rFonts w:ascii="Palatino Linotype" w:hAnsi="Palatino Linotype"/>
          <w:b/>
          <w:i/>
        </w:rPr>
        <w:t xml:space="preserve">VII. </w:t>
      </w:r>
      <w:proofErr w:type="spellStart"/>
      <w:r w:rsidRPr="00530A31">
        <w:rPr>
          <w:rFonts w:ascii="Palatino Linotype" w:hAnsi="Palatino Linotype"/>
          <w:b/>
          <w:i/>
        </w:rPr>
        <w:t>Eficientar</w:t>
      </w:r>
      <w:proofErr w:type="spellEnd"/>
      <w:r w:rsidRPr="00530A31">
        <w:rPr>
          <w:rFonts w:ascii="Palatino Linotype" w:hAnsi="Palatino Linotype"/>
          <w:b/>
          <w:i/>
        </w:rPr>
        <w:t xml:space="preserve"> el registro, destino, administración, control, posesión, uso, aprovechamiento, conservación, mantenimiento y desincorporación de los bienes muebles e inmuebles, propiedad del Organismo; y </w:t>
      </w:r>
    </w:p>
    <w:p w14:paraId="554CFC0E" w14:textId="03E5A37E" w:rsidR="0086181A" w:rsidRPr="00530A31" w:rsidRDefault="0086181A" w:rsidP="003D4473">
      <w:pPr>
        <w:pStyle w:val="Prrafodelista"/>
        <w:ind w:left="567" w:right="539"/>
        <w:rPr>
          <w:rFonts w:ascii="Palatino Linotype" w:eastAsia="MS Mincho" w:hAnsi="Palatino Linotype" w:cs="Arial"/>
          <w:b/>
          <w:bCs/>
          <w:i/>
          <w:lang w:val="es-ES_tradnl" w:eastAsia="es-ES"/>
        </w:rPr>
      </w:pPr>
      <w:r w:rsidRPr="00530A31">
        <w:rPr>
          <w:rFonts w:ascii="Palatino Linotype" w:hAnsi="Palatino Linotype"/>
          <w:i/>
        </w:rPr>
        <w:t xml:space="preserve">VIII. Las que le confieran otros ordenamientos legales y las que le encomiende el </w:t>
      </w:r>
      <w:proofErr w:type="gramStart"/>
      <w:r w:rsidRPr="00530A31">
        <w:rPr>
          <w:rFonts w:ascii="Palatino Linotype" w:hAnsi="Palatino Linotype"/>
          <w:i/>
        </w:rPr>
        <w:t>Director</w:t>
      </w:r>
      <w:proofErr w:type="gramEnd"/>
      <w:r w:rsidRPr="00530A31">
        <w:rPr>
          <w:rFonts w:ascii="Palatino Linotype" w:hAnsi="Palatino Linotype"/>
          <w:i/>
        </w:rPr>
        <w:t xml:space="preserve"> de Administración, Finanzas y Comercialización.</w:t>
      </w:r>
      <w:r w:rsidR="003D4473" w:rsidRPr="00530A31">
        <w:rPr>
          <w:rFonts w:ascii="Palatino Linotype" w:hAnsi="Palatino Linotype"/>
          <w:i/>
        </w:rPr>
        <w:t>”</w:t>
      </w:r>
    </w:p>
    <w:p w14:paraId="5317B494" w14:textId="77777777" w:rsidR="0086181A" w:rsidRPr="00530A31" w:rsidRDefault="0086181A" w:rsidP="0086181A">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76A8042E" w14:textId="47CA8D74" w:rsidR="003D4473" w:rsidRPr="00530A31" w:rsidRDefault="003D4473" w:rsidP="003D4473">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30A31">
        <w:rPr>
          <w:rFonts w:ascii="Palatino Linotype" w:eastAsia="MS Mincho" w:hAnsi="Palatino Linotype" w:cs="Arial"/>
          <w:bCs/>
          <w:sz w:val="24"/>
          <w:lang w:val="es-ES_tradnl" w:eastAsia="es-ES"/>
        </w:rPr>
        <w:lastRenderedPageBreak/>
        <w:t xml:space="preserve">Por su parte, el artículo 45 señala que el </w:t>
      </w:r>
      <w:r w:rsidRPr="00530A31">
        <w:rPr>
          <w:rFonts w:ascii="Palatino Linotype" w:eastAsia="MS Mincho" w:hAnsi="Palatino Linotype" w:cs="Arial"/>
          <w:b/>
          <w:bCs/>
          <w:sz w:val="24"/>
          <w:lang w:val="es-ES_tradnl" w:eastAsia="es-ES"/>
        </w:rPr>
        <w:t>Departamento de Adquisiciones</w:t>
      </w:r>
      <w:r w:rsidRPr="00530A31">
        <w:rPr>
          <w:rFonts w:ascii="Palatino Linotype" w:eastAsia="MS Mincho" w:hAnsi="Palatino Linotype" w:cs="Arial"/>
          <w:bCs/>
          <w:sz w:val="24"/>
          <w:lang w:val="es-ES_tradnl" w:eastAsia="es-ES"/>
        </w:rPr>
        <w:t xml:space="preserve"> debe maximizar</w:t>
      </w:r>
      <w:r w:rsidRPr="00530A31">
        <w:rPr>
          <w:rFonts w:ascii="Palatino Linotype" w:hAnsi="Palatino Linotype"/>
          <w:sz w:val="24"/>
        </w:rPr>
        <w:t xml:space="preserve"> los recursos materiales y financieros, a través de la planeación de las adquisiciones del </w:t>
      </w:r>
      <w:r w:rsidRPr="00530A31">
        <w:rPr>
          <w:rFonts w:ascii="Palatino Linotype" w:hAnsi="Palatino Linotype"/>
          <w:b/>
          <w:sz w:val="24"/>
        </w:rPr>
        <w:t>SUJETO OBLIGADO</w:t>
      </w:r>
      <w:r w:rsidRPr="00530A31">
        <w:rPr>
          <w:rFonts w:ascii="Palatino Linotype" w:hAnsi="Palatino Linotype"/>
          <w:sz w:val="24"/>
        </w:rPr>
        <w:t>, de acuerdo a su operación y con base al flujo de efectivo generado, así como controlar las existencias de los almacenes; y, planear y supervisar las funciones y actividades de las unidades administrativas que integran dicho Departamento, para el logro eficaz del objetivo general de la dependencia; bajo las siguientes atribuciones y facultades:</w:t>
      </w:r>
    </w:p>
    <w:p w14:paraId="28D10D27" w14:textId="361E40EC" w:rsidR="003D4473" w:rsidRPr="00530A31" w:rsidRDefault="003D4473" w:rsidP="003D4473">
      <w:pPr>
        <w:pStyle w:val="Prrafodelista"/>
        <w:spacing w:before="240" w:after="240"/>
        <w:ind w:left="567" w:right="539"/>
        <w:jc w:val="both"/>
        <w:rPr>
          <w:rFonts w:ascii="Palatino Linotype" w:hAnsi="Palatino Linotype"/>
          <w:i/>
        </w:rPr>
      </w:pPr>
      <w:r w:rsidRPr="00530A31">
        <w:rPr>
          <w:rFonts w:ascii="Palatino Linotype" w:hAnsi="Palatino Linotype"/>
          <w:i/>
        </w:rPr>
        <w:t>“</w:t>
      </w:r>
      <w:r w:rsidRPr="00530A31">
        <w:rPr>
          <w:rFonts w:ascii="Palatino Linotype" w:hAnsi="Palatino Linotype"/>
          <w:b/>
          <w:i/>
        </w:rPr>
        <w:t>I. Elaborar el programa anual de adquisiciones de bienes y servicios para su presentación ante el Comité de Adquisiciones;</w:t>
      </w:r>
      <w:r w:rsidRPr="00530A31">
        <w:rPr>
          <w:rFonts w:ascii="Palatino Linotype" w:hAnsi="Palatino Linotype"/>
          <w:i/>
        </w:rPr>
        <w:t xml:space="preserve"> </w:t>
      </w:r>
    </w:p>
    <w:p w14:paraId="71F9AAEE" w14:textId="77777777" w:rsidR="003D4473" w:rsidRPr="00530A31" w:rsidRDefault="003D4473" w:rsidP="003D447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II. Ejecutar los procedimientos de licitación pública, invitación restringida y adjudicación directa, para la adquisición de bienes y servicios; </w:t>
      </w:r>
    </w:p>
    <w:p w14:paraId="72C6FB66" w14:textId="121F6267" w:rsidR="003D4473" w:rsidRPr="00530A31" w:rsidRDefault="003D4473" w:rsidP="003D447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III. Realizar y actualizar los estudios de mercado, para la integración de presupuestos base, para la adquisición de bienes y servicios; </w:t>
      </w:r>
    </w:p>
    <w:p w14:paraId="590EB94C" w14:textId="77777777" w:rsidR="003D4473" w:rsidRPr="00530A31" w:rsidRDefault="003D4473" w:rsidP="003D447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IV. Elaborar y actualizar el catálogo de proveedores de bienes y servicios del Organismo; </w:t>
      </w:r>
    </w:p>
    <w:p w14:paraId="6EBF41CC" w14:textId="24E77513" w:rsidR="003D4473" w:rsidRPr="00530A31" w:rsidRDefault="003D4473" w:rsidP="003D4473">
      <w:pPr>
        <w:pStyle w:val="Prrafodelista"/>
        <w:spacing w:before="240" w:after="240"/>
        <w:ind w:left="567" w:right="539"/>
        <w:jc w:val="both"/>
        <w:rPr>
          <w:rFonts w:ascii="Palatino Linotype" w:eastAsia="MS Mincho" w:hAnsi="Palatino Linotype" w:cs="Arial"/>
          <w:b/>
          <w:bCs/>
          <w:i/>
          <w:lang w:val="es-ES_tradnl" w:eastAsia="es-ES"/>
        </w:rPr>
      </w:pPr>
      <w:r w:rsidRPr="00530A31">
        <w:rPr>
          <w:rFonts w:ascii="Palatino Linotype" w:hAnsi="Palatino Linotype"/>
          <w:b/>
          <w:i/>
        </w:rPr>
        <w:t>V. Administrar, vigilar y controlar los almacenes del Organismo; y</w:t>
      </w:r>
    </w:p>
    <w:p w14:paraId="3A4C2220" w14:textId="3681904C" w:rsidR="003D4473" w:rsidRPr="00530A31" w:rsidRDefault="003D4473" w:rsidP="003D4473">
      <w:pPr>
        <w:pStyle w:val="Prrafodelista"/>
        <w:spacing w:before="240" w:after="240"/>
        <w:ind w:left="567" w:right="539"/>
        <w:jc w:val="both"/>
        <w:rPr>
          <w:rFonts w:ascii="Palatino Linotype" w:eastAsia="MS Mincho" w:hAnsi="Palatino Linotype" w:cs="Arial"/>
          <w:b/>
          <w:bCs/>
          <w:i/>
          <w:lang w:val="es-ES_tradnl" w:eastAsia="es-ES"/>
        </w:rPr>
      </w:pPr>
      <w:r w:rsidRPr="00530A31">
        <w:rPr>
          <w:rFonts w:ascii="Palatino Linotype" w:hAnsi="Palatino Linotype"/>
          <w:i/>
        </w:rPr>
        <w:t xml:space="preserve">VI. Las que le confieran otros ordenamientos legales y las que le encomiende el </w:t>
      </w:r>
      <w:proofErr w:type="gramStart"/>
      <w:r w:rsidRPr="00530A31">
        <w:rPr>
          <w:rFonts w:ascii="Palatino Linotype" w:hAnsi="Palatino Linotype"/>
          <w:i/>
        </w:rPr>
        <w:t>Subdirector</w:t>
      </w:r>
      <w:proofErr w:type="gramEnd"/>
      <w:r w:rsidRPr="00530A31">
        <w:rPr>
          <w:rFonts w:ascii="Palatino Linotype" w:hAnsi="Palatino Linotype"/>
          <w:i/>
        </w:rPr>
        <w:t xml:space="preserve"> de Administración.”</w:t>
      </w:r>
    </w:p>
    <w:p w14:paraId="15C5F893" w14:textId="77777777" w:rsidR="003D4473" w:rsidRPr="00530A31" w:rsidRDefault="003D4473" w:rsidP="003D4473">
      <w:pPr>
        <w:pStyle w:val="Prrafodelista"/>
        <w:spacing w:before="240" w:after="240" w:line="360" w:lineRule="auto"/>
        <w:ind w:left="0" w:right="48"/>
        <w:jc w:val="both"/>
        <w:rPr>
          <w:rFonts w:ascii="Palatino Linotype" w:eastAsia="MS Mincho" w:hAnsi="Palatino Linotype" w:cs="Arial"/>
          <w:b/>
          <w:bCs/>
          <w:sz w:val="24"/>
          <w:lang w:val="es-ES_tradnl" w:eastAsia="es-ES"/>
        </w:rPr>
      </w:pPr>
    </w:p>
    <w:p w14:paraId="5ED355CC" w14:textId="090CF9A0" w:rsidR="003D4473" w:rsidRPr="00530A31" w:rsidRDefault="003D4473" w:rsidP="003D4473">
      <w:pPr>
        <w:pStyle w:val="Prrafodelista"/>
        <w:numPr>
          <w:ilvl w:val="0"/>
          <w:numId w:val="1"/>
        </w:numPr>
        <w:spacing w:before="240" w:after="240" w:line="360" w:lineRule="auto"/>
        <w:ind w:left="0" w:right="48" w:firstLine="0"/>
        <w:jc w:val="both"/>
        <w:rPr>
          <w:rFonts w:ascii="Palatino Linotype" w:eastAsia="MS Mincho" w:hAnsi="Palatino Linotype" w:cs="Arial"/>
          <w:b/>
          <w:bCs/>
          <w:sz w:val="24"/>
          <w:lang w:val="es-ES_tradnl" w:eastAsia="es-ES"/>
        </w:rPr>
      </w:pPr>
      <w:r w:rsidRPr="00530A31">
        <w:rPr>
          <w:rFonts w:ascii="Palatino Linotype" w:eastAsia="MS Mincho" w:hAnsi="Palatino Linotype" w:cs="Arial"/>
          <w:bCs/>
          <w:sz w:val="24"/>
          <w:lang w:val="es-ES_tradnl" w:eastAsia="es-ES"/>
        </w:rPr>
        <w:t>Ahora bien, el artículo 46 refiere que la</w:t>
      </w:r>
      <w:r w:rsidRPr="00530A31">
        <w:rPr>
          <w:rFonts w:ascii="Palatino Linotype" w:eastAsia="MS Mincho" w:hAnsi="Palatino Linotype" w:cs="Arial"/>
          <w:b/>
          <w:bCs/>
          <w:sz w:val="24"/>
          <w:lang w:val="es-ES_tradnl" w:eastAsia="es-ES"/>
        </w:rPr>
        <w:t xml:space="preserve"> Subdirección de Finanzas</w:t>
      </w:r>
      <w:r w:rsidRPr="00530A31">
        <w:rPr>
          <w:rFonts w:ascii="Palatino Linotype" w:eastAsia="MS Mincho" w:hAnsi="Palatino Linotype" w:cs="Arial"/>
          <w:bCs/>
          <w:sz w:val="24"/>
          <w:lang w:val="es-ES_tradnl" w:eastAsia="es-ES"/>
        </w:rPr>
        <w:t xml:space="preserve"> debe garantizar</w:t>
      </w:r>
      <w:r w:rsidRPr="00530A31">
        <w:rPr>
          <w:rFonts w:ascii="Palatino Linotype" w:eastAsia="MS Mincho" w:hAnsi="Palatino Linotype" w:cs="Arial"/>
          <w:b/>
          <w:bCs/>
          <w:sz w:val="24"/>
          <w:lang w:val="es-ES_tradnl" w:eastAsia="es-ES"/>
        </w:rPr>
        <w:t xml:space="preserve"> </w:t>
      </w:r>
      <w:r w:rsidRPr="00530A31">
        <w:rPr>
          <w:rFonts w:ascii="Palatino Linotype" w:hAnsi="Palatino Linotype"/>
          <w:sz w:val="24"/>
        </w:rPr>
        <w:t xml:space="preserve">el control y equilibrio financiero del </w:t>
      </w:r>
      <w:r w:rsidRPr="00530A31">
        <w:rPr>
          <w:rFonts w:ascii="Palatino Linotype" w:hAnsi="Palatino Linotype"/>
          <w:b/>
          <w:sz w:val="24"/>
        </w:rPr>
        <w:t>SUJETO OBLIGADO</w:t>
      </w:r>
      <w:r w:rsidRPr="00530A31">
        <w:rPr>
          <w:rFonts w:ascii="Palatino Linotype" w:hAnsi="Palatino Linotype"/>
          <w:sz w:val="24"/>
        </w:rPr>
        <w:t>, atendiendo la normatividad aplicable para los sistemas de registro contable y comprobación ante la Contaduría General de Glosa, así como, coordinar, planear y supervisar las funciones y actividades de las unidades administrativas que integran esta Subdirección para el logro eficaz de su objetivo general; y tendrá las siguientes atribuciones y facultades:</w:t>
      </w:r>
    </w:p>
    <w:p w14:paraId="7AADAF09" w14:textId="088D4ABB" w:rsidR="003D4473" w:rsidRPr="00530A31" w:rsidRDefault="003D4473" w:rsidP="003D447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“I. Establecer e implementar el sistema y los procedimientos para llevar a cabo la contabilidad Financiera, Patrimonial y Presupuestal; </w:t>
      </w:r>
    </w:p>
    <w:p w14:paraId="6D53F7C0" w14:textId="77777777" w:rsidR="003D4473" w:rsidRPr="00530A31" w:rsidRDefault="003D4473" w:rsidP="003D4473">
      <w:pPr>
        <w:pStyle w:val="Prrafodelista"/>
        <w:spacing w:before="240" w:after="240"/>
        <w:ind w:left="567" w:right="539"/>
        <w:jc w:val="both"/>
        <w:rPr>
          <w:rFonts w:ascii="Palatino Linotype" w:hAnsi="Palatino Linotype"/>
          <w:b/>
          <w:i/>
        </w:rPr>
      </w:pPr>
      <w:r w:rsidRPr="00530A31">
        <w:rPr>
          <w:rFonts w:ascii="Palatino Linotype" w:hAnsi="Palatino Linotype"/>
          <w:b/>
          <w:i/>
        </w:rPr>
        <w:lastRenderedPageBreak/>
        <w:t xml:space="preserve">II. Integrar y custodiar la documentación comprobatoria de los registros y controles contables y presupuestales, para la integración de los informes Financieros Mensuales y de las Cuentas Públicas Anuales; </w:t>
      </w:r>
    </w:p>
    <w:p w14:paraId="4620EDA3" w14:textId="77777777" w:rsidR="003D4473" w:rsidRPr="00530A31" w:rsidRDefault="003D4473" w:rsidP="003D4473">
      <w:pPr>
        <w:pStyle w:val="Prrafodelista"/>
        <w:spacing w:before="240" w:after="240"/>
        <w:ind w:left="567" w:right="539"/>
        <w:jc w:val="both"/>
        <w:rPr>
          <w:rFonts w:ascii="Palatino Linotype" w:hAnsi="Palatino Linotype"/>
          <w:b/>
          <w:i/>
        </w:rPr>
      </w:pPr>
      <w:r w:rsidRPr="00530A31">
        <w:rPr>
          <w:rFonts w:ascii="Palatino Linotype" w:hAnsi="Palatino Linotype"/>
          <w:b/>
          <w:i/>
        </w:rPr>
        <w:t xml:space="preserve">III. Integrar y elaborar el Presupuesto de Ingresos y Egresos que concentre los programas, planes y metas que ejerzan las Unidades Administrativas del Organismo, por cada ejercicio fiscal o que rebase un ejercicio presupuestal; </w:t>
      </w:r>
    </w:p>
    <w:p w14:paraId="4ABCD639" w14:textId="77777777" w:rsidR="003D4473" w:rsidRPr="00530A31" w:rsidRDefault="003D4473" w:rsidP="003D4473">
      <w:pPr>
        <w:pStyle w:val="Prrafodelista"/>
        <w:spacing w:before="240" w:after="240"/>
        <w:ind w:left="567" w:right="539"/>
        <w:jc w:val="both"/>
        <w:rPr>
          <w:rFonts w:ascii="Palatino Linotype" w:hAnsi="Palatino Linotype"/>
          <w:i/>
        </w:rPr>
      </w:pPr>
      <w:r w:rsidRPr="00530A31">
        <w:rPr>
          <w:rFonts w:ascii="Palatino Linotype" w:hAnsi="Palatino Linotype"/>
          <w:i/>
        </w:rPr>
        <w:t xml:space="preserve">IV. Responder y solventar los pliegos de observaciones y recomendaciones emitidas por cualquier autoridad de índole municipal, estatal o federal que dentro del ámbito de sus atribuciones las determine para el organismo; y </w:t>
      </w:r>
    </w:p>
    <w:p w14:paraId="3CD405AE" w14:textId="7F975D2E" w:rsidR="003D4473" w:rsidRPr="00530A31" w:rsidRDefault="003D4473" w:rsidP="003D4473">
      <w:pPr>
        <w:pStyle w:val="Prrafodelista"/>
        <w:spacing w:before="240" w:after="240"/>
        <w:ind w:left="567" w:right="539"/>
        <w:jc w:val="both"/>
        <w:rPr>
          <w:rFonts w:ascii="Palatino Linotype" w:eastAsia="MS Mincho" w:hAnsi="Palatino Linotype" w:cs="Arial"/>
          <w:b/>
          <w:bCs/>
          <w:i/>
          <w:lang w:val="es-ES_tradnl" w:eastAsia="es-ES"/>
        </w:rPr>
      </w:pPr>
      <w:r w:rsidRPr="00530A31">
        <w:rPr>
          <w:rFonts w:ascii="Palatino Linotype" w:hAnsi="Palatino Linotype"/>
          <w:i/>
        </w:rPr>
        <w:t xml:space="preserve">V. Las que le confieran otros ordenamientos legales y las que le encomiende el </w:t>
      </w:r>
      <w:proofErr w:type="gramStart"/>
      <w:r w:rsidRPr="00530A31">
        <w:rPr>
          <w:rFonts w:ascii="Palatino Linotype" w:hAnsi="Palatino Linotype"/>
          <w:i/>
        </w:rPr>
        <w:t>Director</w:t>
      </w:r>
      <w:proofErr w:type="gramEnd"/>
      <w:r w:rsidRPr="00530A31">
        <w:rPr>
          <w:rFonts w:ascii="Palatino Linotype" w:hAnsi="Palatino Linotype"/>
          <w:i/>
        </w:rPr>
        <w:t xml:space="preserve"> de Administración, Finanzas y Comercialización.”</w:t>
      </w:r>
    </w:p>
    <w:p w14:paraId="2CEAC8D7" w14:textId="77777777" w:rsidR="003D4473" w:rsidRPr="00530A31" w:rsidRDefault="003D4473" w:rsidP="003D4473">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7BDFB7A2" w14:textId="51B038A2" w:rsidR="00062939" w:rsidRPr="00530A31" w:rsidRDefault="003D4473" w:rsidP="00062939">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30A31">
        <w:rPr>
          <w:rFonts w:ascii="Palatino Linotype" w:eastAsia="MS Mincho" w:hAnsi="Palatino Linotype" w:cs="Arial"/>
          <w:bCs/>
          <w:sz w:val="24"/>
          <w:lang w:val="es-ES_tradnl" w:eastAsia="es-ES"/>
        </w:rPr>
        <w:t xml:space="preserve">Finalmente, el artículo 51 del multicitado </w:t>
      </w:r>
      <w:r w:rsidR="00062939" w:rsidRPr="00530A31">
        <w:rPr>
          <w:rFonts w:ascii="Palatino Linotype" w:eastAsia="MS Mincho" w:hAnsi="Palatino Linotype" w:cs="Arial"/>
          <w:bCs/>
          <w:sz w:val="24"/>
          <w:lang w:val="es-ES_tradnl" w:eastAsia="es-ES"/>
        </w:rPr>
        <w:t>reglamento, señala que la</w:t>
      </w:r>
      <w:r w:rsidR="00062939" w:rsidRPr="00530A31">
        <w:rPr>
          <w:rFonts w:ascii="Palatino Linotype" w:eastAsia="MS Mincho" w:hAnsi="Palatino Linotype" w:cs="Arial"/>
          <w:b/>
          <w:bCs/>
          <w:sz w:val="24"/>
          <w:lang w:val="es-ES_tradnl" w:eastAsia="es-ES"/>
        </w:rPr>
        <w:t xml:space="preserve"> Subdirección de Comercialización </w:t>
      </w:r>
      <w:r w:rsidR="00062939" w:rsidRPr="00530A31">
        <w:rPr>
          <w:rFonts w:ascii="Palatino Linotype" w:eastAsia="MS Mincho" w:hAnsi="Palatino Linotype" w:cs="Arial"/>
          <w:bCs/>
          <w:sz w:val="24"/>
          <w:lang w:val="es-ES_tradnl" w:eastAsia="es-ES"/>
        </w:rPr>
        <w:t xml:space="preserve">debe dirigir </w:t>
      </w:r>
      <w:r w:rsidR="00062939" w:rsidRPr="00530A31">
        <w:rPr>
          <w:rFonts w:ascii="Palatino Linotype" w:hAnsi="Palatino Linotype"/>
          <w:sz w:val="24"/>
        </w:rPr>
        <w:t xml:space="preserve">las acciones de sus áreas adscritas, con el fin de edificar la facturación y cobro de los derechos por la prestación de los servicios a cargo del </w:t>
      </w:r>
      <w:r w:rsidR="00062939" w:rsidRPr="00530A31">
        <w:rPr>
          <w:rFonts w:ascii="Palatino Linotype" w:hAnsi="Palatino Linotype"/>
          <w:b/>
          <w:sz w:val="24"/>
        </w:rPr>
        <w:t>SUJETO OBLIGADO</w:t>
      </w:r>
      <w:r w:rsidR="00062939" w:rsidRPr="00530A31">
        <w:rPr>
          <w:rFonts w:ascii="Palatino Linotype" w:hAnsi="Palatino Linotype"/>
          <w:sz w:val="24"/>
        </w:rPr>
        <w:t xml:space="preserve">; así como, determinar presuntivamente las contribuciones omitidas y hacer exigibles los créditos fiscales derivados del incumplimiento de pago de los derechos o de sanciones derivas de infracciones, quien tendrá las siguientes atribuciones y facultades: </w:t>
      </w:r>
    </w:p>
    <w:p w14:paraId="6F3102FA"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i/>
          <w:sz w:val="22"/>
        </w:rPr>
        <w:t xml:space="preserve">“I. Someter a consideración del </w:t>
      </w:r>
      <w:proofErr w:type="gramStart"/>
      <w:r w:rsidRPr="00530A31">
        <w:rPr>
          <w:rFonts w:ascii="Palatino Linotype" w:hAnsi="Palatino Linotype"/>
          <w:i/>
          <w:sz w:val="22"/>
        </w:rPr>
        <w:t>Director General</w:t>
      </w:r>
      <w:proofErr w:type="gramEnd"/>
      <w:r w:rsidRPr="00530A31">
        <w:rPr>
          <w:rFonts w:ascii="Palatino Linotype" w:hAnsi="Palatino Linotype"/>
          <w:i/>
          <w:sz w:val="22"/>
        </w:rPr>
        <w:t xml:space="preserve"> y del Director de Administración, Finanzas y Comercialización, la propuesta para fijar en términos de las disposiciones legales, las tarifas y políticas para el cobro de los derechos por la prestación de los servicios; </w:t>
      </w:r>
    </w:p>
    <w:p w14:paraId="464C17B2"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i/>
          <w:sz w:val="22"/>
        </w:rPr>
        <w:t>II. Determinar la existencia de créditos fiscales, dar la base de su liquidación, cerciorarse del cumplimiento de las disposiciones establecidas en la Ley del Agua, además, recaudar y fiscalizar las contribuciones;</w:t>
      </w:r>
    </w:p>
    <w:p w14:paraId="7035F0A3"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b/>
          <w:i/>
          <w:sz w:val="22"/>
        </w:rPr>
        <w:t>III. De acuerdo con las disposiciones fiscales, proponer al Consejo Directivo, las políticas para subsidios, bonificaciones, condonaciones, descuentos, ajustes a contribuciones y sus accesorios y en su caso, aplicarlas;</w:t>
      </w:r>
    </w:p>
    <w:p w14:paraId="605D8969"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b/>
          <w:i/>
          <w:sz w:val="22"/>
        </w:rPr>
        <w:t xml:space="preserve">IV. Presentar al </w:t>
      </w:r>
      <w:proofErr w:type="gramStart"/>
      <w:r w:rsidRPr="00530A31">
        <w:rPr>
          <w:rFonts w:ascii="Palatino Linotype" w:hAnsi="Palatino Linotype"/>
          <w:b/>
          <w:i/>
          <w:sz w:val="22"/>
        </w:rPr>
        <w:t>Director</w:t>
      </w:r>
      <w:proofErr w:type="gramEnd"/>
      <w:r w:rsidRPr="00530A31">
        <w:rPr>
          <w:rFonts w:ascii="Palatino Linotype" w:hAnsi="Palatino Linotype"/>
          <w:b/>
          <w:i/>
          <w:sz w:val="22"/>
        </w:rPr>
        <w:t xml:space="preserve"> de Administración, Finanzas y Comercialización, para su aprobación, las solicitudes de permisos para el suministro de agua potable y </w:t>
      </w:r>
      <w:r w:rsidRPr="00530A31">
        <w:rPr>
          <w:rFonts w:ascii="Palatino Linotype" w:hAnsi="Palatino Linotype"/>
          <w:b/>
          <w:i/>
          <w:sz w:val="22"/>
        </w:rPr>
        <w:lastRenderedPageBreak/>
        <w:t>agua tratada en carro cisterna y supervisar que la operación se sujete a las leyes y condiciones aplicables;</w:t>
      </w:r>
    </w:p>
    <w:p w14:paraId="7F6D6612"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V. Ordenar y ejecutar visitas de verificación e inspección en el domicilio, instalaciones, documentos, equipos y bienes de los contribuyentes, con la finalidad de comprobar que los usuarios, concesionarios o permisionarios, y los terceros con ellos relacionados, cumplen con las disposiciones de la Ley del Agua y su Reglamento; </w:t>
      </w:r>
    </w:p>
    <w:p w14:paraId="22F1B415"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i/>
          <w:sz w:val="22"/>
        </w:rPr>
        <w:t xml:space="preserve">VI. Expedir o renovar los permisos de descargas de aguas residuales domésticas, de servicios e industriales a la red municipal, previa verificación y calificación de la manifestación que el solicitante presente, con una vigencia de año calendario (enero-diciembre). </w:t>
      </w:r>
    </w:p>
    <w:p w14:paraId="2D9640B4"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i/>
          <w:sz w:val="22"/>
        </w:rPr>
        <w:t xml:space="preserve">VII. Imponer multas a los propietarios, poseedores, usuarios o terceros con ellos relacionados, por infracciones administrativas y fiscales en términos de los ordenamientos legales aplicables; </w:t>
      </w:r>
    </w:p>
    <w:p w14:paraId="783D0045"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VIII. Formular las proyecciones de ingresos y turnarlas a la Dirección de Administración, Finanzas y Comercialización; </w:t>
      </w:r>
    </w:p>
    <w:p w14:paraId="574050D3"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i/>
          <w:sz w:val="22"/>
        </w:rPr>
        <w:t xml:space="preserve">IX. Proponer a la Dirección General y a la Dirección de Administración, Finanzas y Comercialización, la cancelación de cuentas incobrables y la prescripción de créditos fiscales, para la debida aprobación del Consejo; </w:t>
      </w:r>
    </w:p>
    <w:p w14:paraId="59698EEF"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X. Actualizar el padrón de usuarios de acuerdo a los lineamientos emitidos para tal efecto; </w:t>
      </w:r>
    </w:p>
    <w:p w14:paraId="419D5053"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i/>
          <w:sz w:val="22"/>
        </w:rPr>
        <w:t xml:space="preserve">XI. Ejercer las atribuciones de autoridad fiscal que le delegue el </w:t>
      </w:r>
      <w:proofErr w:type="gramStart"/>
      <w:r w:rsidRPr="00530A31">
        <w:rPr>
          <w:rFonts w:ascii="Palatino Linotype" w:hAnsi="Palatino Linotype"/>
          <w:i/>
          <w:sz w:val="22"/>
        </w:rPr>
        <w:t>Director</w:t>
      </w:r>
      <w:proofErr w:type="gramEnd"/>
      <w:r w:rsidRPr="00530A31">
        <w:rPr>
          <w:rFonts w:ascii="Palatino Linotype" w:hAnsi="Palatino Linotype"/>
          <w:i/>
          <w:sz w:val="22"/>
        </w:rPr>
        <w:t xml:space="preserve"> de Administración, Finanzas y Comercialización, así como las expresamente señaladas en las disposiciones legales aplicables; </w:t>
      </w:r>
    </w:p>
    <w:p w14:paraId="4B1F5066"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XII. Previo acuerdo y aprobación de la Dirección de Administración, Finanzas y Comercialización, aplicar las políticas de recaudación y atención a los usuarios; </w:t>
      </w:r>
    </w:p>
    <w:p w14:paraId="0B5C4781"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XIII. Integrar, actualizar y resguardar los registros informáticos, estadísticos y cartográficos de la toma y los usuarios; </w:t>
      </w:r>
    </w:p>
    <w:p w14:paraId="6E2FC94C"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XIV. Coordinar el levantamiento y procesamiento de censos, encuestas y muestreos sobre lotes baldíos, tomas, usuarios y otros; </w:t>
      </w:r>
    </w:p>
    <w:p w14:paraId="3A4A539C"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i/>
          <w:sz w:val="22"/>
        </w:rPr>
        <w:lastRenderedPageBreak/>
        <w:t xml:space="preserve">XV. Proponer la celebración de convenios de intercambio de información y datos sobre población y territorio del Municipio en materia hidráulica, con entidades públicas y privadas; </w:t>
      </w:r>
    </w:p>
    <w:p w14:paraId="507649D5" w14:textId="77777777" w:rsidR="00062939" w:rsidRPr="00530A31" w:rsidRDefault="00062939" w:rsidP="00062939">
      <w:pPr>
        <w:spacing w:before="240" w:after="240"/>
        <w:ind w:left="567" w:right="539"/>
        <w:jc w:val="both"/>
        <w:rPr>
          <w:rFonts w:ascii="Palatino Linotype" w:hAnsi="Palatino Linotype"/>
          <w:i/>
          <w:sz w:val="22"/>
        </w:rPr>
      </w:pPr>
      <w:r w:rsidRPr="00530A31">
        <w:rPr>
          <w:rFonts w:ascii="Palatino Linotype" w:hAnsi="Palatino Linotype"/>
          <w:i/>
          <w:sz w:val="22"/>
        </w:rPr>
        <w:t xml:space="preserve">XVI. Expedir a los usuarios, en su caso, certificaciones de pago por concepto de derechos y aportaciones; </w:t>
      </w:r>
    </w:p>
    <w:p w14:paraId="64FB5920"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XVII. Atender en tiempo y forma, las solicitudes que formulen los usuarios que sean de su competencia;</w:t>
      </w:r>
    </w:p>
    <w:p w14:paraId="19971E48"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XVIII. Coordinar y supervisar las acciones correspondientes de las unidades administrativas, en la Zona Poniente y Oriente del Municipio, conforme a estas atribuciones; </w:t>
      </w:r>
    </w:p>
    <w:p w14:paraId="55717B15"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XIX. Dirigir, supervisar y vigilar que se lleven a cabo las lecturas a los aparatos medidores de agua potable y agua tratada instalados en el Municipio en la Zona Poniente y Oriente, de manera oportuna y veraz; </w:t>
      </w:r>
    </w:p>
    <w:p w14:paraId="7D8BC70A"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XX. Coordinar con la Subdirección de Operación Hidráulica, la instalación y conexiones para el suministro de los servicios de agua potable, agua tratada y drenaje, en la Zona Poniente y Oriente; </w:t>
      </w:r>
    </w:p>
    <w:p w14:paraId="765FD8D8" w14:textId="77777777" w:rsidR="00062939" w:rsidRPr="00530A31" w:rsidRDefault="00062939" w:rsidP="00062939">
      <w:pPr>
        <w:spacing w:before="240" w:after="240"/>
        <w:ind w:left="567" w:right="539"/>
        <w:jc w:val="both"/>
        <w:rPr>
          <w:rFonts w:ascii="Palatino Linotype" w:hAnsi="Palatino Linotype"/>
          <w:b/>
          <w:i/>
          <w:sz w:val="22"/>
        </w:rPr>
      </w:pPr>
      <w:r w:rsidRPr="00530A31">
        <w:rPr>
          <w:rFonts w:ascii="Palatino Linotype" w:hAnsi="Palatino Linotype"/>
          <w:b/>
          <w:i/>
          <w:sz w:val="22"/>
        </w:rPr>
        <w:t xml:space="preserve">XXI. Coordinar con la Subdirección de Operación Hidráulica, la restricción del suministro de agua potable, agua tratada, drenaje, a usuarios en rezago de créditos fiscales, previa resolución del procedimiento administrativo que corresponda, en la Zona Poniente y Oriente; y </w:t>
      </w:r>
    </w:p>
    <w:p w14:paraId="7E93B5EB" w14:textId="678BB485" w:rsidR="00062939" w:rsidRPr="00530A31" w:rsidRDefault="00062939" w:rsidP="00C67969">
      <w:pPr>
        <w:spacing w:before="240" w:after="240"/>
        <w:ind w:left="567" w:right="539"/>
        <w:jc w:val="both"/>
        <w:rPr>
          <w:rFonts w:ascii="Palatino Linotype" w:eastAsia="MS Mincho" w:hAnsi="Palatino Linotype" w:cs="Arial"/>
          <w:bCs/>
          <w:i/>
          <w:sz w:val="22"/>
          <w:lang w:val="es-ES_tradnl" w:eastAsia="es-ES"/>
        </w:rPr>
      </w:pPr>
      <w:r w:rsidRPr="00530A31">
        <w:rPr>
          <w:rFonts w:ascii="Palatino Linotype" w:hAnsi="Palatino Linotype"/>
          <w:i/>
          <w:sz w:val="22"/>
        </w:rPr>
        <w:t xml:space="preserve">XXII. Las que le confieran otras disposiciones legales y las que le encomiende el </w:t>
      </w:r>
      <w:proofErr w:type="gramStart"/>
      <w:r w:rsidRPr="00530A31">
        <w:rPr>
          <w:rFonts w:ascii="Palatino Linotype" w:hAnsi="Palatino Linotype"/>
          <w:i/>
          <w:sz w:val="22"/>
        </w:rPr>
        <w:t>Director General</w:t>
      </w:r>
      <w:proofErr w:type="gramEnd"/>
      <w:r w:rsidRPr="00530A31">
        <w:rPr>
          <w:rFonts w:ascii="Palatino Linotype" w:hAnsi="Palatino Linotype"/>
          <w:i/>
          <w:sz w:val="22"/>
        </w:rPr>
        <w:t>.”</w:t>
      </w:r>
    </w:p>
    <w:p w14:paraId="7599415B" w14:textId="77777777" w:rsidR="00C67969" w:rsidRPr="00530A31" w:rsidRDefault="00C67969" w:rsidP="00C67969">
      <w:pPr>
        <w:spacing w:before="240" w:after="240"/>
        <w:ind w:left="567" w:right="539"/>
        <w:jc w:val="both"/>
        <w:rPr>
          <w:rFonts w:ascii="Palatino Linotype" w:eastAsia="MS Mincho" w:hAnsi="Palatino Linotype" w:cs="Arial"/>
          <w:bCs/>
          <w:i/>
          <w:lang w:val="es-ES_tradnl" w:eastAsia="es-ES"/>
        </w:rPr>
      </w:pPr>
    </w:p>
    <w:p w14:paraId="6924D55C" w14:textId="7DEB5A01" w:rsidR="00C67969" w:rsidRPr="00530A31" w:rsidRDefault="00062939" w:rsidP="00C67969">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30A31">
        <w:rPr>
          <w:rFonts w:ascii="Palatino Linotype" w:eastAsia="MS Mincho" w:hAnsi="Palatino Linotype" w:cs="Arial"/>
          <w:sz w:val="24"/>
          <w:lang w:val="es-ES_tradnl" w:eastAsia="es-ES"/>
        </w:rPr>
        <w:t xml:space="preserve">De lo </w:t>
      </w:r>
      <w:r w:rsidRPr="00530A31">
        <w:rPr>
          <w:rFonts w:ascii="Palatino Linotype" w:hAnsi="Palatino Linotype" w:cs="Arial"/>
          <w:sz w:val="24"/>
        </w:rPr>
        <w:t>expuesto,</w:t>
      </w:r>
      <w:r w:rsidRPr="00530A31">
        <w:rPr>
          <w:rFonts w:ascii="Palatino Linotype" w:hAnsi="Palatino Linotype" w:cs="Tahoma"/>
          <w:sz w:val="24"/>
        </w:rPr>
        <w:t xml:space="preserve"> se advierte que el </w:t>
      </w:r>
      <w:r w:rsidRPr="00530A31">
        <w:rPr>
          <w:rFonts w:ascii="Palatino Linotype" w:hAnsi="Palatino Linotype" w:cs="Tahoma"/>
          <w:b/>
          <w:bCs/>
          <w:sz w:val="24"/>
        </w:rPr>
        <w:t xml:space="preserve">SUJETO OBLIGADO </w:t>
      </w:r>
      <w:r w:rsidRPr="00530A31">
        <w:rPr>
          <w:rFonts w:ascii="Palatino Linotype" w:hAnsi="Palatino Linotype" w:cs="Tahoma"/>
          <w:sz w:val="24"/>
        </w:rPr>
        <w:t>realizó una bú</w:t>
      </w:r>
      <w:r w:rsidR="00C67969" w:rsidRPr="00530A31">
        <w:rPr>
          <w:rFonts w:ascii="Palatino Linotype" w:hAnsi="Palatino Linotype" w:cs="Tahoma"/>
          <w:sz w:val="24"/>
        </w:rPr>
        <w:t xml:space="preserve">squeda exhaustiva y razonable y </w:t>
      </w:r>
      <w:r w:rsidRPr="00530A31">
        <w:rPr>
          <w:rFonts w:ascii="Palatino Linotype" w:hAnsi="Palatino Linotype" w:cs="Tahoma"/>
          <w:sz w:val="24"/>
        </w:rPr>
        <w:t>atendió la solicitud de acceso a la información a través de</w:t>
      </w:r>
      <w:r w:rsidR="00C67969" w:rsidRPr="00530A31">
        <w:rPr>
          <w:rFonts w:ascii="Palatino Linotype" w:hAnsi="Palatino Linotype" w:cs="Tahoma"/>
          <w:sz w:val="24"/>
        </w:rPr>
        <w:t xml:space="preserve"> </w:t>
      </w:r>
      <w:r w:rsidRPr="00530A31">
        <w:rPr>
          <w:rFonts w:ascii="Palatino Linotype" w:hAnsi="Palatino Linotype" w:cs="Tahoma"/>
          <w:sz w:val="24"/>
        </w:rPr>
        <w:t>l</w:t>
      </w:r>
      <w:r w:rsidR="00C67969" w:rsidRPr="00530A31">
        <w:rPr>
          <w:rFonts w:ascii="Palatino Linotype" w:hAnsi="Palatino Linotype" w:cs="Tahoma"/>
          <w:sz w:val="24"/>
        </w:rPr>
        <w:t>os</w:t>
      </w:r>
      <w:r w:rsidRPr="00530A31">
        <w:rPr>
          <w:rFonts w:ascii="Palatino Linotype" w:hAnsi="Palatino Linotype" w:cs="Tahoma"/>
          <w:sz w:val="24"/>
        </w:rPr>
        <w:t xml:space="preserve"> Servidor</w:t>
      </w:r>
      <w:r w:rsidR="00C67969" w:rsidRPr="00530A31">
        <w:rPr>
          <w:rFonts w:ascii="Palatino Linotype" w:hAnsi="Palatino Linotype" w:cs="Tahoma"/>
          <w:sz w:val="24"/>
        </w:rPr>
        <w:t>es</w:t>
      </w:r>
      <w:r w:rsidRPr="00530A31">
        <w:rPr>
          <w:rFonts w:ascii="Palatino Linotype" w:hAnsi="Palatino Linotype" w:cs="Tahoma"/>
          <w:sz w:val="24"/>
        </w:rPr>
        <w:t xml:space="preserve"> Público Habilitado</w:t>
      </w:r>
      <w:r w:rsidR="00C67969" w:rsidRPr="00530A31">
        <w:rPr>
          <w:rFonts w:ascii="Palatino Linotype" w:hAnsi="Palatino Linotype" w:cs="Tahoma"/>
          <w:sz w:val="24"/>
        </w:rPr>
        <w:t>s</w:t>
      </w:r>
      <w:r w:rsidRPr="00530A31">
        <w:rPr>
          <w:rFonts w:ascii="Palatino Linotype" w:hAnsi="Palatino Linotype" w:cs="Tahoma"/>
          <w:sz w:val="24"/>
        </w:rPr>
        <w:t xml:space="preserve"> competente</w:t>
      </w:r>
      <w:r w:rsidR="00C67969" w:rsidRPr="00530A31">
        <w:rPr>
          <w:rFonts w:ascii="Palatino Linotype" w:hAnsi="Palatino Linotype" w:cs="Tahoma"/>
          <w:sz w:val="24"/>
        </w:rPr>
        <w:t xml:space="preserve">s al remitir los documentos que dan constancia de la </w:t>
      </w:r>
      <w:r w:rsidRPr="00530A31">
        <w:rPr>
          <w:rFonts w:ascii="Palatino Linotype" w:hAnsi="Palatino Linotype" w:cs="Tahoma"/>
          <w:sz w:val="24"/>
        </w:rPr>
        <w:t xml:space="preserve">información solicitada por el </w:t>
      </w:r>
      <w:r w:rsidR="00C67969" w:rsidRPr="00530A31">
        <w:rPr>
          <w:rFonts w:ascii="Palatino Linotype" w:hAnsi="Palatino Linotype" w:cs="Tahoma"/>
          <w:b/>
          <w:bCs/>
          <w:sz w:val="24"/>
        </w:rPr>
        <w:t xml:space="preserve">RECURRENTE, </w:t>
      </w:r>
      <w:r w:rsidR="00C67969" w:rsidRPr="00530A31">
        <w:rPr>
          <w:rFonts w:ascii="Palatino Linotype" w:hAnsi="Palatino Linotype" w:cs="Tahoma"/>
          <w:bCs/>
          <w:sz w:val="24"/>
        </w:rPr>
        <w:t>conforme obra en sus archivos</w:t>
      </w:r>
      <w:r w:rsidRPr="00530A31">
        <w:rPr>
          <w:rFonts w:ascii="Palatino Linotype" w:hAnsi="Palatino Linotype" w:cs="Tahoma"/>
          <w:sz w:val="24"/>
        </w:rPr>
        <w:t xml:space="preserve">; por lo tanto, </w:t>
      </w:r>
      <w:r w:rsidRPr="00530A31">
        <w:rPr>
          <w:rFonts w:ascii="Palatino Linotype" w:hAnsi="Palatino Linotype" w:cs="Arial"/>
          <w:sz w:val="24"/>
        </w:rPr>
        <w:t xml:space="preserve">este Instituto no se encuentra facultado para dudar de la </w:t>
      </w:r>
      <w:r w:rsidRPr="00530A31">
        <w:rPr>
          <w:rFonts w:ascii="Palatino Linotype" w:hAnsi="Palatino Linotype" w:cs="Arial"/>
          <w:sz w:val="24"/>
        </w:rPr>
        <w:lastRenderedPageBreak/>
        <w:t xml:space="preserve">veracidad de la respuesta emitida por los </w:t>
      </w:r>
      <w:r w:rsidRPr="00530A31">
        <w:rPr>
          <w:rFonts w:ascii="Palatino Linotype" w:hAnsi="Palatino Linotype" w:cs="Arial"/>
          <w:b/>
          <w:bCs/>
          <w:sz w:val="24"/>
        </w:rPr>
        <w:t xml:space="preserve">SUJETOS OBLIGADO </w:t>
      </w:r>
      <w:r w:rsidRPr="00530A31">
        <w:rPr>
          <w:rFonts w:ascii="Palatino Linotype" w:hAnsi="Palatino Linotype" w:cs="Arial"/>
          <w:sz w:val="24"/>
        </w:rPr>
        <w:t xml:space="preserve">ni de la que pone a disposición de los solicitantes; situación que se aleja de las atribuciones de este Instituto </w:t>
      </w:r>
      <w:r w:rsidRPr="00530A31">
        <w:rPr>
          <w:rFonts w:ascii="Palatino Linotype" w:hAnsi="Palatino Linotype"/>
          <w:color w:val="000000"/>
          <w:sz w:val="24"/>
        </w:rPr>
        <w:t xml:space="preserve">máxime que al momento que ponen a disposición ésta, la misma tiene el carácter oficial y se presume veraz, tan es así quedó registrada en el </w:t>
      </w:r>
      <w:r w:rsidRPr="00530A31">
        <w:rPr>
          <w:rFonts w:ascii="Palatino Linotype" w:hAnsi="Palatino Linotype"/>
          <w:b/>
          <w:bCs/>
          <w:color w:val="000000"/>
          <w:sz w:val="24"/>
        </w:rPr>
        <w:t>SAIMEX</w:t>
      </w:r>
      <w:r w:rsidRPr="00530A31">
        <w:rPr>
          <w:rFonts w:ascii="Palatino Linotype" w:hAnsi="Palatino Linotype" w:cs="Arial"/>
          <w:b/>
          <w:bCs/>
          <w:sz w:val="24"/>
          <w:lang w:val="es-ES_tradnl"/>
        </w:rPr>
        <w:t>.</w:t>
      </w:r>
    </w:p>
    <w:p w14:paraId="128F8B1A" w14:textId="77777777" w:rsidR="00C67969" w:rsidRPr="00530A31" w:rsidRDefault="00C67969" w:rsidP="00C67969">
      <w:pPr>
        <w:pStyle w:val="Prrafodelista"/>
        <w:spacing w:before="240" w:after="240" w:line="360" w:lineRule="auto"/>
        <w:ind w:left="0" w:right="48"/>
        <w:jc w:val="both"/>
        <w:rPr>
          <w:rFonts w:ascii="Palatino Linotype" w:eastAsia="MS Mincho" w:hAnsi="Palatino Linotype" w:cs="Arial"/>
          <w:bCs/>
          <w:sz w:val="24"/>
          <w:lang w:val="es-ES_tradnl" w:eastAsia="es-ES"/>
        </w:rPr>
      </w:pPr>
    </w:p>
    <w:p w14:paraId="62F9CFC6" w14:textId="0D36DEFC" w:rsidR="00062939" w:rsidRPr="00530A31" w:rsidRDefault="00062939" w:rsidP="00C67969">
      <w:pPr>
        <w:pStyle w:val="Prrafodelista"/>
        <w:numPr>
          <w:ilvl w:val="0"/>
          <w:numId w:val="1"/>
        </w:numPr>
        <w:spacing w:before="240" w:after="240" w:line="360" w:lineRule="auto"/>
        <w:ind w:left="0" w:right="48" w:firstLine="0"/>
        <w:jc w:val="both"/>
        <w:rPr>
          <w:rFonts w:ascii="Palatino Linotype" w:eastAsia="MS Mincho" w:hAnsi="Palatino Linotype" w:cs="Arial"/>
          <w:bCs/>
          <w:sz w:val="24"/>
          <w:lang w:val="es-ES_tradnl" w:eastAsia="es-ES"/>
        </w:rPr>
      </w:pPr>
      <w:r w:rsidRPr="00530A31">
        <w:rPr>
          <w:rFonts w:ascii="Palatino Linotype" w:hAnsi="Palatino Linotype" w:cs="Arial"/>
          <w:color w:val="000000"/>
          <w:sz w:val="24"/>
        </w:rPr>
        <w:t xml:space="preserve">Sirve </w:t>
      </w:r>
      <w:r w:rsidRPr="00530A31">
        <w:rPr>
          <w:rFonts w:ascii="Palatino Linotype" w:hAnsi="Palatino Linotype" w:cs="Arial"/>
          <w:color w:val="000000"/>
          <w:sz w:val="24"/>
          <w:lang w:val="es-ES_tradnl"/>
        </w:rPr>
        <w:t>de sustento a lo anterior, el criterio 31/10 emitido por el entonces Instituto Federal de Acceso a la Información y Protección de Datos, ahora Instituto Nacional de Acceso a la Información y Protección de Datos, que enuncia lo siguiente:</w:t>
      </w:r>
    </w:p>
    <w:p w14:paraId="24A4BB05" w14:textId="77777777" w:rsidR="00062939" w:rsidRPr="00530A31" w:rsidRDefault="00062939" w:rsidP="00062939">
      <w:pPr>
        <w:ind w:left="567" w:right="539"/>
        <w:jc w:val="both"/>
        <w:rPr>
          <w:rFonts w:ascii="Palatino Linotype" w:hAnsi="Palatino Linotype" w:cs="Arial"/>
          <w:i/>
          <w:sz w:val="22"/>
        </w:rPr>
      </w:pPr>
      <w:r w:rsidRPr="00530A31">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530A31">
        <w:rPr>
          <w:rFonts w:ascii="Palatino Linotype" w:hAnsi="Palatino Linotype" w:cs="Arial"/>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530A31">
        <w:rPr>
          <w:rFonts w:ascii="Palatino Linotype" w:hAnsi="Palatino Linotype" w:cs="Arial"/>
          <w:i/>
          <w:sz w:val="22"/>
        </w:rPr>
        <w:t>Marván</w:t>
      </w:r>
      <w:proofErr w:type="spellEnd"/>
      <w:r w:rsidRPr="00530A31">
        <w:rPr>
          <w:rFonts w:ascii="Palatino Linotype" w:hAnsi="Palatino Linotype" w:cs="Arial"/>
          <w:i/>
          <w:sz w:val="22"/>
        </w:rPr>
        <w:t xml:space="preserve"> Laborde 2395/09 Secretaría de Economía - María </w:t>
      </w:r>
      <w:proofErr w:type="spellStart"/>
      <w:r w:rsidRPr="00530A31">
        <w:rPr>
          <w:rFonts w:ascii="Palatino Linotype" w:hAnsi="Palatino Linotype" w:cs="Arial"/>
          <w:i/>
          <w:sz w:val="22"/>
        </w:rPr>
        <w:t>Marván</w:t>
      </w:r>
      <w:proofErr w:type="spellEnd"/>
      <w:r w:rsidRPr="00530A31">
        <w:rPr>
          <w:rFonts w:ascii="Palatino Linotype" w:hAnsi="Palatino Linotype" w:cs="Arial"/>
          <w:i/>
          <w:sz w:val="22"/>
        </w:rPr>
        <w:t xml:space="preserve"> Laborde 0837/10 Administración Portuaria Integral de Veracruz, S.A. de C.V. – María </w:t>
      </w:r>
      <w:proofErr w:type="spellStart"/>
      <w:r w:rsidRPr="00530A31">
        <w:rPr>
          <w:rFonts w:ascii="Palatino Linotype" w:hAnsi="Palatino Linotype" w:cs="Arial"/>
          <w:i/>
          <w:sz w:val="22"/>
        </w:rPr>
        <w:t>Marván</w:t>
      </w:r>
      <w:proofErr w:type="spellEnd"/>
      <w:r w:rsidRPr="00530A31">
        <w:rPr>
          <w:rFonts w:ascii="Palatino Linotype" w:hAnsi="Palatino Linotype" w:cs="Arial"/>
          <w:i/>
          <w:sz w:val="22"/>
        </w:rPr>
        <w:t xml:space="preserve"> Laborde </w:t>
      </w:r>
    </w:p>
    <w:p w14:paraId="5EA76B5B" w14:textId="77777777" w:rsidR="00062939" w:rsidRPr="00530A31" w:rsidRDefault="00062939" w:rsidP="00062939">
      <w:pPr>
        <w:ind w:left="567" w:right="539"/>
        <w:jc w:val="both"/>
        <w:rPr>
          <w:rFonts w:ascii="Palatino Linotype" w:hAnsi="Palatino Linotype" w:cs="Arial"/>
          <w:i/>
          <w:sz w:val="22"/>
        </w:rPr>
      </w:pPr>
    </w:p>
    <w:p w14:paraId="48E8CBAD" w14:textId="25DA9AAB" w:rsidR="00C67969" w:rsidRDefault="00062939" w:rsidP="00C67969">
      <w:pPr>
        <w:ind w:left="567" w:right="539"/>
        <w:jc w:val="both"/>
        <w:rPr>
          <w:rFonts w:ascii="Palatino Linotype" w:hAnsi="Palatino Linotype" w:cs="Arial"/>
          <w:i/>
          <w:sz w:val="22"/>
        </w:rPr>
      </w:pPr>
      <w:r w:rsidRPr="00530A31">
        <w:rPr>
          <w:rFonts w:ascii="Palatino Linotype" w:hAnsi="Palatino Linotype" w:cs="Arial"/>
          <w:i/>
          <w:sz w:val="22"/>
        </w:rPr>
        <w:t>Criterio 31/10</w:t>
      </w:r>
    </w:p>
    <w:p w14:paraId="12B7F8DD" w14:textId="77777777" w:rsidR="00530A31" w:rsidRPr="00530A31" w:rsidRDefault="00530A31" w:rsidP="00C67969">
      <w:pPr>
        <w:ind w:left="567" w:right="539"/>
        <w:jc w:val="both"/>
        <w:rPr>
          <w:rFonts w:ascii="Palatino Linotype" w:hAnsi="Palatino Linotype" w:cs="Arial"/>
          <w:i/>
          <w:sz w:val="22"/>
        </w:rPr>
      </w:pPr>
    </w:p>
    <w:p w14:paraId="56D9195D" w14:textId="77777777" w:rsidR="00C67969" w:rsidRPr="00530A31" w:rsidRDefault="00062939" w:rsidP="00C67969">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530A31">
        <w:rPr>
          <w:rFonts w:ascii="Palatino Linotype" w:hAnsi="Palatino Linotype" w:cs="Arial"/>
          <w:color w:val="000000"/>
          <w:sz w:val="24"/>
        </w:rPr>
        <w:t xml:space="preserve">Es así, que con fundamento en el artículo 186, fracción II, de la Ley de Transparencia y Acceso a la Información Pública del Estado de México y Municipios, </w:t>
      </w:r>
      <w:r w:rsidRPr="00530A31">
        <w:rPr>
          <w:rFonts w:ascii="Palatino Linotype" w:hAnsi="Palatino Linotype" w:cs="Arial"/>
          <w:color w:val="000000"/>
          <w:sz w:val="24"/>
        </w:rPr>
        <w:lastRenderedPageBreak/>
        <w:t xml:space="preserve">este Instituto considera procedente </w:t>
      </w:r>
      <w:r w:rsidRPr="00530A31">
        <w:rPr>
          <w:rFonts w:ascii="Palatino Linotype" w:hAnsi="Palatino Linotype" w:cs="Arial"/>
          <w:b/>
          <w:color w:val="000000"/>
          <w:sz w:val="24"/>
        </w:rPr>
        <w:t xml:space="preserve">CONFIRMAR </w:t>
      </w:r>
      <w:r w:rsidRPr="00530A31">
        <w:rPr>
          <w:rFonts w:ascii="Palatino Linotype" w:hAnsi="Palatino Linotype" w:cs="Arial"/>
          <w:color w:val="000000"/>
          <w:sz w:val="24"/>
        </w:rPr>
        <w:t>la respuesta otorgada por el Sujeto Obligado.</w:t>
      </w:r>
    </w:p>
    <w:p w14:paraId="0B96FDB3" w14:textId="77777777" w:rsidR="00C67969" w:rsidRPr="00530A31" w:rsidRDefault="00C67969" w:rsidP="00C67969">
      <w:pPr>
        <w:pStyle w:val="Prrafodelista"/>
        <w:spacing w:before="240" w:after="240" w:line="360" w:lineRule="auto"/>
        <w:ind w:left="0" w:right="48"/>
        <w:jc w:val="both"/>
        <w:rPr>
          <w:rFonts w:ascii="Palatino Linotype" w:eastAsia="MS Mincho" w:hAnsi="Palatino Linotype" w:cs="Arial"/>
          <w:sz w:val="24"/>
          <w:lang w:val="es-ES_tradnl" w:eastAsia="es-ES"/>
        </w:rPr>
      </w:pPr>
    </w:p>
    <w:p w14:paraId="3E5C0963" w14:textId="79CB22F1" w:rsidR="006F0638" w:rsidRPr="00530A31" w:rsidRDefault="00C67969" w:rsidP="006F0638">
      <w:pPr>
        <w:pStyle w:val="Prrafodelista"/>
        <w:numPr>
          <w:ilvl w:val="0"/>
          <w:numId w:val="1"/>
        </w:numPr>
        <w:spacing w:before="240" w:after="240" w:line="360" w:lineRule="auto"/>
        <w:ind w:left="0" w:right="48" w:firstLine="0"/>
        <w:jc w:val="both"/>
        <w:rPr>
          <w:rFonts w:ascii="Palatino Linotype" w:eastAsia="MS Mincho" w:hAnsi="Palatino Linotype" w:cs="Arial"/>
          <w:sz w:val="24"/>
          <w:lang w:val="es-ES_tradnl" w:eastAsia="es-ES"/>
        </w:rPr>
      </w:pPr>
      <w:r w:rsidRPr="00530A31">
        <w:rPr>
          <w:rFonts w:ascii="Palatino Linotype" w:hAnsi="Palatino Linotype" w:cs="Arial"/>
          <w:color w:val="000000"/>
          <w:sz w:val="24"/>
        </w:rPr>
        <w:t xml:space="preserve">Por </w:t>
      </w:r>
      <w:r w:rsidRPr="00530A31">
        <w:rPr>
          <w:rFonts w:ascii="Palatino Linotype" w:eastAsiaTheme="minorEastAsia" w:hAnsi="Palatino Linotype"/>
          <w:color w:val="000000"/>
          <w:sz w:val="24"/>
          <w:lang w:val="es-ES"/>
        </w:rPr>
        <w:t xml:space="preserve">lo anteriormente expuesto y fundado, este </w:t>
      </w:r>
      <w:r w:rsidRPr="00530A31">
        <w:rPr>
          <w:rFonts w:ascii="Palatino Linotype" w:eastAsiaTheme="minorEastAsia" w:hAnsi="Palatino Linotype"/>
          <w:b/>
          <w:bCs/>
          <w:color w:val="000000"/>
          <w:sz w:val="24"/>
          <w:lang w:val="es-ES"/>
        </w:rPr>
        <w:t>ÓRGANO GARANTE</w:t>
      </w:r>
      <w:r w:rsidRPr="00530A31">
        <w:rPr>
          <w:rFonts w:ascii="Palatino Linotype" w:eastAsiaTheme="minorEastAsia" w:hAnsi="Palatino Linotype"/>
          <w:color w:val="000000"/>
          <w:sz w:val="24"/>
          <w:lang w:val="es-ES"/>
        </w:rPr>
        <w:t xml:space="preserve"> emite los siguientes: </w:t>
      </w:r>
      <w:bookmarkEnd w:id="29"/>
      <w:bookmarkEnd w:id="30"/>
    </w:p>
    <w:p w14:paraId="1A34E69E" w14:textId="459446DC" w:rsidR="00E93FC1" w:rsidRPr="00530A31" w:rsidRDefault="00E93FC1" w:rsidP="00C67969">
      <w:pPr>
        <w:keepNext/>
        <w:keepLines/>
        <w:spacing w:before="240" w:after="240" w:line="360" w:lineRule="auto"/>
        <w:jc w:val="center"/>
        <w:outlineLvl w:val="0"/>
        <w:rPr>
          <w:rFonts w:ascii="Palatino Linotype" w:eastAsiaTheme="majorEastAsia" w:hAnsi="Palatino Linotype" w:cstheme="majorBidi"/>
          <w:b/>
          <w:color w:val="000000" w:themeColor="text1"/>
          <w:lang w:eastAsia="en-US"/>
        </w:rPr>
      </w:pPr>
      <w:bookmarkStart w:id="31" w:name="_Toc528153792"/>
      <w:bookmarkStart w:id="32" w:name="_Toc94119621"/>
      <w:r w:rsidRPr="00530A31">
        <w:rPr>
          <w:rFonts w:ascii="Palatino Linotype" w:eastAsiaTheme="majorEastAsia" w:hAnsi="Palatino Linotype" w:cstheme="majorBidi"/>
          <w:b/>
          <w:color w:val="000000" w:themeColor="text1"/>
          <w:lang w:eastAsia="en-US"/>
        </w:rPr>
        <w:t>R E S O L U T I V O S</w:t>
      </w:r>
      <w:bookmarkEnd w:id="31"/>
      <w:bookmarkEnd w:id="32"/>
    </w:p>
    <w:p w14:paraId="76D62D42" w14:textId="52F1FC74" w:rsidR="00C67969" w:rsidRPr="00530A31" w:rsidRDefault="00C67969" w:rsidP="00C67969">
      <w:pPr>
        <w:spacing w:line="360" w:lineRule="auto"/>
        <w:jc w:val="both"/>
        <w:rPr>
          <w:rFonts w:ascii="Palatino Linotype" w:eastAsiaTheme="minorEastAsia" w:hAnsi="Palatino Linotype" w:cs="Arial"/>
          <w:bCs/>
          <w:lang w:val="es-ES_tradnl" w:eastAsia="es-ES"/>
        </w:rPr>
      </w:pPr>
      <w:r w:rsidRPr="00530A31">
        <w:rPr>
          <w:rFonts w:ascii="Palatino Linotype" w:hAnsi="Palatino Linotype" w:cs="Arial"/>
          <w:b/>
          <w:lang w:val="es-ES_tradnl" w:eastAsia="es-ES"/>
        </w:rPr>
        <w:t xml:space="preserve">PRIMERO. </w:t>
      </w:r>
      <w:r w:rsidRPr="00530A31">
        <w:rPr>
          <w:rFonts w:ascii="Palatino Linotype" w:hAnsi="Palatino Linotype" w:cs="Arial"/>
          <w:lang w:val="es-ES_tradnl" w:eastAsia="es-ES"/>
        </w:rPr>
        <w:t>Resultan infundadas las</w:t>
      </w:r>
      <w:r w:rsidRPr="00530A31">
        <w:rPr>
          <w:rFonts w:ascii="Palatino Linotype" w:hAnsi="Palatino Linotype" w:cs="Arial"/>
          <w:b/>
          <w:lang w:val="es-ES_tradnl" w:eastAsia="es-ES"/>
        </w:rPr>
        <w:t xml:space="preserve"> </w:t>
      </w:r>
      <w:r w:rsidRPr="00530A31">
        <w:rPr>
          <w:rFonts w:ascii="Palatino Linotype" w:hAnsi="Palatino Linotype" w:cs="Arial"/>
          <w:lang w:val="es-ES" w:eastAsia="es-ES"/>
        </w:rPr>
        <w:t xml:space="preserve">razones o motivos de inconformidad hechos valer </w:t>
      </w:r>
      <w:r w:rsidRPr="00530A31">
        <w:rPr>
          <w:rFonts w:ascii="Palatino Linotype" w:eastAsia="Calibri" w:hAnsi="Palatino Linotype" w:cs="Arial"/>
          <w:lang w:val="es-ES" w:eastAsia="es-ES"/>
        </w:rPr>
        <w:t xml:space="preserve">en el recurso de revisión </w:t>
      </w:r>
      <w:r w:rsidRPr="00530A31">
        <w:rPr>
          <w:rFonts w:ascii="Palatino Linotype" w:eastAsiaTheme="minorEastAsia" w:hAnsi="Palatino Linotype" w:cs="Arial"/>
          <w:b/>
          <w:bCs/>
          <w:lang w:val="es-ES" w:eastAsia="es-ES"/>
        </w:rPr>
        <w:t>04298</w:t>
      </w:r>
      <w:r w:rsidRPr="00530A31">
        <w:rPr>
          <w:rFonts w:ascii="Palatino Linotype" w:eastAsiaTheme="minorEastAsia" w:hAnsi="Palatino Linotype" w:cs="Arial"/>
          <w:b/>
          <w:bCs/>
          <w:lang w:val="es-ES_tradnl" w:eastAsia="es-ES"/>
        </w:rPr>
        <w:t xml:space="preserve">/INFOEM/IP/RR/2022, </w:t>
      </w:r>
      <w:r w:rsidRPr="00530A31">
        <w:rPr>
          <w:rFonts w:ascii="Palatino Linotype" w:eastAsiaTheme="minorEastAsia" w:hAnsi="Palatino Linotype" w:cs="Arial"/>
          <w:bCs/>
          <w:lang w:val="es-ES_tradnl" w:eastAsia="es-ES"/>
        </w:rPr>
        <w:t xml:space="preserve">en términos del </w:t>
      </w:r>
      <w:r w:rsidR="00EA7B30">
        <w:rPr>
          <w:rFonts w:ascii="Palatino Linotype" w:eastAsiaTheme="minorEastAsia" w:hAnsi="Palatino Linotype" w:cs="Arial"/>
          <w:b/>
          <w:bCs/>
          <w:lang w:val="es-ES_tradnl" w:eastAsia="es-ES"/>
        </w:rPr>
        <w:t>c</w:t>
      </w:r>
      <w:r w:rsidRPr="00530A31">
        <w:rPr>
          <w:rFonts w:ascii="Palatino Linotype" w:eastAsiaTheme="minorEastAsia" w:hAnsi="Palatino Linotype" w:cs="Arial"/>
          <w:b/>
          <w:bCs/>
          <w:lang w:val="es-ES_tradnl" w:eastAsia="es-ES"/>
        </w:rPr>
        <w:t>onsiderando</w:t>
      </w:r>
      <w:r w:rsidRPr="00530A31">
        <w:rPr>
          <w:rFonts w:ascii="Palatino Linotype" w:eastAsiaTheme="minorEastAsia" w:hAnsi="Palatino Linotype" w:cs="Arial"/>
          <w:bCs/>
          <w:lang w:val="es-ES_tradnl" w:eastAsia="es-ES"/>
        </w:rPr>
        <w:t xml:space="preserve"> </w:t>
      </w:r>
      <w:r w:rsidRPr="00530A31">
        <w:rPr>
          <w:rFonts w:ascii="Palatino Linotype" w:eastAsiaTheme="minorEastAsia" w:hAnsi="Palatino Linotype" w:cs="Arial"/>
          <w:b/>
          <w:bCs/>
          <w:lang w:val="es-ES_tradnl" w:eastAsia="es-ES"/>
        </w:rPr>
        <w:t>CUARTO</w:t>
      </w:r>
      <w:r w:rsidRPr="00530A31">
        <w:rPr>
          <w:rFonts w:ascii="Palatino Linotype" w:eastAsiaTheme="minorEastAsia" w:hAnsi="Palatino Linotype" w:cs="Arial"/>
          <w:bCs/>
          <w:lang w:val="es-ES_tradnl" w:eastAsia="es-ES"/>
        </w:rPr>
        <w:t xml:space="preserve"> de la presente resolución.</w:t>
      </w:r>
    </w:p>
    <w:p w14:paraId="11932C40" w14:textId="77777777" w:rsidR="00C67969" w:rsidRPr="00530A31" w:rsidRDefault="00C67969" w:rsidP="00C67969">
      <w:pPr>
        <w:spacing w:line="360" w:lineRule="auto"/>
        <w:jc w:val="both"/>
        <w:rPr>
          <w:rFonts w:ascii="Palatino Linotype" w:hAnsi="Palatino Linotype"/>
          <w:lang w:val="es-ES_tradnl" w:eastAsia="es-ES"/>
        </w:rPr>
      </w:pPr>
    </w:p>
    <w:p w14:paraId="56153CAF" w14:textId="286EDFBC" w:rsidR="00C67969" w:rsidRPr="00530A31" w:rsidRDefault="00C67969" w:rsidP="00C67969">
      <w:pPr>
        <w:spacing w:line="360" w:lineRule="auto"/>
        <w:jc w:val="both"/>
        <w:rPr>
          <w:rFonts w:ascii="Palatino Linotype" w:eastAsia="Calibri" w:hAnsi="Palatino Linotype" w:cs="Arial"/>
          <w:lang w:val="es-ES" w:eastAsia="es-ES"/>
        </w:rPr>
      </w:pPr>
      <w:r w:rsidRPr="00530A31">
        <w:rPr>
          <w:rFonts w:ascii="Palatino Linotype" w:eastAsiaTheme="minorEastAsia" w:hAnsi="Palatino Linotype"/>
          <w:b/>
          <w:lang w:val="es-ES_tradnl" w:eastAsia="es-ES"/>
        </w:rPr>
        <w:t>SEGUNDO.</w:t>
      </w:r>
      <w:r w:rsidRPr="00530A31">
        <w:rPr>
          <w:rFonts w:ascii="Palatino Linotype" w:eastAsiaTheme="majorEastAsia" w:hAnsi="Palatino Linotype" w:cstheme="majorBidi"/>
          <w:b/>
          <w:color w:val="2E74B5" w:themeColor="accent1" w:themeShade="BF"/>
          <w:lang w:val="es-ES_tradnl" w:eastAsia="es-ES"/>
        </w:rPr>
        <w:t xml:space="preserve"> </w:t>
      </w:r>
      <w:r w:rsidRPr="00530A31">
        <w:rPr>
          <w:rFonts w:ascii="Palatino Linotype" w:eastAsia="Calibri" w:hAnsi="Palatino Linotype" w:cs="Arial"/>
          <w:lang w:val="es-ES" w:eastAsia="es-ES"/>
        </w:rPr>
        <w:t>Se</w:t>
      </w:r>
      <w:r w:rsidRPr="00530A31">
        <w:rPr>
          <w:rFonts w:ascii="Palatino Linotype" w:eastAsia="Calibri" w:hAnsi="Palatino Linotype" w:cs="Arial"/>
          <w:b/>
          <w:lang w:val="es-ES" w:eastAsia="es-ES"/>
        </w:rPr>
        <w:t xml:space="preserve"> CONFIRMA </w:t>
      </w:r>
      <w:r w:rsidRPr="00530A31">
        <w:rPr>
          <w:rFonts w:ascii="Palatino Linotype" w:eastAsia="Calibri" w:hAnsi="Palatino Linotype" w:cs="Arial"/>
          <w:lang w:val="es-ES" w:eastAsia="es-ES"/>
        </w:rPr>
        <w:t xml:space="preserve">la respuesta emitida por el </w:t>
      </w:r>
      <w:r w:rsidRPr="00530A31">
        <w:rPr>
          <w:rFonts w:ascii="Palatino Linotype" w:eastAsia="Calibri" w:hAnsi="Palatino Linotype" w:cs="Tahoma"/>
          <w:b/>
          <w:lang w:eastAsia="en-US"/>
        </w:rPr>
        <w:t>Organismo Público Descentralizado para la Prestación de Los Servicios de Agua Potable Alcantarillado y Saneamiento del Municipio de Tlalnepantla de Baz</w:t>
      </w:r>
      <w:r w:rsidR="00EA7B30">
        <w:rPr>
          <w:rFonts w:ascii="Palatino Linotype" w:eastAsia="Calibri" w:hAnsi="Palatino Linotype" w:cs="Tahoma"/>
          <w:b/>
          <w:lang w:eastAsia="en-US"/>
        </w:rPr>
        <w:t>,</w:t>
      </w:r>
      <w:r w:rsidRPr="00530A31">
        <w:rPr>
          <w:rFonts w:ascii="Palatino Linotype" w:eastAsia="Calibri" w:hAnsi="Palatino Linotype" w:cs="Arial"/>
          <w:lang w:val="es-ES" w:eastAsia="es-ES"/>
        </w:rPr>
        <w:t xml:space="preserve"> a la solicitud </w:t>
      </w:r>
      <w:r w:rsidRPr="00530A31">
        <w:rPr>
          <w:rFonts w:ascii="Palatino Linotype" w:hAnsi="Palatino Linotype"/>
          <w:b/>
          <w:bCs/>
        </w:rPr>
        <w:t>00073/OASTLALNE/IP/2022.</w:t>
      </w:r>
    </w:p>
    <w:p w14:paraId="07C5F093" w14:textId="77777777" w:rsidR="00C67969" w:rsidRPr="00530A31" w:rsidRDefault="00C67969" w:rsidP="00C67969">
      <w:pPr>
        <w:spacing w:line="360" w:lineRule="auto"/>
        <w:jc w:val="both"/>
        <w:rPr>
          <w:rFonts w:ascii="Palatino Linotype" w:eastAsia="Calibri" w:hAnsi="Palatino Linotype" w:cs="Arial"/>
          <w:lang w:val="es-ES" w:eastAsia="es-ES"/>
        </w:rPr>
      </w:pPr>
    </w:p>
    <w:p w14:paraId="4FAAF990" w14:textId="77777777" w:rsidR="00C67969" w:rsidRPr="00530A31" w:rsidRDefault="00C67969" w:rsidP="00C67969">
      <w:pPr>
        <w:tabs>
          <w:tab w:val="left" w:pos="8080"/>
        </w:tabs>
        <w:spacing w:line="360" w:lineRule="auto"/>
        <w:ind w:right="49"/>
        <w:contextualSpacing/>
        <w:jc w:val="both"/>
        <w:rPr>
          <w:rFonts w:ascii="Palatino Linotype" w:eastAsia="Palatino Linotype" w:hAnsi="Palatino Linotype" w:cs="Palatino Linotype"/>
          <w:b/>
          <w:lang w:val="es-ES_tradnl" w:eastAsia="es-ES"/>
        </w:rPr>
      </w:pPr>
      <w:r w:rsidRPr="00530A31">
        <w:rPr>
          <w:rFonts w:ascii="Palatino Linotype" w:eastAsia="Palatino Linotype" w:hAnsi="Palatino Linotype" w:cs="Palatino Linotype"/>
          <w:b/>
          <w:lang w:val="es-ES_tradnl" w:eastAsia="es-ES"/>
        </w:rPr>
        <w:t xml:space="preserve">TERCERO. REMÍTASE, </w:t>
      </w:r>
      <w:r w:rsidRPr="00530A31">
        <w:rPr>
          <w:rFonts w:ascii="Palatino Linotype" w:eastAsia="Palatino Linotype" w:hAnsi="Palatino Linotype" w:cs="Palatino Linotype"/>
          <w:lang w:val="es-ES_tradnl" w:eastAsia="es-ES"/>
        </w:rPr>
        <w:t xml:space="preserve">vía Sistema de Acceso a la Información </w:t>
      </w:r>
      <w:proofErr w:type="gramStart"/>
      <w:r w:rsidRPr="00530A31">
        <w:rPr>
          <w:rFonts w:ascii="Palatino Linotype" w:eastAsia="Palatino Linotype" w:hAnsi="Palatino Linotype" w:cs="Palatino Linotype"/>
          <w:lang w:val="es-ES_tradnl" w:eastAsia="es-ES"/>
        </w:rPr>
        <w:t>Mexiquense  (</w:t>
      </w:r>
      <w:proofErr w:type="gramEnd"/>
      <w:r w:rsidRPr="00530A31">
        <w:rPr>
          <w:rFonts w:ascii="Palatino Linotype" w:eastAsia="Palatino Linotype" w:hAnsi="Palatino Linotype" w:cs="Palatino Linotype"/>
          <w:lang w:val="es-ES_tradnl" w:eastAsia="es-ES"/>
        </w:rPr>
        <w:t xml:space="preserve">SAIMEX), la presente resolución al Titular de la Unidad de Transparencia del </w:t>
      </w:r>
      <w:r w:rsidRPr="00530A31">
        <w:rPr>
          <w:rFonts w:ascii="Palatino Linotype" w:eastAsia="Palatino Linotype" w:hAnsi="Palatino Linotype" w:cs="Palatino Linotype"/>
          <w:b/>
          <w:lang w:val="es-ES_tradnl" w:eastAsia="es-ES"/>
        </w:rPr>
        <w:t>SUJETO OBLIGADO.</w:t>
      </w:r>
    </w:p>
    <w:p w14:paraId="6D34F20F" w14:textId="77777777" w:rsidR="00C67969" w:rsidRPr="00530A31" w:rsidRDefault="00C67969" w:rsidP="00C67969">
      <w:pPr>
        <w:tabs>
          <w:tab w:val="left" w:pos="8080"/>
        </w:tabs>
        <w:spacing w:line="360" w:lineRule="auto"/>
        <w:ind w:right="49"/>
        <w:contextualSpacing/>
        <w:jc w:val="both"/>
        <w:rPr>
          <w:rFonts w:ascii="Palatino Linotype" w:eastAsia="Palatino Linotype" w:hAnsi="Palatino Linotype" w:cs="Palatino Linotype"/>
          <w:b/>
          <w:lang w:val="es-ES_tradnl" w:eastAsia="es-ES"/>
        </w:rPr>
      </w:pPr>
    </w:p>
    <w:p w14:paraId="15E401D1" w14:textId="6CE44E2B" w:rsidR="00C67969" w:rsidRPr="00530A31" w:rsidRDefault="00C67969" w:rsidP="00C67969">
      <w:pPr>
        <w:shd w:val="clear" w:color="auto" w:fill="FFFFFF"/>
        <w:spacing w:line="360" w:lineRule="auto"/>
        <w:jc w:val="both"/>
        <w:rPr>
          <w:rFonts w:ascii="Palatino Linotype" w:eastAsiaTheme="minorEastAsia" w:hAnsi="Palatino Linotype"/>
          <w:lang w:val="es-ES_tradnl" w:eastAsia="es-ES"/>
        </w:rPr>
      </w:pPr>
      <w:r w:rsidRPr="00530A31">
        <w:rPr>
          <w:rFonts w:ascii="Palatino Linotype" w:hAnsi="Palatino Linotype" w:cs="Arial"/>
          <w:b/>
          <w:lang w:val="es-ES_tradnl" w:eastAsia="es-ES"/>
        </w:rPr>
        <w:t xml:space="preserve">CUARTO. </w:t>
      </w:r>
      <w:r w:rsidRPr="00530A31">
        <w:rPr>
          <w:rFonts w:ascii="Palatino Linotype" w:hAnsi="Palatino Linotype"/>
          <w:b/>
          <w:bCs/>
          <w:color w:val="222222"/>
          <w:lang w:val="es-ES" w:eastAsia="es-ES"/>
        </w:rPr>
        <w:t>Notifíquese al RECURRENTE</w:t>
      </w:r>
      <w:r w:rsidRPr="00530A31">
        <w:rPr>
          <w:rFonts w:ascii="Palatino Linotype" w:eastAsiaTheme="minorEastAsia" w:hAnsi="Palatino Linotype"/>
          <w:b/>
          <w:lang w:val="es-ES_tradnl" w:eastAsia="es-ES"/>
        </w:rPr>
        <w:t xml:space="preserve"> </w:t>
      </w:r>
      <w:r w:rsidRPr="00530A31">
        <w:rPr>
          <w:rFonts w:ascii="Palatino Linotype" w:eastAsiaTheme="minorEastAsia" w:hAnsi="Palatino Linotype"/>
          <w:lang w:val="es-ES_tradnl" w:eastAsia="es-ES"/>
        </w:rPr>
        <w:t xml:space="preserve">la presente resolución a través del </w:t>
      </w:r>
      <w:r w:rsidRPr="00530A31">
        <w:rPr>
          <w:rFonts w:ascii="Palatino Linotype" w:eastAsiaTheme="minorEastAsia" w:hAnsi="Palatino Linotype"/>
          <w:b/>
          <w:bCs/>
          <w:lang w:val="es-ES_tradnl" w:eastAsia="es-ES"/>
        </w:rPr>
        <w:t>SAIMEX.</w:t>
      </w:r>
    </w:p>
    <w:p w14:paraId="6460F64F" w14:textId="0D97C342" w:rsidR="00C67969" w:rsidRPr="00530A31" w:rsidRDefault="00C67969" w:rsidP="00730D0C">
      <w:pPr>
        <w:spacing w:before="240" w:after="240" w:line="360" w:lineRule="auto"/>
        <w:ind w:right="48"/>
        <w:jc w:val="both"/>
        <w:rPr>
          <w:rFonts w:ascii="Palatino Linotype" w:eastAsia="Calibri" w:hAnsi="Palatino Linotype" w:cs="Arial"/>
          <w:bCs/>
        </w:rPr>
      </w:pPr>
      <w:r w:rsidRPr="00530A31">
        <w:rPr>
          <w:rFonts w:ascii="Palatino Linotype" w:eastAsia="MS Mincho" w:hAnsi="Palatino Linotype"/>
          <w:b/>
          <w:lang w:eastAsia="es-ES"/>
        </w:rPr>
        <w:lastRenderedPageBreak/>
        <w:t>QUINTO.</w:t>
      </w:r>
      <w:r w:rsidRPr="00530A31">
        <w:rPr>
          <w:rFonts w:ascii="Palatino Linotype" w:eastAsia="MS Mincho" w:hAnsi="Palatino Linotype"/>
          <w:lang w:eastAsia="es-ES"/>
        </w:rPr>
        <w:t xml:space="preserve"> </w:t>
      </w:r>
      <w:r w:rsidRPr="00530A31">
        <w:rPr>
          <w:rFonts w:ascii="Palatino Linotype" w:eastAsia="MS Mincho" w:hAnsi="Palatino Linotype"/>
          <w:lang w:val="es-ES" w:eastAsia="es-ES"/>
        </w:rPr>
        <w:t xml:space="preserve">Se hace del conocimiento del </w:t>
      </w:r>
      <w:r w:rsidRPr="00530A31">
        <w:rPr>
          <w:rFonts w:ascii="Palatino Linotype" w:hAnsi="Palatino Linotype"/>
          <w:b/>
          <w:bCs/>
          <w:color w:val="222222"/>
          <w:lang w:val="es-ES" w:eastAsia="es-ES"/>
        </w:rPr>
        <w:t>RECURRENTE</w:t>
      </w:r>
      <w:r w:rsidRPr="00530A31">
        <w:rPr>
          <w:rFonts w:ascii="Palatino Linotype" w:eastAsiaTheme="minorEastAsia" w:hAnsi="Palatino Linotype"/>
          <w:b/>
          <w:lang w:val="es-ES_tradnl" w:eastAsia="es-ES"/>
        </w:rPr>
        <w:t xml:space="preserve"> </w:t>
      </w:r>
      <w:r w:rsidRPr="00530A31">
        <w:rPr>
          <w:rFonts w:ascii="Palatino Linotype" w:eastAsia="MS Mincho" w:hAnsi="Palatino Linotype"/>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530A31">
        <w:rPr>
          <w:rFonts w:ascii="Palatino Linotype" w:eastAsia="MS Mincho" w:hAnsi="Palatino Linotype"/>
          <w:bCs/>
          <w:lang w:val="es-ES" w:eastAsia="es-ES"/>
        </w:rPr>
        <w:t>vía juicio de amparo</w:t>
      </w:r>
      <w:r w:rsidRPr="00530A31">
        <w:rPr>
          <w:rFonts w:ascii="Palatino Linotype" w:eastAsia="MS Mincho" w:hAnsi="Palatino Linotype"/>
          <w:lang w:val="es-ES" w:eastAsia="es-ES"/>
        </w:rPr>
        <w:t> en los términos de las leyes aplicables.</w:t>
      </w:r>
    </w:p>
    <w:p w14:paraId="750245B7" w14:textId="77777777" w:rsidR="00EA7B30" w:rsidRPr="00EA7B30" w:rsidRDefault="00EA7B30" w:rsidP="00EA7B30">
      <w:pPr>
        <w:spacing w:before="240" w:after="240" w:line="360" w:lineRule="auto"/>
        <w:ind w:firstLine="1"/>
        <w:jc w:val="both"/>
        <w:rPr>
          <w:rStyle w:val="Referenciasutil"/>
          <w:rFonts w:ascii="Palatino Linotype" w:eastAsiaTheme="majorEastAsia" w:hAnsi="Palatino Linotype"/>
          <w:color w:val="auto"/>
        </w:rPr>
      </w:pPr>
      <w:bookmarkStart w:id="33" w:name="_Hlk129792997"/>
      <w:r w:rsidRPr="00EA7B30">
        <w:rPr>
          <w:rStyle w:val="Referenciasutil"/>
          <w:rFonts w:ascii="Palatino Linotype" w:eastAsiaTheme="majorEastAsia" w:hAnsi="Palatino Linotype"/>
          <w:color w:val="auto"/>
        </w:rPr>
        <w:t xml:space="preserve">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(08) DE FEBRERO DE DOS MIL VEINTICUATRO, ANTE EL SECRETARIO TÉCNICO DEL PLENO ALEXIS TAPIA RAMÍREZ. </w:t>
      </w:r>
      <w:bookmarkEnd w:id="33"/>
    </w:p>
    <w:p w14:paraId="3C0F7196" w14:textId="77777777" w:rsidR="00E93FC1" w:rsidRPr="00530A31" w:rsidRDefault="00E93FC1" w:rsidP="00730D0C">
      <w:pPr>
        <w:spacing w:before="240" w:after="240" w:line="360" w:lineRule="auto"/>
        <w:jc w:val="both"/>
        <w:rPr>
          <w:rFonts w:ascii="Palatino Linotype" w:hAnsi="Palatino Linotype" w:cs="Arial"/>
        </w:rPr>
      </w:pPr>
    </w:p>
    <w:p w14:paraId="37856827" w14:textId="77777777" w:rsidR="00E93FC1" w:rsidRPr="00530A31" w:rsidRDefault="00E93FC1" w:rsidP="00730D0C">
      <w:pPr>
        <w:spacing w:before="240" w:after="240" w:line="360" w:lineRule="auto"/>
        <w:rPr>
          <w:rFonts w:ascii="Palatino Linotype" w:hAnsi="Palatino Linotype"/>
        </w:rPr>
      </w:pPr>
    </w:p>
    <w:p w14:paraId="13F95FC9" w14:textId="77777777" w:rsidR="00E93FC1" w:rsidRPr="00530A31" w:rsidRDefault="00E93FC1" w:rsidP="00730D0C">
      <w:pPr>
        <w:spacing w:before="240" w:after="240" w:line="360" w:lineRule="auto"/>
        <w:rPr>
          <w:rFonts w:ascii="Palatino Linotype" w:hAnsi="Palatino Linotype"/>
        </w:rPr>
      </w:pPr>
    </w:p>
    <w:p w14:paraId="60DC5DA9" w14:textId="2A25FE02" w:rsidR="00E93FC1" w:rsidRPr="00530A31" w:rsidRDefault="00E93FC1" w:rsidP="00730D0C">
      <w:pPr>
        <w:spacing w:before="240" w:after="240" w:line="360" w:lineRule="auto"/>
        <w:rPr>
          <w:rFonts w:ascii="Palatino Linotype" w:hAnsi="Palatino Linotype"/>
        </w:rPr>
      </w:pPr>
    </w:p>
    <w:p w14:paraId="0E8E69CC" w14:textId="087D6D23" w:rsidR="008B49A6" w:rsidRPr="00530A31" w:rsidRDefault="008B49A6" w:rsidP="00730D0C">
      <w:pPr>
        <w:spacing w:before="240" w:after="240" w:line="360" w:lineRule="auto"/>
        <w:rPr>
          <w:rFonts w:ascii="Palatino Linotype" w:hAnsi="Palatino Linotype"/>
        </w:rPr>
      </w:pPr>
    </w:p>
    <w:p w14:paraId="4ED089C4" w14:textId="31420AEE" w:rsidR="008B49A6" w:rsidRPr="00530A31" w:rsidRDefault="008B49A6" w:rsidP="00730D0C">
      <w:pPr>
        <w:spacing w:before="240" w:after="240" w:line="360" w:lineRule="auto"/>
        <w:rPr>
          <w:rFonts w:ascii="Palatino Linotype" w:hAnsi="Palatino Linotype"/>
        </w:rPr>
      </w:pPr>
    </w:p>
    <w:p w14:paraId="4DAA276C" w14:textId="13B747B5" w:rsidR="008B49A6" w:rsidRPr="00530A31" w:rsidRDefault="008B49A6" w:rsidP="00730D0C">
      <w:pPr>
        <w:spacing w:before="240" w:after="240" w:line="360" w:lineRule="auto"/>
        <w:rPr>
          <w:rFonts w:ascii="Palatino Linotype" w:hAnsi="Palatino Linotype"/>
        </w:rPr>
      </w:pPr>
    </w:p>
    <w:p w14:paraId="7946ACB0" w14:textId="275BD626" w:rsidR="008B49A6" w:rsidRPr="00530A31" w:rsidRDefault="008B49A6" w:rsidP="00730D0C">
      <w:pPr>
        <w:spacing w:before="240" w:after="240" w:line="360" w:lineRule="auto"/>
        <w:rPr>
          <w:rFonts w:ascii="Palatino Linotype" w:hAnsi="Palatino Linotype"/>
        </w:rPr>
      </w:pPr>
    </w:p>
    <w:p w14:paraId="09332D2D" w14:textId="77777777" w:rsidR="008B49A6" w:rsidRPr="00530A31" w:rsidRDefault="008B49A6" w:rsidP="00730D0C">
      <w:pPr>
        <w:spacing w:before="240" w:after="240" w:line="360" w:lineRule="auto"/>
        <w:rPr>
          <w:rFonts w:ascii="Palatino Linotype" w:hAnsi="Palatino Linotype"/>
        </w:rPr>
      </w:pPr>
    </w:p>
    <w:p w14:paraId="01020CB7" w14:textId="77777777" w:rsidR="00E93FC1" w:rsidRPr="00530A31" w:rsidRDefault="00E93FC1" w:rsidP="00730D0C">
      <w:pPr>
        <w:spacing w:before="240" w:after="240" w:line="360" w:lineRule="auto"/>
        <w:rPr>
          <w:rFonts w:ascii="Palatino Linotype" w:hAnsi="Palatino Linotype"/>
        </w:rPr>
      </w:pPr>
    </w:p>
    <w:p w14:paraId="46AE86AC" w14:textId="77777777" w:rsidR="00E93FC1" w:rsidRPr="00530A31" w:rsidRDefault="00E93FC1" w:rsidP="00730D0C">
      <w:pPr>
        <w:spacing w:before="240" w:after="240" w:line="360" w:lineRule="auto"/>
        <w:rPr>
          <w:rFonts w:ascii="Palatino Linotype" w:hAnsi="Palatino Linotype"/>
        </w:rPr>
      </w:pPr>
    </w:p>
    <w:sectPr w:rsidR="00E93FC1" w:rsidRPr="00530A31" w:rsidSect="00E93FC1">
      <w:headerReference w:type="even" r:id="rId20"/>
      <w:headerReference w:type="default" r:id="rId21"/>
      <w:footerReference w:type="default" r:id="rId22"/>
      <w:headerReference w:type="first" r:id="rId23"/>
      <w:footerReference w:type="first" r:id="rId2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6AF3" w14:textId="77777777" w:rsidR="00085915" w:rsidRDefault="00085915" w:rsidP="00E93FC1">
      <w:r>
        <w:separator/>
      </w:r>
    </w:p>
  </w:endnote>
  <w:endnote w:type="continuationSeparator" w:id="0">
    <w:p w14:paraId="2D9AABA3" w14:textId="77777777" w:rsidR="00085915" w:rsidRDefault="00085915" w:rsidP="00E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950C" w14:textId="77777777" w:rsidR="0086181A" w:rsidRDefault="0086181A">
    <w:pPr>
      <w:pStyle w:val="Piedepgina"/>
      <w:jc w:val="right"/>
    </w:pPr>
    <w:r>
      <w:rPr>
        <w:lang w:val="es-ES"/>
      </w:rPr>
      <w:t xml:space="preserve">Página </w:t>
    </w:r>
    <w:r>
      <w:rPr>
        <w:b/>
        <w:bCs/>
      </w:rPr>
      <w:fldChar w:fldCharType="begin"/>
    </w:r>
    <w:r>
      <w:rPr>
        <w:b/>
        <w:bCs/>
      </w:rPr>
      <w:instrText>PAGE</w:instrText>
    </w:r>
    <w:r>
      <w:rPr>
        <w:b/>
        <w:bCs/>
      </w:rPr>
      <w:fldChar w:fldCharType="separate"/>
    </w:r>
    <w:r w:rsidR="002B0DFF">
      <w:rPr>
        <w:b/>
        <w:bCs/>
        <w:noProof/>
      </w:rPr>
      <w:t>33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B0DFF">
      <w:rPr>
        <w:b/>
        <w:bCs/>
        <w:noProof/>
      </w:rPr>
      <w:t>33</w:t>
    </w:r>
    <w:r>
      <w:rPr>
        <w:b/>
        <w:bCs/>
      </w:rPr>
      <w:fldChar w:fldCharType="end"/>
    </w:r>
  </w:p>
  <w:p w14:paraId="101ED849" w14:textId="77777777" w:rsidR="0086181A" w:rsidRDefault="008618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1247" w14:textId="77777777" w:rsidR="0086181A" w:rsidRDefault="0086181A">
    <w:pPr>
      <w:pStyle w:val="Piedepgina"/>
      <w:jc w:val="right"/>
    </w:pPr>
    <w:r>
      <w:rPr>
        <w:lang w:val="es-ES"/>
      </w:rPr>
      <w:t xml:space="preserve">Página </w:t>
    </w:r>
    <w:r>
      <w:rPr>
        <w:b/>
        <w:bCs/>
      </w:rPr>
      <w:fldChar w:fldCharType="begin"/>
    </w:r>
    <w:r>
      <w:rPr>
        <w:b/>
        <w:bCs/>
      </w:rPr>
      <w:instrText>PAGE</w:instrText>
    </w:r>
    <w:r>
      <w:rPr>
        <w:b/>
        <w:bCs/>
      </w:rPr>
      <w:fldChar w:fldCharType="separate"/>
    </w:r>
    <w:r w:rsidR="002B0DFF">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B0DFF">
      <w:rPr>
        <w:b/>
        <w:bCs/>
        <w:noProof/>
      </w:rPr>
      <w:t>33</w:t>
    </w:r>
    <w:r>
      <w:rPr>
        <w:b/>
        <w:bCs/>
      </w:rPr>
      <w:fldChar w:fldCharType="end"/>
    </w:r>
  </w:p>
  <w:p w14:paraId="52503304" w14:textId="77777777" w:rsidR="0086181A" w:rsidRDefault="008618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6A39" w14:textId="77777777" w:rsidR="00085915" w:rsidRDefault="00085915" w:rsidP="00E93FC1">
      <w:r>
        <w:separator/>
      </w:r>
    </w:p>
  </w:footnote>
  <w:footnote w:type="continuationSeparator" w:id="0">
    <w:p w14:paraId="611C6700" w14:textId="77777777" w:rsidR="00085915" w:rsidRDefault="00085915" w:rsidP="00E93FC1">
      <w:r>
        <w:continuationSeparator/>
      </w:r>
    </w:p>
  </w:footnote>
  <w:footnote w:id="1">
    <w:p w14:paraId="373EC222" w14:textId="77777777" w:rsidR="0086181A" w:rsidRPr="00C7183E" w:rsidRDefault="0086181A" w:rsidP="00A76CD6">
      <w:pPr>
        <w:jc w:val="both"/>
        <w:rPr>
          <w:rFonts w:eastAsiaTheme="minorHAnsi"/>
          <w:sz w:val="20"/>
          <w:szCs w:val="20"/>
          <w:lang w:eastAsia="en-US"/>
        </w:rPr>
      </w:pPr>
      <w:r>
        <w:rPr>
          <w:rStyle w:val="Refdenotaalpie"/>
        </w:rPr>
        <w:footnoteRef/>
      </w:r>
      <w:r>
        <w:t xml:space="preserve"> “</w:t>
      </w:r>
      <w:r w:rsidRPr="00C7183E">
        <w:rPr>
          <w:rFonts w:eastAsiaTheme="minorHAnsi"/>
          <w:i/>
          <w:sz w:val="20"/>
          <w:szCs w:val="20"/>
          <w:lang w:eastAsia="en-US"/>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rFonts w:eastAsiaTheme="minorHAnsi"/>
          <w:sz w:val="20"/>
          <w:szCs w:val="20"/>
          <w:lang w:eastAsia="en-US"/>
        </w:rPr>
        <w:t>”</w:t>
      </w:r>
    </w:p>
  </w:footnote>
  <w:footnote w:id="2">
    <w:p w14:paraId="7DAA7075" w14:textId="77777777" w:rsidR="0086181A" w:rsidRDefault="0086181A"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2002351.</w:t>
      </w:r>
    </w:p>
  </w:footnote>
  <w:footnote w:id="3">
    <w:p w14:paraId="0EA93E1B" w14:textId="77777777" w:rsidR="0086181A" w:rsidRDefault="0086181A" w:rsidP="00A76CD6">
      <w:pPr>
        <w:pStyle w:val="Textonotapie"/>
      </w:pPr>
      <w:r>
        <w:rPr>
          <w:rStyle w:val="Refdenotaalpie"/>
        </w:rPr>
        <w:footnoteRef/>
      </w:r>
      <w:r>
        <w:t xml:space="preserve"> Consultable </w:t>
      </w:r>
      <w:r w:rsidRPr="00EC7027">
        <w:rPr>
          <w:lang w:val="es-ES_tradnl"/>
        </w:rPr>
        <w:t>en el Seminario Judicial de la Federación y su gaceta, con el registro digital 2002350.</w:t>
      </w:r>
    </w:p>
  </w:footnote>
  <w:footnote w:id="4">
    <w:p w14:paraId="02D8ECA6" w14:textId="77777777" w:rsidR="0086181A" w:rsidRDefault="0086181A" w:rsidP="00E93FC1">
      <w:pPr>
        <w:pStyle w:val="Textonotapie"/>
      </w:pPr>
      <w:r>
        <w:rPr>
          <w:rStyle w:val="Refdenotaalpie"/>
        </w:rPr>
        <w:footnoteRef/>
      </w:r>
      <w:r>
        <w:t xml:space="preserve"> Convención Americana sobre Derechos Humanos. Artículo 13.</w:t>
      </w:r>
    </w:p>
  </w:footnote>
  <w:footnote w:id="5">
    <w:p w14:paraId="56FB40B8" w14:textId="77777777" w:rsidR="0086181A" w:rsidRDefault="0086181A" w:rsidP="00E93FC1">
      <w:pPr>
        <w:pStyle w:val="Textonotapie"/>
      </w:pPr>
      <w:r>
        <w:rPr>
          <w:rStyle w:val="Refdenotaalpie"/>
        </w:rPr>
        <w:footnoteRef/>
      </w:r>
      <w:r>
        <w:t xml:space="preserve"> Constitución Política de los Estados Unidos Mexicanos. Artículo sexto, sección A, fracción I.</w:t>
      </w:r>
    </w:p>
  </w:footnote>
  <w:footnote w:id="6">
    <w:p w14:paraId="7FEEB752" w14:textId="77777777" w:rsidR="0086181A" w:rsidRDefault="0086181A" w:rsidP="00E93FC1">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14:paraId="03FBCBE4" w14:textId="77777777" w:rsidR="0086181A" w:rsidRDefault="0086181A" w:rsidP="00E93FC1">
      <w:pPr>
        <w:pStyle w:val="Textonotapie"/>
      </w:pPr>
      <w:r>
        <w:rPr>
          <w:rStyle w:val="Refdenotaalpie"/>
        </w:rPr>
        <w:footnoteRef/>
      </w:r>
      <w:r>
        <w:t xml:space="preserve"> Ibídem. Parr. 87.</w:t>
      </w:r>
    </w:p>
  </w:footnote>
  <w:footnote w:id="8">
    <w:p w14:paraId="7ED173DC" w14:textId="77777777" w:rsidR="0086181A" w:rsidRDefault="0086181A" w:rsidP="00A53673">
      <w:pPr>
        <w:pStyle w:val="Textonotapie"/>
      </w:pPr>
      <w:r>
        <w:rPr>
          <w:rStyle w:val="Refdenotaalpie"/>
        </w:rPr>
        <w:footnoteRef/>
      </w:r>
      <w:r>
        <w:t xml:space="preserve"> Artículo 50, Ley de Transparencia y Acceso a la Información Pública del Estado de México y Municipios.</w:t>
      </w:r>
    </w:p>
  </w:footnote>
  <w:footnote w:id="9">
    <w:p w14:paraId="4456CC9D" w14:textId="77777777" w:rsidR="0086181A" w:rsidRDefault="0086181A" w:rsidP="00A53673">
      <w:pPr>
        <w:pStyle w:val="Textonotapie"/>
      </w:pPr>
      <w:r>
        <w:rPr>
          <w:rStyle w:val="Refdenotaalpie"/>
        </w:rPr>
        <w:footnoteRef/>
      </w:r>
      <w:r>
        <w:t xml:space="preserve"> Artículo 51, Ídem.</w:t>
      </w:r>
    </w:p>
  </w:footnote>
  <w:footnote w:id="10">
    <w:p w14:paraId="50F46918" w14:textId="77777777" w:rsidR="0086181A" w:rsidRDefault="0086181A" w:rsidP="00A53673">
      <w:pPr>
        <w:pStyle w:val="Textonotapie"/>
      </w:pPr>
      <w:r>
        <w:rPr>
          <w:rStyle w:val="Refdenotaalpie"/>
        </w:rPr>
        <w:footnoteRef/>
      </w:r>
      <w:r>
        <w:t xml:space="preserve"> Artículo 58, Ley de Transparencia y Acceso a la Información Pública del Estado de México y Municipios.</w:t>
      </w:r>
    </w:p>
  </w:footnote>
  <w:footnote w:id="11">
    <w:p w14:paraId="4B709130" w14:textId="77777777" w:rsidR="0086181A" w:rsidRDefault="0086181A" w:rsidP="00A53673">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DDE" w14:textId="77777777" w:rsidR="0086181A" w:rsidRDefault="00085915">
    <w:pPr>
      <w:pStyle w:val="Encabezado"/>
    </w:pPr>
    <w:r>
      <w:rPr>
        <w:noProof/>
      </w:rPr>
      <w:pict w14:anchorId="4EBF4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1027"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0052" w:type="dxa"/>
      <w:tblLayout w:type="fixed"/>
      <w:tblLook w:val="04A0" w:firstRow="1" w:lastRow="0" w:firstColumn="1" w:lastColumn="0" w:noHBand="0" w:noVBand="1"/>
    </w:tblPr>
    <w:tblGrid>
      <w:gridCol w:w="2268"/>
      <w:gridCol w:w="6946"/>
      <w:gridCol w:w="6946"/>
      <w:gridCol w:w="6946"/>
      <w:gridCol w:w="6946"/>
    </w:tblGrid>
    <w:tr w:rsidR="00530A31" w:rsidRPr="005C106F" w14:paraId="3D9D5830" w14:textId="2758752D" w:rsidTr="00530A31">
      <w:trPr>
        <w:trHeight w:val="1435"/>
      </w:trPr>
      <w:tc>
        <w:tcPr>
          <w:tcW w:w="2268" w:type="dxa"/>
          <w:shd w:val="clear" w:color="auto" w:fill="auto"/>
        </w:tcPr>
        <w:p w14:paraId="7C838A1D" w14:textId="77777777" w:rsidR="00530A31" w:rsidRPr="005C106F" w:rsidRDefault="00530A31" w:rsidP="00E93FC1">
          <w:pPr>
            <w:tabs>
              <w:tab w:val="right" w:pos="4273"/>
            </w:tabs>
            <w:rPr>
              <w:rFonts w:ascii="Garamond" w:eastAsia="Calibri" w:hAnsi="Garamond"/>
              <w:sz w:val="16"/>
              <w:szCs w:val="16"/>
              <w:lang w:eastAsia="en-US"/>
            </w:rPr>
          </w:pPr>
        </w:p>
      </w:tc>
      <w:tc>
        <w:tcPr>
          <w:tcW w:w="6946" w:type="dxa"/>
          <w:shd w:val="clear" w:color="auto" w:fill="auto"/>
        </w:tcPr>
        <w:tbl>
          <w:tblPr>
            <w:tblW w:w="7263" w:type="dxa"/>
            <w:tblLayout w:type="fixed"/>
            <w:tblLook w:val="0420" w:firstRow="1" w:lastRow="0" w:firstColumn="0" w:lastColumn="0" w:noHBand="0" w:noVBand="1"/>
          </w:tblPr>
          <w:tblGrid>
            <w:gridCol w:w="2551"/>
            <w:gridCol w:w="4712"/>
          </w:tblGrid>
          <w:tr w:rsidR="00530A31" w14:paraId="21345384" w14:textId="77777777" w:rsidTr="00530A31">
            <w:trPr>
              <w:trHeight w:val="150"/>
            </w:trPr>
            <w:tc>
              <w:tcPr>
                <w:tcW w:w="2551" w:type="dxa"/>
                <w:shd w:val="clear" w:color="auto" w:fill="auto"/>
              </w:tcPr>
              <w:p w14:paraId="5628DF04" w14:textId="77777777" w:rsidR="00530A31" w:rsidRPr="00020E73" w:rsidRDefault="00530A31"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712" w:type="dxa"/>
                <w:shd w:val="clear" w:color="auto" w:fill="auto"/>
              </w:tcPr>
              <w:p w14:paraId="79007278" w14:textId="065DE4D9" w:rsidR="00530A31" w:rsidRPr="00020E73" w:rsidRDefault="00530A31" w:rsidP="00530A31">
                <w:pPr>
                  <w:tabs>
                    <w:tab w:val="right" w:pos="8838"/>
                  </w:tabs>
                  <w:ind w:left="-108" w:right="-102"/>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04298/INFOEM/IP/RR/2022</w:t>
                </w:r>
              </w:p>
            </w:tc>
          </w:tr>
          <w:tr w:rsidR="00530A31" w14:paraId="2C689127" w14:textId="77777777" w:rsidTr="00530A31">
            <w:trPr>
              <w:trHeight w:val="295"/>
            </w:trPr>
            <w:tc>
              <w:tcPr>
                <w:tcW w:w="2551" w:type="dxa"/>
                <w:shd w:val="clear" w:color="auto" w:fill="auto"/>
              </w:tcPr>
              <w:p w14:paraId="6F74B469" w14:textId="77777777" w:rsidR="00530A31" w:rsidRPr="00020E73" w:rsidRDefault="00530A31" w:rsidP="00E93FC1">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712" w:type="dxa"/>
                <w:shd w:val="clear" w:color="auto" w:fill="auto"/>
              </w:tcPr>
              <w:p w14:paraId="6B3A0898" w14:textId="0C5BC83B" w:rsidR="00530A31" w:rsidRPr="00020E73" w:rsidRDefault="00530A31" w:rsidP="00530A31">
                <w:pPr>
                  <w:tabs>
                    <w:tab w:val="right" w:pos="8838"/>
                  </w:tabs>
                  <w:ind w:left="-108" w:right="-108"/>
                  <w:rPr>
                    <w:rFonts w:ascii="Palatino Linotype" w:eastAsia="Calibri" w:hAnsi="Palatino Linotype" w:cs="Tahoma"/>
                    <w:b/>
                    <w:sz w:val="22"/>
                    <w:szCs w:val="22"/>
                    <w:lang w:val="es-ES" w:eastAsia="en-US"/>
                  </w:rPr>
                </w:pPr>
                <w:r>
                  <w:rPr>
                    <w:rFonts w:ascii="Palatino Linotype" w:eastAsia="Calibri" w:hAnsi="Palatino Linotype" w:cs="Tahoma"/>
                    <w:sz w:val="22"/>
                    <w:szCs w:val="22"/>
                    <w:lang w:eastAsia="en-US"/>
                  </w:rPr>
                  <w:t>Organismo Público Descentralizado para la Prestación de Los Servicios de Agua Potable Alcantarillado y Saneamiento del Municipio de Tlalnepantla de Baz</w:t>
                </w:r>
              </w:p>
            </w:tc>
          </w:tr>
          <w:tr w:rsidR="00530A31" w14:paraId="51586913" w14:textId="77777777" w:rsidTr="00530A31">
            <w:trPr>
              <w:trHeight w:val="295"/>
            </w:trPr>
            <w:tc>
              <w:tcPr>
                <w:tcW w:w="2551" w:type="dxa"/>
                <w:shd w:val="clear" w:color="auto" w:fill="auto"/>
              </w:tcPr>
              <w:p w14:paraId="4295483B" w14:textId="77777777" w:rsidR="00530A31" w:rsidRPr="00020E73" w:rsidRDefault="00530A31" w:rsidP="00E93FC1">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712" w:type="dxa"/>
                <w:shd w:val="clear" w:color="auto" w:fill="auto"/>
              </w:tcPr>
              <w:p w14:paraId="7400C8B6" w14:textId="77777777" w:rsidR="00530A31" w:rsidRPr="00020E73" w:rsidRDefault="00530A31" w:rsidP="00530A31">
                <w:pPr>
                  <w:tabs>
                    <w:tab w:val="right" w:pos="8838"/>
                  </w:tabs>
                  <w:ind w:left="-108" w:right="171"/>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5D20E0AE" w14:textId="77777777" w:rsidR="00530A31" w:rsidRPr="00020E73" w:rsidRDefault="00530A31" w:rsidP="00530A31">
                <w:pPr>
                  <w:tabs>
                    <w:tab w:val="right" w:pos="8838"/>
                  </w:tabs>
                  <w:ind w:left="-108" w:right="171"/>
                  <w:rPr>
                    <w:rFonts w:ascii="Palatino Linotype" w:eastAsia="Calibri" w:hAnsi="Palatino Linotype" w:cs="Tahoma"/>
                    <w:b/>
                    <w:sz w:val="22"/>
                    <w:szCs w:val="22"/>
                    <w:lang w:val="es-ES" w:eastAsia="en-US"/>
                  </w:rPr>
                </w:pPr>
              </w:p>
            </w:tc>
          </w:tr>
        </w:tbl>
        <w:p w14:paraId="47C3CD07" w14:textId="77777777" w:rsidR="00530A31" w:rsidRPr="005C106F" w:rsidRDefault="00530A31" w:rsidP="00E93FC1">
          <w:pPr>
            <w:tabs>
              <w:tab w:val="right" w:pos="8838"/>
            </w:tabs>
            <w:ind w:left="-28"/>
            <w:jc w:val="both"/>
            <w:rPr>
              <w:rFonts w:ascii="Arial" w:eastAsia="Calibri" w:hAnsi="Arial" w:cs="Arial"/>
              <w:b/>
              <w:sz w:val="22"/>
              <w:szCs w:val="22"/>
              <w:lang w:eastAsia="en-US"/>
            </w:rPr>
          </w:pPr>
        </w:p>
      </w:tc>
      <w:tc>
        <w:tcPr>
          <w:tcW w:w="6946" w:type="dxa"/>
        </w:tcPr>
        <w:p w14:paraId="3EE5F3BD" w14:textId="77777777" w:rsidR="00530A31" w:rsidRPr="00020E73" w:rsidRDefault="00530A31" w:rsidP="00E93FC1">
          <w:pPr>
            <w:tabs>
              <w:tab w:val="right" w:pos="8838"/>
            </w:tabs>
            <w:ind w:right="-105"/>
            <w:rPr>
              <w:rFonts w:ascii="Palatino Linotype" w:eastAsia="Calibri" w:hAnsi="Palatino Linotype" w:cs="Tahoma"/>
              <w:b/>
              <w:sz w:val="22"/>
              <w:szCs w:val="22"/>
              <w:lang w:val="es-ES" w:eastAsia="en-US"/>
            </w:rPr>
          </w:pPr>
        </w:p>
      </w:tc>
      <w:tc>
        <w:tcPr>
          <w:tcW w:w="6946" w:type="dxa"/>
        </w:tcPr>
        <w:p w14:paraId="05456B6F" w14:textId="6C34C13B" w:rsidR="00530A31" w:rsidRPr="00020E73" w:rsidRDefault="00530A31" w:rsidP="00E93FC1">
          <w:pPr>
            <w:tabs>
              <w:tab w:val="right" w:pos="8838"/>
            </w:tabs>
            <w:ind w:right="-105"/>
            <w:rPr>
              <w:rFonts w:ascii="Palatino Linotype" w:eastAsia="Calibri" w:hAnsi="Palatino Linotype" w:cs="Tahoma"/>
              <w:b/>
              <w:sz w:val="22"/>
              <w:szCs w:val="22"/>
              <w:lang w:val="es-ES" w:eastAsia="en-US"/>
            </w:rPr>
          </w:pPr>
        </w:p>
      </w:tc>
      <w:tc>
        <w:tcPr>
          <w:tcW w:w="6946" w:type="dxa"/>
        </w:tcPr>
        <w:p w14:paraId="0793FBE5" w14:textId="5E6935E5" w:rsidR="00530A31" w:rsidRPr="00020E73" w:rsidRDefault="00530A31" w:rsidP="00E93FC1">
          <w:pPr>
            <w:tabs>
              <w:tab w:val="right" w:pos="8838"/>
            </w:tabs>
            <w:ind w:right="-105"/>
            <w:rPr>
              <w:rFonts w:ascii="Palatino Linotype" w:eastAsia="Calibri" w:hAnsi="Palatino Linotype" w:cs="Tahoma"/>
              <w:b/>
              <w:sz w:val="22"/>
              <w:szCs w:val="22"/>
              <w:lang w:val="es-ES" w:eastAsia="en-US"/>
            </w:rPr>
          </w:pPr>
        </w:p>
      </w:tc>
    </w:tr>
  </w:tbl>
  <w:p w14:paraId="584D10B0" w14:textId="77777777" w:rsidR="0086181A" w:rsidRPr="00443C6B" w:rsidRDefault="00085915" w:rsidP="00E93FC1">
    <w:pPr>
      <w:pStyle w:val="Encabezado"/>
      <w:rPr>
        <w:sz w:val="14"/>
      </w:rPr>
    </w:pPr>
    <w:r>
      <w:rPr>
        <w:noProof/>
        <w:sz w:val="14"/>
      </w:rPr>
      <w:pict w14:anchorId="6689D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1026"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2268"/>
      <w:gridCol w:w="7230"/>
    </w:tblGrid>
    <w:tr w:rsidR="0086181A" w:rsidRPr="00330DA7" w14:paraId="02FF7FE9" w14:textId="77777777" w:rsidTr="00530A31">
      <w:trPr>
        <w:trHeight w:val="1435"/>
      </w:trPr>
      <w:tc>
        <w:tcPr>
          <w:tcW w:w="2268" w:type="dxa"/>
          <w:shd w:val="clear" w:color="auto" w:fill="auto"/>
        </w:tcPr>
        <w:p w14:paraId="0BD5C9DD" w14:textId="77777777" w:rsidR="0086181A" w:rsidRPr="00330DA7" w:rsidRDefault="0086181A" w:rsidP="00E93FC1">
          <w:pPr>
            <w:tabs>
              <w:tab w:val="right" w:pos="4273"/>
            </w:tabs>
            <w:rPr>
              <w:rFonts w:ascii="Garamond" w:eastAsia="Calibri" w:hAnsi="Garamond"/>
              <w:sz w:val="22"/>
              <w:szCs w:val="22"/>
              <w:lang w:eastAsia="en-US"/>
            </w:rPr>
          </w:pPr>
        </w:p>
      </w:tc>
      <w:tc>
        <w:tcPr>
          <w:tcW w:w="7230" w:type="dxa"/>
          <w:shd w:val="clear" w:color="auto" w:fill="auto"/>
        </w:tcPr>
        <w:tbl>
          <w:tblPr>
            <w:tblW w:w="6990" w:type="dxa"/>
            <w:tblInd w:w="176" w:type="dxa"/>
            <w:tblLayout w:type="fixed"/>
            <w:tblLook w:val="0420" w:firstRow="1" w:lastRow="0" w:firstColumn="0" w:lastColumn="0" w:noHBand="0" w:noVBand="1"/>
          </w:tblPr>
          <w:tblGrid>
            <w:gridCol w:w="2365"/>
            <w:gridCol w:w="4625"/>
          </w:tblGrid>
          <w:tr w:rsidR="0086181A" w:rsidRPr="00330DA7" w14:paraId="3D824142" w14:textId="77777777" w:rsidTr="00530A31">
            <w:trPr>
              <w:trHeight w:val="145"/>
            </w:trPr>
            <w:tc>
              <w:tcPr>
                <w:tcW w:w="2365" w:type="dxa"/>
                <w:shd w:val="clear" w:color="auto" w:fill="auto"/>
              </w:tcPr>
              <w:p w14:paraId="23ADCFB8" w14:textId="77777777" w:rsidR="0086181A" w:rsidRPr="00020E73" w:rsidRDefault="0086181A" w:rsidP="00E93FC1">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625" w:type="dxa"/>
                <w:shd w:val="clear" w:color="auto" w:fill="auto"/>
              </w:tcPr>
              <w:p w14:paraId="5E0694AB" w14:textId="12BF5823" w:rsidR="0086181A" w:rsidRPr="00020E73" w:rsidRDefault="0086181A" w:rsidP="00530A31">
                <w:pPr>
                  <w:tabs>
                    <w:tab w:val="right" w:pos="8838"/>
                  </w:tabs>
                  <w:ind w:left="-74" w:right="-105"/>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04298/INFOEM/IP/RR/</w:t>
                </w:r>
                <w:r w:rsidRPr="00CC0C20">
                  <w:rPr>
                    <w:rFonts w:ascii="Palatino Linotype" w:eastAsia="Calibri" w:hAnsi="Palatino Linotype" w:cs="Tahoma"/>
                    <w:sz w:val="22"/>
                    <w:szCs w:val="22"/>
                    <w:lang w:eastAsia="en-US"/>
                  </w:rPr>
                  <w:t>202</w:t>
                </w:r>
                <w:r>
                  <w:rPr>
                    <w:rFonts w:ascii="Palatino Linotype" w:eastAsia="Calibri" w:hAnsi="Palatino Linotype" w:cs="Tahoma"/>
                    <w:sz w:val="22"/>
                    <w:szCs w:val="22"/>
                    <w:lang w:eastAsia="en-US"/>
                  </w:rPr>
                  <w:t>2</w:t>
                </w:r>
              </w:p>
            </w:tc>
          </w:tr>
          <w:tr w:rsidR="0086181A" w:rsidRPr="00330DA7" w14:paraId="75006A53" w14:textId="77777777" w:rsidTr="00530A31">
            <w:trPr>
              <w:trHeight w:val="145"/>
            </w:trPr>
            <w:tc>
              <w:tcPr>
                <w:tcW w:w="2365" w:type="dxa"/>
                <w:shd w:val="clear" w:color="auto" w:fill="auto"/>
              </w:tcPr>
              <w:p w14:paraId="490E5259" w14:textId="77777777" w:rsidR="0086181A" w:rsidRPr="00020E73" w:rsidRDefault="0086181A"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625" w:type="dxa"/>
                <w:shd w:val="clear" w:color="auto" w:fill="auto"/>
              </w:tcPr>
              <w:p w14:paraId="457A0436" w14:textId="36AC4AC6" w:rsidR="0086181A" w:rsidRPr="00020E73" w:rsidRDefault="0035609E" w:rsidP="00530A31">
                <w:pPr>
                  <w:tabs>
                    <w:tab w:val="left" w:pos="3122"/>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 xml:space="preserve">XXX </w:t>
                </w:r>
                <w:proofErr w:type="spellStart"/>
                <w:r>
                  <w:rPr>
                    <w:rFonts w:ascii="Palatino Linotype" w:eastAsia="Calibri" w:hAnsi="Palatino Linotype" w:cs="Tahoma"/>
                    <w:sz w:val="22"/>
                    <w:szCs w:val="22"/>
                    <w:lang w:val="es-ES" w:eastAsia="en-US"/>
                  </w:rPr>
                  <w:t>XXX</w:t>
                </w:r>
                <w:proofErr w:type="spellEnd"/>
                <w:r>
                  <w:rPr>
                    <w:rFonts w:ascii="Palatino Linotype" w:eastAsia="Calibri" w:hAnsi="Palatino Linotype" w:cs="Tahoma"/>
                    <w:sz w:val="22"/>
                    <w:szCs w:val="22"/>
                    <w:lang w:val="es-ES" w:eastAsia="en-US"/>
                  </w:rPr>
                  <w:t xml:space="preserve"> </w:t>
                </w:r>
                <w:proofErr w:type="spellStart"/>
                <w:r>
                  <w:rPr>
                    <w:rFonts w:ascii="Palatino Linotype" w:eastAsia="Calibri" w:hAnsi="Palatino Linotype" w:cs="Tahoma"/>
                    <w:sz w:val="22"/>
                    <w:szCs w:val="22"/>
                    <w:lang w:val="es-ES" w:eastAsia="en-US"/>
                  </w:rPr>
                  <w:t>XXX</w:t>
                </w:r>
                <w:proofErr w:type="spellEnd"/>
              </w:p>
            </w:tc>
          </w:tr>
          <w:tr w:rsidR="0086181A" w:rsidRPr="00330DA7" w14:paraId="6044DBEF" w14:textId="77777777" w:rsidTr="00530A31">
            <w:trPr>
              <w:trHeight w:val="286"/>
            </w:trPr>
            <w:tc>
              <w:tcPr>
                <w:tcW w:w="2365" w:type="dxa"/>
                <w:shd w:val="clear" w:color="auto" w:fill="auto"/>
              </w:tcPr>
              <w:p w14:paraId="2BFBE2C5" w14:textId="77777777" w:rsidR="0086181A" w:rsidRPr="00020E73" w:rsidRDefault="0086181A" w:rsidP="00E93FC1">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625" w:type="dxa"/>
                <w:shd w:val="clear" w:color="auto" w:fill="auto"/>
              </w:tcPr>
              <w:p w14:paraId="793779B4" w14:textId="27211869" w:rsidR="0086181A" w:rsidRPr="009E7B0A" w:rsidRDefault="0086181A" w:rsidP="00530A31">
                <w:pPr>
                  <w:tabs>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eastAsia="en-US"/>
                  </w:rPr>
                  <w:t>Organismo Público Descentralizado para la Prestación de Los Servicios de Agua Potable Alcantarillado y Saneamiento del Municipio de Tlalnepantla de Baz</w:t>
                </w:r>
              </w:p>
            </w:tc>
          </w:tr>
          <w:tr w:rsidR="0086181A" w:rsidRPr="00330DA7" w14:paraId="67C16651" w14:textId="77777777" w:rsidTr="00530A31">
            <w:trPr>
              <w:trHeight w:val="286"/>
            </w:trPr>
            <w:tc>
              <w:tcPr>
                <w:tcW w:w="2365" w:type="dxa"/>
                <w:shd w:val="clear" w:color="auto" w:fill="auto"/>
              </w:tcPr>
              <w:p w14:paraId="4CB64F3E" w14:textId="77777777" w:rsidR="0086181A" w:rsidRPr="00020E73" w:rsidRDefault="0086181A" w:rsidP="00E93FC1">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625" w:type="dxa"/>
                <w:shd w:val="clear" w:color="auto" w:fill="auto"/>
              </w:tcPr>
              <w:p w14:paraId="090ADB30" w14:textId="77777777" w:rsidR="0086181A" w:rsidRPr="00020E73" w:rsidRDefault="0086181A" w:rsidP="00530A31">
                <w:pPr>
                  <w:tabs>
                    <w:tab w:val="right" w:pos="8838"/>
                  </w:tabs>
                  <w:ind w:left="-74" w:right="-105"/>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14:paraId="008775DE" w14:textId="77777777" w:rsidR="0086181A" w:rsidRPr="00020E73" w:rsidRDefault="0086181A" w:rsidP="00530A31">
                <w:pPr>
                  <w:tabs>
                    <w:tab w:val="right" w:pos="8838"/>
                  </w:tabs>
                  <w:ind w:left="-74" w:right="-105"/>
                  <w:rPr>
                    <w:rFonts w:ascii="Palatino Linotype" w:eastAsia="Calibri" w:hAnsi="Palatino Linotype" w:cs="Tahoma"/>
                    <w:b/>
                    <w:sz w:val="22"/>
                    <w:szCs w:val="22"/>
                    <w:lang w:val="es-ES" w:eastAsia="en-US"/>
                  </w:rPr>
                </w:pPr>
              </w:p>
            </w:tc>
          </w:tr>
        </w:tbl>
        <w:p w14:paraId="017F12C3" w14:textId="77777777" w:rsidR="0086181A" w:rsidRPr="00330DA7" w:rsidRDefault="0086181A" w:rsidP="00E93FC1">
          <w:pPr>
            <w:tabs>
              <w:tab w:val="right" w:pos="8838"/>
            </w:tabs>
            <w:ind w:left="-28"/>
            <w:jc w:val="both"/>
            <w:rPr>
              <w:rFonts w:ascii="Arial" w:eastAsia="Calibri" w:hAnsi="Arial" w:cs="Arial"/>
              <w:b/>
              <w:sz w:val="22"/>
              <w:szCs w:val="22"/>
              <w:lang w:eastAsia="en-US"/>
            </w:rPr>
          </w:pPr>
        </w:p>
      </w:tc>
    </w:tr>
  </w:tbl>
  <w:p w14:paraId="1EDAC28C" w14:textId="77777777" w:rsidR="0086181A" w:rsidRPr="00827FA0" w:rsidRDefault="00085915" w:rsidP="00E93FC1">
    <w:pPr>
      <w:pStyle w:val="Encabezado"/>
      <w:rPr>
        <w:sz w:val="2"/>
        <w:szCs w:val="22"/>
      </w:rPr>
    </w:pPr>
    <w:r>
      <w:rPr>
        <w:noProof/>
        <w:sz w:val="2"/>
        <w:szCs w:val="22"/>
      </w:rPr>
      <w:pict w14:anchorId="76D6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1025"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51A"/>
    <w:multiLevelType w:val="hybridMultilevel"/>
    <w:tmpl w:val="DB2A9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D3608C"/>
    <w:multiLevelType w:val="hybridMultilevel"/>
    <w:tmpl w:val="E7868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008D2"/>
    <w:multiLevelType w:val="hybridMultilevel"/>
    <w:tmpl w:val="3D1005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61270"/>
    <w:multiLevelType w:val="hybridMultilevel"/>
    <w:tmpl w:val="12DA7DBA"/>
    <w:lvl w:ilvl="0" w:tplc="DAC43DB0">
      <w:start w:val="1"/>
      <w:numFmt w:val="decimal"/>
      <w:lvlText w:val="%1."/>
      <w:lvlJc w:val="left"/>
      <w:pPr>
        <w:ind w:left="360" w:hanging="360"/>
      </w:pPr>
      <w:rPr>
        <w:rFonts w:eastAsia="Calibri"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B713D7"/>
    <w:multiLevelType w:val="hybridMultilevel"/>
    <w:tmpl w:val="9470F5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FD153B"/>
    <w:multiLevelType w:val="hybridMultilevel"/>
    <w:tmpl w:val="5EEAB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0532E4"/>
    <w:multiLevelType w:val="hybridMultilevel"/>
    <w:tmpl w:val="062C3B56"/>
    <w:lvl w:ilvl="0" w:tplc="080A0003">
      <w:start w:val="1"/>
      <w:numFmt w:val="bullet"/>
      <w:lvlText w:val="o"/>
      <w:lvlJc w:val="left"/>
      <w:pPr>
        <w:ind w:left="1080" w:hanging="360"/>
      </w:pPr>
      <w:rPr>
        <w:rFonts w:ascii="Courier New" w:hAnsi="Courier New" w:cs="Courier New" w:hint="default"/>
        <w:b/>
        <w:i w:val="0"/>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BAD61AE"/>
    <w:multiLevelType w:val="hybridMultilevel"/>
    <w:tmpl w:val="E2427F1A"/>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293017"/>
    <w:multiLevelType w:val="hybridMultilevel"/>
    <w:tmpl w:val="2B082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3D2CD0"/>
    <w:multiLevelType w:val="hybridMultilevel"/>
    <w:tmpl w:val="A064C23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9E19F6"/>
    <w:multiLevelType w:val="hybridMultilevel"/>
    <w:tmpl w:val="8EF8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A2242B"/>
    <w:multiLevelType w:val="hybridMultilevel"/>
    <w:tmpl w:val="81F639EE"/>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AF5E5232">
      <w:start w:val="1"/>
      <w:numFmt w:val="upperRoman"/>
      <w:lvlText w:val="%4."/>
      <w:lvlJc w:val="lef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572189"/>
    <w:multiLevelType w:val="hybridMultilevel"/>
    <w:tmpl w:val="867818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12754A"/>
    <w:multiLevelType w:val="hybridMultilevel"/>
    <w:tmpl w:val="61349DB6"/>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10866472"/>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BF543D"/>
    <w:multiLevelType w:val="hybridMultilevel"/>
    <w:tmpl w:val="E626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DD5226"/>
    <w:multiLevelType w:val="hybridMultilevel"/>
    <w:tmpl w:val="83724FC0"/>
    <w:lvl w:ilvl="0" w:tplc="5030D26A">
      <w:start w:val="1"/>
      <w:numFmt w:val="upperRoman"/>
      <w:lvlText w:val="%1."/>
      <w:lvlJc w:val="right"/>
      <w:pPr>
        <w:ind w:left="1287" w:hanging="360"/>
      </w:pPr>
      <w:rPr>
        <w:rFonts w:hint="default"/>
        <w:b/>
        <w:bCs/>
        <w:i w:val="0"/>
        <w:iCs w:val="0"/>
        <w:sz w:val="22"/>
        <w:szCs w:val="22"/>
      </w:rPr>
    </w:lvl>
    <w:lvl w:ilvl="1" w:tplc="080A0017">
      <w:start w:val="1"/>
      <w:numFmt w:val="lowerLetter"/>
      <w:lvlText w:val="%2)"/>
      <w:lvlJc w:val="left"/>
      <w:pPr>
        <w:ind w:left="2007" w:hanging="360"/>
      </w:pPr>
      <w:rPr>
        <w:b/>
        <w:bCs/>
        <w:i w:val="0"/>
        <w:iCs w:val="0"/>
        <w:sz w:val="22"/>
        <w:szCs w:val="22"/>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CD45CC1"/>
    <w:multiLevelType w:val="hybridMultilevel"/>
    <w:tmpl w:val="5284E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0B7310"/>
    <w:multiLevelType w:val="hybridMultilevel"/>
    <w:tmpl w:val="114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920E83"/>
    <w:multiLevelType w:val="hybridMultilevel"/>
    <w:tmpl w:val="E878D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1503E5"/>
    <w:multiLevelType w:val="hybridMultilevel"/>
    <w:tmpl w:val="C068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3A783C"/>
    <w:multiLevelType w:val="hybridMultilevel"/>
    <w:tmpl w:val="AB58E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F45554"/>
    <w:multiLevelType w:val="hybridMultilevel"/>
    <w:tmpl w:val="A1A84E5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52BE03DE"/>
    <w:multiLevelType w:val="hybridMultilevel"/>
    <w:tmpl w:val="06FA2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D500C6"/>
    <w:multiLevelType w:val="hybridMultilevel"/>
    <w:tmpl w:val="ACE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B4745"/>
    <w:multiLevelType w:val="hybridMultilevel"/>
    <w:tmpl w:val="5F8E23EE"/>
    <w:lvl w:ilvl="0" w:tplc="670E0A46">
      <w:start w:val="1"/>
      <w:numFmt w:val="lowerLetter"/>
      <w:lvlText w:val="%1)"/>
      <w:lvlJc w:val="left"/>
      <w:pPr>
        <w:ind w:left="1211" w:hanging="360"/>
      </w:pPr>
      <w:rPr>
        <w:rFonts w:hint="default"/>
        <w:b/>
        <w:sz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56F5455E"/>
    <w:multiLevelType w:val="multilevel"/>
    <w:tmpl w:val="D43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475B7"/>
    <w:multiLevelType w:val="hybridMultilevel"/>
    <w:tmpl w:val="74F0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975D2C"/>
    <w:multiLevelType w:val="multilevel"/>
    <w:tmpl w:val="4C9090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2"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A50FF6"/>
    <w:multiLevelType w:val="hybridMultilevel"/>
    <w:tmpl w:val="E29CFFB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63F03BDC"/>
    <w:multiLevelType w:val="hybridMultilevel"/>
    <w:tmpl w:val="022491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44165A2"/>
    <w:multiLevelType w:val="hybridMultilevel"/>
    <w:tmpl w:val="90E06C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E75BDE"/>
    <w:multiLevelType w:val="hybridMultilevel"/>
    <w:tmpl w:val="CE006464"/>
    <w:lvl w:ilvl="0" w:tplc="3D6490BA">
      <w:numFmt w:val="bullet"/>
      <w:lvlText w:val="-"/>
      <w:lvlJc w:val="left"/>
      <w:pPr>
        <w:ind w:left="1080" w:hanging="360"/>
      </w:pPr>
      <w:rPr>
        <w:rFonts w:ascii="Palatino Linotype" w:eastAsiaTheme="majorEastAsia" w:hAnsi="Palatino Linotype" w:cs="Arial" w:hint="default"/>
        <w:b/>
        <w:i w:val="0"/>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68E61229"/>
    <w:multiLevelType w:val="hybridMultilevel"/>
    <w:tmpl w:val="A232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732901"/>
    <w:multiLevelType w:val="hybridMultilevel"/>
    <w:tmpl w:val="895AC080"/>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707D8A"/>
    <w:multiLevelType w:val="hybridMultilevel"/>
    <w:tmpl w:val="BC6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4D269D"/>
    <w:multiLevelType w:val="hybridMultilevel"/>
    <w:tmpl w:val="253E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AE337C"/>
    <w:multiLevelType w:val="hybridMultilevel"/>
    <w:tmpl w:val="989ADA9C"/>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4" w15:restartNumberingAfterBreak="0">
    <w:nsid w:val="745651C7"/>
    <w:multiLevelType w:val="hybridMultilevel"/>
    <w:tmpl w:val="904C27D2"/>
    <w:lvl w:ilvl="0" w:tplc="8F8C6D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835851"/>
    <w:multiLevelType w:val="hybridMultilevel"/>
    <w:tmpl w:val="5D562742"/>
    <w:lvl w:ilvl="0" w:tplc="C568BD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2E6283"/>
    <w:multiLevelType w:val="hybridMultilevel"/>
    <w:tmpl w:val="0CAC99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B526E3"/>
    <w:multiLevelType w:val="hybridMultilevel"/>
    <w:tmpl w:val="2D7C497A"/>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7975204">
    <w:abstractNumId w:val="33"/>
  </w:num>
  <w:num w:numId="2" w16cid:durableId="1807628298">
    <w:abstractNumId w:val="35"/>
  </w:num>
  <w:num w:numId="3" w16cid:durableId="1038430199">
    <w:abstractNumId w:val="25"/>
  </w:num>
  <w:num w:numId="4" w16cid:durableId="2021851284">
    <w:abstractNumId w:val="6"/>
  </w:num>
  <w:num w:numId="5" w16cid:durableId="1025325478">
    <w:abstractNumId w:val="17"/>
  </w:num>
  <w:num w:numId="6" w16cid:durableId="109396275">
    <w:abstractNumId w:val="24"/>
  </w:num>
  <w:num w:numId="7" w16cid:durableId="1621296825">
    <w:abstractNumId w:val="21"/>
  </w:num>
  <w:num w:numId="8" w16cid:durableId="321012201">
    <w:abstractNumId w:val="12"/>
  </w:num>
  <w:num w:numId="9" w16cid:durableId="1689983985">
    <w:abstractNumId w:val="11"/>
  </w:num>
  <w:num w:numId="10" w16cid:durableId="486627966">
    <w:abstractNumId w:val="40"/>
  </w:num>
  <w:num w:numId="11" w16cid:durableId="399406745">
    <w:abstractNumId w:val="48"/>
  </w:num>
  <w:num w:numId="12" w16cid:durableId="812219156">
    <w:abstractNumId w:val="19"/>
  </w:num>
  <w:num w:numId="13" w16cid:durableId="14232994">
    <w:abstractNumId w:val="37"/>
  </w:num>
  <w:num w:numId="14" w16cid:durableId="872304809">
    <w:abstractNumId w:val="16"/>
  </w:num>
  <w:num w:numId="15" w16cid:durableId="989016408">
    <w:abstractNumId w:val="44"/>
  </w:num>
  <w:num w:numId="16" w16cid:durableId="78450995">
    <w:abstractNumId w:val="29"/>
  </w:num>
  <w:num w:numId="17" w16cid:durableId="1647050757">
    <w:abstractNumId w:val="15"/>
  </w:num>
  <w:num w:numId="18" w16cid:durableId="454567130">
    <w:abstractNumId w:val="20"/>
  </w:num>
  <w:num w:numId="19" w16cid:durableId="352810144">
    <w:abstractNumId w:val="26"/>
  </w:num>
  <w:num w:numId="20" w16cid:durableId="584144637">
    <w:abstractNumId w:val="28"/>
  </w:num>
  <w:num w:numId="21" w16cid:durableId="343702185">
    <w:abstractNumId w:val="41"/>
  </w:num>
  <w:num w:numId="22" w16cid:durableId="442967670">
    <w:abstractNumId w:val="8"/>
  </w:num>
  <w:num w:numId="23" w16cid:durableId="574971114">
    <w:abstractNumId w:val="46"/>
  </w:num>
  <w:num w:numId="24" w16cid:durableId="837768320">
    <w:abstractNumId w:val="30"/>
  </w:num>
  <w:num w:numId="25" w16cid:durableId="77874326">
    <w:abstractNumId w:val="27"/>
  </w:num>
  <w:num w:numId="26" w16cid:durableId="77144436">
    <w:abstractNumId w:val="39"/>
  </w:num>
  <w:num w:numId="27" w16cid:durableId="1403210004">
    <w:abstractNumId w:val="23"/>
  </w:num>
  <w:num w:numId="28" w16cid:durableId="220137285">
    <w:abstractNumId w:val="13"/>
  </w:num>
  <w:num w:numId="29" w16cid:durableId="1316101986">
    <w:abstractNumId w:val="2"/>
  </w:num>
  <w:num w:numId="30" w16cid:durableId="643973744">
    <w:abstractNumId w:val="1"/>
  </w:num>
  <w:num w:numId="31" w16cid:durableId="17633308">
    <w:abstractNumId w:val="4"/>
  </w:num>
  <w:num w:numId="32" w16cid:durableId="1316257637">
    <w:abstractNumId w:val="18"/>
  </w:num>
  <w:num w:numId="33" w16cid:durableId="26764582">
    <w:abstractNumId w:val="10"/>
  </w:num>
  <w:num w:numId="34" w16cid:durableId="2069985658">
    <w:abstractNumId w:val="5"/>
  </w:num>
  <w:num w:numId="35" w16cid:durableId="1685747705">
    <w:abstractNumId w:val="22"/>
  </w:num>
  <w:num w:numId="36" w16cid:durableId="162941166">
    <w:abstractNumId w:val="45"/>
  </w:num>
  <w:num w:numId="37" w16cid:durableId="910120671">
    <w:abstractNumId w:val="7"/>
  </w:num>
  <w:num w:numId="38" w16cid:durableId="1393771853">
    <w:abstractNumId w:val="31"/>
  </w:num>
  <w:num w:numId="39" w16cid:durableId="1251503011">
    <w:abstractNumId w:val="3"/>
  </w:num>
  <w:num w:numId="40" w16cid:durableId="1522014926">
    <w:abstractNumId w:val="47"/>
  </w:num>
  <w:num w:numId="41" w16cid:durableId="1653950142">
    <w:abstractNumId w:val="14"/>
  </w:num>
  <w:num w:numId="42" w16cid:durableId="1301570249">
    <w:abstractNumId w:val="0"/>
  </w:num>
  <w:num w:numId="43" w16cid:durableId="1345009021">
    <w:abstractNumId w:val="43"/>
  </w:num>
  <w:num w:numId="44" w16cid:durableId="30229048">
    <w:abstractNumId w:val="42"/>
  </w:num>
  <w:num w:numId="45" w16cid:durableId="1552617391">
    <w:abstractNumId w:val="38"/>
  </w:num>
  <w:num w:numId="46" w16cid:durableId="1055929387">
    <w:abstractNumId w:val="9"/>
  </w:num>
  <w:num w:numId="47" w16cid:durableId="235434094">
    <w:abstractNumId w:val="36"/>
  </w:num>
  <w:num w:numId="48" w16cid:durableId="1397900237">
    <w:abstractNumId w:val="32"/>
  </w:num>
  <w:num w:numId="49" w16cid:durableId="19492689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C1"/>
    <w:rsid w:val="00004DA0"/>
    <w:rsid w:val="00007A3C"/>
    <w:rsid w:val="0002650D"/>
    <w:rsid w:val="0003726A"/>
    <w:rsid w:val="0004169F"/>
    <w:rsid w:val="00050A7E"/>
    <w:rsid w:val="00051689"/>
    <w:rsid w:val="00052206"/>
    <w:rsid w:val="0005455E"/>
    <w:rsid w:val="00054A59"/>
    <w:rsid w:val="00057193"/>
    <w:rsid w:val="00062939"/>
    <w:rsid w:val="000637E2"/>
    <w:rsid w:val="00071489"/>
    <w:rsid w:val="00073F20"/>
    <w:rsid w:val="00080A89"/>
    <w:rsid w:val="0008252C"/>
    <w:rsid w:val="00085915"/>
    <w:rsid w:val="00093055"/>
    <w:rsid w:val="00093EB1"/>
    <w:rsid w:val="000A4088"/>
    <w:rsid w:val="000A68FE"/>
    <w:rsid w:val="000A77D0"/>
    <w:rsid w:val="000C4EE6"/>
    <w:rsid w:val="000D79D7"/>
    <w:rsid w:val="000E3DDC"/>
    <w:rsid w:val="000F14F6"/>
    <w:rsid w:val="000F71F3"/>
    <w:rsid w:val="00102DEE"/>
    <w:rsid w:val="00105E8D"/>
    <w:rsid w:val="00132989"/>
    <w:rsid w:val="00133794"/>
    <w:rsid w:val="00135ABF"/>
    <w:rsid w:val="0013797D"/>
    <w:rsid w:val="00145FA3"/>
    <w:rsid w:val="001532BF"/>
    <w:rsid w:val="00157557"/>
    <w:rsid w:val="0016749F"/>
    <w:rsid w:val="00171A1F"/>
    <w:rsid w:val="00174C1C"/>
    <w:rsid w:val="001766CD"/>
    <w:rsid w:val="00183438"/>
    <w:rsid w:val="001846CB"/>
    <w:rsid w:val="0019424D"/>
    <w:rsid w:val="00196156"/>
    <w:rsid w:val="001A2C62"/>
    <w:rsid w:val="001A6191"/>
    <w:rsid w:val="001A6FE8"/>
    <w:rsid w:val="001A7BE8"/>
    <w:rsid w:val="001C45E4"/>
    <w:rsid w:val="001D1BE5"/>
    <w:rsid w:val="001D3551"/>
    <w:rsid w:val="001D497D"/>
    <w:rsid w:val="001D5313"/>
    <w:rsid w:val="001D67DC"/>
    <w:rsid w:val="001F499E"/>
    <w:rsid w:val="001F4FD9"/>
    <w:rsid w:val="002032DD"/>
    <w:rsid w:val="002105D0"/>
    <w:rsid w:val="00212244"/>
    <w:rsid w:val="00214EBE"/>
    <w:rsid w:val="00225AFF"/>
    <w:rsid w:val="00236611"/>
    <w:rsid w:val="00242FE5"/>
    <w:rsid w:val="002442EA"/>
    <w:rsid w:val="0025591C"/>
    <w:rsid w:val="002569C0"/>
    <w:rsid w:val="0026064D"/>
    <w:rsid w:val="00264EC3"/>
    <w:rsid w:val="00266686"/>
    <w:rsid w:val="00277C9B"/>
    <w:rsid w:val="00280FA3"/>
    <w:rsid w:val="00285561"/>
    <w:rsid w:val="002A40CA"/>
    <w:rsid w:val="002A433E"/>
    <w:rsid w:val="002B0DFF"/>
    <w:rsid w:val="002B0FFD"/>
    <w:rsid w:val="002D0C60"/>
    <w:rsid w:val="002D5507"/>
    <w:rsid w:val="002D793B"/>
    <w:rsid w:val="002E0E0A"/>
    <w:rsid w:val="002E2F2E"/>
    <w:rsid w:val="002F0945"/>
    <w:rsid w:val="002F44D2"/>
    <w:rsid w:val="002F551E"/>
    <w:rsid w:val="002F7D51"/>
    <w:rsid w:val="0030122B"/>
    <w:rsid w:val="00311503"/>
    <w:rsid w:val="00315443"/>
    <w:rsid w:val="00330DF2"/>
    <w:rsid w:val="00333D2A"/>
    <w:rsid w:val="003478E3"/>
    <w:rsid w:val="00351095"/>
    <w:rsid w:val="0035609E"/>
    <w:rsid w:val="00360EB7"/>
    <w:rsid w:val="00361B7A"/>
    <w:rsid w:val="003630BC"/>
    <w:rsid w:val="00382517"/>
    <w:rsid w:val="00385CDE"/>
    <w:rsid w:val="00396FB5"/>
    <w:rsid w:val="003A14CB"/>
    <w:rsid w:val="003A2355"/>
    <w:rsid w:val="003A25EC"/>
    <w:rsid w:val="003B2EE3"/>
    <w:rsid w:val="003B3A2B"/>
    <w:rsid w:val="003B68D3"/>
    <w:rsid w:val="003C2CE3"/>
    <w:rsid w:val="003C3850"/>
    <w:rsid w:val="003C4F22"/>
    <w:rsid w:val="003D0510"/>
    <w:rsid w:val="003D0D6A"/>
    <w:rsid w:val="003D3274"/>
    <w:rsid w:val="003D4473"/>
    <w:rsid w:val="003D473B"/>
    <w:rsid w:val="003D5085"/>
    <w:rsid w:val="003D5317"/>
    <w:rsid w:val="003D572E"/>
    <w:rsid w:val="003F2E3B"/>
    <w:rsid w:val="003F312C"/>
    <w:rsid w:val="003F681A"/>
    <w:rsid w:val="003F7BD4"/>
    <w:rsid w:val="00402467"/>
    <w:rsid w:val="004069CB"/>
    <w:rsid w:val="00412181"/>
    <w:rsid w:val="004127ED"/>
    <w:rsid w:val="00417DC5"/>
    <w:rsid w:val="00424043"/>
    <w:rsid w:val="00426749"/>
    <w:rsid w:val="004454D5"/>
    <w:rsid w:val="0045302C"/>
    <w:rsid w:val="00465E0E"/>
    <w:rsid w:val="004733AF"/>
    <w:rsid w:val="0047361F"/>
    <w:rsid w:val="00491494"/>
    <w:rsid w:val="00495062"/>
    <w:rsid w:val="00496DC3"/>
    <w:rsid w:val="004A2ECD"/>
    <w:rsid w:val="004A4A48"/>
    <w:rsid w:val="004A599B"/>
    <w:rsid w:val="004B413C"/>
    <w:rsid w:val="004C1D29"/>
    <w:rsid w:val="004C7C60"/>
    <w:rsid w:val="004D007C"/>
    <w:rsid w:val="004D6B27"/>
    <w:rsid w:val="004F050E"/>
    <w:rsid w:val="004F2B9D"/>
    <w:rsid w:val="004F334F"/>
    <w:rsid w:val="004F340A"/>
    <w:rsid w:val="004F64B9"/>
    <w:rsid w:val="00521500"/>
    <w:rsid w:val="00522917"/>
    <w:rsid w:val="00530A31"/>
    <w:rsid w:val="00534479"/>
    <w:rsid w:val="0055631C"/>
    <w:rsid w:val="00556ABA"/>
    <w:rsid w:val="00564644"/>
    <w:rsid w:val="00564720"/>
    <w:rsid w:val="00580A0F"/>
    <w:rsid w:val="00581AD5"/>
    <w:rsid w:val="005B21EF"/>
    <w:rsid w:val="005B4960"/>
    <w:rsid w:val="005C049D"/>
    <w:rsid w:val="005E26C5"/>
    <w:rsid w:val="005E614C"/>
    <w:rsid w:val="005F1134"/>
    <w:rsid w:val="005F2A25"/>
    <w:rsid w:val="005F3A62"/>
    <w:rsid w:val="005F48AF"/>
    <w:rsid w:val="00605C31"/>
    <w:rsid w:val="0060605C"/>
    <w:rsid w:val="006118C5"/>
    <w:rsid w:val="00623CCB"/>
    <w:rsid w:val="006248A0"/>
    <w:rsid w:val="006255C9"/>
    <w:rsid w:val="00626F20"/>
    <w:rsid w:val="00635262"/>
    <w:rsid w:val="00641C4F"/>
    <w:rsid w:val="006437FA"/>
    <w:rsid w:val="0065064E"/>
    <w:rsid w:val="00652405"/>
    <w:rsid w:val="00655E90"/>
    <w:rsid w:val="00657493"/>
    <w:rsid w:val="0065765B"/>
    <w:rsid w:val="00663824"/>
    <w:rsid w:val="00663F31"/>
    <w:rsid w:val="0066736C"/>
    <w:rsid w:val="0067200B"/>
    <w:rsid w:val="00672D87"/>
    <w:rsid w:val="00681B03"/>
    <w:rsid w:val="00686B08"/>
    <w:rsid w:val="00696E65"/>
    <w:rsid w:val="006A192D"/>
    <w:rsid w:val="006B79D4"/>
    <w:rsid w:val="006D45C9"/>
    <w:rsid w:val="006E1937"/>
    <w:rsid w:val="006E3492"/>
    <w:rsid w:val="006F0638"/>
    <w:rsid w:val="00707A05"/>
    <w:rsid w:val="00726ABE"/>
    <w:rsid w:val="00730D0C"/>
    <w:rsid w:val="00731106"/>
    <w:rsid w:val="00734B74"/>
    <w:rsid w:val="007353A8"/>
    <w:rsid w:val="0074360B"/>
    <w:rsid w:val="0075374F"/>
    <w:rsid w:val="0076643E"/>
    <w:rsid w:val="00767D1D"/>
    <w:rsid w:val="007711B6"/>
    <w:rsid w:val="007762EF"/>
    <w:rsid w:val="00783159"/>
    <w:rsid w:val="0078361B"/>
    <w:rsid w:val="00786AD1"/>
    <w:rsid w:val="007872B8"/>
    <w:rsid w:val="00787C2A"/>
    <w:rsid w:val="00791991"/>
    <w:rsid w:val="007A3D32"/>
    <w:rsid w:val="007B0BCA"/>
    <w:rsid w:val="007B3EBB"/>
    <w:rsid w:val="007C37A0"/>
    <w:rsid w:val="007D537F"/>
    <w:rsid w:val="007D567D"/>
    <w:rsid w:val="007E0C10"/>
    <w:rsid w:val="007E2E6C"/>
    <w:rsid w:val="007E45DE"/>
    <w:rsid w:val="007E7F10"/>
    <w:rsid w:val="007F1AB7"/>
    <w:rsid w:val="007F7189"/>
    <w:rsid w:val="00805834"/>
    <w:rsid w:val="00805F5B"/>
    <w:rsid w:val="0080644C"/>
    <w:rsid w:val="00817386"/>
    <w:rsid w:val="00826820"/>
    <w:rsid w:val="008306DA"/>
    <w:rsid w:val="00832761"/>
    <w:rsid w:val="00834BCD"/>
    <w:rsid w:val="00843CA1"/>
    <w:rsid w:val="00843D77"/>
    <w:rsid w:val="00847ABF"/>
    <w:rsid w:val="0086181A"/>
    <w:rsid w:val="00861C66"/>
    <w:rsid w:val="008644FC"/>
    <w:rsid w:val="00866297"/>
    <w:rsid w:val="0087756D"/>
    <w:rsid w:val="008866EB"/>
    <w:rsid w:val="008922B1"/>
    <w:rsid w:val="00897584"/>
    <w:rsid w:val="008A1C98"/>
    <w:rsid w:val="008A5501"/>
    <w:rsid w:val="008A6846"/>
    <w:rsid w:val="008B49A6"/>
    <w:rsid w:val="008C574D"/>
    <w:rsid w:val="008D6504"/>
    <w:rsid w:val="008E0A5F"/>
    <w:rsid w:val="008E5D90"/>
    <w:rsid w:val="008E79B9"/>
    <w:rsid w:val="008F4FA9"/>
    <w:rsid w:val="0090514D"/>
    <w:rsid w:val="00907EAA"/>
    <w:rsid w:val="00915C07"/>
    <w:rsid w:val="009161C7"/>
    <w:rsid w:val="0092049E"/>
    <w:rsid w:val="00924470"/>
    <w:rsid w:val="009252E3"/>
    <w:rsid w:val="00926425"/>
    <w:rsid w:val="00930871"/>
    <w:rsid w:val="00931640"/>
    <w:rsid w:val="00931A24"/>
    <w:rsid w:val="009361B0"/>
    <w:rsid w:val="0094321C"/>
    <w:rsid w:val="00946B3B"/>
    <w:rsid w:val="0095434F"/>
    <w:rsid w:val="009543D9"/>
    <w:rsid w:val="00954B71"/>
    <w:rsid w:val="009678C8"/>
    <w:rsid w:val="00970EE3"/>
    <w:rsid w:val="009747C6"/>
    <w:rsid w:val="00976CF4"/>
    <w:rsid w:val="009770FF"/>
    <w:rsid w:val="00980273"/>
    <w:rsid w:val="00981445"/>
    <w:rsid w:val="00983EB5"/>
    <w:rsid w:val="00993CA5"/>
    <w:rsid w:val="00996153"/>
    <w:rsid w:val="009A66E4"/>
    <w:rsid w:val="009C09D4"/>
    <w:rsid w:val="009C0E8F"/>
    <w:rsid w:val="009C4F8B"/>
    <w:rsid w:val="009C53EB"/>
    <w:rsid w:val="009E638C"/>
    <w:rsid w:val="009F0099"/>
    <w:rsid w:val="00A05C1C"/>
    <w:rsid w:val="00A16BDD"/>
    <w:rsid w:val="00A17D87"/>
    <w:rsid w:val="00A234A5"/>
    <w:rsid w:val="00A3271E"/>
    <w:rsid w:val="00A331FD"/>
    <w:rsid w:val="00A379F0"/>
    <w:rsid w:val="00A4435D"/>
    <w:rsid w:val="00A460B8"/>
    <w:rsid w:val="00A4775A"/>
    <w:rsid w:val="00A53673"/>
    <w:rsid w:val="00A54073"/>
    <w:rsid w:val="00A567BA"/>
    <w:rsid w:val="00A659F4"/>
    <w:rsid w:val="00A7471C"/>
    <w:rsid w:val="00A76CD6"/>
    <w:rsid w:val="00A87430"/>
    <w:rsid w:val="00A95951"/>
    <w:rsid w:val="00AA1064"/>
    <w:rsid w:val="00AB0906"/>
    <w:rsid w:val="00AC0561"/>
    <w:rsid w:val="00AC3086"/>
    <w:rsid w:val="00AC574B"/>
    <w:rsid w:val="00AE026F"/>
    <w:rsid w:val="00AE563E"/>
    <w:rsid w:val="00AE7FC3"/>
    <w:rsid w:val="00AF0429"/>
    <w:rsid w:val="00B375DC"/>
    <w:rsid w:val="00B44969"/>
    <w:rsid w:val="00B6662C"/>
    <w:rsid w:val="00B73C19"/>
    <w:rsid w:val="00B81DCB"/>
    <w:rsid w:val="00B822CD"/>
    <w:rsid w:val="00B864DD"/>
    <w:rsid w:val="00B910C0"/>
    <w:rsid w:val="00BB2437"/>
    <w:rsid w:val="00BB32AA"/>
    <w:rsid w:val="00BC4D8E"/>
    <w:rsid w:val="00BC6690"/>
    <w:rsid w:val="00BD738A"/>
    <w:rsid w:val="00BE0AEC"/>
    <w:rsid w:val="00BE2309"/>
    <w:rsid w:val="00BF37C5"/>
    <w:rsid w:val="00BF49D7"/>
    <w:rsid w:val="00BF4D16"/>
    <w:rsid w:val="00C0732F"/>
    <w:rsid w:val="00C2564D"/>
    <w:rsid w:val="00C41761"/>
    <w:rsid w:val="00C51590"/>
    <w:rsid w:val="00C5684D"/>
    <w:rsid w:val="00C635EF"/>
    <w:rsid w:val="00C67969"/>
    <w:rsid w:val="00C82D41"/>
    <w:rsid w:val="00C82FE5"/>
    <w:rsid w:val="00C8485D"/>
    <w:rsid w:val="00CA2E6C"/>
    <w:rsid w:val="00CA3BB7"/>
    <w:rsid w:val="00CA55BA"/>
    <w:rsid w:val="00CB62F7"/>
    <w:rsid w:val="00CB7E79"/>
    <w:rsid w:val="00CC064D"/>
    <w:rsid w:val="00CC0C20"/>
    <w:rsid w:val="00CC241A"/>
    <w:rsid w:val="00CC44AB"/>
    <w:rsid w:val="00CC65AB"/>
    <w:rsid w:val="00CD0D2C"/>
    <w:rsid w:val="00CD1847"/>
    <w:rsid w:val="00CD7112"/>
    <w:rsid w:val="00CF2C45"/>
    <w:rsid w:val="00D11F51"/>
    <w:rsid w:val="00D12AD2"/>
    <w:rsid w:val="00D15142"/>
    <w:rsid w:val="00D16F2C"/>
    <w:rsid w:val="00D217C3"/>
    <w:rsid w:val="00D21854"/>
    <w:rsid w:val="00D26AC6"/>
    <w:rsid w:val="00D3376B"/>
    <w:rsid w:val="00D37593"/>
    <w:rsid w:val="00D5736F"/>
    <w:rsid w:val="00D61FBA"/>
    <w:rsid w:val="00D6639F"/>
    <w:rsid w:val="00D666D8"/>
    <w:rsid w:val="00D66A39"/>
    <w:rsid w:val="00D67CCD"/>
    <w:rsid w:val="00D73E5B"/>
    <w:rsid w:val="00D7503A"/>
    <w:rsid w:val="00D75718"/>
    <w:rsid w:val="00D91C3A"/>
    <w:rsid w:val="00D91E06"/>
    <w:rsid w:val="00D92924"/>
    <w:rsid w:val="00DA6D69"/>
    <w:rsid w:val="00DB32B3"/>
    <w:rsid w:val="00DB7B2C"/>
    <w:rsid w:val="00DC63C8"/>
    <w:rsid w:val="00DC73DA"/>
    <w:rsid w:val="00DD2BC2"/>
    <w:rsid w:val="00DD7CEF"/>
    <w:rsid w:val="00DE4CAB"/>
    <w:rsid w:val="00DF5791"/>
    <w:rsid w:val="00DF63EA"/>
    <w:rsid w:val="00E142F5"/>
    <w:rsid w:val="00E22B88"/>
    <w:rsid w:val="00E3522C"/>
    <w:rsid w:val="00E400B2"/>
    <w:rsid w:val="00E420D7"/>
    <w:rsid w:val="00E42703"/>
    <w:rsid w:val="00E4479F"/>
    <w:rsid w:val="00E44E07"/>
    <w:rsid w:val="00E45420"/>
    <w:rsid w:val="00E454D1"/>
    <w:rsid w:val="00E50E5B"/>
    <w:rsid w:val="00E618B1"/>
    <w:rsid w:val="00E82F4B"/>
    <w:rsid w:val="00E83211"/>
    <w:rsid w:val="00E919FF"/>
    <w:rsid w:val="00E93FC1"/>
    <w:rsid w:val="00E95B3E"/>
    <w:rsid w:val="00EA0C88"/>
    <w:rsid w:val="00EA692A"/>
    <w:rsid w:val="00EA7B30"/>
    <w:rsid w:val="00EB2E50"/>
    <w:rsid w:val="00EB70AD"/>
    <w:rsid w:val="00EC61FB"/>
    <w:rsid w:val="00EC6CAA"/>
    <w:rsid w:val="00ED44F5"/>
    <w:rsid w:val="00ED5AAE"/>
    <w:rsid w:val="00ED613E"/>
    <w:rsid w:val="00EE4D83"/>
    <w:rsid w:val="00EE743E"/>
    <w:rsid w:val="00EF4A66"/>
    <w:rsid w:val="00F00C14"/>
    <w:rsid w:val="00F26DE8"/>
    <w:rsid w:val="00F3013B"/>
    <w:rsid w:val="00F33AC0"/>
    <w:rsid w:val="00F34AC5"/>
    <w:rsid w:val="00F365CD"/>
    <w:rsid w:val="00F476D7"/>
    <w:rsid w:val="00F61CD3"/>
    <w:rsid w:val="00F63E66"/>
    <w:rsid w:val="00F67C84"/>
    <w:rsid w:val="00F80211"/>
    <w:rsid w:val="00F8287E"/>
    <w:rsid w:val="00F83172"/>
    <w:rsid w:val="00F90D37"/>
    <w:rsid w:val="00F91816"/>
    <w:rsid w:val="00F9373C"/>
    <w:rsid w:val="00F9515A"/>
    <w:rsid w:val="00FA2E49"/>
    <w:rsid w:val="00FA6752"/>
    <w:rsid w:val="00FB7BDC"/>
    <w:rsid w:val="00FD2EE9"/>
    <w:rsid w:val="00FE7FF4"/>
    <w:rsid w:val="00FF0D68"/>
    <w:rsid w:val="00FF5A72"/>
    <w:rsid w:val="00FF5D4E"/>
    <w:rsid w:val="00FF6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C9F6"/>
  <w15:chartTrackingRefBased/>
  <w15:docId w15:val="{8A05230E-21E6-4EF6-9D79-967080BD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7D567D"/>
    <w:pPr>
      <w:spacing w:after="0" w:line="240" w:lineRule="auto"/>
    </w:pPr>
    <w:rPr>
      <w:lang w:val="es-MX"/>
    </w:rPr>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spacing w:after="0" w:line="240" w:lineRule="auto"/>
    </w:pPr>
    <w:rPr>
      <w:rFonts w:ascii="Palatino Linotype" w:hAnsi="Palatino Linotype" w:cs="Palatino Linotype"/>
      <w:color w:val="000000"/>
      <w:sz w:val="24"/>
      <w:szCs w:val="24"/>
      <w:lang w:val="es-MX"/>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pPr>
      <w:spacing w:after="0" w:line="240" w:lineRule="auto"/>
    </w:pPr>
    <w:rPr>
      <w:lang w:val="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EA7B30"/>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993">
      <w:bodyDiv w:val="1"/>
      <w:marLeft w:val="0"/>
      <w:marRight w:val="0"/>
      <w:marTop w:val="0"/>
      <w:marBottom w:val="0"/>
      <w:divBdr>
        <w:top w:val="none" w:sz="0" w:space="0" w:color="auto"/>
        <w:left w:val="none" w:sz="0" w:space="0" w:color="auto"/>
        <w:bottom w:val="none" w:sz="0" w:space="0" w:color="auto"/>
        <w:right w:val="none" w:sz="0" w:space="0" w:color="auto"/>
      </w:divBdr>
    </w:div>
    <w:div w:id="114106951">
      <w:bodyDiv w:val="1"/>
      <w:marLeft w:val="0"/>
      <w:marRight w:val="0"/>
      <w:marTop w:val="0"/>
      <w:marBottom w:val="0"/>
      <w:divBdr>
        <w:top w:val="none" w:sz="0" w:space="0" w:color="auto"/>
        <w:left w:val="none" w:sz="0" w:space="0" w:color="auto"/>
        <w:bottom w:val="none" w:sz="0" w:space="0" w:color="auto"/>
        <w:right w:val="none" w:sz="0" w:space="0" w:color="auto"/>
      </w:divBdr>
    </w:div>
    <w:div w:id="206724602">
      <w:bodyDiv w:val="1"/>
      <w:marLeft w:val="0"/>
      <w:marRight w:val="0"/>
      <w:marTop w:val="0"/>
      <w:marBottom w:val="0"/>
      <w:divBdr>
        <w:top w:val="none" w:sz="0" w:space="0" w:color="auto"/>
        <w:left w:val="none" w:sz="0" w:space="0" w:color="auto"/>
        <w:bottom w:val="none" w:sz="0" w:space="0" w:color="auto"/>
        <w:right w:val="none" w:sz="0" w:space="0" w:color="auto"/>
      </w:divBdr>
    </w:div>
    <w:div w:id="285551741">
      <w:bodyDiv w:val="1"/>
      <w:marLeft w:val="0"/>
      <w:marRight w:val="0"/>
      <w:marTop w:val="0"/>
      <w:marBottom w:val="0"/>
      <w:divBdr>
        <w:top w:val="none" w:sz="0" w:space="0" w:color="auto"/>
        <w:left w:val="none" w:sz="0" w:space="0" w:color="auto"/>
        <w:bottom w:val="none" w:sz="0" w:space="0" w:color="auto"/>
        <w:right w:val="none" w:sz="0" w:space="0" w:color="auto"/>
      </w:divBdr>
    </w:div>
    <w:div w:id="340356841">
      <w:bodyDiv w:val="1"/>
      <w:marLeft w:val="0"/>
      <w:marRight w:val="0"/>
      <w:marTop w:val="0"/>
      <w:marBottom w:val="0"/>
      <w:divBdr>
        <w:top w:val="none" w:sz="0" w:space="0" w:color="auto"/>
        <w:left w:val="none" w:sz="0" w:space="0" w:color="auto"/>
        <w:bottom w:val="none" w:sz="0" w:space="0" w:color="auto"/>
        <w:right w:val="none" w:sz="0" w:space="0" w:color="auto"/>
      </w:divBdr>
    </w:div>
    <w:div w:id="470682069">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87470385">
      <w:bodyDiv w:val="1"/>
      <w:marLeft w:val="0"/>
      <w:marRight w:val="0"/>
      <w:marTop w:val="0"/>
      <w:marBottom w:val="0"/>
      <w:divBdr>
        <w:top w:val="none" w:sz="0" w:space="0" w:color="auto"/>
        <w:left w:val="none" w:sz="0" w:space="0" w:color="auto"/>
        <w:bottom w:val="none" w:sz="0" w:space="0" w:color="auto"/>
        <w:right w:val="none" w:sz="0" w:space="0" w:color="auto"/>
      </w:divBdr>
    </w:div>
    <w:div w:id="592861995">
      <w:bodyDiv w:val="1"/>
      <w:marLeft w:val="0"/>
      <w:marRight w:val="0"/>
      <w:marTop w:val="0"/>
      <w:marBottom w:val="0"/>
      <w:divBdr>
        <w:top w:val="none" w:sz="0" w:space="0" w:color="auto"/>
        <w:left w:val="none" w:sz="0" w:space="0" w:color="auto"/>
        <w:bottom w:val="none" w:sz="0" w:space="0" w:color="auto"/>
        <w:right w:val="none" w:sz="0" w:space="0" w:color="auto"/>
      </w:divBdr>
    </w:div>
    <w:div w:id="600795931">
      <w:bodyDiv w:val="1"/>
      <w:marLeft w:val="0"/>
      <w:marRight w:val="0"/>
      <w:marTop w:val="0"/>
      <w:marBottom w:val="0"/>
      <w:divBdr>
        <w:top w:val="none" w:sz="0" w:space="0" w:color="auto"/>
        <w:left w:val="none" w:sz="0" w:space="0" w:color="auto"/>
        <w:bottom w:val="none" w:sz="0" w:space="0" w:color="auto"/>
        <w:right w:val="none" w:sz="0" w:space="0" w:color="auto"/>
      </w:divBdr>
    </w:div>
    <w:div w:id="655450884">
      <w:bodyDiv w:val="1"/>
      <w:marLeft w:val="0"/>
      <w:marRight w:val="0"/>
      <w:marTop w:val="0"/>
      <w:marBottom w:val="0"/>
      <w:divBdr>
        <w:top w:val="none" w:sz="0" w:space="0" w:color="auto"/>
        <w:left w:val="none" w:sz="0" w:space="0" w:color="auto"/>
        <w:bottom w:val="none" w:sz="0" w:space="0" w:color="auto"/>
        <w:right w:val="none" w:sz="0" w:space="0" w:color="auto"/>
      </w:divBdr>
    </w:div>
    <w:div w:id="667711203">
      <w:bodyDiv w:val="1"/>
      <w:marLeft w:val="0"/>
      <w:marRight w:val="0"/>
      <w:marTop w:val="0"/>
      <w:marBottom w:val="0"/>
      <w:divBdr>
        <w:top w:val="none" w:sz="0" w:space="0" w:color="auto"/>
        <w:left w:val="none" w:sz="0" w:space="0" w:color="auto"/>
        <w:bottom w:val="none" w:sz="0" w:space="0" w:color="auto"/>
        <w:right w:val="none" w:sz="0" w:space="0" w:color="auto"/>
      </w:divBdr>
    </w:div>
    <w:div w:id="683628118">
      <w:bodyDiv w:val="1"/>
      <w:marLeft w:val="0"/>
      <w:marRight w:val="0"/>
      <w:marTop w:val="0"/>
      <w:marBottom w:val="0"/>
      <w:divBdr>
        <w:top w:val="none" w:sz="0" w:space="0" w:color="auto"/>
        <w:left w:val="none" w:sz="0" w:space="0" w:color="auto"/>
        <w:bottom w:val="none" w:sz="0" w:space="0" w:color="auto"/>
        <w:right w:val="none" w:sz="0" w:space="0" w:color="auto"/>
      </w:divBdr>
    </w:div>
    <w:div w:id="697775748">
      <w:bodyDiv w:val="1"/>
      <w:marLeft w:val="0"/>
      <w:marRight w:val="0"/>
      <w:marTop w:val="0"/>
      <w:marBottom w:val="0"/>
      <w:divBdr>
        <w:top w:val="none" w:sz="0" w:space="0" w:color="auto"/>
        <w:left w:val="none" w:sz="0" w:space="0" w:color="auto"/>
        <w:bottom w:val="none" w:sz="0" w:space="0" w:color="auto"/>
        <w:right w:val="none" w:sz="0" w:space="0" w:color="auto"/>
      </w:divBdr>
    </w:div>
    <w:div w:id="707099368">
      <w:bodyDiv w:val="1"/>
      <w:marLeft w:val="0"/>
      <w:marRight w:val="0"/>
      <w:marTop w:val="0"/>
      <w:marBottom w:val="0"/>
      <w:divBdr>
        <w:top w:val="none" w:sz="0" w:space="0" w:color="auto"/>
        <w:left w:val="none" w:sz="0" w:space="0" w:color="auto"/>
        <w:bottom w:val="none" w:sz="0" w:space="0" w:color="auto"/>
        <w:right w:val="none" w:sz="0" w:space="0" w:color="auto"/>
      </w:divBdr>
    </w:div>
    <w:div w:id="848643741">
      <w:bodyDiv w:val="1"/>
      <w:marLeft w:val="0"/>
      <w:marRight w:val="0"/>
      <w:marTop w:val="0"/>
      <w:marBottom w:val="0"/>
      <w:divBdr>
        <w:top w:val="none" w:sz="0" w:space="0" w:color="auto"/>
        <w:left w:val="none" w:sz="0" w:space="0" w:color="auto"/>
        <w:bottom w:val="none" w:sz="0" w:space="0" w:color="auto"/>
        <w:right w:val="none" w:sz="0" w:space="0" w:color="auto"/>
      </w:divBdr>
    </w:div>
    <w:div w:id="866257655">
      <w:bodyDiv w:val="1"/>
      <w:marLeft w:val="0"/>
      <w:marRight w:val="0"/>
      <w:marTop w:val="0"/>
      <w:marBottom w:val="0"/>
      <w:divBdr>
        <w:top w:val="none" w:sz="0" w:space="0" w:color="auto"/>
        <w:left w:val="none" w:sz="0" w:space="0" w:color="auto"/>
        <w:bottom w:val="none" w:sz="0" w:space="0" w:color="auto"/>
        <w:right w:val="none" w:sz="0" w:space="0" w:color="auto"/>
      </w:divBdr>
    </w:div>
    <w:div w:id="875628743">
      <w:bodyDiv w:val="1"/>
      <w:marLeft w:val="0"/>
      <w:marRight w:val="0"/>
      <w:marTop w:val="0"/>
      <w:marBottom w:val="0"/>
      <w:divBdr>
        <w:top w:val="none" w:sz="0" w:space="0" w:color="auto"/>
        <w:left w:val="none" w:sz="0" w:space="0" w:color="auto"/>
        <w:bottom w:val="none" w:sz="0" w:space="0" w:color="auto"/>
        <w:right w:val="none" w:sz="0" w:space="0" w:color="auto"/>
      </w:divBdr>
    </w:div>
    <w:div w:id="904144243">
      <w:bodyDiv w:val="1"/>
      <w:marLeft w:val="0"/>
      <w:marRight w:val="0"/>
      <w:marTop w:val="0"/>
      <w:marBottom w:val="0"/>
      <w:divBdr>
        <w:top w:val="none" w:sz="0" w:space="0" w:color="auto"/>
        <w:left w:val="none" w:sz="0" w:space="0" w:color="auto"/>
        <w:bottom w:val="none" w:sz="0" w:space="0" w:color="auto"/>
        <w:right w:val="none" w:sz="0" w:space="0" w:color="auto"/>
      </w:divBdr>
    </w:div>
    <w:div w:id="915364105">
      <w:bodyDiv w:val="1"/>
      <w:marLeft w:val="0"/>
      <w:marRight w:val="0"/>
      <w:marTop w:val="0"/>
      <w:marBottom w:val="0"/>
      <w:divBdr>
        <w:top w:val="none" w:sz="0" w:space="0" w:color="auto"/>
        <w:left w:val="none" w:sz="0" w:space="0" w:color="auto"/>
        <w:bottom w:val="none" w:sz="0" w:space="0" w:color="auto"/>
        <w:right w:val="none" w:sz="0" w:space="0" w:color="auto"/>
      </w:divBdr>
    </w:div>
    <w:div w:id="942153068">
      <w:bodyDiv w:val="1"/>
      <w:marLeft w:val="0"/>
      <w:marRight w:val="0"/>
      <w:marTop w:val="0"/>
      <w:marBottom w:val="0"/>
      <w:divBdr>
        <w:top w:val="none" w:sz="0" w:space="0" w:color="auto"/>
        <w:left w:val="none" w:sz="0" w:space="0" w:color="auto"/>
        <w:bottom w:val="none" w:sz="0" w:space="0" w:color="auto"/>
        <w:right w:val="none" w:sz="0" w:space="0" w:color="auto"/>
      </w:divBdr>
    </w:div>
    <w:div w:id="952906583">
      <w:bodyDiv w:val="1"/>
      <w:marLeft w:val="0"/>
      <w:marRight w:val="0"/>
      <w:marTop w:val="0"/>
      <w:marBottom w:val="0"/>
      <w:divBdr>
        <w:top w:val="none" w:sz="0" w:space="0" w:color="auto"/>
        <w:left w:val="none" w:sz="0" w:space="0" w:color="auto"/>
        <w:bottom w:val="none" w:sz="0" w:space="0" w:color="auto"/>
        <w:right w:val="none" w:sz="0" w:space="0" w:color="auto"/>
      </w:divBdr>
    </w:div>
    <w:div w:id="1107696795">
      <w:bodyDiv w:val="1"/>
      <w:marLeft w:val="0"/>
      <w:marRight w:val="0"/>
      <w:marTop w:val="0"/>
      <w:marBottom w:val="0"/>
      <w:divBdr>
        <w:top w:val="none" w:sz="0" w:space="0" w:color="auto"/>
        <w:left w:val="none" w:sz="0" w:space="0" w:color="auto"/>
        <w:bottom w:val="none" w:sz="0" w:space="0" w:color="auto"/>
        <w:right w:val="none" w:sz="0" w:space="0" w:color="auto"/>
      </w:divBdr>
    </w:div>
    <w:div w:id="1185708242">
      <w:bodyDiv w:val="1"/>
      <w:marLeft w:val="0"/>
      <w:marRight w:val="0"/>
      <w:marTop w:val="0"/>
      <w:marBottom w:val="0"/>
      <w:divBdr>
        <w:top w:val="none" w:sz="0" w:space="0" w:color="auto"/>
        <w:left w:val="none" w:sz="0" w:space="0" w:color="auto"/>
        <w:bottom w:val="none" w:sz="0" w:space="0" w:color="auto"/>
        <w:right w:val="none" w:sz="0" w:space="0" w:color="auto"/>
      </w:divBdr>
    </w:div>
    <w:div w:id="1201360774">
      <w:bodyDiv w:val="1"/>
      <w:marLeft w:val="0"/>
      <w:marRight w:val="0"/>
      <w:marTop w:val="0"/>
      <w:marBottom w:val="0"/>
      <w:divBdr>
        <w:top w:val="none" w:sz="0" w:space="0" w:color="auto"/>
        <w:left w:val="none" w:sz="0" w:space="0" w:color="auto"/>
        <w:bottom w:val="none" w:sz="0" w:space="0" w:color="auto"/>
        <w:right w:val="none" w:sz="0" w:space="0" w:color="auto"/>
      </w:divBdr>
    </w:div>
    <w:div w:id="1320622177">
      <w:bodyDiv w:val="1"/>
      <w:marLeft w:val="0"/>
      <w:marRight w:val="0"/>
      <w:marTop w:val="0"/>
      <w:marBottom w:val="0"/>
      <w:divBdr>
        <w:top w:val="none" w:sz="0" w:space="0" w:color="auto"/>
        <w:left w:val="none" w:sz="0" w:space="0" w:color="auto"/>
        <w:bottom w:val="none" w:sz="0" w:space="0" w:color="auto"/>
        <w:right w:val="none" w:sz="0" w:space="0" w:color="auto"/>
      </w:divBdr>
    </w:div>
    <w:div w:id="1339236365">
      <w:bodyDiv w:val="1"/>
      <w:marLeft w:val="0"/>
      <w:marRight w:val="0"/>
      <w:marTop w:val="0"/>
      <w:marBottom w:val="0"/>
      <w:divBdr>
        <w:top w:val="none" w:sz="0" w:space="0" w:color="auto"/>
        <w:left w:val="none" w:sz="0" w:space="0" w:color="auto"/>
        <w:bottom w:val="none" w:sz="0" w:space="0" w:color="auto"/>
        <w:right w:val="none" w:sz="0" w:space="0" w:color="auto"/>
      </w:divBdr>
    </w:div>
    <w:div w:id="1413891412">
      <w:bodyDiv w:val="1"/>
      <w:marLeft w:val="0"/>
      <w:marRight w:val="0"/>
      <w:marTop w:val="0"/>
      <w:marBottom w:val="0"/>
      <w:divBdr>
        <w:top w:val="none" w:sz="0" w:space="0" w:color="auto"/>
        <w:left w:val="none" w:sz="0" w:space="0" w:color="auto"/>
        <w:bottom w:val="none" w:sz="0" w:space="0" w:color="auto"/>
        <w:right w:val="none" w:sz="0" w:space="0" w:color="auto"/>
      </w:divBdr>
    </w:div>
    <w:div w:id="1437555216">
      <w:bodyDiv w:val="1"/>
      <w:marLeft w:val="0"/>
      <w:marRight w:val="0"/>
      <w:marTop w:val="0"/>
      <w:marBottom w:val="0"/>
      <w:divBdr>
        <w:top w:val="none" w:sz="0" w:space="0" w:color="auto"/>
        <w:left w:val="none" w:sz="0" w:space="0" w:color="auto"/>
        <w:bottom w:val="none" w:sz="0" w:space="0" w:color="auto"/>
        <w:right w:val="none" w:sz="0" w:space="0" w:color="auto"/>
      </w:divBdr>
    </w:div>
    <w:div w:id="1492721258">
      <w:bodyDiv w:val="1"/>
      <w:marLeft w:val="0"/>
      <w:marRight w:val="0"/>
      <w:marTop w:val="0"/>
      <w:marBottom w:val="0"/>
      <w:divBdr>
        <w:top w:val="none" w:sz="0" w:space="0" w:color="auto"/>
        <w:left w:val="none" w:sz="0" w:space="0" w:color="auto"/>
        <w:bottom w:val="none" w:sz="0" w:space="0" w:color="auto"/>
        <w:right w:val="none" w:sz="0" w:space="0" w:color="auto"/>
      </w:divBdr>
    </w:div>
    <w:div w:id="1639725240">
      <w:bodyDiv w:val="1"/>
      <w:marLeft w:val="0"/>
      <w:marRight w:val="0"/>
      <w:marTop w:val="0"/>
      <w:marBottom w:val="0"/>
      <w:divBdr>
        <w:top w:val="none" w:sz="0" w:space="0" w:color="auto"/>
        <w:left w:val="none" w:sz="0" w:space="0" w:color="auto"/>
        <w:bottom w:val="none" w:sz="0" w:space="0" w:color="auto"/>
        <w:right w:val="none" w:sz="0" w:space="0" w:color="auto"/>
      </w:divBdr>
    </w:div>
    <w:div w:id="1672440217">
      <w:bodyDiv w:val="1"/>
      <w:marLeft w:val="0"/>
      <w:marRight w:val="0"/>
      <w:marTop w:val="0"/>
      <w:marBottom w:val="0"/>
      <w:divBdr>
        <w:top w:val="none" w:sz="0" w:space="0" w:color="auto"/>
        <w:left w:val="none" w:sz="0" w:space="0" w:color="auto"/>
        <w:bottom w:val="none" w:sz="0" w:space="0" w:color="auto"/>
        <w:right w:val="none" w:sz="0" w:space="0" w:color="auto"/>
      </w:divBdr>
    </w:div>
    <w:div w:id="1699625453">
      <w:bodyDiv w:val="1"/>
      <w:marLeft w:val="0"/>
      <w:marRight w:val="0"/>
      <w:marTop w:val="0"/>
      <w:marBottom w:val="0"/>
      <w:divBdr>
        <w:top w:val="none" w:sz="0" w:space="0" w:color="auto"/>
        <w:left w:val="none" w:sz="0" w:space="0" w:color="auto"/>
        <w:bottom w:val="none" w:sz="0" w:space="0" w:color="auto"/>
        <w:right w:val="none" w:sz="0" w:space="0" w:color="auto"/>
      </w:divBdr>
    </w:div>
    <w:div w:id="1733696986">
      <w:bodyDiv w:val="1"/>
      <w:marLeft w:val="0"/>
      <w:marRight w:val="0"/>
      <w:marTop w:val="0"/>
      <w:marBottom w:val="0"/>
      <w:divBdr>
        <w:top w:val="none" w:sz="0" w:space="0" w:color="auto"/>
        <w:left w:val="none" w:sz="0" w:space="0" w:color="auto"/>
        <w:bottom w:val="none" w:sz="0" w:space="0" w:color="auto"/>
        <w:right w:val="none" w:sz="0" w:space="0" w:color="auto"/>
      </w:divBdr>
    </w:div>
    <w:div w:id="1740785272">
      <w:bodyDiv w:val="1"/>
      <w:marLeft w:val="0"/>
      <w:marRight w:val="0"/>
      <w:marTop w:val="0"/>
      <w:marBottom w:val="0"/>
      <w:divBdr>
        <w:top w:val="none" w:sz="0" w:space="0" w:color="auto"/>
        <w:left w:val="none" w:sz="0" w:space="0" w:color="auto"/>
        <w:bottom w:val="none" w:sz="0" w:space="0" w:color="auto"/>
        <w:right w:val="none" w:sz="0" w:space="0" w:color="auto"/>
      </w:divBdr>
    </w:div>
    <w:div w:id="1742944784">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66073776">
      <w:bodyDiv w:val="1"/>
      <w:marLeft w:val="0"/>
      <w:marRight w:val="0"/>
      <w:marTop w:val="0"/>
      <w:marBottom w:val="0"/>
      <w:divBdr>
        <w:top w:val="none" w:sz="0" w:space="0" w:color="auto"/>
        <w:left w:val="none" w:sz="0" w:space="0" w:color="auto"/>
        <w:bottom w:val="none" w:sz="0" w:space="0" w:color="auto"/>
        <w:right w:val="none" w:sz="0" w:space="0" w:color="auto"/>
      </w:divBdr>
    </w:div>
    <w:div w:id="1770393630">
      <w:bodyDiv w:val="1"/>
      <w:marLeft w:val="0"/>
      <w:marRight w:val="0"/>
      <w:marTop w:val="0"/>
      <w:marBottom w:val="0"/>
      <w:divBdr>
        <w:top w:val="none" w:sz="0" w:space="0" w:color="auto"/>
        <w:left w:val="none" w:sz="0" w:space="0" w:color="auto"/>
        <w:bottom w:val="none" w:sz="0" w:space="0" w:color="auto"/>
        <w:right w:val="none" w:sz="0" w:space="0" w:color="auto"/>
      </w:divBdr>
    </w:div>
    <w:div w:id="1794712225">
      <w:bodyDiv w:val="1"/>
      <w:marLeft w:val="0"/>
      <w:marRight w:val="0"/>
      <w:marTop w:val="0"/>
      <w:marBottom w:val="0"/>
      <w:divBdr>
        <w:top w:val="none" w:sz="0" w:space="0" w:color="auto"/>
        <w:left w:val="none" w:sz="0" w:space="0" w:color="auto"/>
        <w:bottom w:val="none" w:sz="0" w:space="0" w:color="auto"/>
        <w:right w:val="none" w:sz="0" w:space="0" w:color="auto"/>
      </w:divBdr>
    </w:div>
    <w:div w:id="1821730409">
      <w:bodyDiv w:val="1"/>
      <w:marLeft w:val="0"/>
      <w:marRight w:val="0"/>
      <w:marTop w:val="0"/>
      <w:marBottom w:val="0"/>
      <w:divBdr>
        <w:top w:val="none" w:sz="0" w:space="0" w:color="auto"/>
        <w:left w:val="none" w:sz="0" w:space="0" w:color="auto"/>
        <w:bottom w:val="none" w:sz="0" w:space="0" w:color="auto"/>
        <w:right w:val="none" w:sz="0" w:space="0" w:color="auto"/>
      </w:divBdr>
    </w:div>
    <w:div w:id="1850020048">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
    <w:div w:id="1924290485">
      <w:bodyDiv w:val="1"/>
      <w:marLeft w:val="0"/>
      <w:marRight w:val="0"/>
      <w:marTop w:val="0"/>
      <w:marBottom w:val="0"/>
      <w:divBdr>
        <w:top w:val="none" w:sz="0" w:space="0" w:color="auto"/>
        <w:left w:val="none" w:sz="0" w:space="0" w:color="auto"/>
        <w:bottom w:val="none" w:sz="0" w:space="0" w:color="auto"/>
        <w:right w:val="none" w:sz="0" w:space="0" w:color="auto"/>
      </w:divBdr>
    </w:div>
    <w:div w:id="2015768101">
      <w:bodyDiv w:val="1"/>
      <w:marLeft w:val="0"/>
      <w:marRight w:val="0"/>
      <w:marTop w:val="0"/>
      <w:marBottom w:val="0"/>
      <w:divBdr>
        <w:top w:val="none" w:sz="0" w:space="0" w:color="auto"/>
        <w:left w:val="none" w:sz="0" w:space="0" w:color="auto"/>
        <w:bottom w:val="none" w:sz="0" w:space="0" w:color="auto"/>
        <w:right w:val="none" w:sz="0" w:space="0" w:color="auto"/>
      </w:divBdr>
    </w:div>
    <w:div w:id="2078278570">
      <w:bodyDiv w:val="1"/>
      <w:marLeft w:val="0"/>
      <w:marRight w:val="0"/>
      <w:marTop w:val="0"/>
      <w:marBottom w:val="0"/>
      <w:divBdr>
        <w:top w:val="none" w:sz="0" w:space="0" w:color="auto"/>
        <w:left w:val="none" w:sz="0" w:space="0" w:color="auto"/>
        <w:bottom w:val="none" w:sz="0" w:space="0" w:color="auto"/>
        <w:right w:val="none" w:sz="0" w:space="0" w:color="auto"/>
      </w:divBdr>
    </w:div>
    <w:div w:id="212310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360134.page" TargetMode="External"/><Relationship Id="rId13" Type="http://schemas.openxmlformats.org/officeDocument/2006/relationships/hyperlink" Target="https://saimex.org.mx/saimex/solicitud/downloadAttach/1360135.page" TargetMode="External"/><Relationship Id="rId18" Type="http://schemas.openxmlformats.org/officeDocument/2006/relationships/hyperlink" Target="https://saimex.org.mx/saimex/solicitud/downloadAttach/1360135.pa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aimex.org.mx/saimex/solicitud/downloadAttach/1360133.page" TargetMode="External"/><Relationship Id="rId17" Type="http://schemas.openxmlformats.org/officeDocument/2006/relationships/hyperlink" Target="https://saimex.org.mx/saimex/solicitud/downloadAttach/1360133.pa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imex.org.mx/saimex/solicitud/downloadAttach/1360136.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360132.pag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aimex.org.mx/saimex/solicitud/downloadAttach/1360131.page" TargetMode="External"/><Relationship Id="rId23" Type="http://schemas.openxmlformats.org/officeDocument/2006/relationships/header" Target="header3.xml"/><Relationship Id="rId10" Type="http://schemas.openxmlformats.org/officeDocument/2006/relationships/hyperlink" Target="https://saimex.org.mx/saimex/solicitud/downloadAttach/1360132.page" TargetMode="External"/><Relationship Id="rId19" Type="http://schemas.openxmlformats.org/officeDocument/2006/relationships/hyperlink" Target="https://saimex.org.mx/saimex/solicitud/downloadAttach/1395666.page" TargetMode="External"/><Relationship Id="rId4" Type="http://schemas.openxmlformats.org/officeDocument/2006/relationships/settings" Target="settings.xml"/><Relationship Id="rId9" Type="http://schemas.openxmlformats.org/officeDocument/2006/relationships/hyperlink" Target="https://saimex.org.mx/saimex/solicitud/downloadAttach/1360132.page" TargetMode="External"/><Relationship Id="rId14" Type="http://schemas.openxmlformats.org/officeDocument/2006/relationships/hyperlink" Target="https://saimex.org.mx/saimex/solicitud/downloadAttach/1360132.pag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4A0C-AD91-4322-9DFC-EDF1D651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8671</Words>
  <Characters>47694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6</cp:revision>
  <cp:lastPrinted>2024-02-09T20:22:00Z</cp:lastPrinted>
  <dcterms:created xsi:type="dcterms:W3CDTF">2024-02-01T18:55:00Z</dcterms:created>
  <dcterms:modified xsi:type="dcterms:W3CDTF">2024-02-21T16:13:00Z</dcterms:modified>
</cp:coreProperties>
</file>