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897" w:rsidRDefault="00471897">
      <w:pPr>
        <w:widowControl w:val="0"/>
        <w:pBdr>
          <w:top w:val="nil"/>
          <w:left w:val="nil"/>
          <w:bottom w:val="nil"/>
          <w:right w:val="nil"/>
          <w:between w:val="nil"/>
        </w:pBdr>
        <w:spacing w:line="276" w:lineRule="auto"/>
      </w:pPr>
    </w:p>
    <w:p w:rsidR="00471897" w:rsidRDefault="00471897">
      <w:pPr>
        <w:spacing w:line="360" w:lineRule="auto"/>
        <w:jc w:val="both"/>
        <w:rPr>
          <w:rFonts w:ascii="Palatino Linotype" w:eastAsia="Palatino Linotype" w:hAnsi="Palatino Linotype" w:cs="Palatino Linotype"/>
          <w:sz w:val="22"/>
          <w:szCs w:val="22"/>
        </w:rPr>
      </w:pPr>
      <w:bookmarkStart w:id="0" w:name="_heading=h.gjdgxs" w:colFirst="0" w:colLast="0"/>
      <w:bookmarkEnd w:id="0"/>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once de septiembre de dos mil veinticuatro.</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VISTO </w:t>
      </w:r>
      <w:r>
        <w:rPr>
          <w:rFonts w:ascii="Palatino Linotype" w:eastAsia="Palatino Linotype" w:hAnsi="Palatino Linotype" w:cs="Palatino Linotype"/>
          <w:sz w:val="22"/>
          <w:szCs w:val="22"/>
        </w:rPr>
        <w:t xml:space="preserve">el expediente conformado con motivo del Recurso de Revisión </w:t>
      </w:r>
      <w:r>
        <w:rPr>
          <w:rFonts w:ascii="Palatino Linotype" w:eastAsia="Palatino Linotype" w:hAnsi="Palatino Linotype" w:cs="Palatino Linotype"/>
          <w:b/>
          <w:sz w:val="22"/>
          <w:szCs w:val="22"/>
        </w:rPr>
        <w:t>02982/INFOEM/IP/RR/2024,</w:t>
      </w:r>
      <w:r>
        <w:rPr>
          <w:rFonts w:ascii="Palatino Linotype" w:eastAsia="Palatino Linotype" w:hAnsi="Palatino Linotype" w:cs="Palatino Linotype"/>
          <w:sz w:val="22"/>
          <w:szCs w:val="22"/>
        </w:rPr>
        <w:t xml:space="preserve"> interpuesto por </w:t>
      </w:r>
      <w:r>
        <w:rPr>
          <w:rFonts w:ascii="Palatino Linotype" w:eastAsia="Palatino Linotype" w:hAnsi="Palatino Linotype" w:cs="Palatino Linotype"/>
          <w:b/>
          <w:sz w:val="22"/>
          <w:szCs w:val="22"/>
        </w:rPr>
        <w:t xml:space="preserve">un Particular </w:t>
      </w:r>
      <w:r>
        <w:rPr>
          <w:rFonts w:ascii="Palatino Linotype" w:eastAsia="Palatino Linotype" w:hAnsi="Palatino Linotype" w:cs="Palatino Linotype"/>
          <w:sz w:val="22"/>
          <w:szCs w:val="22"/>
        </w:rPr>
        <w:t xml:space="preserve">en lo sucesivo Recurrente o Particular, en contra de la respuesta del Sujeto Obligado </w:t>
      </w:r>
      <w:r>
        <w:rPr>
          <w:rFonts w:ascii="Palatino Linotype" w:eastAsia="Palatino Linotype" w:hAnsi="Palatino Linotype" w:cs="Palatino Linotype"/>
          <w:b/>
          <w:sz w:val="22"/>
          <w:szCs w:val="22"/>
        </w:rPr>
        <w:t xml:space="preserve">Sistema Municipal para el Desarrollo Integral de la Familia de Huehuetoca, </w:t>
      </w:r>
      <w:r>
        <w:rPr>
          <w:rFonts w:ascii="Palatino Linotype" w:eastAsia="Palatino Linotype" w:hAnsi="Palatino Linotype" w:cs="Palatino Linotype"/>
          <w:sz w:val="22"/>
          <w:szCs w:val="22"/>
        </w:rPr>
        <w:t>se emite la presente Resolución, con base en los Antecedentes y Considerandos que a continuación se exponen:</w:t>
      </w:r>
    </w:p>
    <w:p w:rsidR="00471897" w:rsidRDefault="00471897">
      <w:pPr>
        <w:spacing w:line="360" w:lineRule="auto"/>
        <w:jc w:val="both"/>
        <w:rPr>
          <w:rFonts w:ascii="Palatino Linotype" w:eastAsia="Palatino Linotype" w:hAnsi="Palatino Linotype" w:cs="Palatino Linotype"/>
          <w:b/>
          <w:sz w:val="22"/>
          <w:szCs w:val="22"/>
        </w:rPr>
      </w:pPr>
    </w:p>
    <w:p w:rsidR="00471897" w:rsidRDefault="00461723">
      <w:pPr>
        <w:tabs>
          <w:tab w:val="center" w:pos="4522"/>
          <w:tab w:val="left" w:pos="7245"/>
        </w:tabs>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rsidR="00471897" w:rsidRDefault="00471897">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rsidR="00471897" w:rsidRDefault="00461723">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 Presentación de la solicitud de información</w:t>
      </w:r>
    </w:p>
    <w:p w:rsidR="00471897" w:rsidRDefault="00471897">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fecha dos de mayo de dos mil veinticuatro, el Particular presentó una solicitud de acceso a la información pública, a través de la Plataforma Nacional de Transparencia, la cual se radicó en el Sistema de Acceso a la Información Mexiquense, en lo sucesivo el SAIMEX, ante el </w:t>
      </w:r>
      <w:r>
        <w:rPr>
          <w:rFonts w:ascii="Palatino Linotype" w:eastAsia="Palatino Linotype" w:hAnsi="Palatino Linotype" w:cs="Palatino Linotype"/>
          <w:b/>
          <w:sz w:val="22"/>
          <w:szCs w:val="22"/>
        </w:rPr>
        <w:t>Sistema Municipal Para el Desarrollo Integral de la Familia de Huehuetoca</w:t>
      </w:r>
      <w:r>
        <w:rPr>
          <w:rFonts w:ascii="Palatino Linotype" w:eastAsia="Palatino Linotype" w:hAnsi="Palatino Linotype" w:cs="Palatino Linotype"/>
          <w:sz w:val="22"/>
          <w:szCs w:val="22"/>
        </w:rPr>
        <w:t>, mediante la que requirió lo siguiente:</w:t>
      </w:r>
    </w:p>
    <w:p w:rsidR="00471897" w:rsidRDefault="00471897">
      <w:pPr>
        <w:tabs>
          <w:tab w:val="left" w:pos="567"/>
        </w:tabs>
        <w:spacing w:line="360" w:lineRule="auto"/>
        <w:jc w:val="both"/>
        <w:rPr>
          <w:rFonts w:ascii="Palatino Linotype" w:eastAsia="Palatino Linotype" w:hAnsi="Palatino Linotype" w:cs="Palatino Linotype"/>
          <w:sz w:val="22"/>
          <w:szCs w:val="22"/>
        </w:rPr>
      </w:pPr>
    </w:p>
    <w:p w:rsidR="00471897" w:rsidRDefault="00461723">
      <w:pPr>
        <w:tabs>
          <w:tab w:val="left" w:pos="567"/>
        </w:tabs>
        <w:spacing w:line="360" w:lineRule="auto"/>
        <w:ind w:left="567" w:right="539"/>
        <w:jc w:val="both"/>
        <w:rPr>
          <w:rFonts w:ascii="Palatino Linotype" w:eastAsia="Palatino Linotype" w:hAnsi="Palatino Linotype" w:cs="Palatino Linotype"/>
          <w:b/>
        </w:rPr>
      </w:pPr>
      <w:bookmarkStart w:id="1" w:name="_heading=h.30j0zll" w:colFirst="0" w:colLast="0"/>
      <w:bookmarkEnd w:id="1"/>
      <w:r>
        <w:rPr>
          <w:rFonts w:ascii="Palatino Linotype" w:eastAsia="Palatino Linotype" w:hAnsi="Palatino Linotype" w:cs="Palatino Linotype"/>
          <w:b/>
        </w:rPr>
        <w:t>Folio de la solicitud: 00021/DIFHUEHUET/IP/2024</w:t>
      </w:r>
    </w:p>
    <w:p w:rsidR="00471897" w:rsidRDefault="00461723">
      <w:pPr>
        <w:tabs>
          <w:tab w:val="left" w:pos="567"/>
        </w:tabs>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DESCRIPCIÓN CLARA Y PRECISA DE LA INFORMACIÓN SOLICITADA:</w:t>
      </w:r>
    </w:p>
    <w:p w:rsidR="00471897" w:rsidRDefault="00461723">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lastRenderedPageBreak/>
        <w:t xml:space="preserve">“solicito el reglamento interno, reglamento interior de trabajo, manual general de </w:t>
      </w:r>
      <w:proofErr w:type="spellStart"/>
      <w:r>
        <w:rPr>
          <w:rFonts w:ascii="Palatino Linotype" w:eastAsia="Palatino Linotype" w:hAnsi="Palatino Linotype" w:cs="Palatino Linotype"/>
          <w:i/>
          <w:color w:val="000000"/>
        </w:rPr>
        <w:t>organizacion</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catalogo</w:t>
      </w:r>
      <w:proofErr w:type="spellEnd"/>
      <w:r>
        <w:rPr>
          <w:rFonts w:ascii="Palatino Linotype" w:eastAsia="Palatino Linotype" w:hAnsi="Palatino Linotype" w:cs="Palatino Linotype"/>
          <w:i/>
          <w:color w:val="000000"/>
        </w:rPr>
        <w:t xml:space="preserve"> de </w:t>
      </w:r>
      <w:proofErr w:type="spellStart"/>
      <w:r>
        <w:rPr>
          <w:rFonts w:ascii="Palatino Linotype" w:eastAsia="Palatino Linotype" w:hAnsi="Palatino Linotype" w:cs="Palatino Linotype"/>
          <w:i/>
          <w:color w:val="000000"/>
        </w:rPr>
        <w:t>tramites</w:t>
      </w:r>
      <w:proofErr w:type="spellEnd"/>
      <w:r>
        <w:rPr>
          <w:rFonts w:ascii="Palatino Linotype" w:eastAsia="Palatino Linotype" w:hAnsi="Palatino Linotype" w:cs="Palatino Linotype"/>
          <w:i/>
          <w:color w:val="000000"/>
        </w:rPr>
        <w:t xml:space="preserve"> y </w:t>
      </w:r>
      <w:proofErr w:type="spellStart"/>
      <w:r>
        <w:rPr>
          <w:rFonts w:ascii="Palatino Linotype" w:eastAsia="Palatino Linotype" w:hAnsi="Palatino Linotype" w:cs="Palatino Linotype"/>
          <w:i/>
          <w:color w:val="000000"/>
        </w:rPr>
        <w:t>catalogo</w:t>
      </w:r>
      <w:proofErr w:type="spellEnd"/>
      <w:r>
        <w:rPr>
          <w:rFonts w:ascii="Palatino Linotype" w:eastAsia="Palatino Linotype" w:hAnsi="Palatino Linotype" w:cs="Palatino Linotype"/>
          <w:i/>
          <w:color w:val="000000"/>
        </w:rPr>
        <w:t xml:space="preserve"> de servicio en lengua mazahua” </w:t>
      </w:r>
      <w:r>
        <w:rPr>
          <w:rFonts w:ascii="Palatino Linotype" w:eastAsia="Palatino Linotype" w:hAnsi="Palatino Linotype" w:cs="Palatino Linotype"/>
          <w:color w:val="000000"/>
        </w:rPr>
        <w:t>(</w:t>
      </w:r>
      <w:r>
        <w:rPr>
          <w:rFonts w:ascii="Palatino Linotype" w:eastAsia="Palatino Linotype" w:hAnsi="Palatino Linotype" w:cs="Palatino Linotype"/>
          <w:i/>
          <w:color w:val="000000"/>
        </w:rPr>
        <w:t>Sic.</w:t>
      </w:r>
      <w:r>
        <w:rPr>
          <w:rFonts w:ascii="Palatino Linotype" w:eastAsia="Palatino Linotype" w:hAnsi="Palatino Linotype" w:cs="Palatino Linotype"/>
          <w:color w:val="000000"/>
        </w:rPr>
        <w:t>)</w:t>
      </w:r>
    </w:p>
    <w:p w:rsidR="00471897" w:rsidRDefault="00471897">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sz w:val="22"/>
          <w:szCs w:val="22"/>
        </w:rPr>
      </w:pPr>
    </w:p>
    <w:p w:rsidR="00471897" w:rsidRDefault="00461723">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 xml:space="preserve">MODALIDAD DE ENTREGA </w:t>
      </w:r>
      <w:r>
        <w:rPr>
          <w:rFonts w:ascii="Palatino Linotype" w:eastAsia="Palatino Linotype" w:hAnsi="Palatino Linotype" w:cs="Palatino Linotype"/>
          <w:i/>
          <w:color w:val="000000"/>
        </w:rPr>
        <w:t>“Entrega por el sistema de solicitudes de acceso a la información de la PNT”</w:t>
      </w:r>
    </w:p>
    <w:p w:rsidR="00471897" w:rsidRDefault="00471897">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sz w:val="22"/>
          <w:szCs w:val="22"/>
        </w:rPr>
      </w:pPr>
    </w:p>
    <w:p w:rsidR="00471897" w:rsidRDefault="00461723">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II. Respuesta del Sujeto Obligado</w:t>
      </w:r>
    </w:p>
    <w:p w:rsidR="00471897" w:rsidRDefault="00471897">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quince de mayo de dos mil veinticuatro, el Sujeto Obligado otorgó respuesta a través de SAIMEX, en el que el Sujeto Obligado señaló adjuntó el siguiente documento:</w:t>
      </w:r>
    </w:p>
    <w:p w:rsidR="00471897" w:rsidRDefault="00471897">
      <w:pPr>
        <w:spacing w:line="360" w:lineRule="auto"/>
        <w:jc w:val="both"/>
        <w:rPr>
          <w:rFonts w:ascii="Palatino Linotype" w:eastAsia="Palatino Linotype" w:hAnsi="Palatino Linotype" w:cs="Palatino Linotype"/>
          <w:b/>
          <w:sz w:val="22"/>
          <w:szCs w:val="22"/>
        </w:rPr>
      </w:pPr>
    </w:p>
    <w:p w:rsidR="00471897" w:rsidRDefault="00461723">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Oficio SMDIF/DG/57/2024</w:t>
      </w:r>
      <w:r>
        <w:rPr>
          <w:rFonts w:ascii="Palatino Linotype" w:eastAsia="Palatino Linotype" w:hAnsi="Palatino Linotype" w:cs="Palatino Linotype"/>
          <w:color w:val="000000"/>
          <w:sz w:val="22"/>
          <w:szCs w:val="22"/>
        </w:rPr>
        <w:t xml:space="preserve">, suscrito por el Director General del Sujeto Obligado, en el que señalo que </w:t>
      </w:r>
      <w:r>
        <w:rPr>
          <w:rFonts w:ascii="Palatino Linotype" w:eastAsia="Palatino Linotype" w:hAnsi="Palatino Linotype" w:cs="Palatino Linotype"/>
          <w:i/>
          <w:color w:val="000000"/>
          <w:sz w:val="22"/>
          <w:szCs w:val="22"/>
        </w:rPr>
        <w:t>“en este municipio no hay evidencia de la presencia del grupo étnico (mazahua) al que se refieren. Por tanto, toda nuestra documentación no se encuentra traducida a dicha lengua (mazahua), solo se encuentra en español.”</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Interposición del Recurso de Revisión</w:t>
      </w:r>
    </w:p>
    <w:p w:rsidR="00471897" w:rsidRDefault="00471897">
      <w:pPr>
        <w:spacing w:line="360" w:lineRule="auto"/>
        <w:jc w:val="both"/>
        <w:rPr>
          <w:rFonts w:ascii="Palatino Linotype" w:eastAsia="Palatino Linotype" w:hAnsi="Palatino Linotype" w:cs="Palatino Linotype"/>
          <w:b/>
          <w:sz w:val="22"/>
          <w:szCs w:val="22"/>
        </w:rPr>
      </w:pPr>
    </w:p>
    <w:p w:rsidR="00471897" w:rsidRDefault="00461723">
      <w:pPr>
        <w:tabs>
          <w:tab w:val="left" w:pos="312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diecisiete de mayo de dos mil veinticuatro, a través de SAIMEX, se interpuso el presente Recurso de Revisión por el Recurrente, en contra de la respuesta emitida por el Sujeto Obligado a la solicitud de información; en los siguientes términos:</w:t>
      </w:r>
    </w:p>
    <w:p w:rsidR="00471897" w:rsidRDefault="00471897">
      <w:pPr>
        <w:tabs>
          <w:tab w:val="left" w:pos="4995"/>
        </w:tabs>
        <w:spacing w:line="360" w:lineRule="auto"/>
        <w:jc w:val="both"/>
        <w:rPr>
          <w:rFonts w:ascii="Palatino Linotype" w:eastAsia="Palatino Linotype" w:hAnsi="Palatino Linotype" w:cs="Palatino Linotype"/>
          <w:sz w:val="22"/>
          <w:szCs w:val="22"/>
        </w:rPr>
      </w:pPr>
    </w:p>
    <w:p w:rsidR="00471897" w:rsidRDefault="00461723">
      <w:pPr>
        <w:spacing w:line="360" w:lineRule="auto"/>
        <w:ind w:left="567"/>
        <w:jc w:val="both"/>
        <w:rPr>
          <w:rFonts w:ascii="Palatino Linotype" w:eastAsia="Palatino Linotype" w:hAnsi="Palatino Linotype" w:cs="Palatino Linotype"/>
          <w:b/>
        </w:rPr>
      </w:pPr>
      <w:r>
        <w:rPr>
          <w:rFonts w:ascii="Palatino Linotype" w:eastAsia="Palatino Linotype" w:hAnsi="Palatino Linotype" w:cs="Palatino Linotype"/>
          <w:b/>
        </w:rPr>
        <w:t>ACTO IMPUGNADO</w:t>
      </w:r>
    </w:p>
    <w:p w:rsidR="00471897" w:rsidRDefault="00461723">
      <w:pPr>
        <w:spacing w:line="360" w:lineRule="auto"/>
        <w:ind w:left="567"/>
        <w:jc w:val="both"/>
        <w:rPr>
          <w:rFonts w:ascii="Palatino Linotype" w:eastAsia="Palatino Linotype" w:hAnsi="Palatino Linotype" w:cs="Palatino Linotype"/>
        </w:rPr>
      </w:pPr>
      <w:r>
        <w:rPr>
          <w:rFonts w:ascii="Palatino Linotype" w:eastAsia="Palatino Linotype" w:hAnsi="Palatino Linotype" w:cs="Palatino Linotype"/>
          <w:i/>
        </w:rPr>
        <w:t xml:space="preserve">“niega la </w:t>
      </w:r>
      <w:proofErr w:type="spellStart"/>
      <w:r>
        <w:rPr>
          <w:rFonts w:ascii="Palatino Linotype" w:eastAsia="Palatino Linotype" w:hAnsi="Palatino Linotype" w:cs="Palatino Linotype"/>
          <w:i/>
        </w:rPr>
        <w:t>informacion</w:t>
      </w:r>
      <w:proofErr w:type="spellEnd"/>
      <w:r>
        <w:rPr>
          <w:rFonts w:ascii="Palatino Linotype" w:eastAsia="Palatino Linotype" w:hAnsi="Palatino Linotype" w:cs="Palatino Linotype"/>
          <w:i/>
        </w:rPr>
        <w:t xml:space="preserve"> solicitada.” </w:t>
      </w:r>
      <w:r>
        <w:rPr>
          <w:rFonts w:ascii="Palatino Linotype" w:eastAsia="Palatino Linotype" w:hAnsi="Palatino Linotype" w:cs="Palatino Linotype"/>
        </w:rPr>
        <w:t>(Sic.)</w:t>
      </w:r>
    </w:p>
    <w:p w:rsidR="00471897" w:rsidRDefault="00471897">
      <w:pPr>
        <w:spacing w:line="360" w:lineRule="auto"/>
        <w:ind w:left="567"/>
        <w:jc w:val="both"/>
        <w:rPr>
          <w:rFonts w:ascii="Palatino Linotype" w:eastAsia="Palatino Linotype" w:hAnsi="Palatino Linotype" w:cs="Palatino Linotype"/>
          <w:i/>
        </w:rPr>
      </w:pPr>
    </w:p>
    <w:p w:rsidR="00471897" w:rsidRDefault="00461723">
      <w:pPr>
        <w:spacing w:line="360" w:lineRule="auto"/>
        <w:ind w:left="567"/>
        <w:jc w:val="both"/>
        <w:rPr>
          <w:rFonts w:ascii="Palatino Linotype" w:eastAsia="Palatino Linotype" w:hAnsi="Palatino Linotype" w:cs="Palatino Linotype"/>
          <w:b/>
        </w:rPr>
      </w:pPr>
      <w:r>
        <w:rPr>
          <w:rFonts w:ascii="Palatino Linotype" w:eastAsia="Palatino Linotype" w:hAnsi="Palatino Linotype" w:cs="Palatino Linotype"/>
          <w:b/>
        </w:rPr>
        <w:t>RAZONES O MOTIVOS DE LA INCONFORMIDAD</w:t>
      </w:r>
    </w:p>
    <w:p w:rsidR="00471897" w:rsidRDefault="00461723">
      <w:pPr>
        <w:spacing w:line="360" w:lineRule="auto"/>
        <w:ind w:left="567"/>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El apartado aparece en blanco.  </w:t>
      </w:r>
    </w:p>
    <w:p w:rsidR="00471897" w:rsidRDefault="00471897">
      <w:pPr>
        <w:spacing w:line="360" w:lineRule="auto"/>
        <w:ind w:left="567"/>
        <w:jc w:val="both"/>
        <w:rPr>
          <w:rFonts w:ascii="Palatino Linotype" w:eastAsia="Palatino Linotype" w:hAnsi="Palatino Linotype" w:cs="Palatino Linotype"/>
          <w:sz w:val="22"/>
          <w:szCs w:val="22"/>
        </w:rPr>
      </w:pPr>
    </w:p>
    <w:p w:rsidR="00471897" w:rsidRDefault="00461723">
      <w:pPr>
        <w:tabs>
          <w:tab w:val="left" w:pos="1834"/>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Particular adjuntó un archivo que no es posible abrir debido a su formato. </w:t>
      </w:r>
    </w:p>
    <w:p w:rsidR="00471897" w:rsidRDefault="00471897">
      <w:pPr>
        <w:tabs>
          <w:tab w:val="left" w:pos="1834"/>
        </w:tabs>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IV. Trámite del Recurso de Revisión ante el Instituto</w:t>
      </w:r>
    </w:p>
    <w:p w:rsidR="00471897" w:rsidRDefault="00471897">
      <w:pPr>
        <w:spacing w:line="360" w:lineRule="auto"/>
        <w:jc w:val="both"/>
        <w:rPr>
          <w:rFonts w:ascii="Palatino Linotype" w:eastAsia="Palatino Linotype" w:hAnsi="Palatino Linotype" w:cs="Palatino Linotype"/>
          <w:b/>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 Turno del Recurso de Revisión. </w:t>
      </w:r>
      <w:r>
        <w:rPr>
          <w:rFonts w:ascii="Palatino Linotype" w:eastAsia="Palatino Linotype" w:hAnsi="Palatino Linotype" w:cs="Palatino Linotype"/>
          <w:sz w:val="22"/>
          <w:szCs w:val="22"/>
        </w:rPr>
        <w:t xml:space="preserve">El diecisiete de mayo de dos mil veinticuatro, el SAIMEX, asignó el número de expediente </w:t>
      </w:r>
      <w:r>
        <w:rPr>
          <w:rFonts w:ascii="Palatino Linotype" w:eastAsia="Palatino Linotype" w:hAnsi="Palatino Linotype" w:cs="Palatino Linotype"/>
          <w:b/>
          <w:sz w:val="22"/>
          <w:szCs w:val="22"/>
        </w:rPr>
        <w:t>02982/INFOEM/IP/RR/2024</w:t>
      </w:r>
      <w:r>
        <w:rPr>
          <w:rFonts w:ascii="Palatino Linotype" w:eastAsia="Palatino Linotype" w:hAnsi="Palatino Linotype" w:cs="Palatino Linotype"/>
          <w:sz w:val="22"/>
          <w:szCs w:val="22"/>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rsidR="00471897" w:rsidRDefault="00471897">
      <w:pPr>
        <w:spacing w:line="360" w:lineRule="auto"/>
        <w:jc w:val="both"/>
        <w:rPr>
          <w:rFonts w:ascii="Palatino Linotype" w:eastAsia="Palatino Linotype" w:hAnsi="Palatino Linotype" w:cs="Palatino Linotype"/>
          <w:b/>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b) Admisión del Recurso de Revisión. </w:t>
      </w:r>
      <w:r>
        <w:rPr>
          <w:rFonts w:ascii="Palatino Linotype" w:eastAsia="Palatino Linotype" w:hAnsi="Palatino Linotype" w:cs="Palatino Linotype"/>
          <w:sz w:val="22"/>
          <w:szCs w:val="22"/>
        </w:rPr>
        <w:t>El veinte de mayo de dos mil veinticuatro, se acordó la admisión del Recurso de Revisión interpuesto por el Recurrente en contra del Sujeto Obligado, en términos del artículo 185, fracciones I, II y IV de la Ley de Transparencia y Acceso a la Información Pública del Estado de México y Municipios, el cual fue notificado a las partes el mismo día, a través del SAIMEX, en el que se les otorgó un plazo de siete días hábiles posteriores a la misma, para que manifestaran lo que a su derecho conviniera y formularan alegatos.</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 Informe Justificado. </w:t>
      </w:r>
      <w:r>
        <w:rPr>
          <w:rFonts w:ascii="Palatino Linotype" w:eastAsia="Palatino Linotype" w:hAnsi="Palatino Linotype" w:cs="Palatino Linotype"/>
          <w:sz w:val="22"/>
          <w:szCs w:val="22"/>
        </w:rPr>
        <w:t>En fecha veinticuatro de mayo de dos mil veinticuatro; el Sujeto Obligado a través de SAIMEX, rindió informe justificado mediante un archivo, en los siguientes términos:</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Oficio SMDIF/DG/59/2024, suscrito por el Director General del Sujeto Obligado, en el que medularmente ratificó la respuesta inicial. </w:t>
      </w:r>
    </w:p>
    <w:p w:rsidR="00471897" w:rsidRDefault="00471897">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d) Vista del informe justificado. </w:t>
      </w:r>
      <w:r>
        <w:rPr>
          <w:rFonts w:ascii="Palatino Linotype" w:eastAsia="Palatino Linotype" w:hAnsi="Palatino Linotype" w:cs="Palatino Linotype"/>
          <w:sz w:val="22"/>
          <w:szCs w:val="22"/>
        </w:rPr>
        <w:t>El tres de septiembre de dos mil veinticuatro, se dictó un acuerdo mediante el cual se puso a la vista del Particular el documento que conforma el informe justificado, que fue notificado a las partes en la misma fecha, a través del SAIMEX.</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e) Manifestaciones. </w:t>
      </w:r>
      <w:r>
        <w:rPr>
          <w:rFonts w:ascii="Palatino Linotype" w:eastAsia="Palatino Linotype" w:hAnsi="Palatino Linotype" w:cs="Palatino Linotype"/>
          <w:sz w:val="22"/>
          <w:szCs w:val="22"/>
        </w:rPr>
        <w:t>De las constancias que obran en el expediente electrónico, se advierte que el Particular no emitió manifestaciones.</w:t>
      </w:r>
    </w:p>
    <w:p w:rsidR="00471897" w:rsidRDefault="00471897">
      <w:pPr>
        <w:spacing w:line="360" w:lineRule="auto"/>
        <w:jc w:val="both"/>
        <w:rPr>
          <w:rFonts w:ascii="Palatino Linotype" w:eastAsia="Palatino Linotype" w:hAnsi="Palatino Linotype" w:cs="Palatino Linotype"/>
          <w:b/>
          <w:sz w:val="22"/>
          <w:szCs w:val="22"/>
        </w:rPr>
      </w:pPr>
    </w:p>
    <w:p w:rsidR="00471897" w:rsidRDefault="00461723">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f) Ampliación de plazo para resolver. </w:t>
      </w:r>
      <w:r>
        <w:rPr>
          <w:rFonts w:ascii="Palatino Linotype" w:eastAsia="Palatino Linotype" w:hAnsi="Palatino Linotype" w:cs="Palatino Linotype"/>
          <w:sz w:val="22"/>
          <w:szCs w:val="22"/>
        </w:rPr>
        <w:t>El tres de septiembre 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el mismo día, mediante el SAIMEX.</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w:t>
      </w:r>
      <w:r>
        <w:rPr>
          <w:rFonts w:ascii="Palatino Linotype" w:eastAsia="Palatino Linotype" w:hAnsi="Palatino Linotype" w:cs="Palatino Linotype"/>
          <w:sz w:val="22"/>
          <w:szCs w:val="22"/>
        </w:rPr>
        <w:lastRenderedPageBreak/>
        <w:t>conforme a los parámetros establecidos por diversos órganos jurisdiccionales federales, aplicables también en procedimientos análogos, como el que nos ocupa.</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Complejidad del 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Actividad Procesal del interesado:</w:t>
      </w:r>
      <w:r>
        <w:rPr>
          <w:rFonts w:ascii="Palatino Linotype" w:eastAsia="Palatino Linotype" w:hAnsi="Palatino Linotype" w:cs="Palatino Linotype"/>
          <w:color w:val="000000"/>
          <w:sz w:val="22"/>
          <w:szCs w:val="22"/>
        </w:rPr>
        <w:t xml:space="preserve"> Acciones u omisiones del interesado.</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Conducta de la Autoridad:</w:t>
      </w:r>
      <w:r>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Pr>
          <w:rFonts w:ascii="Palatino Linotype" w:eastAsia="Palatino Linotype" w:hAnsi="Palatino Linotype" w:cs="Palatino Linotype"/>
          <w:color w:val="000000"/>
          <w:sz w:val="22"/>
          <w:szCs w:val="22"/>
        </w:rPr>
        <w:t>Violación a sus derechos humanos.</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Argumento que encuentra sustento en la jurisprudencia P</w:t>
      </w:r>
      <w:proofErr w:type="gramStart"/>
      <w:r>
        <w:rPr>
          <w:rFonts w:ascii="Palatino Linotype" w:eastAsia="Palatino Linotype" w:hAnsi="Palatino Linotype" w:cs="Palatino Linotype"/>
          <w:sz w:val="22"/>
          <w:szCs w:val="22"/>
        </w:rPr>
        <w:t>./</w:t>
      </w:r>
      <w:proofErr w:type="gramEnd"/>
      <w:r>
        <w:rPr>
          <w:rFonts w:ascii="Palatino Linotype" w:eastAsia="Palatino Linotype" w:hAnsi="Palatino Linotype" w:cs="Palatino Linotype"/>
          <w:sz w:val="22"/>
          <w:szCs w:val="22"/>
        </w:rPr>
        <w:t>J. 32/92 emitida por el Pleno de la Suprema Corte de Justicia de la Nación de rubro “</w:t>
      </w:r>
      <w:r>
        <w:rPr>
          <w:rFonts w:ascii="Palatino Linotype" w:eastAsia="Palatino Linotype" w:hAnsi="Palatino Linotype" w:cs="Palatino Linotype"/>
          <w:b/>
          <w:sz w:val="22"/>
          <w:szCs w:val="22"/>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sz w:val="22"/>
          <w:szCs w:val="22"/>
        </w:rPr>
        <w:t>.”, visible en la Gaceta del Seminario Judicial de la Federación con el registro digital 205635.</w:t>
      </w: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Al respecto, también son de considerar los criterios sostenidos por el Cuarto Tribunal Colegiado en Materia Administrativa del Primer Circuito, cuyos rubros y datos de identificación son los siguientes:</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consultable en el Seminario Judicial de la Federación y su gaceta, con el registro digital 2002351.</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g) Acumulación de los asuntos.</w:t>
      </w:r>
      <w:r>
        <w:rPr>
          <w:rFonts w:ascii="Palatino Linotype" w:eastAsia="Palatino Linotype" w:hAnsi="Palatino Linotype" w:cs="Palatino Linotype"/>
          <w:sz w:val="22"/>
          <w:szCs w:val="22"/>
        </w:rPr>
        <w:t xml:space="preserve"> El cinco de junio de dos mil veinticuatro, el Pleno del Instituto de Transparencia, Acceso a la Información Pública y Protección de Datos Personales del Estado de México y Municipios, durante su Vigésima Sesión Ordinaria, con el propósito de privilegiar la resolución expedita y evitar resoluciones contradictorias, acordó la acumulación de los Recursos de Revisión</w:t>
      </w:r>
      <w:r>
        <w:rPr>
          <w:rFonts w:ascii="Palatino Linotype" w:eastAsia="Palatino Linotype" w:hAnsi="Palatino Linotype" w:cs="Palatino Linotype"/>
          <w:b/>
          <w:sz w:val="22"/>
          <w:szCs w:val="22"/>
        </w:rPr>
        <w:t xml:space="preserve">: 2982/INFOEM/IP/RR/2024 y 2983/INFOEM/IP/RR/2024, </w:t>
      </w:r>
      <w:r>
        <w:rPr>
          <w:rFonts w:ascii="Palatino Linotype" w:eastAsia="Palatino Linotype" w:hAnsi="Palatino Linotype" w:cs="Palatino Linotype"/>
          <w:sz w:val="22"/>
          <w:szCs w:val="22"/>
        </w:rPr>
        <w:t>al diverso</w:t>
      </w:r>
      <w:r>
        <w:rPr>
          <w:rFonts w:ascii="Palatino Linotype" w:eastAsia="Palatino Linotype" w:hAnsi="Palatino Linotype" w:cs="Palatino Linotype"/>
          <w:b/>
          <w:sz w:val="22"/>
          <w:szCs w:val="22"/>
        </w:rPr>
        <w:t xml:space="preserve"> 2981/INFOEM/IP/RR/2024, </w:t>
      </w:r>
      <w:r>
        <w:rPr>
          <w:rFonts w:ascii="Palatino Linotype" w:eastAsia="Palatino Linotype" w:hAnsi="Palatino Linotype" w:cs="Palatino Linotype"/>
          <w:sz w:val="22"/>
          <w:szCs w:val="22"/>
        </w:rPr>
        <w:t>por ser este último el más antiguo, sustanciado bajo el índice de esta Ponencia, al advertir conexidad entre ellos.</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h) Tramitación separada. </w:t>
      </w:r>
      <w:r>
        <w:rPr>
          <w:rFonts w:ascii="Palatino Linotype" w:eastAsia="Palatino Linotype" w:hAnsi="Palatino Linotype" w:cs="Palatino Linotype"/>
          <w:sz w:val="22"/>
          <w:szCs w:val="22"/>
        </w:rPr>
        <w:t xml:space="preserve">En fecha tres de septiembre de dos mil veinticuatro, se informó de la acumulación de los asuntos en los términos antes expuestos; en el mismo acto, se comunicó que el Pleno de este Instituto en su Vigésima Sexta Sesión Ordinaria, celebrada el diecisiete de julio de dos mil veinticuatro, en donde se determinó la separación de los Recursos de Revisión, al ser interpuestos a Sujetos Obligados distintos, lo anterior de conformidad con lo dispuesto en el artículo 18 del Código de Procedimientos Administrativos del Estado de México, de aplicación supletoria a la Ley de Transparencia y Acceso a la Información Pública del Estado de México y Municipios, según lo previsto en su artículo 195; asimismo, que los Recursos de Revisión permanecerán en el índice de la Ponencia del Comisionado Luis Gustavo Parra Noriega. </w:t>
      </w:r>
    </w:p>
    <w:p w:rsidR="00471897" w:rsidRDefault="00471897">
      <w:pPr>
        <w:spacing w:line="360" w:lineRule="auto"/>
        <w:jc w:val="both"/>
        <w:rPr>
          <w:rFonts w:ascii="Palatino Linotype" w:eastAsia="Palatino Linotype" w:hAnsi="Palatino Linotype" w:cs="Palatino Linotype"/>
          <w:b/>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i) Cierre de instrucción. </w:t>
      </w:r>
      <w:r>
        <w:rPr>
          <w:rFonts w:ascii="Palatino Linotype" w:eastAsia="Palatino Linotype" w:hAnsi="Palatino Linotype" w:cs="Palatino Linotype"/>
          <w:sz w:val="22"/>
          <w:szCs w:val="22"/>
        </w:rPr>
        <w:t>El nueve de septiembre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SAIMEX.</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a los siguientes: </w:t>
      </w:r>
    </w:p>
    <w:p w:rsidR="00471897" w:rsidRDefault="00471897">
      <w:pPr>
        <w:spacing w:line="360" w:lineRule="auto"/>
        <w:jc w:val="center"/>
        <w:rPr>
          <w:rFonts w:ascii="Palatino Linotype" w:eastAsia="Palatino Linotype" w:hAnsi="Palatino Linotype" w:cs="Palatino Linotype"/>
          <w:b/>
          <w:sz w:val="22"/>
          <w:szCs w:val="22"/>
        </w:rPr>
      </w:pPr>
    </w:p>
    <w:p w:rsidR="00471897" w:rsidRDefault="00461723">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 O N S I D E R A N D O S</w:t>
      </w:r>
    </w:p>
    <w:p w:rsidR="00471897" w:rsidRDefault="00471897">
      <w:pPr>
        <w:spacing w:line="360" w:lineRule="auto"/>
        <w:jc w:val="both"/>
        <w:rPr>
          <w:rFonts w:ascii="Palatino Linotype" w:eastAsia="Palatino Linotype" w:hAnsi="Palatino Linotype" w:cs="Palatino Linotype"/>
          <w:b/>
          <w:sz w:val="22"/>
          <w:szCs w:val="22"/>
        </w:rPr>
      </w:pPr>
    </w:p>
    <w:p w:rsidR="00471897" w:rsidRDefault="00461723">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PRIMERO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Competencia</w:t>
      </w:r>
    </w:p>
    <w:p w:rsidR="00471897" w:rsidRDefault="00471897">
      <w:pPr>
        <w:spacing w:line="360" w:lineRule="auto"/>
        <w:jc w:val="both"/>
        <w:rPr>
          <w:rFonts w:ascii="Palatino Linotype" w:eastAsia="Palatino Linotype" w:hAnsi="Palatino Linotype" w:cs="Palatino Linotype"/>
          <w:b/>
          <w:sz w:val="22"/>
          <w:szCs w:val="22"/>
        </w:rPr>
      </w:pPr>
    </w:p>
    <w:p w:rsidR="00471897" w:rsidRDefault="00461723">
      <w:pPr>
        <w:spacing w:line="360" w:lineRule="auto"/>
        <w:jc w:val="both"/>
        <w:rPr>
          <w:rFonts w:ascii="Palatino Linotype" w:eastAsia="Palatino Linotype" w:hAnsi="Palatino Linotype" w:cs="Palatino Linotype"/>
          <w:sz w:val="22"/>
          <w:szCs w:val="22"/>
          <w:highlight w:val="white"/>
        </w:rPr>
      </w:pPr>
      <w:r>
        <w:rPr>
          <w:rFonts w:ascii="Palatino Linotype" w:eastAsia="Palatino Linotype" w:hAnsi="Palatino Linotype" w:cs="Palatino Linotype"/>
          <w:sz w:val="22"/>
          <w:szCs w:val="22"/>
        </w:rPr>
        <w:lastRenderedPageBreak/>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471897" w:rsidRDefault="00471897">
      <w:pPr>
        <w:spacing w:line="360" w:lineRule="auto"/>
        <w:jc w:val="both"/>
        <w:rPr>
          <w:rFonts w:ascii="Palatino Linotype" w:eastAsia="Palatino Linotype" w:hAnsi="Palatino Linotype" w:cs="Palatino Linotype"/>
          <w:sz w:val="22"/>
          <w:szCs w:val="22"/>
          <w:highlight w:val="white"/>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SEGUNDO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Causales de improcedencia y sobreseimiento</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presente caso, no se actualiza ninguna de las causales de improcedencia establecidas en el ordenamiento jurídico previamente señalado, toda vez que: el recurso fue presentado </w:t>
      </w:r>
      <w:r>
        <w:rPr>
          <w:rFonts w:ascii="Palatino Linotype" w:eastAsia="Palatino Linotype" w:hAnsi="Palatino Linotype" w:cs="Palatino Linotype"/>
          <w:sz w:val="22"/>
          <w:szCs w:val="22"/>
        </w:rPr>
        <w:lastRenderedPageBreak/>
        <w:t>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471897" w:rsidRDefault="00471897">
      <w:pPr>
        <w:spacing w:line="360" w:lineRule="auto"/>
        <w:jc w:val="both"/>
        <w:rPr>
          <w:rFonts w:ascii="Palatino Linotype" w:eastAsia="Palatino Linotype" w:hAnsi="Palatino Linotype" w:cs="Palatino Linotype"/>
          <w:b/>
          <w:sz w:val="22"/>
          <w:szCs w:val="22"/>
        </w:rPr>
      </w:pPr>
    </w:p>
    <w:p w:rsidR="00471897" w:rsidRDefault="00461723">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Causales de sobreseimiento</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que hace a las causales de sobreseimiento, del análisis realizado por este Instituto, se advierte que</w:t>
      </w:r>
      <w:r>
        <w:rPr>
          <w:rFonts w:ascii="Palatino Linotype" w:eastAsia="Palatino Linotype" w:hAnsi="Palatino Linotype" w:cs="Palatino Linotype"/>
          <w:b/>
          <w:sz w:val="22"/>
          <w:szCs w:val="22"/>
        </w:rPr>
        <w:t xml:space="preserve"> no se actualiza ninguna de las previstas por el artículo 192 de la Ley de Transparencia y Acceso a la Información Pública del Estado de México y Municipios; </w:t>
      </w:r>
      <w:r>
        <w:rPr>
          <w:rFonts w:ascii="Palatino Linotype" w:eastAsia="Palatino Linotype" w:hAnsi="Palatino Linotype" w:cs="Palatino Linotype"/>
          <w:sz w:val="22"/>
          <w:szCs w:val="22"/>
        </w:rPr>
        <w:t xml:space="preserve">lo anterior, en virtud de que no existe constancia en el expediente en que se actúa, de que el Recurrente se hubiera desistido del recurso, hubiera fallecido, que sobreviniera alguna causal de improcedencia, que el Sujeto Obligado hubiese modificado o revocado el acto impugnado, o bien que el recurso de revisión hubiera quedado sin materia. Por tales motivos, se considera procedente entrar al fondo del presente asunto. </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TERCERO. Determinación de la Controversia</w:t>
      </w:r>
    </w:p>
    <w:p w:rsidR="00471897" w:rsidRDefault="00471897">
      <w:pPr>
        <w:tabs>
          <w:tab w:val="left" w:pos="4962"/>
        </w:tabs>
        <w:spacing w:line="360" w:lineRule="auto"/>
        <w:jc w:val="both"/>
        <w:rPr>
          <w:rFonts w:ascii="Palatino Linotype" w:eastAsia="Palatino Linotype" w:hAnsi="Palatino Linotype" w:cs="Palatino Linotype"/>
          <w:b/>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Particular solicitó la entrega del reglamento interno, el reglamento interior de trabajo, manual general de organización, catálogo de trámites y catálogo de servicios en lengua mazahua. En respuesta, el Sujeto Obligado a través del Director General señaló que en el municipio no hay evidencia de la presencia del grupo étnico (mazahua) por lo que la documentación no se encuentra traducida a dicha lengua y solo se tiene en español, cabe señalar que el Sujeto Obligado no remitió ninguna otra documentación.</w:t>
      </w:r>
    </w:p>
    <w:p w:rsidR="00471897" w:rsidRDefault="00471897">
      <w:pPr>
        <w:tabs>
          <w:tab w:val="left" w:pos="4962"/>
        </w:tabs>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Derivado de la respuesta, el Particular interpuso el Recurso de Revisión que nos ocupa, en el que señaló como acto impugnado, que se le niega la información solicitada; así, durante la sustanciación del Recurso de Revisión, el Sujeto Obligado rindió informe justificado, en el que ratificó la respuesta inicial. </w:t>
      </w: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pues, de las constancias que integran el expediente, se advierte que en el asunto que nos ocupa se actualiza la causal de procedencia señalada en el artículo 179, fracción I, de la Ley de la materia; es decir por la negativa a la información.</w:t>
      </w:r>
    </w:p>
    <w:p w:rsidR="00471897" w:rsidRDefault="00471897">
      <w:pPr>
        <w:tabs>
          <w:tab w:val="left" w:pos="4962"/>
        </w:tabs>
        <w:spacing w:line="360" w:lineRule="auto"/>
        <w:jc w:val="both"/>
        <w:rPr>
          <w:rFonts w:ascii="Palatino Linotype" w:eastAsia="Palatino Linotype" w:hAnsi="Palatino Linotype" w:cs="Palatino Linotype"/>
          <w:b/>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rsidR="00471897" w:rsidRDefault="00471897">
      <w:pPr>
        <w:tabs>
          <w:tab w:val="left" w:pos="4962"/>
        </w:tabs>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CUARTO. Marco normativo aplicable en materia de transparencia y acceso a la información pública</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artículo 19, que, se presume que la información debe existir si se refiere a las facultades, competencias y funciones que los ordenamientos jurídicos aplicables otorgan a los sujetos </w:t>
      </w:r>
      <w:r>
        <w:rPr>
          <w:rFonts w:ascii="Palatino Linotype" w:eastAsia="Palatino Linotype" w:hAnsi="Palatino Linotype" w:cs="Palatino Linotype"/>
          <w:sz w:val="22"/>
          <w:szCs w:val="22"/>
        </w:rPr>
        <w:lastRenderedPageBreak/>
        <w:t>obligados y en caso de que dichas facultades no se hayan ejercido, se deberá motivar la respuesta en función de las causas que motivaron tal circunstancia.</w:t>
      </w:r>
    </w:p>
    <w:p w:rsidR="00471897" w:rsidRDefault="00471897">
      <w:pPr>
        <w:spacing w:line="360" w:lineRule="auto"/>
        <w:jc w:val="both"/>
        <w:rPr>
          <w:rFonts w:ascii="Palatino Linotype" w:eastAsia="Palatino Linotype" w:hAnsi="Palatino Linotype" w:cs="Palatino Linotype"/>
          <w:b/>
          <w:sz w:val="22"/>
          <w:szCs w:val="22"/>
        </w:rPr>
      </w:pPr>
    </w:p>
    <w:p w:rsidR="00471897" w:rsidRDefault="00461723">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QUINTO. Estudio de Fondo</w:t>
      </w: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Del estudio de las constancias que integran el expediente que nos ocupa, se desprende que el Particular pretende acceder a diversa normatividad y al catálogo de trámites y servicios del Sujeto Obligado en lengua mazahua; sin embargo, tanto en respuesta como en informe justificado, el Sujeto Obligado señaló que en el municipio no cuenta con presencia del grupo étnico, por lo que, señaló que únicamente cuenta con la información en español, lo que generó el Recurso de Revisión que nos ocupa.</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contexto, es preciso señalar que el Bando Municipal del Ayuntamiento de Huehuetoca, del año en curso, prevé en su artículo 94, fracción I, que el Sistema Municipal para el Desarrollo Integral de la Familia, es un organismo descentralizado, que se regirá conforme a los decretos de creación y a los reglamentos del Bando en mención; aunado a ello, el artículo 267 del Reglamento Orgánico de la Administración Pública Municipal de Huehuetoca 2022-2024; establece que el Sujeto Obligado es un órgano creado con el objeto de proteger, mantener y preservar en general a los sujetos de asistencia social.</w:t>
      </w:r>
    </w:p>
    <w:p w:rsidR="00471897" w:rsidRDefault="00471897">
      <w:pPr>
        <w:tabs>
          <w:tab w:val="left" w:pos="4962"/>
        </w:tabs>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Ley que crea los Organismos Públicos Descentralizados de Asistencia Social, de carácter Municipal, denominados "Sistemas Municipales para el Desarrollo Integral de la Familia; Publicada en el Periódico Oficial “Gaceta del Gobierno” el 16 de julio de 1985; y en la que se prevé la creación del Sujeto Obligado, establece en su artículo 11 y 13 fracción III, que dentro de los Órganos Superiores del Sujeto Obligado, se encuentra la Junta de Gobierno, que tiene entre sus facultades y obligaciones, la de aprobar el reglamento interno y la organización </w:t>
      </w:r>
      <w:r>
        <w:rPr>
          <w:rFonts w:ascii="Palatino Linotype" w:eastAsia="Palatino Linotype" w:hAnsi="Palatino Linotype" w:cs="Palatino Linotype"/>
          <w:sz w:val="22"/>
          <w:szCs w:val="22"/>
        </w:rPr>
        <w:lastRenderedPageBreak/>
        <w:t xml:space="preserve">general del Sistema Municipal, así como los manuales de procedimientos y servicios al público. </w:t>
      </w:r>
    </w:p>
    <w:p w:rsidR="00471897" w:rsidRDefault="00471897">
      <w:pPr>
        <w:tabs>
          <w:tab w:val="left" w:pos="4962"/>
        </w:tabs>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atención a lo anterior, se advierte que el Sujeto Obligado es competente para conocer de la información que corresponde a su normatividad y al catálogo de trámites y servicios que lleva a cabo, sin embargo, la información puede constar en español y no en la lengua en la que fue solicitada, por tanto, es procedente analizar el contexto normativo y aplicable al caso que nos ocupa.</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tenor, se advierte que el Particular pretende acceder información en una lengua indígena, en este sentido, es pertinente recordar que en el marco jurídico internacional; las Naciones Unidas, a través de la Asamblea General, emitieron en dos mil diecisiete la Declaración de las Naciones Unidas sobre los Derechos de los Pueblos Indígenas; de la cual, México fue uno de los países adherentes; y que, en dicha declaración en su artículo primero, señala que los indígenas, como pueblos o individuos, tienen derecho al disfrute pleno de sus derechos humanos.</w:t>
      </w:r>
    </w:p>
    <w:p w:rsidR="00471897" w:rsidRDefault="00471897">
      <w:pPr>
        <w:tabs>
          <w:tab w:val="left" w:pos="4962"/>
        </w:tabs>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el artículo 2° de la citada Declaración prevé que los pueblos e individuos indígenas son libres e iguales para ejercer sus derechos, sin que, en su ejercicio, medie ningún tipo de discriminación en su contra, aún más, cuando se trate de una discriminación con motivo de su origen o identidad indígena. </w:t>
      </w:r>
    </w:p>
    <w:p w:rsidR="00471897" w:rsidRDefault="00471897">
      <w:pPr>
        <w:tabs>
          <w:tab w:val="left" w:pos="4962"/>
        </w:tabs>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el artículo 1° de la Constitución Política de los Estados Unidos Mexicanos prevé, el reconocimiento de los derechos humanos que contempla la misma Constitución, así como aquellos que deriven de los tratados internacionales en los que el Estado Mexicano sea parte; por lo que se prevé la garantía a todas las personas para que gocen de los derechos humanos </w:t>
      </w:r>
      <w:r>
        <w:rPr>
          <w:rFonts w:ascii="Palatino Linotype" w:eastAsia="Palatino Linotype" w:hAnsi="Palatino Linotype" w:cs="Palatino Linotype"/>
          <w:sz w:val="22"/>
          <w:szCs w:val="22"/>
        </w:rPr>
        <w:lastRenderedPageBreak/>
        <w:t>que reconoce la propia Constitución, así como los contemplados en los diversos tratados internacionales en materia de derechos humanos en los que México forme parte.</w:t>
      </w:r>
    </w:p>
    <w:p w:rsidR="00471897" w:rsidRDefault="00471897">
      <w:pPr>
        <w:tabs>
          <w:tab w:val="left" w:pos="4962"/>
        </w:tabs>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igual forma, el </w:t>
      </w:r>
      <w:proofErr w:type="gramStart"/>
      <w:r>
        <w:rPr>
          <w:rFonts w:ascii="Palatino Linotype" w:eastAsia="Palatino Linotype" w:hAnsi="Palatino Linotype" w:cs="Palatino Linotype"/>
          <w:sz w:val="22"/>
          <w:szCs w:val="22"/>
        </w:rPr>
        <w:t>articulo</w:t>
      </w:r>
      <w:proofErr w:type="gramEnd"/>
      <w:r>
        <w:rPr>
          <w:rFonts w:ascii="Palatino Linotype" w:eastAsia="Palatino Linotype" w:hAnsi="Palatino Linotype" w:cs="Palatino Linotype"/>
          <w:sz w:val="22"/>
          <w:szCs w:val="22"/>
        </w:rPr>
        <w:t xml:space="preserve"> prevé que en el ejercicio de los derechos no debe existir discriminación alguna; y que la garantía de los derechos humanos debe aplicarse en su mayor espectro de protección a la persona. Por su parte, el artículo 2° de la Constitución Política de los Estados Unidos Mexicanos, establece la libre determinación de los pueblos indígenas, de forma tal que se les reconoce y se les ofrecen mecanismos para garantizar el ejercicio de sus derechos.</w:t>
      </w:r>
    </w:p>
    <w:p w:rsidR="00471897" w:rsidRDefault="00471897">
      <w:pPr>
        <w:tabs>
          <w:tab w:val="left" w:pos="4962"/>
        </w:tabs>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el artículo 6 de la Constitución Política de los Estados Unidos Mexicanos, reconoce y garantiza el derecho de acceso a la información pública; que establece la posibilidad de dar libre y plural acceso a la información que los Sujetos Obligados generan en ejercicio de sus facultades, competencias o funciones; además de prever la difusión de la información y la aplicación del principio de máxima publicidad en favor de la población.</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orden de ideas, debe entenderse que, en el ejercicio y garantía del derecho de transparencia y acceso a la información pública, debe mediar la mayor protección en favor de la persona que pretende ejercerlo; lo que involucra aplicar el </w:t>
      </w:r>
      <w:r>
        <w:rPr>
          <w:rFonts w:ascii="Palatino Linotype" w:eastAsia="Palatino Linotype" w:hAnsi="Palatino Linotype" w:cs="Palatino Linotype"/>
          <w:b/>
          <w:sz w:val="22"/>
          <w:szCs w:val="22"/>
        </w:rPr>
        <w:t xml:space="preserve">principio </w:t>
      </w:r>
      <w:r>
        <w:rPr>
          <w:rFonts w:ascii="Palatino Linotype" w:eastAsia="Palatino Linotype" w:hAnsi="Palatino Linotype" w:cs="Palatino Linotype"/>
          <w:b/>
          <w:i/>
          <w:sz w:val="22"/>
          <w:szCs w:val="22"/>
        </w:rPr>
        <w:t xml:space="preserve">pro hominem </w:t>
      </w:r>
      <w:r>
        <w:rPr>
          <w:rFonts w:ascii="Palatino Linotype" w:eastAsia="Palatino Linotype" w:hAnsi="Palatino Linotype" w:cs="Palatino Linotype"/>
          <w:b/>
          <w:sz w:val="22"/>
          <w:szCs w:val="22"/>
        </w:rPr>
        <w:t xml:space="preserve">o también llamado principio </w:t>
      </w:r>
      <w:r>
        <w:rPr>
          <w:rFonts w:ascii="Palatino Linotype" w:eastAsia="Palatino Linotype" w:hAnsi="Palatino Linotype" w:cs="Palatino Linotype"/>
          <w:b/>
          <w:i/>
          <w:sz w:val="22"/>
          <w:szCs w:val="22"/>
        </w:rPr>
        <w:t>pro persona;</w:t>
      </w:r>
      <w:r>
        <w:rPr>
          <w:rFonts w:ascii="Palatino Linotype" w:eastAsia="Palatino Linotype" w:hAnsi="Palatino Linotype" w:cs="Palatino Linotype"/>
          <w:sz w:val="22"/>
          <w:szCs w:val="22"/>
        </w:rPr>
        <w:t xml:space="preserve"> que, en el presente fallo, se nombrará en futuras ocasiones como principio </w:t>
      </w:r>
      <w:proofErr w:type="spellStart"/>
      <w:r>
        <w:rPr>
          <w:rFonts w:ascii="Palatino Linotype" w:eastAsia="Palatino Linotype" w:hAnsi="Palatino Linotype" w:cs="Palatino Linotype"/>
          <w:i/>
          <w:sz w:val="22"/>
          <w:szCs w:val="22"/>
        </w:rPr>
        <w:t>pro</w:t>
      </w:r>
      <w:proofErr w:type="spellEnd"/>
      <w:r>
        <w:rPr>
          <w:rFonts w:ascii="Palatino Linotype" w:eastAsia="Palatino Linotype" w:hAnsi="Palatino Linotype" w:cs="Palatino Linotype"/>
          <w:i/>
          <w:sz w:val="22"/>
          <w:szCs w:val="22"/>
        </w:rPr>
        <w:t xml:space="preserve"> persona,</w:t>
      </w:r>
      <w:r>
        <w:rPr>
          <w:rFonts w:ascii="Palatino Linotype" w:eastAsia="Palatino Linotype" w:hAnsi="Palatino Linotype" w:cs="Palatino Linotype"/>
          <w:sz w:val="22"/>
          <w:szCs w:val="22"/>
        </w:rPr>
        <w:t xml:space="preserve"> a fin de contribuir a un lenguaje inclusivo.</w:t>
      </w:r>
    </w:p>
    <w:p w:rsidR="00471897" w:rsidRDefault="00471897">
      <w:pPr>
        <w:tabs>
          <w:tab w:val="left" w:pos="284"/>
        </w:tabs>
        <w:spacing w:line="360" w:lineRule="auto"/>
        <w:jc w:val="both"/>
        <w:rPr>
          <w:rFonts w:ascii="Palatino Linotype" w:eastAsia="Palatino Linotype" w:hAnsi="Palatino Linotype" w:cs="Palatino Linotype"/>
          <w:sz w:val="22"/>
          <w:szCs w:val="22"/>
        </w:rPr>
      </w:pPr>
    </w:p>
    <w:p w:rsidR="00471897" w:rsidRDefault="00461723">
      <w:pPr>
        <w:tabs>
          <w:tab w:val="left" w:pos="284"/>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es pertinente contextualizar los parámetros del principio </w:t>
      </w:r>
      <w:proofErr w:type="spellStart"/>
      <w:r>
        <w:rPr>
          <w:rFonts w:ascii="Palatino Linotype" w:eastAsia="Palatino Linotype" w:hAnsi="Palatino Linotype" w:cs="Palatino Linotype"/>
          <w:i/>
          <w:sz w:val="22"/>
          <w:szCs w:val="22"/>
        </w:rPr>
        <w:t>pro</w:t>
      </w:r>
      <w:proofErr w:type="spellEnd"/>
      <w:r>
        <w:rPr>
          <w:rFonts w:ascii="Palatino Linotype" w:eastAsia="Palatino Linotype" w:hAnsi="Palatino Linotype" w:cs="Palatino Linotype"/>
          <w:i/>
          <w:sz w:val="22"/>
          <w:szCs w:val="22"/>
        </w:rPr>
        <w:t xml:space="preserve"> persona, </w:t>
      </w:r>
      <w:r>
        <w:rPr>
          <w:rFonts w:ascii="Palatino Linotype" w:eastAsia="Palatino Linotype" w:hAnsi="Palatino Linotype" w:cs="Palatino Linotype"/>
          <w:sz w:val="22"/>
          <w:szCs w:val="22"/>
        </w:rPr>
        <w:t xml:space="preserve">al respecto, Mireya Castañeda Hernández en su libro </w:t>
      </w:r>
      <w:r>
        <w:rPr>
          <w:rFonts w:ascii="Palatino Linotype" w:eastAsia="Palatino Linotype" w:hAnsi="Palatino Linotype" w:cs="Palatino Linotype"/>
          <w:i/>
          <w:sz w:val="22"/>
          <w:szCs w:val="22"/>
        </w:rPr>
        <w:t xml:space="preserve">El principio pro persona ante la ponderación de derecho, </w:t>
      </w:r>
      <w:r>
        <w:rPr>
          <w:rFonts w:ascii="Palatino Linotype" w:eastAsia="Palatino Linotype" w:hAnsi="Palatino Linotype" w:cs="Palatino Linotype"/>
          <w:sz w:val="22"/>
          <w:szCs w:val="22"/>
        </w:rPr>
        <w:t xml:space="preserve">editorial CNDH México, 2017; en el que retoma la definición del principio </w:t>
      </w:r>
      <w:r>
        <w:rPr>
          <w:rFonts w:ascii="Palatino Linotype" w:eastAsia="Palatino Linotype" w:hAnsi="Palatino Linotype" w:cs="Palatino Linotype"/>
          <w:i/>
          <w:sz w:val="22"/>
          <w:szCs w:val="22"/>
        </w:rPr>
        <w:t xml:space="preserve">pro </w:t>
      </w:r>
      <w:proofErr w:type="spellStart"/>
      <w:r>
        <w:rPr>
          <w:rFonts w:ascii="Palatino Linotype" w:eastAsia="Palatino Linotype" w:hAnsi="Palatino Linotype" w:cs="Palatino Linotype"/>
          <w:i/>
          <w:sz w:val="22"/>
          <w:szCs w:val="22"/>
        </w:rPr>
        <w:t>homine</w:t>
      </w:r>
      <w:proofErr w:type="spellEnd"/>
      <w:r>
        <w:rPr>
          <w:rFonts w:ascii="Palatino Linotype" w:eastAsia="Palatino Linotype" w:hAnsi="Palatino Linotype" w:cs="Palatino Linotype"/>
          <w:sz w:val="22"/>
          <w:szCs w:val="22"/>
        </w:rPr>
        <w:t xml:space="preserve"> que ofrece Mónica Pinto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 xml:space="preserve">en el que se prevé que se debe acudir a la norma más amplia </w:t>
      </w:r>
      <w:r>
        <w:rPr>
          <w:rFonts w:ascii="Palatino Linotype" w:eastAsia="Palatino Linotype" w:hAnsi="Palatino Linotype" w:cs="Palatino Linotype"/>
          <w:sz w:val="22"/>
          <w:szCs w:val="22"/>
        </w:rPr>
        <w:lastRenderedPageBreak/>
        <w:t xml:space="preserve">e interpretación más excesivo cuando se reconocen derechos.  Así pues, se determina que el principio </w:t>
      </w:r>
      <w:r>
        <w:rPr>
          <w:rFonts w:ascii="Palatino Linotype" w:eastAsia="Palatino Linotype" w:hAnsi="Palatino Linotype" w:cs="Palatino Linotype"/>
          <w:i/>
          <w:sz w:val="22"/>
          <w:szCs w:val="22"/>
        </w:rPr>
        <w:t>pro persona</w:t>
      </w:r>
      <w:r>
        <w:rPr>
          <w:rFonts w:ascii="Palatino Linotype" w:eastAsia="Palatino Linotype" w:hAnsi="Palatino Linotype" w:cs="Palatino Linotype"/>
          <w:sz w:val="22"/>
          <w:szCs w:val="22"/>
        </w:rPr>
        <w:t xml:space="preserve"> cumple con su objetivo al lograr la interpretación más amplia y extensiva de las normas a fin de reconocer derechos protegidos o bien de establecer restricciones permanentes al ejercicio de los derechos.</w:t>
      </w:r>
    </w:p>
    <w:p w:rsidR="00471897" w:rsidRDefault="00471897">
      <w:pPr>
        <w:tabs>
          <w:tab w:val="left" w:pos="284"/>
        </w:tabs>
        <w:spacing w:line="360" w:lineRule="auto"/>
        <w:jc w:val="both"/>
        <w:rPr>
          <w:rFonts w:ascii="Palatino Linotype" w:eastAsia="Palatino Linotype" w:hAnsi="Palatino Linotype" w:cs="Palatino Linotype"/>
          <w:sz w:val="22"/>
          <w:szCs w:val="22"/>
        </w:rPr>
      </w:pPr>
    </w:p>
    <w:p w:rsidR="00471897" w:rsidRDefault="00461723">
      <w:pPr>
        <w:tabs>
          <w:tab w:val="left" w:pos="284"/>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la Dra. Graciela Romero Silvera, es su publicación </w:t>
      </w:r>
      <w:r>
        <w:rPr>
          <w:rFonts w:ascii="Palatino Linotype" w:eastAsia="Palatino Linotype" w:hAnsi="Palatino Linotype" w:cs="Palatino Linotype"/>
          <w:i/>
          <w:sz w:val="22"/>
          <w:szCs w:val="22"/>
        </w:rPr>
        <w:t xml:space="preserve">Implicaciones jurídicas del desarrollo del derecho de acceso a la información pública en el marco del derecho a la libertad de expresión y los derechos humanos, </w:t>
      </w:r>
      <w:r>
        <w:rPr>
          <w:rFonts w:ascii="Palatino Linotype" w:eastAsia="Palatino Linotype" w:hAnsi="Palatino Linotype" w:cs="Palatino Linotype"/>
          <w:sz w:val="22"/>
          <w:szCs w:val="22"/>
        </w:rPr>
        <w:t xml:space="preserve">publicado a través de la Corte Iberoamericana de Derechos Humanos, 2010; retoma que la Corte Interamericana ya emitió pronunciamiento al destacar la importancia del principio </w:t>
      </w:r>
      <w:r>
        <w:rPr>
          <w:rFonts w:ascii="Palatino Linotype" w:eastAsia="Palatino Linotype" w:hAnsi="Palatino Linotype" w:cs="Palatino Linotype"/>
          <w:i/>
          <w:sz w:val="22"/>
          <w:szCs w:val="22"/>
        </w:rPr>
        <w:t xml:space="preserve">pro </w:t>
      </w:r>
      <w:proofErr w:type="spellStart"/>
      <w:r>
        <w:rPr>
          <w:rFonts w:ascii="Palatino Linotype" w:eastAsia="Palatino Linotype" w:hAnsi="Palatino Linotype" w:cs="Palatino Linotype"/>
          <w:i/>
          <w:sz w:val="22"/>
          <w:szCs w:val="22"/>
        </w:rPr>
        <w:t>hominen</w:t>
      </w:r>
      <w:proofErr w:type="spellEnd"/>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 xml:space="preserve">según el cual, de conformidad con la Convención de Viena, emana a su vez del objeto y fin de los tratados de protección de derechos humanos, puesto que implica tener en cuenta la labor de intérprete. </w:t>
      </w:r>
    </w:p>
    <w:p w:rsidR="00471897" w:rsidRDefault="00471897">
      <w:pPr>
        <w:tabs>
          <w:tab w:val="left" w:pos="284"/>
        </w:tabs>
        <w:spacing w:line="360" w:lineRule="auto"/>
        <w:jc w:val="both"/>
        <w:rPr>
          <w:rFonts w:ascii="Palatino Linotype" w:eastAsia="Palatino Linotype" w:hAnsi="Palatino Linotype" w:cs="Palatino Linotype"/>
          <w:sz w:val="22"/>
          <w:szCs w:val="22"/>
        </w:rPr>
      </w:pPr>
    </w:p>
    <w:p w:rsidR="00471897" w:rsidRDefault="00461723">
      <w:pPr>
        <w:tabs>
          <w:tab w:val="left" w:pos="284"/>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Ximena Medellín </w:t>
      </w:r>
      <w:proofErr w:type="spellStart"/>
      <w:r>
        <w:rPr>
          <w:rFonts w:ascii="Palatino Linotype" w:eastAsia="Palatino Linotype" w:hAnsi="Palatino Linotype" w:cs="Palatino Linotype"/>
          <w:sz w:val="22"/>
          <w:szCs w:val="22"/>
        </w:rPr>
        <w:t>Urquiaga</w:t>
      </w:r>
      <w:proofErr w:type="spellEnd"/>
      <w:r>
        <w:rPr>
          <w:rFonts w:ascii="Palatino Linotype" w:eastAsia="Palatino Linotype" w:hAnsi="Palatino Linotype" w:cs="Palatino Linotype"/>
          <w:sz w:val="22"/>
          <w:szCs w:val="22"/>
        </w:rPr>
        <w:t>, en su libro Principio</w:t>
      </w:r>
      <w:r>
        <w:rPr>
          <w:rFonts w:ascii="Palatino Linotype" w:eastAsia="Palatino Linotype" w:hAnsi="Palatino Linotype" w:cs="Palatino Linotype"/>
          <w:i/>
          <w:sz w:val="22"/>
          <w:szCs w:val="22"/>
        </w:rPr>
        <w:t xml:space="preserve"> </w:t>
      </w:r>
      <w:proofErr w:type="spellStart"/>
      <w:r>
        <w:rPr>
          <w:rFonts w:ascii="Palatino Linotype" w:eastAsia="Palatino Linotype" w:hAnsi="Palatino Linotype" w:cs="Palatino Linotype"/>
          <w:i/>
          <w:sz w:val="22"/>
          <w:szCs w:val="22"/>
        </w:rPr>
        <w:t>pro</w:t>
      </w:r>
      <w:proofErr w:type="spellEnd"/>
      <w:r>
        <w:rPr>
          <w:rFonts w:ascii="Palatino Linotype" w:eastAsia="Palatino Linotype" w:hAnsi="Palatino Linotype" w:cs="Palatino Linotype"/>
          <w:i/>
          <w:sz w:val="22"/>
          <w:szCs w:val="22"/>
        </w:rPr>
        <w:t xml:space="preserve"> persona, </w:t>
      </w:r>
      <w:r>
        <w:rPr>
          <w:rFonts w:ascii="Palatino Linotype" w:eastAsia="Palatino Linotype" w:hAnsi="Palatino Linotype" w:cs="Palatino Linotype"/>
          <w:sz w:val="22"/>
          <w:szCs w:val="22"/>
        </w:rPr>
        <w:t xml:space="preserve">Publicado por la Comisión de Derechos Humanos del Distrito Federal, por la Suprema Corte de Justicia de la Nación y por la Oficina en México del Alto Comisionado de las Naciones Unidas para los Derechos Humanos, en 2013; señala respecto a la interpretación en el marco del principio </w:t>
      </w:r>
      <w:proofErr w:type="spellStart"/>
      <w:r>
        <w:rPr>
          <w:rFonts w:ascii="Palatino Linotype" w:eastAsia="Palatino Linotype" w:hAnsi="Palatino Linotype" w:cs="Palatino Linotype"/>
          <w:i/>
          <w:sz w:val="22"/>
          <w:szCs w:val="22"/>
        </w:rPr>
        <w:t>pro</w:t>
      </w:r>
      <w:proofErr w:type="spellEnd"/>
      <w:r>
        <w:rPr>
          <w:rFonts w:ascii="Palatino Linotype" w:eastAsia="Palatino Linotype" w:hAnsi="Palatino Linotype" w:cs="Palatino Linotype"/>
          <w:i/>
          <w:sz w:val="22"/>
          <w:szCs w:val="22"/>
        </w:rPr>
        <w:t xml:space="preserve"> persona y de interpretación evolutiva, </w:t>
      </w:r>
      <w:r>
        <w:rPr>
          <w:rFonts w:ascii="Palatino Linotype" w:eastAsia="Palatino Linotype" w:hAnsi="Palatino Linotype" w:cs="Palatino Linotype"/>
          <w:sz w:val="22"/>
          <w:szCs w:val="22"/>
        </w:rPr>
        <w:t>que la protección de la persona implica, que quien interprete la norma debe reconocer el contexto social de su decisión y entender sus efectos.</w:t>
      </w:r>
    </w:p>
    <w:p w:rsidR="00471897" w:rsidRDefault="00471897">
      <w:pPr>
        <w:tabs>
          <w:tab w:val="left" w:pos="4962"/>
        </w:tabs>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 xml:space="preserve">Así pues, podemos entender que la Constitución Política de los Estados Unidos Mexicanos, prevé la posibilidad de aplicar un principio de máxima protección en favor de la persona que pretende ejercer el derecho de acceso a la información pública, lo que se traduce en la aplicación del principio </w:t>
      </w:r>
      <w:proofErr w:type="spellStart"/>
      <w:r>
        <w:rPr>
          <w:rFonts w:ascii="Palatino Linotype" w:eastAsia="Palatino Linotype" w:hAnsi="Palatino Linotype" w:cs="Palatino Linotype"/>
          <w:i/>
          <w:sz w:val="22"/>
          <w:szCs w:val="22"/>
        </w:rPr>
        <w:t>pro</w:t>
      </w:r>
      <w:proofErr w:type="spellEnd"/>
      <w:r>
        <w:rPr>
          <w:rFonts w:ascii="Palatino Linotype" w:eastAsia="Palatino Linotype" w:hAnsi="Palatino Linotype" w:cs="Palatino Linotype"/>
          <w:i/>
          <w:sz w:val="22"/>
          <w:szCs w:val="22"/>
        </w:rPr>
        <w:t xml:space="preserve"> persona.</w:t>
      </w:r>
    </w:p>
    <w:p w:rsidR="00471897" w:rsidRDefault="00471897">
      <w:pPr>
        <w:spacing w:line="360" w:lineRule="auto"/>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lastRenderedPageBreak/>
        <w:t xml:space="preserve">En este contexto normativo internacional y nacional, la Ley de Transparencia y Acceso a la Información Pública del Estado de México y Municipios; establece en su artículo 11, segundo párrafo que los Sujetos Obligados deben buscar en todo momento que la información generada tenga un lenguaje sencillo para cualquier persona y </w:t>
      </w:r>
      <w:r>
        <w:rPr>
          <w:rFonts w:ascii="Palatino Linotype" w:eastAsia="Palatino Linotype" w:hAnsi="Palatino Linotype" w:cs="Palatino Linotype"/>
          <w:b/>
          <w:sz w:val="22"/>
          <w:szCs w:val="22"/>
        </w:rPr>
        <w:t xml:space="preserve">en la medida de lo posible, su traducción a lenguas indígenas. </w:t>
      </w:r>
      <w:r>
        <w:rPr>
          <w:rFonts w:ascii="Palatino Linotype" w:eastAsia="Palatino Linotype" w:hAnsi="Palatino Linotype" w:cs="Palatino Linotype"/>
          <w:sz w:val="22"/>
          <w:szCs w:val="22"/>
        </w:rPr>
        <w:t xml:space="preserve">Por otra parte, el artículo 15 de la misma Ley, establece que toda persona tiene el derecho al acceso a la información sin discriminación alguna. </w:t>
      </w: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los artículos anteriores, se desprende que los Sujetos Obligados, tienen la obligación de realizar las gestiones, en la medida de sus posibilidades, para traducir la información a las lenguas indígenas, sobre todo en aquellas con las que cuenta el Estado de México; ello con la finalidad de garantizar que la información sea accesible a todas las personas que pretendan acceder a ella.</w:t>
      </w:r>
    </w:p>
    <w:p w:rsidR="00471897" w:rsidRDefault="00471897">
      <w:pPr>
        <w:tabs>
          <w:tab w:val="left" w:pos="4962"/>
        </w:tabs>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mismo sentido, el penúltimo párrafo del artículo 53 de la Ley de Transparencia de nuestra Entidad, establece que dentro de las facultades con las que cuentan las Unidades de Transparencia, se encuentra, la de buscar una coadyuvar con instituciones públicas especializadas a fin de dar atención a las solicitudes de información en formatos accesibles; es decir, en leguas indígenas, braille o cualquier otra.</w:t>
      </w:r>
    </w:p>
    <w:p w:rsidR="00471897" w:rsidRDefault="00471897">
      <w:pPr>
        <w:tabs>
          <w:tab w:val="left" w:pos="4962"/>
        </w:tabs>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Aunado a lo anterior, el artículo 81 de la misma Ley establece que se debe buscar en todo momento que la información publicada sea accesible a toda la población, sin distinción alguna; lo que involucra una acción de inclusión, y se busque la publicación de la información tanto en lengua indígena, como en aquellos medios que faciliten el acceso a las personas con discapacidad.</w:t>
      </w:r>
    </w:p>
    <w:p w:rsidR="00471897" w:rsidRDefault="00471897">
      <w:pPr>
        <w:tabs>
          <w:tab w:val="left" w:pos="4962"/>
        </w:tabs>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Cabe precisar que el Instituto Nacional de Transparencia, Acceso a la Información y Protección de Datos Personales (INAI), emitió los Lineamientos que los Sujetos Obligados deben seguir </w:t>
      </w:r>
      <w:r>
        <w:rPr>
          <w:rFonts w:ascii="Palatino Linotype" w:eastAsia="Palatino Linotype" w:hAnsi="Palatino Linotype" w:cs="Palatino Linotype"/>
          <w:sz w:val="22"/>
          <w:szCs w:val="22"/>
        </w:rPr>
        <w:lastRenderedPageBreak/>
        <w:t>al momento de generar información, en un lenguaje sencillo, con accesibilidad y traducción a lenguas indígenas, publicado en el Diario Oficial de la Federación el doce de febrero de dos mil dieciséis, del cual destaca el Capítulo IV, dedicado a la traducción y generación de la información en lenguas indígenas; de los cuales destacan los artículos Décimo segundo, Décimo tercero y Décimo octavo que a la letra señalan:</w:t>
      </w:r>
    </w:p>
    <w:p w:rsidR="00471897" w:rsidRDefault="00471897">
      <w:pPr>
        <w:tabs>
          <w:tab w:val="left" w:pos="4962"/>
        </w:tabs>
        <w:spacing w:line="360" w:lineRule="auto"/>
        <w:jc w:val="both"/>
        <w:rPr>
          <w:rFonts w:ascii="Palatino Linotype" w:eastAsia="Palatino Linotype" w:hAnsi="Palatino Linotype" w:cs="Palatino Linotype"/>
          <w:sz w:val="22"/>
          <w:szCs w:val="22"/>
        </w:rPr>
      </w:pPr>
    </w:p>
    <w:p w:rsidR="00471897" w:rsidRDefault="00461723">
      <w:pPr>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b/>
          <w:i/>
        </w:rPr>
        <w:t>“Décimo segundo. </w:t>
      </w:r>
      <w:r>
        <w:rPr>
          <w:rFonts w:ascii="Palatino Linotype" w:eastAsia="Palatino Linotype" w:hAnsi="Palatino Linotype" w:cs="Palatino Linotype"/>
          <w:i/>
        </w:rPr>
        <w:t>Los sujetos obligados deberán tener disponibles</w:t>
      </w:r>
      <w:r>
        <w:rPr>
          <w:rFonts w:ascii="Palatino Linotype" w:eastAsia="Palatino Linotype" w:hAnsi="Palatino Linotype" w:cs="Palatino Linotype"/>
          <w:b/>
          <w:i/>
        </w:rPr>
        <w:t>, en la medida de lo posible</w:t>
      </w:r>
      <w:r>
        <w:rPr>
          <w:rFonts w:ascii="Palatino Linotype" w:eastAsia="Palatino Linotype" w:hAnsi="Palatino Linotype" w:cs="Palatino Linotype"/>
          <w:i/>
        </w:rPr>
        <w:t xml:space="preserve">, en forma impresa y medios electrónicos con los que cuenten, </w:t>
      </w:r>
      <w:r>
        <w:rPr>
          <w:rFonts w:ascii="Palatino Linotype" w:eastAsia="Palatino Linotype" w:hAnsi="Palatino Linotype" w:cs="Palatino Linotype"/>
          <w:b/>
          <w:i/>
        </w:rPr>
        <w:t>las leyes, reglamentos y todo el marco normativo aplicable</w:t>
      </w:r>
      <w:r>
        <w:rPr>
          <w:rFonts w:ascii="Palatino Linotype" w:eastAsia="Palatino Linotype" w:hAnsi="Palatino Linotype" w:cs="Palatino Linotype"/>
          <w:i/>
        </w:rPr>
        <w:t xml:space="preserve">, así como los contenidos relacionados con programas, obras y servicios, sociales y culturales incluyendo los formatos accesibles los cuales deberán estar en la lengua o lenguas de sus correspondientes poblaciones indígenas </w:t>
      </w:r>
      <w:r>
        <w:rPr>
          <w:rFonts w:ascii="Palatino Linotype" w:eastAsia="Palatino Linotype" w:hAnsi="Palatino Linotype" w:cs="Palatino Linotype"/>
          <w:b/>
          <w:i/>
        </w:rPr>
        <w:t>o por lo menos en la lengua que sea hablada preponderantemente.</w:t>
      </w:r>
    </w:p>
    <w:p w:rsidR="00471897" w:rsidRDefault="00471897">
      <w:pPr>
        <w:spacing w:line="360" w:lineRule="auto"/>
        <w:ind w:left="567" w:right="539"/>
        <w:jc w:val="both"/>
        <w:rPr>
          <w:rFonts w:ascii="Palatino Linotype" w:eastAsia="Palatino Linotype" w:hAnsi="Palatino Linotype" w:cs="Palatino Linotype"/>
          <w:i/>
        </w:rPr>
      </w:pPr>
    </w:p>
    <w:p w:rsidR="00471897" w:rsidRDefault="00461723">
      <w:pPr>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b/>
          <w:i/>
        </w:rPr>
        <w:t>Décimo tercero. </w:t>
      </w:r>
      <w:r>
        <w:rPr>
          <w:rFonts w:ascii="Palatino Linotype" w:eastAsia="Palatino Linotype" w:hAnsi="Palatino Linotype" w:cs="Palatino Linotype"/>
          <w:i/>
        </w:rPr>
        <w:t xml:space="preserve">Cuando la información pública corresponda </w:t>
      </w:r>
      <w:r>
        <w:rPr>
          <w:rFonts w:ascii="Palatino Linotype" w:eastAsia="Palatino Linotype" w:hAnsi="Palatino Linotype" w:cs="Palatino Linotype"/>
          <w:b/>
          <w:i/>
        </w:rPr>
        <w:t>a las obligaciones de transparencia</w:t>
      </w:r>
      <w:r>
        <w:rPr>
          <w:rFonts w:ascii="Palatino Linotype" w:eastAsia="Palatino Linotype" w:hAnsi="Palatino Linotype" w:cs="Palatino Linotype"/>
          <w:i/>
        </w:rPr>
        <w:t xml:space="preserve"> previstas en el Capítulo II, del Título Quinto de la Ley General </w:t>
      </w:r>
      <w:r>
        <w:rPr>
          <w:rFonts w:ascii="Palatino Linotype" w:eastAsia="Palatino Linotype" w:hAnsi="Palatino Linotype" w:cs="Palatino Linotype"/>
          <w:b/>
          <w:i/>
        </w:rPr>
        <w:t>y se encuentre vinculada de cualquier forma con alguna o diversas poblaciones indígenas</w:t>
      </w:r>
      <w:r>
        <w:rPr>
          <w:rFonts w:ascii="Palatino Linotype" w:eastAsia="Palatino Linotype" w:hAnsi="Palatino Linotype" w:cs="Palatino Linotype"/>
          <w:i/>
        </w:rPr>
        <w:t xml:space="preserve"> comprendidas en uno o varios municipios del país, el sujeto obligado responsable de la misma, en un plazo que no exceda de tres meses para actualizar su información pública, </w:t>
      </w:r>
      <w:r>
        <w:rPr>
          <w:rFonts w:ascii="Palatino Linotype" w:eastAsia="Palatino Linotype" w:hAnsi="Palatino Linotype" w:cs="Palatino Linotype"/>
          <w:b/>
          <w:i/>
        </w:rPr>
        <w:t>deberá generar una versión de la información en la lengua o lenguas indígenas de las respectivas poblaciones.</w:t>
      </w:r>
    </w:p>
    <w:p w:rsidR="00471897" w:rsidRDefault="00471897">
      <w:pPr>
        <w:spacing w:line="360" w:lineRule="auto"/>
        <w:ind w:left="567" w:right="539"/>
        <w:jc w:val="both"/>
        <w:rPr>
          <w:rFonts w:ascii="Palatino Linotype" w:eastAsia="Palatino Linotype" w:hAnsi="Palatino Linotype" w:cs="Palatino Linotype"/>
          <w:i/>
        </w:rPr>
      </w:pPr>
    </w:p>
    <w:p w:rsidR="00471897" w:rsidRDefault="00461723">
      <w:pPr>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b/>
          <w:i/>
        </w:rPr>
        <w:t>En caso de que no pueda realizarse la traducción</w:t>
      </w:r>
      <w:r>
        <w:rPr>
          <w:rFonts w:ascii="Palatino Linotype" w:eastAsia="Palatino Linotype" w:hAnsi="Palatino Linotype" w:cs="Palatino Linotype"/>
          <w:i/>
        </w:rPr>
        <w:t xml:space="preserve">, el área que cuente con la información hará del conocimiento del Comité de Transparencia dicha circunstancia, de manera fundada y motivada, para que éste resuelva sobre la </w:t>
      </w:r>
      <w:r>
        <w:rPr>
          <w:rFonts w:ascii="Palatino Linotype" w:eastAsia="Palatino Linotype" w:hAnsi="Palatino Linotype" w:cs="Palatino Linotype"/>
          <w:b/>
          <w:i/>
        </w:rPr>
        <w:t>procedencia de la traducción de la información a lenguas indígenas conforme la progresiva incorporación de acuerdo con su disponibilidad presupuestaria.</w:t>
      </w:r>
    </w:p>
    <w:p w:rsidR="00471897" w:rsidRDefault="00471897">
      <w:pPr>
        <w:spacing w:line="360" w:lineRule="auto"/>
        <w:ind w:left="567" w:right="539"/>
        <w:jc w:val="both"/>
        <w:rPr>
          <w:rFonts w:ascii="Palatino Linotype" w:eastAsia="Palatino Linotype" w:hAnsi="Palatino Linotype" w:cs="Palatino Linotype"/>
          <w:i/>
        </w:rPr>
      </w:pPr>
    </w:p>
    <w:p w:rsidR="00471897" w:rsidRDefault="00461723">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Por lo anterior, los sujetos obligados incorporarán gradual y progresivamente en su portal de Internet, los contenidos de información de mayor demanda, en la lengua o lenguas indígenas que </w:t>
      </w:r>
      <w:r>
        <w:rPr>
          <w:rFonts w:ascii="Palatino Linotype" w:eastAsia="Palatino Linotype" w:hAnsi="Palatino Linotype" w:cs="Palatino Linotype"/>
          <w:i/>
        </w:rPr>
        <w:lastRenderedPageBreak/>
        <w:t>sean empleadas en las solicitudes de acceso a la información que reciban, conforme a la previsión y disponibilidad presupuestaria.</w:t>
      </w:r>
    </w:p>
    <w:p w:rsidR="00471897" w:rsidRDefault="00461723">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rsidR="00471897" w:rsidRDefault="00461723">
      <w:pPr>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Décimo octavo. </w:t>
      </w:r>
      <w:r>
        <w:rPr>
          <w:rFonts w:ascii="Palatino Linotype" w:eastAsia="Palatino Linotype" w:hAnsi="Palatino Linotype" w:cs="Palatino Linotype"/>
          <w:i/>
        </w:rPr>
        <w:t xml:space="preserve">Para la traducción de la información a una lengua indígena, el área requerida del sujeto obligado, conforme a su previsión </w:t>
      </w:r>
      <w:r>
        <w:rPr>
          <w:rFonts w:ascii="Palatino Linotype" w:eastAsia="Palatino Linotype" w:hAnsi="Palatino Linotype" w:cs="Palatino Linotype"/>
          <w:b/>
          <w:i/>
        </w:rPr>
        <w:t>podrá realizar internamente las gestiones necesarias</w:t>
      </w:r>
      <w:r>
        <w:rPr>
          <w:rFonts w:ascii="Palatino Linotype" w:eastAsia="Palatino Linotype" w:hAnsi="Palatino Linotype" w:cs="Palatino Linotype"/>
          <w:i/>
        </w:rPr>
        <w:t xml:space="preserve"> para la contratación de peritos intérpretes o alguna de las personas incluidas en el Padrón Nacional de Intérpretes y Traductores en Lenguas Indígenas del Instituto Nacional de Lenguas Indígenas; para suscribir acuerdos o convenios con instituciones o personas especializadas, </w:t>
      </w:r>
      <w:r>
        <w:rPr>
          <w:rFonts w:ascii="Palatino Linotype" w:eastAsia="Palatino Linotype" w:hAnsi="Palatino Linotype" w:cs="Palatino Linotype"/>
          <w:b/>
          <w:i/>
        </w:rPr>
        <w:t>a fin de estar en condiciones adecuadas destinadas a la  entrega de respuestas a solicitudes de acceso a la información en lengua indígena.”</w:t>
      </w:r>
    </w:p>
    <w:p w:rsidR="00471897" w:rsidRDefault="00471897">
      <w:pPr>
        <w:tabs>
          <w:tab w:val="left" w:pos="4962"/>
        </w:tabs>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los Lineamientos antes citados establecen que los sujetos obligados deben tener disponibles, en la medida de lo posible, el marco normativo y el contenido relacionados con programas, obras y servicios en la lengua o lenguas indígenas de sus correspondientes poblaciones y para realizar la traducción requerida podrán hacer las gestiones necesarias para la contratación de intérpretes o suscribir acuerdos o convenios con instituciones o personas especializadas para estar en condiciones de entregar las respuestas a las solicitudes de acceso a la información en lenguas indígenas, como lo es, en el presente caso, en lengua mazahua.</w:t>
      </w:r>
    </w:p>
    <w:p w:rsidR="00471897" w:rsidRDefault="00471897">
      <w:pPr>
        <w:tabs>
          <w:tab w:val="left" w:pos="4962"/>
        </w:tabs>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Al respecto, cabe destacar que de conformidad con la información del Consejo Estatal para el Desarrollo Integral de los Pueblos Indígenas, en su página oficial; véase: </w:t>
      </w:r>
      <w:hyperlink r:id="rId8">
        <w:r>
          <w:rPr>
            <w:rFonts w:ascii="Palatino Linotype" w:eastAsia="Palatino Linotype" w:hAnsi="Palatino Linotype" w:cs="Palatino Linotype"/>
            <w:color w:val="000000"/>
            <w:sz w:val="22"/>
            <w:szCs w:val="22"/>
            <w:u w:val="single"/>
          </w:rPr>
          <w:t>https://cedipiem.edomex.gob.mx/ubicacion_mazahua</w:t>
        </w:r>
      </w:hyperlink>
      <w:r>
        <w:rPr>
          <w:rFonts w:ascii="Palatino Linotype" w:eastAsia="Palatino Linotype" w:hAnsi="Palatino Linotype" w:cs="Palatino Linotype"/>
          <w:sz w:val="22"/>
          <w:szCs w:val="22"/>
        </w:rPr>
        <w:t xml:space="preserve">; señala que </w:t>
      </w:r>
      <w:r>
        <w:rPr>
          <w:rFonts w:ascii="Palatino Linotype" w:eastAsia="Palatino Linotype" w:hAnsi="Palatino Linotype" w:cs="Palatino Linotype"/>
          <w:b/>
          <w:sz w:val="22"/>
          <w:szCs w:val="22"/>
        </w:rPr>
        <w:t>la población mazahua o "</w:t>
      </w:r>
      <w:proofErr w:type="spellStart"/>
      <w:r>
        <w:rPr>
          <w:rFonts w:ascii="Palatino Linotype" w:eastAsia="Palatino Linotype" w:hAnsi="Palatino Linotype" w:cs="Palatino Linotype"/>
          <w:b/>
          <w:sz w:val="22"/>
          <w:szCs w:val="22"/>
        </w:rPr>
        <w:t>jñatjo</w:t>
      </w:r>
      <w:proofErr w:type="spellEnd"/>
      <w:r>
        <w:rPr>
          <w:rFonts w:ascii="Palatino Linotype" w:eastAsia="Palatino Linotype" w:hAnsi="Palatino Linotype" w:cs="Palatino Linotype"/>
          <w:b/>
          <w:sz w:val="22"/>
          <w:szCs w:val="22"/>
        </w:rPr>
        <w:t xml:space="preserve">" se encuentra en el Estado de México y se localiza mayoritariamente en 13 municipios rurales que son: Almoloya de Juárez, Atlacomulco, Donato Guerra, El Oro, Ixtapan del Oro, Ixtlahuaca, </w:t>
      </w:r>
      <w:proofErr w:type="spellStart"/>
      <w:r>
        <w:rPr>
          <w:rFonts w:ascii="Palatino Linotype" w:eastAsia="Palatino Linotype" w:hAnsi="Palatino Linotype" w:cs="Palatino Linotype"/>
          <w:b/>
          <w:sz w:val="22"/>
          <w:szCs w:val="22"/>
        </w:rPr>
        <w:t>Jocotitlán</w:t>
      </w:r>
      <w:proofErr w:type="spellEnd"/>
      <w:r>
        <w:rPr>
          <w:rFonts w:ascii="Palatino Linotype" w:eastAsia="Palatino Linotype" w:hAnsi="Palatino Linotype" w:cs="Palatino Linotype"/>
          <w:b/>
          <w:sz w:val="22"/>
          <w:szCs w:val="22"/>
        </w:rPr>
        <w:t xml:space="preserve">, San Felipe del Progreso, San José del Rincón, </w:t>
      </w:r>
      <w:proofErr w:type="spellStart"/>
      <w:r>
        <w:rPr>
          <w:rFonts w:ascii="Palatino Linotype" w:eastAsia="Palatino Linotype" w:hAnsi="Palatino Linotype" w:cs="Palatino Linotype"/>
          <w:b/>
          <w:sz w:val="22"/>
          <w:szCs w:val="22"/>
        </w:rPr>
        <w:t>Temascalcingo</w:t>
      </w:r>
      <w:proofErr w:type="spellEnd"/>
      <w:r>
        <w:rPr>
          <w:rFonts w:ascii="Palatino Linotype" w:eastAsia="Palatino Linotype" w:hAnsi="Palatino Linotype" w:cs="Palatino Linotype"/>
          <w:b/>
          <w:sz w:val="22"/>
          <w:szCs w:val="22"/>
        </w:rPr>
        <w:t>, Valle de Bravo, Villa de Allende y Villa Victoria.</w:t>
      </w:r>
    </w:p>
    <w:p w:rsidR="00471897" w:rsidRDefault="00471897">
      <w:pPr>
        <w:tabs>
          <w:tab w:val="left" w:pos="4962"/>
        </w:tabs>
        <w:spacing w:line="360" w:lineRule="auto"/>
        <w:jc w:val="both"/>
        <w:rPr>
          <w:rFonts w:ascii="Palatino Linotype" w:eastAsia="Palatino Linotype" w:hAnsi="Palatino Linotype" w:cs="Palatino Linotype"/>
          <w:b/>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 la misma página se señala que de conformidad con el Censo de Población y Vivienda del año dos mil veinte, realizado por el Instituto Nacional de Estadística y Geografía (INEGI), en el Estado de México, hay 132 mil 710 personas hablantes de la lengua mazahua, que se encuentran asentados en la región noroccidental y centro-occidental del Estado de México; lo que implica que hay una gran cantidad de personas que pueden tener interés en conocer de la información solicitada y que no necesariamente pertenezcan a su municipio. </w:t>
      </w: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pues, en atención a lo antes expuesto, es dable determinar que en el presente caso, resulta fundamental observar la Declaración de las Naciones Unidas sobre los Derechos de los Pueblos Indígenas; a fin de garantizar que las personas indígenas, disfruten plenamente de sus derechos humanos, sin distinción alguna motivada por su origen étnico o lengua; asimismo, se aplica el principio </w:t>
      </w:r>
      <w:proofErr w:type="spellStart"/>
      <w:r>
        <w:rPr>
          <w:rFonts w:ascii="Palatino Linotype" w:eastAsia="Palatino Linotype" w:hAnsi="Palatino Linotype" w:cs="Palatino Linotype"/>
          <w:i/>
          <w:sz w:val="22"/>
          <w:szCs w:val="22"/>
        </w:rPr>
        <w:t>pro</w:t>
      </w:r>
      <w:proofErr w:type="spellEnd"/>
      <w:r>
        <w:rPr>
          <w:rFonts w:ascii="Palatino Linotype" w:eastAsia="Palatino Linotype" w:hAnsi="Palatino Linotype" w:cs="Palatino Linotype"/>
          <w:i/>
          <w:sz w:val="22"/>
          <w:szCs w:val="22"/>
        </w:rPr>
        <w:t xml:space="preserve"> persona, </w:t>
      </w:r>
      <w:r>
        <w:rPr>
          <w:rFonts w:ascii="Palatino Linotype" w:eastAsia="Palatino Linotype" w:hAnsi="Palatino Linotype" w:cs="Palatino Linotype"/>
          <w:sz w:val="22"/>
          <w:szCs w:val="22"/>
        </w:rPr>
        <w:t>en la interpretación y aplicación de normas jurídicas que rigen el ejercicio de los derechos de transparencia y acceso a la información pública, de forma tal, que implique la máxima protección en favor de la persona y la máxima publicidad de la información.</w:t>
      </w:r>
    </w:p>
    <w:p w:rsidR="00471897" w:rsidRDefault="00471897">
      <w:pPr>
        <w:tabs>
          <w:tab w:val="left" w:pos="4962"/>
        </w:tabs>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el caso concreto que nos ocupa, se debe observar la Ley de Transparencia y Acceso a la Información Pública del Estado de México y Municipios; en el marco de aplicación de una máxima protección en favor del Recurrente; de forma tal que se prevea la posibilidad de dar acceso a la información, en la lengua solicitada; aún más, cuando la Ley que rige la materia dispone que los Sujetos Obligado deben garantizar el acceso más amplio a la información generada en ejercicio de sus funciones y que dicho acceso, implica una publicidad libre y plural.</w:t>
      </w:r>
    </w:p>
    <w:p w:rsidR="00471897" w:rsidRDefault="00471897">
      <w:pPr>
        <w:tabs>
          <w:tab w:val="left" w:pos="4962"/>
        </w:tabs>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igual forma, la Ley de Transparencia y Acceso a la Información Pública del Estado de México y Municipios, prevé que los Sujetos Obligado deben, </w:t>
      </w:r>
      <w:r>
        <w:rPr>
          <w:rFonts w:ascii="Palatino Linotype" w:eastAsia="Palatino Linotype" w:hAnsi="Palatino Linotype" w:cs="Palatino Linotype"/>
          <w:b/>
          <w:sz w:val="22"/>
          <w:szCs w:val="22"/>
        </w:rPr>
        <w:t xml:space="preserve">en la medida de lo posible </w:t>
      </w:r>
      <w:r>
        <w:rPr>
          <w:rFonts w:ascii="Palatino Linotype" w:eastAsia="Palatino Linotype" w:hAnsi="Palatino Linotype" w:cs="Palatino Linotype"/>
          <w:b/>
          <w:sz w:val="22"/>
          <w:szCs w:val="22"/>
        </w:rPr>
        <w:lastRenderedPageBreak/>
        <w:t xml:space="preserve">realizar las gestiones necesarias para traducir </w:t>
      </w:r>
      <w:r>
        <w:rPr>
          <w:rFonts w:ascii="Palatino Linotype" w:eastAsia="Palatino Linotype" w:hAnsi="Palatino Linotype" w:cs="Palatino Linotype"/>
          <w:sz w:val="22"/>
          <w:szCs w:val="22"/>
        </w:rPr>
        <w:t xml:space="preserve">la información a lenguas indígenas; inclusive, que pueden apoyarse en instituciones públicas para garantizar el acceso a la información. </w:t>
      </w:r>
    </w:p>
    <w:p w:rsidR="00471897" w:rsidRDefault="00471897">
      <w:pPr>
        <w:tabs>
          <w:tab w:val="left" w:pos="4962"/>
        </w:tabs>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debe resaltar que la traducción de los documentos a alguna lengua indígena propicia la vinculación interinstitucional y la articulación de esfuerzos entre los distintos niveles de gobierno que promueve la participación de todos los agentes sociales, instituciones públicas y privadas, entre otros, con lo que se busca el uso de las lenguas indígenas nacionales en todos los ámbitos de la vida pública y se reconoce que las lenguas originarias tienen la misma validez que el español.</w:t>
      </w:r>
    </w:p>
    <w:p w:rsidR="00471897" w:rsidRDefault="00471897">
      <w:pPr>
        <w:tabs>
          <w:tab w:val="left" w:pos="4962"/>
        </w:tabs>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cabe destacar que la naturaleza de la normatividad y los trámites y servicios  consisten en obligaciones de transparencia común, de conformidad con lo dispuesto en el artículo 92, en sus fracciones I y XXIV, de la Ley de Transparencia y Acceso a la Información Pública del Estado de México y Municipios; mediante la cual se establece que dentro de las obligaciones de transparencia, se encuentran el marco normativo aplicable al Sujeto Obligado, en el que se incluyen los reglamentos, manuales de organización y procedimientos, entre otros; así como los trámites, requisitos y formatos que ofrecen, que debe ponerse a disposición del público de manera permanente, sencilla, precisa y entendible, en la forma en que se genera originalmente.</w:t>
      </w:r>
    </w:p>
    <w:p w:rsidR="00471897" w:rsidRDefault="00471897">
      <w:pPr>
        <w:tabs>
          <w:tab w:val="left" w:pos="4962"/>
        </w:tabs>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es de reiterar que efectivamente el Sujeto Obligado no se encuentra constreñido a generar información nueva o bien, que implique el procesamiento de la información; lo cual comprende, generarla, resumirla, efectuar cálculos o practicar investigaciones; ello en términos del artículo 12 de la Ley de Transparencia y Acceso a la Información Pública del Estado de México y Municipios. Sin menoscabo de lo anterior, en el presente caso, la traducción de la información no involucra un procesamiento de la información, pues no </w:t>
      </w:r>
      <w:r>
        <w:rPr>
          <w:rFonts w:ascii="Palatino Linotype" w:eastAsia="Palatino Linotype" w:hAnsi="Palatino Linotype" w:cs="Palatino Linotype"/>
          <w:sz w:val="22"/>
          <w:szCs w:val="22"/>
        </w:rPr>
        <w:lastRenderedPageBreak/>
        <w:t>involucra que se realice una generación de información que no existe, un resumen, un cálculo o investigación; sino que se trata de traducir un documento ya existente a otra lengua.</w:t>
      </w:r>
    </w:p>
    <w:p w:rsidR="00471897" w:rsidRDefault="00471897">
      <w:pPr>
        <w:tabs>
          <w:tab w:val="left" w:pos="4962"/>
        </w:tabs>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cabe destacar que en la normatividad analizada aporta elementos suficientes para considerar que el Sujeto Obligado debe garantizar el acceso a la información pública en el marco de la máxima protección y ejercicio de este derecho, lo que involucra que al Recurrente se le garantice su derecho a saber y a acceder a información pública, aún más, cuando se trata de información que forma parte de las obligaciones comunes en materia de transparencia. </w:t>
      </w:r>
    </w:p>
    <w:p w:rsidR="00471897" w:rsidRDefault="00471897">
      <w:pPr>
        <w:tabs>
          <w:tab w:val="left" w:pos="4962"/>
        </w:tabs>
        <w:spacing w:line="360" w:lineRule="auto"/>
        <w:jc w:val="both"/>
        <w:rPr>
          <w:rFonts w:ascii="Palatino Linotype" w:eastAsia="Palatino Linotype" w:hAnsi="Palatino Linotype" w:cs="Palatino Linotype"/>
          <w:sz w:val="22"/>
          <w:szCs w:val="22"/>
        </w:rPr>
      </w:pPr>
    </w:p>
    <w:p w:rsidR="00471897" w:rsidRDefault="00461723">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Sumado a lo anterior, debe considerarse que la Ley que rige la materia en el Estado de México prevé que, para el caso de las traducciones a lenguas indígenas, los Sujetos Obligados deben, en la medida de sus posibilidades, realizar las gestiones pertinentes para garantizar el acceso a la información.</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se omite mencionar que, con el objetivo de brindar una adecuada atención en materia de transparencia, acceso a la información pública y protección de datos personales, a los integrantes de los pueblos y comunidades indígenas, el Sujeto Obligado puede solicitar la colaboración de otras dependencias para la traducción como puede ser, de manera enunciativa mas no limitativa, la Universidad Intercultural del Estado de México (UIEM).</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Cabe señalar que en el caso que nos ocupa el Sujeto Obligado se limitó a mencionar que no hay evidencia de la presencia del grupo étnico y que por ello la información se encuentra en español; sin embargo, este Organismo Garante considera necesario que, en un ejercicio de máxima protección, de aplicación del principio </w:t>
      </w:r>
      <w:proofErr w:type="spellStart"/>
      <w:r>
        <w:rPr>
          <w:rFonts w:ascii="Palatino Linotype" w:eastAsia="Palatino Linotype" w:hAnsi="Palatino Linotype" w:cs="Palatino Linotype"/>
          <w:i/>
          <w:sz w:val="22"/>
          <w:szCs w:val="22"/>
        </w:rPr>
        <w:t>pro</w:t>
      </w:r>
      <w:proofErr w:type="spellEnd"/>
      <w:r>
        <w:rPr>
          <w:rFonts w:ascii="Palatino Linotype" w:eastAsia="Palatino Linotype" w:hAnsi="Palatino Linotype" w:cs="Palatino Linotype"/>
          <w:i/>
          <w:sz w:val="22"/>
          <w:szCs w:val="22"/>
        </w:rPr>
        <w:t xml:space="preserve"> persona,</w:t>
      </w:r>
      <w:r>
        <w:rPr>
          <w:rFonts w:ascii="Palatino Linotype" w:eastAsia="Palatino Linotype" w:hAnsi="Palatino Linotype" w:cs="Palatino Linotype"/>
          <w:sz w:val="22"/>
          <w:szCs w:val="22"/>
        </w:rPr>
        <w:t xml:space="preserve"> así como en el contexto normativo antes expuesto y, considerando que las personas solicitantes no solo forman parte de la circunscripción del Ayuntamiento de Huehuetoca, aunado a que en el Estado de México se </w:t>
      </w:r>
      <w:r>
        <w:rPr>
          <w:rFonts w:ascii="Palatino Linotype" w:eastAsia="Palatino Linotype" w:hAnsi="Palatino Linotype" w:cs="Palatino Linotype"/>
          <w:sz w:val="22"/>
          <w:szCs w:val="22"/>
        </w:rPr>
        <w:lastRenderedPageBreak/>
        <w:t xml:space="preserve">tiene constancia de la existencia de grupos que hablan la lengua indígena de la cual se solicita la traducción, por tanto, es dable </w:t>
      </w:r>
      <w:r>
        <w:rPr>
          <w:rFonts w:ascii="Palatino Linotype" w:eastAsia="Palatino Linotype" w:hAnsi="Palatino Linotype" w:cs="Palatino Linotype"/>
          <w:b/>
          <w:sz w:val="22"/>
          <w:szCs w:val="22"/>
        </w:rPr>
        <w:t xml:space="preserve">REVOCAR </w:t>
      </w:r>
      <w:r>
        <w:rPr>
          <w:rFonts w:ascii="Palatino Linotype" w:eastAsia="Palatino Linotype" w:hAnsi="Palatino Linotype" w:cs="Palatino Linotype"/>
          <w:sz w:val="22"/>
          <w:szCs w:val="22"/>
        </w:rPr>
        <w:t>la respuesta del Sujeto Obligado, a fin de que, lleve a cabo las gestiones necesarias ante las instancias que estime competentes con la finalidad de realizar la traducción a lengua mazahua del reglamento interno, reglamento interior de trabajo, manual general de organización y catálogo de trámites y servicios, o sus documentos equivalentes traducidos, y de ser el caso, la entrega de la información solicitada ya traducida.</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bookmarkStart w:id="2" w:name="_heading=h.1fob9te" w:colFirst="0" w:colLast="0"/>
      <w:bookmarkEnd w:id="2"/>
      <w:r>
        <w:rPr>
          <w:rFonts w:ascii="Palatino Linotype" w:eastAsia="Palatino Linotype" w:hAnsi="Palatino Linotype" w:cs="Palatino Linotype"/>
          <w:sz w:val="22"/>
          <w:szCs w:val="22"/>
        </w:rPr>
        <w:t>No se omite mencionar, que los documentos solicitados son de administración interna y regularmente se actualizan al inició de cada administración, por lo que, al encontrarnos casi al final de la administración municipal 2022- 2024, existe la posibilidad de que el tiempo que tarde el Sujeto Obligado en generar la traducción, los mismos pierdan vigencia, situación que debe valorarse al determinar, seleccionar o priorizar los documentos que deban traducirse.</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SEXTO. Decisión</w:t>
      </w:r>
    </w:p>
    <w:p w:rsidR="00471897" w:rsidRDefault="00471897">
      <w:pPr>
        <w:spacing w:line="360" w:lineRule="auto"/>
        <w:jc w:val="both"/>
        <w:rPr>
          <w:rFonts w:ascii="Palatino Linotype" w:eastAsia="Palatino Linotype" w:hAnsi="Palatino Linotype" w:cs="Palatino Linotype"/>
          <w:b/>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fundamento en el artículo 186, fracción III, de la Ley de Transparencia y Acceso a la Información Pública del Estado de México y Municipios, este Instituto considera procedente </w:t>
      </w:r>
      <w:r>
        <w:rPr>
          <w:rFonts w:ascii="Palatino Linotype" w:eastAsia="Palatino Linotype" w:hAnsi="Palatino Linotype" w:cs="Palatino Linotype"/>
          <w:b/>
          <w:sz w:val="22"/>
          <w:szCs w:val="22"/>
        </w:rPr>
        <w:t>REVOCAR</w:t>
      </w:r>
      <w:r>
        <w:rPr>
          <w:rFonts w:ascii="Palatino Linotype" w:eastAsia="Palatino Linotype" w:hAnsi="Palatino Linotype" w:cs="Palatino Linotype"/>
          <w:sz w:val="22"/>
          <w:szCs w:val="22"/>
        </w:rPr>
        <w:t xml:space="preserve"> la respuesta otorgada por el Sujeto Obligado a la solicitud de información </w:t>
      </w:r>
      <w:r>
        <w:rPr>
          <w:rFonts w:ascii="Palatino Linotype" w:eastAsia="Palatino Linotype" w:hAnsi="Palatino Linotype" w:cs="Palatino Linotype"/>
          <w:b/>
          <w:sz w:val="22"/>
          <w:szCs w:val="22"/>
        </w:rPr>
        <w:t>00021/DIFHUEHUET/IP/2024</w:t>
      </w:r>
      <w:r>
        <w:rPr>
          <w:rFonts w:ascii="Palatino Linotype" w:eastAsia="Palatino Linotype" w:hAnsi="Palatino Linotype" w:cs="Palatino Linotype"/>
          <w:sz w:val="22"/>
          <w:szCs w:val="22"/>
        </w:rPr>
        <w:t xml:space="preserve">, por resultar fundadas las razones o motivos de inconformidad hechos valer por el Recurrente, en el Recurso de Revisión </w:t>
      </w:r>
      <w:r>
        <w:rPr>
          <w:rFonts w:ascii="Palatino Linotype" w:eastAsia="Palatino Linotype" w:hAnsi="Palatino Linotype" w:cs="Palatino Linotype"/>
          <w:b/>
          <w:sz w:val="22"/>
          <w:szCs w:val="22"/>
        </w:rPr>
        <w:t>02982/INFOEM/IP/RR/2024</w:t>
      </w:r>
      <w:r>
        <w:rPr>
          <w:rFonts w:ascii="Palatino Linotype" w:eastAsia="Palatino Linotype" w:hAnsi="Palatino Linotype" w:cs="Palatino Linotype"/>
          <w:sz w:val="22"/>
          <w:szCs w:val="22"/>
        </w:rPr>
        <w:t xml:space="preserve">, en consecuencia procede </w:t>
      </w:r>
      <w:r>
        <w:rPr>
          <w:rFonts w:ascii="Palatino Linotype" w:eastAsia="Palatino Linotype" w:hAnsi="Palatino Linotype" w:cs="Palatino Linotype"/>
          <w:b/>
          <w:sz w:val="22"/>
          <w:szCs w:val="22"/>
        </w:rPr>
        <w:t xml:space="preserve">ORDENAR, </w:t>
      </w:r>
      <w:r>
        <w:rPr>
          <w:rFonts w:ascii="Palatino Linotype" w:eastAsia="Palatino Linotype" w:hAnsi="Palatino Linotype" w:cs="Palatino Linotype"/>
          <w:sz w:val="22"/>
          <w:szCs w:val="22"/>
        </w:rPr>
        <w:t>la entrega de los documentos en los que consten las gestiones necesarias llevadas a cabo ante las instancias competentes con la finalidad realizar la traducción a lengua mazahua de la información solicitada o en su caso, la entrega de la información traducida. Para el caso de que, logre generar las traducciones solicitadas, se recomienda solicitar apoyo a la Dirección General de Informática de este Instituto (</w:t>
      </w:r>
      <w:hyperlink r:id="rId9">
        <w:r>
          <w:rPr>
            <w:rFonts w:ascii="Palatino Linotype" w:eastAsia="Palatino Linotype" w:hAnsi="Palatino Linotype" w:cs="Palatino Linotype"/>
            <w:color w:val="0563C1"/>
            <w:sz w:val="22"/>
            <w:szCs w:val="22"/>
            <w:u w:val="single"/>
          </w:rPr>
          <w:t>soporte@itaipem.org.mx</w:t>
        </w:r>
      </w:hyperlink>
      <w:r>
        <w:rPr>
          <w:rFonts w:ascii="Palatino Linotype" w:eastAsia="Palatino Linotype" w:hAnsi="Palatino Linotype" w:cs="Palatino Linotype"/>
          <w:sz w:val="22"/>
          <w:szCs w:val="22"/>
        </w:rPr>
        <w:t>), a efecto de que pueda cargar la información al SAIMEX.</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Términos de la Resolución para el Recurrente</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Se hace del conocimiento del Particular que este Organismo Garante determinó concederle la razón, puesto que el Sujeto Obligado no entregó la información solicitada y no acreditó haber realizado las gestiones necesarias para lograr la traducción de la información solicitada. Se le recomienda, contactar al Sujeto Obligado a efecto de que le puedan proporcionar información sobre las posibles fechas de entrega por el sistema. La labor del INFOEM, es apoyar a la población para acceder a la información pública y garantizar la protección de sus datos personales.</w:t>
      </w:r>
    </w:p>
    <w:p w:rsidR="00471897" w:rsidRDefault="00471897">
      <w:pPr>
        <w:tabs>
          <w:tab w:val="left" w:pos="4962"/>
        </w:tabs>
        <w:spacing w:line="360" w:lineRule="auto"/>
        <w:jc w:val="both"/>
        <w:rPr>
          <w:rFonts w:ascii="Palatino Linotype" w:eastAsia="Palatino Linotype" w:hAnsi="Palatino Linotype" w:cs="Palatino Linotype"/>
          <w:sz w:val="22"/>
          <w:szCs w:val="22"/>
        </w:rPr>
      </w:pPr>
    </w:p>
    <w:p w:rsidR="00471897" w:rsidRDefault="00461723">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rsidR="00471897" w:rsidRDefault="00471897">
      <w:pPr>
        <w:spacing w:line="360" w:lineRule="auto"/>
        <w:jc w:val="both"/>
        <w:rPr>
          <w:rFonts w:ascii="Palatino Linotype" w:eastAsia="Palatino Linotype" w:hAnsi="Palatino Linotype" w:cs="Palatino Linotype"/>
          <w:b/>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REVOCA</w:t>
      </w:r>
      <w:r>
        <w:rPr>
          <w:rFonts w:ascii="Palatino Linotype" w:eastAsia="Palatino Linotype" w:hAnsi="Palatino Linotype" w:cs="Palatino Linotype"/>
          <w:sz w:val="22"/>
          <w:szCs w:val="22"/>
        </w:rPr>
        <w:t xml:space="preserve"> la respuesta entregada por el </w:t>
      </w:r>
      <w:r>
        <w:rPr>
          <w:rFonts w:ascii="Palatino Linotype" w:eastAsia="Palatino Linotype" w:hAnsi="Palatino Linotype" w:cs="Palatino Linotype"/>
          <w:b/>
          <w:sz w:val="22"/>
          <w:szCs w:val="22"/>
        </w:rPr>
        <w:t xml:space="preserve">Sistema Municipal para el Desarrollo Integral de la Familia de Huehuetoca </w:t>
      </w:r>
      <w:r>
        <w:rPr>
          <w:rFonts w:ascii="Palatino Linotype" w:eastAsia="Palatino Linotype" w:hAnsi="Palatino Linotype" w:cs="Palatino Linotype"/>
          <w:sz w:val="22"/>
          <w:szCs w:val="22"/>
        </w:rPr>
        <w:t xml:space="preserve">a la solicitud de información </w:t>
      </w:r>
      <w:r>
        <w:rPr>
          <w:rFonts w:ascii="Palatino Linotype" w:eastAsia="Palatino Linotype" w:hAnsi="Palatino Linotype" w:cs="Palatino Linotype"/>
          <w:b/>
          <w:sz w:val="22"/>
          <w:szCs w:val="22"/>
        </w:rPr>
        <w:t xml:space="preserve">00021/DIFHUEHUET/IP/2024 </w:t>
      </w:r>
      <w:r>
        <w:rPr>
          <w:rFonts w:ascii="Palatino Linotype" w:eastAsia="Palatino Linotype" w:hAnsi="Palatino Linotype" w:cs="Palatino Linotype"/>
          <w:sz w:val="22"/>
          <w:szCs w:val="22"/>
        </w:rPr>
        <w:t xml:space="preserve">por resultar fundadas las razones o motivos de inconformidad hechos valer por el Recurrente en el Recurso de Revisión </w:t>
      </w:r>
      <w:r>
        <w:rPr>
          <w:rFonts w:ascii="Palatino Linotype" w:eastAsia="Palatino Linotype" w:hAnsi="Palatino Linotype" w:cs="Palatino Linotype"/>
          <w:b/>
          <w:sz w:val="22"/>
          <w:szCs w:val="22"/>
        </w:rPr>
        <w:t>02982/INFOEM/IP/RR/2024</w:t>
      </w:r>
      <w:r>
        <w:rPr>
          <w:rFonts w:ascii="Palatino Linotype" w:eastAsia="Palatino Linotype" w:hAnsi="Palatino Linotype" w:cs="Palatino Linotype"/>
          <w:sz w:val="22"/>
          <w:szCs w:val="22"/>
        </w:rPr>
        <w:t>, en términos de los considerandos QUINTO y SEXTO de la presente Resolución.</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ORDENA</w:t>
      </w:r>
      <w:r>
        <w:rPr>
          <w:rFonts w:ascii="Palatino Linotype" w:eastAsia="Palatino Linotype" w:hAnsi="Palatino Linotype" w:cs="Palatino Linotype"/>
          <w:sz w:val="22"/>
          <w:szCs w:val="22"/>
        </w:rPr>
        <w:t xml:space="preserve"> al Sujeto Obligado, haga entrega al Recurrente, mediante el SAIMEX, en términos del Considerando QUINTO, de los documentos en donde consten:</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Las gestiones necesarias llevadas a cabo ante las instancias que estime competentes con la finalidad realizar la traducción a lengua Mazahua del Reglamento Interno, Reglamento Interior de Trabajo, Manual General de Organización y Catálogo de Trámites y Servicios o sus documentos equivalentes.</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ser el caso, se deberá hacer entrega mediante la misma vía de la información solicitada ya traducida.</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NOTIFÍQUESE POR SAIMEX </w:t>
      </w:r>
      <w:r>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sesenta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conformidad con el artículo 198 de la Ley de la materia, de considerarlo procedente, el Sujeto Obligado de manera fundada y motivada, podrá solicitar una ampliación de plazo para el cumplimiento de la presente resolución.</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 NOTIFÍQUESE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POR SAIMEX </w:t>
      </w:r>
      <w:r>
        <w:rPr>
          <w:rFonts w:ascii="Palatino Linotype" w:eastAsia="Palatino Linotype" w:hAnsi="Palatino Linotype" w:cs="Palatino Linotype"/>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471897" w:rsidRDefault="00471897">
      <w:pPr>
        <w:spacing w:line="360" w:lineRule="auto"/>
        <w:jc w:val="both"/>
        <w:rPr>
          <w:rFonts w:ascii="Palatino Linotype" w:eastAsia="Palatino Linotype" w:hAnsi="Palatino Linotype" w:cs="Palatino Linotype"/>
          <w:sz w:val="22"/>
          <w:szCs w:val="22"/>
        </w:rPr>
      </w:pPr>
    </w:p>
    <w:p w:rsidR="00471897" w:rsidRDefault="0046172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w:t>
      </w:r>
      <w:r>
        <w:rPr>
          <w:rFonts w:ascii="Palatino Linotype" w:eastAsia="Palatino Linotype" w:hAnsi="Palatino Linotype" w:cs="Palatino Linotype"/>
          <w:sz w:val="22"/>
          <w:szCs w:val="22"/>
        </w:rPr>
        <w:lastRenderedPageBreak/>
        <w:t>LOS COMISIONADOS JOSÉ MARTÍNEZ VILCHIS</w:t>
      </w:r>
      <w:r w:rsidR="006B51F9">
        <w:rPr>
          <w:rFonts w:ascii="Palatino Linotype" w:eastAsia="Palatino Linotype" w:hAnsi="Palatino Linotype" w:cs="Palatino Linotype"/>
          <w:sz w:val="22"/>
          <w:szCs w:val="22"/>
        </w:rPr>
        <w:t xml:space="preserve"> CON OPINION</w:t>
      </w:r>
      <w:r w:rsidR="000B172D">
        <w:rPr>
          <w:rFonts w:ascii="Palatino Linotype" w:eastAsia="Palatino Linotype" w:hAnsi="Palatino Linotype" w:cs="Palatino Linotype"/>
          <w:sz w:val="22"/>
          <w:szCs w:val="22"/>
        </w:rPr>
        <w:t xml:space="preserve"> PARTICULAR</w:t>
      </w:r>
      <w:r>
        <w:rPr>
          <w:rFonts w:ascii="Palatino Linotype" w:eastAsia="Palatino Linotype" w:hAnsi="Palatino Linotype" w:cs="Palatino Linotype"/>
          <w:sz w:val="22"/>
          <w:szCs w:val="22"/>
        </w:rPr>
        <w:t>, MARÍA DEL ROSARIO MEJÍA AYALA, SHARON CRISTINA MORALES MARTÍNEZ, LUIS GUSTAVO PARRA NORIEGA Y GUADALUPE RAMÍREZ PEÑA, EN LA TRIGÉSIMA SEGUNDA SESIÓN ORDINARIA, CELEBRADA EL ONCE DE SEPTIEMBRE DE DOS MIL VEINTICUATRO, ANTE EL SECRETARIO TÉCNICO DEL PLENO, ALEXIS TAPIA RAMÍREZ.</w:t>
      </w: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bookmarkStart w:id="3" w:name="_GoBack"/>
      <w:bookmarkEnd w:id="3"/>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p w:rsidR="00471897" w:rsidRDefault="00471897">
      <w:pPr>
        <w:spacing w:line="360" w:lineRule="auto"/>
        <w:jc w:val="both"/>
        <w:rPr>
          <w:rFonts w:ascii="Palatino Linotype" w:eastAsia="Palatino Linotype" w:hAnsi="Palatino Linotype" w:cs="Palatino Linotype"/>
          <w:sz w:val="22"/>
          <w:szCs w:val="22"/>
        </w:rPr>
      </w:pPr>
    </w:p>
    <w:sectPr w:rsidR="00471897">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1E6" w:rsidRDefault="006431E6">
      <w:r>
        <w:separator/>
      </w:r>
    </w:p>
  </w:endnote>
  <w:endnote w:type="continuationSeparator" w:id="0">
    <w:p w:rsidR="006431E6" w:rsidRDefault="0064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897" w:rsidRDefault="0046172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579A6">
      <w:rPr>
        <w:b/>
        <w:noProof/>
        <w:color w:val="000000"/>
        <w:sz w:val="24"/>
        <w:szCs w:val="24"/>
      </w:rPr>
      <w:t>26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579A6">
      <w:rPr>
        <w:b/>
        <w:noProof/>
        <w:color w:val="000000"/>
        <w:sz w:val="24"/>
        <w:szCs w:val="24"/>
      </w:rPr>
      <w:t>27</w:t>
    </w:r>
    <w:r>
      <w:rPr>
        <w:b/>
        <w:color w:val="000000"/>
        <w:sz w:val="24"/>
        <w:szCs w:val="24"/>
      </w:rPr>
      <w:fldChar w:fldCharType="end"/>
    </w:r>
  </w:p>
  <w:p w:rsidR="00471897" w:rsidRDefault="0047189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897" w:rsidRDefault="0046172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579A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579A6">
      <w:rPr>
        <w:b/>
        <w:noProof/>
        <w:color w:val="000000"/>
        <w:sz w:val="24"/>
        <w:szCs w:val="24"/>
      </w:rPr>
      <w:t>27</w:t>
    </w:r>
    <w:r>
      <w:rPr>
        <w:b/>
        <w:color w:val="000000"/>
        <w:sz w:val="24"/>
        <w:szCs w:val="24"/>
      </w:rPr>
      <w:fldChar w:fldCharType="end"/>
    </w:r>
  </w:p>
  <w:p w:rsidR="00471897" w:rsidRDefault="0047189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1E6" w:rsidRDefault="006431E6">
      <w:r>
        <w:separator/>
      </w:r>
    </w:p>
  </w:footnote>
  <w:footnote w:type="continuationSeparator" w:id="0">
    <w:p w:rsidR="006431E6" w:rsidRDefault="00643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897" w:rsidRDefault="006431E6">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897" w:rsidRDefault="000B172D">
    <w:pPr>
      <w:widowControl w:val="0"/>
      <w:pBdr>
        <w:top w:val="nil"/>
        <w:left w:val="nil"/>
        <w:bottom w:val="nil"/>
        <w:right w:val="nil"/>
        <w:between w:val="nil"/>
      </w:pBdr>
      <w:spacing w:line="276" w:lineRule="auto"/>
      <w:rPr>
        <w:color w:val="000000"/>
      </w:rPr>
    </w:pPr>
    <w:r>
      <w:rPr>
        <w:noProof/>
        <w:lang w:eastAsia="es-MX"/>
      </w:rPr>
      <w:drawing>
        <wp:anchor distT="0" distB="0" distL="0" distR="0" simplePos="0" relativeHeight="251656704" behindDoc="1" locked="0" layoutInCell="1" hidden="0" allowOverlap="1">
          <wp:simplePos x="0" y="0"/>
          <wp:positionH relativeFrom="page">
            <wp:align>left</wp:align>
          </wp:positionH>
          <wp:positionV relativeFrom="paragraph">
            <wp:posOffset>-403860</wp:posOffset>
          </wp:positionV>
          <wp:extent cx="8426450" cy="10972800"/>
          <wp:effectExtent l="0" t="0" r="0" b="0"/>
          <wp:wrapNone/>
          <wp:docPr id="8" name="image1.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1.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
      <w:tblW w:w="9568" w:type="dxa"/>
      <w:tblInd w:w="0" w:type="dxa"/>
      <w:tblLayout w:type="fixed"/>
      <w:tblLook w:val="0400" w:firstRow="0" w:lastRow="0" w:firstColumn="0" w:lastColumn="0" w:noHBand="0" w:noVBand="1"/>
    </w:tblPr>
    <w:tblGrid>
      <w:gridCol w:w="2835"/>
      <w:gridCol w:w="6733"/>
    </w:tblGrid>
    <w:tr w:rsidR="00471897">
      <w:trPr>
        <w:trHeight w:val="1435"/>
      </w:trPr>
      <w:tc>
        <w:tcPr>
          <w:tcW w:w="2835" w:type="dxa"/>
          <w:shd w:val="clear" w:color="auto" w:fill="auto"/>
        </w:tcPr>
        <w:p w:rsidR="00471897" w:rsidRDefault="00471897">
          <w:pPr>
            <w:tabs>
              <w:tab w:val="right" w:pos="4273"/>
            </w:tabs>
            <w:rPr>
              <w:rFonts w:ascii="Garamond" w:eastAsia="Garamond" w:hAnsi="Garamond" w:cs="Garamond"/>
              <w:sz w:val="16"/>
              <w:szCs w:val="16"/>
            </w:rPr>
          </w:pPr>
        </w:p>
      </w:tc>
      <w:tc>
        <w:tcPr>
          <w:tcW w:w="6733" w:type="dxa"/>
          <w:shd w:val="clear" w:color="auto" w:fill="auto"/>
        </w:tcPr>
        <w:p w:rsidR="00471897" w:rsidRDefault="00471897"/>
        <w:tbl>
          <w:tblPr>
            <w:tblStyle w:val="a0"/>
            <w:tblW w:w="61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471897">
            <w:trPr>
              <w:trHeight w:val="144"/>
            </w:trPr>
            <w:tc>
              <w:tcPr>
                <w:tcW w:w="2589" w:type="dxa"/>
              </w:tcPr>
              <w:p w:rsidR="00471897" w:rsidRDefault="0046172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tcPr>
              <w:p w:rsidR="00471897" w:rsidRDefault="00461723">
                <w:pPr>
                  <w:tabs>
                    <w:tab w:val="right" w:pos="8838"/>
                  </w:tabs>
                  <w:ind w:left="-106"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02982/INFOEM/IP/RR/2024</w:t>
                </w:r>
              </w:p>
            </w:tc>
          </w:tr>
          <w:tr w:rsidR="00471897">
            <w:trPr>
              <w:trHeight w:val="283"/>
            </w:trPr>
            <w:tc>
              <w:tcPr>
                <w:tcW w:w="2589" w:type="dxa"/>
              </w:tcPr>
              <w:p w:rsidR="00471897" w:rsidRDefault="0046172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tcPr>
              <w:p w:rsidR="00471897" w:rsidRDefault="00461723">
                <w:pPr>
                  <w:tabs>
                    <w:tab w:val="left" w:pos="2834"/>
                    <w:tab w:val="right" w:pos="8838"/>
                  </w:tabs>
                  <w:ind w:left="-106"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Municipal para el Desarrollo Integral de la Familia de Huehuetoca</w:t>
                </w:r>
              </w:p>
            </w:tc>
          </w:tr>
          <w:tr w:rsidR="00471897">
            <w:trPr>
              <w:trHeight w:val="283"/>
            </w:trPr>
            <w:tc>
              <w:tcPr>
                <w:tcW w:w="2589" w:type="dxa"/>
              </w:tcPr>
              <w:p w:rsidR="00471897" w:rsidRDefault="0046172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rsidR="00471897" w:rsidRDefault="00461723">
                <w:pPr>
                  <w:tabs>
                    <w:tab w:val="right" w:pos="8838"/>
                  </w:tabs>
                  <w:ind w:left="-106"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rsidR="00471897" w:rsidRDefault="00471897">
          <w:pPr>
            <w:tabs>
              <w:tab w:val="right" w:pos="8838"/>
            </w:tabs>
            <w:ind w:left="-28"/>
            <w:jc w:val="both"/>
            <w:rPr>
              <w:rFonts w:ascii="Arial" w:eastAsia="Arial" w:hAnsi="Arial" w:cs="Arial"/>
              <w:b/>
              <w:sz w:val="22"/>
              <w:szCs w:val="22"/>
            </w:rPr>
          </w:pPr>
        </w:p>
      </w:tc>
    </w:tr>
  </w:tbl>
  <w:p w:rsidR="00471897" w:rsidRDefault="00471897">
    <w:pPr>
      <w:pBdr>
        <w:top w:val="nil"/>
        <w:left w:val="nil"/>
        <w:bottom w:val="nil"/>
        <w:right w:val="nil"/>
        <w:between w:val="nil"/>
      </w:pBdr>
      <w:tabs>
        <w:tab w:val="center" w:pos="4419"/>
        <w:tab w:val="right" w:pos="8838"/>
      </w:tabs>
      <w:rPr>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897" w:rsidRDefault="00471897">
    <w:pPr>
      <w:widowControl w:val="0"/>
      <w:pBdr>
        <w:top w:val="nil"/>
        <w:left w:val="nil"/>
        <w:bottom w:val="nil"/>
        <w:right w:val="nil"/>
        <w:between w:val="nil"/>
      </w:pBdr>
      <w:spacing w:line="276" w:lineRule="auto"/>
      <w:rPr>
        <w:color w:val="000000"/>
        <w:sz w:val="22"/>
        <w:szCs w:val="22"/>
      </w:rPr>
    </w:pPr>
  </w:p>
  <w:tbl>
    <w:tblPr>
      <w:tblStyle w:val="a1"/>
      <w:tblW w:w="9568" w:type="dxa"/>
      <w:tblInd w:w="0" w:type="dxa"/>
      <w:tblLayout w:type="fixed"/>
      <w:tblLook w:val="0400" w:firstRow="0" w:lastRow="0" w:firstColumn="0" w:lastColumn="0" w:noHBand="0" w:noVBand="1"/>
    </w:tblPr>
    <w:tblGrid>
      <w:gridCol w:w="2835"/>
      <w:gridCol w:w="6733"/>
    </w:tblGrid>
    <w:tr w:rsidR="00471897">
      <w:trPr>
        <w:trHeight w:val="1435"/>
      </w:trPr>
      <w:tc>
        <w:tcPr>
          <w:tcW w:w="2835" w:type="dxa"/>
          <w:shd w:val="clear" w:color="auto" w:fill="auto"/>
        </w:tcPr>
        <w:p w:rsidR="00471897" w:rsidRDefault="00461723">
          <w:pPr>
            <w:tabs>
              <w:tab w:val="right" w:pos="4273"/>
            </w:tabs>
            <w:rPr>
              <w:rFonts w:ascii="Garamond" w:eastAsia="Garamond" w:hAnsi="Garamond" w:cs="Garamond"/>
              <w:sz w:val="22"/>
              <w:szCs w:val="22"/>
            </w:rPr>
          </w:pPr>
          <w:r>
            <w:rPr>
              <w:noProof/>
              <w:lang w:eastAsia="es-MX"/>
            </w:rPr>
            <w:drawing>
              <wp:anchor distT="0" distB="0" distL="0" distR="0" simplePos="0" relativeHeight="251657728" behindDoc="1" locked="0" layoutInCell="1" hidden="0" allowOverlap="1">
                <wp:simplePos x="0" y="0"/>
                <wp:positionH relativeFrom="column">
                  <wp:posOffset>-1736725</wp:posOffset>
                </wp:positionH>
                <wp:positionV relativeFrom="paragraph">
                  <wp:posOffset>-590550</wp:posOffset>
                </wp:positionV>
                <wp:extent cx="8426450" cy="10972800"/>
                <wp:effectExtent l="0" t="0" r="0" b="0"/>
                <wp:wrapNone/>
                <wp:docPr id="7" name="image1.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1.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c>
      <w:tc>
        <w:tcPr>
          <w:tcW w:w="6733" w:type="dxa"/>
          <w:shd w:val="clear" w:color="auto" w:fill="auto"/>
        </w:tcPr>
        <w:p w:rsidR="00471897" w:rsidRDefault="00471897">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61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471897">
            <w:trPr>
              <w:trHeight w:val="144"/>
            </w:trPr>
            <w:tc>
              <w:tcPr>
                <w:tcW w:w="2589" w:type="dxa"/>
              </w:tcPr>
              <w:p w:rsidR="00471897" w:rsidRDefault="0046172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tcPr>
              <w:p w:rsidR="00471897" w:rsidRDefault="00461723">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02982/INFOEM/IP/RR/2024</w:t>
                </w:r>
              </w:p>
            </w:tc>
          </w:tr>
          <w:tr w:rsidR="00471897">
            <w:trPr>
              <w:trHeight w:val="144"/>
            </w:trPr>
            <w:tc>
              <w:tcPr>
                <w:tcW w:w="2589" w:type="dxa"/>
              </w:tcPr>
              <w:p w:rsidR="00471897" w:rsidRDefault="0046172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43" w:type="dxa"/>
              </w:tcPr>
              <w:p w:rsidR="00471897" w:rsidRDefault="00471897">
                <w:pPr>
                  <w:tabs>
                    <w:tab w:val="left" w:pos="3122"/>
                    <w:tab w:val="right" w:pos="8838"/>
                  </w:tabs>
                  <w:ind w:left="-106" w:right="-105"/>
                  <w:jc w:val="both"/>
                  <w:rPr>
                    <w:rFonts w:ascii="Palatino Linotype" w:eastAsia="Palatino Linotype" w:hAnsi="Palatino Linotype" w:cs="Palatino Linotype"/>
                    <w:sz w:val="22"/>
                    <w:szCs w:val="22"/>
                  </w:rPr>
                </w:pPr>
              </w:p>
            </w:tc>
          </w:tr>
          <w:tr w:rsidR="00471897">
            <w:trPr>
              <w:trHeight w:val="283"/>
            </w:trPr>
            <w:tc>
              <w:tcPr>
                <w:tcW w:w="2589" w:type="dxa"/>
              </w:tcPr>
              <w:p w:rsidR="00471897" w:rsidRDefault="0046172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tcPr>
              <w:p w:rsidR="00471897" w:rsidRDefault="00461723">
                <w:pPr>
                  <w:tabs>
                    <w:tab w:val="left" w:pos="2834"/>
                    <w:tab w:val="right" w:pos="8838"/>
                  </w:tabs>
                  <w:ind w:left="-106"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Municipal para el Desarrollo Integral de la Familia de Huehuetoca</w:t>
                </w:r>
              </w:p>
            </w:tc>
          </w:tr>
          <w:tr w:rsidR="00471897">
            <w:trPr>
              <w:trHeight w:val="283"/>
            </w:trPr>
            <w:tc>
              <w:tcPr>
                <w:tcW w:w="2589" w:type="dxa"/>
              </w:tcPr>
              <w:p w:rsidR="00471897" w:rsidRDefault="0046172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rsidR="00471897" w:rsidRDefault="00461723">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rsidR="00471897" w:rsidRDefault="00471897">
          <w:pPr>
            <w:tabs>
              <w:tab w:val="right" w:pos="8838"/>
            </w:tabs>
            <w:ind w:left="-28"/>
            <w:jc w:val="both"/>
            <w:rPr>
              <w:rFonts w:ascii="Arial" w:eastAsia="Arial" w:hAnsi="Arial" w:cs="Arial"/>
              <w:b/>
              <w:sz w:val="22"/>
              <w:szCs w:val="22"/>
            </w:rPr>
          </w:pPr>
        </w:p>
      </w:tc>
    </w:tr>
  </w:tbl>
  <w:p w:rsidR="00471897" w:rsidRDefault="00471897">
    <w:pPr>
      <w:pBdr>
        <w:top w:val="nil"/>
        <w:left w:val="nil"/>
        <w:bottom w:val="nil"/>
        <w:right w:val="nil"/>
        <w:between w:val="nil"/>
      </w:pBdr>
      <w:tabs>
        <w:tab w:val="center" w:pos="4419"/>
        <w:tab w:val="right" w:pos="8838"/>
      </w:tabs>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13D6E"/>
    <w:multiLevelType w:val="multilevel"/>
    <w:tmpl w:val="DF181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C86638"/>
    <w:multiLevelType w:val="multilevel"/>
    <w:tmpl w:val="746E33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3A71DA"/>
    <w:multiLevelType w:val="multilevel"/>
    <w:tmpl w:val="0608A924"/>
    <w:lvl w:ilvl="0">
      <w:start w:val="2"/>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351255"/>
    <w:multiLevelType w:val="multilevel"/>
    <w:tmpl w:val="D31682E2"/>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97"/>
    <w:rsid w:val="000277E5"/>
    <w:rsid w:val="000B172D"/>
    <w:rsid w:val="00461723"/>
    <w:rsid w:val="00471897"/>
    <w:rsid w:val="006431E6"/>
    <w:rsid w:val="006579A6"/>
    <w:rsid w:val="006B51F9"/>
    <w:rsid w:val="00D431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B1B0BAA-ACB1-421A-86DE-BE7D464C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490"/>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rPr>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01483B"/>
    <w:rPr>
      <w:color w:val="605E5C"/>
      <w:shd w:val="clear" w:color="auto" w:fill="E1DFDD"/>
    </w:rPr>
  </w:style>
  <w:style w:type="character" w:customStyle="1" w:styleId="field">
    <w:name w:val="field"/>
    <w:basedOn w:val="Fuentedeprrafopredeter"/>
    <w:rsid w:val="002D2D87"/>
  </w:style>
  <w:style w:type="character" w:customStyle="1" w:styleId="Mencinsinresolver8">
    <w:name w:val="Mención sin resolver8"/>
    <w:basedOn w:val="Fuentedeprrafopredeter"/>
    <w:uiPriority w:val="99"/>
    <w:semiHidden/>
    <w:unhideWhenUsed/>
    <w:rsid w:val="00D650B7"/>
    <w:rPr>
      <w:color w:val="605E5C"/>
      <w:shd w:val="clear" w:color="auto" w:fill="E1DFDD"/>
    </w:rPr>
  </w:style>
  <w:style w:type="character" w:customStyle="1" w:styleId="Mencinsinresolver9">
    <w:name w:val="Mención sin resolver9"/>
    <w:basedOn w:val="Fuentedeprrafopredeter"/>
    <w:uiPriority w:val="99"/>
    <w:semiHidden/>
    <w:unhideWhenUsed/>
    <w:rsid w:val="008F2506"/>
    <w:rPr>
      <w:color w:val="605E5C"/>
      <w:shd w:val="clear" w:color="auto" w:fill="E1DFDD"/>
    </w:rPr>
  </w:style>
  <w:style w:type="character" w:customStyle="1" w:styleId="Mencinsinresolver10">
    <w:name w:val="Mención sin resolver10"/>
    <w:basedOn w:val="Fuentedeprrafopredeter"/>
    <w:uiPriority w:val="99"/>
    <w:semiHidden/>
    <w:unhideWhenUsed/>
    <w:rsid w:val="00AD64CB"/>
    <w:rPr>
      <w:color w:val="605E5C"/>
      <w:shd w:val="clear" w:color="auto" w:fill="E1DFDD"/>
    </w:rPr>
  </w:style>
  <w:style w:type="character" w:customStyle="1" w:styleId="Mencinsinresolver11">
    <w:name w:val="Mención sin resolver11"/>
    <w:basedOn w:val="Fuentedeprrafopredeter"/>
    <w:uiPriority w:val="99"/>
    <w:semiHidden/>
    <w:unhideWhenUsed/>
    <w:rsid w:val="007D7BCD"/>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edipiem.edomex.gob.mx/ubicacion_mazahu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porte@itaipem.org.m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3FSbhpRcFLhpKYQQVQ6GwA5DpQ==">CgMxLjAyCGguZ2pkZ3hzMgloLjMwajB6bGwyCWguMWZvYjl0ZTgAciExMXF1ejZTcUt6alRETXJpUTlTbXNyeDhtSEtsOU5ZQ2g=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6616</Words>
  <Characters>36393</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USUARIO</cp:lastModifiedBy>
  <cp:revision>3</cp:revision>
  <cp:lastPrinted>2024-09-13T00:44:00Z</cp:lastPrinted>
  <dcterms:created xsi:type="dcterms:W3CDTF">2024-09-13T00:43:00Z</dcterms:created>
  <dcterms:modified xsi:type="dcterms:W3CDTF">2024-09-13T00:44:00Z</dcterms:modified>
</cp:coreProperties>
</file>