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27342"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noviembre de dos mil veinticuatro. </w:t>
      </w:r>
    </w:p>
    <w:p w14:paraId="396CA7CF" w14:textId="3A2915E0"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b/>
        </w:rPr>
        <w:t>VISTO</w:t>
      </w:r>
      <w:r w:rsidRPr="00C93845">
        <w:rPr>
          <w:rFonts w:ascii="Palatino Linotype" w:eastAsia="Palatino Linotype" w:hAnsi="Palatino Linotype" w:cs="Palatino Linotype"/>
        </w:rPr>
        <w:t xml:space="preserve"> el expediente formado con motivo del recurso de revisión </w:t>
      </w:r>
      <w:r w:rsidRPr="00C93845">
        <w:rPr>
          <w:rFonts w:ascii="Palatino Linotype" w:eastAsia="Palatino Linotype" w:hAnsi="Palatino Linotype" w:cs="Palatino Linotype"/>
          <w:b/>
        </w:rPr>
        <w:t>05274/INFOEM/IP/RR/2024</w:t>
      </w:r>
      <w:r w:rsidRPr="00C93845">
        <w:rPr>
          <w:rFonts w:ascii="Palatino Linotype" w:eastAsia="Palatino Linotype" w:hAnsi="Palatino Linotype" w:cs="Palatino Linotype"/>
        </w:rPr>
        <w:t>, interpuesto por</w:t>
      </w:r>
      <w:r w:rsidRPr="00C93845">
        <w:rPr>
          <w:rFonts w:ascii="Palatino Linotype" w:eastAsia="Palatino Linotype" w:hAnsi="Palatino Linotype" w:cs="Palatino Linotype"/>
          <w:b/>
        </w:rPr>
        <w:t xml:space="preserve"> </w:t>
      </w:r>
      <w:r w:rsidR="00D04708" w:rsidRPr="00D04708">
        <w:rPr>
          <w:rFonts w:ascii="Palatino Linotype" w:eastAsia="Palatino Linotype" w:hAnsi="Palatino Linotype" w:cs="Palatino Linotype"/>
          <w:b/>
        </w:rPr>
        <w:t>XXXXXXX XXXX XXX</w:t>
      </w:r>
      <w:r w:rsidRPr="00C93845">
        <w:rPr>
          <w:rFonts w:ascii="Palatino Linotype" w:eastAsia="Palatino Linotype" w:hAnsi="Palatino Linotype" w:cs="Palatino Linotype"/>
          <w:b/>
        </w:rPr>
        <w:t>,</w:t>
      </w:r>
      <w:r w:rsidRPr="00C93845">
        <w:rPr>
          <w:rFonts w:ascii="Palatino Linotype" w:eastAsia="Palatino Linotype" w:hAnsi="Palatino Linotype" w:cs="Palatino Linotype"/>
        </w:rPr>
        <w:t xml:space="preserve"> en lo sucesivo</w:t>
      </w:r>
      <w:r w:rsidRPr="00C93845">
        <w:rPr>
          <w:rFonts w:ascii="Palatino Linotype" w:eastAsia="Palatino Linotype" w:hAnsi="Palatino Linotype" w:cs="Palatino Linotype"/>
          <w:b/>
        </w:rPr>
        <w:t xml:space="preserve"> </w:t>
      </w:r>
      <w:r w:rsidRPr="00C93845">
        <w:rPr>
          <w:rFonts w:ascii="Palatino Linotype" w:eastAsia="Palatino Linotype" w:hAnsi="Palatino Linotype" w:cs="Palatino Linotype"/>
        </w:rPr>
        <w:t xml:space="preserve">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xml:space="preserve"> en contra de la respuesta a la solicitud de información con número de folio </w:t>
      </w:r>
      <w:r w:rsidRPr="00C93845">
        <w:rPr>
          <w:rFonts w:ascii="Palatino Linotype" w:eastAsia="Palatino Linotype" w:hAnsi="Palatino Linotype" w:cs="Palatino Linotype"/>
          <w:b/>
        </w:rPr>
        <w:t xml:space="preserve">00094/TEMOAYA/IP/2024, </w:t>
      </w:r>
      <w:r w:rsidRPr="00C93845">
        <w:rPr>
          <w:rFonts w:ascii="Palatino Linotype" w:eastAsia="Palatino Linotype" w:hAnsi="Palatino Linotype" w:cs="Palatino Linotype"/>
        </w:rPr>
        <w:t xml:space="preserve">por parte de la </w:t>
      </w:r>
      <w:r w:rsidRPr="00C93845">
        <w:rPr>
          <w:rFonts w:ascii="Palatino Linotype" w:eastAsia="Palatino Linotype" w:hAnsi="Palatino Linotype" w:cs="Palatino Linotype"/>
          <w:b/>
        </w:rPr>
        <w:t xml:space="preserve">Ayuntamiento de Temoaya, </w:t>
      </w:r>
      <w:r w:rsidRPr="00C93845">
        <w:rPr>
          <w:rFonts w:ascii="Palatino Linotype" w:eastAsia="Palatino Linotype" w:hAnsi="Palatino Linotype" w:cs="Palatino Linotype"/>
        </w:rPr>
        <w:t xml:space="preserve">en lo sucesivo el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 xml:space="preserve">se procede a dictar la presente resolución con base en los siguientes: </w:t>
      </w:r>
    </w:p>
    <w:p w14:paraId="186E7B5B" w14:textId="77777777" w:rsidR="00B143DF" w:rsidRPr="00C93845" w:rsidRDefault="00BA62D1">
      <w:pPr>
        <w:spacing w:before="240" w:after="240" w:line="360" w:lineRule="auto"/>
        <w:jc w:val="center"/>
        <w:rPr>
          <w:rFonts w:ascii="Palatino Linotype" w:eastAsia="Palatino Linotype" w:hAnsi="Palatino Linotype" w:cs="Palatino Linotype"/>
          <w:b/>
        </w:rPr>
      </w:pPr>
      <w:r w:rsidRPr="00C93845">
        <w:rPr>
          <w:rFonts w:ascii="Palatino Linotype" w:eastAsia="Palatino Linotype" w:hAnsi="Palatino Linotype" w:cs="Palatino Linotype"/>
          <w:b/>
        </w:rPr>
        <w:t>I. A N T E C E D E N T E S</w:t>
      </w:r>
    </w:p>
    <w:p w14:paraId="617F0CA7" w14:textId="77777777" w:rsidR="00B143DF" w:rsidRPr="00C93845" w:rsidRDefault="00BA62D1">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C93845">
        <w:rPr>
          <w:rFonts w:ascii="Palatino Linotype" w:eastAsia="Palatino Linotype" w:hAnsi="Palatino Linotype" w:cs="Palatino Linotype"/>
          <w:b/>
        </w:rPr>
        <w:t>1. Solicitud de acceso a la información.</w:t>
      </w:r>
      <w:r w:rsidRPr="00C93845">
        <w:rPr>
          <w:rFonts w:ascii="Palatino Linotype" w:eastAsia="Palatino Linotype" w:hAnsi="Palatino Linotype" w:cs="Palatino Linotype"/>
        </w:rPr>
        <w:t xml:space="preserve"> Con fecha </w:t>
      </w:r>
      <w:r w:rsidRPr="00C93845">
        <w:rPr>
          <w:rFonts w:ascii="Palatino Linotype" w:eastAsia="Palatino Linotype" w:hAnsi="Palatino Linotype" w:cs="Palatino Linotype"/>
          <w:b/>
        </w:rPr>
        <w:t xml:space="preserve">quince de julio de dos mil veinticuatro, </w:t>
      </w:r>
      <w:r w:rsidRPr="00C93845">
        <w:rPr>
          <w:rFonts w:ascii="Palatino Linotype" w:eastAsia="Palatino Linotype" w:hAnsi="Palatino Linotype" w:cs="Palatino Linotype"/>
        </w:rPr>
        <w:t xml:space="preserve">la parte </w:t>
      </w:r>
      <w:r w:rsidRPr="00C93845">
        <w:rPr>
          <w:rFonts w:ascii="Palatino Linotype" w:eastAsia="Palatino Linotype" w:hAnsi="Palatino Linotype" w:cs="Palatino Linotype"/>
          <w:b/>
        </w:rPr>
        <w:t xml:space="preserve">Recurrente </w:t>
      </w:r>
      <w:r w:rsidRPr="00C93845">
        <w:rPr>
          <w:rFonts w:ascii="Palatino Linotype" w:eastAsia="Palatino Linotype" w:hAnsi="Palatino Linotype" w:cs="Palatino Linotype"/>
        </w:rPr>
        <w:t xml:space="preserve">presentó, a través del Sistema de Acceso a la Información Mexiquense, en lo subsecuente el </w:t>
      </w:r>
      <w:r w:rsidRPr="00C93845">
        <w:rPr>
          <w:rFonts w:ascii="Palatino Linotype" w:eastAsia="Palatino Linotype" w:hAnsi="Palatino Linotype" w:cs="Palatino Linotype"/>
          <w:b/>
        </w:rPr>
        <w:t xml:space="preserve">SAIMEX, </w:t>
      </w:r>
      <w:r w:rsidRPr="00C93845">
        <w:rPr>
          <w:rFonts w:ascii="Palatino Linotype" w:eastAsia="Palatino Linotype" w:hAnsi="Palatino Linotype" w:cs="Palatino Linotype"/>
        </w:rPr>
        <w:t xml:space="preserve">ante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la solicitud de acceso a la información pública, mediante la cual requirió la información siguiente: </w:t>
      </w:r>
    </w:p>
    <w:p w14:paraId="62153E27" w14:textId="77777777" w:rsidR="00B143DF" w:rsidRPr="00C93845" w:rsidRDefault="00BA62D1">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C93845">
        <w:rPr>
          <w:rFonts w:ascii="Palatino Linotype" w:eastAsia="Palatino Linotype" w:hAnsi="Palatino Linotype" w:cs="Palatino Linotype"/>
          <w:i/>
          <w:sz w:val="22"/>
          <w:szCs w:val="22"/>
        </w:rPr>
        <w:t xml:space="preserve"> “por medio de la presente solicito la siguiente información y de ser el caso la </w:t>
      </w:r>
      <w:proofErr w:type="spellStart"/>
      <w:r w:rsidRPr="00C93845">
        <w:rPr>
          <w:rFonts w:ascii="Palatino Linotype" w:eastAsia="Palatino Linotype" w:hAnsi="Palatino Linotype" w:cs="Palatino Linotype"/>
          <w:i/>
          <w:sz w:val="22"/>
          <w:szCs w:val="22"/>
        </w:rPr>
        <w:t>version</w:t>
      </w:r>
      <w:proofErr w:type="spellEnd"/>
      <w:r w:rsidRPr="00C93845">
        <w:rPr>
          <w:rFonts w:ascii="Palatino Linotype" w:eastAsia="Palatino Linotype" w:hAnsi="Palatino Linotype" w:cs="Palatino Linotype"/>
          <w:i/>
          <w:sz w:val="22"/>
          <w:szCs w:val="22"/>
        </w:rPr>
        <w:t xml:space="preserve"> publica de lo siguiente: Programa anual de adquisiciones Reporte de procedimientos adquisitivos Diario General de Pólizas Dictamen de Reconducción y Actualización Programática- Presupuestal Dictamen de Reconducción de Metas de Actividad por Proyecto Nómina detallada Conciliación de la nómina </w:t>
      </w:r>
      <w:proofErr w:type="spellStart"/>
      <w:r w:rsidRPr="00C93845">
        <w:rPr>
          <w:rFonts w:ascii="Palatino Linotype" w:eastAsia="Palatino Linotype" w:hAnsi="Palatino Linotype" w:cs="Palatino Linotype"/>
          <w:i/>
          <w:sz w:val="22"/>
          <w:szCs w:val="22"/>
        </w:rPr>
        <w:t>Dictámen</w:t>
      </w:r>
      <w:proofErr w:type="spellEnd"/>
      <w:r w:rsidRPr="00C93845">
        <w:rPr>
          <w:rFonts w:ascii="Palatino Linotype" w:eastAsia="Palatino Linotype" w:hAnsi="Palatino Linotype" w:cs="Palatino Linotype"/>
          <w:i/>
          <w:sz w:val="22"/>
          <w:szCs w:val="22"/>
        </w:rPr>
        <w:t xml:space="preserve"> Presupuestal y Programático lo anterior correspondiente al ejercicio fiscal 2023 y lo correspondiente al ejercicio fiscal 2024</w:t>
      </w:r>
      <w:r w:rsidRPr="00C93845">
        <w:rPr>
          <w:rFonts w:ascii="Palatino Linotype" w:eastAsia="Palatino Linotype" w:hAnsi="Palatino Linotype" w:cs="Palatino Linotype"/>
          <w:b/>
          <w:i/>
          <w:sz w:val="22"/>
          <w:szCs w:val="22"/>
        </w:rPr>
        <w:t>”</w:t>
      </w:r>
      <w:r w:rsidRPr="00C93845">
        <w:rPr>
          <w:rFonts w:ascii="Palatino Linotype" w:eastAsia="Palatino Linotype" w:hAnsi="Palatino Linotype" w:cs="Palatino Linotype"/>
          <w:i/>
          <w:sz w:val="22"/>
          <w:szCs w:val="22"/>
        </w:rPr>
        <w:t xml:space="preserve"> (sic) </w:t>
      </w:r>
    </w:p>
    <w:p w14:paraId="63FE560D" w14:textId="77777777" w:rsidR="00B143DF" w:rsidRPr="00C93845" w:rsidRDefault="00BA62D1">
      <w:pPr>
        <w:spacing w:before="240" w:after="240" w:line="360" w:lineRule="auto"/>
        <w:rPr>
          <w:rFonts w:ascii="Palatino Linotype" w:eastAsia="Palatino Linotype" w:hAnsi="Palatino Linotype" w:cs="Palatino Linotype"/>
          <w:b/>
        </w:rPr>
      </w:pPr>
      <w:bookmarkStart w:id="2" w:name="_heading=h.3dy6vkm" w:colFirst="0" w:colLast="0"/>
      <w:bookmarkEnd w:id="2"/>
      <w:r w:rsidRPr="00C93845">
        <w:rPr>
          <w:rFonts w:ascii="Palatino Linotype" w:eastAsia="Palatino Linotype" w:hAnsi="Palatino Linotype" w:cs="Palatino Linotype"/>
          <w:b/>
        </w:rPr>
        <w:t>Modalidad de Entrega</w:t>
      </w:r>
      <w:r w:rsidRPr="00C93845">
        <w:rPr>
          <w:rFonts w:ascii="Palatino Linotype" w:eastAsia="Palatino Linotype" w:hAnsi="Palatino Linotype" w:cs="Palatino Linotype"/>
        </w:rPr>
        <w:t>: a través de</w:t>
      </w:r>
      <w:r w:rsidRPr="00C93845">
        <w:rPr>
          <w:rFonts w:ascii="Palatino Linotype" w:eastAsia="Palatino Linotype" w:hAnsi="Palatino Linotype" w:cs="Palatino Linotype"/>
          <w:b/>
        </w:rPr>
        <w:t xml:space="preserve"> SAIMEX.</w:t>
      </w:r>
    </w:p>
    <w:p w14:paraId="2F38228A"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b/>
        </w:rPr>
        <w:lastRenderedPageBreak/>
        <w:t xml:space="preserve">2. Respuesta. </w:t>
      </w:r>
      <w:r w:rsidRPr="00C93845">
        <w:rPr>
          <w:rFonts w:ascii="Palatino Linotype" w:eastAsia="Palatino Linotype" w:hAnsi="Palatino Linotype" w:cs="Palatino Linotype"/>
        </w:rPr>
        <w:t xml:space="preserve">Con fecha </w:t>
      </w:r>
      <w:r w:rsidRPr="00C93845">
        <w:rPr>
          <w:rFonts w:ascii="Palatino Linotype" w:eastAsia="Palatino Linotype" w:hAnsi="Palatino Linotype" w:cs="Palatino Linotype"/>
          <w:b/>
        </w:rPr>
        <w:t>diecinueve de agosto de dos mil veinticuatro</w:t>
      </w:r>
      <w:r w:rsidRPr="00C93845">
        <w:rPr>
          <w:rFonts w:ascii="Palatino Linotype" w:eastAsia="Palatino Linotype" w:hAnsi="Palatino Linotype" w:cs="Palatino Linotype"/>
        </w:rPr>
        <w:t xml:space="preserve">, el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 xml:space="preserve">envió su respuesta a la solicitud de acceso a la información a través del </w:t>
      </w:r>
      <w:r w:rsidRPr="00C93845">
        <w:rPr>
          <w:rFonts w:ascii="Palatino Linotype" w:eastAsia="Palatino Linotype" w:hAnsi="Palatino Linotype" w:cs="Palatino Linotype"/>
          <w:b/>
        </w:rPr>
        <w:t>SAIMEX,</w:t>
      </w:r>
      <w:r w:rsidRPr="00C93845">
        <w:rPr>
          <w:rFonts w:ascii="Palatino Linotype" w:eastAsia="Palatino Linotype" w:hAnsi="Palatino Linotype" w:cs="Palatino Linotype"/>
        </w:rPr>
        <w:t xml:space="preserve"> sustancialmente en los términos siguientes:   </w:t>
      </w:r>
    </w:p>
    <w:p w14:paraId="1791DE9A" w14:textId="77777777" w:rsidR="00B143DF" w:rsidRPr="00C93845" w:rsidRDefault="00BA62D1">
      <w:pPr>
        <w:spacing w:before="240" w:after="24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“…Se adjunta en formato </w:t>
      </w:r>
      <w:proofErr w:type="spellStart"/>
      <w:r w:rsidRPr="00C93845">
        <w:rPr>
          <w:rFonts w:ascii="Palatino Linotype" w:eastAsia="Palatino Linotype" w:hAnsi="Palatino Linotype" w:cs="Palatino Linotype"/>
          <w:i/>
          <w:sz w:val="22"/>
          <w:szCs w:val="22"/>
        </w:rPr>
        <w:t>pdf</w:t>
      </w:r>
      <w:proofErr w:type="spellEnd"/>
      <w:r w:rsidRPr="00C93845">
        <w:rPr>
          <w:rFonts w:ascii="Palatino Linotype" w:eastAsia="Palatino Linotype" w:hAnsi="Palatino Linotype" w:cs="Palatino Linotype"/>
          <w:i/>
          <w:sz w:val="22"/>
          <w:szCs w:val="22"/>
        </w:rPr>
        <w:t>, la respuesta emitida por la Dirección de Administración y Desarrollo de Personal y Tesorería Municipal del Ayuntamiento de Temoaya, así como el acuerdo CT/TEMOAYA/10SE/02/2024; de fecha dieciséis de agosto de dos mil veinticuatro, emitido en la Décima Sesión Extraordinaria del Comité de Transparencia, a través de la cual, se clasifica la información como confidencial y se determina la elaboración de versiones públicas, a través de los cuales serán puestos a disposición del particular la información requerida en la presente solicitud, en el área administrativas correspondiente, bajo la modalidad de consulta directa (in situ), conforme al calendario señalado y así colmar su derecho humano de acceso a la información pública...” (sic)</w:t>
      </w:r>
    </w:p>
    <w:p w14:paraId="521584F3"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adjuntó lo siguiente:</w:t>
      </w:r>
    </w:p>
    <w:p w14:paraId="1E9A314D"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 Oficio número TM/0260/2024, del diecisiete de julio de dos mil veinticuatro, mediante el cual el Tesorero Municipal, en atención a la solicitud, manifestó que la información que corresponde al área a su cargo es el Programa Anual de Adquisiciones y el Diario General de Pólizas, para el periodo 2023 – 2024, tiene un tamaño de 3,515.00 Megabytes, razón por la cual solicitó se sometiera a consideración del Comité de Transparencia el cambio de modalidad a consulta directa (in situ), argumentando que rebasa las capacidades técnicas y humanas del personal a su cargo.</w:t>
      </w:r>
    </w:p>
    <w:p w14:paraId="1C621457"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Asimismo, manifestó que de acuerdo con las atribuciones que se le confieren de conformidad con la normatividad aplicable, no es de su competencia lo relativo al Reporte de procedimientos adquisitivos, Dictamen de reconducción y actualización programática-presupuestal, Dictamen de Reconducción de Metas de Actividad por </w:t>
      </w:r>
      <w:r w:rsidRPr="00C93845">
        <w:rPr>
          <w:rFonts w:ascii="Palatino Linotype" w:eastAsia="Palatino Linotype" w:hAnsi="Palatino Linotype" w:cs="Palatino Linotype"/>
        </w:rPr>
        <w:lastRenderedPageBreak/>
        <w:t>Proyecto, Nómina detallada, Conciliación de la nómina y Dictamen presupuestal y programático, por lo que sugirió dirigir dichos requerimientos al área ejecutora.</w:t>
      </w:r>
    </w:p>
    <w:p w14:paraId="79B31E60"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 Acta de la Décima Sesión Extraordinaria del Comité de Transparencia, celebrada el dieciséis de agosto de dos mil veinticuatro, en la cual se presentó, analizó y aprobó la clasificación como confidencial con la finalidad de emitir en versión pública la documentación con la cual se daría respuesta a la solicitud de información, así como el cambio de modalidad a consulta Directa (in situ), a propuesta de la Tesorería Municipal, bajo el argumento de que la información con la cual se pretende dar respuesta a los requerimientos de su competencia, sobrepasa las capacidades de la plataforma del SAIMEX. </w:t>
      </w:r>
    </w:p>
    <w:p w14:paraId="67A141BB"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 Oficio número DAYDP/1558/2024, del veintidós de julio de dos mil veinticuatro, mediante el cual la </w:t>
      </w:r>
      <w:proofErr w:type="gramStart"/>
      <w:r w:rsidRPr="00C93845">
        <w:rPr>
          <w:rFonts w:ascii="Palatino Linotype" w:eastAsia="Palatino Linotype" w:hAnsi="Palatino Linotype" w:cs="Palatino Linotype"/>
        </w:rPr>
        <w:t>Directora</w:t>
      </w:r>
      <w:proofErr w:type="gramEnd"/>
      <w:r w:rsidRPr="00C93845">
        <w:rPr>
          <w:rFonts w:ascii="Palatino Linotype" w:eastAsia="Palatino Linotype" w:hAnsi="Palatino Linotype" w:cs="Palatino Linotype"/>
        </w:rPr>
        <w:t xml:space="preserve"> de Administración y Desarrollo de Personal, en atención a la solicitud, proporcionó los Reportes de procedimientos adquisitivos correspondientes a los ejercicios 2023 y 2024.</w:t>
      </w:r>
    </w:p>
    <w:p w14:paraId="3063A2B0"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 Reportes de Adjudicaciones del Comité de Adquisiciones y Servicios: del 01 de enero al 31 de marzo de 2023, del 01 de abril al 30 de junio de 2023, del 01 de junio al 30 de septiembre de 2023, del 01 de octubre al 31 de diciembre de 2023, del 01 de enero al 31 de marzo de 2024, y del 01 de abril al 30 de junio de 2024.</w:t>
      </w:r>
    </w:p>
    <w:p w14:paraId="79650829"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b/>
        </w:rPr>
        <w:t xml:space="preserve">3. Interposición del recurso de revisión. </w:t>
      </w:r>
      <w:r w:rsidRPr="00C93845">
        <w:rPr>
          <w:rFonts w:ascii="Palatino Linotype" w:eastAsia="Palatino Linotype" w:hAnsi="Palatino Linotype" w:cs="Palatino Linotype"/>
        </w:rPr>
        <w:t xml:space="preserve">Inconforme con los términos de la respuesta emitida por parte del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el</w:t>
      </w:r>
      <w:r w:rsidRPr="00C93845">
        <w:rPr>
          <w:rFonts w:ascii="Palatino Linotype" w:eastAsia="Palatino Linotype" w:hAnsi="Palatino Linotype" w:cs="Palatino Linotype"/>
          <w:b/>
        </w:rPr>
        <w:t xml:space="preserve"> dos de septiembre de dos mil veinticuatro, </w:t>
      </w:r>
      <w:r w:rsidRPr="00C93845">
        <w:rPr>
          <w:rFonts w:ascii="Palatino Linotype" w:eastAsia="Palatino Linotype" w:hAnsi="Palatino Linotype" w:cs="Palatino Linotype"/>
        </w:rPr>
        <w:t xml:space="preserve">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xml:space="preserve"> interpuso el recurso de revisión a través de </w:t>
      </w:r>
      <w:r w:rsidRPr="00C93845">
        <w:rPr>
          <w:rFonts w:ascii="Palatino Linotype" w:eastAsia="Palatino Linotype" w:hAnsi="Palatino Linotype" w:cs="Palatino Linotype"/>
          <w:b/>
        </w:rPr>
        <w:t xml:space="preserve">SAIMEX, </w:t>
      </w:r>
      <w:r w:rsidRPr="00C93845">
        <w:rPr>
          <w:rFonts w:ascii="Palatino Linotype" w:eastAsia="Palatino Linotype" w:hAnsi="Palatino Linotype" w:cs="Palatino Linotype"/>
        </w:rPr>
        <w:t>en donde se manifestó de la siguiente manera:</w:t>
      </w:r>
    </w:p>
    <w:p w14:paraId="33F6FF03" w14:textId="77777777" w:rsidR="00B143DF" w:rsidRPr="00C93845" w:rsidRDefault="00BA62D1">
      <w:pPr>
        <w:tabs>
          <w:tab w:val="left" w:pos="2745"/>
        </w:tabs>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b/>
        </w:rPr>
        <w:lastRenderedPageBreak/>
        <w:t xml:space="preserve">Acto impugnado: </w:t>
      </w:r>
    </w:p>
    <w:p w14:paraId="25A1E225" w14:textId="77777777" w:rsidR="00B143DF" w:rsidRPr="00C93845" w:rsidRDefault="00BA62D1">
      <w:pPr>
        <w:tabs>
          <w:tab w:val="left" w:pos="2745"/>
        </w:tabs>
        <w:spacing w:before="240" w:after="24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“astutamente </w:t>
      </w:r>
      <w:r w:rsidRPr="00C93845">
        <w:rPr>
          <w:rFonts w:ascii="Palatino Linotype" w:eastAsia="Palatino Linotype" w:hAnsi="Palatino Linotype" w:cs="Palatino Linotype"/>
          <w:b/>
          <w:i/>
          <w:sz w:val="22"/>
          <w:szCs w:val="22"/>
          <w:u w:val="single"/>
        </w:rPr>
        <w:t xml:space="preserve">el </w:t>
      </w:r>
      <w:proofErr w:type="gramStart"/>
      <w:r w:rsidRPr="00C93845">
        <w:rPr>
          <w:rFonts w:ascii="Palatino Linotype" w:eastAsia="Palatino Linotype" w:hAnsi="Palatino Linotype" w:cs="Palatino Linotype"/>
          <w:b/>
          <w:i/>
          <w:sz w:val="22"/>
          <w:szCs w:val="22"/>
          <w:u w:val="single"/>
        </w:rPr>
        <w:t>tesorero ,</w:t>
      </w:r>
      <w:proofErr w:type="gramEnd"/>
      <w:r w:rsidRPr="00C93845">
        <w:rPr>
          <w:rFonts w:ascii="Palatino Linotype" w:eastAsia="Palatino Linotype" w:hAnsi="Palatino Linotype" w:cs="Palatino Linotype"/>
          <w:b/>
          <w:i/>
          <w:sz w:val="22"/>
          <w:szCs w:val="22"/>
          <w:u w:val="single"/>
        </w:rPr>
        <w:t xml:space="preserve"> no entrega la </w:t>
      </w:r>
      <w:proofErr w:type="spellStart"/>
      <w:r w:rsidRPr="00C93845">
        <w:rPr>
          <w:rFonts w:ascii="Palatino Linotype" w:eastAsia="Palatino Linotype" w:hAnsi="Palatino Linotype" w:cs="Palatino Linotype"/>
          <w:b/>
          <w:i/>
          <w:sz w:val="22"/>
          <w:szCs w:val="22"/>
          <w:u w:val="single"/>
        </w:rPr>
        <w:t>informacion</w:t>
      </w:r>
      <w:proofErr w:type="spellEnd"/>
      <w:r w:rsidRPr="00C93845">
        <w:rPr>
          <w:rFonts w:ascii="Palatino Linotype" w:eastAsia="Palatino Linotype" w:hAnsi="Palatino Linotype" w:cs="Palatino Linotype"/>
          <w:i/>
          <w:sz w:val="22"/>
          <w:szCs w:val="22"/>
        </w:rPr>
        <w:t xml:space="preserve"> y como en </w:t>
      </w:r>
      <w:proofErr w:type="spellStart"/>
      <w:r w:rsidRPr="00C93845">
        <w:rPr>
          <w:rFonts w:ascii="Palatino Linotype" w:eastAsia="Palatino Linotype" w:hAnsi="Palatino Linotype" w:cs="Palatino Linotype"/>
          <w:i/>
          <w:sz w:val="22"/>
          <w:szCs w:val="22"/>
        </w:rPr>
        <w:t>reptidad</w:t>
      </w:r>
      <w:proofErr w:type="spellEnd"/>
      <w:r w:rsidRPr="00C93845">
        <w:rPr>
          <w:rFonts w:ascii="Palatino Linotype" w:eastAsia="Palatino Linotype" w:hAnsi="Palatino Linotype" w:cs="Palatino Linotype"/>
          <w:i/>
          <w:sz w:val="22"/>
          <w:szCs w:val="22"/>
        </w:rPr>
        <w:t xml:space="preserve"> </w:t>
      </w:r>
      <w:proofErr w:type="spellStart"/>
      <w:r w:rsidRPr="00C93845">
        <w:rPr>
          <w:rFonts w:ascii="Palatino Linotype" w:eastAsia="Palatino Linotype" w:hAnsi="Palatino Linotype" w:cs="Palatino Linotype"/>
          <w:i/>
          <w:sz w:val="22"/>
          <w:szCs w:val="22"/>
        </w:rPr>
        <w:t>ocaciones</w:t>
      </w:r>
      <w:proofErr w:type="spellEnd"/>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u w:val="single"/>
        </w:rPr>
        <w:t xml:space="preserve">manda a </w:t>
      </w:r>
      <w:proofErr w:type="spellStart"/>
      <w:r w:rsidRPr="00C93845">
        <w:rPr>
          <w:rFonts w:ascii="Palatino Linotype" w:eastAsia="Palatino Linotype" w:hAnsi="Palatino Linotype" w:cs="Palatino Linotype"/>
          <w:b/>
          <w:i/>
          <w:sz w:val="22"/>
          <w:szCs w:val="22"/>
          <w:u w:val="single"/>
        </w:rPr>
        <w:t>cnsulta</w:t>
      </w:r>
      <w:proofErr w:type="spellEnd"/>
      <w:r w:rsidRPr="00C93845">
        <w:rPr>
          <w:rFonts w:ascii="Palatino Linotype" w:eastAsia="Palatino Linotype" w:hAnsi="Palatino Linotype" w:cs="Palatino Linotype"/>
          <w:b/>
          <w:i/>
          <w:sz w:val="22"/>
          <w:szCs w:val="22"/>
          <w:u w:val="single"/>
        </w:rPr>
        <w:t xml:space="preserve"> directa sin motivas ni fundamentar</w:t>
      </w:r>
      <w:r w:rsidRPr="00C93845">
        <w:rPr>
          <w:rFonts w:ascii="Palatino Linotype" w:eastAsia="Palatino Linotype" w:hAnsi="Palatino Linotype" w:cs="Palatino Linotype"/>
          <w:b/>
          <w:i/>
          <w:sz w:val="22"/>
          <w:szCs w:val="22"/>
        </w:rPr>
        <w:t xml:space="preserve"> </w:t>
      </w:r>
      <w:r w:rsidRPr="00C93845">
        <w:rPr>
          <w:rFonts w:ascii="Palatino Linotype" w:eastAsia="Palatino Linotype" w:hAnsi="Palatino Linotype" w:cs="Palatino Linotype"/>
          <w:i/>
          <w:sz w:val="22"/>
          <w:szCs w:val="22"/>
        </w:rPr>
        <w:t xml:space="preserve">la </w:t>
      </w:r>
      <w:proofErr w:type="spellStart"/>
      <w:r w:rsidRPr="00C93845">
        <w:rPr>
          <w:rFonts w:ascii="Palatino Linotype" w:eastAsia="Palatino Linotype" w:hAnsi="Palatino Linotype" w:cs="Palatino Linotype"/>
          <w:i/>
          <w:sz w:val="22"/>
          <w:szCs w:val="22"/>
        </w:rPr>
        <w:t>informacion</w:t>
      </w:r>
      <w:proofErr w:type="spellEnd"/>
      <w:r w:rsidRPr="00C93845">
        <w:rPr>
          <w:rFonts w:ascii="Palatino Linotype" w:eastAsia="Palatino Linotype" w:hAnsi="Palatino Linotype" w:cs="Palatino Linotype"/>
          <w:i/>
          <w:sz w:val="22"/>
          <w:szCs w:val="22"/>
        </w:rPr>
        <w:t xml:space="preserve">, ni ofrece ni menos busca otras opciones como publicar un link que aloje la </w:t>
      </w:r>
      <w:proofErr w:type="spellStart"/>
      <w:r w:rsidRPr="00C93845">
        <w:rPr>
          <w:rFonts w:ascii="Palatino Linotype" w:eastAsia="Palatino Linotype" w:hAnsi="Palatino Linotype" w:cs="Palatino Linotype"/>
          <w:i/>
          <w:sz w:val="22"/>
          <w:szCs w:val="22"/>
        </w:rPr>
        <w:t>informacion</w:t>
      </w:r>
      <w:proofErr w:type="spellEnd"/>
      <w:r w:rsidRPr="00C93845">
        <w:rPr>
          <w:rFonts w:ascii="Palatino Linotype" w:eastAsia="Palatino Linotype" w:hAnsi="Palatino Linotype" w:cs="Palatino Linotype"/>
          <w:i/>
          <w:sz w:val="22"/>
          <w:szCs w:val="22"/>
        </w:rPr>
        <w:t xml:space="preserve"> , dando cuenta del abuso y desconocimiento de la ley.” (sic)</w:t>
      </w:r>
    </w:p>
    <w:p w14:paraId="4E6D66EE" w14:textId="77777777" w:rsidR="00B143DF" w:rsidRPr="00C93845" w:rsidRDefault="00BA62D1">
      <w:pPr>
        <w:spacing w:line="360" w:lineRule="auto"/>
        <w:jc w:val="both"/>
        <w:rPr>
          <w:rFonts w:ascii="Palatino Linotype" w:eastAsia="Palatino Linotype" w:hAnsi="Palatino Linotype" w:cs="Palatino Linotype"/>
        </w:rPr>
      </w:pPr>
      <w:bookmarkStart w:id="3" w:name="_heading=h.30j0zll" w:colFirst="0" w:colLast="0"/>
      <w:bookmarkEnd w:id="3"/>
      <w:r w:rsidRPr="00C93845">
        <w:rPr>
          <w:rFonts w:ascii="Palatino Linotype" w:eastAsia="Palatino Linotype" w:hAnsi="Palatino Linotype" w:cs="Palatino Linotype"/>
          <w:b/>
        </w:rPr>
        <w:t>Y, Razones o motivos de inconformidad</w:t>
      </w:r>
      <w:r w:rsidRPr="00C93845">
        <w:rPr>
          <w:rFonts w:ascii="Palatino Linotype" w:eastAsia="Palatino Linotype" w:hAnsi="Palatino Linotype" w:cs="Palatino Linotype"/>
        </w:rPr>
        <w:t>:</w:t>
      </w:r>
    </w:p>
    <w:p w14:paraId="561288DC" w14:textId="77777777" w:rsidR="00B143DF" w:rsidRPr="00C93845" w:rsidRDefault="00BA62D1">
      <w:pPr>
        <w:tabs>
          <w:tab w:val="left" w:pos="2745"/>
        </w:tabs>
        <w:spacing w:before="240" w:after="24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la </w:t>
      </w:r>
      <w:proofErr w:type="spellStart"/>
      <w:r w:rsidRPr="00C93845">
        <w:rPr>
          <w:rFonts w:ascii="Palatino Linotype" w:eastAsia="Palatino Linotype" w:hAnsi="Palatino Linotype" w:cs="Palatino Linotype"/>
          <w:i/>
          <w:sz w:val="22"/>
          <w:szCs w:val="22"/>
        </w:rPr>
        <w:t>respuesdta</w:t>
      </w:r>
      <w:proofErr w:type="spellEnd"/>
      <w:r w:rsidRPr="00C93845">
        <w:rPr>
          <w:rFonts w:ascii="Palatino Linotype" w:eastAsia="Palatino Linotype" w:hAnsi="Palatino Linotype" w:cs="Palatino Linotype"/>
          <w:i/>
          <w:sz w:val="22"/>
          <w:szCs w:val="22"/>
        </w:rPr>
        <w:t xml:space="preserve"> de este </w:t>
      </w:r>
      <w:proofErr w:type="spellStart"/>
      <w:r w:rsidRPr="00C93845">
        <w:rPr>
          <w:rFonts w:ascii="Palatino Linotype" w:eastAsia="Palatino Linotype" w:hAnsi="Palatino Linotype" w:cs="Palatino Linotype"/>
          <w:i/>
          <w:sz w:val="22"/>
          <w:szCs w:val="22"/>
        </w:rPr>
        <w:t>ayuntamiuento</w:t>
      </w:r>
      <w:proofErr w:type="spellEnd"/>
      <w:r w:rsidRPr="00C93845">
        <w:rPr>
          <w:rFonts w:ascii="Palatino Linotype" w:eastAsia="Palatino Linotype" w:hAnsi="Palatino Linotype" w:cs="Palatino Linotype"/>
          <w:i/>
          <w:sz w:val="22"/>
          <w:szCs w:val="22"/>
        </w:rPr>
        <w:t>.” (sic)</w:t>
      </w:r>
    </w:p>
    <w:p w14:paraId="201935F1" w14:textId="77777777" w:rsidR="00B143DF" w:rsidRPr="00C93845" w:rsidRDefault="00BA62D1">
      <w:pPr>
        <w:spacing w:before="240" w:after="240" w:line="360" w:lineRule="auto"/>
        <w:ind w:right="51"/>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La parte </w:t>
      </w:r>
      <w:r w:rsidRPr="00C93845">
        <w:rPr>
          <w:rFonts w:ascii="Palatino Linotype" w:eastAsia="Palatino Linotype" w:hAnsi="Palatino Linotype" w:cs="Palatino Linotype"/>
          <w:b/>
        </w:rPr>
        <w:t xml:space="preserve">Recurrente </w:t>
      </w:r>
      <w:r w:rsidRPr="00C93845">
        <w:rPr>
          <w:rFonts w:ascii="Palatino Linotype" w:eastAsia="Palatino Linotype" w:hAnsi="Palatino Linotype" w:cs="Palatino Linotype"/>
        </w:rPr>
        <w:t>adjuntó el documento entregado en respuesta a la solicitud previamente descrito.</w:t>
      </w:r>
    </w:p>
    <w:p w14:paraId="0237261D" w14:textId="77777777" w:rsidR="00B143DF" w:rsidRPr="00C93845" w:rsidRDefault="00BA62D1">
      <w:pPr>
        <w:spacing w:before="240" w:after="240" w:line="360" w:lineRule="auto"/>
        <w:ind w:right="51"/>
        <w:jc w:val="both"/>
        <w:rPr>
          <w:rFonts w:ascii="Palatino Linotype" w:eastAsia="Palatino Linotype" w:hAnsi="Palatino Linotype" w:cs="Palatino Linotype"/>
        </w:rPr>
      </w:pPr>
      <w:r w:rsidRPr="00C93845">
        <w:rPr>
          <w:rFonts w:ascii="Palatino Linotype" w:eastAsia="Palatino Linotype" w:hAnsi="Palatino Linotype" w:cs="Palatino Linotype"/>
          <w:b/>
        </w:rPr>
        <w:t xml:space="preserve">4. Turno. </w:t>
      </w:r>
      <w:r w:rsidRPr="00C9384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93845">
        <w:rPr>
          <w:rFonts w:ascii="Palatino Linotype" w:eastAsia="Palatino Linotype" w:hAnsi="Palatino Linotype" w:cs="Palatino Linotype"/>
          <w:b/>
        </w:rPr>
        <w:t xml:space="preserve">Guadalupe Ramírez Peña, </w:t>
      </w:r>
      <w:r w:rsidRPr="00C93845">
        <w:rPr>
          <w:rFonts w:ascii="Palatino Linotype" w:eastAsia="Palatino Linotype" w:hAnsi="Palatino Linotype" w:cs="Palatino Linotype"/>
        </w:rPr>
        <w:t xml:space="preserve">a efecto de que analizara sobre su admisión o su </w:t>
      </w:r>
      <w:proofErr w:type="spellStart"/>
      <w:r w:rsidRPr="00C93845">
        <w:rPr>
          <w:rFonts w:ascii="Palatino Linotype" w:eastAsia="Palatino Linotype" w:hAnsi="Palatino Linotype" w:cs="Palatino Linotype"/>
        </w:rPr>
        <w:t>desechamiento</w:t>
      </w:r>
      <w:proofErr w:type="spellEnd"/>
      <w:r w:rsidRPr="00C93845">
        <w:rPr>
          <w:rFonts w:ascii="Palatino Linotype" w:eastAsia="Palatino Linotype" w:hAnsi="Palatino Linotype" w:cs="Palatino Linotype"/>
        </w:rPr>
        <w:t>.</w:t>
      </w:r>
    </w:p>
    <w:p w14:paraId="18BDC58F"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b/>
        </w:rPr>
        <w:t>5. Admisión del Recurso de revisión.</w:t>
      </w:r>
      <w:r w:rsidRPr="00C93845">
        <w:rPr>
          <w:rFonts w:ascii="Palatino Linotype" w:eastAsia="Palatino Linotype" w:hAnsi="Palatino Linotype" w:cs="Palatino Linotype"/>
        </w:rPr>
        <w:t xml:space="preserve"> El </w:t>
      </w:r>
      <w:r w:rsidRPr="00C93845">
        <w:rPr>
          <w:rFonts w:ascii="Palatino Linotype" w:eastAsia="Palatino Linotype" w:hAnsi="Palatino Linotype" w:cs="Palatino Linotype"/>
          <w:b/>
        </w:rPr>
        <w:t xml:space="preserve">cinco de septiembre de dos mil veinticuatro, </w:t>
      </w:r>
      <w:r w:rsidRPr="00C9384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presentara su informe justificado.</w:t>
      </w:r>
    </w:p>
    <w:p w14:paraId="4350BA12" w14:textId="77777777" w:rsidR="00B143DF" w:rsidRPr="00C93845" w:rsidRDefault="00BA62D1">
      <w:pPr>
        <w:widowControl w:val="0"/>
        <w:spacing w:line="360" w:lineRule="auto"/>
        <w:ind w:right="49"/>
        <w:jc w:val="both"/>
        <w:rPr>
          <w:rFonts w:ascii="Palatino Linotype" w:eastAsia="Palatino Linotype" w:hAnsi="Palatino Linotype" w:cs="Palatino Linotype"/>
        </w:rPr>
      </w:pPr>
      <w:bookmarkStart w:id="4" w:name="_heading=h.2s8eyo1" w:colFirst="0" w:colLast="0"/>
      <w:bookmarkEnd w:id="4"/>
      <w:r w:rsidRPr="00C93845">
        <w:rPr>
          <w:rFonts w:ascii="Palatino Linotype" w:eastAsia="Palatino Linotype" w:hAnsi="Palatino Linotype" w:cs="Palatino Linotype"/>
          <w:b/>
        </w:rPr>
        <w:t>6. Manifestaciones</w:t>
      </w:r>
      <w:r w:rsidRPr="00C93845">
        <w:rPr>
          <w:rFonts w:ascii="Palatino Linotype" w:eastAsia="Palatino Linotype" w:hAnsi="Palatino Linotype" w:cs="Palatino Linotype"/>
        </w:rPr>
        <w:t xml:space="preserve">. De constancias del expediente electrónico del SAIMEX, se </w:t>
      </w:r>
      <w:r w:rsidRPr="00C93845">
        <w:rPr>
          <w:rFonts w:ascii="Palatino Linotype" w:eastAsia="Palatino Linotype" w:hAnsi="Palatino Linotype" w:cs="Palatino Linotype"/>
        </w:rPr>
        <w:lastRenderedPageBreak/>
        <w:t xml:space="preserve">observa que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fue omiso en rendir su informe justificado; así como, la parte </w:t>
      </w:r>
      <w:r w:rsidRPr="00C93845">
        <w:rPr>
          <w:rFonts w:ascii="Palatino Linotype" w:eastAsia="Palatino Linotype" w:hAnsi="Palatino Linotype" w:cs="Palatino Linotype"/>
          <w:b/>
        </w:rPr>
        <w:t xml:space="preserve">Recurrente </w:t>
      </w:r>
      <w:r w:rsidRPr="00C93845">
        <w:rPr>
          <w:rFonts w:ascii="Palatino Linotype" w:eastAsia="Palatino Linotype" w:hAnsi="Palatino Linotype" w:cs="Palatino Linotype"/>
        </w:rPr>
        <w:t>fue omisa en hacer valer manifestaciones o rendir alegatos que conforme a derecho resultaran procedentes, como se muestra:</w:t>
      </w:r>
    </w:p>
    <w:p w14:paraId="0AFF1B16" w14:textId="77777777" w:rsidR="00B143DF" w:rsidRPr="00C93845" w:rsidRDefault="00BA62D1">
      <w:pPr>
        <w:widowControl w:val="0"/>
        <w:spacing w:line="360" w:lineRule="auto"/>
        <w:ind w:right="49"/>
        <w:jc w:val="both"/>
        <w:rPr>
          <w:rFonts w:ascii="Palatino Linotype" w:eastAsia="Palatino Linotype" w:hAnsi="Palatino Linotype" w:cs="Palatino Linotype"/>
          <w:sz w:val="22"/>
          <w:szCs w:val="22"/>
        </w:rPr>
      </w:pPr>
      <w:r w:rsidRPr="00C93845">
        <w:rPr>
          <w:rFonts w:ascii="Palatino Linotype" w:eastAsia="Palatino Linotype" w:hAnsi="Palatino Linotype" w:cs="Palatino Linotype"/>
          <w:noProof/>
          <w:sz w:val="22"/>
          <w:szCs w:val="22"/>
        </w:rPr>
        <w:drawing>
          <wp:inline distT="0" distB="0" distL="0" distR="0" wp14:anchorId="390CA722" wp14:editId="357487D6">
            <wp:extent cx="5612130" cy="1497965"/>
            <wp:effectExtent l="0" t="0" r="0" b="0"/>
            <wp:docPr id="19520825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1497965"/>
                    </a:xfrm>
                    <a:prstGeom prst="rect">
                      <a:avLst/>
                    </a:prstGeom>
                    <a:ln/>
                  </pic:spPr>
                </pic:pic>
              </a:graphicData>
            </a:graphic>
          </wp:inline>
        </w:drawing>
      </w:r>
    </w:p>
    <w:p w14:paraId="77BEC699" w14:textId="77777777" w:rsidR="00B143DF" w:rsidRPr="00C93845" w:rsidRDefault="00BA62D1">
      <w:pPr>
        <w:widowControl w:val="0"/>
        <w:spacing w:before="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b/>
        </w:rPr>
        <w:t xml:space="preserve">7. Requerimiento de información adicional. </w:t>
      </w:r>
      <w:r w:rsidRPr="00C93845">
        <w:rPr>
          <w:rFonts w:ascii="Palatino Linotype" w:eastAsia="Palatino Linotype" w:hAnsi="Palatino Linotype" w:cs="Palatino Linotype"/>
        </w:rPr>
        <w:t xml:space="preserve">El </w:t>
      </w:r>
      <w:r w:rsidRPr="00C93845">
        <w:rPr>
          <w:rFonts w:ascii="Palatino Linotype" w:eastAsia="Palatino Linotype" w:hAnsi="Palatino Linotype" w:cs="Palatino Linotype"/>
          <w:b/>
        </w:rPr>
        <w:t xml:space="preserve">veintiocho de </w:t>
      </w:r>
      <w:proofErr w:type="gramStart"/>
      <w:r w:rsidRPr="00C93845">
        <w:rPr>
          <w:rFonts w:ascii="Palatino Linotype" w:eastAsia="Palatino Linotype" w:hAnsi="Palatino Linotype" w:cs="Palatino Linotype"/>
          <w:b/>
        </w:rPr>
        <w:t>octubre  de</w:t>
      </w:r>
      <w:proofErr w:type="gramEnd"/>
      <w:r w:rsidRPr="00C93845">
        <w:rPr>
          <w:rFonts w:ascii="Palatino Linotype" w:eastAsia="Palatino Linotype" w:hAnsi="Palatino Linotype" w:cs="Palatino Linotype"/>
          <w:b/>
        </w:rPr>
        <w:t xml:space="preserve"> dos mil veinticuatro</w:t>
      </w:r>
      <w:r w:rsidRPr="00C93845">
        <w:rPr>
          <w:rFonts w:ascii="Palatino Linotype" w:eastAsia="Palatino Linotype" w:hAnsi="Palatino Linotype" w:cs="Palatino Linotype"/>
        </w:rPr>
        <w:t xml:space="preserve">, este Organismo Garante hizo un requerimiento de información adicional al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mediante correo electrónico, el cual consistió en lo siguiente: </w:t>
      </w:r>
    </w:p>
    <w:p w14:paraId="6CD5D0D8" w14:textId="77777777" w:rsidR="00B143DF" w:rsidRPr="00C93845" w:rsidRDefault="00BA62D1">
      <w:pPr>
        <w:spacing w:before="120" w:after="120"/>
        <w:ind w:left="851" w:right="76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“De las constancias que integran el expediente del recurso de revisión</w:t>
      </w:r>
      <w:r w:rsidRPr="00C93845">
        <w:rPr>
          <w:rFonts w:ascii="Palatino Linotype" w:eastAsia="Palatino Linotype" w:hAnsi="Palatino Linotype" w:cs="Palatino Linotype"/>
          <w:b/>
          <w:i/>
          <w:sz w:val="22"/>
          <w:szCs w:val="22"/>
        </w:rPr>
        <w:t> 05274/INFOEM/IP/RR/2024, </w:t>
      </w:r>
      <w:r w:rsidRPr="00C93845">
        <w:rPr>
          <w:rFonts w:ascii="Palatino Linotype" w:eastAsia="Palatino Linotype" w:hAnsi="Palatino Linotype" w:cs="Palatino Linotype"/>
          <w:i/>
          <w:sz w:val="22"/>
          <w:szCs w:val="22"/>
        </w:rPr>
        <w:t>se desprende que en respuesta a la solicitud de información </w:t>
      </w:r>
      <w:r w:rsidRPr="00C93845">
        <w:rPr>
          <w:rFonts w:ascii="Palatino Linotype" w:eastAsia="Palatino Linotype" w:hAnsi="Palatino Linotype" w:cs="Palatino Linotype"/>
          <w:b/>
          <w:i/>
          <w:sz w:val="22"/>
          <w:szCs w:val="22"/>
        </w:rPr>
        <w:t xml:space="preserve">00094/TEMOAYA/IP/2024, </w:t>
      </w:r>
      <w:r w:rsidRPr="00C93845">
        <w:rPr>
          <w:rFonts w:ascii="Palatino Linotype" w:eastAsia="Palatino Linotype" w:hAnsi="Palatino Linotype" w:cs="Palatino Linotype"/>
          <w:i/>
          <w:sz w:val="22"/>
          <w:szCs w:val="22"/>
        </w:rPr>
        <w:t>que le dio origen, la persona servidora pública titular de la Tesorería Municipal, manifestó que la información de su competencia, relativa al Programa Anual de Adquisiciones y el Diario General de Pólizas, para el periodo 2023 y 2024, tenía un tamaño de 3,516.00 Megabytes, razón por la cual solicitó el cambio en la modalidad de entrega a consulta in situ, argumentando que la documentación rebasa las capacidades técnicas y humanas del personal del área a su cargo.</w:t>
      </w:r>
    </w:p>
    <w:p w14:paraId="61B9D2A5" w14:textId="77777777" w:rsidR="00B143DF" w:rsidRPr="00C93845" w:rsidRDefault="00BA62D1">
      <w:pPr>
        <w:spacing w:before="120" w:after="120"/>
        <w:ind w:left="851" w:right="76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En este tenor, mediante el Acuerdo CT/TEMOAYA/10SE/02/2024, de la Décima Sesión Extraordinaria del Comité de Transparencia, se aprobó que la información fuera puesta a disposición de la persona solicitante, a través de consulta directa (in situ), de conformidad con el calendario de consulta que obra en la misma acta, asimismo, se hicieron de su conocimiento las formalidades para la consulta.</w:t>
      </w:r>
    </w:p>
    <w:p w14:paraId="30D2FE9A" w14:textId="77777777" w:rsidR="00B143DF" w:rsidRPr="00C93845" w:rsidRDefault="00BA62D1">
      <w:pPr>
        <w:widowControl w:val="0"/>
        <w:spacing w:before="120" w:after="120"/>
        <w:ind w:left="851" w:right="76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De lo anterior, se colige que </w:t>
      </w:r>
      <w:r w:rsidRPr="00C93845">
        <w:rPr>
          <w:rFonts w:ascii="Palatino Linotype" w:eastAsia="Palatino Linotype" w:hAnsi="Palatino Linotype" w:cs="Palatino Linotype"/>
          <w:b/>
          <w:i/>
          <w:sz w:val="22"/>
          <w:szCs w:val="22"/>
        </w:rPr>
        <w:t>propuso el cambio de la modalidad</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 xml:space="preserve">de entrega, </w:t>
      </w:r>
      <w:r w:rsidRPr="00C93845">
        <w:rPr>
          <w:rFonts w:ascii="Palatino Linotype" w:eastAsia="Palatino Linotype" w:hAnsi="Palatino Linotype" w:cs="Palatino Linotype"/>
          <w:i/>
          <w:sz w:val="22"/>
          <w:szCs w:val="22"/>
        </w:rPr>
        <w:t xml:space="preserve">sin embargo, se tiene que se dejaron de justificar, de manera clara, las razones o motivos que le llevaron a tomar dicha determinación, por lo que se carece de los elementos que permitan justificar que existe la necesidad de realizar el cambio de </w:t>
      </w:r>
      <w:r w:rsidRPr="00C93845">
        <w:rPr>
          <w:rFonts w:ascii="Palatino Linotype" w:eastAsia="Palatino Linotype" w:hAnsi="Palatino Linotype" w:cs="Palatino Linotype"/>
          <w:i/>
          <w:sz w:val="22"/>
          <w:szCs w:val="22"/>
        </w:rPr>
        <w:lastRenderedPageBreak/>
        <w:t xml:space="preserve">modalidad, lo anterior en términos de los señalado por el artículo 155, fracción V, 158 y 164 de la Ley de Transparencia y Acceso a la Información Pública del Estado de México y Municipios. </w:t>
      </w:r>
    </w:p>
    <w:p w14:paraId="297E1AAF" w14:textId="77777777" w:rsidR="00B143DF" w:rsidRPr="00C93845" w:rsidRDefault="00BA62D1">
      <w:pPr>
        <w:widowControl w:val="0"/>
        <w:spacing w:before="120" w:after="120"/>
        <w:ind w:left="851" w:right="76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En este contexto, con fundamento en el artículo 14, fracciones I, II, V y XVI del Reglamento Interno del Instituto de Transparencia, Acceso a la Información Pública y Protección de Datos Personales del Estado de México y Municipios</w:t>
      </w:r>
      <w:r w:rsidRPr="00C93845">
        <w:rPr>
          <w:rFonts w:ascii="Palatino Linotype" w:eastAsia="Palatino Linotype" w:hAnsi="Palatino Linotype" w:cs="Palatino Linotype"/>
          <w:b/>
          <w:i/>
          <w:sz w:val="22"/>
          <w:szCs w:val="22"/>
        </w:rPr>
        <w:t>, con el objeto de contar con los elementos necesarios para la elaboración del proyecto de resolución correspondiente,</w:t>
      </w:r>
      <w:r w:rsidRPr="00C93845">
        <w:rPr>
          <w:rFonts w:ascii="Palatino Linotype" w:eastAsia="Palatino Linotype" w:hAnsi="Palatino Linotype" w:cs="Palatino Linotype"/>
          <w:i/>
          <w:sz w:val="22"/>
          <w:szCs w:val="22"/>
        </w:rPr>
        <w:t> se requiere al </w:t>
      </w:r>
      <w:r w:rsidRPr="00C93845">
        <w:rPr>
          <w:rFonts w:ascii="Palatino Linotype" w:eastAsia="Palatino Linotype" w:hAnsi="Palatino Linotype" w:cs="Palatino Linotype"/>
          <w:b/>
          <w:i/>
          <w:sz w:val="22"/>
          <w:szCs w:val="22"/>
        </w:rPr>
        <w:t>Sujeto Obligado,</w:t>
      </w:r>
      <w:r w:rsidRPr="00C93845">
        <w:rPr>
          <w:rFonts w:ascii="Palatino Linotype" w:eastAsia="Palatino Linotype" w:hAnsi="Palatino Linotype" w:cs="Palatino Linotype"/>
          <w:i/>
          <w:sz w:val="22"/>
          <w:szCs w:val="22"/>
        </w:rPr>
        <w:t> para que precise lo siguiente:</w:t>
      </w:r>
    </w:p>
    <w:p w14:paraId="65D28303" w14:textId="77777777" w:rsidR="00B143DF" w:rsidRPr="00C93845" w:rsidRDefault="00BA62D1">
      <w:pPr>
        <w:spacing w:before="120" w:after="120"/>
        <w:ind w:left="1134" w:right="76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1.</w:t>
      </w:r>
      <w:r w:rsidRPr="00C93845">
        <w:rPr>
          <w:rFonts w:ascii="Palatino Linotype" w:eastAsia="Palatino Linotype" w:hAnsi="Palatino Linotype" w:cs="Palatino Linotype"/>
          <w:i/>
          <w:sz w:val="22"/>
          <w:szCs w:val="22"/>
        </w:rPr>
        <w:t> Manifieste, de manera clara y precisa, las razones y fundamentos suficientes que impiden la entrega de la información a través del SAIMEX, esto es: si lo peticionado implica un análisis, procesamiento o estudio de documentos cuya reproducción sobrepasará las capacidades técnicas, administrativas y humanas del </w:t>
      </w:r>
      <w:r w:rsidRPr="00C93845">
        <w:rPr>
          <w:rFonts w:ascii="Palatino Linotype" w:eastAsia="Palatino Linotype" w:hAnsi="Palatino Linotype" w:cs="Palatino Linotype"/>
          <w:b/>
          <w:i/>
          <w:sz w:val="22"/>
          <w:szCs w:val="22"/>
        </w:rPr>
        <w:t>Sujeto Obligado; </w:t>
      </w:r>
      <w:r w:rsidRPr="00C93845">
        <w:rPr>
          <w:rFonts w:ascii="Palatino Linotype" w:eastAsia="Palatino Linotype" w:hAnsi="Palatino Linotype" w:cs="Palatino Linotype"/>
          <w:i/>
          <w:sz w:val="22"/>
          <w:szCs w:val="22"/>
        </w:rPr>
        <w:t>precisando, por ejemplo, el número de personas que se encuentran en las áreas competentes, </w:t>
      </w:r>
      <w:r w:rsidRPr="00C93845">
        <w:rPr>
          <w:rFonts w:ascii="Palatino Linotype" w:eastAsia="Palatino Linotype" w:hAnsi="Palatino Linotype" w:cs="Palatino Linotype"/>
          <w:b/>
          <w:i/>
          <w:sz w:val="22"/>
          <w:szCs w:val="22"/>
          <w:u w:val="single"/>
        </w:rPr>
        <w:t>el formato en que se encuentra la información</w:t>
      </w:r>
      <w:r w:rsidRPr="00C93845">
        <w:rPr>
          <w:rFonts w:ascii="Palatino Linotype" w:eastAsia="Palatino Linotype" w:hAnsi="Palatino Linotype" w:cs="Palatino Linotype"/>
          <w:b/>
          <w:i/>
          <w:sz w:val="22"/>
          <w:szCs w:val="22"/>
        </w:rPr>
        <w:t>, </w:t>
      </w:r>
      <w:r w:rsidRPr="00C93845">
        <w:rPr>
          <w:rFonts w:ascii="Palatino Linotype" w:eastAsia="Palatino Linotype" w:hAnsi="Palatino Linotype" w:cs="Palatino Linotype"/>
          <w:i/>
          <w:sz w:val="22"/>
          <w:szCs w:val="22"/>
        </w:rPr>
        <w:t>es decir</w:t>
      </w:r>
      <w:r w:rsidRPr="00C93845">
        <w:rPr>
          <w:rFonts w:ascii="Palatino Linotype" w:eastAsia="Palatino Linotype" w:hAnsi="Palatino Linotype" w:cs="Palatino Linotype"/>
          <w:b/>
          <w:i/>
          <w:sz w:val="22"/>
          <w:szCs w:val="22"/>
        </w:rPr>
        <w:t>, </w:t>
      </w:r>
      <w:r w:rsidRPr="00C93845">
        <w:rPr>
          <w:rFonts w:ascii="Palatino Linotype" w:eastAsia="Palatino Linotype" w:hAnsi="Palatino Linotype" w:cs="Palatino Linotype"/>
          <w:b/>
          <w:i/>
          <w:sz w:val="22"/>
          <w:szCs w:val="22"/>
          <w:u w:val="single"/>
        </w:rPr>
        <w:t>de manera digital o física</w:t>
      </w:r>
      <w:r w:rsidRPr="00C93845">
        <w:rPr>
          <w:rFonts w:ascii="Palatino Linotype" w:eastAsia="Palatino Linotype" w:hAnsi="Palatino Linotype" w:cs="Palatino Linotype"/>
          <w:i/>
          <w:sz w:val="22"/>
          <w:szCs w:val="22"/>
        </w:rPr>
        <w:t>; si lo peticionado se encuentra en uno o varios expedientes, etcétera.</w:t>
      </w:r>
    </w:p>
    <w:p w14:paraId="57F90951" w14:textId="77777777" w:rsidR="00B143DF" w:rsidRPr="00C93845" w:rsidRDefault="00BA62D1">
      <w:pPr>
        <w:spacing w:before="120" w:after="120"/>
        <w:ind w:left="1134" w:right="760"/>
        <w:jc w:val="both"/>
        <w:rPr>
          <w:rFonts w:ascii="Palatino Linotype" w:eastAsia="Palatino Linotype" w:hAnsi="Palatino Linotype" w:cs="Palatino Linotype"/>
          <w:b/>
          <w:i/>
          <w:sz w:val="22"/>
          <w:szCs w:val="22"/>
          <w:u w:val="single"/>
        </w:rPr>
      </w:pPr>
      <w:r w:rsidRPr="00C93845">
        <w:rPr>
          <w:rFonts w:ascii="Palatino Linotype" w:eastAsia="Palatino Linotype" w:hAnsi="Palatino Linotype" w:cs="Palatino Linotype"/>
          <w:b/>
          <w:i/>
          <w:sz w:val="22"/>
          <w:szCs w:val="22"/>
        </w:rPr>
        <w:t>2.</w:t>
      </w:r>
      <w:r w:rsidRPr="00C93845">
        <w:rPr>
          <w:rFonts w:ascii="Palatino Linotype" w:eastAsia="Palatino Linotype" w:hAnsi="Palatino Linotype" w:cs="Palatino Linotype"/>
          <w:i/>
          <w:sz w:val="22"/>
          <w:szCs w:val="22"/>
        </w:rPr>
        <w:t> </w:t>
      </w:r>
      <w:r w:rsidRPr="00C93845">
        <w:rPr>
          <w:rFonts w:ascii="Palatino Linotype" w:eastAsia="Palatino Linotype" w:hAnsi="Palatino Linotype" w:cs="Palatino Linotype"/>
          <w:b/>
          <w:i/>
          <w:sz w:val="22"/>
          <w:szCs w:val="22"/>
          <w:u w:val="single"/>
        </w:rPr>
        <w:t>Refiera con exactitud</w:t>
      </w:r>
      <w:r w:rsidRPr="00C93845">
        <w:rPr>
          <w:rFonts w:ascii="Palatino Linotype" w:eastAsia="Palatino Linotype" w:hAnsi="Palatino Linotype" w:cs="Palatino Linotype"/>
          <w:i/>
          <w:sz w:val="22"/>
          <w:szCs w:val="22"/>
        </w:rPr>
        <w:t>, el cúmulo de información de que se trata, </w:t>
      </w:r>
      <w:r w:rsidRPr="00C93845">
        <w:rPr>
          <w:rFonts w:ascii="Palatino Linotype" w:eastAsia="Palatino Linotype" w:hAnsi="Palatino Linotype" w:cs="Palatino Linotype"/>
          <w:b/>
          <w:i/>
          <w:sz w:val="22"/>
          <w:szCs w:val="22"/>
          <w:u w:val="single"/>
        </w:rPr>
        <w:t xml:space="preserve">señalando de manera clara el número de documentos generados en el periodo solicitado por requerimiento, esto es, en relación </w:t>
      </w:r>
      <w:r w:rsidRPr="00C93845">
        <w:rPr>
          <w:rFonts w:ascii="Palatino Linotype" w:eastAsia="Palatino Linotype" w:hAnsi="Palatino Linotype" w:cs="Palatino Linotype"/>
          <w:b/>
          <w:i/>
          <w:sz w:val="22"/>
          <w:szCs w:val="22"/>
        </w:rPr>
        <w:t>con el Programa Anual de Adquisiciones y el Diario General de Pólizas, del uno de enero de dos mil veintitrés al quince de julio de dos mil veinticuatro</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u w:val="single"/>
        </w:rPr>
        <w:t>así como el número de hojas o cuando menos un aproximado</w:t>
      </w:r>
      <w:r w:rsidRPr="00C93845">
        <w:rPr>
          <w:rFonts w:ascii="Palatino Linotype" w:eastAsia="Palatino Linotype" w:hAnsi="Palatino Linotype" w:cs="Palatino Linotype"/>
          <w:i/>
          <w:sz w:val="22"/>
          <w:szCs w:val="22"/>
        </w:rPr>
        <w:t>, y, </w:t>
      </w:r>
      <w:r w:rsidRPr="00C93845">
        <w:rPr>
          <w:rFonts w:ascii="Palatino Linotype" w:eastAsia="Palatino Linotype" w:hAnsi="Palatino Linotype" w:cs="Palatino Linotype"/>
          <w:b/>
          <w:i/>
          <w:sz w:val="22"/>
          <w:szCs w:val="22"/>
        </w:rPr>
        <w:t xml:space="preserve">sí excede las capacidades del SAIMEX, esto </w:t>
      </w:r>
      <w:r w:rsidRPr="00C93845">
        <w:rPr>
          <w:rFonts w:ascii="Palatino Linotype" w:eastAsia="Palatino Linotype" w:hAnsi="Palatino Linotype" w:cs="Palatino Linotype"/>
          <w:b/>
          <w:i/>
          <w:sz w:val="22"/>
          <w:szCs w:val="22"/>
          <w:u w:val="single"/>
        </w:rPr>
        <w:t>mediante el reporte de incidencias realizado el área de soporte técnico de la Dirección General de Informática del INFOEM.</w:t>
      </w:r>
    </w:p>
    <w:p w14:paraId="07E7529A" w14:textId="77777777" w:rsidR="00B143DF" w:rsidRPr="00C93845" w:rsidRDefault="00BA62D1">
      <w:pPr>
        <w:spacing w:before="120" w:after="120"/>
        <w:ind w:left="1134" w:right="760"/>
        <w:jc w:val="both"/>
        <w:rPr>
          <w:rFonts w:ascii="Calibri" w:eastAsia="Calibri" w:hAnsi="Calibri" w:cs="Calibri"/>
          <w:i/>
          <w:sz w:val="22"/>
          <w:szCs w:val="22"/>
        </w:rPr>
      </w:pPr>
      <w:r w:rsidRPr="00C93845">
        <w:rPr>
          <w:rFonts w:ascii="Palatino Linotype" w:eastAsia="Palatino Linotype" w:hAnsi="Palatino Linotype" w:cs="Palatino Linotype"/>
          <w:b/>
          <w:i/>
          <w:sz w:val="22"/>
          <w:szCs w:val="22"/>
        </w:rPr>
        <w:t>3. </w:t>
      </w:r>
      <w:r w:rsidRPr="00C93845">
        <w:rPr>
          <w:rFonts w:ascii="Palatino Linotype" w:eastAsia="Palatino Linotype" w:hAnsi="Palatino Linotype" w:cs="Palatino Linotype"/>
          <w:i/>
          <w:sz w:val="22"/>
          <w:szCs w:val="22"/>
        </w:rPr>
        <w:t xml:space="preserve">En caso de que la información solicitada sobrepase las capacidades técnicas del </w:t>
      </w:r>
      <w:r w:rsidRPr="00C93845">
        <w:rPr>
          <w:rFonts w:ascii="Palatino Linotype" w:eastAsia="Palatino Linotype" w:hAnsi="Palatino Linotype" w:cs="Palatino Linotype"/>
          <w:b/>
          <w:i/>
          <w:sz w:val="22"/>
          <w:szCs w:val="22"/>
        </w:rPr>
        <w:t>SAIMEX</w:t>
      </w:r>
      <w:r w:rsidRPr="00C93845">
        <w:rPr>
          <w:rFonts w:ascii="Palatino Linotype" w:eastAsia="Palatino Linotype" w:hAnsi="Palatino Linotype" w:cs="Palatino Linotype"/>
          <w:i/>
          <w:sz w:val="22"/>
          <w:szCs w:val="22"/>
        </w:rPr>
        <w:t>, así como administrativas y humanas del </w:t>
      </w:r>
      <w:r w:rsidRPr="00C93845">
        <w:rPr>
          <w:rFonts w:ascii="Palatino Linotype" w:eastAsia="Palatino Linotype" w:hAnsi="Palatino Linotype" w:cs="Palatino Linotype"/>
          <w:b/>
          <w:i/>
          <w:sz w:val="22"/>
          <w:szCs w:val="22"/>
        </w:rPr>
        <w:t>Sujeto Obligado,</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u w:val="single"/>
        </w:rPr>
        <w:t>remita los respectivos medios de convicción</w:t>
      </w:r>
      <w:r w:rsidRPr="00C93845">
        <w:rPr>
          <w:rFonts w:ascii="Palatino Linotype" w:eastAsia="Palatino Linotype" w:hAnsi="Palatino Linotype" w:cs="Palatino Linotype"/>
          <w:i/>
          <w:sz w:val="22"/>
          <w:szCs w:val="22"/>
        </w:rPr>
        <w:t>, pudiendo ser </w:t>
      </w:r>
      <w:r w:rsidRPr="00C93845">
        <w:rPr>
          <w:rFonts w:ascii="Palatino Linotype" w:eastAsia="Palatino Linotype" w:hAnsi="Palatino Linotype" w:cs="Palatino Linotype"/>
          <w:b/>
          <w:i/>
          <w:sz w:val="22"/>
          <w:szCs w:val="22"/>
          <w:u w:val="single"/>
        </w:rPr>
        <w:t>fotografías en el caso de expedientes físicos</w:t>
      </w:r>
      <w:r w:rsidRPr="00C93845">
        <w:rPr>
          <w:rFonts w:ascii="Palatino Linotype" w:eastAsia="Palatino Linotype" w:hAnsi="Palatino Linotype" w:cs="Palatino Linotype"/>
          <w:i/>
          <w:sz w:val="22"/>
          <w:szCs w:val="22"/>
        </w:rPr>
        <w:t>, o bien, </w:t>
      </w:r>
      <w:r w:rsidRPr="00C93845">
        <w:rPr>
          <w:rFonts w:ascii="Palatino Linotype" w:eastAsia="Palatino Linotype" w:hAnsi="Palatino Linotype" w:cs="Palatino Linotype"/>
          <w:b/>
          <w:i/>
          <w:sz w:val="22"/>
          <w:szCs w:val="22"/>
          <w:u w:val="single"/>
        </w:rPr>
        <w:t>documento que comprueben el peso aproximado de 3,516.00 Megabytes de la información, en caso de que se trate de expedientes electrónicos.</w:t>
      </w:r>
    </w:p>
    <w:p w14:paraId="5058A02E" w14:textId="77777777" w:rsidR="00B143DF" w:rsidRPr="00C93845" w:rsidRDefault="00BA62D1">
      <w:pPr>
        <w:spacing w:before="120" w:after="120"/>
        <w:ind w:left="1134" w:right="760"/>
        <w:jc w:val="both"/>
        <w:rPr>
          <w:rFonts w:ascii="Calibri" w:eastAsia="Calibri" w:hAnsi="Calibri" w:cs="Calibri"/>
          <w:i/>
          <w:sz w:val="22"/>
          <w:szCs w:val="22"/>
          <w:u w:val="single"/>
        </w:rPr>
      </w:pPr>
      <w:r w:rsidRPr="00C93845">
        <w:rPr>
          <w:rFonts w:ascii="Palatino Linotype" w:eastAsia="Palatino Linotype" w:hAnsi="Palatino Linotype" w:cs="Palatino Linotype"/>
          <w:b/>
          <w:i/>
          <w:sz w:val="22"/>
          <w:szCs w:val="22"/>
        </w:rPr>
        <w:t>4.</w:t>
      </w:r>
      <w:r w:rsidRPr="00C93845">
        <w:rPr>
          <w:rFonts w:ascii="Palatino Linotype" w:eastAsia="Palatino Linotype" w:hAnsi="Palatino Linotype" w:cs="Palatino Linotype"/>
          <w:i/>
          <w:sz w:val="22"/>
          <w:szCs w:val="22"/>
        </w:rPr>
        <w:t> Cualquier otro dato que permita esclarecer que el peso de los documentos mediante los cuales se dará respuesta a la solicitud, </w:t>
      </w:r>
      <w:r w:rsidRPr="00C93845">
        <w:rPr>
          <w:rFonts w:ascii="Palatino Linotype" w:eastAsia="Palatino Linotype" w:hAnsi="Palatino Linotype" w:cs="Palatino Linotype"/>
          <w:b/>
          <w:i/>
          <w:sz w:val="22"/>
          <w:szCs w:val="22"/>
          <w:u w:val="single"/>
        </w:rPr>
        <w:t>susceptibles de ser entregados de manera íntegra y/o en versión pública</w:t>
      </w:r>
      <w:r w:rsidRPr="00C93845">
        <w:rPr>
          <w:rFonts w:ascii="Palatino Linotype" w:eastAsia="Palatino Linotype" w:hAnsi="Palatino Linotype" w:cs="Palatino Linotype"/>
          <w:b/>
          <w:i/>
          <w:sz w:val="22"/>
          <w:szCs w:val="22"/>
        </w:rPr>
        <w:t xml:space="preserve">, corresponde a </w:t>
      </w:r>
      <w:r w:rsidRPr="00C93845">
        <w:rPr>
          <w:rFonts w:ascii="Palatino Linotype" w:eastAsia="Palatino Linotype" w:hAnsi="Palatino Linotype" w:cs="Palatino Linotype"/>
          <w:b/>
          <w:i/>
          <w:sz w:val="22"/>
          <w:szCs w:val="22"/>
          <w:u w:val="single"/>
        </w:rPr>
        <w:t xml:space="preserve">3,516.00 Megabytes </w:t>
      </w:r>
      <w:proofErr w:type="gramStart"/>
      <w:r w:rsidRPr="00C93845">
        <w:rPr>
          <w:rFonts w:ascii="Palatino Linotype" w:eastAsia="Palatino Linotype" w:hAnsi="Palatino Linotype" w:cs="Palatino Linotype"/>
          <w:b/>
          <w:i/>
          <w:sz w:val="22"/>
          <w:szCs w:val="22"/>
          <w:u w:val="single"/>
        </w:rPr>
        <w:t>y  sobrepasa</w:t>
      </w:r>
      <w:proofErr w:type="gramEnd"/>
      <w:r w:rsidRPr="00C93845">
        <w:rPr>
          <w:rFonts w:ascii="Palatino Linotype" w:eastAsia="Palatino Linotype" w:hAnsi="Palatino Linotype" w:cs="Palatino Linotype"/>
          <w:b/>
          <w:i/>
          <w:sz w:val="22"/>
          <w:szCs w:val="22"/>
          <w:u w:val="single"/>
        </w:rPr>
        <w:t xml:space="preserve"> las capacidades técnicas del SAIMEX.</w:t>
      </w:r>
    </w:p>
    <w:p w14:paraId="7305F46D" w14:textId="77777777" w:rsidR="00B143DF" w:rsidRPr="00C93845" w:rsidRDefault="00BA62D1">
      <w:pPr>
        <w:spacing w:before="120" w:after="120"/>
        <w:ind w:left="1134" w:right="760"/>
        <w:jc w:val="both"/>
        <w:rPr>
          <w:rFonts w:ascii="Palatino Linotype" w:eastAsia="Palatino Linotype" w:hAnsi="Palatino Linotype" w:cs="Palatino Linotype"/>
          <w:b/>
          <w:i/>
          <w:sz w:val="22"/>
          <w:szCs w:val="22"/>
          <w:u w:val="single"/>
        </w:rPr>
      </w:pPr>
      <w:r w:rsidRPr="00C93845">
        <w:rPr>
          <w:rFonts w:ascii="Palatino Linotype" w:eastAsia="Palatino Linotype" w:hAnsi="Palatino Linotype" w:cs="Palatino Linotype"/>
          <w:b/>
          <w:i/>
          <w:sz w:val="22"/>
          <w:szCs w:val="22"/>
        </w:rPr>
        <w:lastRenderedPageBreak/>
        <w:t>5.</w:t>
      </w:r>
      <w:r w:rsidRPr="00C93845">
        <w:rPr>
          <w:rFonts w:ascii="Palatino Linotype" w:eastAsia="Palatino Linotype" w:hAnsi="Palatino Linotype" w:cs="Palatino Linotype"/>
          <w:i/>
          <w:sz w:val="22"/>
          <w:szCs w:val="22"/>
        </w:rPr>
        <w:t> Finalmente, remita por este medio, </w:t>
      </w:r>
      <w:r w:rsidRPr="00C93845">
        <w:rPr>
          <w:rFonts w:ascii="Palatino Linotype" w:eastAsia="Palatino Linotype" w:hAnsi="Palatino Linotype" w:cs="Palatino Linotype"/>
          <w:b/>
          <w:i/>
          <w:sz w:val="22"/>
          <w:szCs w:val="22"/>
          <w:u w:val="single"/>
        </w:rPr>
        <w:t>a manera de ejemplo</w:t>
      </w:r>
      <w:r w:rsidRPr="00C93845">
        <w:rPr>
          <w:rFonts w:ascii="Palatino Linotype" w:eastAsia="Palatino Linotype" w:hAnsi="Palatino Linotype" w:cs="Palatino Linotype"/>
          <w:i/>
          <w:sz w:val="22"/>
          <w:szCs w:val="22"/>
        </w:rPr>
        <w:t xml:space="preserve">, un documento que forme parte de la información susceptible de entrega (en versión pública de ser necesario). </w:t>
      </w:r>
      <w:r w:rsidRPr="00C93845">
        <w:rPr>
          <w:rFonts w:ascii="Palatino Linotype" w:eastAsia="Palatino Linotype" w:hAnsi="Palatino Linotype" w:cs="Palatino Linotype"/>
          <w:b/>
          <w:i/>
          <w:sz w:val="22"/>
          <w:szCs w:val="22"/>
          <w:u w:val="single"/>
        </w:rPr>
        <w:t>Dicho documento deberá digitalizarse en resolución máxima de 150Dpi's, escala de grises y formato "PDF", extraído directamente del escáner.</w:t>
      </w:r>
    </w:p>
    <w:p w14:paraId="467EF322" w14:textId="77777777" w:rsidR="00B143DF" w:rsidRPr="00C93845" w:rsidRDefault="00BA62D1">
      <w:pPr>
        <w:spacing w:before="120" w:after="120"/>
        <w:ind w:left="851" w:right="76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Asimismo, la información que se solicita deberá ser entregada a este Instituto en un lapso no mayor a tres días, a través del sistema SAIMEX, en el apartado de manifestaciones, o a través de correo electrónico…”</w:t>
      </w:r>
    </w:p>
    <w:p w14:paraId="0F422ACF" w14:textId="77777777" w:rsidR="00B143DF" w:rsidRPr="00C93845" w:rsidRDefault="00BA62D1">
      <w:pPr>
        <w:widowControl w:val="0"/>
        <w:spacing w:before="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b/>
        </w:rPr>
        <w:t>8. Solicitud de reporte de incidencia.</w:t>
      </w:r>
      <w:r w:rsidRPr="00C93845">
        <w:rPr>
          <w:rFonts w:ascii="Palatino Linotype" w:eastAsia="Palatino Linotype" w:hAnsi="Palatino Linotype" w:cs="Palatino Linotype"/>
        </w:rPr>
        <w:t xml:space="preserve"> El </w:t>
      </w:r>
      <w:r w:rsidRPr="00C93845">
        <w:rPr>
          <w:rFonts w:ascii="Palatino Linotype" w:eastAsia="Palatino Linotype" w:hAnsi="Palatino Linotype" w:cs="Palatino Linotype"/>
          <w:b/>
        </w:rPr>
        <w:t xml:space="preserve">veintinueve de octubre de dos mil veinticuatro, </w:t>
      </w:r>
      <w:r w:rsidRPr="00C93845">
        <w:rPr>
          <w:rFonts w:ascii="Palatino Linotype" w:eastAsia="Palatino Linotype" w:hAnsi="Palatino Linotype" w:cs="Palatino Linotype"/>
        </w:rPr>
        <w:t xml:space="preserve">se realizó la consulta, a través de correo electrónico, a la Dirección General de Informática de este Instituto sobre las incidencias presentadas por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para atender la solicitud de información dio origen al recurso de revisión que se resuelve, tal como se advierte a continuación:</w:t>
      </w:r>
    </w:p>
    <w:p w14:paraId="7870F74D" w14:textId="77777777" w:rsidR="00B143DF" w:rsidRPr="00C93845" w:rsidRDefault="00BA62D1">
      <w:pPr>
        <w:widowControl w:val="0"/>
        <w:spacing w:before="240" w:line="360" w:lineRule="auto"/>
        <w:jc w:val="center"/>
        <w:rPr>
          <w:rFonts w:ascii="Palatino Linotype" w:eastAsia="Palatino Linotype" w:hAnsi="Palatino Linotype" w:cs="Palatino Linotype"/>
        </w:rPr>
      </w:pPr>
      <w:r w:rsidRPr="00C93845">
        <w:rPr>
          <w:rFonts w:ascii="Palatino Linotype" w:eastAsia="Palatino Linotype" w:hAnsi="Palatino Linotype" w:cs="Palatino Linotype"/>
          <w:noProof/>
        </w:rPr>
        <w:drawing>
          <wp:inline distT="0" distB="0" distL="0" distR="0" wp14:anchorId="528BF754" wp14:editId="5E9C4282">
            <wp:extent cx="4860000" cy="1238921"/>
            <wp:effectExtent l="0" t="0" r="0" b="0"/>
            <wp:docPr id="19520825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860000" cy="1238921"/>
                    </a:xfrm>
                    <a:prstGeom prst="rect">
                      <a:avLst/>
                    </a:prstGeom>
                    <a:ln/>
                  </pic:spPr>
                </pic:pic>
              </a:graphicData>
            </a:graphic>
          </wp:inline>
        </w:drawing>
      </w:r>
    </w:p>
    <w:p w14:paraId="20CC3657" w14:textId="77777777" w:rsidR="00B143DF" w:rsidRPr="00C93845" w:rsidRDefault="00BA62D1">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b/>
        </w:rPr>
        <w:t xml:space="preserve">9. Reporte de incidencia. </w:t>
      </w:r>
      <w:r w:rsidRPr="00C93845">
        <w:rPr>
          <w:rFonts w:ascii="Palatino Linotype" w:eastAsia="Palatino Linotype" w:hAnsi="Palatino Linotype" w:cs="Palatino Linotype"/>
        </w:rPr>
        <w:t xml:space="preserve">El </w:t>
      </w:r>
      <w:r w:rsidRPr="00C93845">
        <w:rPr>
          <w:rFonts w:ascii="Palatino Linotype" w:eastAsia="Palatino Linotype" w:hAnsi="Palatino Linotype" w:cs="Palatino Linotype"/>
          <w:b/>
        </w:rPr>
        <w:t xml:space="preserve">veintinueve de octubre de dos mil veinticuatro, </w:t>
      </w:r>
      <w:r w:rsidRPr="00C93845">
        <w:rPr>
          <w:rFonts w:ascii="Palatino Linotype" w:eastAsia="Palatino Linotype" w:hAnsi="Palatino Linotype" w:cs="Palatino Linotype"/>
        </w:rPr>
        <w:t xml:space="preserve">la Dirección General de Informática, informó que </w:t>
      </w:r>
      <w:r w:rsidRPr="00C93845">
        <w:rPr>
          <w:rFonts w:ascii="Palatino Linotype" w:eastAsia="Palatino Linotype" w:hAnsi="Palatino Linotype" w:cs="Palatino Linotype"/>
          <w:b/>
        </w:rPr>
        <w:t xml:space="preserve">se tenía registro de incidencia por parte del Sujeto Obligado </w:t>
      </w:r>
      <w:r w:rsidRPr="00C93845">
        <w:rPr>
          <w:rFonts w:ascii="Palatino Linotype" w:eastAsia="Palatino Linotype" w:hAnsi="Palatino Linotype" w:cs="Palatino Linotype"/>
        </w:rPr>
        <w:t>en comento</w:t>
      </w:r>
      <w:r w:rsidRPr="00C93845">
        <w:rPr>
          <w:rFonts w:ascii="Palatino Linotype" w:eastAsia="Palatino Linotype" w:hAnsi="Palatino Linotype" w:cs="Palatino Linotype"/>
          <w:b/>
        </w:rPr>
        <w:t xml:space="preserve">, </w:t>
      </w:r>
      <w:r w:rsidRPr="00C93845">
        <w:rPr>
          <w:rFonts w:ascii="Palatino Linotype" w:eastAsia="Palatino Linotype" w:hAnsi="Palatino Linotype" w:cs="Palatino Linotype"/>
        </w:rPr>
        <w:t>como se advierte a continuación:</w:t>
      </w:r>
    </w:p>
    <w:p w14:paraId="554D7AB3" w14:textId="77777777" w:rsidR="00B143DF" w:rsidRPr="00C93845" w:rsidRDefault="00BA62D1">
      <w:pPr>
        <w:pBdr>
          <w:top w:val="nil"/>
          <w:left w:val="nil"/>
          <w:bottom w:val="nil"/>
          <w:right w:val="nil"/>
          <w:between w:val="nil"/>
        </w:pBdr>
        <w:spacing w:line="360" w:lineRule="auto"/>
        <w:ind w:right="49"/>
        <w:jc w:val="center"/>
        <w:rPr>
          <w:rFonts w:ascii="Palatino Linotype" w:eastAsia="Palatino Linotype" w:hAnsi="Palatino Linotype" w:cs="Palatino Linotype"/>
          <w:b/>
        </w:rPr>
      </w:pPr>
      <w:r w:rsidRPr="00C93845">
        <w:rPr>
          <w:rFonts w:ascii="Palatino Linotype" w:eastAsia="Palatino Linotype" w:hAnsi="Palatino Linotype" w:cs="Palatino Linotype"/>
          <w:b/>
          <w:noProof/>
        </w:rPr>
        <w:drawing>
          <wp:inline distT="0" distB="0" distL="0" distR="0" wp14:anchorId="2BB04BC5" wp14:editId="2557968A">
            <wp:extent cx="4860000" cy="1123992"/>
            <wp:effectExtent l="0" t="0" r="0" b="0"/>
            <wp:docPr id="19520825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860000" cy="1123992"/>
                    </a:xfrm>
                    <a:prstGeom prst="rect">
                      <a:avLst/>
                    </a:prstGeom>
                    <a:ln/>
                  </pic:spPr>
                </pic:pic>
              </a:graphicData>
            </a:graphic>
          </wp:inline>
        </w:drawing>
      </w:r>
    </w:p>
    <w:p w14:paraId="18690FBA" w14:textId="77777777" w:rsidR="00B143DF" w:rsidRPr="00C93845" w:rsidRDefault="00B143DF">
      <w:pPr>
        <w:spacing w:before="240" w:after="240" w:line="360" w:lineRule="auto"/>
        <w:jc w:val="both"/>
        <w:rPr>
          <w:rFonts w:ascii="Palatino Linotype" w:eastAsia="Palatino Linotype" w:hAnsi="Palatino Linotype" w:cs="Palatino Linotype"/>
        </w:rPr>
      </w:pPr>
    </w:p>
    <w:p w14:paraId="118D1F3A"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 xml:space="preserve">Anexos: </w:t>
      </w:r>
    </w:p>
    <w:p w14:paraId="6DF3A093"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 Oficio número INFOEM/DGI/593/2024, del diecinueve de agosto de dos mil veinticuatro, mediante el cual el </w:t>
      </w:r>
      <w:proofErr w:type="gramStart"/>
      <w:r w:rsidRPr="00C93845">
        <w:rPr>
          <w:rFonts w:ascii="Palatino Linotype" w:eastAsia="Palatino Linotype" w:hAnsi="Palatino Linotype" w:cs="Palatino Linotype"/>
        </w:rPr>
        <w:t>Director General</w:t>
      </w:r>
      <w:proofErr w:type="gramEnd"/>
      <w:r w:rsidRPr="00C93845">
        <w:rPr>
          <w:rFonts w:ascii="Palatino Linotype" w:eastAsia="Palatino Linotype" w:hAnsi="Palatino Linotype" w:cs="Palatino Linotype"/>
        </w:rPr>
        <w:t xml:space="preserve"> de Informática, comunica al Titular de la Unidad de Transparencia del Sujeto Obligado, que la incidencia técnica ha quedado registrada, al tratar de subir un peso de 3,516 MB, lo cual sobrepasa las capacidades técnicas del sistema SAIMEX, el cual se agrega a continuación para mejor referencia.</w:t>
      </w:r>
    </w:p>
    <w:p w14:paraId="3664238F" w14:textId="77777777" w:rsidR="00B143DF" w:rsidRPr="00C93845" w:rsidRDefault="00BA62D1">
      <w:pPr>
        <w:spacing w:before="240" w:after="240" w:line="360" w:lineRule="auto"/>
        <w:jc w:val="center"/>
      </w:pPr>
      <w:r w:rsidRPr="00C93845">
        <w:rPr>
          <w:rFonts w:ascii="Palatino Linotype" w:eastAsia="Palatino Linotype" w:hAnsi="Palatino Linotype" w:cs="Palatino Linotype"/>
          <w:b/>
          <w:noProof/>
        </w:rPr>
        <w:drawing>
          <wp:inline distT="0" distB="0" distL="0" distR="0" wp14:anchorId="2C36FB09" wp14:editId="54494602">
            <wp:extent cx="4248000" cy="4050492"/>
            <wp:effectExtent l="0" t="0" r="0" b="0"/>
            <wp:docPr id="19520825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t="2479" b="-94"/>
                    <a:stretch>
                      <a:fillRect/>
                    </a:stretch>
                  </pic:blipFill>
                  <pic:spPr>
                    <a:xfrm>
                      <a:off x="0" y="0"/>
                      <a:ext cx="4248000" cy="4050492"/>
                    </a:xfrm>
                    <a:prstGeom prst="rect">
                      <a:avLst/>
                    </a:prstGeom>
                    <a:ln/>
                  </pic:spPr>
                </pic:pic>
              </a:graphicData>
            </a:graphic>
          </wp:inline>
        </w:drawing>
      </w:r>
    </w:p>
    <w:p w14:paraId="3AB4FE0A" w14:textId="77777777" w:rsidR="00B143DF" w:rsidRPr="00C93845" w:rsidRDefault="00BA62D1">
      <w:pPr>
        <w:widowControl w:val="0"/>
        <w:spacing w:before="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b/>
        </w:rPr>
        <w:t>10. Ampliación del término para resolver</w:t>
      </w:r>
      <w:r w:rsidRPr="00C93845">
        <w:rPr>
          <w:rFonts w:ascii="Palatino Linotype" w:eastAsia="Palatino Linotype" w:hAnsi="Palatino Linotype" w:cs="Palatino Linotype"/>
        </w:rPr>
        <w:t xml:space="preserve">. El </w:t>
      </w:r>
      <w:r w:rsidRPr="00C93845">
        <w:rPr>
          <w:rFonts w:ascii="Palatino Linotype" w:eastAsia="Palatino Linotype" w:hAnsi="Palatino Linotype" w:cs="Palatino Linotype"/>
          <w:b/>
        </w:rPr>
        <w:t>veintinueve de octubre de dos mil veinticuatro</w:t>
      </w:r>
      <w:r w:rsidRPr="00C93845">
        <w:rPr>
          <w:rFonts w:ascii="Palatino Linotype" w:eastAsia="Palatino Linotype" w:hAnsi="Palatino Linotype" w:cs="Palatino Linotype"/>
        </w:rPr>
        <w:t xml:space="preserve">, se amplió el término para resolver el recurso de revisión en términos del artículo 181 párrafo tercero de la Ley de Transparencia y Acceso a la Información </w:t>
      </w:r>
      <w:r w:rsidRPr="00C93845">
        <w:rPr>
          <w:rFonts w:ascii="Palatino Linotype" w:eastAsia="Palatino Linotype" w:hAnsi="Palatino Linotype" w:cs="Palatino Linotype"/>
        </w:rPr>
        <w:lastRenderedPageBreak/>
        <w:t>Pública del Estado de México y Municipios.</w:t>
      </w:r>
    </w:p>
    <w:p w14:paraId="4C829E59" w14:textId="77777777" w:rsidR="00B143DF" w:rsidRPr="00C93845" w:rsidRDefault="00BA62D1">
      <w:pP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b/>
        </w:rPr>
        <w:t xml:space="preserve">11. Desahogo del requerimiento de información adicional. </w:t>
      </w:r>
      <w:r w:rsidRPr="00C93845">
        <w:rPr>
          <w:rFonts w:ascii="Palatino Linotype" w:eastAsia="Palatino Linotype" w:hAnsi="Palatino Linotype" w:cs="Palatino Linotype"/>
        </w:rPr>
        <w:t xml:space="preserve">El </w:t>
      </w:r>
      <w:r w:rsidRPr="00C93845">
        <w:rPr>
          <w:rFonts w:ascii="Palatino Linotype" w:eastAsia="Palatino Linotype" w:hAnsi="Palatino Linotype" w:cs="Palatino Linotype"/>
          <w:b/>
        </w:rPr>
        <w:t xml:space="preserve">cuatro de noviembre de dos mil veinticuatro, </w:t>
      </w:r>
      <w:proofErr w:type="gramStart"/>
      <w:r w:rsidRPr="00C93845">
        <w:rPr>
          <w:rFonts w:ascii="Palatino Linotype" w:eastAsia="Palatino Linotype" w:hAnsi="Palatino Linotype" w:cs="Palatino Linotype"/>
        </w:rPr>
        <w:t>el</w:t>
      </w:r>
      <w:r w:rsidRPr="00C93845">
        <w:rPr>
          <w:rFonts w:ascii="Palatino Linotype" w:eastAsia="Palatino Linotype" w:hAnsi="Palatino Linotype" w:cs="Palatino Linotype"/>
          <w:b/>
        </w:rPr>
        <w:t xml:space="preserve"> </w:t>
      </w:r>
      <w:r w:rsidRPr="00C93845">
        <w:rPr>
          <w:rFonts w:ascii="Palatino Linotype" w:eastAsia="Palatino Linotype" w:hAnsi="Palatino Linotype" w:cs="Palatino Linotype"/>
        </w:rPr>
        <w:t xml:space="preserve"> </w:t>
      </w:r>
      <w:r w:rsidRPr="00C93845">
        <w:rPr>
          <w:rFonts w:ascii="Palatino Linotype" w:eastAsia="Palatino Linotype" w:hAnsi="Palatino Linotype" w:cs="Palatino Linotype"/>
          <w:b/>
        </w:rPr>
        <w:t>Sujeto</w:t>
      </w:r>
      <w:proofErr w:type="gramEnd"/>
      <w:r w:rsidRPr="00C93845">
        <w:rPr>
          <w:rFonts w:ascii="Palatino Linotype" w:eastAsia="Palatino Linotype" w:hAnsi="Palatino Linotype" w:cs="Palatino Linotype"/>
          <w:b/>
        </w:rPr>
        <w:t xml:space="preserve"> Obligado, </w:t>
      </w:r>
      <w:r w:rsidRPr="00C93845">
        <w:rPr>
          <w:rFonts w:ascii="Palatino Linotype" w:eastAsia="Palatino Linotype" w:hAnsi="Palatino Linotype" w:cs="Palatino Linotype"/>
        </w:rPr>
        <w:t>remitió mediante correo electrónico, el oficio número TM/0387/2024, de fecha veintinueve de octubre de dos mil veinticuatro, mediante el cual el Tesorero Municipal desahogó el requerimiento de información adicional, medularmente en los siguientes términos:</w:t>
      </w:r>
    </w:p>
    <w:p w14:paraId="4A019892" w14:textId="77777777" w:rsidR="00B143DF" w:rsidRPr="00C93845" w:rsidRDefault="00BA62D1">
      <w:pPr>
        <w:widowControl w:val="0"/>
        <w:spacing w:before="240" w:after="240" w:line="360" w:lineRule="auto"/>
        <w:jc w:val="center"/>
        <w:rPr>
          <w:rFonts w:ascii="Palatino Linotype" w:eastAsia="Palatino Linotype" w:hAnsi="Palatino Linotype" w:cs="Palatino Linotype"/>
        </w:rPr>
      </w:pPr>
      <w:r w:rsidRPr="00C93845">
        <w:rPr>
          <w:rFonts w:ascii="Palatino Linotype" w:eastAsia="Palatino Linotype" w:hAnsi="Palatino Linotype" w:cs="Palatino Linotype"/>
          <w:noProof/>
        </w:rPr>
        <w:drawing>
          <wp:inline distT="0" distB="0" distL="0" distR="0" wp14:anchorId="1A0FAE58" wp14:editId="66A023DC">
            <wp:extent cx="5220000" cy="2932484"/>
            <wp:effectExtent l="0" t="0" r="0" b="0"/>
            <wp:docPr id="19520825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220000" cy="2932484"/>
                    </a:xfrm>
                    <a:prstGeom prst="rect">
                      <a:avLst/>
                    </a:prstGeom>
                    <a:ln/>
                  </pic:spPr>
                </pic:pic>
              </a:graphicData>
            </a:graphic>
          </wp:inline>
        </w:drawing>
      </w:r>
      <w:r w:rsidRPr="00C93845">
        <w:rPr>
          <w:rFonts w:ascii="Palatino Linotype" w:eastAsia="Palatino Linotype" w:hAnsi="Palatino Linotype" w:cs="Palatino Linotype"/>
          <w:noProof/>
        </w:rPr>
        <w:drawing>
          <wp:inline distT="0" distB="0" distL="0" distR="0" wp14:anchorId="288C8A1D" wp14:editId="329B302F">
            <wp:extent cx="5220000" cy="1001709"/>
            <wp:effectExtent l="0" t="0" r="0" b="0"/>
            <wp:docPr id="19520825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220000" cy="1001709"/>
                    </a:xfrm>
                    <a:prstGeom prst="rect">
                      <a:avLst/>
                    </a:prstGeom>
                    <a:ln/>
                  </pic:spPr>
                </pic:pic>
              </a:graphicData>
            </a:graphic>
          </wp:inline>
        </w:drawing>
      </w:r>
    </w:p>
    <w:p w14:paraId="3A46E385" w14:textId="77777777" w:rsidR="00B143DF" w:rsidRPr="00C93845" w:rsidRDefault="00BA62D1">
      <w:pPr>
        <w:widowControl w:val="0"/>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Anexos:</w:t>
      </w:r>
    </w:p>
    <w:p w14:paraId="4C932DEC" w14:textId="77777777" w:rsidR="00B143DF" w:rsidRPr="00C93845" w:rsidRDefault="00BA62D1">
      <w:pPr>
        <w:widowControl w:val="0"/>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 Oficio número UT/143-2-2024, del quince de agosto de dos mil veinticuatro, mediante el cual el Titular de la Unidad de Transparencia solicita al Director General </w:t>
      </w:r>
      <w:r w:rsidRPr="00C93845">
        <w:rPr>
          <w:rFonts w:ascii="Palatino Linotype" w:eastAsia="Palatino Linotype" w:hAnsi="Palatino Linotype" w:cs="Palatino Linotype"/>
        </w:rPr>
        <w:lastRenderedPageBreak/>
        <w:t xml:space="preserve">de Informática de este Instituto el registro en la bitácora de incidencias, la imposibilidad técnica para dar respuesta a la solicitud de información 00094/TEMOAYA/IP/2024, a través de la plataforma SAIMEX, en virtud de que, de conformidad con lo manifestado por el servidor público habilitado de la Tesorería Municipal, los documentos con los cuales se daría respuesta, constan de un peso de 3,516.00 Megabytes. </w:t>
      </w:r>
    </w:p>
    <w:p w14:paraId="455590F3" w14:textId="77777777" w:rsidR="00B143DF" w:rsidRPr="00C93845" w:rsidRDefault="00BA62D1">
      <w:pPr>
        <w:widowControl w:val="0"/>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Captura de pantalla de las propiedades del archivo que contiene los documentos con los cuales se daría respuesta a la solicitud, en donde se advierte el peso de la información.</w:t>
      </w:r>
    </w:p>
    <w:p w14:paraId="7EA6886D" w14:textId="77777777" w:rsidR="00B143DF" w:rsidRPr="00C93845" w:rsidRDefault="00BA62D1">
      <w:pPr>
        <w:widowControl w:val="0"/>
        <w:spacing w:before="240" w:after="240" w:line="360" w:lineRule="auto"/>
        <w:jc w:val="center"/>
        <w:rPr>
          <w:rFonts w:ascii="Palatino Linotype" w:eastAsia="Palatino Linotype" w:hAnsi="Palatino Linotype" w:cs="Palatino Linotype"/>
        </w:rPr>
      </w:pPr>
      <w:r w:rsidRPr="00C93845">
        <w:rPr>
          <w:rFonts w:ascii="Palatino Linotype" w:eastAsia="Palatino Linotype" w:hAnsi="Palatino Linotype" w:cs="Palatino Linotype"/>
          <w:noProof/>
        </w:rPr>
        <w:drawing>
          <wp:inline distT="0" distB="0" distL="0" distR="0" wp14:anchorId="06945704" wp14:editId="03DAE310">
            <wp:extent cx="2340000" cy="3085052"/>
            <wp:effectExtent l="0" t="0" r="0" b="0"/>
            <wp:docPr id="19520825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340000" cy="3085052"/>
                    </a:xfrm>
                    <a:prstGeom prst="rect">
                      <a:avLst/>
                    </a:prstGeom>
                    <a:ln/>
                  </pic:spPr>
                </pic:pic>
              </a:graphicData>
            </a:graphic>
          </wp:inline>
        </w:drawing>
      </w:r>
    </w:p>
    <w:p w14:paraId="55CCA8BE"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 Oficio número INFOEM/DGI/593/2024, del diecinueve de agosto de dos mil veinticuatro, emitido por el </w:t>
      </w:r>
      <w:proofErr w:type="gramStart"/>
      <w:r w:rsidRPr="00C93845">
        <w:rPr>
          <w:rFonts w:ascii="Palatino Linotype" w:eastAsia="Palatino Linotype" w:hAnsi="Palatino Linotype" w:cs="Palatino Linotype"/>
        </w:rPr>
        <w:t>Director General</w:t>
      </w:r>
      <w:proofErr w:type="gramEnd"/>
      <w:r w:rsidRPr="00C93845">
        <w:rPr>
          <w:rFonts w:ascii="Palatino Linotype" w:eastAsia="Palatino Linotype" w:hAnsi="Palatino Linotype" w:cs="Palatino Linotype"/>
        </w:rPr>
        <w:t xml:space="preserve"> de Informática, referido con antelación.</w:t>
      </w:r>
    </w:p>
    <w:p w14:paraId="277277A3" w14:textId="77777777" w:rsidR="00B143DF" w:rsidRPr="00C93845" w:rsidRDefault="00BA62D1">
      <w:pPr>
        <w:spacing w:before="240" w:after="240" w:line="360" w:lineRule="auto"/>
        <w:jc w:val="both"/>
        <w:rPr>
          <w:rFonts w:ascii="Palatino Linotype" w:eastAsia="Palatino Linotype" w:hAnsi="Palatino Linotype" w:cs="Palatino Linotype"/>
        </w:rPr>
      </w:pPr>
      <w:bookmarkStart w:id="5" w:name="_heading=h.1ksv4uv" w:colFirst="0" w:colLast="0"/>
      <w:bookmarkEnd w:id="5"/>
      <w:r w:rsidRPr="00C93845">
        <w:rPr>
          <w:rFonts w:ascii="Palatino Linotype" w:eastAsia="Palatino Linotype" w:hAnsi="Palatino Linotype" w:cs="Palatino Linotype"/>
        </w:rPr>
        <w:lastRenderedPageBreak/>
        <w:t>- Digitalización de la hoja 336 de 336 del Diario General de Pólizas del 1 al 30 de septiembre de 2024, la cual fue extraída directamente del escáner, como ejemplo.</w:t>
      </w:r>
    </w:p>
    <w:p w14:paraId="6D64704B"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b/>
        </w:rPr>
        <w:t>12.</w:t>
      </w:r>
      <w:r w:rsidRPr="00C93845">
        <w:rPr>
          <w:rFonts w:ascii="Palatino Linotype" w:eastAsia="Palatino Linotype" w:hAnsi="Palatino Linotype" w:cs="Palatino Linotype"/>
        </w:rPr>
        <w:t xml:space="preserve"> </w:t>
      </w:r>
      <w:r w:rsidRPr="00C93845">
        <w:rPr>
          <w:rFonts w:ascii="Palatino Linotype" w:eastAsia="Palatino Linotype" w:hAnsi="Palatino Linotype" w:cs="Palatino Linotype"/>
          <w:b/>
        </w:rPr>
        <w:t xml:space="preserve">Cierre de instrucción. </w:t>
      </w:r>
      <w:r w:rsidRPr="00C93845">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C93845">
        <w:rPr>
          <w:rFonts w:ascii="Palatino Linotype" w:eastAsia="Palatino Linotype" w:hAnsi="Palatino Linotype" w:cs="Palatino Linotype"/>
          <w:b/>
        </w:rPr>
        <w:t>cuatro de noviembre de dos mil veinticuatro</w:t>
      </w:r>
      <w:r w:rsidRPr="00C9384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134E369"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504F7DB" w14:textId="77777777" w:rsidR="00B143DF" w:rsidRPr="00C93845" w:rsidRDefault="00BA62D1">
      <w:pPr>
        <w:widowControl w:val="0"/>
        <w:spacing w:before="240" w:after="240" w:line="360" w:lineRule="auto"/>
        <w:jc w:val="center"/>
        <w:rPr>
          <w:rFonts w:ascii="Palatino Linotype" w:eastAsia="Palatino Linotype" w:hAnsi="Palatino Linotype" w:cs="Palatino Linotype"/>
          <w:b/>
        </w:rPr>
      </w:pPr>
      <w:r w:rsidRPr="00C93845">
        <w:rPr>
          <w:rFonts w:ascii="Palatino Linotype" w:eastAsia="Palatino Linotype" w:hAnsi="Palatino Linotype" w:cs="Palatino Linotype"/>
          <w:b/>
        </w:rPr>
        <w:t>II. C O N S I D E R A N D O S</w:t>
      </w:r>
    </w:p>
    <w:p w14:paraId="4AA555B0"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b/>
        </w:rPr>
        <w:t>Primero. Competencia.</w:t>
      </w:r>
      <w:r w:rsidRPr="00C9384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3D52591" w14:textId="77777777" w:rsidR="00B143DF" w:rsidRPr="00C93845" w:rsidRDefault="00BA62D1">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C93845">
        <w:rPr>
          <w:rFonts w:ascii="Palatino Linotype" w:eastAsia="Palatino Linotype" w:hAnsi="Palatino Linotype" w:cs="Palatino Linotype"/>
          <w:b/>
        </w:rPr>
        <w:lastRenderedPageBreak/>
        <w:t>Segundo. Oportunidad y Procedibilidad del Recurso de Revisión</w:t>
      </w:r>
      <w:r w:rsidRPr="00C9384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0F0357"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 xml:space="preserve">remitió la respuesta a la solicitud de información el día </w:t>
      </w:r>
      <w:r w:rsidRPr="00C93845">
        <w:rPr>
          <w:rFonts w:ascii="Palatino Linotype" w:eastAsia="Palatino Linotype" w:hAnsi="Palatino Linotype" w:cs="Palatino Linotype"/>
          <w:b/>
        </w:rPr>
        <w:t>diecinueve de agosto de dos mil veinticuatro</w:t>
      </w:r>
      <w:r w:rsidRPr="00C93845">
        <w:rPr>
          <w:rFonts w:ascii="Palatino Linotype" w:eastAsia="Palatino Linotype" w:hAnsi="Palatino Linotype" w:cs="Palatino Linotype"/>
        </w:rPr>
        <w:t>,</w:t>
      </w:r>
      <w:r w:rsidRPr="00C93845">
        <w:rPr>
          <w:rFonts w:ascii="Palatino Linotype" w:eastAsia="Palatino Linotype" w:hAnsi="Palatino Linotype" w:cs="Palatino Linotype"/>
          <w:b/>
        </w:rPr>
        <w:t xml:space="preserve"> </w:t>
      </w:r>
      <w:r w:rsidRPr="00C93845">
        <w:rPr>
          <w:rFonts w:ascii="Palatino Linotype" w:eastAsia="Palatino Linotype" w:hAnsi="Palatino Linotype" w:cs="Palatino Linotype"/>
        </w:rPr>
        <w:t xml:space="preserve">mientras que el recurso de revisión interpuesto por 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xml:space="preserve">, se tuvo por presentado el día </w:t>
      </w:r>
      <w:r w:rsidRPr="00C93845">
        <w:rPr>
          <w:rFonts w:ascii="Palatino Linotype" w:eastAsia="Palatino Linotype" w:hAnsi="Palatino Linotype" w:cs="Palatino Linotype"/>
          <w:b/>
        </w:rPr>
        <w:t>dos de septiembre de dos mil veinticuatro</w:t>
      </w:r>
      <w:r w:rsidRPr="00C93845">
        <w:rPr>
          <w:rFonts w:ascii="Palatino Linotype" w:eastAsia="Palatino Linotype" w:hAnsi="Palatino Linotype" w:cs="Palatino Linotype"/>
        </w:rPr>
        <w:t>, esto es al décimo día hábil siguiente posterior en que tuvo conocimiento de la respuesta impugnada. En este sentido, se concluye que el presente recurso de revisión se encuentra dentro de los márgenes temporales previstos en las disposiciones legales referidas.</w:t>
      </w:r>
    </w:p>
    <w:p w14:paraId="52000E60" w14:textId="77777777" w:rsidR="00B143DF" w:rsidRPr="00C93845" w:rsidRDefault="00BA62D1">
      <w:pPr>
        <w:tabs>
          <w:tab w:val="left" w:pos="7938"/>
        </w:tabs>
        <w:spacing w:before="240" w:after="240" w:line="360" w:lineRule="auto"/>
        <w:jc w:val="both"/>
        <w:rPr>
          <w:rFonts w:ascii="Palatino Linotype" w:eastAsia="Palatino Linotype" w:hAnsi="Palatino Linotype" w:cs="Palatino Linotype"/>
          <w:b/>
        </w:rPr>
      </w:pPr>
      <w:bookmarkStart w:id="7" w:name="_heading=h.3znysh7" w:colFirst="0" w:colLast="0"/>
      <w:bookmarkEnd w:id="7"/>
      <w:r w:rsidRPr="00C93845">
        <w:rPr>
          <w:rFonts w:ascii="Palatino Linotype" w:eastAsia="Palatino Linotype" w:hAnsi="Palatino Linotype" w:cs="Palatino Linotype"/>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C93845">
        <w:rPr>
          <w:rFonts w:ascii="Palatino Linotype" w:eastAsia="Palatino Linotype" w:hAnsi="Palatino Linotype" w:cs="Palatino Linotype"/>
          <w:b/>
        </w:rPr>
        <w:t>SAIMEX.</w:t>
      </w:r>
    </w:p>
    <w:p w14:paraId="673456AF"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xml:space="preserve"> en sus motivos de inconformidad, de acuerdo al artículo 179, fracción VIII del ordenamiento legal citado, que a la letra dice: </w:t>
      </w:r>
    </w:p>
    <w:p w14:paraId="5DEE614C"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Artículo 179.</w:t>
      </w:r>
      <w:r w:rsidRPr="00C9384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D1785C4" w14:textId="77777777" w:rsidR="00B143DF" w:rsidRPr="00C93845" w:rsidRDefault="00BA62D1">
      <w:pPr>
        <w:spacing w:before="120" w:after="120"/>
        <w:ind w:left="1134" w:right="900"/>
        <w:jc w:val="both"/>
        <w:rPr>
          <w:rFonts w:ascii="Palatino Linotype" w:eastAsia="Palatino Linotype" w:hAnsi="Palatino Linotype" w:cs="Palatino Linotype"/>
          <w:b/>
          <w:i/>
          <w:sz w:val="22"/>
          <w:szCs w:val="22"/>
        </w:rPr>
      </w:pPr>
      <w:r w:rsidRPr="00C93845">
        <w:rPr>
          <w:rFonts w:ascii="Palatino Linotype" w:eastAsia="Palatino Linotype" w:hAnsi="Palatino Linotype" w:cs="Palatino Linotype"/>
          <w:b/>
          <w:i/>
          <w:sz w:val="22"/>
          <w:szCs w:val="22"/>
        </w:rPr>
        <w:t>…</w:t>
      </w:r>
    </w:p>
    <w:p w14:paraId="2A736BEC" w14:textId="77777777" w:rsidR="00B143DF" w:rsidRPr="00C93845" w:rsidRDefault="00BA62D1">
      <w:pPr>
        <w:spacing w:before="120" w:after="120"/>
        <w:ind w:left="1134"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VIII</w:t>
      </w:r>
      <w:r w:rsidRPr="00C93845">
        <w:rPr>
          <w:rFonts w:ascii="Palatino Linotype" w:eastAsia="Palatino Linotype" w:hAnsi="Palatino Linotype" w:cs="Palatino Linotype"/>
          <w:i/>
          <w:sz w:val="22"/>
          <w:szCs w:val="22"/>
        </w:rPr>
        <w:t>. La notificación, entrega o puesta a disposición de información en una modalidad o formato distinto al solicitado;</w:t>
      </w:r>
    </w:p>
    <w:p w14:paraId="29000DA9" w14:textId="77777777" w:rsidR="00B143DF" w:rsidRPr="00C93845" w:rsidRDefault="00BA62D1">
      <w:pPr>
        <w:spacing w:before="120" w:after="120"/>
        <w:ind w:left="1134"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p>
    <w:p w14:paraId="0218C678" w14:textId="77777777" w:rsidR="00B143DF" w:rsidRPr="00C93845" w:rsidRDefault="00BA62D1">
      <w:pP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b/>
        </w:rPr>
        <w:t xml:space="preserve">Tercero. Materia de la revisión. </w:t>
      </w:r>
      <w:r w:rsidRPr="00C9384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93845">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C93845">
        <w:rPr>
          <w:rFonts w:ascii="Palatino Linotype" w:eastAsia="Palatino Linotype" w:hAnsi="Palatino Linotype" w:cs="Palatino Linotype"/>
        </w:rPr>
        <w:t xml:space="preserve">de 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o en su defecto, en caso de ser procedente, ordenar la entrega de información.</w:t>
      </w:r>
    </w:p>
    <w:p w14:paraId="0B82944E" w14:textId="77777777" w:rsidR="00B143DF" w:rsidRPr="00C93845" w:rsidRDefault="00BA62D1">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C93845">
        <w:rPr>
          <w:rFonts w:ascii="Palatino Linotype" w:eastAsia="Palatino Linotype" w:hAnsi="Palatino Linotype" w:cs="Palatino Linotype"/>
          <w:b/>
        </w:rPr>
        <w:t xml:space="preserve">Cuarto. Estudio del asunto. </w:t>
      </w:r>
      <w:r w:rsidRPr="00C93845">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B803C59"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lastRenderedPageBreak/>
        <w:t>“</w:t>
      </w:r>
      <w:r w:rsidRPr="00C93845">
        <w:rPr>
          <w:rFonts w:ascii="Palatino Linotype" w:eastAsia="Palatino Linotype" w:hAnsi="Palatino Linotype" w:cs="Palatino Linotype"/>
          <w:b/>
          <w:i/>
          <w:sz w:val="22"/>
          <w:szCs w:val="22"/>
        </w:rPr>
        <w:t>Artículo 4</w:t>
      </w:r>
      <w:r w:rsidRPr="00C9384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197DBCA"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9384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9D7D18C"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93845">
        <w:rPr>
          <w:rFonts w:ascii="Palatino Linotype" w:eastAsia="Palatino Linotype" w:hAnsi="Palatino Linotype" w:cs="Palatino Linotype"/>
          <w:i/>
          <w:sz w:val="22"/>
          <w:szCs w:val="22"/>
        </w:rPr>
        <w:t>.”</w:t>
      </w:r>
    </w:p>
    <w:p w14:paraId="178EE584"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007C3E1"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“Artículo 12.-</w:t>
      </w:r>
      <w:r w:rsidRPr="00C9384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4F28128"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w:t>
      </w:r>
      <w:r w:rsidRPr="00C93845">
        <w:rPr>
          <w:rFonts w:ascii="Palatino Linotype" w:eastAsia="Palatino Linotype" w:hAnsi="Palatino Linotype" w:cs="Palatino Linotype"/>
          <w:b/>
          <w:i/>
          <w:sz w:val="22"/>
          <w:szCs w:val="22"/>
        </w:rPr>
        <w:lastRenderedPageBreak/>
        <w:t>solicitante; no estarán obligados a generarla, resumirla, efectuar cálculos o practicar investigaciones.”</w:t>
      </w:r>
    </w:p>
    <w:p w14:paraId="06519D06" w14:textId="77777777" w:rsidR="00B143DF" w:rsidRPr="00C93845" w:rsidRDefault="00BA62D1">
      <w:pPr>
        <w:spacing w:before="240" w:after="240" w:line="360" w:lineRule="auto"/>
        <w:ind w:right="-93"/>
        <w:jc w:val="both"/>
        <w:rPr>
          <w:rFonts w:ascii="Palatino Linotype" w:eastAsia="Palatino Linotype" w:hAnsi="Palatino Linotype" w:cs="Palatino Linotype"/>
        </w:rPr>
      </w:pPr>
      <w:r w:rsidRPr="00C93845">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4019938" w14:textId="77777777" w:rsidR="00B143DF" w:rsidRPr="00C93845" w:rsidRDefault="00BA62D1">
      <w:pP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rPr>
        <w:t xml:space="preserve">Sirve de apoyo a lo anterior, el criterio 03/17, emitido por el Instituto Nacional de Transparencia, Acceso a la Información y Protección de Datos Personales, </w:t>
      </w:r>
      <w:proofErr w:type="gramStart"/>
      <w:r w:rsidRPr="00C93845">
        <w:rPr>
          <w:rFonts w:ascii="Palatino Linotype" w:eastAsia="Palatino Linotype" w:hAnsi="Palatino Linotype" w:cs="Palatino Linotype"/>
        </w:rPr>
        <w:t>que</w:t>
      </w:r>
      <w:proofErr w:type="gramEnd"/>
      <w:r w:rsidRPr="00C93845">
        <w:rPr>
          <w:rFonts w:ascii="Palatino Linotype" w:eastAsia="Palatino Linotype" w:hAnsi="Palatino Linotype" w:cs="Palatino Linotype"/>
        </w:rPr>
        <w:t xml:space="preserve"> por rubro y texto, dispone lo siguiente:</w:t>
      </w:r>
      <w:r w:rsidRPr="00C93845">
        <w:rPr>
          <w:rFonts w:ascii="Palatino Linotype" w:eastAsia="Palatino Linotype" w:hAnsi="Palatino Linotype" w:cs="Palatino Linotype"/>
          <w:b/>
        </w:rPr>
        <w:t xml:space="preserve"> </w:t>
      </w:r>
    </w:p>
    <w:p w14:paraId="4C5FA8FF"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No existe obligación de elaborar documentos ad hoc para atender las solicitudes de acceso a la información.</w:t>
      </w:r>
      <w:r w:rsidRPr="00C9384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0CE32C8F" w14:textId="77777777" w:rsidR="00B143DF" w:rsidRPr="00C93845" w:rsidRDefault="00BA62D1">
      <w:pPr>
        <w:spacing w:before="120" w:after="12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C93845">
        <w:rPr>
          <w:rFonts w:ascii="Palatino Linotype" w:eastAsia="Palatino Linotype" w:hAnsi="Palatino Linotype" w:cs="Palatino Linotype"/>
        </w:rPr>
        <w:lastRenderedPageBreak/>
        <w:t>que es deber de los Sujetos Obligados, garantizar el Derecho de Acceso a la Información Pública.</w:t>
      </w:r>
    </w:p>
    <w:p w14:paraId="02312F56" w14:textId="77777777" w:rsidR="00B143DF" w:rsidRPr="00C93845" w:rsidRDefault="00BA62D1">
      <w:pPr>
        <w:spacing w:before="120" w:after="12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3F1B15D"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 xml:space="preserve">Artículo 3. </w:t>
      </w:r>
      <w:r w:rsidRPr="00C93845">
        <w:rPr>
          <w:rFonts w:ascii="Palatino Linotype" w:eastAsia="Palatino Linotype" w:hAnsi="Palatino Linotype" w:cs="Palatino Linotype"/>
          <w:i/>
          <w:sz w:val="22"/>
          <w:szCs w:val="22"/>
        </w:rPr>
        <w:t>Para los efectos de la presente Ley se entenderá por:</w:t>
      </w:r>
    </w:p>
    <w:p w14:paraId="5A2DFC53"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p>
    <w:p w14:paraId="3135EE32"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XI. Documento:</w:t>
      </w:r>
      <w:r w:rsidRPr="00C93845">
        <w:rPr>
          <w:rFonts w:ascii="Palatino Linotype" w:eastAsia="Palatino Linotype" w:hAnsi="Palatino Linotype" w:cs="Palatino Linotype"/>
          <w:i/>
          <w:sz w:val="22"/>
          <w:szCs w:val="22"/>
        </w:rPr>
        <w:t xml:space="preserve"> Los expedientes, reportes, estudios, actas</w:t>
      </w:r>
      <w:r w:rsidRPr="00C93845">
        <w:rPr>
          <w:rFonts w:ascii="Palatino Linotype" w:eastAsia="Palatino Linotype" w:hAnsi="Palatino Linotype" w:cs="Palatino Linotype"/>
          <w:b/>
          <w:i/>
          <w:sz w:val="22"/>
          <w:szCs w:val="22"/>
        </w:rPr>
        <w:t>,</w:t>
      </w:r>
      <w:r w:rsidRPr="00C9384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CFFB92B"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96FB1FC"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sz w:val="22"/>
          <w:szCs w:val="22"/>
        </w:rPr>
        <w:lastRenderedPageBreak/>
        <w:t>“</w:t>
      </w:r>
      <w:r w:rsidRPr="00C9384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9384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0C0B0E"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En </w:t>
      </w:r>
      <w:proofErr w:type="gramStart"/>
      <w:r w:rsidRPr="00C93845">
        <w:rPr>
          <w:rFonts w:ascii="Palatino Linotype" w:eastAsia="Palatino Linotype" w:hAnsi="Palatino Linotype" w:cs="Palatino Linotype"/>
          <w:i/>
          <w:sz w:val="22"/>
          <w:szCs w:val="22"/>
        </w:rPr>
        <w:t>consecuencia</w:t>
      </w:r>
      <w:proofErr w:type="gramEnd"/>
      <w:r w:rsidRPr="00C9384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210F153"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93845">
        <w:rPr>
          <w:rFonts w:ascii="Palatino Linotype" w:eastAsia="Palatino Linotype" w:hAnsi="Palatino Linotype" w:cs="Palatino Linotype"/>
          <w:i/>
          <w:sz w:val="22"/>
          <w:szCs w:val="22"/>
        </w:rPr>
        <w:t>que</w:t>
      </w:r>
      <w:proofErr w:type="gramEnd"/>
      <w:r w:rsidRPr="00C93845">
        <w:rPr>
          <w:rFonts w:ascii="Palatino Linotype" w:eastAsia="Palatino Linotype" w:hAnsi="Palatino Linotype" w:cs="Palatino Linotype"/>
          <w:i/>
          <w:sz w:val="22"/>
          <w:szCs w:val="22"/>
        </w:rPr>
        <w:t xml:space="preserve"> en ejercicio de las atribuciones conferidas, sea generada por los Sujetos Obligados;</w:t>
      </w:r>
    </w:p>
    <w:p w14:paraId="3F06E3CE"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2) Que se trate de información registrada en cualquier soporte documental, </w:t>
      </w:r>
      <w:proofErr w:type="gramStart"/>
      <w:r w:rsidRPr="00C93845">
        <w:rPr>
          <w:rFonts w:ascii="Palatino Linotype" w:eastAsia="Palatino Linotype" w:hAnsi="Palatino Linotype" w:cs="Palatino Linotype"/>
          <w:i/>
          <w:sz w:val="22"/>
          <w:szCs w:val="22"/>
        </w:rPr>
        <w:t>que</w:t>
      </w:r>
      <w:proofErr w:type="gramEnd"/>
      <w:r w:rsidRPr="00C93845">
        <w:rPr>
          <w:rFonts w:ascii="Palatino Linotype" w:eastAsia="Palatino Linotype" w:hAnsi="Palatino Linotype" w:cs="Palatino Linotype"/>
          <w:i/>
          <w:sz w:val="22"/>
          <w:szCs w:val="22"/>
        </w:rPr>
        <w:t xml:space="preserve"> en ejercicio de las atribuciones conferidas, sea administrada por los Sujetos Obligados, y</w:t>
      </w:r>
    </w:p>
    <w:p w14:paraId="065E29D6"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3) Que se trate de información registrada en cualquier soporte documental, </w:t>
      </w:r>
      <w:proofErr w:type="gramStart"/>
      <w:r w:rsidRPr="00C93845">
        <w:rPr>
          <w:rFonts w:ascii="Palatino Linotype" w:eastAsia="Palatino Linotype" w:hAnsi="Palatino Linotype" w:cs="Palatino Linotype"/>
          <w:i/>
          <w:sz w:val="22"/>
          <w:szCs w:val="22"/>
        </w:rPr>
        <w:t>que</w:t>
      </w:r>
      <w:proofErr w:type="gramEnd"/>
      <w:r w:rsidRPr="00C93845">
        <w:rPr>
          <w:rFonts w:ascii="Palatino Linotype" w:eastAsia="Palatino Linotype" w:hAnsi="Palatino Linotype" w:cs="Palatino Linotype"/>
          <w:i/>
          <w:sz w:val="22"/>
          <w:szCs w:val="22"/>
        </w:rPr>
        <w:t xml:space="preserve"> en ejercicio de las atribuciones conferidas, se encuentre en posesión de los Sujetos Obligados.” </w:t>
      </w:r>
    </w:p>
    <w:p w14:paraId="65779B9B" w14:textId="77777777" w:rsidR="00B143DF" w:rsidRPr="00C93845" w:rsidRDefault="00BA62D1">
      <w:pPr>
        <w:spacing w:before="240" w:after="240" w:line="360" w:lineRule="auto"/>
        <w:ind w:right="51"/>
        <w:jc w:val="both"/>
        <w:rPr>
          <w:rFonts w:ascii="Palatino Linotype" w:eastAsia="Palatino Linotype" w:hAnsi="Palatino Linotype" w:cs="Palatino Linotype"/>
        </w:rPr>
      </w:pPr>
      <w:r w:rsidRPr="00C93845">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899713C"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w:t>
      </w:r>
      <w:r w:rsidRPr="00C93845">
        <w:rPr>
          <w:rFonts w:ascii="Palatino Linotype" w:eastAsia="Palatino Linotype" w:hAnsi="Palatino Linotype" w:cs="Palatino Linotype"/>
        </w:rPr>
        <w:lastRenderedPageBreak/>
        <w:t>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199E229" w14:textId="77777777" w:rsidR="00B143DF" w:rsidRPr="00C93845" w:rsidRDefault="00BA62D1">
      <w:pPr>
        <w:spacing w:before="240" w:after="240" w:line="360" w:lineRule="auto"/>
        <w:ind w:right="51"/>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xml:space="preserve"> requirió al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le proporcione, información consistente en lo siguiente:</w:t>
      </w:r>
    </w:p>
    <w:p w14:paraId="37863728" w14:textId="77777777" w:rsidR="00B143DF" w:rsidRPr="00C93845" w:rsidRDefault="00BA62D1">
      <w:pPr>
        <w:spacing w:before="240" w:after="240" w:line="360" w:lineRule="auto"/>
        <w:ind w:left="284" w:right="51"/>
        <w:jc w:val="both"/>
        <w:rPr>
          <w:rFonts w:ascii="Palatino Linotype" w:eastAsia="Palatino Linotype" w:hAnsi="Palatino Linotype" w:cs="Palatino Linotype"/>
        </w:rPr>
      </w:pPr>
      <w:r w:rsidRPr="00C93845">
        <w:rPr>
          <w:rFonts w:ascii="Palatino Linotype" w:eastAsia="Palatino Linotype" w:hAnsi="Palatino Linotype" w:cs="Palatino Linotype"/>
        </w:rPr>
        <w:t>Del uno de enero de dos mil veintitrés al quince de julio de dos mil veinticuatro:</w:t>
      </w:r>
    </w:p>
    <w:p w14:paraId="32FEC18A" w14:textId="77777777" w:rsidR="00B143DF" w:rsidRPr="00C93845" w:rsidRDefault="00BA62D1">
      <w:pPr>
        <w:spacing w:before="240" w:after="240" w:line="360" w:lineRule="auto"/>
        <w:ind w:left="567" w:right="51"/>
        <w:jc w:val="both"/>
        <w:rPr>
          <w:rFonts w:ascii="Palatino Linotype" w:eastAsia="Palatino Linotype" w:hAnsi="Palatino Linotype" w:cs="Palatino Linotype"/>
        </w:rPr>
      </w:pPr>
      <w:r w:rsidRPr="00C93845">
        <w:rPr>
          <w:rFonts w:ascii="Palatino Linotype" w:eastAsia="Palatino Linotype" w:hAnsi="Palatino Linotype" w:cs="Palatino Linotype"/>
        </w:rPr>
        <w:t>1. Programa Anual de Adquisiciones.</w:t>
      </w:r>
    </w:p>
    <w:p w14:paraId="725393F6" w14:textId="77777777" w:rsidR="00B143DF" w:rsidRPr="00C93845" w:rsidRDefault="00BA62D1">
      <w:pPr>
        <w:spacing w:before="240" w:after="240" w:line="360" w:lineRule="auto"/>
        <w:ind w:left="567" w:right="51"/>
        <w:jc w:val="both"/>
        <w:rPr>
          <w:rFonts w:ascii="Palatino Linotype" w:eastAsia="Palatino Linotype" w:hAnsi="Palatino Linotype" w:cs="Palatino Linotype"/>
        </w:rPr>
      </w:pPr>
      <w:r w:rsidRPr="00C93845">
        <w:rPr>
          <w:rFonts w:ascii="Palatino Linotype" w:eastAsia="Palatino Linotype" w:hAnsi="Palatino Linotype" w:cs="Palatino Linotype"/>
        </w:rPr>
        <w:t>2. Reporte de procedimientos adquisitivos.</w:t>
      </w:r>
    </w:p>
    <w:p w14:paraId="0B60337D" w14:textId="77777777" w:rsidR="00B143DF" w:rsidRPr="00C93845" w:rsidRDefault="00BA62D1">
      <w:pPr>
        <w:spacing w:before="240" w:after="240" w:line="360" w:lineRule="auto"/>
        <w:ind w:left="567" w:right="51"/>
        <w:jc w:val="both"/>
        <w:rPr>
          <w:rFonts w:ascii="Palatino Linotype" w:eastAsia="Palatino Linotype" w:hAnsi="Palatino Linotype" w:cs="Palatino Linotype"/>
        </w:rPr>
      </w:pPr>
      <w:r w:rsidRPr="00C93845">
        <w:rPr>
          <w:rFonts w:ascii="Palatino Linotype" w:eastAsia="Palatino Linotype" w:hAnsi="Palatino Linotype" w:cs="Palatino Linotype"/>
        </w:rPr>
        <w:t>3. Diario General de Pólizas.</w:t>
      </w:r>
    </w:p>
    <w:p w14:paraId="04A40447" w14:textId="77777777" w:rsidR="00B143DF" w:rsidRPr="00C93845" w:rsidRDefault="00BA62D1">
      <w:pPr>
        <w:spacing w:before="240" w:after="240" w:line="360" w:lineRule="auto"/>
        <w:ind w:left="567" w:right="51"/>
        <w:jc w:val="both"/>
        <w:rPr>
          <w:rFonts w:ascii="Palatino Linotype" w:eastAsia="Palatino Linotype" w:hAnsi="Palatino Linotype" w:cs="Palatino Linotype"/>
        </w:rPr>
      </w:pPr>
      <w:r w:rsidRPr="00C93845">
        <w:rPr>
          <w:rFonts w:ascii="Palatino Linotype" w:eastAsia="Palatino Linotype" w:hAnsi="Palatino Linotype" w:cs="Palatino Linotype"/>
        </w:rPr>
        <w:t>4. Dictamen de Reconducción y Actualización Programática – Presupuestal.</w:t>
      </w:r>
    </w:p>
    <w:p w14:paraId="2344BE4F" w14:textId="77777777" w:rsidR="00B143DF" w:rsidRPr="00C93845" w:rsidRDefault="00BA62D1">
      <w:pPr>
        <w:spacing w:before="240" w:after="240" w:line="360" w:lineRule="auto"/>
        <w:ind w:left="567" w:right="51"/>
        <w:jc w:val="both"/>
        <w:rPr>
          <w:rFonts w:ascii="Palatino Linotype" w:eastAsia="Palatino Linotype" w:hAnsi="Palatino Linotype" w:cs="Palatino Linotype"/>
        </w:rPr>
      </w:pPr>
      <w:r w:rsidRPr="00C93845">
        <w:rPr>
          <w:rFonts w:ascii="Palatino Linotype" w:eastAsia="Palatino Linotype" w:hAnsi="Palatino Linotype" w:cs="Palatino Linotype"/>
        </w:rPr>
        <w:t>5. Dictamen de Reconducción de Metas de Actividad por Proyecto.</w:t>
      </w:r>
    </w:p>
    <w:p w14:paraId="1F459E1D" w14:textId="77777777" w:rsidR="00B143DF" w:rsidRPr="00C93845" w:rsidRDefault="00BA62D1">
      <w:pPr>
        <w:spacing w:before="240" w:after="240" w:line="360" w:lineRule="auto"/>
        <w:ind w:left="567" w:right="51"/>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6. Nómina detallada </w:t>
      </w:r>
    </w:p>
    <w:p w14:paraId="4CCF87F7" w14:textId="77777777" w:rsidR="00B143DF" w:rsidRPr="00C93845" w:rsidRDefault="00BA62D1">
      <w:pPr>
        <w:spacing w:before="240" w:after="240" w:line="360" w:lineRule="auto"/>
        <w:ind w:left="567" w:right="51"/>
        <w:jc w:val="both"/>
        <w:rPr>
          <w:rFonts w:ascii="Palatino Linotype" w:eastAsia="Palatino Linotype" w:hAnsi="Palatino Linotype" w:cs="Palatino Linotype"/>
        </w:rPr>
      </w:pPr>
      <w:r w:rsidRPr="00C93845">
        <w:rPr>
          <w:rFonts w:ascii="Palatino Linotype" w:eastAsia="Palatino Linotype" w:hAnsi="Palatino Linotype" w:cs="Palatino Linotype"/>
        </w:rPr>
        <w:t>7. Conciliación de la nómina.</w:t>
      </w:r>
    </w:p>
    <w:p w14:paraId="509FE8DE" w14:textId="77777777" w:rsidR="00B143DF" w:rsidRPr="00C93845" w:rsidRDefault="00BA62D1">
      <w:pPr>
        <w:spacing w:before="240" w:after="240" w:line="360" w:lineRule="auto"/>
        <w:ind w:left="567" w:right="51"/>
        <w:jc w:val="both"/>
        <w:rPr>
          <w:rFonts w:ascii="Palatino Linotype" w:eastAsia="Palatino Linotype" w:hAnsi="Palatino Linotype" w:cs="Palatino Linotype"/>
        </w:rPr>
      </w:pPr>
      <w:r w:rsidRPr="00C93845">
        <w:rPr>
          <w:rFonts w:ascii="Palatino Linotype" w:eastAsia="Palatino Linotype" w:hAnsi="Palatino Linotype" w:cs="Palatino Linotype"/>
        </w:rPr>
        <w:t>8. Dictamen Presupuestal y Programático</w:t>
      </w:r>
    </w:p>
    <w:p w14:paraId="21B57A32"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 xml:space="preserve">En respuesta, el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por conducto de la Unidad de Transparencia, hizo del conocimiento de la persona solicitante el pronunciamiento emitido por los servidores públicos habilitados de la Tesorería Municipal y la Dirección de Administración y Desarrollo de Personal, quienes atendieron la solicitud en los siguientes términos:</w:t>
      </w:r>
    </w:p>
    <w:p w14:paraId="4A1D9912" w14:textId="77777777" w:rsidR="00B143DF" w:rsidRPr="00C93845" w:rsidRDefault="00BA62D1">
      <w:pP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b/>
        </w:rPr>
        <w:t>Tesorería Municipal</w:t>
      </w:r>
    </w:p>
    <w:p w14:paraId="6C861743"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Manifestó que la información que le corresponde es el Programa Anual de Adquisiciones y el Diario General de Pólizas, para el periodo 2023 – 2024, la cual tiene un tamaño de 3,515.00 Megabytes, razón por la cual solicitó se sometiera a consideración del Comité de Transparencia el cambio de modalidad a consulta directa (in situ), bajo el argumento de que rebasa las capacidades técnicas de la plataforma SAIMEX y humanas del personal a su cargo, propuesta que fue aprobada por el Comité de Transparencia en la Décima Sesión Extraordinaria, como consta en el Acta que se adjuntó a la respuesta.</w:t>
      </w:r>
    </w:p>
    <w:p w14:paraId="6F37495E"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Asimismo, manifestó que de acuerdo con las atribuciones que se le confieren de conformidad con la normatividad aplicable, no es de su competencia lo relativo al Reporte de procedimientos adquisitivos, Dictamen de reconducción y actualización programática-presupuestal, Dictamen de Reconducción de Metas de Actividad por Proyecto, Nómina detallada, Conciliación de la nómina y Dictamen presupuestal y programático, por lo que sugirió dirigir dichos requerimientos al área ejecutora.</w:t>
      </w:r>
    </w:p>
    <w:p w14:paraId="370687DF" w14:textId="77777777" w:rsidR="00B143DF" w:rsidRPr="00C93845" w:rsidRDefault="00B143DF">
      <w:pPr>
        <w:spacing w:before="240" w:after="240" w:line="360" w:lineRule="auto"/>
        <w:ind w:right="49"/>
        <w:jc w:val="both"/>
        <w:rPr>
          <w:rFonts w:ascii="Palatino Linotype" w:eastAsia="Palatino Linotype" w:hAnsi="Palatino Linotype" w:cs="Palatino Linotype"/>
        </w:rPr>
      </w:pPr>
    </w:p>
    <w:p w14:paraId="10973F12" w14:textId="77777777" w:rsidR="00B143DF" w:rsidRPr="00C93845" w:rsidRDefault="00B143DF">
      <w:pPr>
        <w:spacing w:before="240" w:after="240" w:line="360" w:lineRule="auto"/>
        <w:ind w:right="49"/>
        <w:jc w:val="both"/>
        <w:rPr>
          <w:rFonts w:ascii="Palatino Linotype" w:eastAsia="Palatino Linotype" w:hAnsi="Palatino Linotype" w:cs="Palatino Linotype"/>
        </w:rPr>
      </w:pPr>
    </w:p>
    <w:p w14:paraId="155B4CD7" w14:textId="77777777" w:rsidR="00B143DF" w:rsidRPr="00C93845" w:rsidRDefault="00BA62D1">
      <w:pP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b/>
        </w:rPr>
        <w:lastRenderedPageBreak/>
        <w:t>Dirección de Administración y Desarrollo de Personal</w:t>
      </w:r>
    </w:p>
    <w:p w14:paraId="6A9F8987"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Proporcionó los Reportes de Adjudicaciones del Comité de Adquisiciones y Servicios: del 01 de enero al 31 de marzo de 2023, del 01 de abril al 30 de junio de 2023, del 01 de junio al 30 de septiembre de 2023, del 01 de octubre al 31 de diciembre de 2023, del 01 de enero al 31 de marzo de 2024, y del 01 de abril al 30 de junio de 2024.</w:t>
      </w:r>
    </w:p>
    <w:p w14:paraId="056BED71"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Al no estar conforme con los términos de la respuesta emitida, la parte </w:t>
      </w:r>
      <w:r w:rsidRPr="00C93845">
        <w:rPr>
          <w:rFonts w:ascii="Palatino Linotype" w:eastAsia="Palatino Linotype" w:hAnsi="Palatino Linotype" w:cs="Palatino Linotype"/>
          <w:b/>
        </w:rPr>
        <w:t xml:space="preserve">Recurrente </w:t>
      </w:r>
      <w:r w:rsidRPr="00C93845">
        <w:rPr>
          <w:rFonts w:ascii="Palatino Linotype" w:eastAsia="Palatino Linotype" w:hAnsi="Palatino Linotype" w:cs="Palatino Linotype"/>
        </w:rPr>
        <w:t>interpuso el recurso de revisión que ahora se resuelve, donde señaló como motivo de inconformidad, la respuesta del Tesorero Municipal, alegando que no entregó información, al haber puesto la información en consulta directa sin motivos ni fundamento, ni haber ofrecido otras opciones como un link que aloje la información.</w:t>
      </w:r>
    </w:p>
    <w:p w14:paraId="1880C306"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Cabe señalar que a través del recurso de revisión realizó diversos planteamientos subjetivos, tales como “</w:t>
      </w:r>
      <w:r w:rsidRPr="00C93845">
        <w:rPr>
          <w:rFonts w:ascii="Palatino Linotype" w:eastAsia="Palatino Linotype" w:hAnsi="Palatino Linotype" w:cs="Palatino Linotype"/>
          <w:i/>
        </w:rPr>
        <w:t>dando cuenta del abuso y desconocimiento de la ley</w:t>
      </w:r>
      <w:r w:rsidRPr="00C93845">
        <w:rPr>
          <w:rFonts w:ascii="Palatino Linotype" w:eastAsia="Palatino Linotype" w:hAnsi="Palatino Linotype" w:cs="Palatino Linotype"/>
        </w:rPr>
        <w:t>”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los sus motivos de inconformidad. En este sentido, se trata de manifestaciones sobre las cuales este Instituto no está facultado para pronunciarse.</w:t>
      </w:r>
    </w:p>
    <w:p w14:paraId="1EC66EC9"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 xml:space="preserve">Asimismo, no pasa inadvertido para este Organismo Garante que los motivos de inconformidad alegados, no versan sobre la totalidad de la información proporcionada por el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 xml:space="preserve">pues 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xml:space="preserve"> manifestó, de manera expresa, su inconformidad por el cambio de modalidad en la entrega de la información propuesto por el Tesorero Municipal, quien se pronunció específicamente respecto del Programa Anual de Adquisiciones y el Diario General de Pólizas, de los ejercicios 2023 y 2024.</w:t>
      </w:r>
    </w:p>
    <w:p w14:paraId="3D94D1F0"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satisface la solicitud presentada, respecto de los requerimientos que no fueron combatidos.</w:t>
      </w:r>
    </w:p>
    <w:p w14:paraId="1146B184" w14:textId="77777777" w:rsidR="00B143DF" w:rsidRPr="00C93845" w:rsidRDefault="00BA62D1">
      <w:pPr>
        <w:spacing w:before="240" w:after="36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Lo anterior es así, debido a que cuando 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xml:space="preserve"> impugna la respuesta del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014D9D0" w14:textId="77777777" w:rsidR="00B143DF" w:rsidRPr="00C93845" w:rsidRDefault="00BA62D1">
      <w:pPr>
        <w:spacing w:before="240" w:after="36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 xml:space="preserve">“REVISIÓN EN AMPARO. LOS RESOLUTIVOS NO COMBATIDOS DEBEN DECLARARSE FIRMES. </w:t>
      </w:r>
      <w:r w:rsidRPr="00C93845">
        <w:rPr>
          <w:rFonts w:ascii="Palatino Linotype" w:eastAsia="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w:t>
      </w:r>
      <w:r w:rsidRPr="00C93845">
        <w:rPr>
          <w:rFonts w:ascii="Palatino Linotype" w:eastAsia="Palatino Linotype" w:hAnsi="Palatino Linotype" w:cs="Palatino Linotype"/>
          <w:i/>
          <w:sz w:val="22"/>
          <w:szCs w:val="22"/>
        </w:rPr>
        <w:lastRenderedPageBreak/>
        <w:t>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AF4D7A2" w14:textId="77777777" w:rsidR="00B143DF" w:rsidRPr="00C93845" w:rsidRDefault="00BA62D1">
      <w:pPr>
        <w:spacing w:before="240" w:after="240" w:line="360" w:lineRule="auto"/>
        <w:jc w:val="both"/>
        <w:rPr>
          <w:rFonts w:ascii="Palatino Linotype" w:eastAsia="Palatino Linotype" w:hAnsi="Palatino Linotype" w:cs="Palatino Linotype"/>
        </w:rPr>
      </w:pPr>
      <w:bookmarkStart w:id="9" w:name="_heading=h.35nkun2" w:colFirst="0" w:colLast="0"/>
      <w:bookmarkEnd w:id="9"/>
      <w:r w:rsidRPr="00C93845">
        <w:rPr>
          <w:rFonts w:ascii="Palatino Linotype" w:eastAsia="Palatino Linotype" w:hAnsi="Palatino Linotype" w:cs="Palatino Linotype"/>
        </w:rPr>
        <w:t>Consecuentemente, se insiste, ante la falta de impugnación eficaz, la respuesta entregada debe declararse consentida por persona solicitante.</w:t>
      </w:r>
    </w:p>
    <w:p w14:paraId="3E0117E0"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4AFDC4CA" w14:textId="77777777" w:rsidR="00B143DF" w:rsidRPr="00C93845" w:rsidRDefault="00BA62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 xml:space="preserve">Actos consentidos tácitamente. Improcedencia de su análisis. </w:t>
      </w:r>
      <w:r w:rsidRPr="00C93845">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473601D"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593AED22" w14:textId="77777777" w:rsidR="00B143DF" w:rsidRPr="00C93845" w:rsidRDefault="00BA62D1">
      <w:pPr>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mallCaps/>
          <w:sz w:val="22"/>
          <w:szCs w:val="22"/>
        </w:rPr>
        <w:t xml:space="preserve">“ACTOS CONSENTIDOS. SON LOS QUE NO SE IMPUGNAN MEDIANTE EL RECURSO IDÓNEO. </w:t>
      </w:r>
      <w:r w:rsidRPr="00C93845">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C93845">
        <w:rPr>
          <w:rFonts w:ascii="Palatino Linotype" w:eastAsia="Palatino Linotype" w:hAnsi="Palatino Linotype" w:cs="Palatino Linotype"/>
          <w:i/>
          <w:sz w:val="22"/>
          <w:szCs w:val="22"/>
        </w:rPr>
        <w:t>ya que</w:t>
      </w:r>
      <w:proofErr w:type="gramEnd"/>
      <w:r w:rsidRPr="00C93845">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4A81ED2"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Durante la etapa de manifestaciones las partes fueron omisas en remitir cualquier elemento que a su derecho conviniera, por lo tanto, se tiene por precluido su derecho </w:t>
      </w:r>
      <w:r w:rsidRPr="00C93845">
        <w:rPr>
          <w:rFonts w:ascii="Palatino Linotype" w:eastAsia="Palatino Linotype" w:hAnsi="Palatino Linotype" w:cs="Palatino Linotype"/>
        </w:rPr>
        <w:lastRenderedPageBreak/>
        <w:t>para tal efecto y se procede a emitir la resolución que conforme a derecho corresponda.</w:t>
      </w:r>
    </w:p>
    <w:p w14:paraId="00B34698"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 xml:space="preserve">en contraposición con el motivo de inconformidad alegado por la parte </w:t>
      </w:r>
      <w:r w:rsidRPr="00C93845">
        <w:rPr>
          <w:rFonts w:ascii="Palatino Linotype" w:eastAsia="Palatino Linotype" w:hAnsi="Palatino Linotype" w:cs="Palatino Linotype"/>
          <w:b/>
        </w:rPr>
        <w:t xml:space="preserve">Recurrente, </w:t>
      </w:r>
      <w:r w:rsidRPr="00C93845">
        <w:rPr>
          <w:rFonts w:ascii="Palatino Linotype" w:eastAsia="Palatino Linotype" w:hAnsi="Palatino Linotype" w:cs="Palatino Linotype"/>
        </w:rPr>
        <w:t>con la finalidad de determinar si el Derecho de acceso de esta se satisfizo, o, en su defecto, ordenar el soporte documental correspondiente, en caso de ser procedente.</w:t>
      </w:r>
    </w:p>
    <w:p w14:paraId="78A7E2B2" w14:textId="77777777" w:rsidR="00B143DF" w:rsidRPr="00C93845" w:rsidRDefault="00BA62D1">
      <w:pPr>
        <w:tabs>
          <w:tab w:val="left" w:pos="709"/>
        </w:tabs>
        <w:spacing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Se debe resaltar, en primer lugar, que los motivos de inconformidad de la parte</w:t>
      </w:r>
      <w:r w:rsidRPr="00C93845">
        <w:rPr>
          <w:rFonts w:ascii="Palatino Linotype" w:eastAsia="Palatino Linotype" w:hAnsi="Palatino Linotype" w:cs="Palatino Linotype"/>
          <w:b/>
        </w:rPr>
        <w:t xml:space="preserve"> Recurrente</w:t>
      </w:r>
      <w:r w:rsidRPr="00C93845">
        <w:rPr>
          <w:rFonts w:ascii="Palatino Linotype" w:eastAsia="Palatino Linotype" w:hAnsi="Palatino Linotype" w:cs="Palatino Linotype"/>
        </w:rPr>
        <w:t xml:space="preserve"> suponen que existió una omisión en el actuar del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al momento de realizar un cambio de modalidad, pues como ha quedado claro, la persona solicitante requirió que la información le fuera remitida mediante el SAIMEX, sistema que tiene como propósito facilitar en la entidad el ejercicio del derecho humano de acceso a la información pública, de forma sencilla y gratuita, como se ilustra a continuación: </w:t>
      </w:r>
    </w:p>
    <w:p w14:paraId="5BB0D0AF"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noProof/>
        </w:rPr>
        <w:drawing>
          <wp:inline distT="0" distB="0" distL="0" distR="0" wp14:anchorId="7F458F89" wp14:editId="2AA079D9">
            <wp:extent cx="5612130" cy="2122805"/>
            <wp:effectExtent l="0" t="0" r="0" b="0"/>
            <wp:docPr id="19520825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612130" cy="2122805"/>
                    </a:xfrm>
                    <a:prstGeom prst="rect">
                      <a:avLst/>
                    </a:prstGeom>
                    <a:ln/>
                  </pic:spPr>
                </pic:pic>
              </a:graphicData>
            </a:graphic>
          </wp:inline>
        </w:drawing>
      </w:r>
    </w:p>
    <w:p w14:paraId="29429EEB"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 xml:space="preserve">En este sentido, por lo que respecta al </w:t>
      </w:r>
      <w:r w:rsidRPr="00C93845">
        <w:rPr>
          <w:rFonts w:ascii="Palatino Linotype" w:eastAsia="Palatino Linotype" w:hAnsi="Palatino Linotype" w:cs="Palatino Linotype"/>
          <w:b/>
          <w:u w:val="single"/>
        </w:rPr>
        <w:t>cambio de modalidad en la entrega de información</w:t>
      </w:r>
      <w:r w:rsidRPr="00C93845">
        <w:rPr>
          <w:rFonts w:ascii="Palatino Linotype" w:eastAsia="Palatino Linotype" w:hAnsi="Palatino Linotype" w:cs="Palatino Linotype"/>
        </w:rPr>
        <w:t xml:space="preserve">, conviene mencionar que el artículo 155, fracción V, de la Ley de Transparencia y Acceso a la Información Pública del Estado de México y Municipios, precisa que, para presentar una solicitud, la persona solicitante podrá señalar </w:t>
      </w:r>
      <w:r w:rsidRPr="00C93845">
        <w:rPr>
          <w:rFonts w:ascii="Palatino Linotype" w:eastAsia="Palatino Linotype" w:hAnsi="Palatino Linotype" w:cs="Palatino Linotype"/>
          <w:b/>
        </w:rPr>
        <w:t>la modalidad en la que prefiere se otorgue el acceso a la información</w:t>
      </w:r>
      <w:r w:rsidRPr="00C93845">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14:paraId="7BD772F0" w14:textId="77777777" w:rsidR="00B143DF" w:rsidRPr="00C93845" w:rsidRDefault="00BA62D1">
      <w:pP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C93845">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3614BAA"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w:t>
      </w:r>
      <w:r w:rsidRPr="00C93845">
        <w:rPr>
          <w:rFonts w:ascii="Palatino Linotype" w:eastAsia="Palatino Linotype" w:hAnsi="Palatino Linotype" w:cs="Palatino Linotype"/>
        </w:rPr>
        <w:lastRenderedPageBreak/>
        <w:t>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16A07095" w14:textId="77777777" w:rsidR="00B143DF" w:rsidRPr="00C93845" w:rsidRDefault="00BA62D1">
      <w:pPr>
        <w:spacing w:before="120" w:after="12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“FUNDAMENTACIÓN Y MOTIVACIÓN DE LOS ACTOS ADMINISTRATIVOS</w:t>
      </w:r>
      <w:r w:rsidRPr="00C93845">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C93845">
        <w:rPr>
          <w:rFonts w:ascii="Palatino Linotype" w:eastAsia="Palatino Linotype" w:hAnsi="Palatino Linotype" w:cs="Palatino Linotype"/>
          <w:i/>
          <w:sz w:val="22"/>
          <w:szCs w:val="22"/>
        </w:rPr>
        <w:t>subincisos</w:t>
      </w:r>
      <w:proofErr w:type="spellEnd"/>
      <w:r w:rsidRPr="00C93845">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240BC3F8"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w:t>
      </w:r>
      <w:r w:rsidRPr="00C93845">
        <w:rPr>
          <w:rFonts w:ascii="Palatino Linotype" w:eastAsia="Palatino Linotype" w:hAnsi="Palatino Linotype" w:cs="Palatino Linotype"/>
        </w:rPr>
        <w:lastRenderedPageBreak/>
        <w:t>ofrecer otra u otras modalidades de entrega deberá fundar y motivar su respuesta, a saber:</w:t>
      </w:r>
    </w:p>
    <w:p w14:paraId="7269D1A4" w14:textId="77777777" w:rsidR="00B143DF" w:rsidRPr="00C93845" w:rsidRDefault="00BA62D1">
      <w:pPr>
        <w:spacing w:before="120" w:after="120"/>
        <w:ind w:left="851" w:right="851"/>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rPr>
        <w:t>“</w:t>
      </w:r>
      <w:r w:rsidRPr="00C93845">
        <w:rPr>
          <w:rFonts w:ascii="Palatino Linotype" w:eastAsia="Palatino Linotype" w:hAnsi="Palatino Linotype" w:cs="Palatino Linotype"/>
          <w:b/>
          <w:i/>
          <w:sz w:val="22"/>
          <w:szCs w:val="22"/>
        </w:rPr>
        <w:t>Artículo 160.</w:t>
      </w:r>
      <w:r w:rsidRPr="00C93845">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09C6488" w14:textId="77777777" w:rsidR="00B143DF" w:rsidRPr="00C93845" w:rsidRDefault="00BA62D1">
      <w:pPr>
        <w:spacing w:before="120" w:after="120"/>
        <w:ind w:left="851" w:right="851"/>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Artículo 164.</w:t>
      </w:r>
      <w:r w:rsidRPr="00C93845">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C93845">
        <w:rPr>
          <w:rFonts w:ascii="Palatino Linotype" w:eastAsia="Palatino Linotype" w:hAnsi="Palatino Linotype" w:cs="Palatino Linotype"/>
          <w:b/>
          <w:i/>
          <w:sz w:val="22"/>
          <w:szCs w:val="22"/>
          <w:u w:val="single"/>
        </w:rPr>
        <w:t>el sujeto obligado deberá ofrecer otra u otras modalidades de entrega.</w:t>
      </w:r>
      <w:r w:rsidRPr="00C93845">
        <w:rPr>
          <w:rFonts w:ascii="Palatino Linotype" w:eastAsia="Palatino Linotype" w:hAnsi="Palatino Linotype" w:cs="Palatino Linotype"/>
          <w:i/>
          <w:sz w:val="22"/>
          <w:szCs w:val="22"/>
        </w:rPr>
        <w:t xml:space="preserve"> En cualquier caso, se deberá fundar y motivar la necesidad de ofrecer otras modalidades.”</w:t>
      </w:r>
    </w:p>
    <w:p w14:paraId="6AC99B3B"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535520DE"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14:paraId="03DAB700"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tales consideraciones, la entrega deberá hacerse, </w:t>
      </w:r>
      <w:r w:rsidRPr="00C93845">
        <w:rPr>
          <w:rFonts w:ascii="Palatino Linotype" w:eastAsia="Palatino Linotype" w:hAnsi="Palatino Linotype" w:cs="Palatino Linotype"/>
          <w:b/>
        </w:rPr>
        <w:t>en la medida de lo posible, en la forma solicitada por el interesado, salvo que exista un impedimento justificado para atenderla</w:t>
      </w:r>
      <w:r w:rsidRPr="00C93845">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w:t>
      </w:r>
      <w:r w:rsidRPr="00C93845">
        <w:rPr>
          <w:rFonts w:ascii="Palatino Linotype" w:eastAsia="Palatino Linotype" w:hAnsi="Palatino Linotype" w:cs="Palatino Linotype"/>
        </w:rPr>
        <w:lastRenderedPageBreak/>
        <w:t xml:space="preserve">información en una modalidad distinta a la elegida por la particular </w:t>
      </w:r>
      <w:r w:rsidRPr="00C93845">
        <w:rPr>
          <w:rFonts w:ascii="Palatino Linotype" w:eastAsia="Palatino Linotype" w:hAnsi="Palatino Linotype" w:cs="Palatino Linotype"/>
          <w:b/>
        </w:rPr>
        <w:t>sólo procede, en caso de que se acredite la imposibilidad de atenderla.</w:t>
      </w:r>
      <w:r w:rsidRPr="00C93845">
        <w:rPr>
          <w:rFonts w:ascii="Palatino Linotype" w:eastAsia="Palatino Linotype" w:hAnsi="Palatino Linotype" w:cs="Palatino Linotype"/>
        </w:rPr>
        <w:t xml:space="preserve"> </w:t>
      </w:r>
    </w:p>
    <w:p w14:paraId="78AB2003"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Así, cuando se justifique el impedimento, </w:t>
      </w:r>
      <w:r w:rsidRPr="00C93845">
        <w:rPr>
          <w:rFonts w:ascii="Palatino Linotype" w:eastAsia="Palatino Linotype" w:hAnsi="Palatino Linotype" w:cs="Palatino Linotype"/>
          <w:b/>
        </w:rPr>
        <w:t>los Sujetos Obligados deberán ofrecer al particular otras modalidades de entrega que permita la información</w:t>
      </w:r>
      <w:r w:rsidRPr="00C93845">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57F808F3" w14:textId="77777777" w:rsidR="00B143DF" w:rsidRPr="00C93845" w:rsidRDefault="00BA62D1">
      <w:pPr>
        <w:spacing w:before="120" w:after="120"/>
        <w:ind w:left="851" w:right="851"/>
        <w:jc w:val="both"/>
        <w:rPr>
          <w:rFonts w:ascii="Palatino Linotype" w:eastAsia="Palatino Linotype" w:hAnsi="Palatino Linotype" w:cs="Palatino Linotype"/>
          <w:b/>
          <w:i/>
          <w:sz w:val="22"/>
          <w:szCs w:val="22"/>
          <w:u w:val="single"/>
        </w:rPr>
      </w:pPr>
      <w:r w:rsidRPr="00C93845">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C93845">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C93845">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C93845">
        <w:rPr>
          <w:rFonts w:ascii="Palatino Linotype" w:eastAsia="Palatino Linotype" w:hAnsi="Palatino Linotype" w:cs="Palatino Linotype"/>
          <w:b/>
          <w:i/>
          <w:sz w:val="22"/>
          <w:szCs w:val="22"/>
        </w:rPr>
        <w:t>.”</w:t>
      </w:r>
    </w:p>
    <w:p w14:paraId="617C47D7" w14:textId="77777777" w:rsidR="00B143DF" w:rsidRPr="00C93845" w:rsidRDefault="00BA62D1">
      <w:pP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rPr>
        <w:t>Del citado criterio, se desprende que cuando</w:t>
      </w:r>
      <w:r w:rsidRPr="00C93845">
        <w:rPr>
          <w:rFonts w:ascii="Palatino Linotype" w:eastAsia="Palatino Linotype" w:hAnsi="Palatino Linotype" w:cs="Palatino Linotype"/>
          <w:b/>
        </w:rPr>
        <w:t xml:space="preserve"> la información no pueda entregarse o enviarse en la modalidad elegida, </w:t>
      </w:r>
      <w:r w:rsidRPr="00C93845">
        <w:rPr>
          <w:rFonts w:ascii="Palatino Linotype" w:eastAsia="Palatino Linotype" w:hAnsi="Palatino Linotype" w:cs="Palatino Linotype"/>
        </w:rPr>
        <w:t xml:space="preserve">para que la obligación de acceso a la información se tenga por cumplida, </w:t>
      </w:r>
      <w:r w:rsidRPr="00C93845">
        <w:rPr>
          <w:rFonts w:ascii="Palatino Linotype" w:eastAsia="Palatino Linotype" w:hAnsi="Palatino Linotype" w:cs="Palatino Linotype"/>
          <w:b/>
        </w:rPr>
        <w:t>el Sujeto Obligado deberá ofrecer otra u otras modalidades de entrega.</w:t>
      </w:r>
      <w:r w:rsidRPr="00C93845">
        <w:rPr>
          <w:rFonts w:ascii="Palatino Linotype" w:eastAsia="Palatino Linotype" w:hAnsi="Palatino Linotype" w:cs="Palatino Linotype"/>
        </w:rPr>
        <w:t xml:space="preserve"> En cualquier caso, </w:t>
      </w:r>
      <w:r w:rsidRPr="00C93845">
        <w:rPr>
          <w:rFonts w:ascii="Palatino Linotype" w:eastAsia="Palatino Linotype" w:hAnsi="Palatino Linotype" w:cs="Palatino Linotype"/>
          <w:b/>
        </w:rPr>
        <w:t>se deberá fundar y motivar la necesidad de ofrecer otras modalidades</w:t>
      </w:r>
      <w:r w:rsidRPr="00C93845">
        <w:rPr>
          <w:rFonts w:ascii="Palatino Linotype" w:eastAsia="Palatino Linotype" w:hAnsi="Palatino Linotype" w:cs="Palatino Linotype"/>
        </w:rPr>
        <w:t xml:space="preserve"> que lo permitan, </w:t>
      </w:r>
      <w:r w:rsidRPr="00C93845">
        <w:rPr>
          <w:rFonts w:ascii="Palatino Linotype" w:eastAsia="Palatino Linotype" w:hAnsi="Palatino Linotype" w:cs="Palatino Linotype"/>
          <w:b/>
        </w:rPr>
        <w:t>procurando reducir los costos de entrega.</w:t>
      </w:r>
    </w:p>
    <w:p w14:paraId="77DCDCB7" w14:textId="77777777" w:rsidR="00B143DF" w:rsidRPr="00C93845" w:rsidRDefault="00BA62D1">
      <w:pPr>
        <w:spacing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Además, según Calero, Natalia (2016), en la “Ley General de Transparencia y Acceso a la Información Pública Comentada”, cuando los sujetos obligados ofrezcan como </w:t>
      </w:r>
      <w:r w:rsidRPr="00C93845">
        <w:rPr>
          <w:rFonts w:ascii="Palatino Linotype" w:eastAsia="Palatino Linotype" w:hAnsi="Palatino Linotype" w:cs="Palatino Linotype"/>
        </w:rPr>
        <w:lastRenderedPageBreak/>
        <w:t>modalidad de entrega de la información, consulta directa, estos deberán fundar y motivar las razones por las cuales no es posible otorgar el acceso a los documentos de otra forma; además que se deberá explicar de manera detallada lo siguiente:</w:t>
      </w:r>
    </w:p>
    <w:p w14:paraId="6F0C61F9" w14:textId="77777777" w:rsidR="00B143DF" w:rsidRPr="00C93845" w:rsidRDefault="00BA62D1">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C93845">
        <w:rPr>
          <w:rFonts w:ascii="Palatino Linotype" w:eastAsia="Palatino Linotype" w:hAnsi="Palatino Linotype" w:cs="Palatino Linotype"/>
        </w:rPr>
        <w:t>Las razones por las cuales la información implicaba un análisis, estudio o procesamiento de datos;</w:t>
      </w:r>
    </w:p>
    <w:p w14:paraId="49177349" w14:textId="77777777" w:rsidR="00B143DF" w:rsidRPr="00C93845" w:rsidRDefault="00BA62D1">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C93845">
        <w:rPr>
          <w:rFonts w:ascii="Palatino Linotype" w:eastAsia="Palatino Linotype" w:hAnsi="Palatino Linotype" w:cs="Palatino Linotype"/>
        </w:rPr>
        <w:t>El tiempo no es suficiente para atender la solicitud en la modalidad elegida, y</w:t>
      </w:r>
    </w:p>
    <w:p w14:paraId="23AE8BAB" w14:textId="77777777" w:rsidR="00B143DF" w:rsidRPr="00C93845" w:rsidRDefault="00BA62D1">
      <w:pPr>
        <w:numPr>
          <w:ilvl w:val="0"/>
          <w:numId w:val="1"/>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C93845">
        <w:rPr>
          <w:rFonts w:ascii="Palatino Linotype" w:eastAsia="Palatino Linotype" w:hAnsi="Palatino Linotype" w:cs="Palatino Linotype"/>
        </w:rPr>
        <w:t>La cantidad de recursos humanos y materiales con los que cuenta el Sujeto Obligado son insuficientes.</w:t>
      </w:r>
    </w:p>
    <w:p w14:paraId="7A30D1EB"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Aunado a lo descrito,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14:paraId="3DF22A6B" w14:textId="77777777" w:rsidR="00B143DF" w:rsidRPr="00C93845" w:rsidRDefault="00BA62D1">
      <w:pPr>
        <w:spacing w:before="240" w:after="240" w:line="360" w:lineRule="auto"/>
        <w:ind w:right="51"/>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este tenor, toda vez que en la  respuesta a la solicitud no se referían de manera clara los motivos que justifican el cambio de modalidad en la entrega de la información propuesta por el servidor público habilitado, ya que se limitó a señalar el peso de la información, el cual asciende a 3,516.00 MB, sin especificar de manera </w:t>
      </w:r>
      <w:r w:rsidRPr="00C93845">
        <w:rPr>
          <w:rFonts w:ascii="Palatino Linotype" w:eastAsia="Palatino Linotype" w:hAnsi="Palatino Linotype" w:cs="Palatino Linotype"/>
        </w:rPr>
        <w:lastRenderedPageBreak/>
        <w:t xml:space="preserve">concreta cuales eran las razones que impiden la entrega de la información a través del SAIMEX, esto es: si lo peticionado implica un análisis, procesamiento o estudio de documentos cuya reproducción sobrepasará las capacidades técnicas, administrativas y humanas del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como por ejemplo, el número de personas que se encuentran en las áreas competentes, el formato en que se encuentra la información, es decir, de manera digital o física; o si lo peticionado se encuentra en uno o varios expedientes, etcétera; asimismo tampoco refirió la cantidad exacta que representa la información solicitada, esto es, el número de documentos, o el número de hojas aproximadas; este Organismo Garante realizó un requerimiento de información adicional como consta en los antecedentes de la presente resolución, con la finalidad de esclarecer las razones y fundamentos suficientes que impiden la entrega de la información a través del SAIMEX; en donde se refiriera con exactitud al cúmulo de información de que se trata, es decir, el número de hojas, con la finalidad de verificar que excede las capacidades técnicas del SAIMEX, con los respectivos medios de convicción, y en desahogo del mismo, por conducto del Tesorero Municipal, manifestó en lo medular lo siguiente:</w:t>
      </w:r>
    </w:p>
    <w:p w14:paraId="0E522311" w14:textId="77777777" w:rsidR="00B143DF" w:rsidRPr="00C93845" w:rsidRDefault="00BA62D1">
      <w:pPr>
        <w:spacing w:before="240" w:after="240" w:line="360" w:lineRule="auto"/>
        <w:ind w:left="284" w:right="51"/>
        <w:jc w:val="both"/>
        <w:rPr>
          <w:rFonts w:ascii="Palatino Linotype" w:eastAsia="Palatino Linotype" w:hAnsi="Palatino Linotype" w:cs="Palatino Linotype"/>
        </w:rPr>
      </w:pPr>
      <w:r w:rsidRPr="00C93845">
        <w:rPr>
          <w:rFonts w:ascii="Palatino Linotype" w:eastAsia="Palatino Linotype" w:hAnsi="Palatino Linotype" w:cs="Palatino Linotype"/>
        </w:rPr>
        <w:t>- Que la información requerida por la persona solicitante se encuentra de manera digital debido al tamaño de la información, y forma parte de varios expedientes.</w:t>
      </w:r>
    </w:p>
    <w:p w14:paraId="0017EEA3" w14:textId="77777777" w:rsidR="00B143DF" w:rsidRPr="00C93845" w:rsidRDefault="00BA62D1">
      <w:pPr>
        <w:spacing w:before="240" w:after="240" w:line="360" w:lineRule="auto"/>
        <w:ind w:left="284" w:right="51"/>
        <w:jc w:val="both"/>
        <w:rPr>
          <w:rFonts w:ascii="Palatino Linotype" w:eastAsia="Palatino Linotype" w:hAnsi="Palatino Linotype" w:cs="Palatino Linotype"/>
          <w:b/>
          <w:u w:val="single"/>
        </w:rPr>
      </w:pPr>
      <w:r w:rsidRPr="00C93845">
        <w:rPr>
          <w:rFonts w:ascii="Palatino Linotype" w:eastAsia="Palatino Linotype" w:hAnsi="Palatino Linotype" w:cs="Palatino Linotype"/>
        </w:rPr>
        <w:t xml:space="preserve">- Que el cúmulo de la información </w:t>
      </w:r>
      <w:r w:rsidRPr="00C93845">
        <w:rPr>
          <w:rFonts w:ascii="Palatino Linotype" w:eastAsia="Palatino Linotype" w:hAnsi="Palatino Linotype" w:cs="Palatino Linotype"/>
          <w:b/>
          <w:u w:val="single"/>
        </w:rPr>
        <w:t>rebasa 8,223 hojas.</w:t>
      </w:r>
    </w:p>
    <w:p w14:paraId="312AA42E" w14:textId="77777777" w:rsidR="00B143DF" w:rsidRPr="00C93845" w:rsidRDefault="00BA62D1">
      <w:pPr>
        <w:spacing w:before="240" w:after="240" w:line="360" w:lineRule="auto"/>
        <w:ind w:left="284" w:right="51"/>
        <w:jc w:val="both"/>
        <w:rPr>
          <w:rFonts w:ascii="Palatino Linotype" w:eastAsia="Palatino Linotype" w:hAnsi="Palatino Linotype" w:cs="Palatino Linotype"/>
        </w:rPr>
      </w:pPr>
      <w:r w:rsidRPr="00C93845">
        <w:rPr>
          <w:rFonts w:ascii="Palatino Linotype" w:eastAsia="Palatino Linotype" w:hAnsi="Palatino Linotype" w:cs="Palatino Linotype"/>
        </w:rPr>
        <w:t>- Sustentó el peso de la información con la captura de pantalla de las propiedades del archivo que contiene los documentos con los cuales se daría respuesta a la solicitud, en donde se advierte que esta tiene un tamaño de 3.27 GB, que equivalen a 3,516.187 Megabytes, como se ilustra a continuación:</w:t>
      </w:r>
    </w:p>
    <w:p w14:paraId="4BE93EB2" w14:textId="77777777" w:rsidR="00B143DF" w:rsidRPr="00C93845" w:rsidRDefault="00B143DF">
      <w:pPr>
        <w:spacing w:before="240" w:after="240" w:line="360" w:lineRule="auto"/>
        <w:ind w:left="284" w:right="51"/>
        <w:jc w:val="both"/>
        <w:rPr>
          <w:rFonts w:ascii="Palatino Linotype" w:eastAsia="Palatino Linotype" w:hAnsi="Palatino Linotype" w:cs="Palatino Linotype"/>
        </w:rPr>
      </w:pPr>
    </w:p>
    <w:p w14:paraId="4E170CCD" w14:textId="77777777" w:rsidR="00B143DF" w:rsidRPr="00C93845" w:rsidRDefault="00BA62D1">
      <w:pPr>
        <w:spacing w:before="240" w:after="240" w:line="360" w:lineRule="auto"/>
        <w:ind w:left="284" w:right="51"/>
        <w:jc w:val="center"/>
        <w:rPr>
          <w:rFonts w:ascii="Palatino Linotype" w:eastAsia="Palatino Linotype" w:hAnsi="Palatino Linotype" w:cs="Palatino Linotype"/>
        </w:rPr>
      </w:pPr>
      <w:r w:rsidRPr="00C93845">
        <w:rPr>
          <w:rFonts w:ascii="Palatino Linotype" w:eastAsia="Palatino Linotype" w:hAnsi="Palatino Linotype" w:cs="Palatino Linotype"/>
          <w:noProof/>
        </w:rPr>
        <w:drawing>
          <wp:inline distT="0" distB="0" distL="0" distR="0" wp14:anchorId="696F5611" wp14:editId="6F45BB04">
            <wp:extent cx="2880000" cy="1300645"/>
            <wp:effectExtent l="0" t="0" r="0" b="0"/>
            <wp:docPr id="19520825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880000" cy="1300645"/>
                    </a:xfrm>
                    <a:prstGeom prst="rect">
                      <a:avLst/>
                    </a:prstGeom>
                    <a:ln/>
                  </pic:spPr>
                </pic:pic>
              </a:graphicData>
            </a:graphic>
          </wp:inline>
        </w:drawing>
      </w:r>
    </w:p>
    <w:p w14:paraId="65530204" w14:textId="77777777" w:rsidR="00B143DF" w:rsidRPr="00C93845" w:rsidRDefault="00BA62D1">
      <w:pPr>
        <w:numPr>
          <w:ilvl w:val="0"/>
          <w:numId w:val="2"/>
        </w:numPr>
        <w:pBdr>
          <w:top w:val="nil"/>
          <w:left w:val="nil"/>
          <w:bottom w:val="nil"/>
          <w:right w:val="nil"/>
          <w:between w:val="nil"/>
        </w:pBdr>
        <w:spacing w:before="240" w:line="360" w:lineRule="auto"/>
        <w:ind w:left="284" w:right="49" w:firstLine="0"/>
        <w:jc w:val="both"/>
        <w:rPr>
          <w:rFonts w:ascii="Palatino Linotype" w:eastAsia="Palatino Linotype" w:hAnsi="Palatino Linotype" w:cs="Palatino Linotype"/>
        </w:rPr>
      </w:pPr>
      <w:r w:rsidRPr="00C93845">
        <w:rPr>
          <w:rFonts w:ascii="Palatino Linotype" w:eastAsia="Palatino Linotype" w:hAnsi="Palatino Linotype" w:cs="Palatino Linotype"/>
        </w:rPr>
        <w:t>Remitió a manera de ejemplo la digitalización de la hoja 336 de 336 del Diario General de Pólizas del 1 al 30 de septiembre de 2024, como ejemplo, la cual fue extraída directamente del escáner, la cual tiene un peso aproximado de 432 KB, como se observa a continuación:</w:t>
      </w:r>
    </w:p>
    <w:p w14:paraId="3C8142B9" w14:textId="77777777" w:rsidR="00B143DF" w:rsidRPr="00C93845" w:rsidRDefault="00BA62D1">
      <w:pPr>
        <w:pBdr>
          <w:top w:val="nil"/>
          <w:left w:val="nil"/>
          <w:bottom w:val="nil"/>
          <w:right w:val="nil"/>
          <w:between w:val="nil"/>
        </w:pBdr>
        <w:spacing w:line="360" w:lineRule="auto"/>
        <w:ind w:left="284" w:right="49"/>
        <w:jc w:val="center"/>
        <w:rPr>
          <w:rFonts w:ascii="Palatino Linotype" w:eastAsia="Palatino Linotype" w:hAnsi="Palatino Linotype" w:cs="Palatino Linotype"/>
        </w:rPr>
      </w:pPr>
      <w:r w:rsidRPr="00C93845">
        <w:rPr>
          <w:rFonts w:ascii="Palatino Linotype" w:eastAsia="Palatino Linotype" w:hAnsi="Palatino Linotype" w:cs="Palatino Linotype"/>
          <w:noProof/>
        </w:rPr>
        <w:drawing>
          <wp:inline distT="0" distB="0" distL="0" distR="0" wp14:anchorId="6124776C" wp14:editId="4F064486">
            <wp:extent cx="3060000" cy="1839698"/>
            <wp:effectExtent l="0" t="0" r="0" b="0"/>
            <wp:docPr id="19520825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060000" cy="1839698"/>
                    </a:xfrm>
                    <a:prstGeom prst="rect">
                      <a:avLst/>
                    </a:prstGeom>
                    <a:ln/>
                  </pic:spPr>
                </pic:pic>
              </a:graphicData>
            </a:graphic>
          </wp:inline>
        </w:drawing>
      </w:r>
    </w:p>
    <w:p w14:paraId="45E982EE" w14:textId="77777777" w:rsidR="00B143DF" w:rsidRPr="00C93845" w:rsidRDefault="00BA62D1">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rPr>
      </w:pPr>
      <w:r w:rsidRPr="00C93845">
        <w:rPr>
          <w:rFonts w:ascii="Palatino Linotype" w:eastAsia="Palatino Linotype" w:hAnsi="Palatino Linotype" w:cs="Palatino Linotype"/>
        </w:rPr>
        <w:t>- Que, tomando como referencia el peso del documento remitido como ejemplo, y el número de hojas aproximado de la información que rebasa las 8,223 hojas, de peso aproximado es de 3,552.36 MB.</w:t>
      </w:r>
    </w:p>
    <w:p w14:paraId="2A50C87E" w14:textId="77777777" w:rsidR="00B143DF" w:rsidRPr="00C93845" w:rsidRDefault="00BA62D1">
      <w:pPr>
        <w:spacing w:before="240" w:after="240" w:line="360" w:lineRule="auto"/>
        <w:ind w:left="284" w:right="49"/>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 Comprobó el registro de la incidencia técnica ante la Dirección General de Informática de este Instituto, mediante el oficio número INFOEM/DGI/593/2024 emitido por el </w:t>
      </w:r>
      <w:proofErr w:type="gramStart"/>
      <w:r w:rsidRPr="00C93845">
        <w:rPr>
          <w:rFonts w:ascii="Palatino Linotype" w:eastAsia="Palatino Linotype" w:hAnsi="Palatino Linotype" w:cs="Palatino Linotype"/>
        </w:rPr>
        <w:t>Director General</w:t>
      </w:r>
      <w:proofErr w:type="gramEnd"/>
      <w:r w:rsidRPr="00C93845">
        <w:rPr>
          <w:rFonts w:ascii="Palatino Linotype" w:eastAsia="Palatino Linotype" w:hAnsi="Palatino Linotype" w:cs="Palatino Linotype"/>
        </w:rPr>
        <w:t xml:space="preserve"> de Informática.</w:t>
      </w:r>
    </w:p>
    <w:p w14:paraId="7828500E"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 xml:space="preserve">De igual forma, como consta en los antecedentes de la presente resolución, se consultó a la Dirección General de Informática de este Instituto, sobre las incidencias presentadas por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para atender la solicitud de información que dio origen al recurso de revisión que se resuelve, así como el peso de la información, y, como respuesta se obtuvo que </w:t>
      </w:r>
      <w:r w:rsidRPr="00C93845">
        <w:rPr>
          <w:rFonts w:ascii="Palatino Linotype" w:eastAsia="Palatino Linotype" w:hAnsi="Palatino Linotype" w:cs="Palatino Linotype"/>
          <w:b/>
        </w:rPr>
        <w:t xml:space="preserve">SÍ se tenía registro de incidencia por parte de éste, </w:t>
      </w:r>
      <w:r w:rsidRPr="00C93845">
        <w:rPr>
          <w:rFonts w:ascii="Palatino Linotype" w:eastAsia="Palatino Linotype" w:hAnsi="Palatino Linotype" w:cs="Palatino Linotype"/>
        </w:rPr>
        <w:t>al</w:t>
      </w:r>
      <w:r w:rsidRPr="00C93845">
        <w:rPr>
          <w:rFonts w:ascii="Palatino Linotype" w:eastAsia="Palatino Linotype" w:hAnsi="Palatino Linotype" w:cs="Palatino Linotype"/>
          <w:b/>
        </w:rPr>
        <w:t xml:space="preserve"> </w:t>
      </w:r>
      <w:r w:rsidRPr="00C93845">
        <w:rPr>
          <w:rFonts w:ascii="Palatino Linotype" w:eastAsia="Palatino Linotype" w:hAnsi="Palatino Linotype" w:cs="Palatino Linotype"/>
        </w:rPr>
        <w:t xml:space="preserve">tratar de subir información con un peso de 3,516.00 MB lo cual </w:t>
      </w:r>
      <w:r w:rsidRPr="00C93845">
        <w:rPr>
          <w:rFonts w:ascii="Palatino Linotype" w:eastAsia="Palatino Linotype" w:hAnsi="Palatino Linotype" w:cs="Palatino Linotype"/>
          <w:b/>
          <w:u w:val="single"/>
        </w:rPr>
        <w:t>sobrepasa las capacidades técnicas del sistema SAIMEX</w:t>
      </w:r>
      <w:r w:rsidRPr="00C93845">
        <w:rPr>
          <w:rFonts w:ascii="Palatino Linotype" w:eastAsia="Palatino Linotype" w:hAnsi="Palatino Linotype" w:cs="Palatino Linotype"/>
        </w:rPr>
        <w:t>, lo cual se sustenta con el mismo oficio número INFOEM/DGI/593/2024.</w:t>
      </w:r>
    </w:p>
    <w:p w14:paraId="3D941176"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este sentido, es oportuno mencionar que en diversas solicitudes de reportes de incidencia, derivado de la sustanciación de diversos recursos de revisión, la Dirección General Informática de este Instituto ha hecho saber que el sistema SAIMEX, </w:t>
      </w:r>
      <w:r w:rsidRPr="00C93845">
        <w:rPr>
          <w:rFonts w:ascii="Palatino Linotype" w:eastAsia="Palatino Linotype" w:hAnsi="Palatino Linotype" w:cs="Palatino Linotype"/>
          <w:b/>
        </w:rPr>
        <w:t xml:space="preserve">tiene un soporte tecnológico para que se puedan adjuntar archivos con un peso aproximado de 500Mb o su equivalente de hasta 8,000 hojas </w:t>
      </w:r>
      <w:r w:rsidRPr="00C93845">
        <w:rPr>
          <w:rFonts w:ascii="Palatino Linotype" w:eastAsia="Palatino Linotype" w:hAnsi="Palatino Linotype" w:cs="Palatino Linotype"/>
          <w:b/>
          <w:u w:val="single"/>
        </w:rPr>
        <w:t>bajo parámetros escaneo en resolución máxima de 150Dpi’s, escala de grises y formato PDF, extraído directamente del escáner,</w:t>
      </w:r>
      <w:r w:rsidRPr="00C93845">
        <w:rPr>
          <w:rFonts w:ascii="Palatino Linotype" w:eastAsia="Palatino Linotype" w:hAnsi="Palatino Linotype" w:cs="Palatino Linotype"/>
          <w:b/>
        </w:rPr>
        <w:t xml:space="preserve"> </w:t>
      </w:r>
      <w:r w:rsidRPr="00C93845">
        <w:rPr>
          <w:rFonts w:ascii="Palatino Linotype" w:eastAsia="Palatino Linotype" w:hAnsi="Palatino Linotype" w:cs="Palatino Linotype"/>
        </w:rPr>
        <w:t xml:space="preserve">como se muestra a continuación: </w:t>
      </w:r>
    </w:p>
    <w:p w14:paraId="746EB6C1" w14:textId="77777777" w:rsidR="00B143DF" w:rsidRPr="00C93845" w:rsidRDefault="00BA62D1">
      <w:pPr>
        <w:spacing w:before="240" w:after="360" w:line="360" w:lineRule="auto"/>
        <w:jc w:val="center"/>
        <w:rPr>
          <w:rFonts w:ascii="Palatino Linotype" w:eastAsia="Palatino Linotype" w:hAnsi="Palatino Linotype" w:cs="Palatino Linotype"/>
        </w:rPr>
      </w:pPr>
      <w:r w:rsidRPr="00C93845">
        <w:rPr>
          <w:rFonts w:ascii="Palatino Linotype" w:eastAsia="Palatino Linotype" w:hAnsi="Palatino Linotype" w:cs="Palatino Linotype"/>
          <w:noProof/>
        </w:rPr>
        <w:drawing>
          <wp:inline distT="0" distB="0" distL="0" distR="0" wp14:anchorId="3E7F9DCC" wp14:editId="40D58223">
            <wp:extent cx="4500000" cy="1227606"/>
            <wp:effectExtent l="0" t="0" r="0" b="0"/>
            <wp:docPr id="19520825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32484"/>
                    <a:stretch>
                      <a:fillRect/>
                    </a:stretch>
                  </pic:blipFill>
                  <pic:spPr>
                    <a:xfrm>
                      <a:off x="0" y="0"/>
                      <a:ext cx="4500000" cy="1227606"/>
                    </a:xfrm>
                    <a:prstGeom prst="rect">
                      <a:avLst/>
                    </a:prstGeom>
                    <a:ln/>
                  </pic:spPr>
                </pic:pic>
              </a:graphicData>
            </a:graphic>
          </wp:inline>
        </w:drawing>
      </w:r>
    </w:p>
    <w:p w14:paraId="5665F09D"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Con base en lo previo, toda vez que, el peso de la información que es competencia de la Tesorería Municipal, que se pretende cargar al SAIMEX para atender la solicitud de información 00094/TEMOAYA/IP/2024, sobre pasa las capacidades </w:t>
      </w:r>
      <w:r w:rsidRPr="00C93845">
        <w:rPr>
          <w:rFonts w:ascii="Palatino Linotype" w:eastAsia="Palatino Linotype" w:hAnsi="Palatino Linotype" w:cs="Palatino Linotype"/>
        </w:rPr>
        <w:lastRenderedPageBreak/>
        <w:t>técnicas del mismo, se arriba a la conclusión de que ha quedado acreditada la necesidad del cambio de modalidad en la entrega de la información.</w:t>
      </w:r>
    </w:p>
    <w:p w14:paraId="1FCCA375" w14:textId="77777777" w:rsidR="00B143DF" w:rsidRPr="00C93845" w:rsidRDefault="00BA62D1">
      <w:pPr>
        <w:spacing w:before="240" w:after="240" w:line="360" w:lineRule="auto"/>
        <w:jc w:val="both"/>
        <w:rPr>
          <w:rFonts w:ascii="Palatino Linotype" w:eastAsia="Palatino Linotype" w:hAnsi="Palatino Linotype" w:cs="Palatino Linotype"/>
          <w:b/>
          <w:u w:val="single"/>
        </w:rPr>
      </w:pPr>
      <w:r w:rsidRPr="00C93845">
        <w:rPr>
          <w:rFonts w:ascii="Palatino Linotype" w:eastAsia="Palatino Linotype" w:hAnsi="Palatino Linotype" w:cs="Palatino Linotype"/>
        </w:rPr>
        <w:t xml:space="preserve">No obstante, 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 la persona solicitante en consulta directa, </w:t>
      </w:r>
      <w:r w:rsidRPr="00C93845">
        <w:rPr>
          <w:rFonts w:ascii="Palatino Linotype" w:eastAsia="Palatino Linotype" w:hAnsi="Palatino Linotype" w:cs="Palatino Linotype"/>
          <w:b/>
          <w:u w:val="single"/>
        </w:rPr>
        <w:t>facilitando copias simples o certificadas, así como su reproducción por cualquier medio disponible en las instalaciones del Sujeto Obligado o que, en su caso, aporte el solicitante.</w:t>
      </w:r>
    </w:p>
    <w:p w14:paraId="08A792FA"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el presente asunto, como se desprende del Acta de la Décima Sesión Extraordinaria del Comité de Transparencia,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w:t>
      </w:r>
      <w:r w:rsidRPr="00C93845">
        <w:rPr>
          <w:rFonts w:ascii="Palatino Linotype" w:eastAsia="Palatino Linotype" w:hAnsi="Palatino Linotype" w:cs="Palatino Linotype"/>
          <w:b/>
        </w:rPr>
        <w:t xml:space="preserve">se limitó a ofrecer el cambio de modalidad </w:t>
      </w:r>
      <w:r w:rsidRPr="00C93845">
        <w:rPr>
          <w:rFonts w:ascii="Palatino Linotype" w:eastAsia="Palatino Linotype" w:hAnsi="Palatino Linotype" w:cs="Palatino Linotype"/>
          <w:b/>
          <w:u w:val="single"/>
        </w:rPr>
        <w:t>a consulta directa,</w:t>
      </w:r>
      <w:r w:rsidRPr="00C93845">
        <w:rPr>
          <w:rFonts w:ascii="Palatino Linotype" w:eastAsia="Palatino Linotype" w:hAnsi="Palatino Linotype" w:cs="Palatino Linotype"/>
        </w:rPr>
        <w:t xml:space="preserve"> fijando para tal efecto el día 21 de agosto de 2024 de 11:00 a 13:00 horas, e hizo del conocimiento de la persona solicitante que la información estaría disponible durante un plazo mínimo de 60 días en la Unidad de Transparencia, de conformidad con el artículo 166 de la Ley de Transparencia Local, asimismo, que en caso de requerir la reproducción de la información, el personal de la Tesorería Municipal, le indicaría el monto de los derechos a cubrir por concepto de digitalización de los documentos o bien por la entrega en algún otro formato establecido en el marco normativo en materia de acceso a la información, así como el procedimiento para realizar el pago respectivo, de conformidad con el artículo 148, fracción V del Código Financiero del Estado de México, a saber:</w:t>
      </w:r>
    </w:p>
    <w:p w14:paraId="1FBE41A3" w14:textId="77777777" w:rsidR="00B143DF" w:rsidRPr="00C93845" w:rsidRDefault="00BA62D1">
      <w:pPr>
        <w:spacing w:before="240" w:after="240" w:line="360" w:lineRule="auto"/>
        <w:jc w:val="center"/>
        <w:rPr>
          <w:rFonts w:ascii="Palatino Linotype" w:eastAsia="Palatino Linotype" w:hAnsi="Palatino Linotype" w:cs="Palatino Linotype"/>
        </w:rPr>
      </w:pPr>
      <w:r w:rsidRPr="00C93845">
        <w:rPr>
          <w:rFonts w:ascii="Palatino Linotype" w:eastAsia="Palatino Linotype" w:hAnsi="Palatino Linotype" w:cs="Palatino Linotype"/>
          <w:noProof/>
        </w:rPr>
        <w:lastRenderedPageBreak/>
        <w:drawing>
          <wp:inline distT="0" distB="0" distL="0" distR="0" wp14:anchorId="59EE4930" wp14:editId="257A936D">
            <wp:extent cx="3924000" cy="2964282"/>
            <wp:effectExtent l="0" t="0" r="0" b="0"/>
            <wp:docPr id="19520825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3924000" cy="2964282"/>
                    </a:xfrm>
                    <a:prstGeom prst="rect">
                      <a:avLst/>
                    </a:prstGeom>
                    <a:ln/>
                  </pic:spPr>
                </pic:pic>
              </a:graphicData>
            </a:graphic>
          </wp:inline>
        </w:drawing>
      </w:r>
      <w:r w:rsidRPr="00C93845">
        <w:rPr>
          <w:noProof/>
        </w:rPr>
        <mc:AlternateContent>
          <mc:Choice Requires="wpg">
            <w:drawing>
              <wp:anchor distT="0" distB="0" distL="114300" distR="114300" simplePos="0" relativeHeight="251658240" behindDoc="0" locked="0" layoutInCell="1" hidden="0" allowOverlap="1" wp14:anchorId="6A768008" wp14:editId="5F1A9F07">
                <wp:simplePos x="0" y="0"/>
                <wp:positionH relativeFrom="column">
                  <wp:posOffset>838200</wp:posOffset>
                </wp:positionH>
                <wp:positionV relativeFrom="paragraph">
                  <wp:posOffset>2374900</wp:posOffset>
                </wp:positionV>
                <wp:extent cx="3940629" cy="282938"/>
                <wp:effectExtent l="0" t="0" r="0" b="0"/>
                <wp:wrapNone/>
                <wp:docPr id="1952082511" name="Rectángulo 1952082511"/>
                <wp:cNvGraphicFramePr/>
                <a:graphic xmlns:a="http://schemas.openxmlformats.org/drawingml/2006/main">
                  <a:graphicData uri="http://schemas.microsoft.com/office/word/2010/wordprocessingShape">
                    <wps:wsp>
                      <wps:cNvSpPr/>
                      <wps:spPr>
                        <a:xfrm>
                          <a:off x="3413786" y="3676631"/>
                          <a:ext cx="3864429" cy="206738"/>
                        </a:xfrm>
                        <a:prstGeom prst="rect">
                          <a:avLst/>
                        </a:prstGeom>
                        <a:noFill/>
                        <a:ln w="38100" cap="flat" cmpd="sng">
                          <a:solidFill>
                            <a:srgbClr val="C00000"/>
                          </a:solidFill>
                          <a:prstDash val="solid"/>
                          <a:round/>
                          <a:headEnd type="none" w="sm" len="sm"/>
                          <a:tailEnd type="none" w="sm" len="sm"/>
                        </a:ln>
                      </wps:spPr>
                      <wps:txbx>
                        <w:txbxContent>
                          <w:p w14:paraId="6BB53CFE" w14:textId="77777777" w:rsidR="00B143DF" w:rsidRDefault="00B143DF">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838200</wp:posOffset>
                </wp:positionH>
                <wp:positionV relativeFrom="paragraph">
                  <wp:posOffset>2374900</wp:posOffset>
                </wp:positionV>
                <wp:extent cx="3940629" cy="282938"/>
                <wp:effectExtent b="0" l="0" r="0" t="0"/>
                <wp:wrapNone/>
                <wp:docPr id="1952082511"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3940629" cy="282938"/>
                        </a:xfrm>
                        <a:prstGeom prst="rect"/>
                        <a:ln/>
                      </pic:spPr>
                    </pic:pic>
                  </a:graphicData>
                </a:graphic>
              </wp:anchor>
            </w:drawing>
          </mc:Fallback>
        </mc:AlternateContent>
      </w:r>
    </w:p>
    <w:p w14:paraId="60E8C242"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este sentido, el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si bien acreditó la entrega de la información mediante una modalidad distinta a la solicitada, también lo es que NO ofreció todos los medios por los cuales pudiera entregar la información,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14:paraId="5C715915" w14:textId="77777777" w:rsidR="00B143DF" w:rsidRPr="00C93845" w:rsidRDefault="00BA62D1">
      <w:pPr>
        <w:spacing w:before="240" w:after="240" w:line="360" w:lineRule="auto"/>
        <w:jc w:val="both"/>
      </w:pPr>
      <w:r w:rsidRPr="00C93845">
        <w:rPr>
          <w:rFonts w:ascii="Palatino Linotype" w:eastAsia="Palatino Linotype" w:hAnsi="Palatino Linotype" w:cs="Palatino Linotype"/>
        </w:rPr>
        <w:t xml:space="preserve">Asimismo, </w:t>
      </w:r>
      <w:r w:rsidRPr="00C93845">
        <w:rPr>
          <w:rFonts w:ascii="Palatino Linotype" w:eastAsia="Palatino Linotype" w:hAnsi="Palatino Linotype" w:cs="Palatino Linotype"/>
          <w:b/>
          <w:u w:val="single"/>
        </w:rPr>
        <w:t>respecto del cobro por escaneo y digitalización</w:t>
      </w:r>
      <w:r w:rsidRPr="00C93845">
        <w:rPr>
          <w:rFonts w:ascii="Palatino Linotype" w:eastAsia="Palatino Linotype" w:hAnsi="Palatino Linotype" w:cs="Palatino Linotype"/>
        </w:rPr>
        <w:t xml:space="preserve">, es de suma importancia mencionar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C93845">
        <w:rPr>
          <w:rFonts w:ascii="Palatino Linotype" w:eastAsia="Palatino Linotype" w:hAnsi="Palatino Linotype" w:cs="Palatino Linotype"/>
          <w:b/>
        </w:rPr>
        <w:t>gratuidad</w:t>
      </w:r>
      <w:r w:rsidRPr="00C93845">
        <w:rPr>
          <w:rFonts w:ascii="Palatino Linotype" w:eastAsia="Palatino Linotype" w:hAnsi="Palatino Linotype" w:cs="Palatino Linotype"/>
        </w:rPr>
        <w:t>, de certeza, de celeridad, de objetividad, entre otros.</w:t>
      </w:r>
    </w:p>
    <w:p w14:paraId="0373652E"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7CFD546C" w14:textId="77777777" w:rsidR="00B143DF" w:rsidRPr="00C93845" w:rsidRDefault="00BA62D1">
      <w:pPr>
        <w:pBdr>
          <w:top w:val="nil"/>
          <w:left w:val="nil"/>
          <w:bottom w:val="nil"/>
          <w:right w:val="nil"/>
          <w:between w:val="nil"/>
        </w:pBdr>
        <w:spacing w:before="240" w:after="240" w:line="360" w:lineRule="auto"/>
        <w:jc w:val="both"/>
      </w:pPr>
      <w:r w:rsidRPr="00C93845">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C93845">
        <w:rPr>
          <w:rFonts w:ascii="Palatino Linotype" w:eastAsia="Palatino Linotype" w:hAnsi="Palatino Linotype" w:cs="Palatino Linotype"/>
          <w:b/>
        </w:rPr>
        <w:t>reproducción</w:t>
      </w:r>
      <w:r w:rsidRPr="00C93845">
        <w:rPr>
          <w:rFonts w:ascii="Palatino Linotype" w:eastAsia="Palatino Linotype" w:hAnsi="Palatino Linotype" w:cs="Palatino Linotype"/>
        </w:rPr>
        <w:t xml:space="preserve"> de la información, y en su caso del costo de </w:t>
      </w:r>
      <w:r w:rsidRPr="00C93845">
        <w:rPr>
          <w:rFonts w:ascii="Palatino Linotype" w:eastAsia="Palatino Linotype" w:hAnsi="Palatino Linotype" w:cs="Palatino Linotype"/>
          <w:b/>
        </w:rPr>
        <w:t>envío</w:t>
      </w:r>
      <w:r w:rsidRPr="00C93845">
        <w:rPr>
          <w:rFonts w:ascii="Palatino Linotype" w:eastAsia="Palatino Linotype" w:hAnsi="Palatino Linotype" w:cs="Palatino Linotype"/>
        </w:rPr>
        <w:t>, finalmente, conlleva implícitamente un esfuerzo por parte de los Sujetos Obligados para reducir los costos de entrega de la información.</w:t>
      </w:r>
    </w:p>
    <w:p w14:paraId="1D9CB4B6" w14:textId="77777777" w:rsidR="00B143DF" w:rsidRPr="00C93845" w:rsidRDefault="00BA62D1">
      <w:pPr>
        <w:pBdr>
          <w:top w:val="nil"/>
          <w:left w:val="nil"/>
          <w:bottom w:val="nil"/>
          <w:right w:val="nil"/>
          <w:between w:val="nil"/>
        </w:pBdr>
        <w:spacing w:before="240" w:after="240" w:line="360" w:lineRule="auto"/>
        <w:jc w:val="both"/>
      </w:pPr>
      <w:r w:rsidRPr="00C93845">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1FCD7F2A" w14:textId="77777777" w:rsidR="00B143DF" w:rsidRPr="00C93845" w:rsidRDefault="00BA62D1">
      <w:pPr>
        <w:pBdr>
          <w:top w:val="nil"/>
          <w:left w:val="nil"/>
          <w:bottom w:val="nil"/>
          <w:right w:val="nil"/>
          <w:between w:val="nil"/>
        </w:pBdr>
        <w:spacing w:before="240" w:after="240" w:line="360" w:lineRule="auto"/>
        <w:jc w:val="both"/>
      </w:pPr>
      <w:r w:rsidRPr="00C93845">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w:t>
      </w:r>
      <w:r w:rsidRPr="00C93845">
        <w:rPr>
          <w:rFonts w:ascii="Palatino Linotype" w:eastAsia="Palatino Linotype" w:hAnsi="Palatino Linotype" w:cs="Palatino Linotype"/>
        </w:rPr>
        <w:lastRenderedPageBreak/>
        <w:t xml:space="preserve">procedimientos sencillos, expeditos, oportunos y </w:t>
      </w:r>
      <w:r w:rsidRPr="00C93845">
        <w:rPr>
          <w:rFonts w:ascii="Palatino Linotype" w:eastAsia="Palatino Linotype" w:hAnsi="Palatino Linotype" w:cs="Palatino Linotype"/>
          <w:b/>
          <w:i/>
        </w:rPr>
        <w:t>gratuitos</w:t>
      </w:r>
      <w:r w:rsidRPr="00C93845">
        <w:rPr>
          <w:rFonts w:ascii="Palatino Linotype" w:eastAsia="Palatino Linotype" w:hAnsi="Palatino Linotype" w:cs="Palatino Linotype"/>
        </w:rPr>
        <w:t xml:space="preserve">, refiere en los artículos 17 y 150, que la búsqueda y acceso a la información es gratuita y </w:t>
      </w:r>
      <w:r w:rsidRPr="00C93845">
        <w:rPr>
          <w:rFonts w:ascii="Palatino Linotype" w:eastAsia="Palatino Linotype" w:hAnsi="Palatino Linotype" w:cs="Palatino Linotype"/>
          <w:b/>
          <w:i/>
        </w:rPr>
        <w:t xml:space="preserve">sólo se cubrirá en su caso, los gastos de reproducción, </w:t>
      </w:r>
      <w:r w:rsidRPr="00C93845">
        <w:rPr>
          <w:rFonts w:ascii="Palatino Linotype" w:eastAsia="Palatino Linotype" w:hAnsi="Palatino Linotype" w:cs="Palatino Linotype"/>
          <w:b/>
          <w:i/>
          <w:u w:val="single"/>
        </w:rPr>
        <w:t>por la modalidad de entrega solicitada, o por el envío</w:t>
      </w:r>
      <w:r w:rsidRPr="00C93845">
        <w:rPr>
          <w:rFonts w:ascii="Palatino Linotype" w:eastAsia="Palatino Linotype" w:hAnsi="Palatino Linotype" w:cs="Palatino Linotype"/>
          <w:u w:val="single"/>
        </w:rPr>
        <w:t xml:space="preserve"> </w:t>
      </w:r>
      <w:r w:rsidRPr="00C93845">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sidRPr="00C93845">
        <w:rPr>
          <w:rFonts w:ascii="Palatino Linotype" w:eastAsia="Palatino Linotype" w:hAnsi="Palatino Linotype" w:cs="Palatino Linotype"/>
          <w:i/>
        </w:rPr>
        <w:t>se rige por los principios de simplicidad, rapidez</w:t>
      </w:r>
      <w:r w:rsidRPr="00C93845">
        <w:rPr>
          <w:rFonts w:ascii="Palatino Linotype" w:eastAsia="Palatino Linotype" w:hAnsi="Palatino Linotype" w:cs="Palatino Linotype"/>
        </w:rPr>
        <w:t xml:space="preserve">, </w:t>
      </w:r>
      <w:r w:rsidRPr="00C93845">
        <w:rPr>
          <w:rFonts w:ascii="Palatino Linotype" w:eastAsia="Palatino Linotype" w:hAnsi="Palatino Linotype" w:cs="Palatino Linotype"/>
          <w:i/>
        </w:rPr>
        <w:t>gratuidad</w:t>
      </w:r>
      <w:r w:rsidRPr="00C93845">
        <w:rPr>
          <w:rFonts w:ascii="Palatino Linotype" w:eastAsia="Palatino Linotype" w:hAnsi="Palatino Linotype" w:cs="Palatino Linotype"/>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299427F4" w14:textId="77777777" w:rsidR="00B143DF" w:rsidRPr="00C93845" w:rsidRDefault="00BA62D1">
      <w:pPr>
        <w:pBdr>
          <w:top w:val="nil"/>
          <w:left w:val="nil"/>
          <w:bottom w:val="nil"/>
          <w:right w:val="nil"/>
          <w:between w:val="nil"/>
        </w:pBdr>
        <w:spacing w:before="240" w:after="240" w:line="360" w:lineRule="auto"/>
        <w:jc w:val="both"/>
      </w:pPr>
      <w:r w:rsidRPr="00C93845">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C93845">
        <w:rPr>
          <w:rFonts w:ascii="Palatino Linotype" w:eastAsia="Palatino Linotype" w:hAnsi="Palatino Linotype" w:cs="Palatino Linotype"/>
          <w:b/>
          <w:i/>
        </w:rPr>
        <w:t>en caso de que se tenga que generar un gasto por la reproducción, por el envío, o por la modalidad de entrega solicitada</w:t>
      </w:r>
      <w:r w:rsidRPr="00C93845">
        <w:rPr>
          <w:rFonts w:ascii="Palatino Linotype" w:eastAsia="Palatino Linotype" w:hAnsi="Palatino Linotype" w:cs="Palatino Linotype"/>
        </w:rPr>
        <w:t>, supuestos que encuadran con lo establecido en los artículos 9 fracción III, 17, 165, 174, 175 de la Ley de Acceso a la Información Pública del Estado de México y Municipios, así como el artículo 4.22 de su Reglamento.</w:t>
      </w:r>
    </w:p>
    <w:p w14:paraId="33CD903C"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sz w:val="22"/>
          <w:szCs w:val="22"/>
        </w:rPr>
        <w:t>“</w:t>
      </w:r>
      <w:r w:rsidRPr="00C93845">
        <w:rPr>
          <w:rFonts w:ascii="Palatino Linotype" w:eastAsia="Palatino Linotype" w:hAnsi="Palatino Linotype" w:cs="Palatino Linotype"/>
          <w:b/>
          <w:i/>
          <w:sz w:val="22"/>
          <w:szCs w:val="22"/>
        </w:rPr>
        <w:t xml:space="preserve">Artículo 9. </w:t>
      </w:r>
      <w:r w:rsidRPr="00C93845">
        <w:rPr>
          <w:rFonts w:ascii="Palatino Linotype" w:eastAsia="Palatino Linotype" w:hAnsi="Palatino Linotype" w:cs="Palatino Linotype"/>
          <w:i/>
          <w:sz w:val="22"/>
          <w:szCs w:val="22"/>
        </w:rPr>
        <w:t>El Instituto deberá regir su funcionamiento de acuerdo a los siguientes principios:</w:t>
      </w:r>
    </w:p>
    <w:p w14:paraId="70232A68" w14:textId="77777777" w:rsidR="00B143DF" w:rsidRPr="00C93845" w:rsidRDefault="00BA62D1">
      <w:pPr>
        <w:pBdr>
          <w:top w:val="nil"/>
          <w:left w:val="nil"/>
          <w:bottom w:val="nil"/>
          <w:right w:val="nil"/>
          <w:between w:val="nil"/>
        </w:pBdr>
        <w:spacing w:before="120" w:after="120"/>
        <w:ind w:left="1134" w:right="902"/>
        <w:jc w:val="both"/>
      </w:pPr>
      <w:r w:rsidRPr="00C93845">
        <w:rPr>
          <w:rFonts w:ascii="Palatino Linotype" w:eastAsia="Palatino Linotype" w:hAnsi="Palatino Linotype" w:cs="Palatino Linotype"/>
          <w:sz w:val="22"/>
          <w:szCs w:val="22"/>
        </w:rPr>
        <w:t>...</w:t>
      </w:r>
    </w:p>
    <w:p w14:paraId="101EC51B" w14:textId="77777777" w:rsidR="00B143DF" w:rsidRPr="00C93845" w:rsidRDefault="00BA62D1">
      <w:pPr>
        <w:pBdr>
          <w:top w:val="nil"/>
          <w:left w:val="nil"/>
          <w:bottom w:val="nil"/>
          <w:right w:val="nil"/>
          <w:between w:val="nil"/>
        </w:pBdr>
        <w:spacing w:before="120" w:after="120"/>
        <w:ind w:left="1134" w:right="902"/>
        <w:jc w:val="both"/>
      </w:pPr>
      <w:r w:rsidRPr="00C93845">
        <w:rPr>
          <w:rFonts w:ascii="Palatino Linotype" w:eastAsia="Palatino Linotype" w:hAnsi="Palatino Linotype" w:cs="Palatino Linotype"/>
          <w:b/>
          <w:i/>
          <w:sz w:val="22"/>
          <w:szCs w:val="22"/>
        </w:rPr>
        <w:t>III. Gratuidad:</w:t>
      </w:r>
      <w:r w:rsidRPr="00C93845">
        <w:rPr>
          <w:rFonts w:ascii="Palatino Linotype" w:eastAsia="Palatino Linotype" w:hAnsi="Palatino Linotype" w:cs="Palatino Linotype"/>
          <w:i/>
          <w:sz w:val="22"/>
          <w:szCs w:val="22"/>
        </w:rPr>
        <w:t xml:space="preserve"> Consiste en que el acceso a la información pública no genera costo alguno para los solicitantes, </w:t>
      </w:r>
      <w:r w:rsidRPr="00C93845">
        <w:rPr>
          <w:rFonts w:ascii="Palatino Linotype" w:eastAsia="Palatino Linotype" w:hAnsi="Palatino Linotype" w:cs="Palatino Linotype"/>
          <w:b/>
          <w:i/>
          <w:sz w:val="22"/>
          <w:szCs w:val="22"/>
        </w:rPr>
        <w:t>sólo podrá requerirse el cobro correspondiente a la modalidad de reproducción y</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entrega solicitada</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i/>
          <w:sz w:val="22"/>
          <w:szCs w:val="22"/>
        </w:rPr>
        <w:lastRenderedPageBreak/>
        <w:t>conforme a lo establecido en la presente Ley y demás disposiciones jurídicas aplicables;</w:t>
      </w:r>
    </w:p>
    <w:p w14:paraId="077C50E3"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i/>
          <w:sz w:val="22"/>
          <w:szCs w:val="22"/>
        </w:rPr>
        <w:t>…</w:t>
      </w:r>
    </w:p>
    <w:p w14:paraId="4737D128"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b/>
          <w:i/>
          <w:sz w:val="22"/>
          <w:szCs w:val="22"/>
        </w:rPr>
        <w:t>Artículo 17.</w:t>
      </w:r>
      <w:r w:rsidRPr="00C93845">
        <w:rPr>
          <w:rFonts w:ascii="Palatino Linotype" w:eastAsia="Palatino Linotype" w:hAnsi="Palatino Linotype" w:cs="Palatino Linotype"/>
          <w:i/>
          <w:sz w:val="22"/>
          <w:szCs w:val="22"/>
        </w:rPr>
        <w:t xml:space="preserve"> La búsqueda y acceso a la información es gratuita y </w:t>
      </w:r>
      <w:r w:rsidRPr="00C93845">
        <w:rPr>
          <w:rFonts w:ascii="Palatino Linotype" w:eastAsia="Palatino Linotype" w:hAnsi="Palatino Linotype" w:cs="Palatino Linotype"/>
          <w:b/>
          <w:i/>
          <w:sz w:val="22"/>
          <w:szCs w:val="22"/>
        </w:rPr>
        <w:t>solo se cubrirán los gastos de reproducción, o por la modalidad de entrega solicitada, así como por el envío,</w:t>
      </w:r>
      <w:r w:rsidRPr="00C93845">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w:t>
      </w:r>
    </w:p>
    <w:p w14:paraId="435FCA51" w14:textId="77777777" w:rsidR="00B143DF" w:rsidRPr="00C93845" w:rsidRDefault="00BA62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p>
    <w:p w14:paraId="4CE156A6"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b/>
          <w:i/>
          <w:sz w:val="22"/>
          <w:szCs w:val="22"/>
        </w:rPr>
        <w:t>Artículo 165. …</w:t>
      </w:r>
    </w:p>
    <w:p w14:paraId="7BC5F43E"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i/>
          <w:sz w:val="22"/>
          <w:szCs w:val="22"/>
        </w:rPr>
        <w:t xml:space="preserve">La información que se entregue en versión pública, </w:t>
      </w:r>
      <w:r w:rsidRPr="00C93845">
        <w:rPr>
          <w:rFonts w:ascii="Palatino Linotype" w:eastAsia="Palatino Linotype" w:hAnsi="Palatino Linotype" w:cs="Palatino Linotype"/>
          <w:b/>
          <w:i/>
          <w:sz w:val="22"/>
          <w:szCs w:val="22"/>
        </w:rPr>
        <w:t>cuya modalidad de reproducción o envío tenga un costo,</w:t>
      </w:r>
      <w:r w:rsidRPr="00C93845">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14:paraId="7437FBD6"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i/>
          <w:sz w:val="22"/>
          <w:szCs w:val="22"/>
        </w:rPr>
        <w:t>…</w:t>
      </w:r>
    </w:p>
    <w:p w14:paraId="22C530C3"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b/>
          <w:i/>
          <w:sz w:val="22"/>
          <w:szCs w:val="22"/>
        </w:rPr>
        <w:t xml:space="preserve">Artículo 174. En caso de existir costos para obtener la información </w:t>
      </w:r>
      <w:r w:rsidRPr="00C93845">
        <w:rPr>
          <w:rFonts w:ascii="Palatino Linotype" w:eastAsia="Palatino Linotype" w:hAnsi="Palatino Linotype" w:cs="Palatino Linotype"/>
          <w:i/>
          <w:sz w:val="22"/>
          <w:szCs w:val="22"/>
        </w:rPr>
        <w:t xml:space="preserve">deberán cubrirse de manera previa a la entrega y </w:t>
      </w:r>
      <w:r w:rsidRPr="00C93845">
        <w:rPr>
          <w:rFonts w:ascii="Palatino Linotype" w:eastAsia="Palatino Linotype" w:hAnsi="Palatino Linotype" w:cs="Palatino Linotype"/>
          <w:b/>
          <w:i/>
          <w:sz w:val="22"/>
          <w:szCs w:val="22"/>
        </w:rPr>
        <w:t>no podrán ser superiores a la suma de: </w:t>
      </w:r>
    </w:p>
    <w:p w14:paraId="01EC7199" w14:textId="77777777" w:rsidR="00B143DF" w:rsidRPr="00C93845" w:rsidRDefault="00BA62D1">
      <w:pPr>
        <w:pBdr>
          <w:top w:val="nil"/>
          <w:left w:val="nil"/>
          <w:bottom w:val="nil"/>
          <w:right w:val="nil"/>
          <w:between w:val="nil"/>
        </w:pBdr>
        <w:spacing w:before="120" w:after="120"/>
        <w:ind w:left="1134" w:right="902"/>
        <w:jc w:val="both"/>
      </w:pPr>
      <w:r w:rsidRPr="00C93845">
        <w:rPr>
          <w:rFonts w:ascii="Palatino Linotype" w:eastAsia="Palatino Linotype" w:hAnsi="Palatino Linotype" w:cs="Palatino Linotype"/>
          <w:b/>
          <w:i/>
          <w:sz w:val="22"/>
          <w:szCs w:val="22"/>
        </w:rPr>
        <w:t>I. El costo de los materiales utilizados en la reproducción</w:t>
      </w:r>
      <w:r w:rsidRPr="00C93845">
        <w:rPr>
          <w:rFonts w:ascii="Palatino Linotype" w:eastAsia="Palatino Linotype" w:hAnsi="Palatino Linotype" w:cs="Palatino Linotype"/>
          <w:i/>
          <w:sz w:val="22"/>
          <w:szCs w:val="22"/>
        </w:rPr>
        <w:t xml:space="preserve"> de la información;</w:t>
      </w:r>
    </w:p>
    <w:p w14:paraId="66CEBC5E" w14:textId="77777777" w:rsidR="00B143DF" w:rsidRPr="00C93845" w:rsidRDefault="00BA62D1">
      <w:pPr>
        <w:pBdr>
          <w:top w:val="nil"/>
          <w:left w:val="nil"/>
          <w:bottom w:val="nil"/>
          <w:right w:val="nil"/>
          <w:between w:val="nil"/>
        </w:pBdr>
        <w:spacing w:before="120" w:after="120"/>
        <w:ind w:left="1134" w:right="902"/>
        <w:jc w:val="both"/>
      </w:pPr>
      <w:r w:rsidRPr="00C93845">
        <w:rPr>
          <w:rFonts w:ascii="Palatino Linotype" w:eastAsia="Palatino Linotype" w:hAnsi="Palatino Linotype" w:cs="Palatino Linotype"/>
          <w:b/>
          <w:i/>
          <w:sz w:val="22"/>
          <w:szCs w:val="22"/>
        </w:rPr>
        <w:t>II. El costo de envío,</w:t>
      </w:r>
      <w:r w:rsidRPr="00C93845">
        <w:rPr>
          <w:rFonts w:ascii="Palatino Linotype" w:eastAsia="Palatino Linotype" w:hAnsi="Palatino Linotype" w:cs="Palatino Linotype"/>
          <w:i/>
          <w:sz w:val="22"/>
          <w:szCs w:val="22"/>
        </w:rPr>
        <w:t xml:space="preserve"> en su caso; y</w:t>
      </w:r>
    </w:p>
    <w:p w14:paraId="241D4E6D" w14:textId="77777777" w:rsidR="00B143DF" w:rsidRPr="00C93845" w:rsidRDefault="00BA62D1">
      <w:pPr>
        <w:pBdr>
          <w:top w:val="nil"/>
          <w:left w:val="nil"/>
          <w:bottom w:val="nil"/>
          <w:right w:val="nil"/>
          <w:between w:val="nil"/>
        </w:pBdr>
        <w:spacing w:before="120" w:after="120"/>
        <w:ind w:left="1134" w:right="902"/>
        <w:jc w:val="both"/>
      </w:pPr>
      <w:r w:rsidRPr="00C93845">
        <w:rPr>
          <w:rFonts w:ascii="Palatino Linotype" w:eastAsia="Palatino Linotype" w:hAnsi="Palatino Linotype" w:cs="Palatino Linotype"/>
          <w:b/>
          <w:i/>
          <w:sz w:val="22"/>
          <w:szCs w:val="22"/>
        </w:rPr>
        <w:t>III. El pago de la certificación de los documentos,</w:t>
      </w:r>
      <w:r w:rsidRPr="00C93845">
        <w:rPr>
          <w:rFonts w:ascii="Palatino Linotype" w:eastAsia="Palatino Linotype" w:hAnsi="Palatino Linotype" w:cs="Palatino Linotype"/>
          <w:i/>
          <w:sz w:val="22"/>
          <w:szCs w:val="22"/>
        </w:rPr>
        <w:t xml:space="preserve"> cuando proceda.</w:t>
      </w:r>
    </w:p>
    <w:p w14:paraId="135661C6"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i/>
          <w:sz w:val="22"/>
          <w:szCs w:val="22"/>
        </w:rPr>
        <w:t xml:space="preserve">Las cuotas de los derechos aplicables deberán establecerse, en su caso, en el </w:t>
      </w:r>
      <w:r w:rsidRPr="00C93845">
        <w:rPr>
          <w:rFonts w:ascii="Palatino Linotype" w:eastAsia="Palatino Linotype" w:hAnsi="Palatino Linotype" w:cs="Palatino Linotype"/>
          <w:b/>
          <w:i/>
          <w:sz w:val="22"/>
          <w:szCs w:val="22"/>
        </w:rPr>
        <w:t xml:space="preserve">Código Financiero del Estado de México y Municipios </w:t>
      </w:r>
      <w:r w:rsidRPr="00C93845">
        <w:rPr>
          <w:rFonts w:ascii="Palatino Linotype" w:eastAsia="Palatino Linotype" w:hAnsi="Palatino Linotype" w:cs="Palatino Linotype"/>
          <w:i/>
          <w:sz w:val="22"/>
          <w:szCs w:val="22"/>
        </w:rPr>
        <w:t>y demás disposiciones jurídicas aplicables, las cuales se publicarán en los sitios de internet de los sujetos obligados…”</w:t>
      </w:r>
    </w:p>
    <w:p w14:paraId="73F1A8EA"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i/>
          <w:sz w:val="22"/>
          <w:szCs w:val="22"/>
        </w:rPr>
        <w:t>...</w:t>
      </w:r>
    </w:p>
    <w:p w14:paraId="18EA1DDC"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b/>
          <w:i/>
          <w:sz w:val="22"/>
          <w:szCs w:val="22"/>
        </w:rPr>
        <w:t>Artículo 175. …</w:t>
      </w:r>
    </w:p>
    <w:p w14:paraId="68883658" w14:textId="77777777" w:rsidR="00B143DF" w:rsidRPr="00C93845" w:rsidRDefault="00BA62D1">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C93845">
        <w:rPr>
          <w:rFonts w:ascii="Palatino Linotype" w:eastAsia="Palatino Linotype" w:hAnsi="Palatino Linotype" w:cs="Palatino Linotype"/>
          <w:i/>
          <w:sz w:val="22"/>
          <w:szCs w:val="22"/>
        </w:rPr>
        <w:t xml:space="preserve">En ningún caso, el pago de derechos deberá exceder el </w:t>
      </w:r>
      <w:r w:rsidRPr="00C93845">
        <w:rPr>
          <w:rFonts w:ascii="Palatino Linotype" w:eastAsia="Palatino Linotype" w:hAnsi="Palatino Linotype" w:cs="Palatino Linotype"/>
          <w:b/>
          <w:i/>
          <w:sz w:val="22"/>
          <w:szCs w:val="22"/>
        </w:rPr>
        <w:t>costo de reproducción de la información en el material solicitado.”</w:t>
      </w:r>
    </w:p>
    <w:p w14:paraId="4C99BB5D" w14:textId="77777777" w:rsidR="00B143DF" w:rsidRPr="00C93845" w:rsidRDefault="00B143DF">
      <w:pPr>
        <w:pBdr>
          <w:top w:val="nil"/>
          <w:left w:val="nil"/>
          <w:bottom w:val="nil"/>
          <w:right w:val="nil"/>
          <w:between w:val="nil"/>
        </w:pBdr>
        <w:spacing w:before="120" w:after="120"/>
        <w:ind w:left="851" w:right="902"/>
        <w:jc w:val="both"/>
      </w:pPr>
    </w:p>
    <w:p w14:paraId="40B5C01E" w14:textId="77777777" w:rsidR="00B143DF" w:rsidRPr="00C93845" w:rsidRDefault="00BA62D1">
      <w:pPr>
        <w:pBdr>
          <w:top w:val="nil"/>
          <w:left w:val="nil"/>
          <w:bottom w:val="nil"/>
          <w:right w:val="nil"/>
          <w:between w:val="nil"/>
        </w:pBdr>
        <w:spacing w:before="120" w:after="120"/>
        <w:ind w:left="851" w:right="902"/>
        <w:jc w:val="both"/>
      </w:pP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 xml:space="preserve">Artículo 4.22.- </w:t>
      </w:r>
      <w:r w:rsidRPr="00C93845">
        <w:rPr>
          <w:rFonts w:ascii="Palatino Linotype" w:eastAsia="Palatino Linotype" w:hAnsi="Palatino Linotype" w:cs="Palatino Linotype"/>
          <w:i/>
          <w:sz w:val="22"/>
          <w:szCs w:val="22"/>
        </w:rPr>
        <w:t xml:space="preserve">Cuando los solicitantes requieran de los sujetos obligados la expedición de copias simples, certificadas o en cualquier otro medio físico que contenga la información solicitada, y que pueda ser reproducida por tener los </w:t>
      </w:r>
      <w:r w:rsidRPr="00C93845">
        <w:rPr>
          <w:rFonts w:ascii="Palatino Linotype" w:eastAsia="Palatino Linotype" w:hAnsi="Palatino Linotype" w:cs="Palatino Linotype"/>
          <w:i/>
          <w:sz w:val="22"/>
          <w:szCs w:val="22"/>
        </w:rPr>
        <w:lastRenderedPageBreak/>
        <w:t>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179816DE"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él envió de la misma o el pago por la certificación, sin embargo, </w:t>
      </w:r>
      <w:r w:rsidRPr="00C93845">
        <w:rPr>
          <w:rFonts w:ascii="Palatino Linotype" w:eastAsia="Palatino Linotype" w:hAnsi="Palatino Linotype" w:cs="Palatino Linotype"/>
          <w:b/>
          <w:u w:val="single"/>
        </w:rPr>
        <w:t>la digitalización o escaneo de la información, no conlleva la utilización de materiales que generen un costo</w:t>
      </w:r>
      <w:r w:rsidRPr="00C93845">
        <w:rPr>
          <w:rFonts w:ascii="Palatino Linotype" w:eastAsia="Palatino Linotype" w:hAnsi="Palatino Linotype" w:cs="Palatino Linotype"/>
        </w:rPr>
        <w:t>, por ello, en materia de transparencia no es procedente el pago de derechos por concepto de escaneo o digitalización, pues se asume que los Sujetos Obligados cuentan con los medios para realizar dichas acciones sin costo alguno.</w:t>
      </w:r>
    </w:p>
    <w:p w14:paraId="40B1FF91" w14:textId="77777777" w:rsidR="00B143DF" w:rsidRPr="00C93845" w:rsidRDefault="00BA62D1">
      <w:pPr>
        <w:pBdr>
          <w:top w:val="nil"/>
          <w:left w:val="nil"/>
          <w:bottom w:val="nil"/>
          <w:right w:val="nil"/>
          <w:between w:val="nil"/>
        </w:pBdr>
        <w:spacing w:before="240" w:after="240" w:line="360" w:lineRule="auto"/>
        <w:jc w:val="both"/>
      </w:pPr>
      <w:r w:rsidRPr="00C93845">
        <w:rPr>
          <w:rFonts w:ascii="Palatino Linotype" w:eastAsia="Palatino Linotype" w:hAnsi="Palatino Linotype" w:cs="Palatino Linotype"/>
        </w:rPr>
        <w:t xml:space="preserve">Bajo los argumentos expuestos, resulta procedente ordenar al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poner a disposición de la persona solicitante el Programa Anual de Adquisiciones, así como el Diario General de Pólizas, en versión pública de ser procedente, </w:t>
      </w:r>
      <w:r w:rsidRPr="00C93845">
        <w:rPr>
          <w:rFonts w:ascii="Palatino Linotype" w:eastAsia="Palatino Linotype" w:hAnsi="Palatino Linotype" w:cs="Palatino Linotype"/>
          <w:b/>
          <w:u w:val="single"/>
        </w:rPr>
        <w:t>en todas las modalidades posibles</w:t>
      </w:r>
      <w:r w:rsidRPr="00C93845">
        <w:rPr>
          <w:rFonts w:ascii="Palatino Linotype" w:eastAsia="Palatino Linotype" w:hAnsi="Palatino Linotype" w:cs="Palatino Linotype"/>
        </w:rPr>
        <w:t xml:space="preserve">, de manera enunciativa, más no limitativa: </w:t>
      </w:r>
      <w:r w:rsidRPr="00C93845">
        <w:rPr>
          <w:rFonts w:ascii="Palatino Linotype" w:eastAsia="Palatino Linotype" w:hAnsi="Palatino Linotype" w:cs="Palatino Linotype"/>
          <w:b/>
          <w:u w:val="single"/>
        </w:rPr>
        <w:t>disco compacto, dispositivos de almacenamiento (CD-ROM, USB, Disco duro extraíble, etcétera), consulta directa, copias simples o certificadas, con posibilidad de entrega en la Unidad de Transparencia o a domicilio por correo certificado</w:t>
      </w:r>
      <w:r w:rsidRPr="00C93845">
        <w:rPr>
          <w:rFonts w:ascii="Palatino Linotype" w:eastAsia="Palatino Linotype" w:hAnsi="Palatino Linotype" w:cs="Palatino Linotype"/>
          <w:b/>
        </w:rPr>
        <w:t xml:space="preserve">; </w:t>
      </w:r>
      <w:r w:rsidRPr="00C93845">
        <w:rPr>
          <w:rFonts w:ascii="Palatino Linotype" w:eastAsia="Palatino Linotype" w:hAnsi="Palatino Linotype" w:cs="Palatino Linotype"/>
        </w:rPr>
        <w:t xml:space="preserve">previo pago de los derechos correspondientes, </w:t>
      </w:r>
      <w:r w:rsidRPr="00C93845">
        <w:rPr>
          <w:rFonts w:ascii="Palatino Linotype" w:eastAsia="Palatino Linotype" w:hAnsi="Palatino Linotype" w:cs="Palatino Linotype"/>
          <w:b/>
          <w:u w:val="single"/>
        </w:rPr>
        <w:t>o sin costo, para el caso de que la persona solicitante proporcione disco compacto o los medios magnéticos</w:t>
      </w:r>
      <w:r w:rsidRPr="00C93845">
        <w:rPr>
          <w:rFonts w:ascii="Palatino Linotype" w:eastAsia="Palatino Linotype" w:hAnsi="Palatino Linotype" w:cs="Palatino Linotype"/>
        </w:rPr>
        <w:t>, como establece el último párrafo del artículo 148 del Código Financiero del Estado de México, citado con antelación.</w:t>
      </w:r>
    </w:p>
    <w:p w14:paraId="07A62B01"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Es necesario aclarar, para el caso que NO pueda subir la información en una liga electrónica de acceso en Internet, por no contar con presupuesto, ni con el equipo electrónico adecuado para tal circunstancia, podrá omitir dicha modalidad, para la entrega de la misma.</w:t>
      </w:r>
    </w:p>
    <w:p w14:paraId="0CCC8A3A" w14:textId="77777777" w:rsidR="00B143DF" w:rsidRPr="00C93845" w:rsidRDefault="00BA62D1">
      <w:pPr>
        <w:tabs>
          <w:tab w:val="left" w:pos="975"/>
        </w:tabs>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Asimismo, para efectos del cumplimiento de la presente resolución, no obsta mencionar </w:t>
      </w:r>
      <w:proofErr w:type="gramStart"/>
      <w:r w:rsidRPr="00C93845">
        <w:rPr>
          <w:rFonts w:ascii="Palatino Linotype" w:eastAsia="Palatino Linotype" w:hAnsi="Palatino Linotype" w:cs="Palatino Linotype"/>
        </w:rPr>
        <w:t>que</w:t>
      </w:r>
      <w:proofErr w:type="gramEnd"/>
      <w:r w:rsidRPr="00C93845">
        <w:rPr>
          <w:rFonts w:ascii="Palatino Linotype" w:eastAsia="Palatino Linotype" w:hAnsi="Palatino Linotype" w:cs="Palatino Linotype"/>
        </w:rPr>
        <w:t xml:space="preserve"> de conformidad con el Manual para la Planeación, Programación y Presupuesto de Egresos Municipal, el Programa Anual de Adquisiciones, es información que se vincula al Presupuesto de Egresos Municipal, como se ilustra a continuación:</w:t>
      </w:r>
    </w:p>
    <w:p w14:paraId="1DDF83C7" w14:textId="77777777" w:rsidR="00B143DF" w:rsidRPr="00C93845" w:rsidRDefault="00B143DF">
      <w:pPr>
        <w:tabs>
          <w:tab w:val="left" w:pos="975"/>
        </w:tabs>
        <w:spacing w:before="240" w:after="240" w:line="360" w:lineRule="auto"/>
        <w:jc w:val="both"/>
        <w:rPr>
          <w:rFonts w:ascii="Palatino Linotype" w:eastAsia="Palatino Linotype" w:hAnsi="Palatino Linotype" w:cs="Palatino Linotype"/>
        </w:rPr>
      </w:pPr>
    </w:p>
    <w:p w14:paraId="22CF1F52" w14:textId="77777777" w:rsidR="00BA62D1" w:rsidRPr="00C93845" w:rsidRDefault="00BA62D1">
      <w:pPr>
        <w:tabs>
          <w:tab w:val="left" w:pos="975"/>
        </w:tabs>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noProof/>
        </w:rPr>
        <w:drawing>
          <wp:inline distT="0" distB="0" distL="0" distR="0" wp14:anchorId="1B53AD81" wp14:editId="7433FF28">
            <wp:extent cx="5400000" cy="2392067"/>
            <wp:effectExtent l="0" t="0" r="0" b="0"/>
            <wp:docPr id="19520825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b="44207"/>
                    <a:stretch>
                      <a:fillRect/>
                    </a:stretch>
                  </pic:blipFill>
                  <pic:spPr>
                    <a:xfrm>
                      <a:off x="0" y="0"/>
                      <a:ext cx="5400000" cy="2392067"/>
                    </a:xfrm>
                    <a:prstGeom prst="rect">
                      <a:avLst/>
                    </a:prstGeom>
                    <a:ln/>
                  </pic:spPr>
                </pic:pic>
              </a:graphicData>
            </a:graphic>
          </wp:inline>
        </w:drawing>
      </w:r>
    </w:p>
    <w:p w14:paraId="7EF13ED6" w14:textId="77777777" w:rsidR="00B143DF" w:rsidRPr="00C93845" w:rsidRDefault="00BA62D1">
      <w:pPr>
        <w:tabs>
          <w:tab w:val="left" w:pos="975"/>
        </w:tabs>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noProof/>
        </w:rPr>
        <w:lastRenderedPageBreak/>
        <w:drawing>
          <wp:inline distT="0" distB="0" distL="0" distR="0" wp14:anchorId="09D0A4CF" wp14:editId="244F55AB">
            <wp:extent cx="5400000" cy="1863556"/>
            <wp:effectExtent l="0" t="0" r="0" b="0"/>
            <wp:docPr id="19520825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56533"/>
                    <a:stretch>
                      <a:fillRect/>
                    </a:stretch>
                  </pic:blipFill>
                  <pic:spPr>
                    <a:xfrm>
                      <a:off x="0" y="0"/>
                      <a:ext cx="5400000" cy="1863556"/>
                    </a:xfrm>
                    <a:prstGeom prst="rect">
                      <a:avLst/>
                    </a:prstGeom>
                    <a:ln/>
                  </pic:spPr>
                </pic:pic>
              </a:graphicData>
            </a:graphic>
          </wp:inline>
        </w:drawing>
      </w:r>
    </w:p>
    <w:p w14:paraId="0804A4D6"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El Programa Anual de Adquisiciones, describe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 y se plasma a través del formato </w:t>
      </w:r>
      <w:r w:rsidRPr="00C93845">
        <w:rPr>
          <w:rFonts w:ascii="Palatino Linotype" w:eastAsia="Palatino Linotype" w:hAnsi="Palatino Linotype" w:cs="Palatino Linotype"/>
          <w:b/>
        </w:rPr>
        <w:t>PbRM-06</w:t>
      </w:r>
      <w:r w:rsidRPr="00C93845">
        <w:rPr>
          <w:rFonts w:ascii="Palatino Linotype" w:eastAsia="Palatino Linotype" w:hAnsi="Palatino Linotype" w:cs="Palatino Linotype"/>
        </w:rPr>
        <w:t>, el cual se inserta a continuación, junto con su instructivo de llenado:</w:t>
      </w:r>
    </w:p>
    <w:p w14:paraId="35345A6B" w14:textId="77777777" w:rsidR="00BA62D1"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12964B01" wp14:editId="2AC81C96">
                <wp:simplePos x="0" y="0"/>
                <wp:positionH relativeFrom="margin">
                  <wp:align>right</wp:align>
                </wp:positionH>
                <wp:positionV relativeFrom="paragraph">
                  <wp:posOffset>20200</wp:posOffset>
                </wp:positionV>
                <wp:extent cx="5512279" cy="3053751"/>
                <wp:effectExtent l="38100" t="19050" r="69850" b="89535"/>
                <wp:wrapNone/>
                <wp:docPr id="1" name="Conector recto 1"/>
                <wp:cNvGraphicFramePr/>
                <a:graphic xmlns:a="http://schemas.openxmlformats.org/drawingml/2006/main">
                  <a:graphicData uri="http://schemas.microsoft.com/office/word/2010/wordprocessingShape">
                    <wps:wsp>
                      <wps:cNvCnPr/>
                      <wps:spPr>
                        <a:xfrm>
                          <a:off x="0" y="0"/>
                          <a:ext cx="5512279" cy="30537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9875417" id="Conector recto 1"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5pt,1.6pt" to="816.9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" strokecolor="black [3200]" strokeweight="2pt">
                <v:shadow on="t" color="black" opacity="24903f" origin=",.5" offset="0,.55556mm"/>
                <w10:wrap anchorx="margin"/>
              </v:line>
            </w:pict>
          </mc:Fallback>
        </mc:AlternateContent>
      </w:r>
    </w:p>
    <w:p w14:paraId="347D88F3"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b/>
          <w:noProof/>
        </w:rPr>
        <w:lastRenderedPageBreak/>
        <w:drawing>
          <wp:inline distT="0" distB="0" distL="0" distR="0" wp14:anchorId="59FD7B4F" wp14:editId="6C707737">
            <wp:extent cx="5612130" cy="4319905"/>
            <wp:effectExtent l="0" t="0" r="0" b="0"/>
            <wp:docPr id="19520825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612130" cy="4319905"/>
                    </a:xfrm>
                    <a:prstGeom prst="rect">
                      <a:avLst/>
                    </a:prstGeom>
                    <a:ln/>
                  </pic:spPr>
                </pic:pic>
              </a:graphicData>
            </a:graphic>
          </wp:inline>
        </w:drawing>
      </w:r>
    </w:p>
    <w:p w14:paraId="4EFB9018"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b/>
          <w:noProof/>
        </w:rPr>
        <w:drawing>
          <wp:inline distT="0" distB="0" distL="0" distR="0" wp14:anchorId="319A59F0" wp14:editId="097927D4">
            <wp:extent cx="5612130" cy="2318785"/>
            <wp:effectExtent l="0" t="0" r="0" b="0"/>
            <wp:docPr id="19520825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b="65979"/>
                    <a:stretch>
                      <a:fillRect/>
                    </a:stretch>
                  </pic:blipFill>
                  <pic:spPr>
                    <a:xfrm>
                      <a:off x="0" y="0"/>
                      <a:ext cx="5612130" cy="2318785"/>
                    </a:xfrm>
                    <a:prstGeom prst="rect">
                      <a:avLst/>
                    </a:prstGeom>
                    <a:ln/>
                  </pic:spPr>
                </pic:pic>
              </a:graphicData>
            </a:graphic>
          </wp:inline>
        </w:drawing>
      </w:r>
    </w:p>
    <w:p w14:paraId="23D3BCF1"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C93845">
        <w:rPr>
          <w:rFonts w:ascii="Palatino Linotype" w:eastAsia="Palatino Linotype" w:hAnsi="Palatino Linotype" w:cs="Palatino Linotype"/>
          <w:b/>
          <w:noProof/>
        </w:rPr>
        <w:lastRenderedPageBreak/>
        <w:drawing>
          <wp:inline distT="0" distB="0" distL="0" distR="0" wp14:anchorId="07F9A91D" wp14:editId="0FD980C0">
            <wp:extent cx="5612130" cy="4508319"/>
            <wp:effectExtent l="0" t="0" r="0" b="0"/>
            <wp:docPr id="19520825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t="33858"/>
                    <a:stretch>
                      <a:fillRect/>
                    </a:stretch>
                  </pic:blipFill>
                  <pic:spPr>
                    <a:xfrm>
                      <a:off x="0" y="0"/>
                      <a:ext cx="5612130" cy="4508319"/>
                    </a:xfrm>
                    <a:prstGeom prst="rect">
                      <a:avLst/>
                    </a:prstGeom>
                    <a:ln/>
                  </pic:spPr>
                </pic:pic>
              </a:graphicData>
            </a:graphic>
          </wp:inline>
        </w:drawing>
      </w:r>
    </w:p>
    <w:p w14:paraId="0D042353"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Por otro lado, el Diario General de Pólizas, forma parte de la información contable y financiera que integra el Módulo 1 de los informes trimestrales que los entes fiscalizables entregan al Órgano Superior de Fiscalización, en cumplimiento a lo previsto en los artículos 61, fracción XXXIII de la Constitución Política del Estado Libre y Soberano de México, y 350 del Código Financiero del Estado de México y Municipios:</w:t>
      </w:r>
    </w:p>
    <w:p w14:paraId="72CBDC59"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noProof/>
        </w:rPr>
        <w:lastRenderedPageBreak/>
        <w:drawing>
          <wp:inline distT="0" distB="0" distL="0" distR="0" wp14:anchorId="262CF69B" wp14:editId="25FD5C45">
            <wp:extent cx="5612130" cy="1408430"/>
            <wp:effectExtent l="0" t="0" r="0" b="0"/>
            <wp:docPr id="19520825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612130" cy="1408430"/>
                    </a:xfrm>
                    <a:prstGeom prst="rect">
                      <a:avLst/>
                    </a:prstGeom>
                    <a:ln/>
                  </pic:spPr>
                </pic:pic>
              </a:graphicData>
            </a:graphic>
          </wp:inline>
        </w:drawing>
      </w:r>
    </w:p>
    <w:p w14:paraId="11D14130" w14:textId="77777777" w:rsidR="00B143DF" w:rsidRPr="00C93845" w:rsidRDefault="00BA62D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845">
        <w:rPr>
          <w:noProof/>
        </w:rPr>
        <mc:AlternateContent>
          <mc:Choice Requires="wps">
            <w:drawing>
              <wp:anchor distT="0" distB="0" distL="114300" distR="114300" simplePos="0" relativeHeight="251659264" behindDoc="0" locked="0" layoutInCell="1" hidden="0" allowOverlap="1" wp14:anchorId="03C9933E" wp14:editId="672272A2">
                <wp:simplePos x="0" y="0"/>
                <wp:positionH relativeFrom="column">
                  <wp:posOffset>715381</wp:posOffset>
                </wp:positionH>
                <wp:positionV relativeFrom="paragraph">
                  <wp:posOffset>527685</wp:posOffset>
                </wp:positionV>
                <wp:extent cx="4926330" cy="276225"/>
                <wp:effectExtent l="19050" t="19050" r="26670" b="28575"/>
                <wp:wrapNone/>
                <wp:docPr id="1952082510" name="Rectángulo 1952082510"/>
                <wp:cNvGraphicFramePr/>
                <a:graphic xmlns:a="http://schemas.openxmlformats.org/drawingml/2006/main">
                  <a:graphicData uri="http://schemas.microsoft.com/office/word/2010/wordprocessingShape">
                    <wps:wsp>
                      <wps:cNvSpPr/>
                      <wps:spPr>
                        <a:xfrm>
                          <a:off x="0" y="0"/>
                          <a:ext cx="4926330" cy="276225"/>
                        </a:xfrm>
                        <a:prstGeom prst="rect">
                          <a:avLst/>
                        </a:prstGeom>
                        <a:noFill/>
                        <a:ln w="38100" cap="flat" cmpd="sng">
                          <a:solidFill>
                            <a:srgbClr val="C00000"/>
                          </a:solidFill>
                          <a:prstDash val="solid"/>
                          <a:round/>
                          <a:headEnd type="none" w="sm" len="sm"/>
                          <a:tailEnd type="none" w="sm" len="sm"/>
                        </a:ln>
                      </wps:spPr>
                      <wps:txbx>
                        <w:txbxContent>
                          <w:p w14:paraId="3017AEEF" w14:textId="77777777" w:rsidR="00B143DF" w:rsidRDefault="00B143DF">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id="_x0000_s1027" style="position:absolute;left:0;text-align:left;margin-left:56.35pt;margin-top:41.55pt;width:387.9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" filled="f" strokecolor="#c00000" strokeweight="3pt">
                <v:stroke startarrowwidth="narrow" startarrowlength="short" endarrowwidth="narrow" endarrowlength="short" joinstyle="round"/>
                <v:textbox inset="2.53958mm,2.53958mm,2.53958mm,2.53958mm">
                  <w:txbxContent>
                    <w:p w:rsidR="00B143DF" w:rsidRDefault="00B143DF">
                      <w:pPr>
                        <w:textDirection w:val="btLr"/>
                      </w:pPr>
                    </w:p>
                  </w:txbxContent>
                </v:textbox>
              </v:rect>
            </w:pict>
          </mc:Fallback>
        </mc:AlternateContent>
      </w:r>
      <w:r w:rsidRPr="00C93845">
        <w:rPr>
          <w:rFonts w:ascii="Palatino Linotype" w:eastAsia="Palatino Linotype" w:hAnsi="Palatino Linotype" w:cs="Palatino Linotype"/>
          <w:noProof/>
        </w:rPr>
        <w:drawing>
          <wp:inline distT="0" distB="0" distL="0" distR="0" wp14:anchorId="2F94AB23" wp14:editId="757621F9">
            <wp:extent cx="5612130" cy="1145060"/>
            <wp:effectExtent l="0" t="0" r="0" b="0"/>
            <wp:docPr id="19520825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b="24424"/>
                    <a:stretch>
                      <a:fillRect/>
                    </a:stretch>
                  </pic:blipFill>
                  <pic:spPr>
                    <a:xfrm>
                      <a:off x="0" y="0"/>
                      <a:ext cx="5612130" cy="1145060"/>
                    </a:xfrm>
                    <a:prstGeom prst="rect">
                      <a:avLst/>
                    </a:prstGeom>
                    <a:ln/>
                  </pic:spPr>
                </pic:pic>
              </a:graphicData>
            </a:graphic>
          </wp:inline>
        </w:drawing>
      </w:r>
    </w:p>
    <w:p w14:paraId="23BE95D9" w14:textId="77777777" w:rsidR="00B143DF" w:rsidRPr="00C93845" w:rsidRDefault="00BA62D1">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C93845">
        <w:rPr>
          <w:rFonts w:ascii="Palatino Linotype" w:eastAsia="Palatino Linotype" w:hAnsi="Palatino Linotype" w:cs="Palatino Linotype"/>
          <w:noProof/>
        </w:rPr>
        <w:drawing>
          <wp:inline distT="0" distB="0" distL="0" distR="0" wp14:anchorId="50023981" wp14:editId="0064E102">
            <wp:extent cx="4500000" cy="4495517"/>
            <wp:effectExtent l="0" t="0" r="0" b="0"/>
            <wp:docPr id="19520825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b="23039"/>
                    <a:stretch>
                      <a:fillRect/>
                    </a:stretch>
                  </pic:blipFill>
                  <pic:spPr>
                    <a:xfrm>
                      <a:off x="0" y="0"/>
                      <a:ext cx="4500000" cy="4495517"/>
                    </a:xfrm>
                    <a:prstGeom prst="rect">
                      <a:avLst/>
                    </a:prstGeom>
                    <a:ln/>
                  </pic:spPr>
                </pic:pic>
              </a:graphicData>
            </a:graphic>
          </wp:inline>
        </w:drawing>
      </w:r>
    </w:p>
    <w:p w14:paraId="61875D47" w14:textId="77777777" w:rsidR="00B143DF" w:rsidRPr="00C93845" w:rsidRDefault="00BA62D1">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C93845">
        <w:rPr>
          <w:rFonts w:ascii="Palatino Linotype" w:eastAsia="Palatino Linotype" w:hAnsi="Palatino Linotype" w:cs="Palatino Linotype"/>
          <w:noProof/>
        </w:rPr>
        <w:lastRenderedPageBreak/>
        <w:drawing>
          <wp:inline distT="0" distB="0" distL="0" distR="0" wp14:anchorId="3918C6B8" wp14:editId="068C5525">
            <wp:extent cx="4500000" cy="1293039"/>
            <wp:effectExtent l="0" t="0" r="0" b="0"/>
            <wp:docPr id="19520825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t="77863"/>
                    <a:stretch>
                      <a:fillRect/>
                    </a:stretch>
                  </pic:blipFill>
                  <pic:spPr>
                    <a:xfrm>
                      <a:off x="0" y="0"/>
                      <a:ext cx="4500000" cy="1293039"/>
                    </a:xfrm>
                    <a:prstGeom prst="rect">
                      <a:avLst/>
                    </a:prstGeom>
                    <a:ln/>
                  </pic:spPr>
                </pic:pic>
              </a:graphicData>
            </a:graphic>
          </wp:inline>
        </w:drawing>
      </w:r>
      <w:r w:rsidRPr="00C93845">
        <w:rPr>
          <w:rFonts w:ascii="Palatino Linotype" w:eastAsia="Palatino Linotype" w:hAnsi="Palatino Linotype" w:cs="Palatino Linotype"/>
          <w:noProof/>
        </w:rPr>
        <w:drawing>
          <wp:inline distT="0" distB="0" distL="0" distR="0" wp14:anchorId="50AB1534" wp14:editId="4E593E89">
            <wp:extent cx="4500000" cy="1143243"/>
            <wp:effectExtent l="0" t="0" r="0" b="0"/>
            <wp:docPr id="19520825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500000" cy="1143243"/>
                    </a:xfrm>
                    <a:prstGeom prst="rect">
                      <a:avLst/>
                    </a:prstGeom>
                    <a:ln/>
                  </pic:spPr>
                </pic:pic>
              </a:graphicData>
            </a:graphic>
          </wp:inline>
        </w:drawing>
      </w:r>
    </w:p>
    <w:p w14:paraId="21125685" w14:textId="77777777" w:rsidR="00B143DF" w:rsidRPr="00C93845" w:rsidRDefault="00BA62D1">
      <w:pPr>
        <w:tabs>
          <w:tab w:val="left" w:pos="975"/>
        </w:tabs>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Bajo esta línea de pensamiento, se concluye que para tener por satisfecho el Derecho de acceso de la persona solicitante,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deberá hacer entrega del Programa Anual de Adquisiciones de los ejercicios 2023 y 2024, al formar parte del presupuesto de egresos municipal que se publica a más tardar el 25 de febrero de cada ejercicio fiscal,  así como el Diario General de Pólizas de enero de 2023 a junio de 2024, al generarse de manera mensual, de conformidad con los Lineamientos para la integración, presentación y envió de los informes trimestrales municipales.</w:t>
      </w:r>
    </w:p>
    <w:p w14:paraId="578DEB1B" w14:textId="77777777" w:rsidR="00B143DF" w:rsidRPr="00C93845" w:rsidRDefault="00BA62D1">
      <w:pPr>
        <w:tabs>
          <w:tab w:val="left" w:pos="975"/>
        </w:tabs>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Respecto a este último punto, cabe resaltar que si bien la que la persona solicitante requirió la información correspondiente al ejercicio fiscal 2024, la solicitud se tuvo por presentada el quince de julio de dos mil veinticuatro, por lo que es ineludible señalar que la información sobre hechos que aún no se han generado debido a la temporalidad, son hechos futuros e inciertos, los cuales no se pueden determinar ya que están supeditados a la conclusión de los mismos; por lo que no es procedente que los Sujetos Obligados proporcionen dicha información.</w:t>
      </w:r>
    </w:p>
    <w:p w14:paraId="7A814CE3" w14:textId="77777777" w:rsidR="00B143DF" w:rsidRPr="00C93845" w:rsidRDefault="00BA62D1">
      <w:pPr>
        <w:spacing w:before="240" w:after="240" w:line="360" w:lineRule="auto"/>
        <w:ind w:right="-93"/>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Lo anterior se robustece con la Tesis Aislada con número de registro 209001</w:t>
      </w:r>
      <w:r w:rsidRPr="00C93845">
        <w:rPr>
          <w:rFonts w:ascii="Palatino Linotype" w:eastAsia="Palatino Linotype" w:hAnsi="Palatino Linotype" w:cs="Palatino Linotype"/>
          <w:vertAlign w:val="superscript"/>
        </w:rPr>
        <w:footnoteReference w:id="1"/>
      </w:r>
      <w:r w:rsidRPr="00C93845">
        <w:rPr>
          <w:rFonts w:ascii="Palatino Linotype" w:eastAsia="Palatino Linotype" w:hAnsi="Palatino Linotype" w:cs="Palatino Linotype"/>
        </w:rPr>
        <w:t xml:space="preserve">, de la Suprema Corte de Justicia de la Nación, emitida por los Tribunales Colegiados de </w:t>
      </w:r>
      <w:proofErr w:type="gramStart"/>
      <w:r w:rsidRPr="00C93845">
        <w:rPr>
          <w:rFonts w:ascii="Palatino Linotype" w:eastAsia="Palatino Linotype" w:hAnsi="Palatino Linotype" w:cs="Palatino Linotype"/>
        </w:rPr>
        <w:t>Circuito,  que</w:t>
      </w:r>
      <w:proofErr w:type="gramEnd"/>
      <w:r w:rsidRPr="00C93845">
        <w:rPr>
          <w:rFonts w:ascii="Palatino Linotype" w:eastAsia="Palatino Linotype" w:hAnsi="Palatino Linotype" w:cs="Palatino Linotype"/>
        </w:rPr>
        <w:t xml:space="preserve"> a la letra señala:</w:t>
      </w:r>
    </w:p>
    <w:p w14:paraId="4D6F97C0" w14:textId="77777777" w:rsidR="00B143DF" w:rsidRPr="00C93845" w:rsidRDefault="00BA62D1">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 xml:space="preserve">“ACTOS FUTUROS DE REALIZACION INCIERTA. NO PROCEDE EL JUICIO DE AMPARO CONTRA LOS. </w:t>
      </w:r>
      <w:r w:rsidRPr="00C93845">
        <w:rPr>
          <w:rFonts w:ascii="Palatino Linotype" w:eastAsia="Palatino Linotype" w:hAnsi="Palatino Linotype" w:cs="Palatino Linotype"/>
          <w:i/>
          <w:sz w:val="22"/>
          <w:szCs w:val="22"/>
        </w:rPr>
        <w:t>Contra actos futuros de realización incierta no procede el juicio de garantías.”</w:t>
      </w:r>
    </w:p>
    <w:p w14:paraId="4D1D812F" w14:textId="77777777" w:rsidR="00B143DF" w:rsidRPr="00C93845" w:rsidRDefault="00BA62D1">
      <w:pPr>
        <w:spacing w:before="240" w:after="240" w:line="360" w:lineRule="auto"/>
        <w:ind w:right="51"/>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ese sentido, no es procedente la exigencia de 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xml:space="preserve"> de que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atienda su solicitud en los términos solicitados, es decir, al día treinta y uno de diciembre de dos mil veinticuatro, pues dicha autoridad únicamente está constreñida a proporcionar la información pública que genere en uso de sus atribuciones de derecho público con anterioridad a la fecha de la solicitud de información, esto es al quince de julio de dos mil veinticuatro. En el caso particular, como ya se señaló, el Diario General de Pólizas generado a la fecha de la solicitud, corresponde al mes de junio de dos mil veinticuatro, siendo hasta dicho periodo que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se encuentra en posibilidad de proporcionar la información.</w:t>
      </w:r>
    </w:p>
    <w:p w14:paraId="7FF1B925" w14:textId="77777777" w:rsidR="00B143DF" w:rsidRPr="00C93845" w:rsidRDefault="00BA62D1">
      <w:pPr>
        <w:tabs>
          <w:tab w:val="left" w:pos="975"/>
        </w:tabs>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No obstante, al haberse acreditado la imposibilidad técnica para entregar la información que es tema de estudio a través del SAIMEX, esta se deberá poner a disposición de la persona solicitante en todas las modalidades que la documentación permita, en versión pública de ser necesario, para tener por satisfecho el Derecho de acceso accionado.</w:t>
      </w:r>
    </w:p>
    <w:p w14:paraId="7758AECF"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Finalmente, es de mencionar que si bien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hizo de conocimiento que de conformidad con el artículo 166 párrafo segundo de la Ley de Transparencia </w:t>
      </w:r>
      <w:r w:rsidRPr="00C93845">
        <w:rPr>
          <w:rFonts w:ascii="Palatino Linotype" w:eastAsia="Palatino Linotype" w:hAnsi="Palatino Linotype" w:cs="Palatino Linotype"/>
        </w:rPr>
        <w:lastRenderedPageBreak/>
        <w:t xml:space="preserve">y Acceso a la Información Pública del Estado de México y Municipios, la persona solicitante tendría un plazo de sesenta días hábiles para consultar la información, contando a parir de que la persona solicitante hubiere realizado, de ser el caso, el pago respectivo, </w:t>
      </w:r>
      <w:r w:rsidRPr="00C93845">
        <w:rPr>
          <w:rFonts w:ascii="Palatino Linotype" w:eastAsia="Palatino Linotype" w:hAnsi="Palatino Linotype" w:cs="Palatino Linotype"/>
          <w:b/>
        </w:rPr>
        <w:t>este se deberá volver a contar a partir del día siguiente al que se notifique la presente resolución</w:t>
      </w:r>
      <w:r w:rsidRPr="00C93845">
        <w:rPr>
          <w:rFonts w:ascii="Palatino Linotype" w:eastAsia="Palatino Linotype" w:hAnsi="Palatino Linotype" w:cs="Palatino Linotype"/>
        </w:rPr>
        <w:t>, en términos del segundo párrafo del mismo precepto legal.</w:t>
      </w:r>
    </w:p>
    <w:p w14:paraId="20372A78"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Si dentro del transcurso del término señalado en el párrafo anterior, la parte</w:t>
      </w:r>
      <w:r w:rsidRPr="00C93845">
        <w:rPr>
          <w:rFonts w:ascii="Palatino Linotype" w:eastAsia="Palatino Linotype" w:hAnsi="Palatino Linotype" w:cs="Palatino Linotype"/>
          <w:b/>
        </w:rPr>
        <w:t xml:space="preserve"> Recurrente </w:t>
      </w:r>
      <w:r w:rsidRPr="00C93845">
        <w:rPr>
          <w:rFonts w:ascii="Palatino Linotype" w:eastAsia="Palatino Linotype" w:hAnsi="Palatino Linotype" w:cs="Palatino Linotype"/>
        </w:rPr>
        <w:t>acude por la información, el</w:t>
      </w:r>
      <w:r w:rsidRPr="00C93845">
        <w:rPr>
          <w:rFonts w:ascii="Palatino Linotype" w:eastAsia="Palatino Linotype" w:hAnsi="Palatino Linotype" w:cs="Palatino Linotype"/>
          <w:b/>
        </w:rPr>
        <w:t xml:space="preserve"> Sujeto Obligado</w:t>
      </w:r>
      <w:r w:rsidRPr="00C93845">
        <w:rPr>
          <w:rFonts w:ascii="Palatino Linotype" w:eastAsia="Palatino Linotype" w:hAnsi="Palatino Linotype" w:cs="Palatino Linotype"/>
        </w:rPr>
        <w:t xml:space="preserve"> debe remitir a este Instituto, por conducto de la Secretaría Técnica del Pleno, el acuse de recibo de la información de la parte</w:t>
      </w:r>
      <w:r w:rsidRPr="00C93845">
        <w:rPr>
          <w:rFonts w:ascii="Palatino Linotype" w:eastAsia="Palatino Linotype" w:hAnsi="Palatino Linotype" w:cs="Palatino Linotype"/>
          <w:b/>
        </w:rPr>
        <w:t xml:space="preserve"> Recurrente</w:t>
      </w:r>
      <w:r w:rsidRPr="00C93845">
        <w:rPr>
          <w:rFonts w:ascii="Palatino Linotype" w:eastAsia="Palatino Linotype" w:hAnsi="Palatino Linotype" w:cs="Palatino Linotype"/>
        </w:rPr>
        <w:t>; sin embargo, si una vez fenecido el plazo, el solicitante no acudiera por los documentos ordenados, el</w:t>
      </w:r>
      <w:r w:rsidRPr="00C93845">
        <w:rPr>
          <w:rFonts w:ascii="Palatino Linotype" w:eastAsia="Palatino Linotype" w:hAnsi="Palatino Linotype" w:cs="Palatino Linotype"/>
          <w:b/>
        </w:rPr>
        <w:t xml:space="preserve"> Sujeto Obligado</w:t>
      </w:r>
      <w:r w:rsidRPr="00C93845">
        <w:rPr>
          <w:rFonts w:ascii="Palatino Linotype" w:eastAsia="Palatino Linotype" w:hAnsi="Palatino Linotype" w:cs="Palatino Linotype"/>
        </w:rPr>
        <w:t xml:space="preserve">, mediante acuerdo </w:t>
      </w:r>
      <w:r w:rsidRPr="00C93845">
        <w:rPr>
          <w:rFonts w:ascii="Palatino Linotype" w:eastAsia="Palatino Linotype" w:hAnsi="Palatino Linotype" w:cs="Palatino Linotype"/>
          <w:b/>
        </w:rPr>
        <w:t>dará por concluida la solicitud</w:t>
      </w:r>
      <w:r w:rsidRPr="00C93845">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14:paraId="7F650D64" w14:textId="77777777" w:rsidR="00B143DF" w:rsidRPr="00C93845" w:rsidRDefault="00BA62D1">
      <w:pPr>
        <w:tabs>
          <w:tab w:val="left" w:pos="975"/>
        </w:tabs>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De lo hasta aquí expuesto, se concluye que los motivos de inconformidad de la parte </w:t>
      </w:r>
      <w:r w:rsidRPr="00C93845">
        <w:rPr>
          <w:rFonts w:ascii="Palatino Linotype" w:eastAsia="Palatino Linotype" w:hAnsi="Palatino Linotype" w:cs="Palatino Linotype"/>
          <w:b/>
        </w:rPr>
        <w:t xml:space="preserve">Recurrente </w:t>
      </w:r>
      <w:r w:rsidRPr="00C93845">
        <w:rPr>
          <w:rFonts w:ascii="Palatino Linotype" w:eastAsia="Palatino Linotype" w:hAnsi="Palatino Linotype" w:cs="Palatino Linotype"/>
        </w:rPr>
        <w:t xml:space="preserve">devienen fundados, siendo procedente </w:t>
      </w:r>
      <w:r w:rsidRPr="00C93845">
        <w:rPr>
          <w:rFonts w:ascii="Palatino Linotype" w:eastAsia="Palatino Linotype" w:hAnsi="Palatino Linotype" w:cs="Palatino Linotype"/>
          <w:i/>
        </w:rPr>
        <w:t xml:space="preserve">Modificar </w:t>
      </w:r>
      <w:r w:rsidRPr="00C93845">
        <w:rPr>
          <w:rFonts w:ascii="Palatino Linotype" w:eastAsia="Palatino Linotype" w:hAnsi="Palatino Linotype" w:cs="Palatino Linotype"/>
        </w:rPr>
        <w:t xml:space="preserve">la respuesta proporcionada por el </w:t>
      </w:r>
      <w:r w:rsidRPr="00C93845">
        <w:rPr>
          <w:rFonts w:ascii="Palatino Linotype" w:eastAsia="Palatino Linotype" w:hAnsi="Palatino Linotype" w:cs="Palatino Linotype"/>
          <w:b/>
        </w:rPr>
        <w:t xml:space="preserve">Sujeto Obligado </w:t>
      </w:r>
      <w:r w:rsidRPr="00C93845">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2BFA053" w14:textId="77777777" w:rsidR="00B143DF" w:rsidRPr="00C93845" w:rsidRDefault="00BA62D1">
      <w:pPr>
        <w:spacing w:before="240" w:after="240" w:line="360" w:lineRule="auto"/>
        <w:ind w:right="51"/>
        <w:jc w:val="both"/>
        <w:rPr>
          <w:rFonts w:ascii="Palatino Linotype" w:eastAsia="Palatino Linotype" w:hAnsi="Palatino Linotype" w:cs="Palatino Linotype"/>
        </w:rPr>
      </w:pPr>
      <w:r w:rsidRPr="00C93845">
        <w:rPr>
          <w:rFonts w:ascii="Palatino Linotype" w:eastAsia="Palatino Linotype" w:hAnsi="Palatino Linotype" w:cs="Palatino Linotype"/>
          <w:b/>
        </w:rPr>
        <w:t xml:space="preserve">Quinto. Versión Pública. </w:t>
      </w:r>
      <w:r w:rsidRPr="00C93845">
        <w:rPr>
          <w:rFonts w:ascii="Palatino Linotype" w:eastAsia="Palatino Linotype" w:hAnsi="Palatino Linotype" w:cs="Palatino Linotype"/>
        </w:rPr>
        <w:t>Como fue debidamente apuntado,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versión pública, toda vez que en los documentos que se ordenan, existe la </w:t>
      </w:r>
      <w:r w:rsidRPr="00C93845">
        <w:rPr>
          <w:rFonts w:ascii="Palatino Linotype" w:eastAsia="Palatino Linotype" w:hAnsi="Palatino Linotype" w:cs="Palatino Linotype"/>
        </w:rPr>
        <w:lastRenderedPageBreak/>
        <w:t>posibilidad de que obren datos que son considerados confidenciales, cuyo acceso debe ser restringido que deben testarse al momento de la versión pública, atento a lo siguiente:</w:t>
      </w:r>
    </w:p>
    <w:p w14:paraId="6C7678AD"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8006D9A"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3795E06"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establecen:</w:t>
      </w:r>
    </w:p>
    <w:p w14:paraId="4218E50B"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rPr>
        <w:t> </w:t>
      </w: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Artículo 3.</w:t>
      </w:r>
      <w:r w:rsidRPr="00C93845">
        <w:rPr>
          <w:rFonts w:ascii="Palatino Linotype" w:eastAsia="Palatino Linotype" w:hAnsi="Palatino Linotype" w:cs="Palatino Linotype"/>
          <w:i/>
          <w:sz w:val="22"/>
          <w:szCs w:val="22"/>
        </w:rPr>
        <w:t xml:space="preserve"> Para los efectos de la presente Ley se entenderá por:</w:t>
      </w:r>
    </w:p>
    <w:p w14:paraId="5017C12B" w14:textId="77777777" w:rsidR="00B143DF" w:rsidRPr="00C93845" w:rsidRDefault="00BA62D1">
      <w:pPr>
        <w:tabs>
          <w:tab w:val="left" w:pos="1276"/>
        </w:tabs>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p>
    <w:p w14:paraId="3A5A7739" w14:textId="77777777" w:rsidR="00B143DF" w:rsidRPr="00C93845" w:rsidRDefault="00BA62D1">
      <w:pPr>
        <w:tabs>
          <w:tab w:val="left" w:pos="1276"/>
        </w:tabs>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IX. Datos personales</w:t>
      </w:r>
      <w:r w:rsidRPr="00C93845">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B9C8F10" w14:textId="77777777" w:rsidR="00B143DF" w:rsidRPr="00C93845" w:rsidRDefault="00BA62D1">
      <w:pPr>
        <w:tabs>
          <w:tab w:val="left" w:pos="1276"/>
        </w:tabs>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p>
    <w:p w14:paraId="00292BFD" w14:textId="77777777" w:rsidR="00B143DF" w:rsidRPr="00C93845" w:rsidRDefault="00BA62D1">
      <w:pPr>
        <w:tabs>
          <w:tab w:val="left" w:pos="1276"/>
        </w:tabs>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XX. Información clasificada</w:t>
      </w:r>
      <w:r w:rsidRPr="00C93845">
        <w:rPr>
          <w:rFonts w:ascii="Palatino Linotype" w:eastAsia="Palatino Linotype" w:hAnsi="Palatino Linotype" w:cs="Palatino Linotype"/>
          <w:i/>
          <w:sz w:val="22"/>
          <w:szCs w:val="22"/>
        </w:rPr>
        <w:t>: Aquella considerada por la presente Ley como reservada o confidencial;</w:t>
      </w:r>
    </w:p>
    <w:p w14:paraId="46892DDA" w14:textId="77777777" w:rsidR="00B143DF" w:rsidRPr="00C93845" w:rsidRDefault="00BA62D1">
      <w:pPr>
        <w:tabs>
          <w:tab w:val="left" w:pos="1276"/>
        </w:tabs>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XXI. Información confidencial</w:t>
      </w:r>
      <w:r w:rsidRPr="00C93845">
        <w:rPr>
          <w:rFonts w:ascii="Palatino Linotype" w:eastAsia="Palatino Linotype" w:hAnsi="Palatino Linotype" w:cs="Palatino Linotype"/>
          <w:i/>
          <w:sz w:val="22"/>
          <w:szCs w:val="22"/>
        </w:rPr>
        <w:t xml:space="preserve">: Se considera como información confidencial los secretos bancario, fiduciario, industrial, comercial, fiscal, </w:t>
      </w:r>
      <w:r w:rsidRPr="00C93845">
        <w:rPr>
          <w:rFonts w:ascii="Palatino Linotype" w:eastAsia="Palatino Linotype" w:hAnsi="Palatino Linotype" w:cs="Palatino Linotype"/>
          <w:i/>
          <w:sz w:val="22"/>
          <w:szCs w:val="22"/>
        </w:rPr>
        <w:lastRenderedPageBreak/>
        <w:t>bursátil y postal, cuya titularidad corresponda a particulares, sujetos de derecho internacional o a sujetos obligados cuando no involucren el ejercicio de recursos públicos;</w:t>
      </w:r>
    </w:p>
    <w:p w14:paraId="17B0CCBB" w14:textId="77777777" w:rsidR="00B143DF" w:rsidRPr="00C93845" w:rsidRDefault="00BA62D1">
      <w:pPr>
        <w:tabs>
          <w:tab w:val="left" w:pos="1276"/>
        </w:tabs>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p>
    <w:p w14:paraId="74AADD33" w14:textId="77777777" w:rsidR="00B143DF" w:rsidRPr="00C93845" w:rsidRDefault="00BA62D1">
      <w:pPr>
        <w:tabs>
          <w:tab w:val="left" w:pos="1276"/>
        </w:tabs>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XXXII. Protección de Datos Personales</w:t>
      </w:r>
      <w:r w:rsidRPr="00C93845">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59F4E15E" w14:textId="77777777" w:rsidR="00B143DF" w:rsidRPr="00C93845" w:rsidRDefault="00BA62D1">
      <w:pPr>
        <w:tabs>
          <w:tab w:val="left" w:pos="1276"/>
        </w:tabs>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p>
    <w:p w14:paraId="2276A619" w14:textId="77777777" w:rsidR="00B143DF" w:rsidRPr="00C93845" w:rsidRDefault="00BA62D1">
      <w:pPr>
        <w:tabs>
          <w:tab w:val="left" w:pos="1276"/>
        </w:tabs>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XLV. Versión pública</w:t>
      </w:r>
      <w:r w:rsidRPr="00C9384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CCEC37B"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 Artículo 6</w:t>
      </w:r>
      <w:r w:rsidRPr="00C93845">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32E1A93"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p>
    <w:p w14:paraId="7ABE71E2"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Artículo 91.</w:t>
      </w:r>
      <w:r w:rsidRPr="00C9384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C93845">
        <w:rPr>
          <w:rFonts w:ascii="Palatino Linotype" w:eastAsia="Palatino Linotype" w:hAnsi="Palatino Linotype" w:cs="Palatino Linotype"/>
          <w:i/>
          <w:sz w:val="22"/>
          <w:szCs w:val="22"/>
        </w:rPr>
        <w:br/>
        <w:t>…</w:t>
      </w:r>
    </w:p>
    <w:p w14:paraId="7723EE4C"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Artículo 132.</w:t>
      </w:r>
      <w:r w:rsidRPr="00C93845">
        <w:rPr>
          <w:rFonts w:ascii="Palatino Linotype" w:eastAsia="Palatino Linotype" w:hAnsi="Palatino Linotype" w:cs="Palatino Linotype"/>
          <w:i/>
          <w:sz w:val="22"/>
          <w:szCs w:val="22"/>
        </w:rPr>
        <w:t xml:space="preserve"> La clasificación de la información se llevará a cabo en el momento en que:</w:t>
      </w:r>
    </w:p>
    <w:p w14:paraId="3879DBE9"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w:t>
      </w:r>
      <w:r w:rsidRPr="00C93845">
        <w:rPr>
          <w:rFonts w:ascii="Palatino Linotype" w:eastAsia="Palatino Linotype" w:hAnsi="Palatino Linotype" w:cs="Palatino Linotype"/>
          <w:i/>
          <w:sz w:val="22"/>
          <w:szCs w:val="22"/>
        </w:rPr>
        <w:t>. Se reciba una solicitud de acceso a la información;</w:t>
      </w:r>
    </w:p>
    <w:p w14:paraId="35F64EB0"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w:t>
      </w:r>
      <w:r w:rsidRPr="00C93845">
        <w:rPr>
          <w:rFonts w:ascii="Palatino Linotype" w:eastAsia="Palatino Linotype" w:hAnsi="Palatino Linotype" w:cs="Palatino Linotype"/>
          <w:i/>
          <w:sz w:val="22"/>
          <w:szCs w:val="22"/>
        </w:rPr>
        <w:t xml:space="preserve"> Se determine mediante resolución de autoridad competente; o</w:t>
      </w:r>
    </w:p>
    <w:p w14:paraId="453595FF"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III.</w:t>
      </w:r>
      <w:r w:rsidRPr="00C93845">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3C82C3B"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w:t>
      </w:r>
    </w:p>
    <w:p w14:paraId="2155B00C"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Artículo 137.</w:t>
      </w:r>
      <w:r w:rsidRPr="00C9384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F4F8350"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lastRenderedPageBreak/>
        <w:t> Artículo 143.</w:t>
      </w:r>
      <w:r w:rsidRPr="00C93845">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86D94CA"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w:t>
      </w:r>
      <w:r w:rsidRPr="00C9384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EF1E59E"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102CF3E"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3D54648"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w:t>
      </w:r>
      <w:r w:rsidRPr="00C93845">
        <w:rPr>
          <w:rFonts w:ascii="Palatino Linotype" w:eastAsia="Palatino Linotype" w:hAnsi="Palatino Linotype" w:cs="Palatino Linotype"/>
        </w:rPr>
        <w:lastRenderedPageBreak/>
        <w:t>del Estado de México y Municipios, se consideran confidenciales cuyo acceso debe ser restringido, los cuales deben testarse al momento de la elaboración de versiones públicas, como pudiera ser de manera enunciativa más no limitativa, el número de cuenta bancaria, que sean exclusivamente de particulares, entre otros.</w:t>
      </w:r>
    </w:p>
    <w:p w14:paraId="27F5F9F2"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2827ED3"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3482A31"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2873C7F"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 xml:space="preserve">En esa virtud, este Pleno determina que dicha información no puede ser del dominio público, toda vez que se podría dar un uso inadecuado a la misma o cometer algún ilícito o fraude como ya ha sido expuesto. </w:t>
      </w:r>
    </w:p>
    <w:p w14:paraId="19288B70"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437A141C"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3D6252E1"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001247CD" w14:textId="77777777" w:rsidR="00B143DF" w:rsidRPr="00C93845" w:rsidRDefault="00BA62D1">
      <w:pPr>
        <w:spacing w:before="240" w:after="24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“Cuentas bancarias y/o CLABE interbancaria de personas físicas y morales privadas.</w:t>
      </w:r>
      <w:r w:rsidRPr="00C93845">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8593094" w14:textId="77777777" w:rsidR="00B143DF" w:rsidRPr="00C93845" w:rsidRDefault="00BA62D1">
      <w:pPr>
        <w:spacing w:before="240" w:after="24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C93845">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0A984F1"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 xml:space="preserve">Por cuanto hace al </w:t>
      </w:r>
      <w:r w:rsidRPr="00C93845">
        <w:rPr>
          <w:rFonts w:ascii="Palatino Linotype" w:eastAsia="Palatino Linotype" w:hAnsi="Palatino Linotype" w:cs="Palatino Linotype"/>
          <w:b/>
        </w:rPr>
        <w:t xml:space="preserve">Registro Federal de Contribuyentes (RFC) </w:t>
      </w:r>
      <w:r w:rsidRPr="00C93845">
        <w:rPr>
          <w:rFonts w:ascii="Palatino Linotype" w:eastAsia="Palatino Linotype" w:hAnsi="Palatino Linotype" w:cs="Palatino Linotype"/>
        </w:rPr>
        <w:t>y</w:t>
      </w:r>
      <w:r w:rsidRPr="00C93845">
        <w:rPr>
          <w:rFonts w:ascii="Palatino Linotype" w:eastAsia="Palatino Linotype" w:hAnsi="Palatino Linotype" w:cs="Palatino Linotype"/>
          <w:b/>
        </w:rPr>
        <w:t xml:space="preserve"> el domicilio fiscal </w:t>
      </w:r>
      <w:r w:rsidRPr="00C93845">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25DFD99"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AD6ADB9"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C93845">
        <w:rPr>
          <w:rFonts w:ascii="Palatino Linotype" w:eastAsia="Palatino Linotype" w:hAnsi="Palatino Linotype" w:cs="Palatino Linotype"/>
          <w:b/>
        </w:rPr>
        <w:t>no puede considerarse como información clasificada lo relativo a su nombre, registro federal de contribuyentes y domicilio fiscal</w:t>
      </w:r>
      <w:r w:rsidRPr="00C93845">
        <w:rPr>
          <w:rFonts w:ascii="Palatino Linotype" w:eastAsia="Palatino Linotype" w:hAnsi="Palatino Linotype" w:cs="Palatino Linotype"/>
        </w:rPr>
        <w:t>, atento a que dicha información es la que puede generar certeza en los gobernados en que se está ejerciendo debidamente el presupuesto.</w:t>
      </w:r>
    </w:p>
    <w:p w14:paraId="78D3758F"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6351E99B"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lastRenderedPageBreak/>
        <w:t xml:space="preserve">“Registro Federal de Contribuyentes (RFC) de personas físicas proveedoras o contratistas. </w:t>
      </w:r>
      <w:r w:rsidRPr="00C93845">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C93845">
        <w:rPr>
          <w:rFonts w:ascii="Palatino Linotype" w:eastAsia="Palatino Linotype" w:hAnsi="Palatino Linotype" w:cs="Palatino Linotype"/>
          <w:i/>
          <w:sz w:val="22"/>
          <w:szCs w:val="22"/>
        </w:rPr>
        <w:t>ya que</w:t>
      </w:r>
      <w:proofErr w:type="gramEnd"/>
      <w:r w:rsidRPr="00C93845">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587BC67C"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Relacionado con lo anterior, el </w:t>
      </w:r>
      <w:r w:rsidRPr="00C93845">
        <w:rPr>
          <w:rFonts w:ascii="Palatino Linotype" w:eastAsia="Palatino Linotype" w:hAnsi="Palatino Linotype" w:cs="Palatino Linotype"/>
          <w:b/>
        </w:rPr>
        <w:t>nombre de las personas físicas</w:t>
      </w:r>
      <w:r w:rsidRPr="00C93845">
        <w:rPr>
          <w:rFonts w:ascii="Palatino Linotype" w:eastAsia="Palatino Linotype" w:hAnsi="Palatino Linotype" w:cs="Palatino Linotype"/>
        </w:rPr>
        <w:t xml:space="preserve"> o los </w:t>
      </w:r>
      <w:r w:rsidRPr="00C93845">
        <w:rPr>
          <w:rFonts w:ascii="Palatino Linotype" w:eastAsia="Palatino Linotype" w:hAnsi="Palatino Linotype" w:cs="Palatino Linotype"/>
          <w:b/>
        </w:rPr>
        <w:t>representantes legales de las personas morales</w:t>
      </w:r>
      <w:r w:rsidRPr="00C93845">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F7A6175"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34F99A40"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Artículo 23.</w:t>
      </w:r>
      <w:r w:rsidRPr="00C93845">
        <w:rPr>
          <w:rFonts w:ascii="Palatino Linotype" w:eastAsia="Palatino Linotype" w:hAnsi="Palatino Linotype" w:cs="Palatino Linotype"/>
          <w:i/>
          <w:sz w:val="22"/>
          <w:szCs w:val="22"/>
        </w:rPr>
        <w:t xml:space="preserve"> (…)</w:t>
      </w:r>
    </w:p>
    <w:p w14:paraId="669F4D6F"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86A8068" w14:textId="77777777" w:rsidR="00B143DF" w:rsidRPr="00C93845" w:rsidRDefault="00BA62D1">
      <w:pPr>
        <w:spacing w:before="280" w:after="28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Asimismo, resulta aplicable el contenido del criterio de interpretación 01/19 emitido por el Instituto Nacional de Transparencia, Acceso a la Información, y Protección de Datos Personales, INAI, que lleva por rubro y texto los siguientes</w:t>
      </w:r>
    </w:p>
    <w:p w14:paraId="78CCCA87" w14:textId="77777777" w:rsidR="00B143DF" w:rsidRPr="00C93845" w:rsidRDefault="00BA62D1">
      <w:pPr>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“Datos de identificación del representante o apoderado legal.</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 xml:space="preserve">Naturaleza jurídica. </w:t>
      </w:r>
      <w:r w:rsidRPr="00C93845">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C93845">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C93845">
        <w:rPr>
          <w:rFonts w:ascii="Palatino Linotype" w:eastAsia="Palatino Linotype" w:hAnsi="Palatino Linotype" w:cs="Palatino Linotype"/>
          <w:i/>
          <w:sz w:val="22"/>
          <w:szCs w:val="22"/>
        </w:rPr>
        <w:t>.”</w:t>
      </w:r>
    </w:p>
    <w:p w14:paraId="63829873" w14:textId="77777777" w:rsidR="00B143DF" w:rsidRPr="00C93845" w:rsidRDefault="00BA62D1">
      <w:pPr>
        <w:spacing w:before="240" w:after="240" w:line="360" w:lineRule="auto"/>
        <w:ind w:right="50"/>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C93845">
        <w:rPr>
          <w:rFonts w:ascii="Palatino Linotype" w:eastAsia="Palatino Linotype" w:hAnsi="Palatino Linotype" w:cs="Palatino Linotype"/>
        </w:rPr>
        <w:t>Responsable</w:t>
      </w:r>
      <w:proofErr w:type="gramEnd"/>
      <w:r w:rsidRPr="00C93845">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41F53EA" w14:textId="77777777" w:rsidR="00B143DF" w:rsidRPr="00C93845" w:rsidRDefault="00BA62D1">
      <w:pPr>
        <w:spacing w:before="120" w:after="12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“Artículo 49.</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Los Comités de Transparencia</w:t>
      </w:r>
      <w:r w:rsidRPr="00C93845">
        <w:rPr>
          <w:rFonts w:ascii="Palatino Linotype" w:eastAsia="Palatino Linotype" w:hAnsi="Palatino Linotype" w:cs="Palatino Linotype"/>
          <w:i/>
          <w:sz w:val="22"/>
          <w:szCs w:val="22"/>
        </w:rPr>
        <w:t xml:space="preserve"> tendrán las siguientes atribuciones:</w:t>
      </w:r>
    </w:p>
    <w:p w14:paraId="60E2ED35" w14:textId="77777777" w:rsidR="00B143DF" w:rsidRPr="00C93845" w:rsidRDefault="00BA62D1">
      <w:pPr>
        <w:spacing w:before="120" w:after="120"/>
        <w:ind w:left="1134"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VIII. Aprobar, modificar o revocar la clasificación de la información</w:t>
      </w:r>
      <w:r w:rsidRPr="00C93845">
        <w:rPr>
          <w:rFonts w:ascii="Palatino Linotype" w:eastAsia="Palatino Linotype" w:hAnsi="Palatino Linotype" w:cs="Palatino Linotype"/>
          <w:i/>
          <w:sz w:val="22"/>
          <w:szCs w:val="22"/>
        </w:rPr>
        <w:t>…”</w:t>
      </w:r>
    </w:p>
    <w:p w14:paraId="7CB2E2BE" w14:textId="77777777" w:rsidR="00B143DF" w:rsidRPr="00C93845" w:rsidRDefault="00BA62D1">
      <w:pPr>
        <w:spacing w:before="120" w:after="12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Artículo 53.</w:t>
      </w:r>
      <w:r w:rsidRPr="00C93845">
        <w:rPr>
          <w:rFonts w:ascii="Palatino Linotype" w:eastAsia="Palatino Linotype" w:hAnsi="Palatino Linotype" w:cs="Palatino Linotype"/>
          <w:i/>
          <w:sz w:val="22"/>
          <w:szCs w:val="22"/>
        </w:rPr>
        <w:t xml:space="preserve"> Las </w:t>
      </w:r>
      <w:r w:rsidRPr="00C93845">
        <w:rPr>
          <w:rFonts w:ascii="Palatino Linotype" w:eastAsia="Palatino Linotype" w:hAnsi="Palatino Linotype" w:cs="Palatino Linotype"/>
          <w:b/>
          <w:i/>
          <w:sz w:val="22"/>
          <w:szCs w:val="22"/>
        </w:rPr>
        <w:t>Unidades de Transparencia</w:t>
      </w:r>
      <w:r w:rsidRPr="00C93845">
        <w:rPr>
          <w:rFonts w:ascii="Palatino Linotype" w:eastAsia="Palatino Linotype" w:hAnsi="Palatino Linotype" w:cs="Palatino Linotype"/>
          <w:i/>
          <w:sz w:val="22"/>
          <w:szCs w:val="22"/>
        </w:rPr>
        <w:t xml:space="preserve"> tendrán las siguientes </w:t>
      </w:r>
      <w:r w:rsidRPr="00C93845">
        <w:rPr>
          <w:rFonts w:ascii="Palatino Linotype" w:eastAsia="Palatino Linotype" w:hAnsi="Palatino Linotype" w:cs="Palatino Linotype"/>
          <w:b/>
          <w:i/>
          <w:sz w:val="22"/>
          <w:szCs w:val="22"/>
        </w:rPr>
        <w:t>funciones</w:t>
      </w:r>
      <w:r w:rsidRPr="00C93845">
        <w:rPr>
          <w:rFonts w:ascii="Palatino Linotype" w:eastAsia="Palatino Linotype" w:hAnsi="Palatino Linotype" w:cs="Palatino Linotype"/>
          <w:i/>
          <w:sz w:val="22"/>
          <w:szCs w:val="22"/>
        </w:rPr>
        <w:t>:</w:t>
      </w:r>
    </w:p>
    <w:p w14:paraId="75B180B7" w14:textId="77777777" w:rsidR="00B143DF" w:rsidRPr="00C93845" w:rsidRDefault="00BA62D1">
      <w:pPr>
        <w:spacing w:before="120" w:after="120"/>
        <w:ind w:left="1134"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X. Presentar ante el Comité, el proyecto de clasificación de información</w:t>
      </w:r>
      <w:r w:rsidRPr="00C93845">
        <w:rPr>
          <w:rFonts w:ascii="Palatino Linotype" w:eastAsia="Palatino Linotype" w:hAnsi="Palatino Linotype" w:cs="Palatino Linotype"/>
          <w:i/>
          <w:sz w:val="22"/>
          <w:szCs w:val="22"/>
        </w:rPr>
        <w:t xml:space="preserve">…” </w:t>
      </w:r>
    </w:p>
    <w:p w14:paraId="35A3E9B0" w14:textId="77777777" w:rsidR="00B143DF" w:rsidRPr="00C93845" w:rsidRDefault="00BA62D1">
      <w:pPr>
        <w:spacing w:before="120" w:after="12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“Artículo 59.</w:t>
      </w:r>
      <w:r w:rsidRPr="00C93845">
        <w:rPr>
          <w:rFonts w:ascii="Palatino Linotype" w:eastAsia="Palatino Linotype" w:hAnsi="Palatino Linotype" w:cs="Palatino Linotype"/>
          <w:i/>
          <w:sz w:val="22"/>
          <w:szCs w:val="22"/>
        </w:rPr>
        <w:t xml:space="preserve"> Los </w:t>
      </w:r>
      <w:r w:rsidRPr="00C93845">
        <w:rPr>
          <w:rFonts w:ascii="Palatino Linotype" w:eastAsia="Palatino Linotype" w:hAnsi="Palatino Linotype" w:cs="Palatino Linotype"/>
          <w:b/>
          <w:i/>
          <w:sz w:val="22"/>
          <w:szCs w:val="22"/>
        </w:rPr>
        <w:t>servidores públicos habilitados</w:t>
      </w:r>
      <w:r w:rsidRPr="00C93845">
        <w:rPr>
          <w:rFonts w:ascii="Palatino Linotype" w:eastAsia="Palatino Linotype" w:hAnsi="Palatino Linotype" w:cs="Palatino Linotype"/>
          <w:i/>
          <w:sz w:val="22"/>
          <w:szCs w:val="22"/>
        </w:rPr>
        <w:t xml:space="preserve"> tendrán las </w:t>
      </w:r>
      <w:r w:rsidRPr="00C93845">
        <w:rPr>
          <w:rFonts w:ascii="Palatino Linotype" w:eastAsia="Palatino Linotype" w:hAnsi="Palatino Linotype" w:cs="Palatino Linotype"/>
          <w:b/>
          <w:i/>
          <w:sz w:val="22"/>
          <w:szCs w:val="22"/>
        </w:rPr>
        <w:t>funciones</w:t>
      </w:r>
      <w:r w:rsidRPr="00C93845">
        <w:rPr>
          <w:rFonts w:ascii="Palatino Linotype" w:eastAsia="Palatino Linotype" w:hAnsi="Palatino Linotype" w:cs="Palatino Linotype"/>
          <w:i/>
          <w:sz w:val="22"/>
          <w:szCs w:val="22"/>
        </w:rPr>
        <w:t xml:space="preserve"> siguientes:</w:t>
      </w:r>
    </w:p>
    <w:p w14:paraId="6C48CC7E" w14:textId="77777777" w:rsidR="00B143DF" w:rsidRPr="00C93845" w:rsidRDefault="00BA62D1">
      <w:pPr>
        <w:spacing w:before="120" w:after="120"/>
        <w:ind w:left="1134" w:right="900"/>
        <w:jc w:val="both"/>
        <w:rPr>
          <w:rFonts w:ascii="Palatino Linotype" w:eastAsia="Palatino Linotype" w:hAnsi="Palatino Linotype" w:cs="Palatino Linotype"/>
          <w:i/>
        </w:rPr>
      </w:pPr>
      <w:r w:rsidRPr="00C9384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93845">
        <w:rPr>
          <w:rFonts w:ascii="Palatino Linotype" w:eastAsia="Palatino Linotype" w:hAnsi="Palatino Linotype" w:cs="Palatino Linotype"/>
          <w:i/>
          <w:sz w:val="22"/>
          <w:szCs w:val="22"/>
        </w:rPr>
        <w:t xml:space="preserve">, la cual </w:t>
      </w:r>
      <w:r w:rsidRPr="00C93845">
        <w:rPr>
          <w:rFonts w:ascii="Palatino Linotype" w:eastAsia="Palatino Linotype" w:hAnsi="Palatino Linotype" w:cs="Palatino Linotype"/>
          <w:i/>
        </w:rPr>
        <w:t>tendrá los fundamentos y argumentos en que se basa dicha propuesta…”</w:t>
      </w:r>
    </w:p>
    <w:p w14:paraId="3FD9E985"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5E074F3"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EF35BC1"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Artículo 149.</w:t>
      </w:r>
      <w:r w:rsidRPr="00C93845">
        <w:rPr>
          <w:rFonts w:ascii="Palatino Linotype" w:eastAsia="Palatino Linotype" w:hAnsi="Palatino Linotype" w:cs="Palatino Linotype"/>
          <w:i/>
          <w:sz w:val="22"/>
          <w:szCs w:val="22"/>
        </w:rPr>
        <w:t xml:space="preserve"> El </w:t>
      </w:r>
      <w:r w:rsidRPr="00C93845">
        <w:rPr>
          <w:rFonts w:ascii="Palatino Linotype" w:eastAsia="Palatino Linotype" w:hAnsi="Palatino Linotype" w:cs="Palatino Linotype"/>
          <w:b/>
          <w:i/>
          <w:sz w:val="22"/>
          <w:szCs w:val="22"/>
        </w:rPr>
        <w:t>acuerdo que clasifique la información como confidencial</w:t>
      </w:r>
      <w:r w:rsidRPr="00C9384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913CDE9" w14:textId="77777777" w:rsidR="00B143DF" w:rsidRPr="00C93845" w:rsidRDefault="00BA62D1">
      <w:pPr>
        <w:spacing w:before="240" w:after="240" w:line="360" w:lineRule="auto"/>
        <w:ind w:right="51"/>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Es decir,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7CF3279" w14:textId="77777777" w:rsidR="00B143DF" w:rsidRPr="00C93845" w:rsidRDefault="00BA62D1">
      <w:pPr>
        <w:spacing w:before="240" w:after="240" w:line="360" w:lineRule="auto"/>
        <w:ind w:right="49"/>
        <w:jc w:val="both"/>
        <w:rPr>
          <w:rFonts w:ascii="Palatino Linotype" w:eastAsia="Palatino Linotype" w:hAnsi="Palatino Linotype" w:cs="Palatino Linotype"/>
        </w:rPr>
      </w:pPr>
      <w:r w:rsidRPr="00C93845">
        <w:rPr>
          <w:rFonts w:ascii="Palatino Linotype" w:eastAsia="Palatino Linotype" w:hAnsi="Palatino Linotype" w:cs="Palatino Linotype"/>
        </w:rPr>
        <w:lastRenderedPageBreak/>
        <w:t xml:space="preserve">Atento a lo anterior, cabe señalar que el Comité de Transparencia del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02D002BC"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 “</w:t>
      </w:r>
      <w:proofErr w:type="gramStart"/>
      <w:r w:rsidRPr="00C93845">
        <w:rPr>
          <w:rFonts w:ascii="Palatino Linotype" w:eastAsia="Palatino Linotype" w:hAnsi="Palatino Linotype" w:cs="Palatino Linotype"/>
          <w:b/>
          <w:i/>
          <w:sz w:val="22"/>
          <w:szCs w:val="22"/>
        </w:rPr>
        <w:t>Segundo.-</w:t>
      </w:r>
      <w:proofErr w:type="gramEnd"/>
      <w:r w:rsidRPr="00C93845">
        <w:rPr>
          <w:rFonts w:ascii="Palatino Linotype" w:eastAsia="Palatino Linotype" w:hAnsi="Palatino Linotype" w:cs="Palatino Linotype"/>
          <w:i/>
          <w:sz w:val="22"/>
          <w:szCs w:val="22"/>
        </w:rPr>
        <w:t xml:space="preserve"> Para efectos de los presentes Lineamientos Generales, se entenderá por:</w:t>
      </w:r>
    </w:p>
    <w:p w14:paraId="0105914F" w14:textId="77777777" w:rsidR="00B143DF" w:rsidRPr="00C93845" w:rsidRDefault="00BA62D1">
      <w:pPr>
        <w:tabs>
          <w:tab w:val="left" w:pos="8222"/>
        </w:tabs>
        <w:spacing w:before="120" w:after="120"/>
        <w:ind w:left="1134"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XVIII.</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Versión pública:</w:t>
      </w:r>
      <w:r w:rsidRPr="00C9384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C93845">
        <w:rPr>
          <w:rFonts w:ascii="Palatino Linotype" w:eastAsia="Palatino Linotype" w:hAnsi="Palatino Linotype" w:cs="Palatino Linotype"/>
          <w:b/>
          <w:i/>
          <w:sz w:val="22"/>
          <w:szCs w:val="22"/>
        </w:rPr>
        <w:t>fundando y motivando la</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reserva o confidencialidad</w:t>
      </w:r>
      <w:r w:rsidRPr="00C93845">
        <w:rPr>
          <w:rFonts w:ascii="Palatino Linotype" w:eastAsia="Palatino Linotype" w:hAnsi="Palatino Linotype" w:cs="Palatino Linotype"/>
          <w:i/>
          <w:sz w:val="22"/>
          <w:szCs w:val="22"/>
        </w:rPr>
        <w:t>, a través de la resolución que para tal efecto emita el Comité de Transparencia.</w:t>
      </w:r>
    </w:p>
    <w:p w14:paraId="4DA44138"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b/>
          <w:i/>
          <w:sz w:val="22"/>
          <w:szCs w:val="22"/>
        </w:rPr>
      </w:pPr>
      <w:r w:rsidRPr="00C93845">
        <w:rPr>
          <w:rFonts w:ascii="Palatino Linotype" w:eastAsia="Palatino Linotype" w:hAnsi="Palatino Linotype" w:cs="Palatino Linotype"/>
          <w:b/>
          <w:i/>
          <w:sz w:val="22"/>
          <w:szCs w:val="22"/>
        </w:rPr>
        <w:t>...</w:t>
      </w:r>
    </w:p>
    <w:p w14:paraId="3166D0B0"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Cuarto.</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Para clasificar la información como</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reservada o</w:t>
      </w:r>
      <w:r w:rsidRPr="00C93845">
        <w:rPr>
          <w:rFonts w:ascii="Palatino Linotype" w:eastAsia="Palatino Linotype" w:hAnsi="Palatino Linotype" w:cs="Palatino Linotype"/>
          <w:i/>
          <w:sz w:val="22"/>
          <w:szCs w:val="22"/>
        </w:rPr>
        <w:t xml:space="preserve"> </w:t>
      </w:r>
      <w:r w:rsidRPr="00C93845">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C93845">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60C462"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B5AB247"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Quinto.</w:t>
      </w:r>
      <w:r w:rsidRPr="00C9384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1761CFE"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Sexto.</w:t>
      </w:r>
      <w:r w:rsidRPr="00C93845">
        <w:rPr>
          <w:rFonts w:ascii="Palatino Linotype" w:eastAsia="Palatino Linotype" w:hAnsi="Palatino Linotype" w:cs="Palatino Linotype"/>
          <w:i/>
          <w:sz w:val="22"/>
          <w:szCs w:val="22"/>
        </w:rPr>
        <w:t xml:space="preserve"> Se deroga.</w:t>
      </w:r>
    </w:p>
    <w:p w14:paraId="3B4315E3"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lastRenderedPageBreak/>
        <w:t>Séptimo.</w:t>
      </w:r>
      <w:r w:rsidRPr="00C93845">
        <w:rPr>
          <w:rFonts w:ascii="Palatino Linotype" w:eastAsia="Palatino Linotype" w:hAnsi="Palatino Linotype" w:cs="Palatino Linotype"/>
          <w:i/>
          <w:sz w:val="22"/>
          <w:szCs w:val="22"/>
        </w:rPr>
        <w:t xml:space="preserve"> La clasificación de la información se llevará a cabo en el momento en que:</w:t>
      </w:r>
    </w:p>
    <w:p w14:paraId="17AB8899" w14:textId="77777777" w:rsidR="00B143DF" w:rsidRPr="00C93845" w:rsidRDefault="00BA62D1">
      <w:pPr>
        <w:tabs>
          <w:tab w:val="left" w:pos="8222"/>
        </w:tabs>
        <w:spacing w:before="120" w:after="120"/>
        <w:ind w:left="1134"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w:t>
      </w:r>
      <w:r w:rsidRPr="00C93845">
        <w:rPr>
          <w:rFonts w:ascii="Palatino Linotype" w:eastAsia="Palatino Linotype" w:hAnsi="Palatino Linotype" w:cs="Palatino Linotype"/>
          <w:i/>
          <w:sz w:val="22"/>
          <w:szCs w:val="22"/>
        </w:rPr>
        <w:t xml:space="preserve"> Se reciba una solicitud de acceso a la información;</w:t>
      </w:r>
    </w:p>
    <w:p w14:paraId="2AA414F9" w14:textId="77777777" w:rsidR="00B143DF" w:rsidRPr="00C93845" w:rsidRDefault="00BA62D1">
      <w:pPr>
        <w:tabs>
          <w:tab w:val="left" w:pos="8222"/>
        </w:tabs>
        <w:spacing w:before="120" w:after="120"/>
        <w:ind w:left="1134"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w:t>
      </w:r>
      <w:r w:rsidRPr="00C93845">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73C5618E" w14:textId="77777777" w:rsidR="00B143DF" w:rsidRPr="00C93845" w:rsidRDefault="00BA62D1">
      <w:pPr>
        <w:tabs>
          <w:tab w:val="left" w:pos="8222"/>
        </w:tabs>
        <w:spacing w:before="120" w:after="120"/>
        <w:ind w:left="1134"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III.</w:t>
      </w:r>
      <w:r w:rsidRPr="00C9384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63C8143"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C93845">
        <w:rPr>
          <w:rFonts w:ascii="Palatino Linotype" w:eastAsia="Palatino Linotype" w:hAnsi="Palatino Linotype" w:cs="Palatino Linotype"/>
          <w:sz w:val="22"/>
          <w:szCs w:val="22"/>
        </w:rPr>
        <w:t xml:space="preserve">, </w:t>
      </w:r>
      <w:r w:rsidRPr="00C93845">
        <w:rPr>
          <w:rFonts w:ascii="Palatino Linotype" w:eastAsia="Palatino Linotype" w:hAnsi="Palatino Linotype" w:cs="Palatino Linotype"/>
          <w:i/>
          <w:sz w:val="22"/>
          <w:szCs w:val="22"/>
        </w:rPr>
        <w:t>conforme a su naturaleza, si encuadra en una causal de reserva o de confidencialidad.</w:t>
      </w:r>
    </w:p>
    <w:p w14:paraId="0A37F123"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Octavo.</w:t>
      </w:r>
      <w:r w:rsidRPr="00C9384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F2A80B1"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C97C9E3"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628DD29"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Noveno.</w:t>
      </w:r>
      <w:r w:rsidRPr="00C9384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B9439E"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Décimo.</w:t>
      </w:r>
      <w:r w:rsidRPr="00C9384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663B015"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7966EB7E" w14:textId="77777777" w:rsidR="00B143DF" w:rsidRPr="00C93845" w:rsidRDefault="00BA62D1">
      <w:pPr>
        <w:tabs>
          <w:tab w:val="left" w:pos="8222"/>
        </w:tabs>
        <w:spacing w:before="120" w:after="120"/>
        <w:ind w:left="851" w:right="1134"/>
        <w:jc w:val="both"/>
        <w:rPr>
          <w:rFonts w:ascii="Palatino Linotype" w:eastAsia="Palatino Linotype" w:hAnsi="Palatino Linotype" w:cs="Palatino Linotype"/>
          <w:i/>
        </w:rPr>
      </w:pPr>
      <w:r w:rsidRPr="00C93845">
        <w:rPr>
          <w:rFonts w:ascii="Palatino Linotype" w:eastAsia="Palatino Linotype" w:hAnsi="Palatino Linotype" w:cs="Palatino Linotype"/>
          <w:b/>
          <w:i/>
          <w:sz w:val="22"/>
          <w:szCs w:val="22"/>
        </w:rPr>
        <w:t>Décimo primero.</w:t>
      </w:r>
      <w:r w:rsidRPr="00C9384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93845">
        <w:rPr>
          <w:rFonts w:ascii="Palatino Linotype" w:eastAsia="Palatino Linotype" w:hAnsi="Palatino Linotype" w:cs="Palatino Linotype"/>
          <w:i/>
        </w:rPr>
        <w:t xml:space="preserve"> </w:t>
      </w:r>
    </w:p>
    <w:p w14:paraId="7C65471E" w14:textId="77777777" w:rsidR="00B143DF" w:rsidRPr="00C93845" w:rsidRDefault="00BA62D1">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Asimismo, respecto a las formalidades que deberá llevar el acuerdo de clasificación que deberá emitir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54663DF6"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 xml:space="preserve"> “Quincuagésimo. </w:t>
      </w:r>
      <w:r w:rsidRPr="00C9384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163EE24" w14:textId="77777777" w:rsidR="00B143DF" w:rsidRPr="00C93845" w:rsidRDefault="00BA62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 xml:space="preserve">Quincuagésimo primero. </w:t>
      </w:r>
      <w:r w:rsidRPr="00C93845">
        <w:rPr>
          <w:rFonts w:ascii="Palatino Linotype" w:eastAsia="Palatino Linotype" w:hAnsi="Palatino Linotype" w:cs="Palatino Linotype"/>
          <w:i/>
          <w:sz w:val="22"/>
          <w:szCs w:val="22"/>
        </w:rPr>
        <w:t xml:space="preserve">Toda acta del Comité de Transparencia deberá contener: </w:t>
      </w:r>
    </w:p>
    <w:p w14:paraId="21B3CAE0" w14:textId="77777777" w:rsidR="00B143DF" w:rsidRPr="00C93845" w:rsidRDefault="00BA62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w:t>
      </w:r>
      <w:r w:rsidRPr="00C93845">
        <w:rPr>
          <w:rFonts w:ascii="Palatino Linotype" w:eastAsia="Palatino Linotype" w:hAnsi="Palatino Linotype" w:cs="Palatino Linotype"/>
          <w:i/>
          <w:sz w:val="22"/>
          <w:szCs w:val="22"/>
        </w:rPr>
        <w:t xml:space="preserve"> El número de sesión y fecha; </w:t>
      </w:r>
    </w:p>
    <w:p w14:paraId="097AA727" w14:textId="77777777" w:rsidR="00B143DF" w:rsidRPr="00C93845" w:rsidRDefault="00BA62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w:t>
      </w:r>
      <w:r w:rsidRPr="00C93845">
        <w:rPr>
          <w:rFonts w:ascii="Palatino Linotype" w:eastAsia="Palatino Linotype" w:hAnsi="Palatino Linotype" w:cs="Palatino Linotype"/>
          <w:i/>
          <w:sz w:val="22"/>
          <w:szCs w:val="22"/>
        </w:rPr>
        <w:t xml:space="preserve">. El nombre del área que solicitó la clasificación de información; </w:t>
      </w:r>
    </w:p>
    <w:p w14:paraId="416B4A5A" w14:textId="77777777" w:rsidR="00B143DF" w:rsidRPr="00C93845" w:rsidRDefault="00BA62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III</w:t>
      </w:r>
      <w:r w:rsidRPr="00C93845">
        <w:rPr>
          <w:rFonts w:ascii="Palatino Linotype" w:eastAsia="Palatino Linotype" w:hAnsi="Palatino Linotype" w:cs="Palatino Linotype"/>
          <w:i/>
          <w:sz w:val="22"/>
          <w:szCs w:val="22"/>
        </w:rPr>
        <w:t xml:space="preserve">. La fundamentación legal y motivación correspondiente; </w:t>
      </w:r>
    </w:p>
    <w:p w14:paraId="4C10279A" w14:textId="77777777" w:rsidR="00B143DF" w:rsidRPr="00C93845" w:rsidRDefault="00BA62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IV</w:t>
      </w:r>
      <w:r w:rsidRPr="00C93845">
        <w:rPr>
          <w:rFonts w:ascii="Palatino Linotype" w:eastAsia="Palatino Linotype" w:hAnsi="Palatino Linotype" w:cs="Palatino Linotype"/>
          <w:i/>
          <w:sz w:val="22"/>
          <w:szCs w:val="22"/>
        </w:rPr>
        <w:t xml:space="preserve">. La resolución o resoluciones aprobadas; y </w:t>
      </w:r>
    </w:p>
    <w:p w14:paraId="22CC0EAC" w14:textId="77777777" w:rsidR="00B143DF" w:rsidRPr="00C93845" w:rsidRDefault="00BA62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V</w:t>
      </w:r>
      <w:r w:rsidRPr="00C93845">
        <w:rPr>
          <w:rFonts w:ascii="Palatino Linotype" w:eastAsia="Palatino Linotype" w:hAnsi="Palatino Linotype" w:cs="Palatino Linotype"/>
          <w:i/>
          <w:sz w:val="22"/>
          <w:szCs w:val="22"/>
        </w:rPr>
        <w:t xml:space="preserve">. La rúbrica o firma digital de cada integrante del Comité de Transparencia. </w:t>
      </w:r>
    </w:p>
    <w:p w14:paraId="095B9A27" w14:textId="77777777" w:rsidR="00B143DF" w:rsidRPr="00C93845" w:rsidRDefault="00BA62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A359074" w14:textId="77777777" w:rsidR="00B143DF" w:rsidRPr="00C93845" w:rsidRDefault="00BA62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w:t>
      </w:r>
      <w:r w:rsidRPr="00C93845">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3F37428" w14:textId="77777777" w:rsidR="00B143DF" w:rsidRPr="00C93845" w:rsidRDefault="00BA62D1">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C93845">
        <w:rPr>
          <w:rFonts w:ascii="Palatino Linotype" w:eastAsia="Palatino Linotype" w:hAnsi="Palatino Linotype" w:cs="Palatino Linotype"/>
          <w:b/>
          <w:i/>
          <w:sz w:val="22"/>
          <w:szCs w:val="22"/>
        </w:rPr>
        <w:t>II</w:t>
      </w:r>
      <w:r w:rsidRPr="00C93845">
        <w:rPr>
          <w:rFonts w:ascii="Palatino Linotype" w:eastAsia="Palatino Linotype" w:hAnsi="Palatino Linotype" w:cs="Palatino Linotype"/>
          <w:i/>
          <w:sz w:val="22"/>
          <w:szCs w:val="22"/>
        </w:rPr>
        <w:t>. Descripción de las partes o secciones reservadas, en caso de clasificación parcial</w:t>
      </w:r>
      <w:r w:rsidRPr="00C93845">
        <w:rPr>
          <w:rFonts w:ascii="Palatino Linotype" w:eastAsia="Palatino Linotype" w:hAnsi="Palatino Linotype" w:cs="Palatino Linotype"/>
          <w:b/>
          <w:i/>
          <w:sz w:val="22"/>
          <w:szCs w:val="22"/>
        </w:rPr>
        <w:t xml:space="preserve">; </w:t>
      </w:r>
    </w:p>
    <w:p w14:paraId="7DBBD6FA" w14:textId="77777777" w:rsidR="00B143DF" w:rsidRPr="00C93845" w:rsidRDefault="00BA62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III.</w:t>
      </w:r>
      <w:r w:rsidRPr="00C93845">
        <w:rPr>
          <w:rFonts w:ascii="Palatino Linotype" w:eastAsia="Palatino Linotype" w:hAnsi="Palatino Linotype" w:cs="Palatino Linotype"/>
          <w:i/>
          <w:sz w:val="22"/>
          <w:szCs w:val="22"/>
        </w:rPr>
        <w:t xml:space="preserve"> El periodo por el que mantendrá su clasificación y fecha de expiración; y </w:t>
      </w:r>
    </w:p>
    <w:p w14:paraId="2A333AB8" w14:textId="77777777" w:rsidR="00B143DF" w:rsidRPr="00C93845" w:rsidRDefault="00BA62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lastRenderedPageBreak/>
        <w:t>IV.</w:t>
      </w:r>
      <w:r w:rsidRPr="00C93845">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A606F1A" w14:textId="77777777" w:rsidR="00B143DF" w:rsidRPr="00C93845" w:rsidRDefault="00BA62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092EC26" w14:textId="77777777" w:rsidR="00B143DF" w:rsidRPr="00C93845" w:rsidRDefault="00BA62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F7A2E06"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5D4442D7" w14:textId="77777777" w:rsidR="00B143DF" w:rsidRPr="00C93845" w:rsidRDefault="00BA62D1">
      <w:pPr>
        <w:spacing w:before="120" w:after="12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r w:rsidRPr="00C93845">
        <w:rPr>
          <w:rFonts w:ascii="Palatino Linotype" w:eastAsia="Palatino Linotype" w:hAnsi="Palatino Linotype" w:cs="Palatino Linotype"/>
          <w:b/>
          <w:i/>
          <w:sz w:val="22"/>
          <w:szCs w:val="22"/>
        </w:rPr>
        <w:t>Quincuagésimo segundo</w:t>
      </w:r>
      <w:r w:rsidRPr="00C93845">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EC527D2" w14:textId="77777777" w:rsidR="00B143DF" w:rsidRPr="00C93845" w:rsidRDefault="00BA62D1">
      <w:pPr>
        <w:spacing w:before="120" w:after="12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C95647B" w14:textId="77777777" w:rsidR="00B143DF" w:rsidRPr="00C93845" w:rsidRDefault="00BA62D1">
      <w:pPr>
        <w:spacing w:before="120" w:after="120"/>
        <w:ind w:left="1134"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w:t>
      </w:r>
      <w:r w:rsidRPr="00C93845">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A3C7735" w14:textId="77777777" w:rsidR="00B143DF" w:rsidRPr="00C93845" w:rsidRDefault="00BA62D1">
      <w:pPr>
        <w:spacing w:before="120" w:after="120"/>
        <w:ind w:left="1134"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w:t>
      </w:r>
      <w:r w:rsidRPr="00C93845">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5CB612C1" w14:textId="77777777" w:rsidR="00B143DF" w:rsidRPr="00C93845" w:rsidRDefault="00BA62D1">
      <w:pPr>
        <w:spacing w:before="120" w:after="120"/>
        <w:ind w:left="1134"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III.</w:t>
      </w:r>
      <w:r w:rsidRPr="00C93845">
        <w:rPr>
          <w:rFonts w:ascii="Palatino Linotype" w:eastAsia="Palatino Linotype" w:hAnsi="Palatino Linotype" w:cs="Palatino Linotype"/>
          <w:i/>
          <w:sz w:val="22"/>
          <w:szCs w:val="22"/>
        </w:rPr>
        <w:t xml:space="preserve"> Señalar las personas o instancias autorizadas a acceder a la información clasificada.</w:t>
      </w:r>
    </w:p>
    <w:p w14:paraId="4FFA6289" w14:textId="77777777" w:rsidR="00B143DF" w:rsidRPr="00C93845" w:rsidRDefault="00BA62D1">
      <w:pPr>
        <w:spacing w:before="120" w:after="12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3A2F53D" w14:textId="77777777" w:rsidR="00B143DF" w:rsidRPr="00C93845" w:rsidRDefault="00BA62D1">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w:t>
      </w:r>
    </w:p>
    <w:p w14:paraId="2DA70C56" w14:textId="77777777" w:rsidR="00B143DF" w:rsidRPr="00C93845" w:rsidRDefault="00BA62D1">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C93845">
        <w:rPr>
          <w:rFonts w:ascii="Palatino Linotype" w:eastAsia="Palatino Linotype" w:hAnsi="Palatino Linotype" w:cs="Palatino Linotype"/>
          <w:b/>
          <w:i/>
          <w:sz w:val="22"/>
          <w:szCs w:val="22"/>
        </w:rPr>
        <w:lastRenderedPageBreak/>
        <w:t xml:space="preserve">Quincuagésimo cuarto. </w:t>
      </w:r>
      <w:r w:rsidRPr="00C93845">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93845">
        <w:rPr>
          <w:rFonts w:ascii="Palatino Linotype" w:eastAsia="Palatino Linotype" w:hAnsi="Palatino Linotype" w:cs="Palatino Linotype"/>
          <w:b/>
          <w:i/>
          <w:sz w:val="22"/>
          <w:szCs w:val="22"/>
        </w:rPr>
        <w:t xml:space="preserve"> </w:t>
      </w:r>
    </w:p>
    <w:p w14:paraId="7C911DA6"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 xml:space="preserve">Quincuagésimo quinto. </w:t>
      </w:r>
      <w:r w:rsidRPr="00C9384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C93845">
        <w:rPr>
          <w:rFonts w:ascii="Palatino Linotype" w:eastAsia="Palatino Linotype" w:hAnsi="Palatino Linotype" w:cs="Palatino Linotype"/>
          <w:i/>
          <w:sz w:val="22"/>
          <w:szCs w:val="22"/>
        </w:rPr>
        <w:t>testado</w:t>
      </w:r>
      <w:proofErr w:type="spellEnd"/>
      <w:r w:rsidRPr="00C9384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62B6469" w14:textId="77777777" w:rsidR="00B143DF" w:rsidRPr="00C93845" w:rsidRDefault="00BA62D1">
      <w:pPr>
        <w:spacing w:before="120" w:after="120"/>
        <w:ind w:left="851" w:right="902"/>
        <w:jc w:val="both"/>
        <w:rPr>
          <w:rFonts w:ascii="Palatino Linotype" w:eastAsia="Palatino Linotype" w:hAnsi="Palatino Linotype" w:cs="Palatino Linotype"/>
          <w:b/>
          <w:i/>
          <w:sz w:val="22"/>
          <w:szCs w:val="22"/>
        </w:rPr>
      </w:pPr>
      <w:r w:rsidRPr="00C93845">
        <w:rPr>
          <w:rFonts w:ascii="Palatino Linotype" w:eastAsia="Palatino Linotype" w:hAnsi="Palatino Linotype" w:cs="Palatino Linotype"/>
          <w:b/>
          <w:i/>
          <w:sz w:val="22"/>
          <w:szCs w:val="22"/>
        </w:rPr>
        <w:t>...</w:t>
      </w:r>
    </w:p>
    <w:p w14:paraId="29B7FAC5"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Quincuagésimo séptimo</w:t>
      </w:r>
      <w:r w:rsidRPr="00C9384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21C1D41"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w:t>
      </w:r>
      <w:r w:rsidRPr="00C9384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B9AF73E"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w:t>
      </w:r>
      <w:r w:rsidRPr="00C93845">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30BDAF1" w14:textId="77777777" w:rsidR="00B143DF" w:rsidRPr="00C93845" w:rsidRDefault="00BA62D1">
      <w:pPr>
        <w:spacing w:before="120" w:after="120"/>
        <w:ind w:left="1134"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III</w:t>
      </w:r>
      <w:r w:rsidRPr="00C9384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8DB2C16"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B372E58" w14:textId="77777777" w:rsidR="00B143DF" w:rsidRPr="00C93845" w:rsidRDefault="00BA62D1">
      <w:pPr>
        <w:spacing w:before="120" w:after="120"/>
        <w:ind w:left="851" w:right="902"/>
        <w:jc w:val="both"/>
        <w:rPr>
          <w:rFonts w:ascii="Palatino Linotype" w:eastAsia="Palatino Linotype" w:hAnsi="Palatino Linotype" w:cs="Palatino Linotype"/>
          <w:i/>
          <w:sz w:val="22"/>
          <w:szCs w:val="22"/>
        </w:rPr>
      </w:pPr>
      <w:r w:rsidRPr="00C93845">
        <w:rPr>
          <w:rFonts w:ascii="Palatino Linotype" w:eastAsia="Palatino Linotype" w:hAnsi="Palatino Linotype" w:cs="Palatino Linotype"/>
          <w:b/>
          <w:i/>
          <w:sz w:val="22"/>
          <w:szCs w:val="22"/>
        </w:rPr>
        <w:t>Quincuagésimo octavo</w:t>
      </w:r>
      <w:r w:rsidRPr="00C93845">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EF9C474"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Así, con fundamento en lo prescrito en los artículos 5 párrafos trigésimo tercero, trigésimo cuarto y trigésimo quinto de la Constitución Política del Estado Libre y Soberano de México; 2, fracción II; 29, 36 fracciones I y II; 176, 178, 181, 185 y 186 </w:t>
      </w:r>
      <w:r w:rsidRPr="00C93845">
        <w:rPr>
          <w:rFonts w:ascii="Palatino Linotype" w:eastAsia="Palatino Linotype" w:hAnsi="Palatino Linotype" w:cs="Palatino Linotype"/>
        </w:rPr>
        <w:lastRenderedPageBreak/>
        <w:t>fracción II de la Ley de Transparencia y Acceso a la Información Pública del Estado de México y Municipios, este Pleno:</w:t>
      </w:r>
    </w:p>
    <w:p w14:paraId="0EF271EE" w14:textId="77777777" w:rsidR="00B143DF" w:rsidRPr="00C93845" w:rsidRDefault="00BA62D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93845">
        <w:rPr>
          <w:rFonts w:ascii="Palatino Linotype" w:eastAsia="Palatino Linotype" w:hAnsi="Palatino Linotype" w:cs="Palatino Linotype"/>
          <w:b/>
        </w:rPr>
        <w:t>III. R E S U E L V E</w:t>
      </w:r>
    </w:p>
    <w:p w14:paraId="06097E7F" w14:textId="77777777" w:rsidR="00B143DF" w:rsidRPr="00C93845" w:rsidRDefault="00BA62D1">
      <w:pPr>
        <w:spacing w:before="240" w:after="240" w:line="360" w:lineRule="auto"/>
        <w:jc w:val="both"/>
        <w:rPr>
          <w:rFonts w:ascii="Palatino Linotype" w:eastAsia="Palatino Linotype" w:hAnsi="Palatino Linotype" w:cs="Palatino Linotype"/>
        </w:rPr>
      </w:pPr>
      <w:bookmarkStart w:id="10" w:name="_heading=h.26in1rg" w:colFirst="0" w:colLast="0"/>
      <w:bookmarkEnd w:id="10"/>
      <w:r w:rsidRPr="00C93845">
        <w:rPr>
          <w:rFonts w:ascii="Palatino Linotype" w:eastAsia="Palatino Linotype" w:hAnsi="Palatino Linotype" w:cs="Palatino Linotype"/>
          <w:b/>
        </w:rPr>
        <w:t xml:space="preserve">Primero. </w:t>
      </w:r>
      <w:r w:rsidRPr="00C93845">
        <w:rPr>
          <w:rFonts w:ascii="Palatino Linotype" w:eastAsia="Palatino Linotype" w:hAnsi="Palatino Linotype" w:cs="Palatino Linotype"/>
        </w:rPr>
        <w:t>Resultan</w:t>
      </w:r>
      <w:r w:rsidRPr="00C93845">
        <w:rPr>
          <w:rFonts w:ascii="Palatino Linotype" w:eastAsia="Palatino Linotype" w:hAnsi="Palatino Linotype" w:cs="Palatino Linotype"/>
          <w:b/>
        </w:rPr>
        <w:t xml:space="preserve"> fundadas</w:t>
      </w:r>
      <w:r w:rsidRPr="00C93845">
        <w:rPr>
          <w:rFonts w:ascii="Palatino Linotype" w:eastAsia="Palatino Linotype" w:hAnsi="Palatino Linotype" w:cs="Palatino Linotype"/>
        </w:rPr>
        <w:t xml:space="preserve"> las razones o motivos de inconformidad hechos valer por la parte</w:t>
      </w:r>
      <w:r w:rsidRPr="00C93845">
        <w:rPr>
          <w:rFonts w:ascii="Palatino Linotype" w:eastAsia="Palatino Linotype" w:hAnsi="Palatino Linotype" w:cs="Palatino Linotype"/>
          <w:b/>
        </w:rPr>
        <w:t xml:space="preserve"> Recurrente</w:t>
      </w:r>
      <w:r w:rsidRPr="00C93845">
        <w:rPr>
          <w:rFonts w:ascii="Palatino Linotype" w:eastAsia="Palatino Linotype" w:hAnsi="Palatino Linotype" w:cs="Palatino Linotype"/>
        </w:rPr>
        <w:t xml:space="preserve"> en el recurso de revisión </w:t>
      </w:r>
      <w:r w:rsidRPr="00C93845">
        <w:rPr>
          <w:rFonts w:ascii="Palatino Linotype" w:eastAsia="Palatino Linotype" w:hAnsi="Palatino Linotype" w:cs="Palatino Linotype"/>
          <w:b/>
        </w:rPr>
        <w:t>05274/INFOEM/IP/RR/2024</w:t>
      </w:r>
      <w:r w:rsidRPr="00C93845">
        <w:rPr>
          <w:rFonts w:ascii="Palatino Linotype" w:eastAsia="Palatino Linotype" w:hAnsi="Palatino Linotype" w:cs="Palatino Linotype"/>
        </w:rPr>
        <w:t xml:space="preserve">; por lo que, en términos del </w:t>
      </w:r>
      <w:r w:rsidRPr="00C93845">
        <w:rPr>
          <w:rFonts w:ascii="Palatino Linotype" w:eastAsia="Palatino Linotype" w:hAnsi="Palatino Linotype" w:cs="Palatino Linotype"/>
          <w:b/>
        </w:rPr>
        <w:t>Considerando</w:t>
      </w:r>
      <w:r w:rsidRPr="00C93845">
        <w:rPr>
          <w:rFonts w:ascii="Palatino Linotype" w:eastAsia="Palatino Linotype" w:hAnsi="Palatino Linotype" w:cs="Palatino Linotype"/>
        </w:rPr>
        <w:t xml:space="preserve"> </w:t>
      </w:r>
      <w:r w:rsidRPr="00C93845">
        <w:rPr>
          <w:rFonts w:ascii="Palatino Linotype" w:eastAsia="Palatino Linotype" w:hAnsi="Palatino Linotype" w:cs="Palatino Linotype"/>
          <w:b/>
        </w:rPr>
        <w:t xml:space="preserve">Cuarto </w:t>
      </w:r>
      <w:r w:rsidRPr="00C93845">
        <w:rPr>
          <w:rFonts w:ascii="Palatino Linotype" w:eastAsia="Palatino Linotype" w:hAnsi="Palatino Linotype" w:cs="Palatino Linotype"/>
        </w:rPr>
        <w:t xml:space="preserve">de esta resolución, se </w:t>
      </w:r>
      <w:r w:rsidRPr="00C93845">
        <w:rPr>
          <w:rFonts w:ascii="Palatino Linotype" w:eastAsia="Palatino Linotype" w:hAnsi="Palatino Linotype" w:cs="Palatino Linotype"/>
          <w:b/>
        </w:rPr>
        <w:t xml:space="preserve">Modifica </w:t>
      </w:r>
      <w:r w:rsidRPr="00C93845">
        <w:rPr>
          <w:rFonts w:ascii="Palatino Linotype" w:eastAsia="Palatino Linotype" w:hAnsi="Palatino Linotype" w:cs="Palatino Linotype"/>
        </w:rPr>
        <w:t xml:space="preserve">la respuesta emitida por el </w:t>
      </w:r>
      <w:r w:rsidRPr="00C93845">
        <w:rPr>
          <w:rFonts w:ascii="Palatino Linotype" w:eastAsia="Palatino Linotype" w:hAnsi="Palatino Linotype" w:cs="Palatino Linotype"/>
          <w:b/>
        </w:rPr>
        <w:t xml:space="preserve">Sujeto Obligado. </w:t>
      </w:r>
    </w:p>
    <w:p w14:paraId="3546891B" w14:textId="77777777" w:rsidR="00B143DF" w:rsidRPr="00C93845" w:rsidRDefault="00BA62D1">
      <w:pPr>
        <w:spacing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b/>
        </w:rPr>
        <w:t xml:space="preserve">Segundo. </w:t>
      </w:r>
      <w:r w:rsidRPr="00C93845">
        <w:rPr>
          <w:rFonts w:ascii="Palatino Linotype" w:eastAsia="Palatino Linotype" w:hAnsi="Palatino Linotype" w:cs="Palatino Linotype"/>
        </w:rPr>
        <w:t xml:space="preserve">Se </w:t>
      </w:r>
      <w:r w:rsidRPr="00C93845">
        <w:rPr>
          <w:rFonts w:ascii="Palatino Linotype" w:eastAsia="Palatino Linotype" w:hAnsi="Palatino Linotype" w:cs="Palatino Linotype"/>
          <w:b/>
        </w:rPr>
        <w:t>Ordena</w:t>
      </w:r>
      <w:r w:rsidRPr="00C93845">
        <w:rPr>
          <w:rFonts w:ascii="Palatino Linotype" w:eastAsia="Palatino Linotype" w:hAnsi="Palatino Linotype" w:cs="Palatino Linotype"/>
        </w:rPr>
        <w:t xml:space="preserve"> al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en términos de los Considerandos </w:t>
      </w:r>
      <w:r w:rsidRPr="00C93845">
        <w:rPr>
          <w:rFonts w:ascii="Palatino Linotype" w:eastAsia="Palatino Linotype" w:hAnsi="Palatino Linotype" w:cs="Palatino Linotype"/>
          <w:b/>
        </w:rPr>
        <w:t xml:space="preserve">Cuarto </w:t>
      </w:r>
      <w:r w:rsidRPr="00C93845">
        <w:rPr>
          <w:rFonts w:ascii="Palatino Linotype" w:eastAsia="Palatino Linotype" w:hAnsi="Palatino Linotype" w:cs="Palatino Linotype"/>
        </w:rPr>
        <w:t xml:space="preserve">y </w:t>
      </w:r>
      <w:r w:rsidRPr="00C93845">
        <w:rPr>
          <w:rFonts w:ascii="Palatino Linotype" w:eastAsia="Palatino Linotype" w:hAnsi="Palatino Linotype" w:cs="Palatino Linotype"/>
          <w:b/>
        </w:rPr>
        <w:t xml:space="preserve">Quinto </w:t>
      </w:r>
      <w:r w:rsidRPr="00C93845">
        <w:rPr>
          <w:rFonts w:ascii="Palatino Linotype" w:eastAsia="Palatino Linotype" w:hAnsi="Palatino Linotype" w:cs="Palatino Linotype"/>
        </w:rPr>
        <w:t>de esta resolución, haga entrega,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ser procedente en versión pública, lo siguiente:</w:t>
      </w:r>
    </w:p>
    <w:p w14:paraId="6E06A8C6" w14:textId="77777777" w:rsidR="00B143DF" w:rsidRPr="00C93845" w:rsidRDefault="00BA62D1">
      <w:pPr>
        <w:tabs>
          <w:tab w:val="left" w:pos="5040"/>
        </w:tabs>
        <w:spacing w:before="240" w:after="240" w:line="360" w:lineRule="auto"/>
        <w:ind w:left="284" w:right="49"/>
        <w:jc w:val="both"/>
        <w:rPr>
          <w:rFonts w:ascii="Palatino Linotype" w:eastAsia="Palatino Linotype" w:hAnsi="Palatino Linotype" w:cs="Palatino Linotype"/>
        </w:rPr>
      </w:pPr>
      <w:r w:rsidRPr="00C93845">
        <w:rPr>
          <w:rFonts w:ascii="Palatino Linotype" w:eastAsia="Palatino Linotype" w:hAnsi="Palatino Linotype" w:cs="Palatino Linotype"/>
        </w:rPr>
        <w:t>1. Programa Anual de Adquisiciones, de los ejercicios 2023 y 2024.</w:t>
      </w:r>
    </w:p>
    <w:p w14:paraId="10859737" w14:textId="77777777" w:rsidR="00B143DF" w:rsidRPr="00C93845" w:rsidRDefault="00BA62D1">
      <w:pPr>
        <w:tabs>
          <w:tab w:val="left" w:pos="5040"/>
        </w:tabs>
        <w:spacing w:before="240" w:after="240" w:line="360" w:lineRule="auto"/>
        <w:ind w:left="284" w:right="49"/>
        <w:jc w:val="both"/>
        <w:rPr>
          <w:rFonts w:ascii="Palatino Linotype" w:eastAsia="Palatino Linotype" w:hAnsi="Palatino Linotype" w:cs="Palatino Linotype"/>
        </w:rPr>
      </w:pPr>
      <w:r w:rsidRPr="00C93845">
        <w:rPr>
          <w:rFonts w:ascii="Palatino Linotype" w:eastAsia="Palatino Linotype" w:hAnsi="Palatino Linotype" w:cs="Palatino Linotype"/>
        </w:rPr>
        <w:t>2. Diario General de Pólizas del mes de enero de 2023 al mes de junio de 2024.</w:t>
      </w:r>
    </w:p>
    <w:p w14:paraId="7006C004" w14:textId="77777777" w:rsidR="00B143DF" w:rsidRPr="00C93845" w:rsidRDefault="00BA62D1">
      <w:pPr>
        <w:spacing w:before="120" w:after="120"/>
        <w:ind w:left="284" w:right="4"/>
        <w:jc w:val="both"/>
        <w:rPr>
          <w:rFonts w:ascii="Palatino Linotype" w:eastAsia="Palatino Linotype" w:hAnsi="Palatino Linotype" w:cs="Palatino Linotype"/>
          <w:i/>
          <w:sz w:val="18"/>
          <w:szCs w:val="18"/>
        </w:rPr>
      </w:pPr>
      <w:r w:rsidRPr="00C93845">
        <w:rPr>
          <w:rFonts w:ascii="Palatino Linotype" w:eastAsia="Palatino Linotype" w:hAnsi="Palatino Linotype" w:cs="Palatino Linotype"/>
          <w:i/>
          <w:sz w:val="18"/>
          <w:szCs w:val="18"/>
        </w:rPr>
        <w:t xml:space="preserve">Para tal situación, a través del Sistema de Acceso a la Información Mexiquense (SAIMEX), deberá indicar el procedimiento que tendrá que seguir la persona solicitante,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 Además, deberá señalarle que en caso de que la parte </w:t>
      </w:r>
      <w:r w:rsidRPr="00C93845">
        <w:rPr>
          <w:rFonts w:ascii="Palatino Linotype" w:eastAsia="Palatino Linotype" w:hAnsi="Palatino Linotype" w:cs="Palatino Linotype"/>
          <w:b/>
          <w:i/>
          <w:sz w:val="18"/>
          <w:szCs w:val="18"/>
        </w:rPr>
        <w:t>Recurrente</w:t>
      </w:r>
      <w:r w:rsidRPr="00C93845">
        <w:rPr>
          <w:rFonts w:ascii="Palatino Linotype" w:eastAsia="Palatino Linotype" w:hAnsi="Palatino Linotype" w:cs="Palatino Linotype"/>
          <w:i/>
          <w:sz w:val="18"/>
          <w:szCs w:val="18"/>
        </w:rPr>
        <w:t xml:space="preserve"> proporcione el dispositivo electrónico y acuda por la información a la Unidad de Transparencia, la entrega de la información, será sin costo.</w:t>
      </w:r>
    </w:p>
    <w:p w14:paraId="4E014BA5" w14:textId="77777777" w:rsidR="00B143DF" w:rsidRPr="00C93845" w:rsidRDefault="00BA62D1">
      <w:pPr>
        <w:spacing w:before="120" w:after="120"/>
        <w:ind w:left="284"/>
        <w:jc w:val="both"/>
        <w:rPr>
          <w:rFonts w:ascii="Palatino Linotype" w:eastAsia="Palatino Linotype" w:hAnsi="Palatino Linotype" w:cs="Palatino Linotype"/>
          <w:i/>
          <w:sz w:val="18"/>
          <w:szCs w:val="18"/>
        </w:rPr>
      </w:pPr>
      <w:r w:rsidRPr="00C93845">
        <w:rPr>
          <w:rFonts w:ascii="Palatino Linotype" w:eastAsia="Palatino Linotype" w:hAnsi="Palatino Linotype" w:cs="Palatino Linotype"/>
          <w:i/>
          <w:sz w:val="18"/>
          <w:szCs w:val="18"/>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w:t>
      </w:r>
      <w:proofErr w:type="gramStart"/>
      <w:r w:rsidRPr="00C93845">
        <w:rPr>
          <w:rFonts w:ascii="Palatino Linotype" w:eastAsia="Palatino Linotype" w:hAnsi="Palatino Linotype" w:cs="Palatino Linotype"/>
          <w:i/>
          <w:sz w:val="18"/>
          <w:szCs w:val="18"/>
        </w:rPr>
        <w:t>y  se</w:t>
      </w:r>
      <w:proofErr w:type="gramEnd"/>
      <w:r w:rsidRPr="00C93845">
        <w:rPr>
          <w:rFonts w:ascii="Palatino Linotype" w:eastAsia="Palatino Linotype" w:hAnsi="Palatino Linotype" w:cs="Palatino Linotype"/>
          <w:i/>
          <w:sz w:val="18"/>
          <w:szCs w:val="18"/>
        </w:rPr>
        <w:t xml:space="preserve"> ponga a disposición de la parte </w:t>
      </w:r>
      <w:r w:rsidRPr="00C93845">
        <w:rPr>
          <w:rFonts w:ascii="Palatino Linotype" w:eastAsia="Palatino Linotype" w:hAnsi="Palatino Linotype" w:cs="Palatino Linotype"/>
          <w:b/>
          <w:i/>
          <w:sz w:val="18"/>
          <w:szCs w:val="18"/>
        </w:rPr>
        <w:t>Recurrente</w:t>
      </w:r>
      <w:r w:rsidRPr="00C93845">
        <w:rPr>
          <w:rFonts w:ascii="Palatino Linotype" w:eastAsia="Palatino Linotype" w:hAnsi="Palatino Linotype" w:cs="Palatino Linotype"/>
          <w:i/>
          <w:sz w:val="18"/>
          <w:szCs w:val="18"/>
        </w:rPr>
        <w:t>, en términos de los artículos 49, fracción VIII,  de la Ley de Transparencia y Acceso a la Información Pública del Estado de México y Municipios.</w:t>
      </w:r>
    </w:p>
    <w:p w14:paraId="22BFCBE4"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b/>
        </w:rPr>
        <w:lastRenderedPageBreak/>
        <w:t xml:space="preserve">Tercero. Notifíquese, </w:t>
      </w:r>
      <w:r w:rsidRPr="00C93845">
        <w:rPr>
          <w:rFonts w:ascii="Palatino Linotype" w:eastAsia="Palatino Linotype" w:hAnsi="Palatino Linotype" w:cs="Palatino Linotype"/>
        </w:rPr>
        <w:t xml:space="preserve">vía </w:t>
      </w:r>
      <w:r w:rsidRPr="00C93845">
        <w:rPr>
          <w:rFonts w:ascii="Palatino Linotype" w:eastAsia="Palatino Linotype" w:hAnsi="Palatino Linotype" w:cs="Palatino Linotype"/>
          <w:b/>
        </w:rPr>
        <w:t>SAIMEX</w:t>
      </w:r>
      <w:r w:rsidRPr="00C93845">
        <w:rPr>
          <w:rFonts w:ascii="Palatino Linotype" w:eastAsia="Palatino Linotype" w:hAnsi="Palatino Linotype" w:cs="Palatino Linotype"/>
        </w:rPr>
        <w:t xml:space="preserve">, al Titular de la Unidad de Transparencia del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2FDA03A" w14:textId="77777777" w:rsidR="00B143DF" w:rsidRPr="00C93845" w:rsidRDefault="00BA62D1">
      <w:pPr>
        <w:spacing w:before="240" w:after="240" w:line="360" w:lineRule="auto"/>
        <w:jc w:val="both"/>
        <w:rPr>
          <w:rFonts w:ascii="Palatino Linotype" w:eastAsia="Palatino Linotype" w:hAnsi="Palatino Linotype" w:cs="Palatino Linotype"/>
        </w:rPr>
      </w:pPr>
      <w:r w:rsidRPr="00C9384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93845">
        <w:rPr>
          <w:rFonts w:ascii="Palatino Linotype" w:eastAsia="Palatino Linotype" w:hAnsi="Palatino Linotype" w:cs="Palatino Linotype"/>
          <w:b/>
        </w:rPr>
        <w:t>Sujeto Obligado</w:t>
      </w:r>
      <w:r w:rsidRPr="00C93845">
        <w:rPr>
          <w:rFonts w:ascii="Palatino Linotype" w:eastAsia="Palatino Linotype" w:hAnsi="Palatino Linotype" w:cs="Palatino Linotype"/>
        </w:rPr>
        <w:t xml:space="preserve"> de manera fundada y motivada, podrá solicitar una ampliación de plazo para el cumplimiento de la presente resolución.</w:t>
      </w:r>
    </w:p>
    <w:p w14:paraId="46F8A5F7" w14:textId="77777777" w:rsidR="00B143DF" w:rsidRPr="00C93845" w:rsidRDefault="00BA62D1">
      <w:pPr>
        <w:spacing w:before="240" w:after="240" w:line="360" w:lineRule="auto"/>
        <w:jc w:val="both"/>
        <w:rPr>
          <w:rFonts w:ascii="Palatino Linotype" w:eastAsia="Palatino Linotype" w:hAnsi="Palatino Linotype" w:cs="Palatino Linotype"/>
        </w:rPr>
      </w:pPr>
      <w:bookmarkStart w:id="11" w:name="_heading=h.17dp8vu" w:colFirst="0" w:colLast="0"/>
      <w:bookmarkEnd w:id="11"/>
      <w:r w:rsidRPr="00C93845">
        <w:rPr>
          <w:rFonts w:ascii="Palatino Linotype" w:eastAsia="Palatino Linotype" w:hAnsi="Palatino Linotype" w:cs="Palatino Linotype"/>
          <w:b/>
        </w:rPr>
        <w:t xml:space="preserve">Cuarto.  Notifíquese, </w:t>
      </w:r>
      <w:r w:rsidRPr="00C93845">
        <w:rPr>
          <w:rFonts w:ascii="Palatino Linotype" w:eastAsia="Palatino Linotype" w:hAnsi="Palatino Linotype" w:cs="Palatino Linotype"/>
        </w:rPr>
        <w:t xml:space="preserve">vía </w:t>
      </w:r>
      <w:r w:rsidRPr="00C93845">
        <w:rPr>
          <w:rFonts w:ascii="Palatino Linotype" w:eastAsia="Palatino Linotype" w:hAnsi="Palatino Linotype" w:cs="Palatino Linotype"/>
          <w:b/>
        </w:rPr>
        <w:t>SAIMEX</w:t>
      </w:r>
      <w:r w:rsidRPr="00C93845">
        <w:rPr>
          <w:rFonts w:ascii="Palatino Linotype" w:eastAsia="Palatino Linotype" w:hAnsi="Palatino Linotype" w:cs="Palatino Linotype"/>
        </w:rPr>
        <w:t xml:space="preserve">, a la parte </w:t>
      </w:r>
      <w:r w:rsidRPr="00C93845">
        <w:rPr>
          <w:rFonts w:ascii="Palatino Linotype" w:eastAsia="Palatino Linotype" w:hAnsi="Palatino Linotype" w:cs="Palatino Linotype"/>
          <w:b/>
        </w:rPr>
        <w:t>Recurrente</w:t>
      </w:r>
      <w:r w:rsidRPr="00C9384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C03C6DA" w14:textId="77777777" w:rsidR="00B143DF" w:rsidRPr="00C93845" w:rsidRDefault="00BA62D1">
      <w:pPr>
        <w:spacing w:line="360" w:lineRule="auto"/>
        <w:jc w:val="both"/>
        <w:rPr>
          <w:rFonts w:ascii="Palatino Linotype" w:eastAsia="Palatino Linotype" w:hAnsi="Palatino Linotype" w:cs="Palatino Linotype"/>
        </w:rPr>
      </w:pPr>
      <w:bookmarkStart w:id="12" w:name="_heading=h.lnxbz9" w:colFirst="0" w:colLast="0"/>
      <w:bookmarkEnd w:id="12"/>
      <w:r w:rsidRPr="00C9384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C93845">
        <w:rPr>
          <w:rFonts w:ascii="Palatino Linotype" w:eastAsia="Palatino Linotype" w:hAnsi="Palatino Linotype" w:cs="Palatino Linotype"/>
        </w:rPr>
        <w:lastRenderedPageBreak/>
        <w:t>VILCHIS, MARÍA DEL ROSARIO MEJÍA AYALA, SHARON CRISTINA MORALES MARTÍNEZ, LUIS GUSTAVO PARRA NORIEGA; Y GUADALUPE RAMÍREZ PEÑA, EN LA TRIGÉSIMA OCTAVA SESIÓN ORDINARIA CELEBRADA EL SEIS DE NOVIEMBRE DOS MIL VEINTICUATRO, ANTE EL SECRETARIO TÉCNICO DEL PLENO ALEXIS TAPIA RAMÍREZ.</w:t>
      </w:r>
    </w:p>
    <w:p w14:paraId="47F07608" w14:textId="77777777" w:rsidR="00B143DF" w:rsidRPr="00C93845" w:rsidRDefault="00B143DF">
      <w:pPr>
        <w:spacing w:line="360" w:lineRule="auto"/>
        <w:jc w:val="both"/>
        <w:rPr>
          <w:rFonts w:ascii="Palatino Linotype" w:eastAsia="Palatino Linotype" w:hAnsi="Palatino Linotype" w:cs="Palatino Linotype"/>
        </w:rPr>
      </w:pPr>
      <w:bookmarkStart w:id="13" w:name="_heading=h.1fob9te" w:colFirst="0" w:colLast="0"/>
      <w:bookmarkEnd w:id="13"/>
    </w:p>
    <w:p w14:paraId="6EECECC4" w14:textId="77777777" w:rsidR="00B143DF" w:rsidRPr="00C93845" w:rsidRDefault="00B143DF">
      <w:pPr>
        <w:rPr>
          <w:rFonts w:ascii="Palatino Linotype" w:eastAsia="Palatino Linotype" w:hAnsi="Palatino Linotype" w:cs="Palatino Linotype"/>
        </w:rPr>
      </w:pPr>
    </w:p>
    <w:p w14:paraId="12440F92" w14:textId="77777777" w:rsidR="00B143DF" w:rsidRPr="00C93845" w:rsidRDefault="00B143DF">
      <w:pPr>
        <w:rPr>
          <w:rFonts w:ascii="Palatino Linotype" w:eastAsia="Palatino Linotype" w:hAnsi="Palatino Linotype" w:cs="Palatino Linotype"/>
        </w:rPr>
      </w:pPr>
    </w:p>
    <w:p w14:paraId="58160AF6" w14:textId="77777777" w:rsidR="00B143DF" w:rsidRPr="00C93845" w:rsidRDefault="00B143DF">
      <w:pPr>
        <w:rPr>
          <w:rFonts w:ascii="Palatino Linotype" w:eastAsia="Palatino Linotype" w:hAnsi="Palatino Linotype" w:cs="Palatino Linotype"/>
        </w:rPr>
      </w:pPr>
    </w:p>
    <w:p w14:paraId="60AF5EAD" w14:textId="77777777" w:rsidR="00B143DF" w:rsidRPr="00C93845" w:rsidRDefault="00B143DF">
      <w:pPr>
        <w:rPr>
          <w:rFonts w:ascii="Palatino Linotype" w:eastAsia="Palatino Linotype" w:hAnsi="Palatino Linotype" w:cs="Palatino Linotype"/>
        </w:rPr>
      </w:pPr>
    </w:p>
    <w:p w14:paraId="42CFEE7C" w14:textId="77777777" w:rsidR="00B143DF" w:rsidRPr="00C93845" w:rsidRDefault="00B143DF">
      <w:pPr>
        <w:rPr>
          <w:rFonts w:ascii="Palatino Linotype" w:eastAsia="Palatino Linotype" w:hAnsi="Palatino Linotype" w:cs="Palatino Linotype"/>
        </w:rPr>
      </w:pPr>
    </w:p>
    <w:p w14:paraId="3DFCEA82" w14:textId="77777777" w:rsidR="00B143DF" w:rsidRPr="00C93845" w:rsidRDefault="00B143DF">
      <w:pPr>
        <w:rPr>
          <w:rFonts w:ascii="Palatino Linotype" w:eastAsia="Palatino Linotype" w:hAnsi="Palatino Linotype" w:cs="Palatino Linotype"/>
        </w:rPr>
      </w:pPr>
    </w:p>
    <w:p w14:paraId="2ABD4070" w14:textId="77777777" w:rsidR="00B143DF" w:rsidRPr="00C93845" w:rsidRDefault="00B143DF">
      <w:pPr>
        <w:rPr>
          <w:rFonts w:ascii="Palatino Linotype" w:eastAsia="Palatino Linotype" w:hAnsi="Palatino Linotype" w:cs="Palatino Linotype"/>
        </w:rPr>
      </w:pPr>
    </w:p>
    <w:p w14:paraId="395DDFE8" w14:textId="77777777" w:rsidR="00B143DF" w:rsidRPr="00C93845" w:rsidRDefault="00B143DF">
      <w:pPr>
        <w:rPr>
          <w:rFonts w:ascii="Palatino Linotype" w:eastAsia="Palatino Linotype" w:hAnsi="Palatino Linotype" w:cs="Palatino Linotype"/>
        </w:rPr>
      </w:pPr>
    </w:p>
    <w:p w14:paraId="61638B3D" w14:textId="77777777" w:rsidR="00B143DF" w:rsidRPr="00C93845" w:rsidRDefault="00B143DF">
      <w:pPr>
        <w:rPr>
          <w:rFonts w:ascii="Palatino Linotype" w:eastAsia="Palatino Linotype" w:hAnsi="Palatino Linotype" w:cs="Palatino Linotype"/>
        </w:rPr>
      </w:pPr>
    </w:p>
    <w:p w14:paraId="42E199B2" w14:textId="77777777" w:rsidR="00B143DF" w:rsidRPr="00C93845" w:rsidRDefault="00B143DF">
      <w:pPr>
        <w:spacing w:line="360" w:lineRule="auto"/>
        <w:jc w:val="both"/>
        <w:rPr>
          <w:rFonts w:ascii="Palatino Linotype" w:eastAsia="Palatino Linotype" w:hAnsi="Palatino Linotype" w:cs="Palatino Linotype"/>
        </w:rPr>
      </w:pPr>
      <w:bookmarkStart w:id="14" w:name="_heading=h.3rdcrjn" w:colFirst="0" w:colLast="0"/>
      <w:bookmarkEnd w:id="14"/>
    </w:p>
    <w:p w14:paraId="63D22923" w14:textId="77777777" w:rsidR="00B143DF" w:rsidRPr="00C93845" w:rsidRDefault="00B143DF">
      <w:pPr>
        <w:spacing w:line="360" w:lineRule="auto"/>
        <w:jc w:val="both"/>
        <w:rPr>
          <w:rFonts w:ascii="Palatino Linotype" w:eastAsia="Palatino Linotype" w:hAnsi="Palatino Linotype" w:cs="Palatino Linotype"/>
        </w:rPr>
      </w:pPr>
    </w:p>
    <w:p w14:paraId="10811E00" w14:textId="77777777" w:rsidR="00B143DF" w:rsidRPr="00C93845" w:rsidRDefault="00B143DF">
      <w:pPr>
        <w:spacing w:line="360" w:lineRule="auto"/>
        <w:jc w:val="both"/>
        <w:rPr>
          <w:rFonts w:ascii="Palatino Linotype" w:eastAsia="Palatino Linotype" w:hAnsi="Palatino Linotype" w:cs="Palatino Linotype"/>
        </w:rPr>
      </w:pPr>
    </w:p>
    <w:p w14:paraId="4468AA42" w14:textId="77777777" w:rsidR="00B143DF" w:rsidRPr="00C93845" w:rsidRDefault="00B143DF">
      <w:pPr>
        <w:spacing w:line="360" w:lineRule="auto"/>
        <w:jc w:val="both"/>
        <w:rPr>
          <w:rFonts w:ascii="Palatino Linotype" w:eastAsia="Palatino Linotype" w:hAnsi="Palatino Linotype" w:cs="Palatino Linotype"/>
        </w:rPr>
      </w:pPr>
      <w:bookmarkStart w:id="15" w:name="_heading=h.1t3h5sf" w:colFirst="0" w:colLast="0"/>
      <w:bookmarkEnd w:id="15"/>
    </w:p>
    <w:p w14:paraId="7E589205" w14:textId="77777777" w:rsidR="00B143DF" w:rsidRPr="00C93845" w:rsidRDefault="00B143DF">
      <w:pPr>
        <w:spacing w:line="360" w:lineRule="auto"/>
        <w:jc w:val="both"/>
        <w:rPr>
          <w:rFonts w:ascii="Palatino Linotype" w:eastAsia="Palatino Linotype" w:hAnsi="Palatino Linotype" w:cs="Palatino Linotype"/>
        </w:rPr>
      </w:pPr>
    </w:p>
    <w:p w14:paraId="26E6C72C" w14:textId="77777777" w:rsidR="00B143DF" w:rsidRPr="00C93845" w:rsidRDefault="00B143DF">
      <w:pPr>
        <w:spacing w:line="360" w:lineRule="auto"/>
        <w:jc w:val="both"/>
        <w:rPr>
          <w:rFonts w:ascii="Palatino Linotype" w:eastAsia="Palatino Linotype" w:hAnsi="Palatino Linotype" w:cs="Palatino Linotype"/>
        </w:rPr>
      </w:pPr>
    </w:p>
    <w:p w14:paraId="7E73B879" w14:textId="77777777" w:rsidR="00B143DF" w:rsidRPr="00C93845" w:rsidRDefault="00B143DF">
      <w:pPr>
        <w:spacing w:line="360" w:lineRule="auto"/>
        <w:jc w:val="both"/>
        <w:rPr>
          <w:rFonts w:ascii="Palatino Linotype" w:eastAsia="Palatino Linotype" w:hAnsi="Palatino Linotype" w:cs="Palatino Linotype"/>
        </w:rPr>
      </w:pPr>
    </w:p>
    <w:p w14:paraId="387903D3" w14:textId="77777777" w:rsidR="00B143DF" w:rsidRPr="00C93845" w:rsidRDefault="00B143DF">
      <w:pPr>
        <w:spacing w:line="360" w:lineRule="auto"/>
        <w:jc w:val="both"/>
        <w:rPr>
          <w:rFonts w:ascii="Palatino Linotype" w:eastAsia="Palatino Linotype" w:hAnsi="Palatino Linotype" w:cs="Palatino Linotype"/>
        </w:rPr>
      </w:pPr>
    </w:p>
    <w:p w14:paraId="159497E3" w14:textId="77777777" w:rsidR="00B143DF" w:rsidRPr="00C93845" w:rsidRDefault="00B143DF">
      <w:pPr>
        <w:spacing w:line="360" w:lineRule="auto"/>
        <w:jc w:val="both"/>
        <w:rPr>
          <w:rFonts w:ascii="Palatino Linotype" w:eastAsia="Palatino Linotype" w:hAnsi="Palatino Linotype" w:cs="Palatino Linotype"/>
        </w:rPr>
      </w:pPr>
    </w:p>
    <w:p w14:paraId="009397F7" w14:textId="77777777" w:rsidR="00B143DF" w:rsidRPr="00C93845" w:rsidRDefault="00B143DF">
      <w:pPr>
        <w:spacing w:line="360" w:lineRule="auto"/>
        <w:jc w:val="both"/>
        <w:rPr>
          <w:rFonts w:ascii="Palatino Linotype" w:eastAsia="Palatino Linotype" w:hAnsi="Palatino Linotype" w:cs="Palatino Linotype"/>
        </w:rPr>
      </w:pPr>
    </w:p>
    <w:p w14:paraId="3939908F" w14:textId="77777777" w:rsidR="00B143DF" w:rsidRPr="00C93845" w:rsidRDefault="00B143DF">
      <w:pPr>
        <w:spacing w:line="360" w:lineRule="auto"/>
        <w:jc w:val="both"/>
        <w:rPr>
          <w:rFonts w:ascii="Palatino Linotype" w:eastAsia="Palatino Linotype" w:hAnsi="Palatino Linotype" w:cs="Palatino Linotype"/>
        </w:rPr>
      </w:pPr>
    </w:p>
    <w:p w14:paraId="706B8FC5" w14:textId="77777777" w:rsidR="00B143DF" w:rsidRPr="00C93845" w:rsidRDefault="00B143DF">
      <w:pPr>
        <w:spacing w:line="360" w:lineRule="auto"/>
        <w:jc w:val="both"/>
        <w:rPr>
          <w:rFonts w:ascii="Palatino Linotype" w:eastAsia="Palatino Linotype" w:hAnsi="Palatino Linotype" w:cs="Palatino Linotype"/>
        </w:rPr>
      </w:pPr>
    </w:p>
    <w:p w14:paraId="69776B5B" w14:textId="77777777" w:rsidR="00B143DF" w:rsidRPr="00C93845" w:rsidRDefault="00B143DF">
      <w:pPr>
        <w:spacing w:line="360" w:lineRule="auto"/>
        <w:jc w:val="both"/>
        <w:rPr>
          <w:rFonts w:ascii="Palatino Linotype" w:eastAsia="Palatino Linotype" w:hAnsi="Palatino Linotype" w:cs="Palatino Linotype"/>
        </w:rPr>
      </w:pPr>
    </w:p>
    <w:p w14:paraId="255E6664" w14:textId="77777777" w:rsidR="00B143DF" w:rsidRPr="00C93845" w:rsidRDefault="00B143DF">
      <w:pPr>
        <w:spacing w:line="360" w:lineRule="auto"/>
        <w:jc w:val="both"/>
        <w:rPr>
          <w:rFonts w:ascii="Palatino Linotype" w:eastAsia="Palatino Linotype" w:hAnsi="Palatino Linotype" w:cs="Palatino Linotype"/>
        </w:rPr>
      </w:pPr>
    </w:p>
    <w:p w14:paraId="318AC61F" w14:textId="77777777" w:rsidR="00B143DF" w:rsidRPr="00C93845" w:rsidRDefault="00B143DF">
      <w:pPr>
        <w:spacing w:line="360" w:lineRule="auto"/>
        <w:jc w:val="both"/>
        <w:rPr>
          <w:rFonts w:ascii="Palatino Linotype" w:eastAsia="Palatino Linotype" w:hAnsi="Palatino Linotype" w:cs="Palatino Linotype"/>
        </w:rPr>
      </w:pPr>
    </w:p>
    <w:p w14:paraId="33DF6B27" w14:textId="77777777" w:rsidR="00B143DF" w:rsidRPr="00C93845" w:rsidRDefault="00B143DF">
      <w:pPr>
        <w:spacing w:line="360" w:lineRule="auto"/>
        <w:jc w:val="both"/>
        <w:rPr>
          <w:rFonts w:ascii="Palatino Linotype" w:eastAsia="Palatino Linotype" w:hAnsi="Palatino Linotype" w:cs="Palatino Linotype"/>
        </w:rPr>
      </w:pPr>
    </w:p>
    <w:p w14:paraId="1D1E937B" w14:textId="77777777" w:rsidR="00B143DF" w:rsidRPr="00C93845" w:rsidRDefault="00B143DF">
      <w:pPr>
        <w:spacing w:line="360" w:lineRule="auto"/>
        <w:jc w:val="both"/>
        <w:rPr>
          <w:rFonts w:ascii="Palatino Linotype" w:eastAsia="Palatino Linotype" w:hAnsi="Palatino Linotype" w:cs="Palatino Linotype"/>
        </w:rPr>
      </w:pPr>
    </w:p>
    <w:sectPr w:rsidR="00B143DF" w:rsidRPr="00C93845">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425E2" w14:textId="77777777" w:rsidR="00FE5FF4" w:rsidRDefault="00FE5FF4">
      <w:r>
        <w:separator/>
      </w:r>
    </w:p>
  </w:endnote>
  <w:endnote w:type="continuationSeparator" w:id="0">
    <w:p w14:paraId="4F76EC5C" w14:textId="77777777" w:rsidR="00FE5FF4" w:rsidRDefault="00FE5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D25F" w14:textId="77777777" w:rsidR="00B143DF" w:rsidRDefault="00BA62D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B01C3">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B01C3">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14:paraId="09BF50C5" w14:textId="77777777" w:rsidR="00B143DF" w:rsidRDefault="00B143D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0F7E" w14:textId="77777777" w:rsidR="00B143DF" w:rsidRDefault="00BA62D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B01C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B01C3">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14:paraId="1C5C4312" w14:textId="77777777" w:rsidR="00B143DF" w:rsidRDefault="00B143D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FBFB1" w14:textId="77777777" w:rsidR="00FE5FF4" w:rsidRDefault="00FE5FF4">
      <w:r>
        <w:separator/>
      </w:r>
    </w:p>
  </w:footnote>
  <w:footnote w:type="continuationSeparator" w:id="0">
    <w:p w14:paraId="43523B54" w14:textId="77777777" w:rsidR="00FE5FF4" w:rsidRDefault="00FE5FF4">
      <w:r>
        <w:continuationSeparator/>
      </w:r>
    </w:p>
  </w:footnote>
  <w:footnote w:id="1">
    <w:p w14:paraId="1F19DB4B" w14:textId="77777777" w:rsidR="00B143DF" w:rsidRDefault="00BA62D1">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XX.308 K, </w:t>
      </w:r>
      <w:r>
        <w:rPr>
          <w:rFonts w:ascii="Palatino Linotype" w:eastAsia="Palatino Linotype" w:hAnsi="Palatino Linotype" w:cs="Palatino Linotype"/>
          <w:i/>
          <w:color w:val="000000"/>
          <w:sz w:val="16"/>
          <w:szCs w:val="16"/>
        </w:rPr>
        <w:t>Semanario Judicial de la Federación</w:t>
      </w:r>
      <w:r>
        <w:rPr>
          <w:rFonts w:ascii="Palatino Linotype" w:eastAsia="Palatino Linotype" w:hAnsi="Palatino Linotype" w:cs="Palatino Linotype"/>
          <w:color w:val="000000"/>
          <w:sz w:val="16"/>
          <w:szCs w:val="16"/>
        </w:rPr>
        <w:t>, Octava Época, tomo XV-1, febrero de 1995, pág. 138.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8BB6B" w14:textId="77777777" w:rsidR="00B143DF" w:rsidRDefault="00BA62D1">
    <w:pPr>
      <w:rPr>
        <w:rFonts w:ascii="Cambria" w:eastAsia="Cambria" w:hAnsi="Cambria" w:cs="Cambria"/>
        <w:color w:val="000000"/>
      </w:rPr>
    </w:pPr>
    <w:r>
      <w:rPr>
        <w:noProof/>
      </w:rPr>
      <w:drawing>
        <wp:anchor distT="0" distB="0" distL="0" distR="0" simplePos="0" relativeHeight="251658240" behindDoc="1" locked="0" layoutInCell="1" hidden="0" allowOverlap="1" wp14:anchorId="342D5406" wp14:editId="49FD339C">
          <wp:simplePos x="0" y="0"/>
          <wp:positionH relativeFrom="column">
            <wp:posOffset>-1080104</wp:posOffset>
          </wp:positionH>
          <wp:positionV relativeFrom="paragraph">
            <wp:posOffset>-488279</wp:posOffset>
          </wp:positionV>
          <wp:extent cx="7809865" cy="10165715"/>
          <wp:effectExtent l="0" t="0" r="0" b="0"/>
          <wp:wrapNone/>
          <wp:docPr id="19520825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B143DF" w14:paraId="12C9CCA3" w14:textId="77777777">
      <w:tc>
        <w:tcPr>
          <w:tcW w:w="2489" w:type="dxa"/>
          <w:shd w:val="clear" w:color="auto" w:fill="auto"/>
        </w:tcPr>
        <w:p w14:paraId="1D3AE4D2" w14:textId="77777777" w:rsidR="00B143DF" w:rsidRDefault="00BA6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76903F5" w14:textId="77777777" w:rsidR="00B143DF" w:rsidRDefault="00BA62D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05274/INFOEM/IP/RR/2024</w:t>
          </w:r>
        </w:p>
      </w:tc>
    </w:tr>
    <w:tr w:rsidR="00B143DF" w14:paraId="6630EA28" w14:textId="77777777">
      <w:trPr>
        <w:trHeight w:val="228"/>
      </w:trPr>
      <w:tc>
        <w:tcPr>
          <w:tcW w:w="2489" w:type="dxa"/>
          <w:shd w:val="clear" w:color="auto" w:fill="auto"/>
          <w:vAlign w:val="center"/>
        </w:tcPr>
        <w:p w14:paraId="62BC3BCA" w14:textId="77777777" w:rsidR="00B143DF" w:rsidRDefault="00BA6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A4EA586" w14:textId="77777777" w:rsidR="00B143DF" w:rsidRDefault="00BA62D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Temoaya</w:t>
          </w:r>
        </w:p>
      </w:tc>
    </w:tr>
    <w:tr w:rsidR="00B143DF" w14:paraId="4EB4FE11" w14:textId="77777777">
      <w:tc>
        <w:tcPr>
          <w:tcW w:w="2489" w:type="dxa"/>
          <w:shd w:val="clear" w:color="auto" w:fill="auto"/>
          <w:vAlign w:val="center"/>
        </w:tcPr>
        <w:p w14:paraId="7D93F09F" w14:textId="77777777" w:rsidR="00B143DF" w:rsidRDefault="00BA62D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F82F9C6" w14:textId="77777777" w:rsidR="00B143DF" w:rsidRDefault="00BA62D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083A38D" w14:textId="77777777" w:rsidR="00B143DF" w:rsidRDefault="00BA62D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9C47" w14:textId="77777777" w:rsidR="00B143DF" w:rsidRDefault="00BA62D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11B1C1D0" wp14:editId="6B650FBE">
          <wp:simplePos x="0" y="0"/>
          <wp:positionH relativeFrom="column">
            <wp:posOffset>-1080130</wp:posOffset>
          </wp:positionH>
          <wp:positionV relativeFrom="paragraph">
            <wp:posOffset>-369906</wp:posOffset>
          </wp:positionV>
          <wp:extent cx="7809865" cy="10165715"/>
          <wp:effectExtent l="0" t="0" r="0" b="0"/>
          <wp:wrapNone/>
          <wp:docPr id="19520825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B143DF" w14:paraId="725FE3DC" w14:textId="77777777">
      <w:tc>
        <w:tcPr>
          <w:tcW w:w="2489" w:type="dxa"/>
          <w:shd w:val="clear" w:color="auto" w:fill="auto"/>
        </w:tcPr>
        <w:p w14:paraId="7E5D432E" w14:textId="77777777" w:rsidR="00B143DF" w:rsidRDefault="00BA6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AE7316C" w14:textId="77777777" w:rsidR="00B143DF" w:rsidRDefault="00BA62D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05274/INFOEM/IP/RR/2024</w:t>
          </w:r>
        </w:p>
      </w:tc>
    </w:tr>
    <w:tr w:rsidR="00B143DF" w14:paraId="25D3A706" w14:textId="77777777">
      <w:tc>
        <w:tcPr>
          <w:tcW w:w="2489" w:type="dxa"/>
          <w:shd w:val="clear" w:color="auto" w:fill="auto"/>
        </w:tcPr>
        <w:p w14:paraId="63B550C7" w14:textId="77777777" w:rsidR="00B143DF" w:rsidRDefault="00BA6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3DE8C4D3" w14:textId="14B3CB64" w:rsidR="00B143DF" w:rsidRDefault="00D0470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XXXX XXX </w:t>
          </w:r>
        </w:p>
      </w:tc>
    </w:tr>
    <w:tr w:rsidR="00B143DF" w14:paraId="15292B43" w14:textId="77777777">
      <w:trPr>
        <w:trHeight w:val="228"/>
      </w:trPr>
      <w:tc>
        <w:tcPr>
          <w:tcW w:w="2489" w:type="dxa"/>
          <w:shd w:val="clear" w:color="auto" w:fill="auto"/>
          <w:vAlign w:val="center"/>
        </w:tcPr>
        <w:p w14:paraId="43BB58E3" w14:textId="77777777" w:rsidR="00B143DF" w:rsidRDefault="00BA6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54DCFCA" w14:textId="77777777" w:rsidR="00B143DF" w:rsidRDefault="00BA62D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Temoaya</w:t>
          </w:r>
        </w:p>
      </w:tc>
    </w:tr>
    <w:tr w:rsidR="00B143DF" w14:paraId="46307546" w14:textId="77777777">
      <w:tc>
        <w:tcPr>
          <w:tcW w:w="2489" w:type="dxa"/>
          <w:shd w:val="clear" w:color="auto" w:fill="auto"/>
          <w:vAlign w:val="center"/>
        </w:tcPr>
        <w:p w14:paraId="676D69A0" w14:textId="77777777" w:rsidR="00B143DF" w:rsidRDefault="00BA62D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B7A197B" w14:textId="77777777" w:rsidR="00B143DF" w:rsidRDefault="00BA62D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0FE65B" w14:textId="77777777" w:rsidR="00B143DF" w:rsidRDefault="00B143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A655F"/>
    <w:multiLevelType w:val="multilevel"/>
    <w:tmpl w:val="5DBC5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E1354D"/>
    <w:multiLevelType w:val="multilevel"/>
    <w:tmpl w:val="0270FEBC"/>
    <w:lvl w:ilvl="0">
      <w:start w:val="1"/>
      <w:numFmt w:val="bullet"/>
      <w:pStyle w:val="Listaconvietas3"/>
      <w:lvlText w:val="-"/>
      <w:lvlJc w:val="left"/>
      <w:pPr>
        <w:ind w:left="644" w:hanging="359"/>
      </w:pPr>
      <w:rPr>
        <w:rFonts w:ascii="Palatino Linotype" w:eastAsia="Palatino Linotype" w:hAnsi="Palatino Linotype" w:cs="Palatino Linotype"/>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3DF"/>
    <w:rsid w:val="003B01C3"/>
    <w:rsid w:val="00742B9B"/>
    <w:rsid w:val="00B143DF"/>
    <w:rsid w:val="00BA62D1"/>
    <w:rsid w:val="00BC26A8"/>
    <w:rsid w:val="00C93845"/>
    <w:rsid w:val="00D04708"/>
    <w:rsid w:val="00FE5F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0EAE2"/>
  <w15:docId w15:val="{34E550D9-32D7-44CA-A2CB-C487B781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7fM9rs0roWH7SxVvHtJk112yUQ==">CgMxLjAyCWguNGQzNG9nODIIaC5namRneHMyCWguM2R5NnZrbTIJaC4zMGowemxsMgloLjJzOGV5bzEyCWguMWtzdjR1djIIaC50eWpjd3QyCWguM3pueXNoNzIJaC4yZXQ5MnAwMgloLjM1bmt1bjIyCWguMjZpbjFyZzIJaC4xN2RwOHZ1MghoLmxueGJ6OTIJaC4xZm9iOXRlMgloLjNyZGNyam4yCWguMXQzaDVzZjgAciExMWpfcGdEb0VvSTZkQm54U2dIaWR1SGNMWUdRajc2d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63</Pages>
  <Words>14862</Words>
  <Characters>81742</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2024-11-08T16:51:00Z</cp:lastPrinted>
  <dcterms:created xsi:type="dcterms:W3CDTF">2024-11-29T20:29:00Z</dcterms:created>
  <dcterms:modified xsi:type="dcterms:W3CDTF">2024-11-29T20:29:00Z</dcterms:modified>
</cp:coreProperties>
</file>