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19D32BBC" w:rsidR="00662C69" w:rsidRPr="00EC18F1" w:rsidRDefault="009B11D6" w:rsidP="00B31E90">
      <w:pPr>
        <w:tabs>
          <w:tab w:val="left" w:pos="3465"/>
        </w:tabs>
        <w:spacing w:line="360" w:lineRule="auto"/>
        <w:jc w:val="both"/>
        <w:rPr>
          <w:rFonts w:ascii="Palatino Linotype" w:hAnsi="Palatino Linotype"/>
          <w:color w:val="000000" w:themeColor="text1"/>
        </w:rPr>
      </w:pPr>
      <w:r w:rsidRPr="00EC18F1">
        <w:rPr>
          <w:rFonts w:ascii="Palatino Linotype" w:hAnsi="Palatino Linotype"/>
          <w:color w:val="000000" w:themeColor="text1"/>
        </w:rPr>
        <w:t>R</w:t>
      </w:r>
      <w:r w:rsidR="00662C69" w:rsidRPr="00EC18F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C18F1">
        <w:rPr>
          <w:rFonts w:ascii="Palatino Linotype" w:hAnsi="Palatino Linotype"/>
          <w:color w:val="000000" w:themeColor="text1"/>
        </w:rPr>
        <w:t>icipios, con</w:t>
      </w:r>
      <w:r w:rsidR="00662C69" w:rsidRPr="00EC18F1">
        <w:rPr>
          <w:rFonts w:ascii="Palatino Linotype" w:hAnsi="Palatino Linotype"/>
          <w:color w:val="000000" w:themeColor="text1"/>
        </w:rPr>
        <w:t xml:space="preserve"> </w:t>
      </w:r>
      <w:r w:rsidR="00485DB6" w:rsidRPr="00EC18F1">
        <w:rPr>
          <w:rFonts w:ascii="Palatino Linotype" w:hAnsi="Palatino Linotype"/>
          <w:color w:val="000000" w:themeColor="text1"/>
        </w:rPr>
        <w:t xml:space="preserve">domicilio </w:t>
      </w:r>
      <w:r w:rsidR="00662C69" w:rsidRPr="00EC18F1">
        <w:rPr>
          <w:rFonts w:ascii="Palatino Linotype" w:hAnsi="Palatino Linotype"/>
          <w:color w:val="000000" w:themeColor="text1"/>
        </w:rPr>
        <w:t xml:space="preserve">en Metepec, Estado de México; de </w:t>
      </w:r>
      <w:r w:rsidR="001A0F59" w:rsidRPr="00EC18F1">
        <w:rPr>
          <w:rFonts w:ascii="Palatino Linotype" w:hAnsi="Palatino Linotype"/>
          <w:color w:val="000000" w:themeColor="text1"/>
        </w:rPr>
        <w:t xml:space="preserve">fecha </w:t>
      </w:r>
      <w:r w:rsidR="006073A5" w:rsidRPr="00EC18F1">
        <w:rPr>
          <w:rFonts w:ascii="Palatino Linotype" w:hAnsi="Palatino Linotype"/>
          <w:color w:val="000000" w:themeColor="text1"/>
        </w:rPr>
        <w:t>veintiocho (28) de febrero de dos mil veinticuatro</w:t>
      </w:r>
      <w:r w:rsidR="00662C69" w:rsidRPr="00EC18F1">
        <w:rPr>
          <w:rFonts w:ascii="Palatino Linotype" w:hAnsi="Palatino Linotype"/>
          <w:color w:val="000000" w:themeColor="text1"/>
        </w:rPr>
        <w:t>.</w:t>
      </w:r>
    </w:p>
    <w:p w14:paraId="1181C59D" w14:textId="77777777" w:rsidR="00B31E90" w:rsidRPr="00EC18F1" w:rsidRDefault="00B31E90" w:rsidP="00B31E90">
      <w:pPr>
        <w:tabs>
          <w:tab w:val="left" w:pos="3465"/>
        </w:tabs>
        <w:spacing w:line="360" w:lineRule="auto"/>
        <w:jc w:val="both"/>
        <w:rPr>
          <w:rFonts w:ascii="Palatino Linotype" w:hAnsi="Palatino Linotype"/>
          <w:color w:val="000000" w:themeColor="text1"/>
        </w:rPr>
      </w:pPr>
    </w:p>
    <w:p w14:paraId="04F87235" w14:textId="2C642E6C" w:rsidR="005F0007" w:rsidRPr="00EC18F1" w:rsidRDefault="00662C69" w:rsidP="00B31E90">
      <w:pPr>
        <w:spacing w:line="360" w:lineRule="auto"/>
        <w:jc w:val="both"/>
        <w:rPr>
          <w:rFonts w:ascii="Palatino Linotype" w:eastAsia="Times New Roman" w:hAnsi="Palatino Linotype" w:cs="Times New Roman"/>
          <w:color w:val="000000" w:themeColor="text1"/>
        </w:rPr>
      </w:pPr>
      <w:r w:rsidRPr="00EC18F1">
        <w:rPr>
          <w:rFonts w:ascii="Palatino Linotype" w:hAnsi="Palatino Linotype"/>
          <w:b/>
          <w:color w:val="000000" w:themeColor="text1"/>
        </w:rPr>
        <w:t>VISTO</w:t>
      </w:r>
      <w:r w:rsidRPr="00EC18F1">
        <w:rPr>
          <w:rFonts w:ascii="Palatino Linotype" w:hAnsi="Palatino Linotype"/>
          <w:color w:val="000000" w:themeColor="text1"/>
        </w:rPr>
        <w:t xml:space="preserve"> </w:t>
      </w:r>
      <w:r w:rsidR="00F25B61" w:rsidRPr="00EC18F1">
        <w:rPr>
          <w:rFonts w:ascii="Palatino Linotype" w:hAnsi="Palatino Linotype"/>
          <w:color w:val="000000" w:themeColor="text1"/>
        </w:rPr>
        <w:t>el</w:t>
      </w:r>
      <w:r w:rsidRPr="00EC18F1">
        <w:rPr>
          <w:rFonts w:ascii="Palatino Linotype" w:hAnsi="Palatino Linotype"/>
          <w:color w:val="000000" w:themeColor="text1"/>
        </w:rPr>
        <w:t xml:space="preserve"> expediente electrónico for</w:t>
      </w:r>
      <w:r w:rsidR="00D37494" w:rsidRPr="00EC18F1">
        <w:rPr>
          <w:rFonts w:ascii="Palatino Linotype" w:hAnsi="Palatino Linotype"/>
          <w:color w:val="000000" w:themeColor="text1"/>
        </w:rPr>
        <w:t>mado con motivo del</w:t>
      </w:r>
      <w:r w:rsidRPr="00EC18F1">
        <w:rPr>
          <w:rFonts w:ascii="Palatino Linotype" w:hAnsi="Palatino Linotype"/>
          <w:color w:val="000000" w:themeColor="text1"/>
        </w:rPr>
        <w:t xml:space="preserve"> recurso de revisión </w:t>
      </w:r>
      <w:r w:rsidR="006073A5" w:rsidRPr="00EC18F1">
        <w:rPr>
          <w:rFonts w:ascii="Palatino Linotype" w:hAnsi="Palatino Linotype"/>
          <w:b/>
          <w:bCs/>
          <w:color w:val="000000" w:themeColor="text1"/>
        </w:rPr>
        <w:t>17243/INFOEM/IP/RR/2022</w:t>
      </w:r>
      <w:r w:rsidR="005F1362" w:rsidRPr="00EC18F1">
        <w:rPr>
          <w:rFonts w:ascii="Palatino Linotype" w:eastAsia="Times New Roman" w:hAnsi="Palatino Linotype" w:cs="Arial"/>
          <w:bCs/>
          <w:color w:val="000000" w:themeColor="text1"/>
        </w:rPr>
        <w:t xml:space="preserve">, </w:t>
      </w:r>
      <w:r w:rsidR="006B31E7" w:rsidRPr="00EC18F1">
        <w:rPr>
          <w:rFonts w:ascii="Palatino Linotype" w:eastAsia="Times New Roman" w:hAnsi="Palatino Linotype" w:cs="Times New Roman"/>
          <w:color w:val="000000" w:themeColor="text1"/>
        </w:rPr>
        <w:t>interpuesto</w:t>
      </w:r>
      <w:r w:rsidR="006F5F55" w:rsidRPr="00EC18F1">
        <w:rPr>
          <w:rFonts w:ascii="Palatino Linotype" w:eastAsia="Times New Roman" w:hAnsi="Palatino Linotype" w:cs="Times New Roman"/>
          <w:color w:val="000000" w:themeColor="text1"/>
        </w:rPr>
        <w:t xml:space="preserve"> por </w:t>
      </w:r>
      <w:r w:rsidR="00A32CFC" w:rsidRPr="00EC18F1">
        <w:rPr>
          <w:rFonts w:ascii="Palatino Linotype" w:eastAsia="Times New Roman" w:hAnsi="Palatino Linotype" w:cs="Times New Roman"/>
          <w:b/>
          <w:bCs/>
          <w:color w:val="000000" w:themeColor="text1"/>
        </w:rPr>
        <w:t xml:space="preserve">XXX </w:t>
      </w:r>
      <w:proofErr w:type="spellStart"/>
      <w:r w:rsidR="00A32CFC" w:rsidRPr="00EC18F1">
        <w:rPr>
          <w:rFonts w:ascii="Palatino Linotype" w:eastAsia="Times New Roman" w:hAnsi="Palatino Linotype" w:cs="Times New Roman"/>
          <w:b/>
          <w:bCs/>
          <w:color w:val="000000" w:themeColor="text1"/>
        </w:rPr>
        <w:t>XXX</w:t>
      </w:r>
      <w:proofErr w:type="spellEnd"/>
      <w:r w:rsidR="00A32CFC" w:rsidRPr="00EC18F1">
        <w:rPr>
          <w:rFonts w:ascii="Palatino Linotype" w:eastAsia="Times New Roman" w:hAnsi="Palatino Linotype" w:cs="Times New Roman"/>
          <w:b/>
          <w:bCs/>
          <w:color w:val="000000" w:themeColor="text1"/>
        </w:rPr>
        <w:t xml:space="preserve"> </w:t>
      </w:r>
      <w:proofErr w:type="spellStart"/>
      <w:r w:rsidR="00A32CFC" w:rsidRPr="00EC18F1">
        <w:rPr>
          <w:rFonts w:ascii="Palatino Linotype" w:eastAsia="Times New Roman" w:hAnsi="Palatino Linotype" w:cs="Times New Roman"/>
          <w:b/>
          <w:bCs/>
          <w:color w:val="000000" w:themeColor="text1"/>
        </w:rPr>
        <w:t>XXX</w:t>
      </w:r>
      <w:proofErr w:type="spellEnd"/>
      <w:r w:rsidR="001A0F59" w:rsidRPr="00EC18F1">
        <w:rPr>
          <w:rFonts w:ascii="Palatino Linotype" w:eastAsia="Times New Roman" w:hAnsi="Palatino Linotype" w:cs="Times New Roman"/>
          <w:color w:val="000000" w:themeColor="text1"/>
        </w:rPr>
        <w:t>, en lo sucesivo</w:t>
      </w:r>
      <w:r w:rsidR="001B6088" w:rsidRPr="00EC18F1">
        <w:rPr>
          <w:rFonts w:ascii="Palatino Linotype" w:eastAsia="Times New Roman" w:hAnsi="Palatino Linotype" w:cs="Times New Roman"/>
          <w:color w:val="000000" w:themeColor="text1"/>
        </w:rPr>
        <w:t xml:space="preserve"> </w:t>
      </w:r>
      <w:r w:rsidR="006073A5" w:rsidRPr="00EC18F1">
        <w:rPr>
          <w:rFonts w:ascii="Palatino Linotype" w:eastAsia="Times New Roman" w:hAnsi="Palatino Linotype" w:cs="Times New Roman"/>
          <w:color w:val="000000" w:themeColor="text1"/>
        </w:rPr>
        <w:t>el</w:t>
      </w:r>
      <w:r w:rsidR="006B31E7" w:rsidRPr="00EC18F1">
        <w:rPr>
          <w:rFonts w:ascii="Palatino Linotype" w:eastAsia="Times New Roman" w:hAnsi="Palatino Linotype" w:cs="Times New Roman"/>
          <w:color w:val="000000" w:themeColor="text1"/>
        </w:rPr>
        <w:t xml:space="preserve"> </w:t>
      </w:r>
      <w:r w:rsidR="006B31E7" w:rsidRPr="00EC18F1">
        <w:rPr>
          <w:rFonts w:ascii="Palatino Linotype" w:eastAsia="Times New Roman" w:hAnsi="Palatino Linotype" w:cs="Times New Roman"/>
          <w:b/>
          <w:bCs/>
          <w:color w:val="000000" w:themeColor="text1"/>
        </w:rPr>
        <w:t>RECURRENTE</w:t>
      </w:r>
      <w:r w:rsidR="001A0F59" w:rsidRPr="00EC18F1">
        <w:rPr>
          <w:rFonts w:ascii="Palatino Linotype" w:eastAsia="Times New Roman" w:hAnsi="Palatino Linotype" w:cs="Arial"/>
          <w:color w:val="000000" w:themeColor="text1"/>
        </w:rPr>
        <w:t>,</w:t>
      </w:r>
      <w:r w:rsidR="005F1362" w:rsidRPr="00EC18F1">
        <w:rPr>
          <w:rFonts w:ascii="Palatino Linotype" w:eastAsia="Times New Roman" w:hAnsi="Palatino Linotype" w:cs="Arial"/>
          <w:color w:val="000000" w:themeColor="text1"/>
        </w:rPr>
        <w:t xml:space="preserve"> en contra de la respuesta del</w:t>
      </w:r>
      <w:r w:rsidR="002C1007" w:rsidRPr="00EC18F1">
        <w:rPr>
          <w:rFonts w:ascii="Palatino Linotype" w:eastAsia="Times New Roman" w:hAnsi="Palatino Linotype" w:cs="Arial"/>
          <w:color w:val="000000" w:themeColor="text1"/>
        </w:rPr>
        <w:t xml:space="preserve"> </w:t>
      </w:r>
      <w:r w:rsidR="006073A5" w:rsidRPr="00EC18F1">
        <w:rPr>
          <w:rFonts w:ascii="Palatino Linotype" w:eastAsia="Times New Roman" w:hAnsi="Palatino Linotype" w:cs="Arial"/>
          <w:b/>
          <w:color w:val="000000" w:themeColor="text1"/>
        </w:rPr>
        <w:t>Ayuntamiento de Timilpan</w:t>
      </w:r>
      <w:r w:rsidR="009572EE" w:rsidRPr="00EC18F1">
        <w:rPr>
          <w:rFonts w:ascii="Palatino Linotype" w:eastAsia="Calibri" w:hAnsi="Palatino Linotype" w:cs="Arial"/>
          <w:color w:val="000000" w:themeColor="text1"/>
          <w:lang w:val="es-ES"/>
        </w:rPr>
        <w:t>,</w:t>
      </w:r>
      <w:r w:rsidR="005F1362" w:rsidRPr="00EC18F1">
        <w:rPr>
          <w:rFonts w:ascii="Palatino Linotype" w:eastAsia="Calibri" w:hAnsi="Palatino Linotype" w:cs="Arial"/>
          <w:color w:val="000000" w:themeColor="text1"/>
          <w:lang w:val="es-ES"/>
        </w:rPr>
        <w:t xml:space="preserve"> </w:t>
      </w:r>
      <w:r w:rsidR="001A0F59" w:rsidRPr="00EC18F1">
        <w:rPr>
          <w:rFonts w:ascii="Palatino Linotype" w:eastAsia="Calibri" w:hAnsi="Palatino Linotype" w:cs="Arial"/>
          <w:color w:val="000000" w:themeColor="text1"/>
          <w:lang w:val="es-ES"/>
        </w:rPr>
        <w:t>en adelante</w:t>
      </w:r>
      <w:r w:rsidR="00F17EFA" w:rsidRPr="00EC18F1">
        <w:rPr>
          <w:rFonts w:ascii="Palatino Linotype" w:eastAsia="Times New Roman" w:hAnsi="Palatino Linotype" w:cs="Times New Roman"/>
          <w:color w:val="000000" w:themeColor="text1"/>
        </w:rPr>
        <w:t xml:space="preserve"> </w:t>
      </w:r>
      <w:r w:rsidR="005F1362" w:rsidRPr="00EC18F1">
        <w:rPr>
          <w:rFonts w:ascii="Palatino Linotype" w:eastAsia="Times New Roman" w:hAnsi="Palatino Linotype" w:cs="Times New Roman"/>
          <w:color w:val="000000" w:themeColor="text1"/>
        </w:rPr>
        <w:t>el</w:t>
      </w:r>
      <w:r w:rsidR="005F1362" w:rsidRPr="00EC18F1">
        <w:rPr>
          <w:rFonts w:ascii="Palatino Linotype" w:eastAsia="Times New Roman" w:hAnsi="Palatino Linotype" w:cs="Times New Roman"/>
          <w:b/>
          <w:color w:val="000000" w:themeColor="text1"/>
        </w:rPr>
        <w:t xml:space="preserve"> SUJETO OBLIGADO</w:t>
      </w:r>
      <w:r w:rsidR="005F1362" w:rsidRPr="00EC18F1">
        <w:rPr>
          <w:rFonts w:ascii="Palatino Linotype" w:eastAsia="Times New Roman" w:hAnsi="Palatino Linotype" w:cs="Times New Roman"/>
          <w:color w:val="000000" w:themeColor="text1"/>
        </w:rPr>
        <w:t>,</w:t>
      </w:r>
      <w:r w:rsidR="005F1362" w:rsidRPr="00EC18F1">
        <w:rPr>
          <w:rFonts w:ascii="Palatino Linotype" w:eastAsia="Times New Roman" w:hAnsi="Palatino Linotype" w:cs="Times New Roman"/>
          <w:b/>
          <w:color w:val="000000" w:themeColor="text1"/>
        </w:rPr>
        <w:t xml:space="preserve"> </w:t>
      </w:r>
      <w:r w:rsidR="005F1362" w:rsidRPr="00EC18F1">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EC18F1" w:rsidRDefault="009A593A" w:rsidP="00B31E90">
      <w:pPr>
        <w:spacing w:line="360" w:lineRule="auto"/>
        <w:jc w:val="both"/>
        <w:rPr>
          <w:rFonts w:ascii="Palatino Linotype" w:hAnsi="Palatino Linotype"/>
          <w:b/>
          <w:color w:val="000000" w:themeColor="text1"/>
        </w:rPr>
      </w:pPr>
    </w:p>
    <w:p w14:paraId="769E1410" w14:textId="395F5B5E" w:rsidR="00587366" w:rsidRPr="00EC18F1" w:rsidRDefault="00662C69" w:rsidP="00B31E90">
      <w:pPr>
        <w:pStyle w:val="Ttulo1"/>
        <w:spacing w:before="0" w:line="360" w:lineRule="auto"/>
        <w:jc w:val="center"/>
        <w:rPr>
          <w:b/>
          <w:color w:val="000000" w:themeColor="text1"/>
          <w:szCs w:val="24"/>
        </w:rPr>
      </w:pPr>
      <w:bookmarkStart w:id="0" w:name="_Toc461555884"/>
      <w:bookmarkStart w:id="1" w:name="_Toc466371847"/>
      <w:bookmarkStart w:id="2" w:name="_Toc88071776"/>
      <w:r w:rsidRPr="00EC18F1">
        <w:rPr>
          <w:b/>
          <w:color w:val="000000" w:themeColor="text1"/>
          <w:szCs w:val="24"/>
        </w:rPr>
        <w:t>ANTECEDENTES</w:t>
      </w:r>
      <w:bookmarkEnd w:id="0"/>
      <w:bookmarkEnd w:id="1"/>
      <w:bookmarkEnd w:id="2"/>
    </w:p>
    <w:p w14:paraId="5672105D" w14:textId="77777777" w:rsidR="00B31E90" w:rsidRPr="00EC18F1"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3E12371" w:rsidR="00D9392E" w:rsidRPr="00EC18F1"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18F1">
        <w:rPr>
          <w:rFonts w:ascii="Palatino Linotype" w:eastAsia="Calibri" w:hAnsi="Palatino Linotype" w:cs="Arial"/>
          <w:color w:val="000000" w:themeColor="text1"/>
          <w:lang w:val="es-ES"/>
        </w:rPr>
        <w:t>El</w:t>
      </w:r>
      <w:r w:rsidR="00D9392E" w:rsidRPr="00EC18F1">
        <w:rPr>
          <w:rFonts w:ascii="Palatino Linotype" w:eastAsia="Calibri" w:hAnsi="Palatino Linotype" w:cs="Arial"/>
          <w:color w:val="000000" w:themeColor="text1"/>
          <w:lang w:val="es-ES"/>
        </w:rPr>
        <w:t xml:space="preserve"> </w:t>
      </w:r>
      <w:r w:rsidR="006073A5" w:rsidRPr="00EC18F1">
        <w:rPr>
          <w:rFonts w:ascii="Palatino Linotype" w:eastAsia="Calibri" w:hAnsi="Palatino Linotype" w:cs="Arial"/>
          <w:color w:val="000000" w:themeColor="text1"/>
          <w:lang w:val="es-ES"/>
        </w:rPr>
        <w:t xml:space="preserve">ocho (08) de noviembre </w:t>
      </w:r>
      <w:r w:rsidR="001B6088" w:rsidRPr="00EC18F1">
        <w:rPr>
          <w:rFonts w:ascii="Palatino Linotype" w:eastAsia="Calibri" w:hAnsi="Palatino Linotype" w:cs="Arial"/>
          <w:color w:val="000000" w:themeColor="text1"/>
          <w:lang w:val="es-ES"/>
        </w:rPr>
        <w:t>de dos mil veintidós</w:t>
      </w:r>
      <w:r w:rsidR="005F1362" w:rsidRPr="00EC18F1">
        <w:rPr>
          <w:rFonts w:ascii="Palatino Linotype" w:eastAsia="Calibri" w:hAnsi="Palatino Linotype" w:cs="Arial"/>
          <w:color w:val="000000" w:themeColor="text1"/>
          <w:lang w:val="es-ES"/>
        </w:rPr>
        <w:t xml:space="preserve">, </w:t>
      </w:r>
      <w:r w:rsidR="006073A5" w:rsidRPr="00EC18F1">
        <w:rPr>
          <w:rFonts w:ascii="Palatino Linotype" w:eastAsia="Calibri" w:hAnsi="Palatino Linotype" w:cs="Arial"/>
          <w:color w:val="000000" w:themeColor="text1"/>
          <w:lang w:val="es-ES"/>
        </w:rPr>
        <w:t>el</w:t>
      </w:r>
      <w:r w:rsidR="00FE159E" w:rsidRPr="00EC18F1">
        <w:rPr>
          <w:rFonts w:ascii="Palatino Linotype" w:eastAsia="Calibri" w:hAnsi="Palatino Linotype" w:cs="Arial"/>
          <w:color w:val="000000" w:themeColor="text1"/>
          <w:lang w:val="es-ES"/>
        </w:rPr>
        <w:t xml:space="preserve"> particular</w:t>
      </w:r>
      <w:r w:rsidR="005F1362" w:rsidRPr="00EC18F1">
        <w:rPr>
          <w:rFonts w:ascii="Palatino Linotype" w:hAnsi="Palatino Linotype"/>
          <w:color w:val="000000" w:themeColor="text1"/>
        </w:rPr>
        <w:t xml:space="preserve"> presentó</w:t>
      </w:r>
      <w:r w:rsidR="005F1362" w:rsidRPr="00EC18F1">
        <w:rPr>
          <w:rFonts w:ascii="Palatino Linotype" w:hAnsi="Palatino Linotype"/>
          <w:b/>
          <w:color w:val="000000" w:themeColor="text1"/>
        </w:rPr>
        <w:t xml:space="preserve"> </w:t>
      </w:r>
      <w:r w:rsidR="00127E68" w:rsidRPr="00EC18F1">
        <w:rPr>
          <w:rFonts w:ascii="Palatino Linotype" w:hAnsi="Palatino Linotype"/>
          <w:bCs/>
          <w:color w:val="000000" w:themeColor="text1"/>
        </w:rPr>
        <w:t>a través</w:t>
      </w:r>
      <w:r w:rsidR="00360789" w:rsidRPr="00EC18F1">
        <w:rPr>
          <w:rFonts w:ascii="Palatino Linotype" w:hAnsi="Palatino Linotype"/>
          <w:bCs/>
          <w:color w:val="000000" w:themeColor="text1"/>
        </w:rPr>
        <w:t xml:space="preserve"> del</w:t>
      </w:r>
      <w:r w:rsidR="001B6088" w:rsidRPr="00EC18F1">
        <w:rPr>
          <w:rFonts w:ascii="Palatino Linotype" w:hAnsi="Palatino Linotype"/>
          <w:bCs/>
          <w:color w:val="000000" w:themeColor="text1"/>
        </w:rPr>
        <w:t xml:space="preserve"> Sistema de Acceso a la Información Mexiquense</w:t>
      </w:r>
      <w:r w:rsidR="00360789" w:rsidRPr="00EC18F1">
        <w:rPr>
          <w:rFonts w:ascii="Palatino Linotype" w:hAnsi="Palatino Linotype"/>
          <w:bCs/>
          <w:color w:val="000000" w:themeColor="text1"/>
        </w:rPr>
        <w:t xml:space="preserve"> </w:t>
      </w:r>
      <w:r w:rsidR="001B6088" w:rsidRPr="00EC18F1">
        <w:rPr>
          <w:rFonts w:ascii="Palatino Linotype" w:hAnsi="Palatino Linotype"/>
          <w:bCs/>
          <w:color w:val="000000" w:themeColor="text1"/>
        </w:rPr>
        <w:t>(</w:t>
      </w:r>
      <w:r w:rsidR="00360789" w:rsidRPr="00EC18F1">
        <w:rPr>
          <w:rFonts w:ascii="Palatino Linotype" w:hAnsi="Palatino Linotype"/>
          <w:bCs/>
          <w:color w:val="000000" w:themeColor="text1"/>
        </w:rPr>
        <w:t>SAIMEX</w:t>
      </w:r>
      <w:r w:rsidR="001B6088" w:rsidRPr="00EC18F1">
        <w:rPr>
          <w:rFonts w:ascii="Palatino Linotype" w:hAnsi="Palatino Linotype"/>
          <w:bCs/>
          <w:color w:val="000000" w:themeColor="text1"/>
        </w:rPr>
        <w:t>)</w:t>
      </w:r>
      <w:r w:rsidR="005F1362" w:rsidRPr="00EC18F1">
        <w:rPr>
          <w:rFonts w:ascii="Palatino Linotype" w:eastAsia="Calibri" w:hAnsi="Palatino Linotype" w:cs="Arial"/>
          <w:color w:val="000000" w:themeColor="text1"/>
          <w:lang w:val="es-ES"/>
        </w:rPr>
        <w:t>, la solicitud de información pública registrada</w:t>
      </w:r>
      <w:r w:rsidR="00772245" w:rsidRPr="00EC18F1">
        <w:rPr>
          <w:rFonts w:ascii="Palatino Linotype" w:eastAsia="Calibri" w:hAnsi="Palatino Linotype" w:cs="Arial"/>
          <w:color w:val="000000" w:themeColor="text1"/>
          <w:lang w:val="es-ES"/>
        </w:rPr>
        <w:t xml:space="preserve"> con </w:t>
      </w:r>
      <w:r w:rsidR="00F25B61" w:rsidRPr="00EC18F1">
        <w:rPr>
          <w:rFonts w:ascii="Palatino Linotype" w:eastAsia="Calibri" w:hAnsi="Palatino Linotype" w:cs="Arial"/>
          <w:color w:val="000000" w:themeColor="text1"/>
          <w:lang w:val="es-ES"/>
        </w:rPr>
        <w:t>el</w:t>
      </w:r>
      <w:r w:rsidR="005F1362" w:rsidRPr="00EC18F1">
        <w:rPr>
          <w:rFonts w:ascii="Palatino Linotype" w:eastAsia="Calibri" w:hAnsi="Palatino Linotype" w:cs="Arial"/>
          <w:color w:val="000000" w:themeColor="text1"/>
          <w:lang w:val="es-ES"/>
        </w:rPr>
        <w:t xml:space="preserve"> número</w:t>
      </w:r>
      <w:r w:rsidR="00772245" w:rsidRPr="00EC18F1">
        <w:rPr>
          <w:rFonts w:ascii="Palatino Linotype" w:eastAsia="Calibri" w:hAnsi="Palatino Linotype" w:cs="Arial"/>
          <w:color w:val="000000" w:themeColor="text1"/>
          <w:lang w:val="es-ES"/>
        </w:rPr>
        <w:t xml:space="preserve"> </w:t>
      </w:r>
      <w:r w:rsidR="006073A5" w:rsidRPr="00EC18F1">
        <w:rPr>
          <w:rFonts w:ascii="Palatino Linotype" w:eastAsia="Calibri" w:hAnsi="Palatino Linotype" w:cs="Arial"/>
          <w:b/>
          <w:color w:val="000000" w:themeColor="text1"/>
          <w:lang w:val="es-ES"/>
        </w:rPr>
        <w:t>00073/TIMILPAN/IP/2022</w:t>
      </w:r>
      <w:r w:rsidR="005F1362" w:rsidRPr="00EC18F1">
        <w:rPr>
          <w:rFonts w:ascii="Palatino Linotype" w:hAnsi="Palatino Linotype"/>
          <w:b/>
          <w:bCs/>
          <w:color w:val="000000" w:themeColor="text1"/>
        </w:rPr>
        <w:t>,</w:t>
      </w:r>
      <w:r w:rsidR="00F25B61" w:rsidRPr="00EC18F1">
        <w:rPr>
          <w:rFonts w:ascii="Palatino Linotype" w:eastAsia="Calibri" w:hAnsi="Palatino Linotype" w:cs="Arial"/>
          <w:color w:val="000000" w:themeColor="text1"/>
          <w:lang w:val="es-ES"/>
        </w:rPr>
        <w:t xml:space="preserve"> mediante la</w:t>
      </w:r>
      <w:r w:rsidR="00772245" w:rsidRPr="00EC18F1">
        <w:rPr>
          <w:rFonts w:ascii="Palatino Linotype" w:eastAsia="Calibri" w:hAnsi="Palatino Linotype" w:cs="Arial"/>
          <w:color w:val="000000" w:themeColor="text1"/>
          <w:lang w:val="es-ES"/>
        </w:rPr>
        <w:t xml:space="preserve"> que </w:t>
      </w:r>
      <w:r w:rsidR="005F1362" w:rsidRPr="00EC18F1">
        <w:rPr>
          <w:rFonts w:ascii="Palatino Linotype" w:eastAsia="Calibri" w:hAnsi="Palatino Linotype" w:cs="Arial"/>
          <w:color w:val="000000" w:themeColor="text1"/>
          <w:lang w:val="es-ES"/>
        </w:rPr>
        <w:t>requirió</w:t>
      </w:r>
      <w:r w:rsidR="00022D89" w:rsidRPr="00EC18F1">
        <w:rPr>
          <w:rFonts w:ascii="Palatino Linotype" w:eastAsia="Calibri" w:hAnsi="Palatino Linotype" w:cs="Arial"/>
          <w:color w:val="000000" w:themeColor="text1"/>
          <w:lang w:val="es-ES"/>
        </w:rPr>
        <w:t xml:space="preserve"> lo siguiente</w:t>
      </w:r>
      <w:r w:rsidR="005F1362" w:rsidRPr="00EC18F1">
        <w:rPr>
          <w:rFonts w:ascii="Palatino Linotype" w:eastAsia="Calibri" w:hAnsi="Palatino Linotype" w:cs="Arial"/>
          <w:color w:val="000000" w:themeColor="text1"/>
          <w:lang w:val="es-ES"/>
        </w:rPr>
        <w:t>:</w:t>
      </w:r>
    </w:p>
    <w:p w14:paraId="76EB7490" w14:textId="77777777" w:rsidR="00B31E90" w:rsidRPr="00EC18F1" w:rsidRDefault="00B31E90" w:rsidP="00B31E90">
      <w:pPr>
        <w:pStyle w:val="Prrafodelista"/>
        <w:spacing w:line="276" w:lineRule="auto"/>
        <w:ind w:left="567" w:right="567"/>
        <w:jc w:val="both"/>
        <w:rPr>
          <w:rFonts w:ascii="Palatino Linotype" w:hAnsi="Palatino Linotype"/>
          <w:i/>
          <w:color w:val="000000" w:themeColor="text1"/>
        </w:rPr>
      </w:pPr>
    </w:p>
    <w:p w14:paraId="605C5067" w14:textId="515EBB1C" w:rsidR="0097210F" w:rsidRPr="00EC18F1" w:rsidRDefault="00F25B61" w:rsidP="00B31E90">
      <w:pPr>
        <w:pStyle w:val="Prrafodelista"/>
        <w:spacing w:line="276" w:lineRule="auto"/>
        <w:ind w:left="567" w:right="567"/>
        <w:jc w:val="both"/>
        <w:rPr>
          <w:rFonts w:ascii="Palatino Linotype" w:hAnsi="Palatino Linotype"/>
          <w:color w:val="000000" w:themeColor="text1"/>
        </w:rPr>
      </w:pPr>
      <w:r w:rsidRPr="00EC18F1">
        <w:rPr>
          <w:rFonts w:ascii="Palatino Linotype" w:hAnsi="Palatino Linotype"/>
          <w:i/>
          <w:color w:val="000000" w:themeColor="text1"/>
        </w:rPr>
        <w:t xml:space="preserve"> </w:t>
      </w:r>
      <w:r w:rsidR="005F1362" w:rsidRPr="00EC18F1">
        <w:rPr>
          <w:rFonts w:ascii="Palatino Linotype" w:hAnsi="Palatino Linotype"/>
          <w:i/>
          <w:color w:val="000000" w:themeColor="text1"/>
        </w:rPr>
        <w:t>“</w:t>
      </w:r>
      <w:r w:rsidR="006073A5" w:rsidRPr="00EC18F1">
        <w:rPr>
          <w:rFonts w:ascii="Palatino Linotype" w:hAnsi="Palatino Linotype"/>
          <w:i/>
          <w:color w:val="000000" w:themeColor="text1"/>
        </w:rPr>
        <w:t xml:space="preserve">Con fundamento el artículo 8 constitucional ,Solicito por escrito y medio magnetico: -Lista, concentrado de nombre, cargos, percepciones ordinarias y extra ordinarias de todo el personal en lista de nomina y raya del DIF Municipal del periodo 1 enero del 2020 al 15 de noviembre del 2022. -Solicito por escrito y medio magnetico las percepciones ordinaria, extra ordinarias, compensaciones, bonificaciones del presidenta (e), directores subdirectores, jefes de departamento, del DIF Municipal desde el periodo 1 de enero del 2019 al 15 de noviembre del 2022. Solicito por escrito y medio magnetico las fichas curriculares de todo el personal que labora en el DIF de este municipio desde el del periodo 1 de enero del 2019 al 15 de noviembre del 2022 asi como sus percepciones ordinarias y extra ordinarias. Solicito por escrito yo/ copias de la lista de raya desde fecha 1 de enero del 2019 al 15 de noviembre del 2022 .Solicito por escrito la relación, razón </w:t>
      </w:r>
      <w:r w:rsidR="006073A5" w:rsidRPr="00EC18F1">
        <w:rPr>
          <w:rFonts w:ascii="Palatino Linotype" w:hAnsi="Palatino Linotype"/>
          <w:i/>
          <w:color w:val="000000" w:themeColor="text1"/>
        </w:rPr>
        <w:lastRenderedPageBreak/>
        <w:t>social y asignación de monto de los proveedores desde fecha 1 de nero del 2019 al 15 de noviembre del 2022 . Solicito por escrito y su estatus en caso de existir procedimiento , resarcitorio,fiscal, administrativo, penal, civil donde el ayuntamiento sea parte en contra de cualquier ex servidor público desde el periodo 1 de enero del 2019 al 15 de noviembre del 2022 .Solicito por escrito detalle y montos de deuda desde fecha 1 de enero del 2019 hasta el mes de nvoembre 2022. Solicito por escrito la relación de apoyos otorgados por el DIF Municipal de manera económica y sus montos desde fecha 1 de enero del 2019 al 15 de noviembre del 2022.</w:t>
      </w:r>
      <w:r w:rsidR="005F1362" w:rsidRPr="00EC18F1">
        <w:rPr>
          <w:rFonts w:ascii="Palatino Linotype" w:hAnsi="Palatino Linotype"/>
          <w:i/>
          <w:color w:val="000000" w:themeColor="text1"/>
        </w:rPr>
        <w:t xml:space="preserve">” </w:t>
      </w:r>
      <w:r w:rsidR="005F1362" w:rsidRPr="00EC18F1">
        <w:rPr>
          <w:rFonts w:ascii="Palatino Linotype" w:hAnsi="Palatino Linotype"/>
          <w:color w:val="000000" w:themeColor="text1"/>
        </w:rPr>
        <w:t>(Sic).</w:t>
      </w:r>
    </w:p>
    <w:p w14:paraId="65A03C8D" w14:textId="77777777" w:rsidR="005F1362" w:rsidRPr="00EC18F1" w:rsidRDefault="005F1362" w:rsidP="00B31E90">
      <w:pPr>
        <w:spacing w:line="360" w:lineRule="auto"/>
        <w:ind w:right="333"/>
        <w:jc w:val="both"/>
        <w:rPr>
          <w:rFonts w:ascii="Palatino Linotype" w:hAnsi="Palatino Linotype"/>
          <w:color w:val="000000" w:themeColor="text1"/>
        </w:rPr>
      </w:pPr>
    </w:p>
    <w:p w14:paraId="35BA18A9" w14:textId="40340642" w:rsidR="0039142B" w:rsidRPr="00EC18F1"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C18F1">
        <w:rPr>
          <w:rFonts w:ascii="Palatino Linotype" w:eastAsia="Times New Roman" w:hAnsi="Palatino Linotype" w:cs="Arial"/>
          <w:color w:val="000000" w:themeColor="text1"/>
          <w:lang w:val="es-ES"/>
        </w:rPr>
        <w:t>Se hace constar</w:t>
      </w:r>
      <w:r w:rsidR="00E9022C" w:rsidRPr="00EC18F1">
        <w:rPr>
          <w:rFonts w:ascii="Palatino Linotype" w:eastAsia="Times New Roman" w:hAnsi="Palatino Linotype" w:cs="Arial"/>
          <w:color w:val="000000" w:themeColor="text1"/>
          <w:lang w:val="es-ES"/>
        </w:rPr>
        <w:t xml:space="preserve"> que </w:t>
      </w:r>
      <w:r w:rsidR="001B6088" w:rsidRPr="00EC18F1">
        <w:rPr>
          <w:rFonts w:ascii="Palatino Linotype" w:eastAsia="Times New Roman" w:hAnsi="Palatino Linotype" w:cs="Arial"/>
          <w:color w:val="000000" w:themeColor="text1"/>
          <w:lang w:val="es-ES"/>
        </w:rPr>
        <w:t>la</w:t>
      </w:r>
      <w:r w:rsidR="00E9022C" w:rsidRPr="00EC18F1">
        <w:rPr>
          <w:rFonts w:ascii="Palatino Linotype" w:eastAsia="Times New Roman" w:hAnsi="Palatino Linotype" w:cs="Arial"/>
          <w:color w:val="000000" w:themeColor="text1"/>
          <w:lang w:val="es-ES"/>
        </w:rPr>
        <w:t xml:space="preserve"> particular </w:t>
      </w:r>
      <w:r w:rsidR="005F1362" w:rsidRPr="00EC18F1">
        <w:rPr>
          <w:rFonts w:ascii="Palatino Linotype" w:eastAsia="Times New Roman" w:hAnsi="Palatino Linotype" w:cs="Arial"/>
          <w:color w:val="000000" w:themeColor="text1"/>
          <w:lang w:val="es-ES"/>
        </w:rPr>
        <w:t>señaló como modalidad de entrega de la información</w:t>
      </w:r>
      <w:r w:rsidR="005F1362" w:rsidRPr="00EC18F1">
        <w:rPr>
          <w:rFonts w:ascii="Palatino Linotype" w:eastAsia="Times New Roman" w:hAnsi="Palatino Linotype" w:cs="Arial"/>
          <w:bCs/>
          <w:color w:val="000000" w:themeColor="text1"/>
          <w:lang w:val="es-ES"/>
        </w:rPr>
        <w:t>:</w:t>
      </w:r>
      <w:r w:rsidR="001E4152" w:rsidRPr="00EC18F1">
        <w:rPr>
          <w:rFonts w:ascii="Palatino Linotype" w:eastAsia="Times New Roman" w:hAnsi="Palatino Linotype" w:cs="Arial"/>
          <w:b/>
          <w:color w:val="000000" w:themeColor="text1"/>
          <w:lang w:val="es-ES"/>
        </w:rPr>
        <w:t xml:space="preserve"> </w:t>
      </w:r>
      <w:r w:rsidR="004F0BF4" w:rsidRPr="00EC18F1">
        <w:rPr>
          <w:rFonts w:ascii="Palatino Linotype" w:eastAsia="Times New Roman" w:hAnsi="Palatino Linotype" w:cs="Arial"/>
          <w:b/>
          <w:i/>
          <w:iCs/>
          <w:color w:val="000000" w:themeColor="text1"/>
          <w:lang w:val="es-ES"/>
        </w:rPr>
        <w:t>A través del SAIMEX</w:t>
      </w:r>
      <w:r w:rsidR="005B4B08" w:rsidRPr="00EC18F1">
        <w:rPr>
          <w:rFonts w:ascii="Palatino Linotype" w:eastAsia="Calibri" w:hAnsi="Palatino Linotype" w:cs="Arial"/>
          <w:color w:val="000000" w:themeColor="text1"/>
          <w:lang w:val="es-ES"/>
        </w:rPr>
        <w:t>.</w:t>
      </w:r>
    </w:p>
    <w:p w14:paraId="7C0BE992" w14:textId="77777777" w:rsidR="0027463A" w:rsidRPr="00EC18F1"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13092CF" w:rsidR="0022448D" w:rsidRPr="00EC18F1" w:rsidRDefault="0036078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C18F1">
        <w:rPr>
          <w:rFonts w:ascii="Palatino Linotype" w:eastAsia="MS Mincho" w:hAnsi="Palatino Linotype" w:cs="Times New Roman"/>
          <w:color w:val="000000" w:themeColor="text1"/>
        </w:rPr>
        <w:t>E</w:t>
      </w:r>
      <w:r w:rsidR="00B31E90" w:rsidRPr="00EC18F1">
        <w:rPr>
          <w:rFonts w:ascii="Palatino Linotype" w:eastAsia="MS Mincho" w:hAnsi="Palatino Linotype" w:cs="Times New Roman"/>
          <w:color w:val="000000" w:themeColor="text1"/>
        </w:rPr>
        <w:t xml:space="preserve">l </w:t>
      </w:r>
      <w:r w:rsidR="006073A5" w:rsidRPr="00EC18F1">
        <w:rPr>
          <w:rFonts w:ascii="Palatino Linotype" w:eastAsia="MS Mincho" w:hAnsi="Palatino Linotype" w:cs="Times New Roman"/>
          <w:color w:val="000000" w:themeColor="text1"/>
        </w:rPr>
        <w:t xml:space="preserve">treinta (30) de noviembre </w:t>
      </w:r>
      <w:r w:rsidR="006F5F55" w:rsidRPr="00EC18F1">
        <w:rPr>
          <w:rFonts w:ascii="Palatino Linotype" w:eastAsia="MS Mincho" w:hAnsi="Palatino Linotype" w:cs="Times New Roman"/>
          <w:color w:val="000000" w:themeColor="text1"/>
        </w:rPr>
        <w:t>de dos mil veintidós</w:t>
      </w:r>
      <w:r w:rsidR="000411E2" w:rsidRPr="00EC18F1">
        <w:rPr>
          <w:rFonts w:ascii="Palatino Linotype" w:eastAsia="MS Mincho" w:hAnsi="Palatino Linotype" w:cs="Times New Roman"/>
          <w:color w:val="000000" w:themeColor="text1"/>
        </w:rPr>
        <w:t xml:space="preserve">, </w:t>
      </w:r>
      <w:r w:rsidR="000411E2" w:rsidRPr="00EC18F1">
        <w:rPr>
          <w:rFonts w:ascii="Palatino Linotype" w:hAnsi="Palatino Linotype"/>
          <w:color w:val="000000" w:themeColor="text1"/>
        </w:rPr>
        <w:t xml:space="preserve">el </w:t>
      </w:r>
      <w:r w:rsidR="000411E2" w:rsidRPr="00EC18F1">
        <w:rPr>
          <w:rFonts w:ascii="Palatino Linotype" w:hAnsi="Palatino Linotype"/>
          <w:b/>
          <w:color w:val="000000" w:themeColor="text1"/>
        </w:rPr>
        <w:t>SUJETO OBLIGADO</w:t>
      </w:r>
      <w:r w:rsidR="000411E2" w:rsidRPr="00EC18F1">
        <w:rPr>
          <w:rFonts w:ascii="Palatino Linotype" w:hAnsi="Palatino Linotype"/>
          <w:color w:val="000000" w:themeColor="text1"/>
        </w:rPr>
        <w:t xml:space="preserve"> dio respuesta a la solicitud de información en los siguientes términos:</w:t>
      </w:r>
    </w:p>
    <w:p w14:paraId="08DC8CF8" w14:textId="77777777" w:rsidR="006073A5" w:rsidRPr="00EC18F1" w:rsidRDefault="00F25B61" w:rsidP="006073A5">
      <w:pPr>
        <w:pStyle w:val="Sinespaciado"/>
        <w:spacing w:line="276" w:lineRule="auto"/>
        <w:ind w:left="567" w:right="567"/>
        <w:jc w:val="both"/>
        <w:rPr>
          <w:rFonts w:ascii="Palatino Linotype" w:hAnsi="Palatino Linotype"/>
          <w:i/>
          <w:noProof/>
          <w:color w:val="000000" w:themeColor="text1"/>
          <w:sz w:val="22"/>
          <w:lang w:val="es-MX" w:eastAsia="es-MX"/>
        </w:rPr>
      </w:pPr>
      <w:r w:rsidRPr="00EC18F1">
        <w:rPr>
          <w:rFonts w:ascii="Palatino Linotype" w:hAnsi="Palatino Linotype"/>
          <w:i/>
          <w:noProof/>
          <w:color w:val="000000" w:themeColor="text1"/>
          <w:sz w:val="22"/>
          <w:lang w:val="es-MX" w:eastAsia="es-MX"/>
        </w:rPr>
        <w:t xml:space="preserve"> </w:t>
      </w:r>
      <w:r w:rsidR="005F1362" w:rsidRPr="00EC18F1">
        <w:rPr>
          <w:rFonts w:ascii="Palatino Linotype" w:hAnsi="Palatino Linotype"/>
          <w:i/>
          <w:noProof/>
          <w:color w:val="000000" w:themeColor="text1"/>
          <w:sz w:val="22"/>
          <w:lang w:val="es-MX" w:eastAsia="es-MX"/>
        </w:rPr>
        <w:t>“</w:t>
      </w:r>
      <w:r w:rsidR="006073A5" w:rsidRPr="00EC18F1">
        <w:rPr>
          <w:rFonts w:ascii="Palatino Linotype" w:hAnsi="Palatino Linotype"/>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E423F3" w14:textId="77777777" w:rsidR="006073A5" w:rsidRPr="00EC18F1" w:rsidRDefault="006073A5" w:rsidP="006073A5">
      <w:pPr>
        <w:pStyle w:val="Sinespaciado"/>
        <w:spacing w:line="276" w:lineRule="auto"/>
        <w:ind w:left="567" w:right="567"/>
        <w:jc w:val="both"/>
        <w:rPr>
          <w:rFonts w:ascii="Palatino Linotype" w:hAnsi="Palatino Linotype"/>
          <w:i/>
          <w:noProof/>
          <w:color w:val="000000" w:themeColor="text1"/>
          <w:sz w:val="22"/>
          <w:lang w:val="es-MX" w:eastAsia="es-MX"/>
        </w:rPr>
      </w:pPr>
    </w:p>
    <w:p w14:paraId="1018C6FC" w14:textId="77777777" w:rsidR="006073A5" w:rsidRPr="00EC18F1" w:rsidRDefault="006073A5" w:rsidP="006073A5">
      <w:pPr>
        <w:pStyle w:val="Sinespaciado"/>
        <w:spacing w:line="276" w:lineRule="auto"/>
        <w:ind w:left="567" w:right="567"/>
        <w:jc w:val="both"/>
        <w:rPr>
          <w:rFonts w:ascii="Palatino Linotype" w:hAnsi="Palatino Linotype"/>
          <w:i/>
          <w:noProof/>
          <w:color w:val="000000" w:themeColor="text1"/>
          <w:sz w:val="22"/>
          <w:lang w:val="es-MX" w:eastAsia="es-MX"/>
        </w:rPr>
      </w:pPr>
      <w:r w:rsidRPr="00EC18F1">
        <w:rPr>
          <w:rFonts w:ascii="Palatino Linotype" w:hAnsi="Palatino Linotype"/>
          <w:i/>
          <w:noProof/>
          <w:color w:val="000000" w:themeColor="text1"/>
          <w:sz w:val="22"/>
          <w:lang w:val="es-MX" w:eastAsia="es-MX"/>
        </w:rPr>
        <w:t>Buenas tardes anexo al presente listado de información de los ejercicios solicitados y en el siguiente link información de proveedores. https://www.ipomex.org.mx/ipo3/lgt/indice/TIMILPAN/art_92_xxxvi.web?token</w:t>
      </w:r>
    </w:p>
    <w:p w14:paraId="1154FFC0" w14:textId="77777777" w:rsidR="006073A5" w:rsidRPr="00EC18F1" w:rsidRDefault="006073A5" w:rsidP="006073A5">
      <w:pPr>
        <w:pStyle w:val="Sinespaciado"/>
        <w:spacing w:line="276" w:lineRule="auto"/>
        <w:ind w:left="567" w:right="567"/>
        <w:jc w:val="both"/>
        <w:rPr>
          <w:rFonts w:ascii="Palatino Linotype" w:hAnsi="Palatino Linotype"/>
          <w:i/>
          <w:noProof/>
          <w:color w:val="000000" w:themeColor="text1"/>
          <w:sz w:val="22"/>
          <w:lang w:val="es-MX" w:eastAsia="es-MX"/>
        </w:rPr>
      </w:pPr>
    </w:p>
    <w:p w14:paraId="21967090" w14:textId="77777777" w:rsidR="006073A5" w:rsidRPr="00EC18F1" w:rsidRDefault="006073A5" w:rsidP="006073A5">
      <w:pPr>
        <w:pStyle w:val="Sinespaciado"/>
        <w:spacing w:line="276" w:lineRule="auto"/>
        <w:ind w:left="567" w:right="567"/>
        <w:jc w:val="both"/>
        <w:rPr>
          <w:rFonts w:ascii="Palatino Linotype" w:hAnsi="Palatino Linotype"/>
          <w:i/>
          <w:noProof/>
          <w:color w:val="000000" w:themeColor="text1"/>
          <w:sz w:val="22"/>
          <w:lang w:val="es-MX" w:eastAsia="es-MX"/>
        </w:rPr>
      </w:pPr>
      <w:r w:rsidRPr="00EC18F1">
        <w:rPr>
          <w:rFonts w:ascii="Palatino Linotype" w:hAnsi="Palatino Linotype"/>
          <w:i/>
          <w:noProof/>
          <w:color w:val="000000" w:themeColor="text1"/>
          <w:sz w:val="22"/>
          <w:lang w:val="es-MX" w:eastAsia="es-MX"/>
        </w:rPr>
        <w:t>ATENTAMENTE</w:t>
      </w:r>
    </w:p>
    <w:p w14:paraId="35A36DE0" w14:textId="236914F0" w:rsidR="0039142B" w:rsidRPr="00EC18F1" w:rsidRDefault="006073A5" w:rsidP="006073A5">
      <w:pPr>
        <w:pStyle w:val="Sinespaciado"/>
        <w:spacing w:line="276" w:lineRule="auto"/>
        <w:ind w:left="567" w:right="567"/>
        <w:jc w:val="both"/>
        <w:rPr>
          <w:rFonts w:ascii="Palatino Linotype" w:hAnsi="Palatino Linotype"/>
          <w:noProof/>
          <w:color w:val="000000" w:themeColor="text1"/>
          <w:sz w:val="22"/>
          <w:lang w:val="es-MX" w:eastAsia="es-MX"/>
        </w:rPr>
      </w:pPr>
      <w:r w:rsidRPr="00EC18F1">
        <w:rPr>
          <w:rFonts w:ascii="Palatino Linotype" w:hAnsi="Palatino Linotype"/>
          <w:i/>
          <w:noProof/>
          <w:color w:val="000000" w:themeColor="text1"/>
          <w:sz w:val="22"/>
          <w:lang w:val="es-MX" w:eastAsia="es-MX"/>
        </w:rPr>
        <w:t>LC. ROGELIO DE JESUS RODRIGUEZ</w:t>
      </w:r>
      <w:r w:rsidR="005F1362" w:rsidRPr="00EC18F1">
        <w:rPr>
          <w:rFonts w:ascii="Palatino Linotype" w:hAnsi="Palatino Linotype"/>
          <w:i/>
          <w:noProof/>
          <w:color w:val="000000" w:themeColor="text1"/>
          <w:sz w:val="22"/>
          <w:lang w:val="es-MX" w:eastAsia="es-MX"/>
        </w:rPr>
        <w:t>”</w:t>
      </w:r>
      <w:r w:rsidR="00EB3DF7" w:rsidRPr="00EC18F1">
        <w:rPr>
          <w:rFonts w:ascii="Palatino Linotype" w:hAnsi="Palatino Linotype"/>
          <w:noProof/>
          <w:color w:val="000000" w:themeColor="text1"/>
          <w:sz w:val="22"/>
          <w:lang w:val="es-MX" w:eastAsia="es-MX"/>
        </w:rPr>
        <w:t xml:space="preserve"> (Sic.)</w:t>
      </w:r>
    </w:p>
    <w:p w14:paraId="2D68519B" w14:textId="77777777" w:rsidR="0097210F" w:rsidRPr="00EC18F1" w:rsidRDefault="0097210F" w:rsidP="009A593A">
      <w:pPr>
        <w:pStyle w:val="Sinespaciado"/>
        <w:ind w:right="567"/>
        <w:jc w:val="both"/>
        <w:rPr>
          <w:rFonts w:ascii="Palatino Linotype" w:hAnsi="Palatino Linotype"/>
          <w:noProof/>
          <w:color w:val="000000" w:themeColor="text1"/>
          <w:lang w:val="es-MX" w:eastAsia="es-MX"/>
        </w:rPr>
      </w:pPr>
    </w:p>
    <w:p w14:paraId="170BD45E" w14:textId="1C37CB2D" w:rsidR="00022D89" w:rsidRPr="00EC18F1"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EC18F1">
        <w:rPr>
          <w:rFonts w:ascii="Palatino Linotype" w:hAnsi="Palatino Linotype"/>
          <w:color w:val="000000" w:themeColor="text1"/>
        </w:rPr>
        <w:t xml:space="preserve">Adjunto </w:t>
      </w:r>
      <w:r w:rsidR="00E85FF3" w:rsidRPr="00EC18F1">
        <w:rPr>
          <w:rFonts w:ascii="Palatino Linotype" w:hAnsi="Palatino Linotype"/>
          <w:color w:val="000000" w:themeColor="text1"/>
        </w:rPr>
        <w:t>al acuse de respuesta</w:t>
      </w:r>
      <w:r w:rsidRPr="00EC18F1">
        <w:rPr>
          <w:rFonts w:ascii="Palatino Linotype" w:hAnsi="Palatino Linotype"/>
          <w:color w:val="000000" w:themeColor="text1"/>
        </w:rPr>
        <w:t xml:space="preserve">, el </w:t>
      </w:r>
      <w:r w:rsidRPr="00EC18F1">
        <w:rPr>
          <w:rFonts w:ascii="Palatino Linotype" w:hAnsi="Palatino Linotype"/>
          <w:b/>
          <w:bCs/>
          <w:color w:val="000000" w:themeColor="text1"/>
        </w:rPr>
        <w:t>SUJETO OBLIGADO</w:t>
      </w:r>
      <w:r w:rsidRPr="00EC18F1">
        <w:rPr>
          <w:rFonts w:ascii="Palatino Linotype" w:hAnsi="Palatino Linotype"/>
          <w:color w:val="000000" w:themeColor="text1"/>
        </w:rPr>
        <w:t xml:space="preserve"> entregó al particular </w:t>
      </w:r>
      <w:r w:rsidR="006073A5" w:rsidRPr="00EC18F1">
        <w:rPr>
          <w:rFonts w:ascii="Palatino Linotype" w:hAnsi="Palatino Linotype"/>
          <w:color w:val="000000" w:themeColor="text1"/>
        </w:rPr>
        <w:t>los</w:t>
      </w:r>
      <w:r w:rsidR="00F01881" w:rsidRPr="00EC18F1">
        <w:rPr>
          <w:rFonts w:ascii="Palatino Linotype" w:hAnsi="Palatino Linotype"/>
          <w:color w:val="000000" w:themeColor="text1"/>
        </w:rPr>
        <w:t xml:space="preserve"> siguiente</w:t>
      </w:r>
      <w:r w:rsidR="006073A5" w:rsidRPr="00EC18F1">
        <w:rPr>
          <w:rFonts w:ascii="Palatino Linotype" w:hAnsi="Palatino Linotype"/>
          <w:color w:val="000000" w:themeColor="text1"/>
        </w:rPr>
        <w:t>s</w:t>
      </w:r>
      <w:r w:rsidR="00F01881" w:rsidRPr="00EC18F1">
        <w:rPr>
          <w:rFonts w:ascii="Palatino Linotype" w:hAnsi="Palatino Linotype"/>
          <w:color w:val="000000" w:themeColor="text1"/>
        </w:rPr>
        <w:t xml:space="preserve"> archivo</w:t>
      </w:r>
      <w:r w:rsidR="006073A5" w:rsidRPr="00EC18F1">
        <w:rPr>
          <w:rFonts w:ascii="Palatino Linotype" w:hAnsi="Palatino Linotype"/>
          <w:color w:val="000000" w:themeColor="text1"/>
        </w:rPr>
        <w:t>s</w:t>
      </w:r>
      <w:r w:rsidR="00F01881" w:rsidRPr="00EC18F1">
        <w:rPr>
          <w:rFonts w:ascii="Palatino Linotype" w:hAnsi="Palatino Linotype"/>
          <w:color w:val="000000" w:themeColor="text1"/>
        </w:rPr>
        <w:t xml:space="preserve"> electrónico</w:t>
      </w:r>
      <w:r w:rsidR="006073A5" w:rsidRPr="00EC18F1">
        <w:rPr>
          <w:rFonts w:ascii="Palatino Linotype" w:hAnsi="Palatino Linotype"/>
          <w:color w:val="000000" w:themeColor="text1"/>
        </w:rPr>
        <w:t>s</w:t>
      </w:r>
      <w:r w:rsidR="004F0BF4" w:rsidRPr="00EC18F1">
        <w:rPr>
          <w:rFonts w:ascii="Palatino Linotype" w:hAnsi="Palatino Linotype"/>
          <w:color w:val="000000" w:themeColor="text1"/>
        </w:rPr>
        <w:t>:</w:t>
      </w:r>
    </w:p>
    <w:p w14:paraId="49FFFD70" w14:textId="103A78E0" w:rsidR="004F0BF4" w:rsidRPr="00EC18F1" w:rsidRDefault="004F0BF4" w:rsidP="004F0BF4">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EC18F1">
        <w:rPr>
          <w:rFonts w:ascii="Palatino Linotype" w:hAnsi="Palatino Linotype"/>
          <w:b/>
          <w:bCs/>
          <w:i/>
          <w:iCs/>
          <w:color w:val="000000" w:themeColor="text1"/>
          <w:sz w:val="22"/>
        </w:rPr>
        <w:t>“</w:t>
      </w:r>
      <w:r w:rsidR="00610B2D" w:rsidRPr="00EC18F1">
        <w:rPr>
          <w:rFonts w:ascii="Palatino Linotype" w:hAnsi="Palatino Linotype"/>
          <w:b/>
          <w:bCs/>
          <w:i/>
          <w:iCs/>
          <w:color w:val="000000" w:themeColor="text1"/>
          <w:sz w:val="22"/>
        </w:rPr>
        <w:t>SAIMEX SUELDOS 2019</w:t>
      </w:r>
      <w:r w:rsidRPr="00EC18F1">
        <w:rPr>
          <w:rFonts w:ascii="Palatino Linotype" w:hAnsi="Palatino Linotype"/>
          <w:b/>
          <w:bCs/>
          <w:i/>
          <w:iCs/>
          <w:color w:val="000000" w:themeColor="text1"/>
          <w:sz w:val="22"/>
        </w:rPr>
        <w:t>.pdf”</w:t>
      </w:r>
      <w:r w:rsidRPr="00EC18F1">
        <w:rPr>
          <w:rFonts w:ascii="Palatino Linotype" w:hAnsi="Palatino Linotype"/>
          <w:color w:val="000000" w:themeColor="text1"/>
          <w:sz w:val="22"/>
        </w:rPr>
        <w:t xml:space="preserve">: Documento </w:t>
      </w:r>
      <w:r w:rsidR="00610B2D" w:rsidRPr="00EC18F1">
        <w:rPr>
          <w:rFonts w:ascii="Palatino Linotype" w:hAnsi="Palatino Linotype"/>
          <w:color w:val="000000" w:themeColor="text1"/>
          <w:sz w:val="22"/>
        </w:rPr>
        <w:t>de una foja consistente en una relación del personal de nómina y lista de raya, de la primera quincena de octubre a la segunda de diciembre de dos mil diecinueve, así como el respectivo aguinaldo.</w:t>
      </w:r>
    </w:p>
    <w:p w14:paraId="132D9594" w14:textId="2F13FFCC" w:rsidR="006073A5" w:rsidRPr="00EC18F1" w:rsidRDefault="006073A5" w:rsidP="006073A5">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EC18F1">
        <w:rPr>
          <w:rFonts w:ascii="Palatino Linotype" w:hAnsi="Palatino Linotype"/>
          <w:b/>
          <w:bCs/>
          <w:i/>
          <w:iCs/>
          <w:color w:val="000000" w:themeColor="text1"/>
          <w:sz w:val="22"/>
        </w:rPr>
        <w:lastRenderedPageBreak/>
        <w:t>“</w:t>
      </w:r>
      <w:r w:rsidR="00610B2D" w:rsidRPr="00EC18F1">
        <w:rPr>
          <w:rFonts w:ascii="Palatino Linotype" w:hAnsi="Palatino Linotype"/>
          <w:b/>
          <w:bCs/>
          <w:i/>
          <w:iCs/>
          <w:color w:val="000000" w:themeColor="text1"/>
          <w:sz w:val="22"/>
        </w:rPr>
        <w:t>SAIMEX SUELDOS 2020</w:t>
      </w:r>
      <w:r w:rsidRPr="00EC18F1">
        <w:rPr>
          <w:rFonts w:ascii="Palatino Linotype" w:hAnsi="Palatino Linotype"/>
          <w:b/>
          <w:bCs/>
          <w:i/>
          <w:iCs/>
          <w:color w:val="000000" w:themeColor="text1"/>
          <w:sz w:val="22"/>
        </w:rPr>
        <w:t>.pdf”</w:t>
      </w:r>
      <w:r w:rsidRPr="00EC18F1">
        <w:rPr>
          <w:rFonts w:ascii="Palatino Linotype" w:hAnsi="Palatino Linotype"/>
          <w:color w:val="000000" w:themeColor="text1"/>
          <w:sz w:val="22"/>
        </w:rPr>
        <w:t xml:space="preserve">: Documento </w:t>
      </w:r>
      <w:r w:rsidR="00610B2D" w:rsidRPr="00EC18F1">
        <w:rPr>
          <w:rFonts w:ascii="Palatino Linotype" w:hAnsi="Palatino Linotype"/>
          <w:color w:val="000000" w:themeColor="text1"/>
          <w:sz w:val="22"/>
        </w:rPr>
        <w:t>de dos fojas consistente en una relación del personal de nómina y lista de raya, de la segunda quincena de agosto a la segunda de diciembre de dos mil dos mil veinte, así como el respectivo aguinaldo.</w:t>
      </w:r>
    </w:p>
    <w:p w14:paraId="56CFFAF9" w14:textId="4F3B8357" w:rsidR="006073A5" w:rsidRPr="00EC18F1" w:rsidRDefault="006073A5" w:rsidP="006073A5">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EC18F1">
        <w:rPr>
          <w:rFonts w:ascii="Palatino Linotype" w:hAnsi="Palatino Linotype"/>
          <w:b/>
          <w:bCs/>
          <w:i/>
          <w:iCs/>
          <w:color w:val="000000" w:themeColor="text1"/>
          <w:sz w:val="22"/>
        </w:rPr>
        <w:t>“</w:t>
      </w:r>
      <w:r w:rsidR="00610B2D" w:rsidRPr="00EC18F1">
        <w:rPr>
          <w:rFonts w:ascii="Palatino Linotype" w:hAnsi="Palatino Linotype"/>
          <w:b/>
          <w:bCs/>
          <w:i/>
          <w:iCs/>
          <w:color w:val="000000" w:themeColor="text1"/>
          <w:sz w:val="22"/>
        </w:rPr>
        <w:t>SAIMEX SUELDOS 2021</w:t>
      </w:r>
      <w:r w:rsidRPr="00EC18F1">
        <w:rPr>
          <w:rFonts w:ascii="Palatino Linotype" w:hAnsi="Palatino Linotype"/>
          <w:b/>
          <w:bCs/>
          <w:i/>
          <w:iCs/>
          <w:color w:val="000000" w:themeColor="text1"/>
          <w:sz w:val="22"/>
        </w:rPr>
        <w:t>.pdf”</w:t>
      </w:r>
      <w:r w:rsidRPr="00EC18F1">
        <w:rPr>
          <w:rFonts w:ascii="Palatino Linotype" w:hAnsi="Palatino Linotype"/>
          <w:color w:val="000000" w:themeColor="text1"/>
          <w:sz w:val="22"/>
        </w:rPr>
        <w:t>: Documento</w:t>
      </w:r>
      <w:r w:rsidR="00610B2D" w:rsidRPr="00EC18F1">
        <w:rPr>
          <w:rFonts w:ascii="Palatino Linotype" w:hAnsi="Palatino Linotype"/>
          <w:color w:val="000000" w:themeColor="text1"/>
          <w:sz w:val="22"/>
        </w:rPr>
        <w:t xml:space="preserve"> de</w:t>
      </w:r>
      <w:r w:rsidRPr="00EC18F1">
        <w:rPr>
          <w:rFonts w:ascii="Palatino Linotype" w:hAnsi="Palatino Linotype"/>
          <w:color w:val="000000" w:themeColor="text1"/>
          <w:sz w:val="22"/>
        </w:rPr>
        <w:t xml:space="preserve"> </w:t>
      </w:r>
      <w:r w:rsidR="00610B2D" w:rsidRPr="00EC18F1">
        <w:rPr>
          <w:rFonts w:ascii="Palatino Linotype" w:hAnsi="Palatino Linotype"/>
          <w:color w:val="000000" w:themeColor="text1"/>
          <w:sz w:val="22"/>
        </w:rPr>
        <w:t>una foja consistente en una relación del personal de nómina y lista de raya, de la primera quincena de julio a la segunda de diciembre de dos mil veintiuno, así como el respectivo aguinaldo.</w:t>
      </w:r>
    </w:p>
    <w:p w14:paraId="03DC02BE" w14:textId="77154312" w:rsidR="006073A5" w:rsidRPr="00EC18F1" w:rsidRDefault="006073A5" w:rsidP="006073A5">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EC18F1">
        <w:rPr>
          <w:rFonts w:ascii="Palatino Linotype" w:hAnsi="Palatino Linotype"/>
          <w:b/>
          <w:bCs/>
          <w:i/>
          <w:iCs/>
          <w:color w:val="000000" w:themeColor="text1"/>
          <w:sz w:val="22"/>
        </w:rPr>
        <w:t>“</w:t>
      </w:r>
      <w:r w:rsidR="00610B2D" w:rsidRPr="00EC18F1">
        <w:rPr>
          <w:rFonts w:ascii="Palatino Linotype" w:hAnsi="Palatino Linotype"/>
          <w:b/>
          <w:bCs/>
          <w:i/>
          <w:iCs/>
          <w:color w:val="000000" w:themeColor="text1"/>
          <w:sz w:val="22"/>
        </w:rPr>
        <w:t>SAIMEX SUELDOS 2022</w:t>
      </w:r>
      <w:r w:rsidRPr="00EC18F1">
        <w:rPr>
          <w:rFonts w:ascii="Palatino Linotype" w:hAnsi="Palatino Linotype"/>
          <w:b/>
          <w:bCs/>
          <w:i/>
          <w:iCs/>
          <w:color w:val="000000" w:themeColor="text1"/>
          <w:sz w:val="22"/>
        </w:rPr>
        <w:t>.pdf”</w:t>
      </w:r>
      <w:r w:rsidRPr="00EC18F1">
        <w:rPr>
          <w:rFonts w:ascii="Palatino Linotype" w:hAnsi="Palatino Linotype"/>
          <w:color w:val="000000" w:themeColor="text1"/>
          <w:sz w:val="22"/>
        </w:rPr>
        <w:t xml:space="preserve">: Documento </w:t>
      </w:r>
      <w:r w:rsidR="00610B2D" w:rsidRPr="00EC18F1">
        <w:rPr>
          <w:rFonts w:ascii="Palatino Linotype" w:hAnsi="Palatino Linotype"/>
          <w:color w:val="000000" w:themeColor="text1"/>
          <w:sz w:val="22"/>
        </w:rPr>
        <w:t>de una foja consistente en una relación del personal de nómina y lista de raya, de la primera quincena de enero a la primera de noviembre de dos mil veintidós.</w:t>
      </w:r>
    </w:p>
    <w:p w14:paraId="18538835" w14:textId="77777777" w:rsidR="00FE159E" w:rsidRPr="00EC18F1" w:rsidRDefault="00FE159E" w:rsidP="00B67B60">
      <w:pPr>
        <w:spacing w:line="360" w:lineRule="auto"/>
        <w:jc w:val="both"/>
        <w:rPr>
          <w:rFonts w:ascii="Palatino Linotype" w:hAnsi="Palatino Linotype" w:cs="Arial"/>
        </w:rPr>
      </w:pPr>
    </w:p>
    <w:p w14:paraId="272B63B3" w14:textId="1BF95E75" w:rsidR="000D5A1D" w:rsidRPr="00EC18F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EC18F1">
        <w:rPr>
          <w:rFonts w:ascii="Palatino Linotype" w:eastAsia="Times New Roman" w:hAnsi="Palatino Linotype" w:cs="Arial"/>
          <w:color w:val="000000" w:themeColor="text1"/>
          <w:lang w:val="es-ES"/>
        </w:rPr>
        <w:t>D</w:t>
      </w:r>
      <w:r w:rsidR="00561ED1" w:rsidRPr="00EC18F1">
        <w:rPr>
          <w:rFonts w:ascii="Palatino Linotype" w:eastAsia="Times New Roman" w:hAnsi="Palatino Linotype" w:cs="Arial"/>
          <w:color w:val="000000" w:themeColor="text1"/>
          <w:lang w:val="es-ES"/>
        </w:rPr>
        <w:t xml:space="preserve">erivado de la respuesta emitida por el </w:t>
      </w:r>
      <w:r w:rsidR="00561ED1" w:rsidRPr="00EC18F1">
        <w:rPr>
          <w:rFonts w:ascii="Palatino Linotype" w:eastAsia="Times New Roman" w:hAnsi="Palatino Linotype" w:cs="Arial"/>
          <w:b/>
          <w:color w:val="000000" w:themeColor="text1"/>
          <w:lang w:val="es-ES"/>
        </w:rPr>
        <w:t>SUJETO OBLIGADO</w:t>
      </w:r>
      <w:r w:rsidR="00561ED1" w:rsidRPr="00EC18F1">
        <w:rPr>
          <w:rFonts w:ascii="Palatino Linotype" w:eastAsia="Times New Roman" w:hAnsi="Palatino Linotype" w:cs="Arial"/>
          <w:color w:val="000000" w:themeColor="text1"/>
          <w:lang w:val="es-ES"/>
        </w:rPr>
        <w:t>, e</w:t>
      </w:r>
      <w:r w:rsidR="00DB4BEF" w:rsidRPr="00EC18F1">
        <w:rPr>
          <w:rFonts w:ascii="Palatino Linotype" w:eastAsia="Times New Roman" w:hAnsi="Palatino Linotype" w:cs="Arial"/>
          <w:color w:val="000000" w:themeColor="text1"/>
          <w:lang w:val="es-ES"/>
        </w:rPr>
        <w:t xml:space="preserve">l </w:t>
      </w:r>
      <w:r w:rsidR="00610B2D" w:rsidRPr="00EC18F1">
        <w:rPr>
          <w:rFonts w:ascii="Palatino Linotype" w:eastAsia="Times New Roman" w:hAnsi="Palatino Linotype" w:cs="Arial"/>
          <w:color w:val="000000" w:themeColor="text1"/>
          <w:lang w:val="es-ES"/>
        </w:rPr>
        <w:t xml:space="preserve">nueve (09) de diciembre </w:t>
      </w:r>
      <w:r w:rsidR="000E0AF9" w:rsidRPr="00EC18F1">
        <w:rPr>
          <w:rFonts w:ascii="Palatino Linotype" w:eastAsia="Times New Roman" w:hAnsi="Palatino Linotype" w:cs="Arial"/>
          <w:color w:val="000000" w:themeColor="text1"/>
          <w:lang w:val="es-ES"/>
        </w:rPr>
        <w:t>de dos mil veintidós</w:t>
      </w:r>
      <w:r w:rsidR="00FE49E3" w:rsidRPr="00EC18F1">
        <w:rPr>
          <w:rFonts w:ascii="Palatino Linotype" w:eastAsia="Times New Roman" w:hAnsi="Palatino Linotype" w:cs="Arial"/>
          <w:color w:val="000000" w:themeColor="text1"/>
          <w:lang w:val="es-ES"/>
        </w:rPr>
        <w:t xml:space="preserve">, </w:t>
      </w:r>
      <w:r w:rsidR="00610B2D" w:rsidRPr="00EC18F1">
        <w:rPr>
          <w:rFonts w:ascii="Palatino Linotype" w:eastAsia="Times New Roman" w:hAnsi="Palatino Linotype" w:cs="Arial"/>
          <w:color w:val="000000" w:themeColor="text1"/>
          <w:lang w:val="es-ES"/>
        </w:rPr>
        <w:t>el</w:t>
      </w:r>
      <w:r w:rsidR="005F1362" w:rsidRPr="00EC18F1">
        <w:rPr>
          <w:rFonts w:ascii="Palatino Linotype" w:eastAsia="Times New Roman" w:hAnsi="Palatino Linotype" w:cs="Arial"/>
          <w:color w:val="000000" w:themeColor="text1"/>
          <w:lang w:val="es-ES"/>
        </w:rPr>
        <w:t xml:space="preserve"> particular</w:t>
      </w:r>
      <w:r w:rsidR="00DB4BEF" w:rsidRPr="00EC18F1">
        <w:rPr>
          <w:rFonts w:ascii="Palatino Linotype" w:eastAsia="Times New Roman" w:hAnsi="Palatino Linotype" w:cs="Arial"/>
          <w:color w:val="000000" w:themeColor="text1"/>
          <w:lang w:val="es-ES"/>
        </w:rPr>
        <w:t xml:space="preserve"> interpuso</w:t>
      </w:r>
      <w:r w:rsidR="009316E9" w:rsidRPr="00EC18F1">
        <w:rPr>
          <w:rFonts w:ascii="Palatino Linotype" w:eastAsia="Times New Roman" w:hAnsi="Palatino Linotype" w:cs="Arial"/>
          <w:color w:val="000000" w:themeColor="text1"/>
          <w:lang w:val="es-ES"/>
        </w:rPr>
        <w:t xml:space="preserve"> </w:t>
      </w:r>
      <w:r w:rsidR="00F25B61" w:rsidRPr="00EC18F1">
        <w:rPr>
          <w:rFonts w:ascii="Palatino Linotype" w:eastAsia="Times New Roman" w:hAnsi="Palatino Linotype" w:cs="Arial"/>
          <w:color w:val="000000" w:themeColor="text1"/>
          <w:lang w:val="es-ES"/>
        </w:rPr>
        <w:t>el</w:t>
      </w:r>
      <w:r w:rsidR="004D68F8" w:rsidRPr="00EC18F1">
        <w:rPr>
          <w:rFonts w:ascii="Palatino Linotype" w:eastAsia="Times New Roman" w:hAnsi="Palatino Linotype" w:cs="Arial"/>
          <w:color w:val="000000" w:themeColor="text1"/>
          <w:lang w:val="es-ES"/>
        </w:rPr>
        <w:t xml:space="preserve"> recurso de revisión </w:t>
      </w:r>
      <w:r w:rsidR="006073A5" w:rsidRPr="00EC18F1">
        <w:rPr>
          <w:rFonts w:ascii="Palatino Linotype" w:eastAsia="Calibri" w:hAnsi="Palatino Linotype" w:cs="Arial"/>
          <w:b/>
          <w:color w:val="000000" w:themeColor="text1"/>
          <w:lang w:val="es-ES"/>
        </w:rPr>
        <w:t>17243/INFOEM/IP/RR/2022</w:t>
      </w:r>
      <w:r w:rsidR="009A0461" w:rsidRPr="00EC18F1">
        <w:rPr>
          <w:rFonts w:ascii="Palatino Linotype" w:eastAsia="Calibri" w:hAnsi="Palatino Linotype" w:cs="Arial"/>
          <w:color w:val="000000" w:themeColor="text1"/>
          <w:lang w:val="es-ES"/>
        </w:rPr>
        <w:t>;</w:t>
      </w:r>
      <w:r w:rsidR="00102D65" w:rsidRPr="00EC18F1">
        <w:rPr>
          <w:rFonts w:ascii="Palatino Linotype" w:eastAsia="Times New Roman" w:hAnsi="Palatino Linotype" w:cs="Arial"/>
          <w:color w:val="000000" w:themeColor="text1"/>
          <w:lang w:val="es-ES"/>
        </w:rPr>
        <w:t xml:space="preserve"> </w:t>
      </w:r>
      <w:r w:rsidR="00F25B61" w:rsidRPr="00EC18F1">
        <w:rPr>
          <w:rFonts w:ascii="Palatino Linotype" w:eastAsia="Times New Roman" w:hAnsi="Palatino Linotype" w:cs="Arial"/>
          <w:color w:val="000000" w:themeColor="text1"/>
          <w:lang w:val="es-ES"/>
        </w:rPr>
        <w:t>impugnación</w:t>
      </w:r>
      <w:r w:rsidR="004D68F8" w:rsidRPr="00EC18F1">
        <w:rPr>
          <w:rFonts w:ascii="Palatino Linotype" w:eastAsia="Times New Roman" w:hAnsi="Palatino Linotype" w:cs="Arial"/>
          <w:color w:val="000000" w:themeColor="text1"/>
          <w:lang w:val="es-ES"/>
        </w:rPr>
        <w:t xml:space="preserve"> </w:t>
      </w:r>
      <w:r w:rsidR="00A45546" w:rsidRPr="00EC18F1">
        <w:rPr>
          <w:rFonts w:ascii="Palatino Linotype" w:eastAsia="Times New Roman" w:hAnsi="Palatino Linotype" w:cs="Arial"/>
          <w:color w:val="000000" w:themeColor="text1"/>
          <w:lang w:val="es-ES"/>
        </w:rPr>
        <w:t xml:space="preserve">en </w:t>
      </w:r>
      <w:r w:rsidR="00977D37" w:rsidRPr="00EC18F1">
        <w:rPr>
          <w:rFonts w:ascii="Palatino Linotype" w:eastAsia="Times New Roman" w:hAnsi="Palatino Linotype" w:cs="Arial"/>
          <w:color w:val="000000" w:themeColor="text1"/>
          <w:lang w:val="es-ES"/>
        </w:rPr>
        <w:t>la</w:t>
      </w:r>
      <w:r w:rsidR="00A45546" w:rsidRPr="00EC18F1">
        <w:rPr>
          <w:rFonts w:ascii="Palatino Linotype" w:eastAsia="Times New Roman" w:hAnsi="Palatino Linotype" w:cs="Arial"/>
          <w:color w:val="000000" w:themeColor="text1"/>
          <w:lang w:val="es-ES"/>
        </w:rPr>
        <w:t xml:space="preserve"> que refirió </w:t>
      </w:r>
      <w:r w:rsidR="004D68F8" w:rsidRPr="00EC18F1">
        <w:rPr>
          <w:rFonts w:ascii="Palatino Linotype" w:eastAsia="Times New Roman" w:hAnsi="Palatino Linotype" w:cs="Arial"/>
          <w:color w:val="000000" w:themeColor="text1"/>
          <w:lang w:val="es-ES"/>
        </w:rPr>
        <w:t>lo siguiente:</w:t>
      </w:r>
    </w:p>
    <w:p w14:paraId="5D958B88" w14:textId="559A930D" w:rsidR="00E34622" w:rsidRPr="00EC18F1" w:rsidRDefault="00E34622" w:rsidP="00610B2D">
      <w:pPr>
        <w:pStyle w:val="Prrafodelista"/>
        <w:numPr>
          <w:ilvl w:val="0"/>
          <w:numId w:val="4"/>
        </w:numPr>
        <w:tabs>
          <w:tab w:val="left" w:pos="1418"/>
        </w:tabs>
        <w:spacing w:line="276" w:lineRule="auto"/>
        <w:ind w:left="1134" w:right="567"/>
        <w:jc w:val="both"/>
        <w:rPr>
          <w:rFonts w:ascii="Palatino Linotype" w:eastAsia="Times New Roman" w:hAnsi="Palatino Linotype" w:cs="Arial"/>
          <w:color w:val="000000" w:themeColor="text1"/>
          <w:sz w:val="22"/>
          <w:lang w:val="es-ES"/>
        </w:rPr>
      </w:pPr>
      <w:r w:rsidRPr="00EC18F1">
        <w:rPr>
          <w:rFonts w:ascii="Palatino Linotype" w:eastAsia="Times New Roman" w:hAnsi="Palatino Linotype" w:cs="Arial"/>
          <w:b/>
          <w:color w:val="000000" w:themeColor="text1"/>
          <w:sz w:val="22"/>
          <w:lang w:val="es-ES"/>
        </w:rPr>
        <w:t>Acto impugnado:</w:t>
      </w:r>
      <w:r w:rsidRPr="00EC18F1">
        <w:rPr>
          <w:rFonts w:ascii="Palatino Linotype" w:eastAsia="Times New Roman" w:hAnsi="Palatino Linotype" w:cs="Arial"/>
          <w:color w:val="000000" w:themeColor="text1"/>
          <w:sz w:val="22"/>
          <w:lang w:val="es-ES"/>
        </w:rPr>
        <w:t xml:space="preserve"> “</w:t>
      </w:r>
      <w:r w:rsidR="00610B2D" w:rsidRPr="00EC18F1">
        <w:rPr>
          <w:rFonts w:ascii="Palatino Linotype" w:eastAsia="Times New Roman" w:hAnsi="Palatino Linotype" w:cs="Arial"/>
          <w:i/>
          <w:iCs/>
          <w:color w:val="000000" w:themeColor="text1"/>
          <w:sz w:val="22"/>
          <w:lang w:val="es-ES"/>
        </w:rPr>
        <w:t>Respuesta del Obligado</w:t>
      </w:r>
      <w:r w:rsidRPr="00EC18F1">
        <w:rPr>
          <w:rFonts w:ascii="Palatino Linotype" w:eastAsia="Times New Roman" w:hAnsi="Palatino Linotype" w:cs="Arial"/>
          <w:i/>
          <w:iCs/>
          <w:color w:val="000000" w:themeColor="text1"/>
          <w:sz w:val="22"/>
          <w:lang w:val="es-ES"/>
        </w:rPr>
        <w:t>”</w:t>
      </w:r>
      <w:r w:rsidRPr="00EC18F1">
        <w:rPr>
          <w:rFonts w:ascii="Palatino Linotype" w:eastAsia="Times New Roman" w:hAnsi="Palatino Linotype" w:cs="Arial"/>
          <w:color w:val="000000" w:themeColor="text1"/>
          <w:sz w:val="22"/>
          <w:lang w:val="es-ES"/>
        </w:rPr>
        <w:t xml:space="preserve"> (Sic).</w:t>
      </w:r>
    </w:p>
    <w:p w14:paraId="25E44FB6" w14:textId="77777777" w:rsidR="00F25B61" w:rsidRPr="00EC18F1" w:rsidRDefault="00F25B61" w:rsidP="00610B2D">
      <w:pPr>
        <w:pStyle w:val="Prrafodelista"/>
        <w:tabs>
          <w:tab w:val="left" w:pos="1418"/>
        </w:tabs>
        <w:spacing w:line="276" w:lineRule="auto"/>
        <w:ind w:left="1134" w:right="567"/>
        <w:jc w:val="both"/>
        <w:rPr>
          <w:rFonts w:ascii="Palatino Linotype" w:eastAsia="Times New Roman" w:hAnsi="Palatino Linotype" w:cs="Arial"/>
          <w:color w:val="000000" w:themeColor="text1"/>
          <w:sz w:val="22"/>
          <w:lang w:val="es-ES"/>
        </w:rPr>
      </w:pPr>
    </w:p>
    <w:p w14:paraId="7DB0260F" w14:textId="310A73AB" w:rsidR="000E096F" w:rsidRPr="00EC18F1" w:rsidRDefault="00E34622" w:rsidP="00610B2D">
      <w:pPr>
        <w:pStyle w:val="Prrafodelista"/>
        <w:numPr>
          <w:ilvl w:val="0"/>
          <w:numId w:val="4"/>
        </w:numPr>
        <w:tabs>
          <w:tab w:val="left" w:pos="1418"/>
        </w:tabs>
        <w:spacing w:line="276" w:lineRule="auto"/>
        <w:ind w:left="1134" w:right="567"/>
        <w:jc w:val="both"/>
        <w:rPr>
          <w:rFonts w:ascii="Palatino Linotype" w:eastAsia="Times New Roman" w:hAnsi="Palatino Linotype" w:cs="Arial"/>
          <w:color w:val="000000" w:themeColor="text1"/>
          <w:sz w:val="22"/>
          <w:lang w:val="es-ES"/>
        </w:rPr>
      </w:pPr>
      <w:r w:rsidRPr="00EC18F1">
        <w:rPr>
          <w:rFonts w:ascii="Palatino Linotype" w:eastAsia="Times New Roman" w:hAnsi="Palatino Linotype" w:cs="Arial"/>
          <w:b/>
          <w:color w:val="000000" w:themeColor="text1"/>
          <w:sz w:val="22"/>
          <w:lang w:val="es-ES"/>
        </w:rPr>
        <w:t>Razones o motivos de inconformidad:</w:t>
      </w:r>
      <w:r w:rsidRPr="00EC18F1">
        <w:rPr>
          <w:rFonts w:ascii="Palatino Linotype" w:eastAsia="Times New Roman" w:hAnsi="Palatino Linotype" w:cs="Arial"/>
          <w:color w:val="000000" w:themeColor="text1"/>
          <w:sz w:val="22"/>
          <w:lang w:val="es-ES"/>
        </w:rPr>
        <w:t xml:space="preserve"> </w:t>
      </w:r>
      <w:r w:rsidR="00360789" w:rsidRPr="00EC18F1">
        <w:rPr>
          <w:rFonts w:ascii="Palatino Linotype" w:eastAsia="Times New Roman" w:hAnsi="Palatino Linotype" w:cs="Arial"/>
          <w:i/>
          <w:color w:val="000000" w:themeColor="text1"/>
          <w:sz w:val="22"/>
          <w:lang w:val="es-ES"/>
        </w:rPr>
        <w:t>“</w:t>
      </w:r>
      <w:r w:rsidR="00610B2D" w:rsidRPr="00EC18F1">
        <w:rPr>
          <w:rFonts w:ascii="Palatino Linotype" w:eastAsia="Times New Roman" w:hAnsi="Palatino Linotype" w:cs="Arial"/>
          <w:i/>
          <w:color w:val="000000" w:themeColor="text1"/>
          <w:sz w:val="22"/>
          <w:lang w:val="es-ES"/>
        </w:rPr>
        <w:t>El obligado da respuesta parcial a la información solicitada, violando el principio del acceso a la información del particular asi mismo la publicidad de la información.</w:t>
      </w:r>
      <w:r w:rsidR="00360789" w:rsidRPr="00EC18F1">
        <w:rPr>
          <w:rFonts w:ascii="Palatino Linotype" w:eastAsia="Times New Roman" w:hAnsi="Palatino Linotype" w:cs="Arial"/>
          <w:i/>
          <w:color w:val="000000" w:themeColor="text1"/>
          <w:sz w:val="22"/>
          <w:lang w:val="es-ES"/>
        </w:rPr>
        <w:t>”</w:t>
      </w:r>
    </w:p>
    <w:p w14:paraId="3C8DEE6E" w14:textId="77777777" w:rsidR="00394F10" w:rsidRPr="00EC18F1"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67AFA05" w14:textId="243CD571" w:rsidR="00610B2D" w:rsidRPr="00EC18F1" w:rsidRDefault="00610B2D"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18F1">
        <w:rPr>
          <w:rFonts w:ascii="Palatino Linotype" w:eastAsia="Calibri" w:hAnsi="Palatino Linotype" w:cs="Arial"/>
          <w:color w:val="000000" w:themeColor="text1"/>
          <w:lang w:val="es-ES"/>
        </w:rPr>
        <w:t xml:space="preserve">Adjunto a su recurso de revisión, el ahora </w:t>
      </w:r>
      <w:r w:rsidRPr="00EC18F1">
        <w:rPr>
          <w:rFonts w:ascii="Palatino Linotype" w:eastAsia="Calibri" w:hAnsi="Palatino Linotype" w:cs="Arial"/>
          <w:b/>
          <w:color w:val="000000" w:themeColor="text1"/>
          <w:lang w:val="es-ES"/>
        </w:rPr>
        <w:t>RECURRENTE</w:t>
      </w:r>
      <w:r w:rsidRPr="00EC18F1">
        <w:rPr>
          <w:rFonts w:ascii="Palatino Linotype" w:eastAsia="Calibri" w:hAnsi="Palatino Linotype" w:cs="Arial"/>
          <w:color w:val="000000" w:themeColor="text1"/>
          <w:lang w:val="es-ES"/>
        </w:rPr>
        <w:t xml:space="preserve"> presentó el archivo electrónico cuyo título y contenido se resume a continuación:</w:t>
      </w:r>
    </w:p>
    <w:p w14:paraId="4CD51B5A" w14:textId="29BBC25D" w:rsidR="00610B2D" w:rsidRPr="00EC18F1" w:rsidRDefault="00610B2D" w:rsidP="00610B2D">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“SAIMEX timilpan.pdf”</w:t>
      </w:r>
      <w:r w:rsidRPr="00EC18F1">
        <w:rPr>
          <w:rFonts w:ascii="Palatino Linotype" w:eastAsia="Calibri" w:hAnsi="Palatino Linotype" w:cs="Arial"/>
          <w:color w:val="000000" w:themeColor="text1"/>
          <w:sz w:val="22"/>
          <w:lang w:val="es-ES"/>
        </w:rPr>
        <w:t xml:space="preserve">: Documento de una foja consistente en la relación </w:t>
      </w:r>
      <w:r w:rsidRPr="00EC18F1">
        <w:rPr>
          <w:rFonts w:ascii="Palatino Linotype" w:hAnsi="Palatino Linotype"/>
          <w:color w:val="000000" w:themeColor="text1"/>
          <w:sz w:val="22"/>
        </w:rPr>
        <w:t xml:space="preserve">del personal de nómina y lista de raya del dos mil diecinueve, entregado originalmente en respuesta a la solicitud de información </w:t>
      </w:r>
      <w:r w:rsidRPr="00EC18F1">
        <w:rPr>
          <w:rFonts w:ascii="Palatino Linotype" w:hAnsi="Palatino Linotype"/>
          <w:b/>
          <w:color w:val="000000" w:themeColor="text1"/>
          <w:sz w:val="22"/>
        </w:rPr>
        <w:t>00073/TIMILPAN/IP/2022</w:t>
      </w:r>
      <w:r w:rsidRPr="00EC18F1">
        <w:rPr>
          <w:rFonts w:ascii="Palatino Linotype" w:hAnsi="Palatino Linotype"/>
          <w:color w:val="000000" w:themeColor="text1"/>
          <w:sz w:val="22"/>
        </w:rPr>
        <w:t>.</w:t>
      </w:r>
    </w:p>
    <w:p w14:paraId="51C7B43B" w14:textId="77777777" w:rsidR="00610B2D" w:rsidRPr="00EC18F1" w:rsidRDefault="00610B2D" w:rsidP="00610B2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26F94065" w:rsidR="005C7898" w:rsidRPr="00EC18F1" w:rsidRDefault="00610B2D"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18F1">
        <w:rPr>
          <w:rFonts w:ascii="Palatino Linotype" w:eastAsia="Calibri" w:hAnsi="Palatino Linotype" w:cs="Arial"/>
          <w:color w:val="000000" w:themeColor="text1"/>
          <w:lang w:val="es-ES"/>
        </w:rPr>
        <w:t>S</w:t>
      </w:r>
      <w:r w:rsidR="005C7898" w:rsidRPr="00EC18F1">
        <w:rPr>
          <w:rFonts w:ascii="Palatino Linotype" w:eastAsia="Calibri" w:hAnsi="Palatino Linotype" w:cs="Arial"/>
          <w:color w:val="000000" w:themeColor="text1"/>
          <w:lang w:val="es-ES"/>
        </w:rPr>
        <w:t xml:space="preserve">e </w:t>
      </w:r>
      <w:r w:rsidR="00F25B61" w:rsidRPr="00EC18F1">
        <w:rPr>
          <w:rFonts w:ascii="Palatino Linotype" w:eastAsia="Times New Roman" w:hAnsi="Palatino Linotype" w:cs="Arial"/>
          <w:color w:val="000000" w:themeColor="text1"/>
          <w:lang w:val="es-ES"/>
        </w:rPr>
        <w:t>registró</w:t>
      </w:r>
      <w:r w:rsidR="005C7898" w:rsidRPr="00EC18F1">
        <w:rPr>
          <w:rFonts w:ascii="Palatino Linotype" w:eastAsia="Times New Roman" w:hAnsi="Palatino Linotype" w:cs="Arial"/>
          <w:color w:val="000000" w:themeColor="text1"/>
          <w:lang w:val="es-ES"/>
        </w:rPr>
        <w:t xml:space="preserve"> </w:t>
      </w:r>
      <w:r w:rsidR="00F25B61" w:rsidRPr="00EC18F1">
        <w:rPr>
          <w:rFonts w:ascii="Palatino Linotype" w:eastAsia="Times New Roman" w:hAnsi="Palatino Linotype" w:cs="Arial"/>
          <w:color w:val="000000" w:themeColor="text1"/>
          <w:lang w:val="es-ES"/>
        </w:rPr>
        <w:t>el</w:t>
      </w:r>
      <w:r w:rsidR="005C7898" w:rsidRPr="00EC18F1">
        <w:rPr>
          <w:rFonts w:ascii="Palatino Linotype" w:eastAsia="Times New Roman" w:hAnsi="Palatino Linotype" w:cs="Arial"/>
          <w:color w:val="000000" w:themeColor="text1"/>
          <w:lang w:val="es-ES"/>
        </w:rPr>
        <w:t xml:space="preserve"> recurso de revisión bajo </w:t>
      </w:r>
      <w:r w:rsidR="00F25B61" w:rsidRPr="00EC18F1">
        <w:rPr>
          <w:rFonts w:ascii="Palatino Linotype" w:eastAsia="Times New Roman" w:hAnsi="Palatino Linotype" w:cs="Arial"/>
          <w:color w:val="000000" w:themeColor="text1"/>
          <w:lang w:val="es-ES"/>
        </w:rPr>
        <w:t>el</w:t>
      </w:r>
      <w:r w:rsidR="005C7898" w:rsidRPr="00EC18F1">
        <w:rPr>
          <w:rFonts w:ascii="Palatino Linotype" w:eastAsia="Times New Roman" w:hAnsi="Palatino Linotype" w:cs="Arial"/>
          <w:color w:val="000000" w:themeColor="text1"/>
          <w:lang w:val="es-ES"/>
        </w:rPr>
        <w:t xml:space="preserve"> número de expediente </w:t>
      </w:r>
      <w:r w:rsidR="006073A5" w:rsidRPr="00EC18F1">
        <w:rPr>
          <w:rFonts w:ascii="Palatino Linotype" w:eastAsia="Times New Roman" w:hAnsi="Palatino Linotype" w:cs="Arial"/>
          <w:b/>
          <w:color w:val="000000" w:themeColor="text1"/>
          <w:lang w:val="es-ES"/>
        </w:rPr>
        <w:t>17243/INFOEM/IP/RR/2022</w:t>
      </w:r>
      <w:r w:rsidR="005C7898" w:rsidRPr="00EC18F1">
        <w:rPr>
          <w:rFonts w:ascii="Palatino Linotype" w:hAnsi="Palatino Linotype" w:cs="Arial"/>
          <w:bCs/>
          <w:color w:val="000000" w:themeColor="text1"/>
        </w:rPr>
        <w:t xml:space="preserve">; asimismo, con fundamento en lo dispuesto por el </w:t>
      </w:r>
      <w:r w:rsidR="005C7898" w:rsidRPr="00EC18F1">
        <w:rPr>
          <w:rFonts w:ascii="Palatino Linotype" w:eastAsia="Calibri" w:hAnsi="Palatino Linotype" w:cs="Arial"/>
          <w:bCs/>
          <w:color w:val="000000" w:themeColor="text1"/>
          <w:lang w:val="es-ES"/>
        </w:rPr>
        <w:t>artículo 185</w:t>
      </w:r>
      <w:r w:rsidR="00AE1CCB" w:rsidRPr="00EC18F1">
        <w:rPr>
          <w:rFonts w:ascii="Palatino Linotype" w:eastAsia="Calibri" w:hAnsi="Palatino Linotype" w:cs="Arial"/>
          <w:bCs/>
          <w:color w:val="000000" w:themeColor="text1"/>
          <w:lang w:val="es-ES"/>
        </w:rPr>
        <w:t>,</w:t>
      </w:r>
      <w:r w:rsidR="005C7898" w:rsidRPr="00EC18F1">
        <w:rPr>
          <w:rFonts w:ascii="Palatino Linotype" w:eastAsia="Calibri" w:hAnsi="Palatino Linotype" w:cs="Arial"/>
          <w:bCs/>
          <w:color w:val="000000" w:themeColor="text1"/>
          <w:lang w:val="es-ES"/>
        </w:rPr>
        <w:t xml:space="preserve"> fracción I</w:t>
      </w:r>
      <w:r w:rsidR="00AE1CCB" w:rsidRPr="00EC18F1">
        <w:rPr>
          <w:rFonts w:ascii="Palatino Linotype" w:eastAsia="Calibri" w:hAnsi="Palatino Linotype" w:cs="Arial"/>
          <w:bCs/>
          <w:color w:val="000000" w:themeColor="text1"/>
          <w:lang w:val="es-ES"/>
        </w:rPr>
        <w:t>,</w:t>
      </w:r>
      <w:r w:rsidR="005C7898" w:rsidRPr="00EC18F1">
        <w:rPr>
          <w:rFonts w:ascii="Palatino Linotype" w:eastAsia="Calibri" w:hAnsi="Palatino Linotype" w:cs="Arial"/>
          <w:bCs/>
          <w:color w:val="000000" w:themeColor="text1"/>
          <w:lang w:val="es-ES"/>
        </w:rPr>
        <w:t xml:space="preserve"> de la Ley de Transparencia y Acceso a la Información Pública del Estado de </w:t>
      </w:r>
      <w:r w:rsidR="005C7898" w:rsidRPr="00EC18F1">
        <w:rPr>
          <w:rFonts w:ascii="Palatino Linotype" w:eastAsia="Calibri" w:hAnsi="Palatino Linotype" w:cs="Arial"/>
          <w:bCs/>
          <w:color w:val="000000" w:themeColor="text1"/>
          <w:lang w:val="es-ES"/>
        </w:rPr>
        <w:lastRenderedPageBreak/>
        <w:t xml:space="preserve">México y Municipios </w:t>
      </w:r>
      <w:r w:rsidR="005C7898" w:rsidRPr="00EC18F1">
        <w:rPr>
          <w:rFonts w:ascii="Palatino Linotype" w:eastAsia="Times New Roman" w:hAnsi="Palatino Linotype" w:cs="Arial"/>
          <w:bCs/>
          <w:color w:val="000000" w:themeColor="text1"/>
          <w:lang w:val="es-ES"/>
        </w:rPr>
        <w:t xml:space="preserve">se </w:t>
      </w:r>
      <w:r w:rsidR="00F25B61" w:rsidRPr="00EC18F1">
        <w:rPr>
          <w:rFonts w:ascii="Palatino Linotype" w:eastAsia="Times New Roman" w:hAnsi="Palatino Linotype" w:cs="Arial"/>
          <w:bCs/>
          <w:color w:val="000000" w:themeColor="text1"/>
          <w:lang w:val="es-ES"/>
        </w:rPr>
        <w:t>turnó</w:t>
      </w:r>
      <w:r w:rsidR="005C7898" w:rsidRPr="00EC18F1">
        <w:rPr>
          <w:rFonts w:ascii="Palatino Linotype" w:eastAsia="Times New Roman" w:hAnsi="Palatino Linotype" w:cs="Arial"/>
          <w:bCs/>
          <w:color w:val="000000" w:themeColor="text1"/>
          <w:lang w:val="es-ES"/>
        </w:rPr>
        <w:t xml:space="preserve"> a l</w:t>
      </w:r>
      <w:r w:rsidR="00F25B61" w:rsidRPr="00EC18F1">
        <w:rPr>
          <w:rFonts w:ascii="Palatino Linotype" w:eastAsia="Times New Roman" w:hAnsi="Palatino Linotype" w:cs="Arial"/>
          <w:bCs/>
          <w:color w:val="000000" w:themeColor="text1"/>
          <w:lang w:val="es-ES"/>
        </w:rPr>
        <w:t>a</w:t>
      </w:r>
      <w:r w:rsidR="005C7898" w:rsidRPr="00EC18F1">
        <w:rPr>
          <w:rFonts w:ascii="Palatino Linotype" w:eastAsia="Times New Roman" w:hAnsi="Palatino Linotype" w:cs="Arial"/>
          <w:bCs/>
          <w:color w:val="000000" w:themeColor="text1"/>
          <w:lang w:val="es-ES"/>
        </w:rPr>
        <w:t xml:space="preserve"> </w:t>
      </w:r>
      <w:r w:rsidR="005C7898" w:rsidRPr="00EC18F1">
        <w:rPr>
          <w:rFonts w:ascii="Palatino Linotype" w:eastAsia="Times New Roman" w:hAnsi="Palatino Linotype" w:cs="Arial"/>
          <w:b/>
          <w:bCs/>
          <w:color w:val="000000" w:themeColor="text1"/>
          <w:lang w:val="es-ES"/>
        </w:rPr>
        <w:t>Comisionad</w:t>
      </w:r>
      <w:r w:rsidR="00F25B61" w:rsidRPr="00EC18F1">
        <w:rPr>
          <w:rFonts w:ascii="Palatino Linotype" w:eastAsia="Times New Roman" w:hAnsi="Palatino Linotype" w:cs="Arial"/>
          <w:b/>
          <w:bCs/>
          <w:color w:val="000000" w:themeColor="text1"/>
          <w:lang w:val="es-ES"/>
        </w:rPr>
        <w:t>a</w:t>
      </w:r>
      <w:r w:rsidR="005C7898" w:rsidRPr="00EC18F1">
        <w:rPr>
          <w:rFonts w:ascii="Palatino Linotype" w:eastAsia="Times New Roman" w:hAnsi="Palatino Linotype" w:cs="Arial"/>
          <w:b/>
          <w:bCs/>
          <w:color w:val="000000" w:themeColor="text1"/>
          <w:lang w:val="es-ES"/>
        </w:rPr>
        <w:t xml:space="preserve"> María del Rosario Mejía Ayala</w:t>
      </w:r>
      <w:r w:rsidR="00F25B61" w:rsidRPr="00EC18F1">
        <w:rPr>
          <w:rFonts w:ascii="Palatino Linotype" w:eastAsia="Times New Roman" w:hAnsi="Palatino Linotype" w:cs="Arial"/>
          <w:bCs/>
          <w:color w:val="000000" w:themeColor="text1"/>
          <w:lang w:val="es-ES"/>
        </w:rPr>
        <w:t>,</w:t>
      </w:r>
      <w:r w:rsidR="005C7898" w:rsidRPr="00EC18F1">
        <w:rPr>
          <w:rFonts w:ascii="Palatino Linotype" w:eastAsia="Times New Roman" w:hAnsi="Palatino Linotype" w:cs="Arial"/>
          <w:bCs/>
          <w:color w:val="000000" w:themeColor="text1"/>
          <w:lang w:val="es-ES"/>
        </w:rPr>
        <w:t xml:space="preserve"> </w:t>
      </w:r>
      <w:r w:rsidR="001A0F59" w:rsidRPr="00EC18F1">
        <w:rPr>
          <w:rFonts w:ascii="Palatino Linotype" w:eastAsia="Times New Roman" w:hAnsi="Palatino Linotype" w:cs="Arial"/>
          <w:bCs/>
          <w:color w:val="000000" w:themeColor="text1"/>
          <w:lang w:val="es-ES"/>
        </w:rPr>
        <w:t>para</w:t>
      </w:r>
      <w:r w:rsidR="005C7898" w:rsidRPr="00EC18F1">
        <w:rPr>
          <w:rFonts w:ascii="Palatino Linotype" w:eastAsia="Times New Roman" w:hAnsi="Palatino Linotype" w:cs="Arial"/>
          <w:bCs/>
          <w:color w:val="000000" w:themeColor="text1"/>
          <w:lang w:val="es-ES"/>
        </w:rPr>
        <w:t xml:space="preserve"> </w:t>
      </w:r>
      <w:r w:rsidR="005C7898" w:rsidRPr="00EC18F1">
        <w:rPr>
          <w:rFonts w:ascii="Palatino Linotype" w:eastAsia="Times New Roman" w:hAnsi="Palatino Linotype" w:cs="Arial"/>
          <w:bCs/>
          <w:color w:val="000000" w:themeColor="text1"/>
        </w:rPr>
        <w:t>su análisis.</w:t>
      </w:r>
    </w:p>
    <w:p w14:paraId="23A01433" w14:textId="77777777" w:rsidR="005C7898" w:rsidRPr="00EC18F1"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8658413" w:rsidR="00473F11" w:rsidRPr="00EC18F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EC18F1">
        <w:rPr>
          <w:rFonts w:ascii="Palatino Linotype" w:eastAsia="Times New Roman" w:hAnsi="Palatino Linotype" w:cs="Arial"/>
          <w:color w:val="000000" w:themeColor="text1"/>
          <w:lang w:val="es-ES"/>
        </w:rPr>
        <w:t>La Comisionada Ponente</w:t>
      </w:r>
      <w:r w:rsidR="00473F11" w:rsidRPr="00EC18F1">
        <w:rPr>
          <w:rFonts w:ascii="Palatino Linotype" w:eastAsia="Calibri" w:hAnsi="Palatino Linotype" w:cs="Arial"/>
          <w:color w:val="000000" w:themeColor="text1"/>
          <w:lang w:val="es-ES"/>
        </w:rPr>
        <w:t>, con fundamento en lo dispuesto por el artículo 185</w:t>
      </w:r>
      <w:r w:rsidR="00F638B9" w:rsidRPr="00EC18F1">
        <w:rPr>
          <w:rFonts w:ascii="Palatino Linotype" w:eastAsia="Calibri" w:hAnsi="Palatino Linotype" w:cs="Arial"/>
          <w:color w:val="000000" w:themeColor="text1"/>
          <w:lang w:val="es-ES"/>
        </w:rPr>
        <w:t>,</w:t>
      </w:r>
      <w:r w:rsidR="00473F11" w:rsidRPr="00EC18F1">
        <w:rPr>
          <w:rFonts w:ascii="Palatino Linotype" w:eastAsia="Calibri" w:hAnsi="Palatino Linotype" w:cs="Arial"/>
          <w:color w:val="000000" w:themeColor="text1"/>
          <w:lang w:val="es-ES"/>
        </w:rPr>
        <w:t xml:space="preserve"> fracción II</w:t>
      </w:r>
      <w:r w:rsidR="00F638B9" w:rsidRPr="00EC18F1">
        <w:rPr>
          <w:rFonts w:ascii="Palatino Linotype" w:eastAsia="Calibri" w:hAnsi="Palatino Linotype" w:cs="Arial"/>
          <w:color w:val="000000" w:themeColor="text1"/>
          <w:lang w:val="es-ES"/>
        </w:rPr>
        <w:t>,</w:t>
      </w:r>
      <w:r w:rsidR="00473F11" w:rsidRPr="00EC18F1">
        <w:rPr>
          <w:rFonts w:ascii="Palatino Linotype" w:eastAsia="Calibri" w:hAnsi="Palatino Linotype" w:cs="Arial"/>
          <w:color w:val="000000" w:themeColor="text1"/>
          <w:lang w:val="es-ES"/>
        </w:rPr>
        <w:t xml:space="preserve"> de la </w:t>
      </w:r>
      <w:r w:rsidRPr="00EC18F1">
        <w:rPr>
          <w:rFonts w:ascii="Palatino Linotype" w:eastAsia="Calibri" w:hAnsi="Palatino Linotype" w:cs="Arial"/>
          <w:color w:val="000000" w:themeColor="text1"/>
          <w:lang w:val="es-ES"/>
        </w:rPr>
        <w:t xml:space="preserve">Ley </w:t>
      </w:r>
      <w:r w:rsidR="00473F11" w:rsidRPr="00EC18F1">
        <w:rPr>
          <w:rFonts w:ascii="Palatino Linotype" w:eastAsia="Calibri" w:hAnsi="Palatino Linotype" w:cs="Arial"/>
          <w:color w:val="000000" w:themeColor="text1"/>
          <w:lang w:val="es-ES"/>
        </w:rPr>
        <w:t>de la materia, a través del acuerdo de admisión de</w:t>
      </w:r>
      <w:r w:rsidR="007E5A30" w:rsidRPr="00EC18F1">
        <w:rPr>
          <w:rFonts w:ascii="Palatino Linotype" w:eastAsia="Calibri" w:hAnsi="Palatino Linotype" w:cs="Arial"/>
          <w:color w:val="000000" w:themeColor="text1"/>
          <w:lang w:val="es-ES"/>
        </w:rPr>
        <w:t xml:space="preserve"> </w:t>
      </w:r>
      <w:r w:rsidR="00610B2D" w:rsidRPr="00EC18F1">
        <w:rPr>
          <w:rFonts w:ascii="Palatino Linotype" w:eastAsia="Calibri" w:hAnsi="Palatino Linotype" w:cs="Arial"/>
          <w:b/>
          <w:color w:val="000000" w:themeColor="text1"/>
          <w:lang w:val="es-ES"/>
        </w:rPr>
        <w:t>catorce (14) de diciembre de dos mil veintidós</w:t>
      </w:r>
      <w:r w:rsidR="00473F11" w:rsidRPr="00EC18F1">
        <w:rPr>
          <w:rFonts w:ascii="Palatino Linotype" w:eastAsia="Calibri" w:hAnsi="Palatino Linotype" w:cs="Arial"/>
          <w:color w:val="000000" w:themeColor="text1"/>
          <w:lang w:val="es-ES"/>
        </w:rPr>
        <w:t xml:space="preserve">, </w:t>
      </w:r>
      <w:r w:rsidRPr="00EC18F1">
        <w:rPr>
          <w:rFonts w:ascii="Palatino Linotype" w:eastAsia="Calibri" w:hAnsi="Palatino Linotype" w:cs="Arial"/>
          <w:color w:val="000000" w:themeColor="text1"/>
          <w:lang w:val="es-ES"/>
        </w:rPr>
        <w:t>puso</w:t>
      </w:r>
      <w:r w:rsidR="00473F11" w:rsidRPr="00EC18F1">
        <w:rPr>
          <w:rFonts w:ascii="Palatino Linotype" w:eastAsia="Calibri" w:hAnsi="Palatino Linotype" w:cs="Arial"/>
          <w:color w:val="000000" w:themeColor="text1"/>
          <w:lang w:val="es-ES"/>
        </w:rPr>
        <w:t xml:space="preserve"> a disposición de las partes </w:t>
      </w:r>
      <w:r w:rsidRPr="00EC18F1">
        <w:rPr>
          <w:rFonts w:ascii="Palatino Linotype" w:eastAsia="Calibri" w:hAnsi="Palatino Linotype" w:cs="Arial"/>
          <w:color w:val="000000" w:themeColor="text1"/>
          <w:lang w:val="es-ES"/>
        </w:rPr>
        <w:t>el expediente electrónico</w:t>
      </w:r>
      <w:r w:rsidR="00473F11" w:rsidRPr="00EC18F1">
        <w:rPr>
          <w:rFonts w:ascii="Palatino Linotype" w:eastAsia="Calibri" w:hAnsi="Palatino Linotype" w:cs="Arial"/>
          <w:color w:val="000000" w:themeColor="text1"/>
          <w:lang w:val="es-ES"/>
        </w:rPr>
        <w:t xml:space="preserve"> </w:t>
      </w:r>
      <w:r w:rsidR="00473F11" w:rsidRPr="00EC18F1">
        <w:rPr>
          <w:rFonts w:ascii="Palatino Linotype" w:eastAsia="Calibri" w:hAnsi="Palatino Linotype" w:cs="Arial"/>
          <w:color w:val="000000" w:themeColor="text1"/>
        </w:rPr>
        <w:t xml:space="preserve">vía </w:t>
      </w:r>
      <w:r w:rsidR="00E85FF3" w:rsidRPr="00EC18F1">
        <w:rPr>
          <w:rFonts w:ascii="Palatino Linotype" w:eastAsia="Calibri" w:hAnsi="Palatino Linotype" w:cs="Arial"/>
          <w:color w:val="000000" w:themeColor="text1"/>
          <w:lang w:val="es-ES"/>
        </w:rPr>
        <w:t xml:space="preserve">SAIMEX, </w:t>
      </w:r>
      <w:r w:rsidR="00473F11" w:rsidRPr="00EC18F1">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EC18F1">
        <w:rPr>
          <w:rFonts w:ascii="Palatino Linotype" w:eastAsia="Calibri" w:hAnsi="Palatino Linotype" w:cs="Arial"/>
          <w:b/>
          <w:color w:val="000000" w:themeColor="text1"/>
          <w:lang w:val="es-ES"/>
        </w:rPr>
        <w:t>SUJETO OBLIGADO</w:t>
      </w:r>
      <w:r w:rsidR="00473F11" w:rsidRPr="00EC18F1">
        <w:rPr>
          <w:rFonts w:ascii="Palatino Linotype" w:eastAsia="Calibri" w:hAnsi="Palatino Linotype" w:cs="Arial"/>
          <w:color w:val="000000" w:themeColor="text1"/>
          <w:lang w:val="es-ES"/>
        </w:rPr>
        <w:t xml:space="preserve"> presentara los Informes Justificados procedentes</w:t>
      </w:r>
      <w:bookmarkEnd w:id="3"/>
      <w:r w:rsidR="00AE1CCB" w:rsidRPr="00EC18F1">
        <w:rPr>
          <w:rFonts w:ascii="Palatino Linotype" w:eastAsia="Calibri" w:hAnsi="Palatino Linotype" w:cs="Arial"/>
          <w:color w:val="000000" w:themeColor="text1"/>
          <w:lang w:val="es-ES"/>
        </w:rPr>
        <w:t>.</w:t>
      </w:r>
    </w:p>
    <w:p w14:paraId="12EBC051" w14:textId="77777777" w:rsidR="00CF15AD" w:rsidRPr="00EC18F1"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1FD27E6" w14:textId="54A697F9" w:rsidR="000E0AF9" w:rsidRPr="00EC18F1" w:rsidRDefault="001B6088" w:rsidP="001B608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18F1">
        <w:rPr>
          <w:rFonts w:ascii="Palatino Linotype" w:eastAsia="Calibri" w:hAnsi="Palatino Linotype" w:cs="Arial"/>
          <w:color w:val="000000" w:themeColor="text1"/>
          <w:lang w:val="es-ES"/>
        </w:rPr>
        <w:t xml:space="preserve">El </w:t>
      </w:r>
      <w:r w:rsidR="00610B2D" w:rsidRPr="00EC18F1">
        <w:rPr>
          <w:rFonts w:ascii="Palatino Linotype" w:eastAsia="Calibri" w:hAnsi="Palatino Linotype" w:cs="Arial"/>
          <w:b/>
          <w:color w:val="000000" w:themeColor="text1"/>
          <w:lang w:val="es-ES"/>
        </w:rPr>
        <w:t>v</w:t>
      </w:r>
      <w:r w:rsidR="00DC5999" w:rsidRPr="00EC18F1">
        <w:rPr>
          <w:rFonts w:ascii="Palatino Linotype" w:eastAsia="Calibri" w:hAnsi="Palatino Linotype" w:cs="Arial"/>
          <w:b/>
          <w:color w:val="000000" w:themeColor="text1"/>
          <w:lang w:val="es-ES"/>
        </w:rPr>
        <w:t>eintiuno (21) y v</w:t>
      </w:r>
      <w:r w:rsidR="00610B2D" w:rsidRPr="00EC18F1">
        <w:rPr>
          <w:rFonts w:ascii="Palatino Linotype" w:eastAsia="Calibri" w:hAnsi="Palatino Linotype" w:cs="Arial"/>
          <w:b/>
          <w:color w:val="000000" w:themeColor="text1"/>
          <w:lang w:val="es-ES"/>
        </w:rPr>
        <w:t>eintidós (22) de diciembre de dos mil veintidós</w:t>
      </w:r>
      <w:r w:rsidR="00610B2D" w:rsidRPr="00EC18F1">
        <w:rPr>
          <w:rFonts w:ascii="Palatino Linotype" w:eastAsia="Calibri" w:hAnsi="Palatino Linotype" w:cs="Arial"/>
          <w:color w:val="000000" w:themeColor="text1"/>
          <w:lang w:val="es-ES"/>
        </w:rPr>
        <w:t xml:space="preserve">, y el </w:t>
      </w:r>
      <w:r w:rsidR="00610B2D" w:rsidRPr="00EC18F1">
        <w:rPr>
          <w:rFonts w:ascii="Palatino Linotype" w:eastAsia="Calibri" w:hAnsi="Palatino Linotype" w:cs="Arial"/>
          <w:b/>
          <w:color w:val="000000" w:themeColor="text1"/>
          <w:lang w:val="es-ES"/>
        </w:rPr>
        <w:t>nueve (09)</w:t>
      </w:r>
      <w:r w:rsidR="00610B2D" w:rsidRPr="00EC18F1">
        <w:rPr>
          <w:rFonts w:ascii="Palatino Linotype" w:eastAsia="Calibri" w:hAnsi="Palatino Linotype" w:cs="Arial"/>
          <w:color w:val="000000" w:themeColor="text1"/>
          <w:lang w:val="es-ES"/>
        </w:rPr>
        <w:t xml:space="preserve"> y </w:t>
      </w:r>
      <w:r w:rsidR="00610B2D" w:rsidRPr="00EC18F1">
        <w:rPr>
          <w:rFonts w:ascii="Palatino Linotype" w:eastAsia="Calibri" w:hAnsi="Palatino Linotype" w:cs="Arial"/>
          <w:b/>
          <w:color w:val="000000" w:themeColor="text1"/>
          <w:lang w:val="es-ES"/>
        </w:rPr>
        <w:t>diez (10) de enero de dos mil veintitrés</w:t>
      </w:r>
      <w:r w:rsidRPr="00EC18F1">
        <w:rPr>
          <w:rFonts w:ascii="Palatino Linotype" w:eastAsia="Calibri" w:hAnsi="Palatino Linotype" w:cs="Arial"/>
          <w:color w:val="000000" w:themeColor="text1"/>
          <w:lang w:val="es-ES"/>
        </w:rPr>
        <w:t xml:space="preserve">, el </w:t>
      </w:r>
      <w:r w:rsidRPr="00EC18F1">
        <w:rPr>
          <w:rFonts w:ascii="Palatino Linotype" w:eastAsia="Calibri" w:hAnsi="Palatino Linotype" w:cs="Arial"/>
          <w:b/>
          <w:color w:val="000000" w:themeColor="text1"/>
          <w:lang w:val="es-ES"/>
        </w:rPr>
        <w:t>SUJETO OBLIGADO</w:t>
      </w:r>
      <w:r w:rsidRPr="00EC18F1">
        <w:rPr>
          <w:rFonts w:ascii="Palatino Linotype" w:eastAsia="Calibri" w:hAnsi="Palatino Linotype" w:cs="Arial"/>
          <w:color w:val="000000" w:themeColor="text1"/>
          <w:lang w:val="es-ES"/>
        </w:rPr>
        <w:t xml:space="preserve"> presentó, en vía de informe justificado, </w:t>
      </w:r>
      <w:r w:rsidR="00DC5999" w:rsidRPr="00EC18F1">
        <w:rPr>
          <w:rFonts w:ascii="Palatino Linotype" w:eastAsia="Calibri" w:hAnsi="Palatino Linotype" w:cs="Arial"/>
          <w:color w:val="000000" w:themeColor="text1"/>
          <w:lang w:val="es-ES"/>
        </w:rPr>
        <w:t>los</w:t>
      </w:r>
      <w:r w:rsidRPr="00EC18F1">
        <w:rPr>
          <w:rFonts w:ascii="Palatino Linotype" w:eastAsia="Calibri" w:hAnsi="Palatino Linotype" w:cs="Arial"/>
          <w:color w:val="000000" w:themeColor="text1"/>
          <w:lang w:val="es-ES"/>
        </w:rPr>
        <w:t xml:space="preserve"> archivo</w:t>
      </w:r>
      <w:r w:rsidR="00DC5999" w:rsidRPr="00EC18F1">
        <w:rPr>
          <w:rFonts w:ascii="Palatino Linotype" w:eastAsia="Calibri" w:hAnsi="Palatino Linotype" w:cs="Arial"/>
          <w:color w:val="000000" w:themeColor="text1"/>
          <w:lang w:val="es-ES"/>
        </w:rPr>
        <w:t>s</w:t>
      </w:r>
      <w:r w:rsidRPr="00EC18F1">
        <w:rPr>
          <w:rFonts w:ascii="Palatino Linotype" w:eastAsia="Calibri" w:hAnsi="Palatino Linotype" w:cs="Arial"/>
          <w:color w:val="000000" w:themeColor="text1"/>
          <w:lang w:val="es-ES"/>
        </w:rPr>
        <w:t xml:space="preserve"> electrónico</w:t>
      </w:r>
      <w:r w:rsidR="00DC5999" w:rsidRPr="00EC18F1">
        <w:rPr>
          <w:rFonts w:ascii="Palatino Linotype" w:eastAsia="Calibri" w:hAnsi="Palatino Linotype" w:cs="Arial"/>
          <w:color w:val="000000" w:themeColor="text1"/>
          <w:lang w:val="es-ES"/>
        </w:rPr>
        <w:t>s</w:t>
      </w:r>
      <w:r w:rsidRPr="00EC18F1">
        <w:rPr>
          <w:rFonts w:ascii="Palatino Linotype" w:eastAsia="Calibri" w:hAnsi="Palatino Linotype" w:cs="Arial"/>
          <w:color w:val="000000" w:themeColor="text1"/>
          <w:lang w:val="es-ES"/>
        </w:rPr>
        <w:t xml:space="preserve"> </w:t>
      </w:r>
      <w:r w:rsidR="00DC5999" w:rsidRPr="00EC18F1">
        <w:rPr>
          <w:rFonts w:ascii="Palatino Linotype" w:eastAsia="Calibri" w:hAnsi="Palatino Linotype" w:cs="Arial"/>
          <w:color w:val="000000" w:themeColor="text1"/>
          <w:lang w:val="es-ES"/>
        </w:rPr>
        <w:t>siguientes</w:t>
      </w:r>
      <w:r w:rsidRPr="00EC18F1">
        <w:rPr>
          <w:rFonts w:ascii="Palatino Linotype" w:eastAsia="Calibri" w:hAnsi="Palatino Linotype" w:cs="Arial"/>
          <w:color w:val="000000" w:themeColor="text1"/>
          <w:lang w:val="es-ES"/>
        </w:rPr>
        <w:t>:</w:t>
      </w:r>
    </w:p>
    <w:p w14:paraId="45DBB4A1" w14:textId="5BFFEA21" w:rsidR="001B6088"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“FICHAS CURRICULARES DE SERVIDORES PÚBLICOS DEL SISTEMA MUNICIPAL DIF TIMILPAN 2022 2024.pdf”</w:t>
      </w:r>
      <w:r w:rsidRPr="00EC18F1">
        <w:rPr>
          <w:rFonts w:ascii="Palatino Linotype" w:eastAsia="Calibri" w:hAnsi="Palatino Linotype" w:cs="Arial"/>
          <w:color w:val="000000" w:themeColor="text1"/>
          <w:sz w:val="22"/>
          <w:lang w:val="es-ES"/>
        </w:rPr>
        <w:t>: Documento de 12 fojas consistentes en las Fichas Curriculares de la Directora; Tesorero; Secretario; Coordinadora de Psicología en Unidad de Rehabilitación e Integración Social; Coordinadora de Desayunos Fríos; Procuradora de Protección Municipal de Niñas, Niños y Adolescentes; Coordinadora del Área de Psicología; Coordinadora de Odontología; Coordinador de Desayunos Calientes; Promotor de Horta DIF; y, Coordinador de la Casa de Día del Sistema Municipal para el Desarrollo Integral para la Familia de Timilpan.</w:t>
      </w:r>
    </w:p>
    <w:p w14:paraId="34AB94D4" w14:textId="2C39A818"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“20221222121318497.pdf”</w:t>
      </w:r>
      <w:r w:rsidRPr="00EC18F1">
        <w:rPr>
          <w:rFonts w:ascii="Palatino Linotype" w:eastAsia="Calibri" w:hAnsi="Palatino Linotype" w:cs="Arial"/>
          <w:color w:val="000000" w:themeColor="text1"/>
          <w:sz w:val="22"/>
          <w:lang w:val="es-ES"/>
        </w:rPr>
        <w:t xml:space="preserve">: Documento de una foja consistente en la copia digitalizada del oficio de veintidós (22) de diciembre de dos mil veintidós, sin folio único de identificación, emitido por el Tesorero Honorífico del Sistema Municipal para el Desarrollo Integral de la Familia de Timilpan, por el que informa que la dependencia a su cargo no ha otorgado apoyos de manera económica. </w:t>
      </w:r>
    </w:p>
    <w:p w14:paraId="357947CE" w14:textId="01B1CCE7"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lastRenderedPageBreak/>
        <w:t>“20221222121304123.pdf”</w:t>
      </w:r>
      <w:r w:rsidRPr="00EC18F1">
        <w:rPr>
          <w:rFonts w:ascii="Palatino Linotype" w:eastAsia="Calibri" w:hAnsi="Palatino Linotype" w:cs="Arial"/>
          <w:color w:val="000000" w:themeColor="text1"/>
          <w:sz w:val="22"/>
          <w:lang w:val="es-ES"/>
        </w:rPr>
        <w:t xml:space="preserve">: Documento de una foja consistente en la copia digitalizada del oficio de veintidós (22) de diciembre de dos mil veintidós, sin folio único de identificación, emitido por el Tesorero Honorífico del Sistema Municipal para el Desarrollo Integral de la Familia de Timilpan, por el que informa </w:t>
      </w:r>
      <w:r w:rsidR="00541B1E" w:rsidRPr="00EC18F1">
        <w:rPr>
          <w:rFonts w:ascii="Palatino Linotype" w:eastAsia="Calibri" w:hAnsi="Palatino Linotype" w:cs="Arial"/>
          <w:color w:val="000000" w:themeColor="text1"/>
          <w:sz w:val="22"/>
          <w:lang w:val="es-ES"/>
        </w:rPr>
        <w:t>que, a la fecha, en la dependencia a su cargo no existe procedimiento resarcitorio, fiscal, administrativo, penal o civil promovido en contra de ningún ex servidor público.</w:t>
      </w:r>
    </w:p>
    <w:p w14:paraId="08C48BEC" w14:textId="16FDD808"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“NOMINA Y LISTA DE RAYA DIF 2019.pdf”</w:t>
      </w:r>
      <w:r w:rsidRPr="00EC18F1">
        <w:rPr>
          <w:rFonts w:ascii="Palatino Linotype" w:eastAsia="Calibri" w:hAnsi="Palatino Linotype" w:cs="Arial"/>
          <w:color w:val="000000" w:themeColor="text1"/>
          <w:sz w:val="22"/>
          <w:lang w:val="es-ES"/>
        </w:rPr>
        <w:t xml:space="preserve">: Documento </w:t>
      </w:r>
      <w:r w:rsidR="00541B1E" w:rsidRPr="00EC18F1">
        <w:rPr>
          <w:rFonts w:ascii="Palatino Linotype" w:eastAsia="Calibri" w:hAnsi="Palatino Linotype" w:cs="Arial"/>
          <w:color w:val="000000" w:themeColor="text1"/>
          <w:sz w:val="22"/>
          <w:lang w:val="es-ES"/>
        </w:rPr>
        <w:t>de 17 fojas consistente en la relación de nómina y listas de raya del personal adscrito al Sistema Municipal para el Desarrollo Integral de la Familia de Timilpan, por quincena, donde se detallan sus percepciones y deducciones, de enero a diciembre de dos mil diecinueve.</w:t>
      </w:r>
    </w:p>
    <w:p w14:paraId="7738874A" w14:textId="0E5E9083"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“NOMINA Y LISTA DE RAYA DIF 2020.pdf”</w:t>
      </w:r>
      <w:r w:rsidRPr="00EC18F1">
        <w:rPr>
          <w:rFonts w:ascii="Palatino Linotype" w:eastAsia="Calibri" w:hAnsi="Palatino Linotype" w:cs="Arial"/>
          <w:color w:val="000000" w:themeColor="text1"/>
          <w:sz w:val="22"/>
          <w:lang w:val="es-ES"/>
        </w:rPr>
        <w:t xml:space="preserve">: Documento </w:t>
      </w:r>
      <w:r w:rsidR="00541B1E" w:rsidRPr="00EC18F1">
        <w:rPr>
          <w:rFonts w:ascii="Palatino Linotype" w:eastAsia="Calibri" w:hAnsi="Palatino Linotype" w:cs="Arial"/>
          <w:color w:val="000000" w:themeColor="text1"/>
          <w:sz w:val="22"/>
          <w:lang w:val="es-ES"/>
        </w:rPr>
        <w:t xml:space="preserve">de 18 fojas consistente en la relación de nómina y listas de raya del personal adscrito al Sistema Municipal para el Desarrollo Integral de la Familia de Timilpan, por quincena, donde se detallan sus percepciones y deducciones, de enero a diciembre de dos mil </w:t>
      </w:r>
      <w:r w:rsidR="00A638EE" w:rsidRPr="00EC18F1">
        <w:rPr>
          <w:rFonts w:ascii="Palatino Linotype" w:eastAsia="Calibri" w:hAnsi="Palatino Linotype" w:cs="Arial"/>
          <w:color w:val="000000" w:themeColor="text1"/>
          <w:sz w:val="22"/>
          <w:lang w:val="es-ES"/>
        </w:rPr>
        <w:t>veinte</w:t>
      </w:r>
      <w:r w:rsidR="00541B1E" w:rsidRPr="00EC18F1">
        <w:rPr>
          <w:rFonts w:ascii="Palatino Linotype" w:eastAsia="Calibri" w:hAnsi="Palatino Linotype" w:cs="Arial"/>
          <w:color w:val="000000" w:themeColor="text1"/>
          <w:sz w:val="22"/>
          <w:lang w:val="es-ES"/>
        </w:rPr>
        <w:t>.</w:t>
      </w:r>
    </w:p>
    <w:p w14:paraId="4EAB28AE" w14:textId="3BB712B5"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“NOMINA Y LISTA DE RAYA DIF 2021.pdf”</w:t>
      </w:r>
      <w:r w:rsidRPr="00EC18F1">
        <w:rPr>
          <w:rFonts w:ascii="Palatino Linotype" w:eastAsia="Calibri" w:hAnsi="Palatino Linotype" w:cs="Arial"/>
          <w:color w:val="000000" w:themeColor="text1"/>
          <w:sz w:val="22"/>
          <w:lang w:val="es-ES"/>
        </w:rPr>
        <w:t xml:space="preserve">: Documento </w:t>
      </w:r>
      <w:r w:rsidR="00A638EE" w:rsidRPr="00EC18F1">
        <w:rPr>
          <w:rFonts w:ascii="Palatino Linotype" w:eastAsia="Calibri" w:hAnsi="Palatino Linotype" w:cs="Arial"/>
          <w:color w:val="000000" w:themeColor="text1"/>
          <w:sz w:val="22"/>
          <w:lang w:val="es-ES"/>
        </w:rPr>
        <w:t>de 19 fojas consistente en la relación de nómina y listas de raya del personal adscrito al Sistema Municipal para el Desarrollo Integral de la Familia de Timilpan, por quincena, donde se detallan sus percepciones y deducciones, de enero a diciembre de dos mil veintiuno.</w:t>
      </w:r>
    </w:p>
    <w:p w14:paraId="2599C67A" w14:textId="64B5643B" w:rsidR="00DC5999" w:rsidRPr="00EC18F1" w:rsidRDefault="00DC5999" w:rsidP="00DC5999">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EC18F1">
        <w:rPr>
          <w:rFonts w:ascii="Palatino Linotype" w:eastAsia="Calibri" w:hAnsi="Palatino Linotype" w:cs="Arial"/>
          <w:b/>
          <w:i/>
          <w:color w:val="000000" w:themeColor="text1"/>
          <w:sz w:val="22"/>
          <w:lang w:val="es-ES"/>
        </w:rPr>
        <w:t>“NOMINA Y LISTA DE RAYA DIF 2022.pdf”</w:t>
      </w:r>
      <w:r w:rsidRPr="00EC18F1">
        <w:rPr>
          <w:rFonts w:ascii="Palatino Linotype" w:eastAsia="Calibri" w:hAnsi="Palatino Linotype" w:cs="Arial"/>
          <w:color w:val="000000" w:themeColor="text1"/>
          <w:sz w:val="22"/>
          <w:lang w:val="es-ES"/>
        </w:rPr>
        <w:t xml:space="preserve">: Documento </w:t>
      </w:r>
      <w:r w:rsidR="00A638EE" w:rsidRPr="00EC18F1">
        <w:rPr>
          <w:rFonts w:ascii="Palatino Linotype" w:eastAsia="Calibri" w:hAnsi="Palatino Linotype" w:cs="Arial"/>
          <w:color w:val="000000" w:themeColor="text1"/>
          <w:sz w:val="22"/>
          <w:lang w:val="es-ES"/>
        </w:rPr>
        <w:t>de 16 fojas consistente en la relación de nómina y listas de raya del personal adscrito al Sistema Municipal para el Desarrollo Integral de la Familia de Timilpan, por quincena, donde se detallan sus percepciones y deducciones, de enero a diciembre de dos mil veintidós.</w:t>
      </w:r>
    </w:p>
    <w:p w14:paraId="45244B18" w14:textId="77777777" w:rsidR="001B6088" w:rsidRPr="00EC18F1" w:rsidRDefault="001B6088" w:rsidP="001B608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29BA56A" w14:textId="23307B87" w:rsidR="00360789" w:rsidRPr="00EC18F1" w:rsidRDefault="00360789" w:rsidP="0036078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eastAsia="Times New Roman" w:hAnsi="Palatino Linotype" w:cs="Arial"/>
          <w:color w:val="000000" w:themeColor="text1"/>
        </w:rPr>
        <w:t xml:space="preserve">El </w:t>
      </w:r>
      <w:r w:rsidR="00A638EE" w:rsidRPr="00EC18F1">
        <w:rPr>
          <w:rFonts w:ascii="Palatino Linotype" w:eastAsia="Times New Roman" w:hAnsi="Palatino Linotype" w:cs="Arial"/>
          <w:b/>
          <w:color w:val="000000" w:themeColor="text1"/>
        </w:rPr>
        <w:t>veintinueve (29) de mayo de dos mil veintitrés</w:t>
      </w:r>
      <w:r w:rsidRPr="00EC18F1">
        <w:rPr>
          <w:rFonts w:ascii="Palatino Linotype" w:eastAsia="Times New Roman" w:hAnsi="Palatino Linotype" w:cs="Arial"/>
          <w:color w:val="000000" w:themeColor="text1"/>
        </w:rPr>
        <w:t xml:space="preserve">, </w:t>
      </w:r>
      <w:r w:rsidRPr="00EC18F1">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EC18F1">
        <w:rPr>
          <w:rFonts w:ascii="Palatino Linotype" w:hAnsi="Palatino Linotype" w:cs="Arial"/>
          <w:bCs/>
          <w:color w:val="000000" w:themeColor="text1"/>
          <w:lang w:val="es-ES"/>
        </w:rPr>
        <w:t xml:space="preserve"> </w:t>
      </w:r>
      <w:r w:rsidRPr="00EC18F1">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1CF208DB"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hAnsi="Palatino Linotype" w:cs="Arial"/>
          <w:color w:val="000000" w:themeColor="text1"/>
          <w:lang w:val="es-ES"/>
        </w:rPr>
        <w:lastRenderedPageBreak/>
        <w:t xml:space="preserve">Este </w:t>
      </w:r>
      <w:r w:rsidRPr="00EC18F1">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C4A7342" w14:textId="77777777" w:rsidR="000E0AF9" w:rsidRPr="00EC18F1" w:rsidRDefault="000E0AF9" w:rsidP="000E0AF9">
      <w:pPr>
        <w:pStyle w:val="Prrafodelista"/>
        <w:tabs>
          <w:tab w:val="left" w:pos="426"/>
        </w:tabs>
        <w:spacing w:before="240" w:after="240" w:line="360" w:lineRule="auto"/>
        <w:ind w:left="0"/>
        <w:jc w:val="both"/>
        <w:rPr>
          <w:rFonts w:ascii="Palatino Linotype" w:hAnsi="Palatino Linotype"/>
        </w:rPr>
      </w:pPr>
    </w:p>
    <w:p w14:paraId="1F345936" w14:textId="77777777" w:rsidR="000E0AF9" w:rsidRPr="00EC18F1" w:rsidRDefault="000E0AF9" w:rsidP="000E0AF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4F22DE" w14:textId="77777777" w:rsidR="000E0AF9" w:rsidRPr="00EC18F1" w:rsidRDefault="000E0AF9" w:rsidP="000E0AF9">
      <w:pPr>
        <w:pStyle w:val="Prrafodelista"/>
        <w:tabs>
          <w:tab w:val="left" w:pos="426"/>
        </w:tabs>
        <w:spacing w:line="360" w:lineRule="auto"/>
        <w:ind w:left="0"/>
        <w:jc w:val="both"/>
        <w:rPr>
          <w:rFonts w:ascii="Palatino Linotype" w:hAnsi="Palatino Linotype"/>
          <w:color w:val="000000" w:themeColor="text1"/>
        </w:rPr>
      </w:pPr>
    </w:p>
    <w:p w14:paraId="14F9659C"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hAnsi="Palatino Linotype"/>
          <w:color w:val="000000" w:themeColor="text1"/>
        </w:rPr>
        <w:t xml:space="preserve">Así, </w:t>
      </w:r>
      <w:r w:rsidRPr="00EC18F1">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BBC5AC" w14:textId="77777777" w:rsidR="000E0AF9" w:rsidRPr="00EC18F1" w:rsidRDefault="000E0AF9" w:rsidP="000E0AF9">
      <w:pPr>
        <w:pStyle w:val="Prrafodelista"/>
        <w:tabs>
          <w:tab w:val="left" w:pos="426"/>
        </w:tabs>
        <w:spacing w:before="240" w:after="240" w:line="360" w:lineRule="auto"/>
        <w:ind w:left="0"/>
        <w:jc w:val="both"/>
        <w:rPr>
          <w:rFonts w:ascii="Palatino Linotype" w:hAnsi="Palatino Linotype"/>
        </w:rPr>
      </w:pPr>
    </w:p>
    <w:p w14:paraId="449B3392"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eastAsia="Calibri" w:hAnsi="Palatino Linotype" w:cs="Arial"/>
        </w:rPr>
        <w:t xml:space="preserve">En </w:t>
      </w:r>
      <w:r w:rsidRPr="00EC18F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164AF3" w14:textId="77777777" w:rsidR="000E0AF9" w:rsidRPr="00EC18F1" w:rsidRDefault="000E0AF9" w:rsidP="000E0AF9">
      <w:pPr>
        <w:pStyle w:val="Prrafodelista"/>
        <w:tabs>
          <w:tab w:val="left" w:pos="426"/>
        </w:tabs>
        <w:spacing w:before="240" w:after="240" w:line="360" w:lineRule="auto"/>
        <w:ind w:left="0"/>
        <w:jc w:val="both"/>
        <w:rPr>
          <w:rFonts w:ascii="Palatino Linotype" w:hAnsi="Palatino Linotype"/>
        </w:rPr>
      </w:pPr>
    </w:p>
    <w:p w14:paraId="1F45F6C4" w14:textId="77777777" w:rsidR="000E0AF9" w:rsidRPr="00EC18F1" w:rsidRDefault="000E0AF9" w:rsidP="000E0AF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eastAsia="Calibri" w:hAnsi="Palatino Linotype" w:cs="Arial"/>
        </w:rPr>
        <w:lastRenderedPageBreak/>
        <w:t xml:space="preserve">Por </w:t>
      </w:r>
      <w:r w:rsidRPr="00EC18F1">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5A18704E" w14:textId="77777777" w:rsidR="000E0AF9" w:rsidRPr="00EC18F1" w:rsidRDefault="000E0AF9" w:rsidP="000E0AF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EC18F1">
        <w:rPr>
          <w:rFonts w:ascii="Palatino Linotype" w:eastAsia="Calibri" w:hAnsi="Palatino Linotype" w:cs="Arial"/>
          <w:b/>
          <w:bCs/>
          <w:sz w:val="22"/>
        </w:rPr>
        <w:t>Complejidad del Asunto:</w:t>
      </w:r>
      <w:r w:rsidRPr="00EC18F1">
        <w:rPr>
          <w:rFonts w:ascii="Palatino Linotype" w:eastAsia="Calibri" w:hAnsi="Palatino Linotype" w:cs="Arial"/>
          <w:sz w:val="22"/>
        </w:rPr>
        <w:t xml:space="preserve"> La complejidad de la prueba, la pluralidad de sujetos procesales, el tiempo transcurrido, las características y contexto del recurso.</w:t>
      </w:r>
    </w:p>
    <w:p w14:paraId="76993587" w14:textId="77777777" w:rsidR="000E0AF9" w:rsidRPr="00EC18F1" w:rsidRDefault="000E0AF9" w:rsidP="000E0AF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EC18F1">
        <w:rPr>
          <w:rFonts w:ascii="Palatino Linotype" w:eastAsia="Calibri" w:hAnsi="Palatino Linotype" w:cs="Arial"/>
          <w:b/>
          <w:bCs/>
          <w:sz w:val="22"/>
        </w:rPr>
        <w:t>Actividad Procesal del interesado:</w:t>
      </w:r>
      <w:r w:rsidRPr="00EC18F1">
        <w:rPr>
          <w:rFonts w:ascii="Palatino Linotype" w:eastAsia="Calibri" w:hAnsi="Palatino Linotype" w:cs="Arial"/>
          <w:sz w:val="22"/>
        </w:rPr>
        <w:t xml:space="preserve"> Acciones u omisiones del interesado.</w:t>
      </w:r>
    </w:p>
    <w:p w14:paraId="6EA76A09" w14:textId="77777777" w:rsidR="000E0AF9" w:rsidRPr="00EC18F1" w:rsidRDefault="000E0AF9" w:rsidP="000E0AF9">
      <w:pPr>
        <w:pStyle w:val="Prrafodelista"/>
        <w:numPr>
          <w:ilvl w:val="1"/>
          <w:numId w:val="5"/>
        </w:numPr>
        <w:tabs>
          <w:tab w:val="left" w:pos="426"/>
        </w:tabs>
        <w:spacing w:line="360" w:lineRule="auto"/>
        <w:ind w:left="1134"/>
        <w:jc w:val="both"/>
        <w:rPr>
          <w:rFonts w:ascii="Palatino Linotype" w:eastAsia="Calibri" w:hAnsi="Palatino Linotype" w:cs="Arial"/>
          <w:sz w:val="22"/>
        </w:rPr>
      </w:pPr>
      <w:r w:rsidRPr="00EC18F1">
        <w:rPr>
          <w:rFonts w:ascii="Palatino Linotype" w:eastAsia="Calibri" w:hAnsi="Palatino Linotype" w:cs="Arial"/>
          <w:b/>
          <w:bCs/>
          <w:sz w:val="22"/>
        </w:rPr>
        <w:t>Conducta de la Autoridad:</w:t>
      </w:r>
      <w:r w:rsidRPr="00EC18F1">
        <w:rPr>
          <w:rFonts w:ascii="Palatino Linotype" w:eastAsia="Calibri" w:hAnsi="Palatino Linotype" w:cs="Arial"/>
          <w:sz w:val="22"/>
        </w:rPr>
        <w:t xml:space="preserve"> Las Acciones u omisiones realizadas en el procedimiento. Así como si la autoridad actuó con la debida diligencia.</w:t>
      </w:r>
    </w:p>
    <w:p w14:paraId="279BCDFD" w14:textId="77777777" w:rsidR="000E0AF9" w:rsidRPr="00EC18F1" w:rsidRDefault="000E0AF9" w:rsidP="000E0AF9">
      <w:pPr>
        <w:pStyle w:val="Prrafodelista"/>
        <w:numPr>
          <w:ilvl w:val="1"/>
          <w:numId w:val="5"/>
        </w:numPr>
        <w:tabs>
          <w:tab w:val="left" w:pos="426"/>
        </w:tabs>
        <w:spacing w:line="360" w:lineRule="auto"/>
        <w:ind w:left="1134"/>
        <w:jc w:val="both"/>
        <w:rPr>
          <w:rFonts w:ascii="Palatino Linotype" w:hAnsi="Palatino Linotype"/>
          <w:color w:val="000000" w:themeColor="text1"/>
          <w:sz w:val="22"/>
        </w:rPr>
      </w:pPr>
      <w:r w:rsidRPr="00EC18F1">
        <w:rPr>
          <w:rFonts w:ascii="Palatino Linotype" w:eastAsia="Calibri" w:hAnsi="Palatino Linotype" w:cs="Arial"/>
          <w:b/>
          <w:bCs/>
          <w:sz w:val="22"/>
        </w:rPr>
        <w:t xml:space="preserve">La afectación generada en la situación jurídica de la persona involucrada en el proceso: </w:t>
      </w:r>
      <w:r w:rsidRPr="00EC18F1">
        <w:rPr>
          <w:rFonts w:ascii="Palatino Linotype" w:eastAsia="Calibri" w:hAnsi="Palatino Linotype" w:cs="Arial"/>
          <w:sz w:val="22"/>
        </w:rPr>
        <w:t>Violación a sus derechos humanos.</w:t>
      </w:r>
    </w:p>
    <w:p w14:paraId="1F3A19FC" w14:textId="77777777" w:rsidR="000E0AF9" w:rsidRPr="00EC18F1" w:rsidRDefault="000E0AF9" w:rsidP="000E0AF9">
      <w:pPr>
        <w:pStyle w:val="Prrafodelista"/>
        <w:tabs>
          <w:tab w:val="left" w:pos="426"/>
        </w:tabs>
        <w:spacing w:line="360" w:lineRule="auto"/>
        <w:ind w:left="0"/>
        <w:jc w:val="both"/>
        <w:rPr>
          <w:rFonts w:ascii="Palatino Linotype" w:hAnsi="Palatino Linotype"/>
          <w:color w:val="000000" w:themeColor="text1"/>
        </w:rPr>
      </w:pPr>
    </w:p>
    <w:p w14:paraId="13039F6F"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eastAsia="Calibri" w:hAnsi="Palatino Linotype" w:cs="Arial"/>
          <w:color w:val="000000" w:themeColor="text1"/>
        </w:rPr>
        <w:t xml:space="preserve">De </w:t>
      </w:r>
      <w:r w:rsidRPr="00EC18F1">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08125C" w14:textId="77777777" w:rsidR="000E0AF9" w:rsidRPr="00EC18F1" w:rsidRDefault="000E0AF9" w:rsidP="000E0AF9">
      <w:pPr>
        <w:pStyle w:val="Prrafodelista"/>
        <w:tabs>
          <w:tab w:val="left" w:pos="426"/>
        </w:tabs>
        <w:spacing w:before="240" w:after="240" w:line="360" w:lineRule="auto"/>
        <w:ind w:left="0"/>
        <w:jc w:val="both"/>
        <w:rPr>
          <w:rFonts w:ascii="Palatino Linotype" w:hAnsi="Palatino Linotype"/>
        </w:rPr>
      </w:pPr>
    </w:p>
    <w:p w14:paraId="09B50D45"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eastAsia="Calibri" w:hAnsi="Palatino Linotype" w:cs="Arial"/>
        </w:rPr>
        <w:t xml:space="preserve">Argumento </w:t>
      </w:r>
      <w:r w:rsidRPr="00EC18F1">
        <w:rPr>
          <w:rFonts w:ascii="Palatino Linotype" w:hAnsi="Palatino Linotype"/>
        </w:rPr>
        <w:t xml:space="preserve">que encuentra sustento en la jurisprudencia P./J. 32/92 emitida por el Pleno de la Suprema Corte de Justicia de la Nación de rubro </w:t>
      </w:r>
      <w:r w:rsidRPr="00EC18F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C18F1">
        <w:rPr>
          <w:rStyle w:val="Refdenotaalpie"/>
          <w:rFonts w:ascii="Palatino Linotype" w:hAnsi="Palatino Linotype"/>
          <w:i/>
        </w:rPr>
        <w:footnoteReference w:id="2"/>
      </w:r>
      <w:r w:rsidRPr="00EC18F1">
        <w:rPr>
          <w:rFonts w:ascii="Palatino Linotype" w:hAnsi="Palatino Linotype"/>
        </w:rPr>
        <w:t>, visible en la Gaceta del Seminario Judicial de la Federación con el registro digital 205635.</w:t>
      </w:r>
    </w:p>
    <w:p w14:paraId="5C09EE2A" w14:textId="77777777" w:rsidR="000E0AF9" w:rsidRPr="00EC18F1" w:rsidRDefault="000E0AF9" w:rsidP="000E0AF9">
      <w:pPr>
        <w:pStyle w:val="Prrafodelista"/>
        <w:numPr>
          <w:ilvl w:val="0"/>
          <w:numId w:val="1"/>
        </w:numPr>
        <w:tabs>
          <w:tab w:val="left" w:pos="426"/>
        </w:tabs>
        <w:spacing w:before="240" w:after="240" w:line="360" w:lineRule="auto"/>
        <w:jc w:val="both"/>
        <w:rPr>
          <w:rFonts w:ascii="Palatino Linotype" w:hAnsi="Palatino Linotype"/>
        </w:rPr>
      </w:pPr>
      <w:r w:rsidRPr="00EC18F1">
        <w:rPr>
          <w:rFonts w:ascii="Palatino Linotype" w:eastAsia="Calibri" w:hAnsi="Palatino Linotype" w:cs="Arial"/>
        </w:rPr>
        <w:lastRenderedPageBreak/>
        <w:t xml:space="preserve">Razones </w:t>
      </w:r>
      <w:r w:rsidRPr="00EC18F1">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02AF55" w14:textId="77777777" w:rsidR="000E0AF9" w:rsidRPr="00EC18F1" w:rsidRDefault="000E0AF9" w:rsidP="000E0AF9">
      <w:pPr>
        <w:pStyle w:val="Prrafodelista"/>
        <w:tabs>
          <w:tab w:val="left" w:pos="426"/>
        </w:tabs>
        <w:spacing w:before="240" w:after="240" w:line="360" w:lineRule="auto"/>
        <w:ind w:left="0"/>
        <w:jc w:val="both"/>
        <w:rPr>
          <w:rFonts w:ascii="Palatino Linotype" w:hAnsi="Palatino Linotype"/>
        </w:rPr>
      </w:pPr>
    </w:p>
    <w:p w14:paraId="760D13D6" w14:textId="77777777" w:rsidR="000E0AF9" w:rsidRPr="00EC18F1" w:rsidRDefault="000E0AF9" w:rsidP="000E0AF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eastAsia="Calibri" w:hAnsi="Palatino Linotype" w:cs="Arial"/>
        </w:rPr>
        <w:t xml:space="preserve">Al </w:t>
      </w:r>
      <w:r w:rsidRPr="00EC18F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EBEEF47" w14:textId="77777777" w:rsidR="000E0AF9" w:rsidRPr="00EC18F1" w:rsidRDefault="000E0AF9" w:rsidP="000E0AF9">
      <w:pPr>
        <w:pStyle w:val="Prrafodelista"/>
        <w:tabs>
          <w:tab w:val="left" w:pos="426"/>
        </w:tabs>
        <w:spacing w:line="360" w:lineRule="auto"/>
        <w:ind w:left="0"/>
        <w:jc w:val="both"/>
        <w:rPr>
          <w:rFonts w:ascii="Palatino Linotype" w:hAnsi="Palatino Linotype"/>
          <w:color w:val="000000" w:themeColor="text1"/>
        </w:rPr>
      </w:pPr>
    </w:p>
    <w:p w14:paraId="43282527" w14:textId="77777777" w:rsidR="001A0F59" w:rsidRPr="00EC18F1" w:rsidRDefault="001A0F59" w:rsidP="000E0AF9">
      <w:pPr>
        <w:pStyle w:val="Prrafodelista"/>
        <w:tabs>
          <w:tab w:val="left" w:pos="426"/>
        </w:tabs>
        <w:spacing w:line="360" w:lineRule="auto"/>
        <w:ind w:left="0"/>
        <w:jc w:val="both"/>
        <w:rPr>
          <w:rFonts w:ascii="Palatino Linotype" w:hAnsi="Palatino Linotype"/>
          <w:color w:val="000000" w:themeColor="text1"/>
        </w:rPr>
      </w:pPr>
    </w:p>
    <w:p w14:paraId="2DEE5E6C" w14:textId="77777777" w:rsidR="000E0AF9" w:rsidRPr="00EC18F1" w:rsidRDefault="000E0AF9" w:rsidP="000E0AF9">
      <w:pPr>
        <w:pStyle w:val="Prrafodelista"/>
        <w:spacing w:line="276" w:lineRule="auto"/>
        <w:ind w:left="567" w:right="567"/>
        <w:jc w:val="both"/>
        <w:rPr>
          <w:rFonts w:ascii="Palatino Linotype" w:hAnsi="Palatino Linotype"/>
          <w:i/>
          <w:sz w:val="22"/>
        </w:rPr>
      </w:pPr>
      <w:r w:rsidRPr="00EC18F1">
        <w:rPr>
          <w:rFonts w:ascii="Palatino Linotype" w:hAnsi="Palatino Linotype"/>
          <w:b/>
          <w:i/>
          <w:sz w:val="22"/>
        </w:rPr>
        <w:lastRenderedPageBreak/>
        <w:t>PLAZO RAZONABLE PARA RESOLVER. DIMENSIÓN Y EFECTOS DE ESTE CONCEPTO CUANDO SE ADUCE EXCESIVA CARGA DE TRABAJO.</w:t>
      </w:r>
      <w:r w:rsidRPr="00EC18F1">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EC18F1">
        <w:rPr>
          <w:rStyle w:val="Refdenotaalpie"/>
          <w:rFonts w:ascii="Palatino Linotype" w:hAnsi="Palatino Linotype"/>
          <w:i/>
          <w:sz w:val="22"/>
        </w:rPr>
        <w:footnoteReference w:id="3"/>
      </w:r>
    </w:p>
    <w:p w14:paraId="2CA910CE" w14:textId="77777777" w:rsidR="000E0AF9" w:rsidRPr="00EC18F1" w:rsidRDefault="000E0AF9" w:rsidP="000E0AF9">
      <w:pPr>
        <w:pStyle w:val="Prrafodelista"/>
        <w:spacing w:line="276" w:lineRule="auto"/>
        <w:ind w:left="567" w:right="567"/>
        <w:jc w:val="both"/>
        <w:rPr>
          <w:rFonts w:ascii="Palatino Linotype" w:hAnsi="Palatino Linotype"/>
          <w:i/>
          <w:sz w:val="22"/>
        </w:rPr>
      </w:pPr>
    </w:p>
    <w:p w14:paraId="6CF671D2" w14:textId="77777777" w:rsidR="000E0AF9" w:rsidRPr="00EC18F1" w:rsidRDefault="000E0AF9" w:rsidP="000E0AF9">
      <w:pPr>
        <w:pStyle w:val="Prrafodelista"/>
        <w:spacing w:line="276" w:lineRule="auto"/>
        <w:ind w:left="567" w:right="567"/>
        <w:jc w:val="both"/>
        <w:rPr>
          <w:rFonts w:ascii="Palatino Linotype" w:hAnsi="Palatino Linotype"/>
          <w:i/>
          <w:sz w:val="22"/>
        </w:rPr>
      </w:pPr>
      <w:r w:rsidRPr="00EC18F1">
        <w:rPr>
          <w:rFonts w:ascii="Palatino Linotype" w:hAnsi="Palatino Linotype"/>
          <w:b/>
          <w:i/>
          <w:sz w:val="22"/>
        </w:rPr>
        <w:t>PLAZO RAZONABLE PARA RESOLVER. CONCEPTO Y ELEMENTOS QUE LO INTEGRAN A LA LUZ DEL DERECHO INTERNACIONAL DE LOS DERECHOS HUMANOS.</w:t>
      </w:r>
      <w:r w:rsidRPr="00EC18F1">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w:t>
      </w:r>
      <w:r w:rsidRPr="00EC18F1">
        <w:rPr>
          <w:rFonts w:ascii="Palatino Linotype" w:hAnsi="Palatino Linotype"/>
          <w:i/>
          <w:sz w:val="22"/>
        </w:rPr>
        <w:lastRenderedPageBreak/>
        <w:t>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EC18F1">
        <w:rPr>
          <w:rStyle w:val="Refdenotaalpie"/>
          <w:rFonts w:ascii="Palatino Linotype" w:hAnsi="Palatino Linotype"/>
          <w:i/>
          <w:sz w:val="22"/>
        </w:rPr>
        <w:footnoteReference w:id="4"/>
      </w:r>
    </w:p>
    <w:p w14:paraId="45796DF7" w14:textId="77777777" w:rsidR="000E0AF9" w:rsidRPr="00EC18F1" w:rsidRDefault="000E0AF9" w:rsidP="000E0AF9">
      <w:pPr>
        <w:pStyle w:val="Prrafodelista"/>
        <w:tabs>
          <w:tab w:val="left" w:pos="426"/>
        </w:tabs>
        <w:spacing w:line="360" w:lineRule="auto"/>
        <w:ind w:left="0"/>
        <w:jc w:val="both"/>
        <w:rPr>
          <w:rFonts w:ascii="Palatino Linotype" w:hAnsi="Palatino Linotype"/>
          <w:color w:val="000000" w:themeColor="text1"/>
        </w:rPr>
      </w:pPr>
    </w:p>
    <w:p w14:paraId="6E1F606B" w14:textId="5E7C6D21" w:rsidR="000E0AF9" w:rsidRPr="00EC18F1" w:rsidRDefault="000E0AF9" w:rsidP="000E0AF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eastAsia="Calibri" w:hAnsi="Palatino Linotype" w:cs="Arial"/>
          <w:color w:val="000000" w:themeColor="text1"/>
        </w:rPr>
        <w:t xml:space="preserve">Por </w:t>
      </w:r>
      <w:r w:rsidRPr="00EC18F1">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A9D1E08" w14:textId="77777777" w:rsidR="008A5A34" w:rsidRPr="00EC18F1" w:rsidRDefault="008A5A34" w:rsidP="008A5A34">
      <w:pPr>
        <w:pStyle w:val="Prrafodelista"/>
        <w:tabs>
          <w:tab w:val="left" w:pos="426"/>
        </w:tabs>
        <w:spacing w:line="360" w:lineRule="auto"/>
        <w:ind w:left="0"/>
        <w:jc w:val="both"/>
        <w:rPr>
          <w:rFonts w:ascii="Palatino Linotype" w:hAnsi="Palatino Linotype"/>
          <w:color w:val="000000" w:themeColor="text1"/>
        </w:rPr>
      </w:pPr>
    </w:p>
    <w:p w14:paraId="1CE79BC6" w14:textId="19A88729" w:rsidR="008A5A34" w:rsidRPr="00EC18F1" w:rsidRDefault="008A5A34" w:rsidP="000E0AF9">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hAnsi="Palatino Linotype"/>
        </w:rPr>
        <w:t xml:space="preserve">El </w:t>
      </w:r>
      <w:r w:rsidR="00A638EE" w:rsidRPr="00EC18F1">
        <w:rPr>
          <w:rFonts w:ascii="Palatino Linotype" w:hAnsi="Palatino Linotype"/>
          <w:b/>
        </w:rPr>
        <w:t>veintidós (22) de febrero de dos mil veinticuatro</w:t>
      </w:r>
      <w:r w:rsidRPr="00EC18F1">
        <w:rPr>
          <w:rFonts w:ascii="Palatino Linotype" w:hAnsi="Palatino Linotype"/>
        </w:rPr>
        <w:t xml:space="preserve">, </w:t>
      </w:r>
      <w:r w:rsidR="00A638EE" w:rsidRPr="00EC18F1">
        <w:rPr>
          <w:rFonts w:ascii="Palatino Linotype" w:hAnsi="Palatino Linotype"/>
        </w:rPr>
        <w:t>los</w:t>
      </w:r>
      <w:r w:rsidRPr="00EC18F1">
        <w:rPr>
          <w:rFonts w:ascii="Palatino Linotype" w:hAnsi="Palatino Linotype"/>
        </w:rPr>
        <w:t xml:space="preserve"> archivo</w:t>
      </w:r>
      <w:r w:rsidR="00A638EE" w:rsidRPr="00EC18F1">
        <w:rPr>
          <w:rFonts w:ascii="Palatino Linotype" w:hAnsi="Palatino Linotype"/>
        </w:rPr>
        <w:t>s</w:t>
      </w:r>
      <w:r w:rsidRPr="00EC18F1">
        <w:rPr>
          <w:rFonts w:ascii="Palatino Linotype" w:hAnsi="Palatino Linotype"/>
        </w:rPr>
        <w:t xml:space="preserve"> presentado</w:t>
      </w:r>
      <w:r w:rsidR="00A638EE" w:rsidRPr="00EC18F1">
        <w:rPr>
          <w:rFonts w:ascii="Palatino Linotype" w:hAnsi="Palatino Linotype"/>
        </w:rPr>
        <w:t>s</w:t>
      </w:r>
      <w:r w:rsidRPr="00EC18F1">
        <w:rPr>
          <w:rFonts w:ascii="Palatino Linotype" w:hAnsi="Palatino Linotype"/>
        </w:rPr>
        <w:t xml:space="preserve"> por el </w:t>
      </w:r>
      <w:r w:rsidRPr="00EC18F1">
        <w:rPr>
          <w:rFonts w:ascii="Palatino Linotype" w:hAnsi="Palatino Linotype"/>
          <w:b/>
        </w:rPr>
        <w:t>SUJETO OBLIGADO</w:t>
      </w:r>
      <w:r w:rsidRPr="00EC18F1">
        <w:rPr>
          <w:rFonts w:ascii="Palatino Linotype" w:hAnsi="Palatino Linotype"/>
        </w:rPr>
        <w:t xml:space="preserve">, en vía de informe justificado, se </w:t>
      </w:r>
      <w:r w:rsidR="00A638EE" w:rsidRPr="00EC18F1">
        <w:rPr>
          <w:rFonts w:ascii="Palatino Linotype" w:hAnsi="Palatino Linotype"/>
        </w:rPr>
        <w:t>pusieron</w:t>
      </w:r>
      <w:r w:rsidRPr="00EC18F1">
        <w:rPr>
          <w:rFonts w:ascii="Palatino Linotype" w:hAnsi="Palatino Linotype"/>
        </w:rPr>
        <w:t xml:space="preserve"> a la vista de</w:t>
      </w:r>
      <w:r w:rsidR="00A638EE" w:rsidRPr="00EC18F1">
        <w:rPr>
          <w:rFonts w:ascii="Palatino Linotype" w:hAnsi="Palatino Linotype"/>
        </w:rPr>
        <w:t>l</w:t>
      </w:r>
      <w:r w:rsidRPr="00EC18F1">
        <w:rPr>
          <w:rFonts w:ascii="Palatino Linotype" w:hAnsi="Palatino Linotype"/>
        </w:rPr>
        <w:t xml:space="preserve"> </w:t>
      </w:r>
      <w:r w:rsidRPr="00EC18F1">
        <w:rPr>
          <w:rFonts w:ascii="Palatino Linotype" w:hAnsi="Palatino Linotype"/>
          <w:b/>
        </w:rPr>
        <w:lastRenderedPageBreak/>
        <w:t>RECURRENTE</w:t>
      </w:r>
      <w:r w:rsidRPr="00EC18F1">
        <w:rPr>
          <w:rFonts w:ascii="Palatino Linotype" w:hAnsi="Palatino Linotype"/>
        </w:rPr>
        <w:t xml:space="preserve">, concediéndole un plazo de tres día hábiles para que manifestara lo que a su derecho conviniera, y ofreciera pruebas u alegatos; empero, se hace constar que </w:t>
      </w:r>
      <w:r w:rsidR="00A638EE" w:rsidRPr="00EC18F1">
        <w:rPr>
          <w:rFonts w:ascii="Palatino Linotype" w:hAnsi="Palatino Linotype"/>
        </w:rPr>
        <w:t>el</w:t>
      </w:r>
      <w:r w:rsidRPr="00EC18F1">
        <w:rPr>
          <w:rFonts w:ascii="Palatino Linotype" w:hAnsi="Palatino Linotype"/>
        </w:rPr>
        <w:t xml:space="preserve"> particular no ejerció su derecho de réplica sobre los nuevos contenidos.</w:t>
      </w:r>
    </w:p>
    <w:p w14:paraId="04D57337" w14:textId="77777777" w:rsidR="00A638EE" w:rsidRPr="00EC18F1" w:rsidRDefault="00A638EE" w:rsidP="00A638EE">
      <w:pPr>
        <w:pStyle w:val="Prrafodelista"/>
        <w:tabs>
          <w:tab w:val="left" w:pos="426"/>
        </w:tabs>
        <w:spacing w:line="360" w:lineRule="auto"/>
        <w:ind w:left="0"/>
        <w:jc w:val="both"/>
        <w:rPr>
          <w:rFonts w:ascii="Palatino Linotype" w:hAnsi="Palatino Linotype"/>
          <w:color w:val="000000" w:themeColor="text1"/>
        </w:rPr>
      </w:pPr>
    </w:p>
    <w:p w14:paraId="7155E398" w14:textId="6FAFB733" w:rsidR="00A638EE" w:rsidRPr="00EC18F1" w:rsidRDefault="00A638EE" w:rsidP="00A638EE">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hAnsi="Palatino Linotype"/>
        </w:rPr>
        <w:t xml:space="preserve">No se omite mencionar que el archivo titulado </w:t>
      </w:r>
      <w:r w:rsidRPr="00EC18F1">
        <w:rPr>
          <w:rFonts w:ascii="Palatino Linotype" w:hAnsi="Palatino Linotype"/>
          <w:b/>
          <w:i/>
        </w:rPr>
        <w:t>“FICHAS CURRICULARES DE SERVIDORES PÚBLICOS DEL SISTEMA MUNICIPAL DIF TIMILPAN 2022 2024.pdf”</w:t>
      </w:r>
      <w:r w:rsidRPr="00EC18F1">
        <w:rPr>
          <w:rFonts w:ascii="Palatino Linotype" w:hAnsi="Palatino Linotype"/>
        </w:rPr>
        <w:t xml:space="preserve"> no fue puesto a la vista del particular por contener datos personales del personal adscrito al Sistema Municipal para el Desarrollo Integral de la Familia de Timilpan; específicamente, su </w:t>
      </w:r>
      <w:r w:rsidRPr="00EC18F1">
        <w:rPr>
          <w:rFonts w:ascii="Palatino Linotype" w:hAnsi="Palatino Linotype"/>
          <w:b/>
        </w:rPr>
        <w:t>lugar de nacimiento</w:t>
      </w:r>
      <w:r w:rsidRPr="00EC18F1">
        <w:rPr>
          <w:rFonts w:ascii="Palatino Linotype" w:hAnsi="Palatino Linotype"/>
        </w:rPr>
        <w:t>.</w:t>
      </w:r>
    </w:p>
    <w:p w14:paraId="4921D956" w14:textId="77777777" w:rsidR="00360789" w:rsidRPr="00EC18F1" w:rsidRDefault="00360789" w:rsidP="00360789">
      <w:pPr>
        <w:pStyle w:val="Prrafodelista"/>
        <w:tabs>
          <w:tab w:val="left" w:pos="426"/>
        </w:tabs>
        <w:spacing w:line="360" w:lineRule="auto"/>
        <w:ind w:left="0"/>
        <w:jc w:val="both"/>
        <w:rPr>
          <w:rFonts w:ascii="Palatino Linotype" w:hAnsi="Palatino Linotype"/>
          <w:color w:val="000000" w:themeColor="text1"/>
        </w:rPr>
      </w:pPr>
    </w:p>
    <w:p w14:paraId="713C69FA" w14:textId="19AF30A5" w:rsidR="00AE1CCB" w:rsidRPr="00EC18F1" w:rsidRDefault="00213D85"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EC18F1">
        <w:rPr>
          <w:rFonts w:ascii="Palatino Linotype" w:eastAsia="Times New Roman" w:hAnsi="Palatino Linotype" w:cs="Arial"/>
          <w:color w:val="000000" w:themeColor="text1"/>
        </w:rPr>
        <w:t>F</w:t>
      </w:r>
      <w:r w:rsidR="00795FC5" w:rsidRPr="00EC18F1">
        <w:rPr>
          <w:rFonts w:ascii="Palatino Linotype" w:eastAsia="Times New Roman" w:hAnsi="Palatino Linotype" w:cs="Arial"/>
          <w:color w:val="000000" w:themeColor="text1"/>
        </w:rPr>
        <w:t xml:space="preserve">inalmente, el </w:t>
      </w:r>
      <w:r w:rsidR="00A638EE" w:rsidRPr="00EC18F1">
        <w:rPr>
          <w:rFonts w:ascii="Palatino Linotype" w:eastAsia="Times New Roman" w:hAnsi="Palatino Linotype" w:cs="Arial"/>
          <w:b/>
          <w:color w:val="000000" w:themeColor="text1"/>
        </w:rPr>
        <w:t>veintiocho (28) de febrero de dos mil veinticuatro</w:t>
      </w:r>
      <w:r w:rsidR="001E0672" w:rsidRPr="00EC18F1">
        <w:rPr>
          <w:rFonts w:ascii="Palatino Linotype" w:eastAsia="Times New Roman" w:hAnsi="Palatino Linotype" w:cs="Arial"/>
          <w:color w:val="000000" w:themeColor="text1"/>
        </w:rPr>
        <w:t xml:space="preserve">, </w:t>
      </w:r>
      <w:r w:rsidR="00AE1CCB" w:rsidRPr="00EC18F1">
        <w:rPr>
          <w:rFonts w:ascii="Palatino Linotype" w:hAnsi="Palatino Linotype" w:cs="Arial"/>
          <w:color w:val="000000" w:themeColor="text1"/>
        </w:rPr>
        <w:t xml:space="preserve">la Comisionada Ponente decretó el cierre del periodo de instrucción, por lo que ordenó turnar </w:t>
      </w:r>
      <w:r w:rsidR="008A7F1F" w:rsidRPr="00EC18F1">
        <w:rPr>
          <w:rFonts w:ascii="Palatino Linotype" w:hAnsi="Palatino Linotype" w:cs="Arial"/>
          <w:color w:val="000000" w:themeColor="text1"/>
        </w:rPr>
        <w:t>el expediente</w:t>
      </w:r>
      <w:r w:rsidR="004D5BA4" w:rsidRPr="00EC18F1">
        <w:rPr>
          <w:rFonts w:ascii="Palatino Linotype" w:hAnsi="Palatino Linotype" w:cs="Arial"/>
          <w:color w:val="000000" w:themeColor="text1"/>
        </w:rPr>
        <w:t xml:space="preserve"> </w:t>
      </w:r>
      <w:r w:rsidR="00AE1CCB" w:rsidRPr="00EC18F1">
        <w:rPr>
          <w:rFonts w:ascii="Palatino Linotype" w:hAnsi="Palatino Linotype" w:cs="Arial"/>
          <w:color w:val="000000" w:themeColor="text1"/>
        </w:rPr>
        <w:t>para su resolució</w:t>
      </w:r>
      <w:r w:rsidR="009A7F61" w:rsidRPr="00EC18F1">
        <w:rPr>
          <w:rFonts w:ascii="Palatino Linotype" w:hAnsi="Palatino Linotype" w:cs="Arial"/>
          <w:color w:val="000000" w:themeColor="text1"/>
        </w:rPr>
        <w:t>n, misma que ahora se pronu</w:t>
      </w:r>
      <w:r w:rsidR="00A638EE" w:rsidRPr="00EC18F1">
        <w:rPr>
          <w:rFonts w:ascii="Palatino Linotype" w:hAnsi="Palatino Linotype" w:cs="Arial"/>
          <w:color w:val="000000" w:themeColor="text1"/>
        </w:rPr>
        <w:t>ncia; y ------------</w:t>
      </w:r>
    </w:p>
    <w:p w14:paraId="35BA85D8" w14:textId="77777777" w:rsidR="00AE1CCB" w:rsidRPr="00EC18F1"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EC18F1"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EC18F1" w:rsidRDefault="007C0013" w:rsidP="00B31E90">
      <w:pPr>
        <w:pStyle w:val="Ttulo1"/>
        <w:spacing w:before="0"/>
        <w:jc w:val="center"/>
        <w:rPr>
          <w:b/>
          <w:color w:val="000000" w:themeColor="text1"/>
          <w:szCs w:val="24"/>
        </w:rPr>
      </w:pPr>
      <w:bookmarkStart w:id="6" w:name="_Toc88071777"/>
      <w:r w:rsidRPr="00EC18F1">
        <w:rPr>
          <w:b/>
          <w:color w:val="000000" w:themeColor="text1"/>
          <w:szCs w:val="24"/>
        </w:rPr>
        <w:t>C</w:t>
      </w:r>
      <w:r w:rsidR="00EE696E" w:rsidRPr="00EC18F1">
        <w:rPr>
          <w:b/>
          <w:color w:val="000000" w:themeColor="text1"/>
          <w:szCs w:val="24"/>
        </w:rPr>
        <w:t xml:space="preserve"> </w:t>
      </w:r>
      <w:r w:rsidRPr="00EC18F1">
        <w:rPr>
          <w:b/>
          <w:color w:val="000000" w:themeColor="text1"/>
          <w:szCs w:val="24"/>
        </w:rPr>
        <w:t>O</w:t>
      </w:r>
      <w:r w:rsidR="00EE696E" w:rsidRPr="00EC18F1">
        <w:rPr>
          <w:b/>
          <w:color w:val="000000" w:themeColor="text1"/>
          <w:szCs w:val="24"/>
        </w:rPr>
        <w:t xml:space="preserve"> </w:t>
      </w:r>
      <w:r w:rsidRPr="00EC18F1">
        <w:rPr>
          <w:b/>
          <w:color w:val="000000" w:themeColor="text1"/>
          <w:szCs w:val="24"/>
        </w:rPr>
        <w:t>N</w:t>
      </w:r>
      <w:r w:rsidR="00EE696E" w:rsidRPr="00EC18F1">
        <w:rPr>
          <w:b/>
          <w:color w:val="000000" w:themeColor="text1"/>
          <w:szCs w:val="24"/>
        </w:rPr>
        <w:t xml:space="preserve"> </w:t>
      </w:r>
      <w:r w:rsidRPr="00EC18F1">
        <w:rPr>
          <w:b/>
          <w:color w:val="000000" w:themeColor="text1"/>
          <w:szCs w:val="24"/>
        </w:rPr>
        <w:t>S</w:t>
      </w:r>
      <w:r w:rsidR="00EE696E" w:rsidRPr="00EC18F1">
        <w:rPr>
          <w:b/>
          <w:color w:val="000000" w:themeColor="text1"/>
          <w:szCs w:val="24"/>
        </w:rPr>
        <w:t xml:space="preserve"> </w:t>
      </w:r>
      <w:r w:rsidRPr="00EC18F1">
        <w:rPr>
          <w:b/>
          <w:color w:val="000000" w:themeColor="text1"/>
          <w:szCs w:val="24"/>
        </w:rPr>
        <w:t>I</w:t>
      </w:r>
      <w:r w:rsidR="00EE696E" w:rsidRPr="00EC18F1">
        <w:rPr>
          <w:b/>
          <w:color w:val="000000" w:themeColor="text1"/>
          <w:szCs w:val="24"/>
        </w:rPr>
        <w:t xml:space="preserve"> </w:t>
      </w:r>
      <w:r w:rsidRPr="00EC18F1">
        <w:rPr>
          <w:b/>
          <w:color w:val="000000" w:themeColor="text1"/>
          <w:szCs w:val="24"/>
        </w:rPr>
        <w:t>D</w:t>
      </w:r>
      <w:r w:rsidR="00EE696E" w:rsidRPr="00EC18F1">
        <w:rPr>
          <w:b/>
          <w:color w:val="000000" w:themeColor="text1"/>
          <w:szCs w:val="24"/>
        </w:rPr>
        <w:t xml:space="preserve"> </w:t>
      </w:r>
      <w:r w:rsidRPr="00EC18F1">
        <w:rPr>
          <w:b/>
          <w:color w:val="000000" w:themeColor="text1"/>
          <w:szCs w:val="24"/>
        </w:rPr>
        <w:t>E</w:t>
      </w:r>
      <w:r w:rsidR="00EE696E" w:rsidRPr="00EC18F1">
        <w:rPr>
          <w:b/>
          <w:color w:val="000000" w:themeColor="text1"/>
          <w:szCs w:val="24"/>
        </w:rPr>
        <w:t xml:space="preserve"> </w:t>
      </w:r>
      <w:r w:rsidRPr="00EC18F1">
        <w:rPr>
          <w:b/>
          <w:color w:val="000000" w:themeColor="text1"/>
          <w:szCs w:val="24"/>
        </w:rPr>
        <w:t>R</w:t>
      </w:r>
      <w:r w:rsidR="00EE696E" w:rsidRPr="00EC18F1">
        <w:rPr>
          <w:b/>
          <w:color w:val="000000" w:themeColor="text1"/>
          <w:szCs w:val="24"/>
        </w:rPr>
        <w:t xml:space="preserve"> </w:t>
      </w:r>
      <w:r w:rsidRPr="00EC18F1">
        <w:rPr>
          <w:b/>
          <w:color w:val="000000" w:themeColor="text1"/>
          <w:szCs w:val="24"/>
        </w:rPr>
        <w:t>A</w:t>
      </w:r>
      <w:r w:rsidR="00EE696E" w:rsidRPr="00EC18F1">
        <w:rPr>
          <w:b/>
          <w:color w:val="000000" w:themeColor="text1"/>
          <w:szCs w:val="24"/>
        </w:rPr>
        <w:t xml:space="preserve"> </w:t>
      </w:r>
      <w:r w:rsidRPr="00EC18F1">
        <w:rPr>
          <w:b/>
          <w:color w:val="000000" w:themeColor="text1"/>
          <w:szCs w:val="24"/>
        </w:rPr>
        <w:t>N</w:t>
      </w:r>
      <w:r w:rsidR="00EE696E" w:rsidRPr="00EC18F1">
        <w:rPr>
          <w:b/>
          <w:color w:val="000000" w:themeColor="text1"/>
          <w:szCs w:val="24"/>
        </w:rPr>
        <w:t xml:space="preserve"> </w:t>
      </w:r>
      <w:r w:rsidRPr="00EC18F1">
        <w:rPr>
          <w:b/>
          <w:color w:val="000000" w:themeColor="text1"/>
          <w:szCs w:val="24"/>
        </w:rPr>
        <w:t>D</w:t>
      </w:r>
      <w:r w:rsidR="00EE696E" w:rsidRPr="00EC18F1">
        <w:rPr>
          <w:b/>
          <w:color w:val="000000" w:themeColor="text1"/>
          <w:szCs w:val="24"/>
        </w:rPr>
        <w:t xml:space="preserve"> </w:t>
      </w:r>
      <w:r w:rsidRPr="00EC18F1">
        <w:rPr>
          <w:b/>
          <w:color w:val="000000" w:themeColor="text1"/>
          <w:szCs w:val="24"/>
        </w:rPr>
        <w:t>O</w:t>
      </w:r>
      <w:bookmarkEnd w:id="4"/>
      <w:bookmarkEnd w:id="5"/>
      <w:bookmarkEnd w:id="6"/>
    </w:p>
    <w:p w14:paraId="435CF9A4" w14:textId="77777777" w:rsidR="00FC1DA7" w:rsidRPr="00EC18F1" w:rsidRDefault="00FC1DA7" w:rsidP="00B31E90">
      <w:pPr>
        <w:rPr>
          <w:color w:val="000000" w:themeColor="text1"/>
          <w:lang w:eastAsia="en-US"/>
        </w:rPr>
      </w:pPr>
    </w:p>
    <w:p w14:paraId="7A96125B" w14:textId="77777777" w:rsidR="00B46AC0" w:rsidRPr="00EC18F1" w:rsidRDefault="00B46AC0" w:rsidP="00B31E90">
      <w:pPr>
        <w:rPr>
          <w:color w:val="000000" w:themeColor="text1"/>
          <w:lang w:eastAsia="en-US"/>
        </w:rPr>
      </w:pPr>
    </w:p>
    <w:p w14:paraId="629A5BE2" w14:textId="1FC05436" w:rsidR="007C0013" w:rsidRPr="00EC18F1" w:rsidRDefault="007C0013" w:rsidP="00B31E90">
      <w:pPr>
        <w:pStyle w:val="Ttulo2"/>
        <w:spacing w:before="0"/>
        <w:rPr>
          <w:rFonts w:ascii="Palatino Linotype" w:hAnsi="Palatino Linotype"/>
          <w:b/>
          <w:color w:val="000000" w:themeColor="text1"/>
          <w:sz w:val="24"/>
          <w:szCs w:val="24"/>
        </w:rPr>
      </w:pPr>
      <w:bookmarkStart w:id="7" w:name="_Toc461555890"/>
      <w:bookmarkStart w:id="8" w:name="_Toc466371859"/>
      <w:bookmarkStart w:id="9" w:name="_Toc88071778"/>
      <w:r w:rsidRPr="00EC18F1">
        <w:rPr>
          <w:rFonts w:ascii="Palatino Linotype" w:hAnsi="Palatino Linotype"/>
          <w:b/>
          <w:color w:val="000000" w:themeColor="text1"/>
          <w:sz w:val="24"/>
          <w:szCs w:val="24"/>
        </w:rPr>
        <w:t>PRIMERO. De la competencia</w:t>
      </w:r>
      <w:bookmarkEnd w:id="7"/>
      <w:bookmarkEnd w:id="8"/>
      <w:bookmarkEnd w:id="9"/>
    </w:p>
    <w:p w14:paraId="0BF52B18" w14:textId="3E0489A9" w:rsidR="005A228F" w:rsidRPr="00EC18F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EC18F1">
        <w:rPr>
          <w:rFonts w:ascii="Palatino Linotype" w:eastAsia="Calibri" w:hAnsi="Palatino Linotype" w:cs="Times New Roman"/>
          <w:color w:val="000000" w:themeColor="text1"/>
          <w:lang w:val="es-ES"/>
        </w:rPr>
        <w:t xml:space="preserve">Este </w:t>
      </w:r>
      <w:r w:rsidR="002D6977" w:rsidRPr="00EC18F1">
        <w:rPr>
          <w:rFonts w:ascii="Palatino Linotype" w:eastAsia="Calibri" w:hAnsi="Palatino Linotype"/>
          <w:color w:val="000000" w:themeColor="text1"/>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w:t>
      </w:r>
      <w:r w:rsidR="002D6977" w:rsidRPr="00EC18F1">
        <w:rPr>
          <w:rFonts w:ascii="Palatino Linotype" w:eastAsia="Calibri" w:hAnsi="Palatino Linotype"/>
          <w:color w:val="000000" w:themeColor="text1"/>
        </w:rPr>
        <w:lastRenderedPageBreak/>
        <w:t>Interior del Instituto de Transparencia, Acceso a la Información Pública y Protección de Datos Personales del Estado de México y Municipios</w:t>
      </w:r>
      <w:r w:rsidR="000E0AF9" w:rsidRPr="00EC18F1">
        <w:rPr>
          <w:rFonts w:ascii="Palatino Linotype" w:eastAsia="Calibri" w:hAnsi="Palatino Linotype" w:cs="Times New Roman"/>
          <w:color w:val="000000" w:themeColor="text1"/>
        </w:rPr>
        <w:t>.</w:t>
      </w:r>
    </w:p>
    <w:p w14:paraId="1956B329" w14:textId="77777777" w:rsidR="00B76C73" w:rsidRPr="00EC18F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EC18F1" w:rsidRDefault="007C0013" w:rsidP="00B31E90">
      <w:pPr>
        <w:pStyle w:val="Ttulo2"/>
        <w:tabs>
          <w:tab w:val="left" w:pos="426"/>
        </w:tabs>
        <w:spacing w:before="0"/>
        <w:rPr>
          <w:rFonts w:ascii="Palatino Linotype" w:hAnsi="Palatino Linotype"/>
          <w:b/>
          <w:color w:val="000000" w:themeColor="text1"/>
          <w:sz w:val="24"/>
          <w:szCs w:val="24"/>
        </w:rPr>
      </w:pPr>
      <w:bookmarkStart w:id="10" w:name="_Toc461555891"/>
      <w:bookmarkStart w:id="11" w:name="_Toc466371860"/>
      <w:bookmarkStart w:id="12" w:name="_Toc88071779"/>
      <w:r w:rsidRPr="00EC18F1">
        <w:rPr>
          <w:rFonts w:ascii="Palatino Linotype" w:hAnsi="Palatino Linotype"/>
          <w:b/>
          <w:color w:val="000000" w:themeColor="text1"/>
          <w:sz w:val="24"/>
          <w:szCs w:val="24"/>
        </w:rPr>
        <w:t>SEGUNDO. De la oportunidad y proced</w:t>
      </w:r>
      <w:r w:rsidR="00F35C44" w:rsidRPr="00EC18F1">
        <w:rPr>
          <w:rFonts w:ascii="Palatino Linotype" w:hAnsi="Palatino Linotype"/>
          <w:b/>
          <w:color w:val="000000" w:themeColor="text1"/>
          <w:sz w:val="24"/>
          <w:szCs w:val="24"/>
        </w:rPr>
        <w:t>encia</w:t>
      </w:r>
      <w:r w:rsidRPr="00EC18F1">
        <w:rPr>
          <w:rFonts w:ascii="Palatino Linotype" w:hAnsi="Palatino Linotype"/>
          <w:b/>
          <w:color w:val="000000" w:themeColor="text1"/>
          <w:sz w:val="24"/>
          <w:szCs w:val="24"/>
        </w:rPr>
        <w:t>.</w:t>
      </w:r>
      <w:bookmarkEnd w:id="10"/>
      <w:bookmarkEnd w:id="11"/>
      <w:bookmarkEnd w:id="12"/>
    </w:p>
    <w:p w14:paraId="1DAE4B2B" w14:textId="516B7404" w:rsidR="008A7F1F" w:rsidRPr="00EC18F1"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EC18F1">
        <w:rPr>
          <w:rFonts w:ascii="Palatino Linotype" w:eastAsia="Calibri" w:hAnsi="Palatino Linotype" w:cs="Arial"/>
          <w:color w:val="000000" w:themeColor="text1"/>
        </w:rPr>
        <w:t>El</w:t>
      </w:r>
      <w:r w:rsidR="003E6D0F" w:rsidRPr="00EC18F1">
        <w:rPr>
          <w:rFonts w:ascii="Palatino Linotype" w:eastAsia="Calibri" w:hAnsi="Palatino Linotype" w:cs="Arial"/>
          <w:color w:val="000000" w:themeColor="text1"/>
        </w:rPr>
        <w:t xml:space="preserve"> </w:t>
      </w:r>
      <w:r w:rsidRPr="00EC18F1">
        <w:rPr>
          <w:rFonts w:ascii="Palatino Linotype" w:eastAsia="Calibri" w:hAnsi="Palatino Linotype" w:cs="Arial"/>
          <w:lang w:val="es-ES_tradnl"/>
        </w:rPr>
        <w:t>medio de impugnación fue presentado a través del SAIMEX</w:t>
      </w:r>
      <w:r w:rsidRPr="00EC18F1">
        <w:rPr>
          <w:rFonts w:ascii="Palatino Linotype" w:eastAsia="Calibri" w:hAnsi="Palatino Linotype" w:cs="Arial"/>
          <w:b/>
          <w:lang w:val="es-ES_tradnl"/>
        </w:rPr>
        <w:t>,</w:t>
      </w:r>
      <w:r w:rsidRPr="00EC18F1">
        <w:rPr>
          <w:rFonts w:ascii="Palatino Linotype" w:eastAsia="Calibri" w:hAnsi="Palatino Linotype" w:cs="Arial"/>
          <w:lang w:val="es-ES_tradnl"/>
        </w:rPr>
        <w:t xml:space="preserve"> en el formato previamente aprobado para tal efecto y dentro del plazo legal de quince días hábiles otorgados; para el caso en particular</w:t>
      </w:r>
      <w:r w:rsidR="00246318" w:rsidRPr="00EC18F1">
        <w:rPr>
          <w:rFonts w:ascii="Palatino Linotype" w:eastAsia="Calibri" w:hAnsi="Palatino Linotype" w:cs="Arial"/>
          <w:lang w:val="es-ES_tradnl"/>
        </w:rPr>
        <w:t>,</w:t>
      </w:r>
      <w:r w:rsidRPr="00EC18F1">
        <w:rPr>
          <w:rFonts w:ascii="Palatino Linotype" w:eastAsia="Calibri" w:hAnsi="Palatino Linotype" w:cs="Arial"/>
          <w:lang w:val="es-ES_tradnl"/>
        </w:rPr>
        <w:t xml:space="preserve"> es de señalar que si el </w:t>
      </w:r>
      <w:r w:rsidRPr="00EC18F1">
        <w:rPr>
          <w:rFonts w:ascii="Palatino Linotype" w:eastAsia="Calibri" w:hAnsi="Palatino Linotype" w:cs="Arial"/>
          <w:b/>
          <w:lang w:val="es-ES_tradnl"/>
        </w:rPr>
        <w:t>SUJETO OBLIGADO</w:t>
      </w:r>
      <w:r w:rsidRPr="00EC18F1">
        <w:rPr>
          <w:rFonts w:ascii="Palatino Linotype" w:eastAsia="Calibri" w:hAnsi="Palatino Linotype" w:cs="Arial"/>
          <w:lang w:val="es-ES_tradnl"/>
        </w:rPr>
        <w:t xml:space="preserve"> entregó respuesta el </w:t>
      </w:r>
      <w:r w:rsidR="00A638EE" w:rsidRPr="00EC18F1">
        <w:rPr>
          <w:rFonts w:ascii="Palatino Linotype" w:eastAsia="Calibri" w:hAnsi="Palatino Linotype" w:cs="Arial"/>
          <w:b/>
          <w:lang w:val="es-ES_tradnl"/>
        </w:rPr>
        <w:t xml:space="preserve">treinta (30) de noviembre </w:t>
      </w:r>
      <w:r w:rsidR="001D4DDB" w:rsidRPr="00EC18F1">
        <w:rPr>
          <w:rFonts w:ascii="Palatino Linotype" w:eastAsia="Calibri" w:hAnsi="Palatino Linotype" w:cs="Arial"/>
          <w:b/>
          <w:lang w:val="es-ES_tradnl"/>
        </w:rPr>
        <w:t>de dos mil veintidós</w:t>
      </w:r>
      <w:r w:rsidRPr="00EC18F1">
        <w:rPr>
          <w:rFonts w:ascii="Palatino Linotype" w:eastAsia="Calibri" w:hAnsi="Palatino Linotype" w:cs="Arial"/>
        </w:rPr>
        <w:t xml:space="preserve">, el plazo para interponer el recurso de revisión trascurrió del </w:t>
      </w:r>
      <w:r w:rsidR="001C0BEA" w:rsidRPr="00EC18F1">
        <w:rPr>
          <w:rFonts w:ascii="Palatino Linotype" w:eastAsia="Calibri" w:hAnsi="Palatino Linotype" w:cs="Arial"/>
          <w:b/>
        </w:rPr>
        <w:t>uno (01)</w:t>
      </w:r>
      <w:r w:rsidR="008A5A34" w:rsidRPr="00EC18F1">
        <w:rPr>
          <w:rFonts w:ascii="Palatino Linotype" w:eastAsia="Calibri" w:hAnsi="Palatino Linotype" w:cs="Arial"/>
        </w:rPr>
        <w:t xml:space="preserve"> al </w:t>
      </w:r>
      <w:r w:rsidR="001C0BEA" w:rsidRPr="00EC18F1">
        <w:rPr>
          <w:rFonts w:ascii="Palatino Linotype" w:eastAsia="Calibri" w:hAnsi="Palatino Linotype" w:cs="Arial"/>
          <w:b/>
        </w:rPr>
        <w:t>veintiuno (21)</w:t>
      </w:r>
      <w:r w:rsidR="008A5A34" w:rsidRPr="00EC18F1">
        <w:rPr>
          <w:rFonts w:ascii="Palatino Linotype" w:eastAsia="Calibri" w:hAnsi="Palatino Linotype" w:cs="Arial"/>
          <w:b/>
        </w:rPr>
        <w:t xml:space="preserve"> de </w:t>
      </w:r>
      <w:r w:rsidR="001C0BEA" w:rsidRPr="00EC18F1">
        <w:rPr>
          <w:rFonts w:ascii="Palatino Linotype" w:eastAsia="Calibri" w:hAnsi="Palatino Linotype" w:cs="Arial"/>
          <w:b/>
        </w:rPr>
        <w:t>diciembre</w:t>
      </w:r>
      <w:r w:rsidR="001D4DDB" w:rsidRPr="00EC18F1">
        <w:rPr>
          <w:rFonts w:ascii="Palatino Linotype" w:eastAsia="Calibri" w:hAnsi="Palatino Linotype" w:cs="Arial"/>
          <w:b/>
        </w:rPr>
        <w:t xml:space="preserve"> de dos mil veintidós</w:t>
      </w:r>
      <w:r w:rsidRPr="00EC18F1">
        <w:rPr>
          <w:rFonts w:ascii="Palatino Linotype" w:eastAsia="Calibri" w:hAnsi="Palatino Linotype" w:cs="Arial"/>
        </w:rPr>
        <w:t xml:space="preserve">; sin contemplar en el cómputo los </w:t>
      </w:r>
      <w:r w:rsidR="007E72D5" w:rsidRPr="00EC18F1">
        <w:rPr>
          <w:rFonts w:ascii="Palatino Linotype" w:eastAsia="Calibri" w:hAnsi="Palatino Linotype" w:cs="Arial"/>
        </w:rPr>
        <w:t>sábado</w:t>
      </w:r>
      <w:r w:rsidR="00093A7F" w:rsidRPr="00EC18F1">
        <w:rPr>
          <w:rFonts w:ascii="Palatino Linotype" w:eastAsia="Calibri" w:hAnsi="Palatino Linotype" w:cs="Arial"/>
        </w:rPr>
        <w:t>s</w:t>
      </w:r>
      <w:r w:rsidR="001D4DDB" w:rsidRPr="00EC18F1">
        <w:rPr>
          <w:rFonts w:ascii="Palatino Linotype" w:eastAsia="Calibri" w:hAnsi="Palatino Linotype" w:cs="Arial"/>
        </w:rPr>
        <w:t xml:space="preserve"> y</w:t>
      </w:r>
      <w:r w:rsidR="00BF22B8" w:rsidRPr="00EC18F1">
        <w:rPr>
          <w:rFonts w:ascii="Palatino Linotype" w:eastAsia="Calibri" w:hAnsi="Palatino Linotype" w:cs="Arial"/>
        </w:rPr>
        <w:t xml:space="preserve"> </w:t>
      </w:r>
      <w:r w:rsidR="007E72D5" w:rsidRPr="00EC18F1">
        <w:rPr>
          <w:rFonts w:ascii="Palatino Linotype" w:eastAsia="Calibri" w:hAnsi="Palatino Linotype" w:cs="Arial"/>
        </w:rPr>
        <w:t>domingos</w:t>
      </w:r>
      <w:r w:rsidR="003A2CF7" w:rsidRPr="00EC18F1">
        <w:rPr>
          <w:rFonts w:ascii="Palatino Linotype" w:eastAsia="Calibri" w:hAnsi="Palatino Linotype" w:cs="Arial"/>
        </w:rPr>
        <w:t>,</w:t>
      </w:r>
      <w:r w:rsidRPr="00EC18F1">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EC18F1"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14050199" w14:textId="1C7E93BC" w:rsidR="00246318" w:rsidRPr="00EC18F1" w:rsidRDefault="001D4DDB" w:rsidP="008A5A34">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C18F1">
        <w:rPr>
          <w:rFonts w:ascii="Palatino Linotype" w:eastAsia="Calibri" w:hAnsi="Palatino Linotype" w:cs="Arial"/>
        </w:rPr>
        <w:t xml:space="preserve">Luego entonces, si el recurso de revisión que hoy se resuelve fue presentado el </w:t>
      </w:r>
      <w:r w:rsidR="001C0BEA" w:rsidRPr="00EC18F1">
        <w:rPr>
          <w:rFonts w:ascii="Palatino Linotype" w:eastAsia="Calibri" w:hAnsi="Palatino Linotype" w:cs="Arial"/>
          <w:b/>
        </w:rPr>
        <w:t>nueve (09) de diciembre de dos mil veintidós</w:t>
      </w:r>
      <w:r w:rsidRPr="00EC18F1">
        <w:rPr>
          <w:rFonts w:ascii="Palatino Linotype" w:eastAsia="Calibri" w:hAnsi="Palatino Linotype" w:cs="Arial"/>
        </w:rPr>
        <w:t>, éste se encuentra dentro del plazo legalmente establecido para tal efecto.</w:t>
      </w:r>
    </w:p>
    <w:p w14:paraId="1F1AF990" w14:textId="77777777" w:rsidR="00246318" w:rsidRPr="00EC18F1" w:rsidRDefault="00246318" w:rsidP="0024631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EC18F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EC18F1">
        <w:rPr>
          <w:rFonts w:ascii="Palatino Linotype" w:eastAsia="Calibri" w:hAnsi="Palatino Linotype" w:cs="Arial"/>
          <w:color w:val="000000" w:themeColor="text1"/>
        </w:rPr>
        <w:t xml:space="preserve">Consecuencia de lo anterior, </w:t>
      </w:r>
      <w:r w:rsidR="00566BC5" w:rsidRPr="00EC18F1">
        <w:rPr>
          <w:rFonts w:ascii="Palatino Linotype" w:eastAsia="Calibri" w:hAnsi="Palatino Linotype" w:cs="Arial"/>
          <w:color w:val="000000" w:themeColor="text1"/>
        </w:rPr>
        <w:t>este Órgano Garante</w:t>
      </w:r>
      <w:r w:rsidRPr="00EC18F1">
        <w:rPr>
          <w:rFonts w:ascii="Palatino Linotype" w:eastAsia="Calibri" w:hAnsi="Palatino Linotype" w:cs="Arial"/>
          <w:color w:val="000000" w:themeColor="text1"/>
        </w:rPr>
        <w:t xml:space="preserve"> advierte que </w:t>
      </w:r>
      <w:r w:rsidR="00FB2EE1" w:rsidRPr="00EC18F1">
        <w:rPr>
          <w:rFonts w:ascii="Palatino Linotype" w:eastAsia="Calibri" w:hAnsi="Palatino Linotype" w:cs="Arial"/>
          <w:color w:val="000000" w:themeColor="text1"/>
        </w:rPr>
        <w:t>el</w:t>
      </w:r>
      <w:r w:rsidR="00540208" w:rsidRPr="00EC18F1">
        <w:rPr>
          <w:rFonts w:ascii="Palatino Linotype" w:eastAsia="Calibri" w:hAnsi="Palatino Linotype" w:cs="Arial"/>
          <w:color w:val="000000" w:themeColor="text1"/>
        </w:rPr>
        <w:t xml:space="preserve"> </w:t>
      </w:r>
      <w:r w:rsidR="00FB2EE1" w:rsidRPr="00EC18F1">
        <w:rPr>
          <w:rFonts w:ascii="Palatino Linotype" w:eastAsia="Calibri" w:hAnsi="Palatino Linotype" w:cs="Arial"/>
          <w:color w:val="000000" w:themeColor="text1"/>
        </w:rPr>
        <w:t xml:space="preserve">escrito </w:t>
      </w:r>
      <w:r w:rsidR="00540208" w:rsidRPr="00EC18F1">
        <w:rPr>
          <w:rFonts w:ascii="Palatino Linotype" w:eastAsia="Calibri" w:hAnsi="Palatino Linotype" w:cs="Arial"/>
          <w:color w:val="000000" w:themeColor="text1"/>
        </w:rPr>
        <w:t>contiene las formalidades previstas por el artículo 180</w:t>
      </w:r>
      <w:r w:rsidR="00FB2EE1" w:rsidRPr="00EC18F1">
        <w:rPr>
          <w:rFonts w:ascii="Palatino Linotype" w:eastAsia="Calibri" w:hAnsi="Palatino Linotype" w:cs="Arial"/>
          <w:color w:val="000000" w:themeColor="text1"/>
        </w:rPr>
        <w:t>,</w:t>
      </w:r>
      <w:r w:rsidR="00540208" w:rsidRPr="00EC18F1">
        <w:rPr>
          <w:rFonts w:ascii="Palatino Linotype" w:eastAsia="Calibri" w:hAnsi="Palatino Linotype" w:cs="Arial"/>
          <w:color w:val="000000" w:themeColor="text1"/>
        </w:rPr>
        <w:t xml:space="preserve"> último párrafo</w:t>
      </w:r>
      <w:r w:rsidR="00FB2EE1" w:rsidRPr="00EC18F1">
        <w:rPr>
          <w:rFonts w:ascii="Palatino Linotype" w:eastAsia="Calibri" w:hAnsi="Palatino Linotype" w:cs="Arial"/>
          <w:color w:val="000000" w:themeColor="text1"/>
        </w:rPr>
        <w:t>,</w:t>
      </w:r>
      <w:r w:rsidR="00540208" w:rsidRPr="00EC18F1">
        <w:rPr>
          <w:rFonts w:ascii="Palatino Linotype" w:eastAsia="Calibri" w:hAnsi="Palatino Linotype" w:cs="Arial"/>
          <w:color w:val="000000" w:themeColor="text1"/>
        </w:rPr>
        <w:t xml:space="preserve"> de la Ley </w:t>
      </w:r>
      <w:r w:rsidR="004911B6" w:rsidRPr="00EC18F1">
        <w:rPr>
          <w:rFonts w:ascii="Palatino Linotype" w:eastAsia="Calibri" w:hAnsi="Palatino Linotype" w:cs="Arial"/>
          <w:color w:val="000000" w:themeColor="text1"/>
        </w:rPr>
        <w:t>de Transparencia y Acceso a la Información Pública del Estado de México y Municipios</w:t>
      </w:r>
      <w:r w:rsidR="00540208" w:rsidRPr="00EC18F1">
        <w:rPr>
          <w:rFonts w:ascii="Palatino Linotype" w:eastAsia="Calibri" w:hAnsi="Palatino Linotype" w:cs="Arial"/>
          <w:color w:val="000000" w:themeColor="text1"/>
        </w:rPr>
        <w:t xml:space="preserve">, por lo que es procedente que </w:t>
      </w:r>
      <w:r w:rsidR="004911B6" w:rsidRPr="00EC18F1">
        <w:rPr>
          <w:rFonts w:ascii="Palatino Linotype" w:eastAsia="Calibri" w:hAnsi="Palatino Linotype" w:cs="Arial"/>
          <w:color w:val="000000" w:themeColor="text1"/>
        </w:rPr>
        <w:t>e</w:t>
      </w:r>
      <w:r w:rsidR="00540208" w:rsidRPr="00EC18F1">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EC18F1">
        <w:rPr>
          <w:rFonts w:ascii="Palatino Linotype" w:eastAsia="Calibri" w:hAnsi="Palatino Linotype" w:cs="Arial"/>
          <w:color w:val="000000" w:themeColor="text1"/>
        </w:rPr>
        <w:t xml:space="preserve">Municipios, conozca y resuelva </w:t>
      </w:r>
      <w:r w:rsidR="00FB2EE1" w:rsidRPr="00EC18F1">
        <w:rPr>
          <w:rFonts w:ascii="Palatino Linotype" w:eastAsia="Calibri" w:hAnsi="Palatino Linotype" w:cs="Arial"/>
          <w:color w:val="000000" w:themeColor="text1"/>
        </w:rPr>
        <w:t>el</w:t>
      </w:r>
      <w:r w:rsidR="00540208" w:rsidRPr="00EC18F1">
        <w:rPr>
          <w:rFonts w:ascii="Palatino Linotype" w:eastAsia="Calibri" w:hAnsi="Palatino Linotype" w:cs="Arial"/>
          <w:color w:val="000000" w:themeColor="text1"/>
        </w:rPr>
        <w:t xml:space="preserve"> presente recurso.</w:t>
      </w:r>
    </w:p>
    <w:p w14:paraId="7424BDFD" w14:textId="77777777" w:rsidR="001A0F59" w:rsidRPr="00EC18F1" w:rsidRDefault="001A0F59"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p>
    <w:p w14:paraId="4099918A" w14:textId="77777777" w:rsidR="001A0F59" w:rsidRPr="00EC18F1" w:rsidRDefault="001A0F59" w:rsidP="00710B50">
      <w:pPr>
        <w:pStyle w:val="Prrafodelista"/>
        <w:tabs>
          <w:tab w:val="left" w:pos="426"/>
        </w:tabs>
        <w:spacing w:line="360" w:lineRule="auto"/>
        <w:ind w:left="0"/>
        <w:jc w:val="both"/>
        <w:outlineLvl w:val="1"/>
        <w:rPr>
          <w:rFonts w:ascii="Palatino Linotype" w:hAnsi="Palatino Linotype"/>
          <w:b/>
          <w:color w:val="000000" w:themeColor="text1"/>
        </w:rPr>
      </w:pPr>
    </w:p>
    <w:p w14:paraId="5E713412" w14:textId="77777777" w:rsidR="001A0F59" w:rsidRPr="00EC18F1" w:rsidRDefault="001A0F59" w:rsidP="00710B50">
      <w:pPr>
        <w:pStyle w:val="Prrafodelista"/>
        <w:tabs>
          <w:tab w:val="left" w:pos="426"/>
        </w:tabs>
        <w:spacing w:line="360" w:lineRule="auto"/>
        <w:ind w:left="0"/>
        <w:jc w:val="both"/>
        <w:outlineLvl w:val="1"/>
        <w:rPr>
          <w:rFonts w:ascii="Palatino Linotype" w:hAnsi="Palatino Linotype"/>
          <w:b/>
          <w:color w:val="000000" w:themeColor="text1"/>
        </w:rPr>
      </w:pPr>
    </w:p>
    <w:p w14:paraId="11A9FB70" w14:textId="21257BAF" w:rsidR="00710B50" w:rsidRPr="00EC18F1"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r w:rsidRPr="00EC18F1">
        <w:rPr>
          <w:rFonts w:ascii="Palatino Linotype" w:hAnsi="Palatino Linotype"/>
          <w:b/>
          <w:color w:val="000000" w:themeColor="text1"/>
        </w:rPr>
        <w:lastRenderedPageBreak/>
        <w:t xml:space="preserve">TERCERO. </w:t>
      </w:r>
      <w:r w:rsidR="00D5750C" w:rsidRPr="00EC18F1">
        <w:rPr>
          <w:rFonts w:ascii="Palatino Linotype" w:hAnsi="Palatino Linotype"/>
          <w:b/>
          <w:color w:val="000000" w:themeColor="text1"/>
        </w:rPr>
        <w:t xml:space="preserve">Del planteamiento de la </w:t>
      </w:r>
      <w:r w:rsidR="00D5750C" w:rsidRPr="00EC18F1">
        <w:rPr>
          <w:rFonts w:ascii="Palatino Linotype" w:hAnsi="Palatino Linotype"/>
          <w:b/>
          <w:i/>
          <w:color w:val="000000" w:themeColor="text1"/>
        </w:rPr>
        <w:t>Litis</w:t>
      </w:r>
      <w:r w:rsidRPr="00EC18F1">
        <w:rPr>
          <w:rFonts w:ascii="Palatino Linotype" w:hAnsi="Palatino Linotype"/>
          <w:b/>
          <w:color w:val="000000" w:themeColor="text1"/>
        </w:rPr>
        <w:t>.</w:t>
      </w:r>
      <w:bookmarkEnd w:id="13"/>
    </w:p>
    <w:p w14:paraId="0238CB26" w14:textId="5EC3B764" w:rsidR="001D4DDB" w:rsidRPr="00EC18F1" w:rsidRDefault="00335DD4"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EC18F1">
        <w:rPr>
          <w:rFonts w:ascii="Palatino Linotype" w:hAnsi="Palatino Linotype" w:cs="Arial"/>
          <w:color w:val="000000" w:themeColor="text1"/>
        </w:rPr>
        <w:t>Del personal adscrito al Sistema Municipal para el Desarrollo Integral de la Familia de Timilpan, se</w:t>
      </w:r>
      <w:r w:rsidR="002F0EB7" w:rsidRPr="00EC18F1">
        <w:rPr>
          <w:rFonts w:ascii="Palatino Linotype" w:hAnsi="Palatino Linotype" w:cs="Arial"/>
          <w:color w:val="000000" w:themeColor="text1"/>
        </w:rPr>
        <w:t xml:space="preserve"> </w:t>
      </w:r>
      <w:r w:rsidRPr="00EC18F1">
        <w:rPr>
          <w:rFonts w:ascii="Palatino Linotype" w:hAnsi="Palatino Linotype" w:cs="Arial"/>
          <w:color w:val="000000" w:themeColor="text1"/>
        </w:rPr>
        <w:t xml:space="preserve">requirió: </w:t>
      </w:r>
      <w:r w:rsidRPr="00EC18F1">
        <w:rPr>
          <w:rFonts w:ascii="Palatino Linotype" w:hAnsi="Palatino Linotype" w:cs="Arial"/>
          <w:b/>
          <w:color w:val="000000" w:themeColor="text1"/>
        </w:rPr>
        <w:t>a)</w:t>
      </w:r>
      <w:r w:rsidR="00C4591B" w:rsidRPr="00EC18F1">
        <w:rPr>
          <w:rFonts w:ascii="Palatino Linotype" w:hAnsi="Palatino Linotype" w:cs="Arial"/>
          <w:color w:val="000000" w:themeColor="text1"/>
        </w:rPr>
        <w:t xml:space="preserve"> R</w:t>
      </w:r>
      <w:r w:rsidRPr="00EC18F1">
        <w:rPr>
          <w:rFonts w:ascii="Palatino Linotype" w:hAnsi="Palatino Linotype" w:cs="Arial"/>
          <w:color w:val="000000" w:themeColor="text1"/>
        </w:rPr>
        <w:t xml:space="preserve">elación con nombres, cargos, percepciones ordinarias y extraordinarias, bajo sistema de nómina y lista de raya, del uno (01) de enero de dos mil veinte al quince (15) de noviembre de dos mil veintidós; </w:t>
      </w:r>
      <w:r w:rsidRPr="00EC18F1">
        <w:rPr>
          <w:rFonts w:ascii="Palatino Linotype" w:hAnsi="Palatino Linotype" w:cs="Arial"/>
          <w:b/>
          <w:color w:val="000000" w:themeColor="text1"/>
        </w:rPr>
        <w:t>b)</w:t>
      </w:r>
      <w:r w:rsidRPr="00EC18F1">
        <w:rPr>
          <w:rFonts w:ascii="Palatino Linotype" w:hAnsi="Palatino Linotype" w:cs="Arial"/>
          <w:color w:val="000000" w:themeColor="text1"/>
        </w:rPr>
        <w:t xml:space="preserve"> Percepciones ordinarias, extraordinarias, compensaciones y bonificaciones del Presidente, Directores, Subdirectores y Jefes de Departamento del uno (01) de enero de dos mil diecinueve al quince (15) de noviembre de dos mil veintidós; </w:t>
      </w:r>
      <w:r w:rsidRPr="00EC18F1">
        <w:rPr>
          <w:rFonts w:ascii="Palatino Linotype" w:hAnsi="Palatino Linotype" w:cs="Arial"/>
          <w:b/>
          <w:color w:val="000000" w:themeColor="text1"/>
        </w:rPr>
        <w:t>c)</w:t>
      </w:r>
      <w:r w:rsidRPr="00EC18F1">
        <w:rPr>
          <w:rFonts w:ascii="Palatino Linotype" w:hAnsi="Palatino Linotype" w:cs="Arial"/>
          <w:color w:val="000000" w:themeColor="text1"/>
        </w:rPr>
        <w:t xml:space="preserve"> Fichas curriculares del uno (01) de enero de dos mil diecinueve al quince (15) de noviembre de dos mil veintidós;</w:t>
      </w:r>
      <w:r w:rsidR="00C4591B" w:rsidRPr="00EC18F1">
        <w:rPr>
          <w:rFonts w:ascii="Palatino Linotype" w:hAnsi="Palatino Linotype" w:cs="Arial"/>
          <w:color w:val="000000" w:themeColor="text1"/>
        </w:rPr>
        <w:t xml:space="preserve"> y,</w:t>
      </w:r>
      <w:r w:rsidRPr="00EC18F1">
        <w:rPr>
          <w:rFonts w:ascii="Palatino Linotype" w:hAnsi="Palatino Linotype" w:cs="Arial"/>
          <w:color w:val="000000" w:themeColor="text1"/>
        </w:rPr>
        <w:t xml:space="preserve"> </w:t>
      </w:r>
      <w:r w:rsidRPr="00EC18F1">
        <w:rPr>
          <w:rFonts w:ascii="Palatino Linotype" w:hAnsi="Palatino Linotype" w:cs="Arial"/>
          <w:b/>
          <w:color w:val="000000" w:themeColor="text1"/>
        </w:rPr>
        <w:t>d)</w:t>
      </w:r>
      <w:r w:rsidRPr="00EC18F1">
        <w:rPr>
          <w:rFonts w:ascii="Palatino Linotype" w:hAnsi="Palatino Linotype" w:cs="Arial"/>
          <w:color w:val="000000" w:themeColor="text1"/>
        </w:rPr>
        <w:t xml:space="preserve"> Listas de raya generadas del uno (01) de enero del dos mil diecinueve al quince (15) de noviembre de dos mil veintidós</w:t>
      </w:r>
      <w:r w:rsidR="00C4591B" w:rsidRPr="00EC18F1">
        <w:rPr>
          <w:rFonts w:ascii="Palatino Linotype" w:hAnsi="Palatino Linotype" w:cs="Arial"/>
          <w:color w:val="000000" w:themeColor="text1"/>
        </w:rPr>
        <w:t>. Por otro lado, se requirió una relación con la razón social y asignación de montos de los proveedores desde el uno (01) de enero de dos mil diecinueve al quince (15) de noviembre de dos mil veintidós; el status, en caso de existir procedimientos resarcitorios, fiscales, administrativos, penales o civiles donde el ayuntamiento sea parte en contra de cualquier ex servidor público desde el uno (01) de enero de dos mil diecinueve al quince (15) de noviembre de dos mil veintidós; el detalle y montos de deuda desde el uno (01) de enero de dos mil diecinueve al treinta (30) de noviembre de dos mil veintidós; y, los apoyos económicos otorgados por el Sistema Municipal para el Desarrollo Integral de la Familia de Timilpan, del uno (01) de enero de dos mil diecinueve al quince (15) de noviembre de dos mil veintidós.</w:t>
      </w:r>
    </w:p>
    <w:p w14:paraId="5757739F" w14:textId="77777777" w:rsidR="001D4DDB" w:rsidRPr="00EC18F1" w:rsidRDefault="001D4DDB" w:rsidP="001D4DDB">
      <w:pPr>
        <w:pStyle w:val="Prrafodelista"/>
        <w:tabs>
          <w:tab w:val="left" w:pos="426"/>
        </w:tabs>
        <w:spacing w:line="360" w:lineRule="auto"/>
        <w:ind w:left="0" w:right="49"/>
        <w:jc w:val="both"/>
        <w:rPr>
          <w:rFonts w:ascii="Palatino Linotype" w:hAnsi="Palatino Linotype" w:cs="Arial"/>
          <w:color w:val="000000" w:themeColor="text1"/>
        </w:rPr>
      </w:pPr>
    </w:p>
    <w:p w14:paraId="43B3B5A1" w14:textId="668D3D86" w:rsidR="00635424" w:rsidRPr="00EC18F1" w:rsidRDefault="00F03565"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18F1">
        <w:rPr>
          <w:rFonts w:ascii="Palatino Linotype" w:hAnsi="Palatino Linotype" w:cs="Arial"/>
          <w:color w:val="000000" w:themeColor="text1"/>
        </w:rPr>
        <w:t xml:space="preserve">En respuesta, el </w:t>
      </w:r>
      <w:r w:rsidRPr="00EC18F1">
        <w:rPr>
          <w:rFonts w:ascii="Palatino Linotype" w:hAnsi="Palatino Linotype" w:cs="Arial"/>
          <w:b/>
          <w:color w:val="000000" w:themeColor="text1"/>
        </w:rPr>
        <w:t>SUJETO OBLIGADO</w:t>
      </w:r>
      <w:r w:rsidRPr="00EC18F1">
        <w:rPr>
          <w:rFonts w:ascii="Palatino Linotype" w:hAnsi="Palatino Linotype" w:cs="Arial"/>
          <w:color w:val="000000" w:themeColor="text1"/>
        </w:rPr>
        <w:t xml:space="preserve"> </w:t>
      </w:r>
      <w:r w:rsidR="00C4591B" w:rsidRPr="00EC18F1">
        <w:rPr>
          <w:rFonts w:ascii="Palatino Linotype" w:hAnsi="Palatino Linotype" w:cs="Arial"/>
          <w:color w:val="000000" w:themeColor="text1"/>
        </w:rPr>
        <w:t xml:space="preserve">entregó la </w:t>
      </w:r>
      <w:r w:rsidR="00C4591B" w:rsidRPr="00EC18F1">
        <w:rPr>
          <w:rFonts w:ascii="Palatino Linotype" w:eastAsia="Calibri" w:hAnsi="Palatino Linotype" w:cs="Arial"/>
          <w:color w:val="000000" w:themeColor="text1"/>
          <w:lang w:val="es-ES"/>
        </w:rPr>
        <w:t>relación de nómina y listas de raya del personal adscrito al Sistema Municipal para el Desarrollo Integral de la Familia de Timilpan, por quincena, donde se detallan sus percepciones y deducciones, del dos mil diecinueve, dos mil veinte, dos mil veintiuno y dos mil veintidós.</w:t>
      </w:r>
    </w:p>
    <w:p w14:paraId="54C012CA" w14:textId="77777777" w:rsidR="00635424" w:rsidRPr="00EC18F1"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5809C685" w:rsidR="00117D31" w:rsidRPr="00EC18F1" w:rsidRDefault="00C4591B"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18F1">
        <w:rPr>
          <w:rFonts w:ascii="Palatino Linotype" w:hAnsi="Palatino Linotype" w:cs="Arial"/>
          <w:color w:val="000000" w:themeColor="text1"/>
        </w:rPr>
        <w:t>El</w:t>
      </w:r>
      <w:r w:rsidR="001B6088" w:rsidRPr="00EC18F1">
        <w:rPr>
          <w:rFonts w:ascii="Palatino Linotype" w:hAnsi="Palatino Linotype" w:cs="Arial"/>
          <w:color w:val="000000" w:themeColor="text1"/>
        </w:rPr>
        <w:t xml:space="preserve"> particular</w:t>
      </w:r>
      <w:r w:rsidR="00117D31" w:rsidRPr="00EC18F1">
        <w:rPr>
          <w:rFonts w:ascii="Palatino Linotype" w:hAnsi="Palatino Linotype" w:cs="Arial"/>
          <w:color w:val="000000" w:themeColor="text1"/>
        </w:rPr>
        <w:t xml:space="preserve"> impugnó la respuesta del </w:t>
      </w:r>
      <w:r w:rsidR="00117D31" w:rsidRPr="00EC18F1">
        <w:rPr>
          <w:rFonts w:ascii="Palatino Linotype" w:hAnsi="Palatino Linotype" w:cs="Arial"/>
          <w:b/>
          <w:bCs/>
          <w:color w:val="000000" w:themeColor="text1"/>
        </w:rPr>
        <w:t>SUJETO OBLIGADO</w:t>
      </w:r>
      <w:r w:rsidR="00117D31" w:rsidRPr="00EC18F1">
        <w:rPr>
          <w:rFonts w:ascii="Palatino Linotype" w:hAnsi="Palatino Linotype" w:cs="Arial"/>
          <w:color w:val="000000" w:themeColor="text1"/>
        </w:rPr>
        <w:t>, mediante el recurso de revisión con número indicado al rubro, y en el que señaló</w:t>
      </w:r>
      <w:r w:rsidR="008472A9" w:rsidRPr="00EC18F1">
        <w:rPr>
          <w:rFonts w:ascii="Palatino Linotype" w:hAnsi="Palatino Linotype" w:cs="Arial"/>
          <w:color w:val="000000" w:themeColor="text1"/>
        </w:rPr>
        <w:t xml:space="preserve"> por agravios, </w:t>
      </w:r>
      <w:r w:rsidR="00F03565" w:rsidRPr="00EC18F1">
        <w:rPr>
          <w:rFonts w:ascii="Palatino Linotype" w:hAnsi="Palatino Linotype" w:cs="Arial"/>
          <w:color w:val="000000" w:themeColor="text1"/>
        </w:rPr>
        <w:t xml:space="preserve">la </w:t>
      </w:r>
      <w:r w:rsidRPr="00EC18F1">
        <w:rPr>
          <w:rFonts w:ascii="Palatino Linotype" w:hAnsi="Palatino Linotype" w:cs="Arial"/>
          <w:color w:val="000000" w:themeColor="text1"/>
        </w:rPr>
        <w:t>entrega parcial de la información</w:t>
      </w:r>
      <w:r w:rsidR="00DA0B95" w:rsidRPr="00EC18F1">
        <w:rPr>
          <w:rFonts w:ascii="Palatino Linotype" w:hAnsi="Palatino Linotype" w:cs="Arial"/>
          <w:color w:val="000000" w:themeColor="text1"/>
        </w:rPr>
        <w:t>.</w:t>
      </w:r>
    </w:p>
    <w:p w14:paraId="52493E42" w14:textId="77777777" w:rsidR="0056788F" w:rsidRPr="00EC18F1"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1840225F" w:rsidR="001A032D" w:rsidRPr="00EC18F1"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18F1">
        <w:rPr>
          <w:rFonts w:ascii="Palatino Linotype" w:hAnsi="Palatino Linotype" w:cs="Arial"/>
          <w:color w:val="000000" w:themeColor="text1"/>
        </w:rPr>
        <w:t xml:space="preserve">En ese sentido, </w:t>
      </w:r>
      <w:r w:rsidR="00566BC5" w:rsidRPr="00EC18F1">
        <w:rPr>
          <w:rFonts w:ascii="Palatino Linotype" w:hAnsi="Palatino Linotype" w:cs="Arial"/>
          <w:color w:val="000000" w:themeColor="text1"/>
        </w:rPr>
        <w:t>este Órgano Garante</w:t>
      </w:r>
      <w:r w:rsidR="002E160F" w:rsidRPr="00EC18F1">
        <w:rPr>
          <w:rFonts w:ascii="Palatino Linotype" w:hAnsi="Palatino Linotype" w:cs="Arial"/>
          <w:color w:val="000000" w:themeColor="text1"/>
        </w:rPr>
        <w:t xml:space="preserve"> advierte que las razones o motivos de inconformidad manifestados por </w:t>
      </w:r>
      <w:r w:rsidR="00F03565" w:rsidRPr="00EC18F1">
        <w:rPr>
          <w:rFonts w:ascii="Palatino Linotype" w:hAnsi="Palatino Linotype" w:cs="Arial"/>
          <w:color w:val="000000" w:themeColor="text1"/>
        </w:rPr>
        <w:t>la</w:t>
      </w:r>
      <w:r w:rsidR="002E160F" w:rsidRPr="00EC18F1">
        <w:rPr>
          <w:rFonts w:ascii="Palatino Linotype" w:hAnsi="Palatino Linotype" w:cs="Arial"/>
          <w:color w:val="000000" w:themeColor="text1"/>
        </w:rPr>
        <w:t xml:space="preserve"> </w:t>
      </w:r>
      <w:r w:rsidRPr="00EC18F1">
        <w:rPr>
          <w:rFonts w:ascii="Palatino Linotype" w:hAnsi="Palatino Linotype" w:cs="Arial"/>
          <w:b/>
          <w:bCs/>
          <w:color w:val="000000" w:themeColor="text1"/>
        </w:rPr>
        <w:t>RECURRENTE</w:t>
      </w:r>
      <w:r w:rsidRPr="00EC18F1">
        <w:rPr>
          <w:rFonts w:ascii="Palatino Linotype" w:hAnsi="Palatino Linotype" w:cs="Arial"/>
          <w:color w:val="000000" w:themeColor="text1"/>
        </w:rPr>
        <w:t xml:space="preserve"> </w:t>
      </w:r>
      <w:r w:rsidR="002E160F" w:rsidRPr="00EC18F1">
        <w:rPr>
          <w:rFonts w:ascii="Palatino Linotype" w:hAnsi="Palatino Linotype" w:cs="Arial"/>
          <w:color w:val="000000" w:themeColor="text1"/>
        </w:rPr>
        <w:t>sugieren que la respuesta proporcionada</w:t>
      </w:r>
      <w:r w:rsidR="00B855AA" w:rsidRPr="00EC18F1">
        <w:rPr>
          <w:rFonts w:ascii="Palatino Linotype" w:hAnsi="Palatino Linotype" w:cs="Arial"/>
          <w:color w:val="000000" w:themeColor="text1"/>
        </w:rPr>
        <w:t xml:space="preserve"> por el </w:t>
      </w:r>
      <w:r w:rsidR="00B855AA" w:rsidRPr="00EC18F1">
        <w:rPr>
          <w:rFonts w:ascii="Palatino Linotype" w:hAnsi="Palatino Linotype" w:cs="Arial"/>
          <w:b/>
          <w:bCs/>
          <w:color w:val="000000" w:themeColor="text1"/>
        </w:rPr>
        <w:t>SUJETO OBLIGADO</w:t>
      </w:r>
      <w:r w:rsidR="007409D8" w:rsidRPr="00EC18F1">
        <w:rPr>
          <w:rFonts w:ascii="Palatino Linotype" w:hAnsi="Palatino Linotype" w:cs="Arial"/>
          <w:color w:val="000000" w:themeColor="text1"/>
        </w:rPr>
        <w:t xml:space="preserve"> no </w:t>
      </w:r>
      <w:r w:rsidR="006D57BE" w:rsidRPr="00EC18F1">
        <w:rPr>
          <w:rFonts w:ascii="Palatino Linotype" w:hAnsi="Palatino Linotype" w:cs="Arial"/>
          <w:color w:val="000000" w:themeColor="text1"/>
        </w:rPr>
        <w:t>cumplió</w:t>
      </w:r>
      <w:r w:rsidR="00B855AA" w:rsidRPr="00EC18F1">
        <w:rPr>
          <w:rFonts w:ascii="Palatino Linotype" w:hAnsi="Palatino Linotype" w:cs="Arial"/>
          <w:color w:val="000000" w:themeColor="text1"/>
        </w:rPr>
        <w:t xml:space="preserve"> con </w:t>
      </w:r>
      <w:r w:rsidR="008F7752" w:rsidRPr="00EC18F1">
        <w:rPr>
          <w:rFonts w:ascii="Palatino Linotype" w:hAnsi="Palatino Linotype" w:cs="Arial"/>
          <w:color w:val="000000" w:themeColor="text1"/>
        </w:rPr>
        <w:t>los</w:t>
      </w:r>
      <w:r w:rsidR="00B855AA" w:rsidRPr="00EC18F1">
        <w:rPr>
          <w:rFonts w:ascii="Palatino Linotype" w:hAnsi="Palatino Linotype" w:cs="Arial"/>
          <w:color w:val="000000" w:themeColor="text1"/>
        </w:rPr>
        <w:t xml:space="preserve"> principio</w:t>
      </w:r>
      <w:r w:rsidR="008F7752" w:rsidRPr="00EC18F1">
        <w:rPr>
          <w:rFonts w:ascii="Palatino Linotype" w:hAnsi="Palatino Linotype" w:cs="Arial"/>
          <w:color w:val="000000" w:themeColor="text1"/>
        </w:rPr>
        <w:t>s</w:t>
      </w:r>
      <w:r w:rsidR="00B855AA" w:rsidRPr="00EC18F1">
        <w:rPr>
          <w:rFonts w:ascii="Palatino Linotype" w:hAnsi="Palatino Linotype" w:cs="Arial"/>
          <w:color w:val="000000" w:themeColor="text1"/>
        </w:rPr>
        <w:t xml:space="preserve"> contendido</w:t>
      </w:r>
      <w:r w:rsidR="008F7752" w:rsidRPr="00EC18F1">
        <w:rPr>
          <w:rFonts w:ascii="Palatino Linotype" w:hAnsi="Palatino Linotype" w:cs="Arial"/>
          <w:color w:val="000000" w:themeColor="text1"/>
        </w:rPr>
        <w:t>s</w:t>
      </w:r>
      <w:r w:rsidR="00B855AA" w:rsidRPr="00EC18F1">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EC18F1">
        <w:rPr>
          <w:rFonts w:ascii="Palatino Linotype" w:hAnsi="Palatino Linotype" w:cs="Arial"/>
          <w:color w:val="000000" w:themeColor="text1"/>
        </w:rPr>
        <w:t>os</w:t>
      </w:r>
      <w:r w:rsidR="00B855AA" w:rsidRPr="00EC18F1">
        <w:rPr>
          <w:rFonts w:ascii="Palatino Linotype" w:hAnsi="Palatino Linotype" w:cs="Arial"/>
          <w:color w:val="000000" w:themeColor="text1"/>
        </w:rPr>
        <w:t xml:space="preserve"> cual</w:t>
      </w:r>
      <w:r w:rsidR="008F7752" w:rsidRPr="00EC18F1">
        <w:rPr>
          <w:rFonts w:ascii="Palatino Linotype" w:hAnsi="Palatino Linotype" w:cs="Arial"/>
          <w:color w:val="000000" w:themeColor="text1"/>
        </w:rPr>
        <w:t>es</w:t>
      </w:r>
      <w:r w:rsidR="00B855AA" w:rsidRPr="00EC18F1">
        <w:rPr>
          <w:rFonts w:ascii="Palatino Linotype" w:hAnsi="Palatino Linotype" w:cs="Arial"/>
          <w:color w:val="000000" w:themeColor="text1"/>
        </w:rPr>
        <w:t xml:space="preserve"> señala</w:t>
      </w:r>
      <w:r w:rsidR="008F7752" w:rsidRPr="00EC18F1">
        <w:rPr>
          <w:rFonts w:ascii="Palatino Linotype" w:hAnsi="Palatino Linotype" w:cs="Arial"/>
          <w:color w:val="000000" w:themeColor="text1"/>
        </w:rPr>
        <w:t>n</w:t>
      </w:r>
      <w:r w:rsidR="00B855AA" w:rsidRPr="00EC18F1">
        <w:rPr>
          <w:rFonts w:ascii="Palatino Linotype" w:hAnsi="Palatino Linotype" w:cs="Arial"/>
          <w:color w:val="000000" w:themeColor="text1"/>
        </w:rPr>
        <w:t xml:space="preserve"> que en la generación, publicación y entrega de información se deberá garantizar que ésta </w:t>
      </w:r>
      <w:r w:rsidR="00C51671" w:rsidRPr="00EC18F1">
        <w:rPr>
          <w:rFonts w:ascii="Palatino Linotype" w:hAnsi="Palatino Linotype" w:cs="Arial"/>
          <w:color w:val="000000" w:themeColor="text1"/>
        </w:rPr>
        <w:t>sea</w:t>
      </w:r>
      <w:r w:rsidR="007409D8" w:rsidRPr="00EC18F1">
        <w:rPr>
          <w:rFonts w:ascii="Palatino Linotype" w:hAnsi="Palatino Linotype" w:cs="Arial"/>
          <w:color w:val="000000" w:themeColor="text1"/>
        </w:rPr>
        <w:t xml:space="preserve"> </w:t>
      </w:r>
      <w:r w:rsidR="00C4591B" w:rsidRPr="00EC18F1">
        <w:rPr>
          <w:rFonts w:ascii="Palatino Linotype" w:hAnsi="Palatino Linotype" w:cs="Arial"/>
          <w:b/>
          <w:color w:val="000000" w:themeColor="text1"/>
        </w:rPr>
        <w:t>completa</w:t>
      </w:r>
      <w:r w:rsidR="00B855AA" w:rsidRPr="00EC18F1">
        <w:rPr>
          <w:rFonts w:ascii="Palatino Linotype" w:hAnsi="Palatino Linotype" w:cs="Arial"/>
          <w:color w:val="000000" w:themeColor="text1"/>
        </w:rPr>
        <w:t>.</w:t>
      </w:r>
    </w:p>
    <w:p w14:paraId="026A3A70" w14:textId="77777777" w:rsidR="00197091" w:rsidRPr="00EC18F1"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958F559" w:rsidR="00AD76A1" w:rsidRPr="00EC18F1"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18F1">
        <w:rPr>
          <w:rFonts w:ascii="Palatino Linotype" w:hAnsi="Palatino Linotype" w:cs="Arial"/>
          <w:color w:val="000000" w:themeColor="text1"/>
        </w:rPr>
        <w:t xml:space="preserve">Por lo anterior, la </w:t>
      </w:r>
      <w:r w:rsidRPr="00EC18F1">
        <w:rPr>
          <w:rFonts w:ascii="Palatino Linotype" w:hAnsi="Palatino Linotype" w:cs="Arial"/>
          <w:i/>
          <w:color w:val="000000" w:themeColor="text1"/>
        </w:rPr>
        <w:t>Litis</w:t>
      </w:r>
      <w:r w:rsidRPr="00EC18F1">
        <w:rPr>
          <w:rFonts w:ascii="Palatino Linotype" w:hAnsi="Palatino Linotype" w:cs="Arial"/>
          <w:color w:val="000000" w:themeColor="text1"/>
        </w:rPr>
        <w:t xml:space="preserve"> a resolver en el presente recurso se circunscribe en determinar si</w:t>
      </w:r>
      <w:r w:rsidR="002C6561" w:rsidRPr="00EC18F1">
        <w:rPr>
          <w:rFonts w:ascii="Palatino Linotype" w:hAnsi="Palatino Linotype" w:cs="Arial"/>
          <w:color w:val="000000" w:themeColor="text1"/>
        </w:rPr>
        <w:t xml:space="preserve"> </w:t>
      </w:r>
      <w:r w:rsidR="004B0EB6" w:rsidRPr="00EC18F1">
        <w:rPr>
          <w:rFonts w:ascii="Palatino Linotype" w:hAnsi="Palatino Linotype" w:cs="Arial"/>
          <w:color w:val="000000" w:themeColor="text1"/>
        </w:rPr>
        <w:t>la respuesta del</w:t>
      </w:r>
      <w:r w:rsidR="002C6561" w:rsidRPr="00EC18F1">
        <w:rPr>
          <w:rFonts w:ascii="Palatino Linotype" w:hAnsi="Palatino Linotype" w:cs="Arial"/>
          <w:color w:val="000000" w:themeColor="text1"/>
        </w:rPr>
        <w:t xml:space="preserve"> </w:t>
      </w:r>
      <w:r w:rsidR="002C6561" w:rsidRPr="00EC18F1">
        <w:rPr>
          <w:rFonts w:ascii="Palatino Linotype" w:hAnsi="Palatino Linotype" w:cs="Arial"/>
          <w:b/>
          <w:bCs/>
          <w:color w:val="000000" w:themeColor="text1"/>
        </w:rPr>
        <w:t>SUJETO OBLIGADO</w:t>
      </w:r>
      <w:r w:rsidR="002C6561" w:rsidRPr="00EC18F1">
        <w:rPr>
          <w:rFonts w:ascii="Palatino Linotype" w:hAnsi="Palatino Linotype" w:cs="Arial"/>
          <w:color w:val="000000" w:themeColor="text1"/>
        </w:rPr>
        <w:t xml:space="preserve"> </w:t>
      </w:r>
      <w:r w:rsidR="004B0EB6" w:rsidRPr="00EC18F1">
        <w:rPr>
          <w:rFonts w:ascii="Palatino Linotype" w:hAnsi="Palatino Linotype" w:cs="Arial"/>
          <w:color w:val="000000" w:themeColor="text1"/>
        </w:rPr>
        <w:t xml:space="preserve">colma el derecho de acceso a la información ejercido por </w:t>
      </w:r>
      <w:r w:rsidR="001025C6" w:rsidRPr="00EC18F1">
        <w:rPr>
          <w:rFonts w:ascii="Palatino Linotype" w:hAnsi="Palatino Linotype" w:cs="Arial"/>
          <w:color w:val="000000" w:themeColor="text1"/>
        </w:rPr>
        <w:t>el</w:t>
      </w:r>
      <w:r w:rsidR="004B0EB6" w:rsidRPr="00EC18F1">
        <w:rPr>
          <w:rFonts w:ascii="Palatino Linotype" w:hAnsi="Palatino Linotype" w:cs="Arial"/>
          <w:color w:val="000000" w:themeColor="text1"/>
        </w:rPr>
        <w:t xml:space="preserve"> </w:t>
      </w:r>
      <w:r w:rsidR="004B0EB6" w:rsidRPr="00EC18F1">
        <w:rPr>
          <w:rFonts w:ascii="Palatino Linotype" w:hAnsi="Palatino Linotype" w:cs="Arial"/>
          <w:b/>
          <w:bCs/>
          <w:color w:val="000000" w:themeColor="text1"/>
        </w:rPr>
        <w:t>RECURRENTE</w:t>
      </w:r>
      <w:r w:rsidR="002C6561" w:rsidRPr="00EC18F1">
        <w:rPr>
          <w:rFonts w:ascii="Palatino Linotype" w:hAnsi="Palatino Linotype" w:cs="Arial"/>
          <w:color w:val="000000" w:themeColor="text1"/>
        </w:rPr>
        <w:t xml:space="preserve"> o</w:t>
      </w:r>
      <w:r w:rsidR="001025C6" w:rsidRPr="00EC18F1">
        <w:rPr>
          <w:rFonts w:ascii="Palatino Linotype" w:hAnsi="Palatino Linotype" w:cs="Arial"/>
          <w:color w:val="000000" w:themeColor="text1"/>
        </w:rPr>
        <w:t>,</w:t>
      </w:r>
      <w:r w:rsidR="002C6561" w:rsidRPr="00EC18F1">
        <w:rPr>
          <w:rFonts w:ascii="Palatino Linotype" w:hAnsi="Palatino Linotype" w:cs="Arial"/>
          <w:color w:val="000000" w:themeColor="text1"/>
        </w:rPr>
        <w:t xml:space="preserve"> si por el contrario, se</w:t>
      </w:r>
      <w:r w:rsidR="00E32652" w:rsidRPr="00EC18F1">
        <w:rPr>
          <w:rFonts w:ascii="Palatino Linotype" w:hAnsi="Palatino Linotype" w:cs="Arial"/>
          <w:color w:val="000000" w:themeColor="text1"/>
        </w:rPr>
        <w:t xml:space="preserve"> </w:t>
      </w:r>
      <w:r w:rsidR="0028248C" w:rsidRPr="00EC18F1">
        <w:rPr>
          <w:rFonts w:ascii="Palatino Linotype" w:hAnsi="Palatino Linotype"/>
          <w:color w:val="000000" w:themeColor="text1"/>
        </w:rPr>
        <w:t>actualiza</w:t>
      </w:r>
      <w:r w:rsidR="00C51671" w:rsidRPr="00EC18F1">
        <w:rPr>
          <w:rFonts w:ascii="Palatino Linotype" w:hAnsi="Palatino Linotype"/>
          <w:color w:val="000000" w:themeColor="text1"/>
        </w:rPr>
        <w:t>n</w:t>
      </w:r>
      <w:r w:rsidR="0028248C" w:rsidRPr="00EC18F1">
        <w:rPr>
          <w:rFonts w:ascii="Palatino Linotype" w:hAnsi="Palatino Linotype"/>
          <w:color w:val="000000" w:themeColor="text1"/>
        </w:rPr>
        <w:t xml:space="preserve"> la</w:t>
      </w:r>
      <w:r w:rsidR="00C51671" w:rsidRPr="00EC18F1">
        <w:rPr>
          <w:rFonts w:ascii="Palatino Linotype" w:hAnsi="Palatino Linotype"/>
          <w:color w:val="000000" w:themeColor="text1"/>
        </w:rPr>
        <w:t>s</w:t>
      </w:r>
      <w:r w:rsidR="0028248C" w:rsidRPr="00EC18F1">
        <w:rPr>
          <w:rFonts w:ascii="Palatino Linotype" w:hAnsi="Palatino Linotype"/>
          <w:color w:val="000000" w:themeColor="text1"/>
        </w:rPr>
        <w:t xml:space="preserve"> causal</w:t>
      </w:r>
      <w:r w:rsidR="00C51671" w:rsidRPr="00EC18F1">
        <w:rPr>
          <w:rFonts w:ascii="Palatino Linotype" w:hAnsi="Palatino Linotype"/>
          <w:color w:val="000000" w:themeColor="text1"/>
        </w:rPr>
        <w:t>es</w:t>
      </w:r>
      <w:r w:rsidR="0028248C" w:rsidRPr="00EC18F1">
        <w:rPr>
          <w:rFonts w:ascii="Palatino Linotype" w:hAnsi="Palatino Linotype"/>
          <w:color w:val="000000" w:themeColor="text1"/>
        </w:rPr>
        <w:t xml:space="preserve"> de procedencia</w:t>
      </w:r>
      <w:r w:rsidR="00E66A80" w:rsidRPr="00EC18F1">
        <w:rPr>
          <w:rFonts w:ascii="Palatino Linotype" w:hAnsi="Palatino Linotype" w:cs="Arial"/>
          <w:color w:val="000000" w:themeColor="text1"/>
        </w:rPr>
        <w:t xml:space="preserve"> del recurso de revisión establecida</w:t>
      </w:r>
      <w:r w:rsidR="00C51671" w:rsidRPr="00EC18F1">
        <w:rPr>
          <w:rFonts w:ascii="Palatino Linotype" w:hAnsi="Palatino Linotype" w:cs="Arial"/>
          <w:color w:val="000000" w:themeColor="text1"/>
        </w:rPr>
        <w:t>s</w:t>
      </w:r>
      <w:r w:rsidR="00E66A80" w:rsidRPr="00EC18F1">
        <w:rPr>
          <w:rFonts w:ascii="Palatino Linotype" w:hAnsi="Palatino Linotype" w:cs="Arial"/>
          <w:color w:val="000000" w:themeColor="text1"/>
        </w:rPr>
        <w:t xml:space="preserve"> en el artículo 179 </w:t>
      </w:r>
      <w:r w:rsidR="00C51671" w:rsidRPr="00EC18F1">
        <w:rPr>
          <w:rFonts w:ascii="Palatino Linotype" w:hAnsi="Palatino Linotype" w:cs="Arial"/>
          <w:color w:val="000000" w:themeColor="text1"/>
        </w:rPr>
        <w:t>fracciones</w:t>
      </w:r>
      <w:r w:rsidR="00E66A80" w:rsidRPr="00EC18F1">
        <w:rPr>
          <w:rFonts w:ascii="Palatino Linotype" w:hAnsi="Palatino Linotype" w:cs="Arial"/>
          <w:color w:val="000000" w:themeColor="text1"/>
        </w:rPr>
        <w:t xml:space="preserve"> </w:t>
      </w:r>
      <w:r w:rsidR="006015F0" w:rsidRPr="00EC18F1">
        <w:rPr>
          <w:rFonts w:ascii="Palatino Linotype" w:hAnsi="Palatino Linotype" w:cs="Arial"/>
          <w:color w:val="000000" w:themeColor="text1"/>
        </w:rPr>
        <w:t>I</w:t>
      </w:r>
      <w:r w:rsidR="00C4591B" w:rsidRPr="00EC18F1">
        <w:rPr>
          <w:rFonts w:ascii="Palatino Linotype" w:hAnsi="Palatino Linotype" w:cs="Arial"/>
          <w:color w:val="000000" w:themeColor="text1"/>
        </w:rPr>
        <w:t xml:space="preserve"> </w:t>
      </w:r>
      <w:r w:rsidR="007D7B65" w:rsidRPr="00EC18F1">
        <w:rPr>
          <w:rFonts w:ascii="Palatino Linotype" w:hAnsi="Palatino Linotype" w:cs="Arial"/>
          <w:color w:val="000000" w:themeColor="text1"/>
        </w:rPr>
        <w:t xml:space="preserve">y/o </w:t>
      </w:r>
      <w:r w:rsidR="00C4591B" w:rsidRPr="00EC18F1">
        <w:rPr>
          <w:rFonts w:ascii="Palatino Linotype" w:hAnsi="Palatino Linotype" w:cs="Arial"/>
          <w:color w:val="000000" w:themeColor="text1"/>
        </w:rPr>
        <w:t>V</w:t>
      </w:r>
      <w:r w:rsidR="00390D23" w:rsidRPr="00EC18F1">
        <w:rPr>
          <w:rFonts w:ascii="Palatino Linotype" w:hAnsi="Palatino Linotype" w:cs="Arial"/>
          <w:color w:val="000000" w:themeColor="text1"/>
        </w:rPr>
        <w:t xml:space="preserve"> </w:t>
      </w:r>
      <w:r w:rsidR="00E66A80" w:rsidRPr="00EC18F1">
        <w:rPr>
          <w:rFonts w:ascii="Palatino Linotype" w:hAnsi="Palatino Linotype" w:cs="Arial"/>
          <w:color w:val="000000" w:themeColor="text1"/>
        </w:rPr>
        <w:t xml:space="preserve">de la Ley de Transparencia y Acceso a la Información Pública del Estado de México y Municipios, </w:t>
      </w:r>
      <w:r w:rsidR="00C51671" w:rsidRPr="00EC18F1">
        <w:rPr>
          <w:rFonts w:ascii="Palatino Linotype" w:hAnsi="Palatino Linotype" w:cs="Arial"/>
          <w:color w:val="000000" w:themeColor="text1"/>
        </w:rPr>
        <w:t xml:space="preserve">y </w:t>
      </w:r>
      <w:r w:rsidR="00E66A80" w:rsidRPr="00EC18F1">
        <w:rPr>
          <w:rFonts w:ascii="Palatino Linotype" w:hAnsi="Palatino Linotype" w:cs="Arial"/>
          <w:color w:val="000000" w:themeColor="text1"/>
        </w:rPr>
        <w:t>que se transcribe</w:t>
      </w:r>
      <w:r w:rsidR="00C51671" w:rsidRPr="00EC18F1">
        <w:rPr>
          <w:rFonts w:ascii="Palatino Linotype" w:hAnsi="Palatino Linotype" w:cs="Arial"/>
          <w:color w:val="000000" w:themeColor="text1"/>
        </w:rPr>
        <w:t>n</w:t>
      </w:r>
      <w:r w:rsidR="00E66A80" w:rsidRPr="00EC18F1">
        <w:rPr>
          <w:rFonts w:ascii="Palatino Linotype" w:hAnsi="Palatino Linotype" w:cs="Arial"/>
          <w:color w:val="000000" w:themeColor="text1"/>
        </w:rPr>
        <w:t xml:space="preserve"> a continuación:</w:t>
      </w:r>
    </w:p>
    <w:p w14:paraId="694942AF" w14:textId="62D2F7A9" w:rsidR="00AD76A1" w:rsidRPr="00EC18F1" w:rsidRDefault="00E66A80" w:rsidP="00B31E90">
      <w:pPr>
        <w:pStyle w:val="Sinespaciado"/>
        <w:tabs>
          <w:tab w:val="left" w:pos="426"/>
        </w:tabs>
        <w:ind w:left="851" w:right="567"/>
        <w:jc w:val="both"/>
        <w:rPr>
          <w:rFonts w:ascii="Palatino Linotype" w:hAnsi="Palatino Linotype"/>
          <w:i/>
          <w:color w:val="000000" w:themeColor="text1"/>
          <w:sz w:val="22"/>
        </w:rPr>
      </w:pPr>
      <w:r w:rsidRPr="00EC18F1">
        <w:rPr>
          <w:rFonts w:ascii="Palatino Linotype" w:hAnsi="Palatino Linotype"/>
          <w:i/>
          <w:color w:val="000000" w:themeColor="text1"/>
          <w:sz w:val="22"/>
        </w:rPr>
        <w:t>“</w:t>
      </w:r>
      <w:r w:rsidRPr="00EC18F1">
        <w:rPr>
          <w:rFonts w:ascii="Palatino Linotype" w:hAnsi="Palatino Linotype"/>
          <w:b/>
          <w:i/>
          <w:color w:val="000000" w:themeColor="text1"/>
          <w:sz w:val="22"/>
        </w:rPr>
        <w:t>Artículo 179.</w:t>
      </w:r>
      <w:r w:rsidRPr="00EC18F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EC18F1" w:rsidRDefault="007409D8" w:rsidP="00B31E90">
      <w:pPr>
        <w:pStyle w:val="Sinespaciado"/>
        <w:tabs>
          <w:tab w:val="left" w:pos="426"/>
        </w:tabs>
        <w:ind w:left="851" w:right="567"/>
        <w:jc w:val="both"/>
        <w:rPr>
          <w:rFonts w:ascii="Palatino Linotype" w:hAnsi="Palatino Linotype"/>
          <w:bCs/>
          <w:i/>
          <w:color w:val="000000" w:themeColor="text1"/>
          <w:sz w:val="22"/>
        </w:rPr>
      </w:pPr>
      <w:r w:rsidRPr="00EC18F1">
        <w:rPr>
          <w:rFonts w:ascii="Palatino Linotype" w:hAnsi="Palatino Linotype"/>
          <w:b/>
          <w:bCs/>
          <w:i/>
          <w:color w:val="000000" w:themeColor="text1"/>
          <w:sz w:val="22"/>
        </w:rPr>
        <w:t>I.</w:t>
      </w:r>
      <w:r w:rsidRPr="00EC18F1">
        <w:rPr>
          <w:rFonts w:ascii="Palatino Linotype" w:hAnsi="Palatino Linotype"/>
          <w:bCs/>
          <w:i/>
          <w:color w:val="000000" w:themeColor="text1"/>
          <w:sz w:val="22"/>
        </w:rPr>
        <w:t xml:space="preserve"> La negativa a la información solicitada;</w:t>
      </w:r>
    </w:p>
    <w:p w14:paraId="0FA844DD" w14:textId="44C92E06" w:rsidR="004107D7" w:rsidRPr="00EC18F1" w:rsidRDefault="004107D7" w:rsidP="004107D7">
      <w:pPr>
        <w:pStyle w:val="Sinespaciado"/>
        <w:tabs>
          <w:tab w:val="left" w:pos="426"/>
        </w:tabs>
        <w:ind w:left="851" w:right="567"/>
        <w:jc w:val="both"/>
        <w:rPr>
          <w:rFonts w:ascii="Palatino Linotype" w:hAnsi="Palatino Linotype"/>
          <w:i/>
          <w:color w:val="000000" w:themeColor="text1"/>
          <w:sz w:val="22"/>
        </w:rPr>
      </w:pPr>
      <w:r w:rsidRPr="00EC18F1">
        <w:rPr>
          <w:rFonts w:ascii="Palatino Linotype" w:hAnsi="Palatino Linotype"/>
          <w:i/>
          <w:color w:val="000000" w:themeColor="text1"/>
          <w:sz w:val="22"/>
        </w:rPr>
        <w:t>(…)</w:t>
      </w:r>
    </w:p>
    <w:p w14:paraId="4FCA9B3F" w14:textId="38A5861A" w:rsidR="00515DEC" w:rsidRPr="00EC18F1" w:rsidRDefault="00C4591B" w:rsidP="004170BE">
      <w:pPr>
        <w:pStyle w:val="Sinespaciado"/>
        <w:tabs>
          <w:tab w:val="left" w:pos="426"/>
        </w:tabs>
        <w:ind w:left="851" w:right="567"/>
        <w:jc w:val="both"/>
        <w:rPr>
          <w:rFonts w:ascii="Palatino Linotype" w:hAnsi="Palatino Linotype"/>
          <w:bCs/>
          <w:i/>
          <w:color w:val="000000" w:themeColor="text1"/>
          <w:sz w:val="22"/>
        </w:rPr>
      </w:pPr>
      <w:r w:rsidRPr="00EC18F1">
        <w:rPr>
          <w:rFonts w:ascii="Palatino Linotype" w:hAnsi="Palatino Linotype"/>
          <w:b/>
          <w:bCs/>
          <w:i/>
          <w:color w:val="000000" w:themeColor="text1"/>
          <w:sz w:val="22"/>
        </w:rPr>
        <w:t>V.</w:t>
      </w:r>
      <w:r w:rsidRPr="00EC18F1">
        <w:rPr>
          <w:rFonts w:ascii="Palatino Linotype" w:hAnsi="Palatino Linotype"/>
          <w:bCs/>
          <w:i/>
          <w:color w:val="000000" w:themeColor="text1"/>
          <w:sz w:val="22"/>
        </w:rPr>
        <w:t xml:space="preserve"> La entrega de información incompleta;</w:t>
      </w:r>
      <w:r w:rsidRPr="00EC18F1">
        <w:rPr>
          <w:rFonts w:ascii="Palatino Linotype" w:hAnsi="Palatino Linotype"/>
          <w:bCs/>
          <w:i/>
          <w:color w:val="000000" w:themeColor="text1"/>
          <w:sz w:val="22"/>
        </w:rPr>
        <w:cr/>
      </w:r>
      <w:r w:rsidR="002D7AE2" w:rsidRPr="00EC18F1">
        <w:rPr>
          <w:rFonts w:ascii="Palatino Linotype" w:hAnsi="Palatino Linotype"/>
          <w:bCs/>
          <w:i/>
          <w:color w:val="000000" w:themeColor="text1"/>
          <w:sz w:val="22"/>
        </w:rPr>
        <w:t>(...)</w:t>
      </w:r>
      <w:r w:rsidR="007D7B65" w:rsidRPr="00EC18F1">
        <w:rPr>
          <w:rFonts w:ascii="Palatino Linotype" w:hAnsi="Palatino Linotype"/>
          <w:bCs/>
          <w:i/>
          <w:color w:val="000000" w:themeColor="text1"/>
          <w:sz w:val="22"/>
        </w:rPr>
        <w:t>”</w:t>
      </w:r>
    </w:p>
    <w:p w14:paraId="6A3764AF" w14:textId="77777777" w:rsidR="00FB5ACF" w:rsidRPr="00EC18F1" w:rsidRDefault="00FB5ACF" w:rsidP="0021056F">
      <w:pPr>
        <w:rPr>
          <w:sz w:val="22"/>
          <w:lang w:eastAsia="en-US"/>
        </w:rPr>
      </w:pPr>
    </w:p>
    <w:p w14:paraId="2D214BC8" w14:textId="77777777" w:rsidR="00FB5ACF" w:rsidRPr="00EC18F1" w:rsidRDefault="00FB5ACF" w:rsidP="0021056F">
      <w:pPr>
        <w:rPr>
          <w:sz w:val="22"/>
          <w:lang w:eastAsia="en-US"/>
        </w:rPr>
      </w:pPr>
    </w:p>
    <w:p w14:paraId="212611B7" w14:textId="77777777" w:rsidR="00FB5ACF" w:rsidRPr="00EC18F1" w:rsidRDefault="00FB5ACF" w:rsidP="0021056F">
      <w:pPr>
        <w:rPr>
          <w:lang w:eastAsia="en-US"/>
        </w:rPr>
      </w:pPr>
    </w:p>
    <w:p w14:paraId="5CEC2F48" w14:textId="072A0162" w:rsidR="00EF014A" w:rsidRPr="00EC18F1" w:rsidRDefault="00094B41" w:rsidP="00F96156">
      <w:pPr>
        <w:pStyle w:val="Ttulo2"/>
        <w:tabs>
          <w:tab w:val="left" w:pos="426"/>
        </w:tabs>
        <w:rPr>
          <w:rFonts w:ascii="Palatino Linotype" w:hAnsi="Palatino Linotype" w:cs="Arial"/>
          <w:b/>
          <w:color w:val="000000" w:themeColor="text1"/>
          <w:sz w:val="24"/>
          <w:szCs w:val="24"/>
        </w:rPr>
      </w:pPr>
      <w:bookmarkStart w:id="19" w:name="_Toc88071781"/>
      <w:r w:rsidRPr="00EC18F1">
        <w:rPr>
          <w:rFonts w:ascii="Palatino Linotype" w:hAnsi="Palatino Linotype" w:cs="Arial"/>
          <w:b/>
          <w:color w:val="000000" w:themeColor="text1"/>
          <w:sz w:val="24"/>
          <w:szCs w:val="24"/>
        </w:rPr>
        <w:lastRenderedPageBreak/>
        <w:t>CUARTO</w:t>
      </w:r>
      <w:r w:rsidR="00EF014A" w:rsidRPr="00EC18F1">
        <w:rPr>
          <w:rFonts w:ascii="Palatino Linotype" w:hAnsi="Palatino Linotype" w:cs="Arial"/>
          <w:b/>
          <w:color w:val="000000" w:themeColor="text1"/>
          <w:sz w:val="24"/>
          <w:szCs w:val="24"/>
        </w:rPr>
        <w:t>. Estudio y Resolución del asunto.</w:t>
      </w:r>
      <w:bookmarkEnd w:id="19"/>
    </w:p>
    <w:p w14:paraId="3FBFF126" w14:textId="41166438" w:rsidR="000A44DE" w:rsidRPr="00EC18F1"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0" w:name="_Toc466371865"/>
      <w:bookmarkStart w:id="21" w:name="_Toc466377653"/>
      <w:bookmarkEnd w:id="14"/>
      <w:bookmarkEnd w:id="15"/>
      <w:bookmarkEnd w:id="16"/>
      <w:bookmarkEnd w:id="17"/>
      <w:bookmarkEnd w:id="18"/>
      <w:r w:rsidRPr="00EC18F1">
        <w:rPr>
          <w:rFonts w:ascii="Palatino Linotype" w:hAnsi="Palatino Linotype"/>
          <w:b/>
          <w:color w:val="000000" w:themeColor="text1"/>
        </w:rPr>
        <w:t xml:space="preserve">I. De </w:t>
      </w:r>
      <w:r w:rsidR="001019F7" w:rsidRPr="00EC18F1">
        <w:rPr>
          <w:rFonts w:ascii="Palatino Linotype" w:hAnsi="Palatino Linotype"/>
          <w:b/>
          <w:color w:val="000000" w:themeColor="text1"/>
        </w:rPr>
        <w:t>la atención a la solicitud de información</w:t>
      </w:r>
      <w:r w:rsidRPr="00EC18F1">
        <w:rPr>
          <w:rFonts w:ascii="Palatino Linotype" w:hAnsi="Palatino Linotype"/>
          <w:b/>
          <w:color w:val="000000" w:themeColor="text1"/>
        </w:rPr>
        <w:t>.</w:t>
      </w:r>
    </w:p>
    <w:p w14:paraId="2029768C" w14:textId="77777777" w:rsidR="00F735CC" w:rsidRPr="00EC18F1" w:rsidRDefault="00F735CC" w:rsidP="00F735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La Ley de Transparencia y Acceso a la Información Pública del Estado de México y Municipios, en su artículo 150, establece que </w:t>
      </w:r>
      <w:r w:rsidRPr="00EC18F1">
        <w:rPr>
          <w:rFonts w:ascii="Palatino Linotype" w:hAnsi="Palatino Linotype"/>
          <w:b/>
        </w:rPr>
        <w:t>el procedimiento de acceso a la información es la garantía primaria del derecho en cuestión y se rige por los principios de</w:t>
      </w:r>
      <w:r w:rsidRPr="00EC18F1">
        <w:rPr>
          <w:rFonts w:ascii="Palatino Linotype" w:hAnsi="Palatino Linotype"/>
        </w:rPr>
        <w:t xml:space="preserve"> simplicidad, rapidez gratuidad del procedimiento, </w:t>
      </w:r>
      <w:r w:rsidRPr="00EC18F1">
        <w:rPr>
          <w:rFonts w:ascii="Palatino Linotype" w:hAnsi="Palatino Linotype"/>
          <w:b/>
        </w:rPr>
        <w:t>auxilio y orientación a los particulares</w:t>
      </w:r>
      <w:r w:rsidRPr="00EC18F1">
        <w:rPr>
          <w:rFonts w:ascii="Palatino Linotype" w:hAnsi="Palatino Linotype"/>
        </w:rPr>
        <w:t>, así como atención adecuada a las personas con discapacidad y a los hablantes de lengua indígena con el objeto de otorgar la protección más amplia del derecho de las personas.</w:t>
      </w:r>
    </w:p>
    <w:p w14:paraId="71B59CD1" w14:textId="77777777" w:rsidR="00F735CC" w:rsidRPr="00EC18F1" w:rsidRDefault="00F735CC" w:rsidP="00F735CC">
      <w:pPr>
        <w:pStyle w:val="Prrafodelista"/>
        <w:tabs>
          <w:tab w:val="left" w:pos="426"/>
        </w:tabs>
        <w:spacing w:before="240" w:after="240" w:line="360" w:lineRule="auto"/>
        <w:ind w:left="0" w:right="51"/>
        <w:jc w:val="both"/>
        <w:rPr>
          <w:rFonts w:ascii="Palatino Linotype" w:hAnsi="Palatino Linotype"/>
          <w:color w:val="000000" w:themeColor="text1"/>
        </w:rPr>
      </w:pPr>
    </w:p>
    <w:p w14:paraId="5F4DF476" w14:textId="77777777" w:rsidR="00F735CC" w:rsidRPr="00EC18F1" w:rsidRDefault="00F735CC" w:rsidP="00F735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Para atender las solicitudes de información, los Sujetos Obligados contarán con un área denominada </w:t>
      </w:r>
      <w:r w:rsidRPr="00EC18F1">
        <w:rPr>
          <w:rFonts w:ascii="Palatino Linotype" w:hAnsi="Palatino Linotype"/>
          <w:b/>
          <w:bCs/>
          <w:color w:val="000000" w:themeColor="text1"/>
        </w:rPr>
        <w:t>Unidad de Transparencia</w:t>
      </w:r>
      <w:r w:rsidRPr="00EC18F1">
        <w:rPr>
          <w:rFonts w:ascii="Palatino Linotype" w:hAnsi="Palatino Linotype"/>
          <w:color w:val="000000" w:themeColor="text1"/>
          <w:vertAlign w:val="superscript"/>
        </w:rPr>
        <w:footnoteReference w:id="5"/>
      </w:r>
      <w:r w:rsidRPr="00EC18F1">
        <w:rPr>
          <w:rFonts w:ascii="Palatino Linotype" w:hAnsi="Palatino Linotype"/>
          <w:color w:val="000000" w:themeColor="text1"/>
        </w:rPr>
        <w:t xml:space="preserve">, la cual será presidida por un Titular, quien fungirá como enlace entre éstos y los solicitantes. Dicha Unidad </w:t>
      </w:r>
      <w:r w:rsidRPr="00EC18F1">
        <w:rPr>
          <w:rFonts w:ascii="Palatino Linotype" w:hAnsi="Palatino Linotype"/>
          <w:b/>
          <w:bCs/>
          <w:color w:val="000000" w:themeColor="text1"/>
        </w:rPr>
        <w:t>será la encargada de tramitar internamente la solicitud de información</w:t>
      </w:r>
      <w:r w:rsidRPr="00EC18F1">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EC18F1">
        <w:rPr>
          <w:rFonts w:ascii="Palatino Linotype" w:hAnsi="Palatino Linotype"/>
          <w:b/>
          <w:bCs/>
          <w:color w:val="000000" w:themeColor="text1"/>
        </w:rPr>
        <w:t xml:space="preserve">gestionar la atención a las solicitudes de información </w:t>
      </w:r>
      <w:r w:rsidRPr="00EC18F1">
        <w:rPr>
          <w:rFonts w:ascii="Palatino Linotype" w:hAnsi="Palatino Linotype"/>
          <w:color w:val="000000" w:themeColor="text1"/>
        </w:rPr>
        <w:t>en los términos de la Ley General y la Ley de Transparencia y Acceso a la Información Pública del Estado de México y Municipios</w:t>
      </w:r>
      <w:r w:rsidRPr="00EC18F1">
        <w:rPr>
          <w:rFonts w:ascii="Palatino Linotype" w:hAnsi="Palatino Linotype"/>
          <w:color w:val="000000" w:themeColor="text1"/>
          <w:vertAlign w:val="superscript"/>
        </w:rPr>
        <w:footnoteReference w:id="6"/>
      </w:r>
      <w:r w:rsidRPr="00EC18F1">
        <w:rPr>
          <w:rFonts w:ascii="Palatino Linotype" w:hAnsi="Palatino Linotype"/>
          <w:color w:val="000000" w:themeColor="text1"/>
        </w:rPr>
        <w:t>.</w:t>
      </w:r>
    </w:p>
    <w:p w14:paraId="4CA83A7E" w14:textId="77777777" w:rsidR="00F735CC" w:rsidRPr="00EC18F1" w:rsidRDefault="00F735CC" w:rsidP="00F735CC">
      <w:pPr>
        <w:pStyle w:val="Prrafodelista"/>
        <w:tabs>
          <w:tab w:val="left" w:pos="426"/>
        </w:tabs>
        <w:spacing w:before="240" w:after="240" w:line="360" w:lineRule="auto"/>
        <w:ind w:left="0" w:right="51"/>
        <w:jc w:val="both"/>
        <w:rPr>
          <w:rFonts w:ascii="Palatino Linotype" w:hAnsi="Palatino Linotype"/>
          <w:color w:val="000000" w:themeColor="text1"/>
        </w:rPr>
      </w:pPr>
    </w:p>
    <w:p w14:paraId="6CD8D5A1" w14:textId="77777777" w:rsidR="00F735CC" w:rsidRPr="00EC18F1" w:rsidRDefault="00F735CC" w:rsidP="00F735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De </w:t>
      </w:r>
      <w:r w:rsidRPr="00EC18F1">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558863DE" w14:textId="77777777" w:rsidR="00F735CC" w:rsidRPr="00EC18F1" w:rsidRDefault="00F735CC" w:rsidP="00F735CC">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EC18F1">
        <w:rPr>
          <w:rFonts w:ascii="Palatino Linotype" w:eastAsia="MS Mincho" w:hAnsi="Palatino Linotype" w:cs="Times New Roman"/>
          <w:color w:val="000000"/>
          <w:sz w:val="22"/>
        </w:rPr>
        <w:t>Recibir, tramitar y dar respuesta a las solicitudes de acceso a la información;</w:t>
      </w:r>
    </w:p>
    <w:p w14:paraId="6C6C2884" w14:textId="77777777" w:rsidR="00F735CC" w:rsidRPr="00EC18F1" w:rsidRDefault="00F735CC" w:rsidP="00F735CC">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EC18F1">
        <w:rPr>
          <w:rFonts w:ascii="Palatino Linotype" w:eastAsia="MS Mincho" w:hAnsi="Palatino Linotype" w:cs="Times New Roman"/>
          <w:color w:val="000000"/>
          <w:sz w:val="22"/>
        </w:rPr>
        <w:lastRenderedPageBreak/>
        <w:t xml:space="preserve">Realizar, con efectividad, los trámites internos necesarios para la atención de las solicitudes de acceso a la información; </w:t>
      </w:r>
    </w:p>
    <w:p w14:paraId="0C5B4D3D" w14:textId="77777777" w:rsidR="00F735CC" w:rsidRPr="00EC18F1" w:rsidRDefault="00F735CC" w:rsidP="00F735CC">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EC18F1">
        <w:rPr>
          <w:rFonts w:ascii="Palatino Linotype" w:eastAsia="MS Mincho" w:hAnsi="Palatino Linotype" w:cs="Times New Roman"/>
          <w:color w:val="000000"/>
          <w:sz w:val="22"/>
        </w:rPr>
        <w:t xml:space="preserve">Entregar, en su caso, a los particulares la información solicitada; y </w:t>
      </w:r>
    </w:p>
    <w:p w14:paraId="25AEC540" w14:textId="77777777" w:rsidR="00F735CC" w:rsidRPr="00EC18F1" w:rsidRDefault="00F735CC" w:rsidP="00F735CC">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eastAsia="MS Mincho" w:hAnsi="Palatino Linotype" w:cs="Times New Roman"/>
          <w:color w:val="000000"/>
          <w:sz w:val="22"/>
        </w:rPr>
        <w:t>Efectuar las notificaciones a los solicitantes.</w:t>
      </w:r>
    </w:p>
    <w:p w14:paraId="3CD1E28B" w14:textId="77777777" w:rsidR="00F735CC" w:rsidRPr="00EC18F1" w:rsidRDefault="00F735CC" w:rsidP="00F735CC">
      <w:pPr>
        <w:pStyle w:val="Prrafodelista"/>
        <w:tabs>
          <w:tab w:val="left" w:pos="426"/>
        </w:tabs>
        <w:spacing w:before="240" w:after="240" w:line="360" w:lineRule="auto"/>
        <w:ind w:left="0" w:right="51"/>
        <w:jc w:val="both"/>
        <w:rPr>
          <w:rFonts w:ascii="Palatino Linotype" w:hAnsi="Palatino Linotype"/>
          <w:color w:val="000000" w:themeColor="text1"/>
        </w:rPr>
      </w:pPr>
    </w:p>
    <w:p w14:paraId="5AECD479" w14:textId="77777777" w:rsidR="00F735CC" w:rsidRPr="00EC18F1" w:rsidRDefault="00F735CC" w:rsidP="00F735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Otros sujetos del proceso de atención a las solicitudes de información son los </w:t>
      </w:r>
      <w:r w:rsidRPr="00EC18F1">
        <w:rPr>
          <w:rFonts w:ascii="Palatino Linotype" w:hAnsi="Palatino Linotype"/>
          <w:b/>
          <w:bCs/>
        </w:rPr>
        <w:t>servidores públicos habilitados</w:t>
      </w:r>
      <w:r w:rsidRPr="00EC18F1">
        <w:rPr>
          <w:rFonts w:ascii="Palatino Linotype" w:hAnsi="Palatino Linotype"/>
        </w:rPr>
        <w:t xml:space="preserve">, quienes serán designados por el titular del </w:t>
      </w:r>
      <w:r w:rsidRPr="00EC18F1">
        <w:rPr>
          <w:rFonts w:ascii="Palatino Linotype" w:hAnsi="Palatino Linotype"/>
          <w:b/>
          <w:bCs/>
        </w:rPr>
        <w:t>SUJETO OBLIGADO</w:t>
      </w:r>
      <w:r w:rsidRPr="00EC18F1">
        <w:rPr>
          <w:rFonts w:ascii="Palatino Linotype" w:hAnsi="Palatino Linotype"/>
        </w:rPr>
        <w:t>, a propuesta del responsable de la Unidad de Transparencia</w:t>
      </w:r>
      <w:r w:rsidRPr="00EC18F1">
        <w:rPr>
          <w:rFonts w:ascii="Palatino Linotype" w:hAnsi="Palatino Linotype"/>
          <w:vertAlign w:val="superscript"/>
        </w:rPr>
        <w:footnoteReference w:id="7"/>
      </w:r>
      <w:r w:rsidRPr="00EC18F1">
        <w:rPr>
          <w:rFonts w:ascii="Palatino Linotype" w:hAnsi="Palatino Linotype"/>
        </w:rPr>
        <w:t xml:space="preserve"> y tendrán, entre sus atribuciones, las siguientes</w:t>
      </w:r>
      <w:r w:rsidRPr="00EC18F1">
        <w:rPr>
          <w:rFonts w:ascii="Palatino Linotype" w:hAnsi="Palatino Linotype"/>
          <w:vertAlign w:val="superscript"/>
        </w:rPr>
        <w:footnoteReference w:id="8"/>
      </w:r>
      <w:r w:rsidRPr="00EC18F1">
        <w:rPr>
          <w:rFonts w:ascii="Palatino Linotype" w:hAnsi="Palatino Linotype"/>
        </w:rPr>
        <w:t>:</w:t>
      </w:r>
    </w:p>
    <w:p w14:paraId="4AA007F7" w14:textId="77777777" w:rsidR="00F735CC" w:rsidRPr="00EC18F1" w:rsidRDefault="00F735CC" w:rsidP="00F735CC">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EC18F1">
        <w:rPr>
          <w:rFonts w:ascii="Palatino Linotype" w:hAnsi="Palatino Linotype"/>
          <w:sz w:val="22"/>
        </w:rPr>
        <w:t>Localizar la información que le solicite la Unidad de Transparencia; y</w:t>
      </w:r>
    </w:p>
    <w:p w14:paraId="785E58AE" w14:textId="77777777" w:rsidR="00F735CC" w:rsidRPr="00EC18F1" w:rsidRDefault="00F735CC" w:rsidP="00F735CC">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sz w:val="22"/>
        </w:rPr>
        <w:t>Proporcionar la información que obre en los archivos y que le sea solicitada por la Unidad de Transparencia.</w:t>
      </w:r>
    </w:p>
    <w:p w14:paraId="567D1621" w14:textId="77777777" w:rsidR="00F735CC" w:rsidRPr="00EC18F1" w:rsidRDefault="00F735CC" w:rsidP="00F735CC">
      <w:pPr>
        <w:pStyle w:val="Prrafodelista"/>
        <w:tabs>
          <w:tab w:val="left" w:pos="426"/>
        </w:tabs>
        <w:spacing w:before="240" w:after="240" w:line="360" w:lineRule="auto"/>
        <w:ind w:left="0" w:right="51"/>
        <w:jc w:val="both"/>
        <w:rPr>
          <w:rFonts w:ascii="Palatino Linotype" w:hAnsi="Palatino Linotype"/>
          <w:color w:val="000000" w:themeColor="text1"/>
        </w:rPr>
      </w:pPr>
    </w:p>
    <w:p w14:paraId="17C6C0D7" w14:textId="77777777" w:rsidR="00F735CC" w:rsidRPr="00EC18F1" w:rsidRDefault="00F735CC" w:rsidP="00F735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De tal </w:t>
      </w:r>
      <w:r w:rsidRPr="00EC18F1">
        <w:rPr>
          <w:rFonts w:ascii="Palatino Linotype" w:eastAsia="MS Mincho" w:hAnsi="Palatino Linotype" w:cs="Times New Roman"/>
          <w:color w:val="000000"/>
        </w:rPr>
        <w:t xml:space="preserve">manera que cada una de las áreas administrativas del </w:t>
      </w:r>
      <w:r w:rsidRPr="00EC18F1">
        <w:rPr>
          <w:rFonts w:ascii="Palatino Linotype" w:eastAsia="MS Mincho" w:hAnsi="Palatino Linotype" w:cs="Times New Roman"/>
          <w:b/>
          <w:bCs/>
          <w:color w:val="000000"/>
        </w:rPr>
        <w:t>SUJETO OBLIGADO</w:t>
      </w:r>
      <w:r w:rsidRPr="00EC18F1">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BBE4E05" w14:textId="77777777" w:rsidR="00F735CC" w:rsidRPr="00EC18F1" w:rsidRDefault="00F735CC" w:rsidP="00F735CC">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7FA72EE0" w:rsidR="00F92741" w:rsidRPr="00EC18F1" w:rsidRDefault="00F735CC"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D</w:t>
      </w:r>
      <w:r w:rsidR="00C4591B" w:rsidRPr="00EC18F1">
        <w:rPr>
          <w:rFonts w:ascii="Palatino Linotype" w:hAnsi="Palatino Linotype"/>
        </w:rPr>
        <w:t>e</w:t>
      </w:r>
      <w:r w:rsidR="00F92741" w:rsidRPr="00EC18F1">
        <w:rPr>
          <w:rFonts w:ascii="Palatino Linotype" w:hAnsi="Palatino Linotype"/>
        </w:rPr>
        <w:t xml:space="preserve"> la lectura a la solicitud de información </w:t>
      </w:r>
      <w:r w:rsidR="006073A5" w:rsidRPr="00EC18F1">
        <w:rPr>
          <w:rFonts w:ascii="Palatino Linotype" w:hAnsi="Palatino Linotype"/>
          <w:b/>
        </w:rPr>
        <w:t>00073/TIMILPAN/IP/2022</w:t>
      </w:r>
      <w:r w:rsidR="00F92741" w:rsidRPr="00EC18F1">
        <w:rPr>
          <w:rFonts w:ascii="Palatino Linotype" w:hAnsi="Palatino Linotype"/>
        </w:rPr>
        <w:t xml:space="preserve">,  y como fuera señalado en el </w:t>
      </w:r>
      <w:r w:rsidR="00F92741" w:rsidRPr="00EC18F1">
        <w:rPr>
          <w:rFonts w:ascii="Palatino Linotype" w:hAnsi="Palatino Linotype"/>
          <w:i/>
          <w:iCs/>
        </w:rPr>
        <w:t>Planteamiento de la Litis</w:t>
      </w:r>
      <w:r w:rsidR="00F92741" w:rsidRPr="00EC18F1">
        <w:rPr>
          <w:rFonts w:ascii="Palatino Linotype" w:hAnsi="Palatino Linotype"/>
        </w:rPr>
        <w:t xml:space="preserve"> de esta resolución, se advierte que el entonces </w:t>
      </w:r>
      <w:r w:rsidR="00F92741" w:rsidRPr="00EC18F1">
        <w:rPr>
          <w:rFonts w:ascii="Palatino Linotype" w:hAnsi="Palatino Linotype"/>
          <w:b/>
        </w:rPr>
        <w:t>SOLICITANTE</w:t>
      </w:r>
      <w:r w:rsidR="00F92741" w:rsidRPr="00EC18F1">
        <w:rPr>
          <w:rFonts w:ascii="Palatino Linotype" w:hAnsi="Palatino Linotype"/>
        </w:rPr>
        <w:t xml:space="preserve"> requirió acceder a la siguiente información:</w:t>
      </w:r>
    </w:p>
    <w:p w14:paraId="1A76903C" w14:textId="77777777" w:rsidR="00BF20A0" w:rsidRPr="00EC18F1" w:rsidRDefault="00BF20A0"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 xml:space="preserve">Del personal adscrito al Sistema Municipal para el Desarrollo Integral de la Familia de Timilpan: </w:t>
      </w:r>
    </w:p>
    <w:p w14:paraId="7F616CA9" w14:textId="77777777" w:rsidR="00BF20A0" w:rsidRPr="00EC18F1" w:rsidRDefault="00BF20A0" w:rsidP="00BF20A0">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lastRenderedPageBreak/>
        <w:t xml:space="preserve">Relación con nombres, cargos, percepciones ordinarias y extraordinarias, bajo sistema de nómina y lista de raya, del uno (01) de enero de dos mil veinte al quince (15) de noviembre de dos mil veintidós; </w:t>
      </w:r>
    </w:p>
    <w:p w14:paraId="75999CAE" w14:textId="77777777" w:rsidR="00BF20A0" w:rsidRPr="00EC18F1" w:rsidRDefault="00BF20A0" w:rsidP="00BF20A0">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 xml:space="preserve">Percepciones ordinarias, extraordinarias, compensaciones y bonificaciones del Presidente, Directores, Subdirectores y Jefes de Departamento del uno (01) de enero de dos mil diecinueve al quince (15) de noviembre de dos mil veintidós; </w:t>
      </w:r>
    </w:p>
    <w:p w14:paraId="6342824F" w14:textId="4DBC89A9" w:rsidR="00BF20A0" w:rsidRPr="00EC18F1" w:rsidRDefault="00BF20A0" w:rsidP="00BF20A0">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Fichas curriculares del uno (01) de enero de dos mil diecinueve al quince (15) de noviembre de dos mil veintidós; y</w:t>
      </w:r>
    </w:p>
    <w:p w14:paraId="3BD942D5" w14:textId="098DF9D4" w:rsidR="00BF20A0" w:rsidRPr="00EC18F1" w:rsidRDefault="00BF20A0" w:rsidP="00BF20A0">
      <w:pPr>
        <w:pStyle w:val="Prrafodelista"/>
        <w:numPr>
          <w:ilvl w:val="2"/>
          <w:numId w:val="6"/>
        </w:numPr>
        <w:tabs>
          <w:tab w:val="left" w:pos="426"/>
        </w:tabs>
        <w:spacing w:before="240" w:after="240" w:line="360" w:lineRule="auto"/>
        <w:ind w:left="1701"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 xml:space="preserve">Listas de raya generadas del uno (01) de enero del dos mil diecinueve al quince (15) de noviembre de dos mil veintidós. </w:t>
      </w:r>
    </w:p>
    <w:p w14:paraId="2FF49309" w14:textId="0EBF0995" w:rsidR="00BF20A0" w:rsidRPr="00EC18F1" w:rsidRDefault="00BF20A0"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Apoyos económicos otorgados por el Sistema Municipal para el Desarrollo Integral de la Familia de Timilpan, del uno (01) de enero de dos mil diecinueve al quince (15) de noviembre de dos mil veintidós;</w:t>
      </w:r>
    </w:p>
    <w:p w14:paraId="108C8A8B" w14:textId="77777777" w:rsidR="00BF20A0" w:rsidRPr="00EC18F1" w:rsidRDefault="00BF20A0"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 xml:space="preserve">Documento donde conste la razón social y asignación de montos de los proveedores desde el uno (01) de enero de dos mil diecinueve al quince (15) de noviembre de dos mil veintidós; </w:t>
      </w:r>
    </w:p>
    <w:p w14:paraId="61D28997" w14:textId="365B63AD" w:rsidR="00BF20A0" w:rsidRPr="00EC18F1" w:rsidRDefault="00BF20A0"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Documento donde conste el status, en caso de existir procedimientos resarcitorios, fiscales, administrativos, penales o civiles donde el ayuntamiento sea parte en contra de cualquier ex servidor público desde el uno (01) de enero de dos mil diecinueve al quince (15) de noviembre de dos mil veintidós; y</w:t>
      </w:r>
    </w:p>
    <w:p w14:paraId="1575257B" w14:textId="0908C184" w:rsidR="0010205D" w:rsidRPr="00EC18F1" w:rsidRDefault="00BF20A0" w:rsidP="00FD62D7">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themeColor="text1"/>
          <w:sz w:val="22"/>
        </w:rPr>
        <w:t>Detalle y montos de deuda desde el uno (01) de enero de dos mil diecinueve al treinta (30) de noviembre de dos mil veintidós.</w:t>
      </w:r>
    </w:p>
    <w:p w14:paraId="0B510E2B" w14:textId="77777777" w:rsidR="00FD62D7" w:rsidRPr="00EC18F1" w:rsidRDefault="00FD62D7" w:rsidP="00FD62D7">
      <w:pPr>
        <w:pStyle w:val="Prrafodelista"/>
        <w:tabs>
          <w:tab w:val="left" w:pos="426"/>
        </w:tabs>
        <w:spacing w:before="240" w:after="240" w:line="360" w:lineRule="auto"/>
        <w:ind w:left="0" w:right="51"/>
        <w:jc w:val="both"/>
        <w:rPr>
          <w:rFonts w:ascii="Palatino Linotype" w:hAnsi="Palatino Linotype"/>
          <w:color w:val="000000" w:themeColor="text1"/>
        </w:rPr>
      </w:pPr>
    </w:p>
    <w:p w14:paraId="69FC3D81" w14:textId="0555B8D8" w:rsidR="00854AED" w:rsidRPr="00EC18F1" w:rsidRDefault="00BF20A0" w:rsidP="00C91C5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En respuesta a la solicitud</w:t>
      </w:r>
      <w:r w:rsidR="00F92741" w:rsidRPr="00EC18F1">
        <w:rPr>
          <w:rFonts w:ascii="Palatino Linotype" w:hAnsi="Palatino Linotype"/>
        </w:rPr>
        <w:t xml:space="preserve">, el </w:t>
      </w:r>
      <w:r w:rsidR="00F92741" w:rsidRPr="00EC18F1">
        <w:rPr>
          <w:rFonts w:ascii="Palatino Linotype" w:hAnsi="Palatino Linotype"/>
          <w:b/>
        </w:rPr>
        <w:t>SUJETO OBLIGADO</w:t>
      </w:r>
      <w:r w:rsidR="00F92741" w:rsidRPr="00EC18F1">
        <w:rPr>
          <w:rFonts w:ascii="Palatino Linotype" w:hAnsi="Palatino Linotype"/>
        </w:rPr>
        <w:t xml:space="preserve"> </w:t>
      </w:r>
      <w:r w:rsidR="00483F86" w:rsidRPr="00EC18F1">
        <w:rPr>
          <w:rFonts w:ascii="Palatino Linotype" w:hAnsi="Palatino Linotype"/>
        </w:rPr>
        <w:t xml:space="preserve">entregó </w:t>
      </w:r>
      <w:r w:rsidRPr="00EC18F1">
        <w:rPr>
          <w:rFonts w:ascii="Palatino Linotype" w:hAnsi="Palatino Linotype"/>
        </w:rPr>
        <w:t xml:space="preserve">cuatro archivos electrónicos, consistentes en la </w:t>
      </w:r>
      <w:r w:rsidRPr="00EC18F1">
        <w:rPr>
          <w:rFonts w:ascii="Palatino Linotype" w:eastAsia="Calibri" w:hAnsi="Palatino Linotype" w:cs="Arial"/>
          <w:b/>
          <w:color w:val="000000" w:themeColor="text1"/>
          <w:lang w:val="es-ES"/>
        </w:rPr>
        <w:t>relación de nómina</w:t>
      </w:r>
      <w:r w:rsidRPr="00EC18F1">
        <w:rPr>
          <w:rFonts w:ascii="Palatino Linotype" w:eastAsia="Calibri" w:hAnsi="Palatino Linotype" w:cs="Arial"/>
          <w:color w:val="000000" w:themeColor="text1"/>
          <w:lang w:val="es-ES"/>
        </w:rPr>
        <w:t xml:space="preserve"> y </w:t>
      </w:r>
      <w:r w:rsidRPr="00EC18F1">
        <w:rPr>
          <w:rFonts w:ascii="Palatino Linotype" w:eastAsia="Calibri" w:hAnsi="Palatino Linotype" w:cs="Arial"/>
          <w:b/>
          <w:color w:val="000000" w:themeColor="text1"/>
          <w:lang w:val="es-ES"/>
        </w:rPr>
        <w:t>listas de raya</w:t>
      </w:r>
      <w:r w:rsidRPr="00EC18F1">
        <w:rPr>
          <w:rFonts w:ascii="Palatino Linotype" w:eastAsia="Calibri" w:hAnsi="Palatino Linotype" w:cs="Arial"/>
          <w:color w:val="000000" w:themeColor="text1"/>
          <w:lang w:val="es-ES"/>
        </w:rPr>
        <w:t xml:space="preserve"> del personal adscrito al </w:t>
      </w:r>
      <w:r w:rsidRPr="00EC18F1">
        <w:rPr>
          <w:rFonts w:ascii="Palatino Linotype" w:eastAsia="Calibri" w:hAnsi="Palatino Linotype" w:cs="Arial"/>
          <w:b/>
          <w:color w:val="000000" w:themeColor="text1"/>
          <w:lang w:val="es-ES"/>
        </w:rPr>
        <w:t>Sistema Municipal para el Desarrollo Integral de la Familia de Timilpan</w:t>
      </w:r>
      <w:r w:rsidRPr="00EC18F1">
        <w:rPr>
          <w:rFonts w:ascii="Palatino Linotype" w:eastAsia="Calibri" w:hAnsi="Palatino Linotype" w:cs="Arial"/>
          <w:color w:val="000000" w:themeColor="text1"/>
          <w:lang w:val="es-ES"/>
        </w:rPr>
        <w:t>, por quincena, donde se detallan sus percepciones y deducciones,</w:t>
      </w:r>
      <w:r w:rsidR="00614C0C" w:rsidRPr="00EC18F1">
        <w:rPr>
          <w:rFonts w:ascii="Palatino Linotype" w:eastAsia="Calibri" w:hAnsi="Palatino Linotype" w:cs="Arial"/>
          <w:color w:val="000000" w:themeColor="text1"/>
          <w:lang w:val="es-ES"/>
        </w:rPr>
        <w:t xml:space="preserve"> y monto de aguinaldos,</w:t>
      </w:r>
      <w:r w:rsidRPr="00EC18F1">
        <w:rPr>
          <w:rFonts w:ascii="Palatino Linotype" w:eastAsia="Calibri" w:hAnsi="Palatino Linotype" w:cs="Arial"/>
          <w:color w:val="000000" w:themeColor="text1"/>
          <w:lang w:val="es-ES"/>
        </w:rPr>
        <w:t xml:space="preserve"> del </w:t>
      </w:r>
      <w:r w:rsidRPr="00EC18F1">
        <w:rPr>
          <w:rFonts w:ascii="Palatino Linotype" w:eastAsia="Calibri" w:hAnsi="Palatino Linotype" w:cs="Arial"/>
          <w:color w:val="000000" w:themeColor="text1"/>
          <w:lang w:val="es-ES"/>
        </w:rPr>
        <w:lastRenderedPageBreak/>
        <w:t xml:space="preserve">dos mil diecinueve, dos mil veinte, dos mil veintiuno y dos mil veintidós. </w:t>
      </w:r>
      <w:r w:rsidR="00C91C5F" w:rsidRPr="00EC18F1">
        <w:rPr>
          <w:rFonts w:ascii="Palatino Linotype" w:eastAsia="Calibri" w:hAnsi="Palatino Linotype" w:cs="Arial"/>
          <w:color w:val="000000" w:themeColor="text1"/>
          <w:lang w:val="es-ES"/>
        </w:rPr>
        <w:t xml:space="preserve">Mismos que serán materia de análisis más adelante. </w:t>
      </w:r>
    </w:p>
    <w:p w14:paraId="44A0EC1E" w14:textId="77777777" w:rsidR="00C91C5F" w:rsidRPr="00EC18F1" w:rsidRDefault="00C91C5F" w:rsidP="00C91C5F">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71233B07" w:rsidR="007774E7" w:rsidRPr="00EC18F1" w:rsidRDefault="00DC4DAD"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Por su parte</w:t>
      </w:r>
      <w:r w:rsidR="007774E7" w:rsidRPr="00EC18F1">
        <w:rPr>
          <w:rFonts w:ascii="Palatino Linotype" w:eastAsia="Times New Roman" w:hAnsi="Palatino Linotype" w:cs="Arial"/>
        </w:rPr>
        <w:t xml:space="preserve">, </w:t>
      </w:r>
      <w:r w:rsidR="00614C0C" w:rsidRPr="00EC18F1">
        <w:rPr>
          <w:rFonts w:ascii="Palatino Linotype" w:eastAsia="Times New Roman" w:hAnsi="Palatino Linotype" w:cs="Arial"/>
        </w:rPr>
        <w:t>el</w:t>
      </w:r>
      <w:r w:rsidR="008D45C3" w:rsidRPr="00EC18F1">
        <w:rPr>
          <w:rFonts w:ascii="Palatino Linotype" w:eastAsia="Times New Roman" w:hAnsi="Palatino Linotype" w:cs="Arial"/>
        </w:rPr>
        <w:t xml:space="preserve"> ahora</w:t>
      </w:r>
      <w:r w:rsidR="007774E7" w:rsidRPr="00EC18F1">
        <w:rPr>
          <w:rFonts w:ascii="Palatino Linotype" w:eastAsia="Times New Roman" w:hAnsi="Palatino Linotype" w:cs="Arial"/>
        </w:rPr>
        <w:t xml:space="preserve"> </w:t>
      </w:r>
      <w:r w:rsidR="007774E7" w:rsidRPr="00EC18F1">
        <w:rPr>
          <w:rFonts w:ascii="Palatino Linotype" w:eastAsia="Times New Roman" w:hAnsi="Palatino Linotype" w:cs="Arial"/>
          <w:b/>
          <w:bCs/>
        </w:rPr>
        <w:t>RECURRENTE</w:t>
      </w:r>
      <w:r w:rsidR="007774E7" w:rsidRPr="00EC18F1">
        <w:rPr>
          <w:rFonts w:ascii="Palatino Linotype" w:eastAsia="Times New Roman" w:hAnsi="Palatino Linotype" w:cs="Arial"/>
        </w:rPr>
        <w:t xml:space="preserve"> presentó el recurso de revisión con número al rubro citado, en contra de la respuesta del </w:t>
      </w:r>
      <w:r w:rsidR="00614C0C" w:rsidRPr="00EC18F1">
        <w:rPr>
          <w:rFonts w:ascii="Palatino Linotype" w:eastAsia="Times New Roman" w:hAnsi="Palatino Linotype" w:cs="Arial"/>
          <w:bCs/>
        </w:rPr>
        <w:t>Ayuntamiento de Timilpan</w:t>
      </w:r>
      <w:r w:rsidR="007774E7" w:rsidRPr="00EC18F1">
        <w:rPr>
          <w:rFonts w:ascii="Palatino Linotype" w:eastAsia="Times New Roman" w:hAnsi="Palatino Linotype" w:cs="Arial"/>
        </w:rPr>
        <w:t>, y en el que señaló por agravios lo siguiente:</w:t>
      </w:r>
    </w:p>
    <w:p w14:paraId="145FE863" w14:textId="01BF6747" w:rsidR="009B5BDC" w:rsidRPr="00EC18F1" w:rsidRDefault="00614C0C"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eastAsia="Times New Roman" w:hAnsi="Palatino Linotype" w:cs="Arial"/>
          <w:sz w:val="22"/>
        </w:rPr>
        <w:t xml:space="preserve">Que el </w:t>
      </w:r>
      <w:r w:rsidRPr="00EC18F1">
        <w:rPr>
          <w:rFonts w:ascii="Palatino Linotype" w:eastAsia="Times New Roman" w:hAnsi="Palatino Linotype" w:cs="Arial"/>
          <w:b/>
          <w:sz w:val="22"/>
        </w:rPr>
        <w:t>SUJETO OBLIGADO</w:t>
      </w:r>
      <w:r w:rsidRPr="00EC18F1">
        <w:rPr>
          <w:rFonts w:ascii="Palatino Linotype" w:eastAsia="Times New Roman" w:hAnsi="Palatino Linotype" w:cs="Arial"/>
          <w:sz w:val="22"/>
        </w:rPr>
        <w:t xml:space="preserve"> dio una respuesta parcial a la información solicitada.</w:t>
      </w:r>
    </w:p>
    <w:p w14:paraId="6B38C1A6" w14:textId="77777777" w:rsidR="007774E7" w:rsidRPr="00EC18F1"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2E21242D" w14:textId="5B7B1636" w:rsidR="009565E4" w:rsidRPr="00EC18F1" w:rsidRDefault="00614C0C"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Luego, en </w:t>
      </w:r>
      <w:r w:rsidR="009565E4" w:rsidRPr="00EC18F1">
        <w:rPr>
          <w:rFonts w:ascii="Palatino Linotype" w:hAnsi="Palatino Linotype"/>
          <w:color w:val="000000" w:themeColor="text1"/>
        </w:rPr>
        <w:t>vía</w:t>
      </w:r>
      <w:r w:rsidRPr="00EC18F1">
        <w:rPr>
          <w:rFonts w:ascii="Palatino Linotype" w:hAnsi="Palatino Linotype"/>
          <w:color w:val="000000" w:themeColor="text1"/>
        </w:rPr>
        <w:t xml:space="preserve"> de informe justificado,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hizo entrega de las Fichas Curriculares de</w:t>
      </w:r>
      <w:r w:rsidR="009565E4" w:rsidRPr="00EC18F1">
        <w:rPr>
          <w:rFonts w:ascii="Palatino Linotype" w:hAnsi="Palatino Linotype"/>
          <w:color w:val="000000" w:themeColor="text1"/>
        </w:rPr>
        <w:t xml:space="preserve"> diversos mandos medios y superiores del Sistema Municipal para el Desarrollo Integral de la Familia de Timilpan, mismos que, se reitera, no fueron puestos a la vista por contener datos personales de los servidores públicos, a saber:</w:t>
      </w:r>
    </w:p>
    <w:p w14:paraId="164760EF" w14:textId="77777777" w:rsidR="009565E4" w:rsidRPr="00EC18F1" w:rsidRDefault="00614C0C"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D</w:t>
      </w:r>
      <w:r w:rsidR="009565E4" w:rsidRPr="00EC18F1">
        <w:rPr>
          <w:rFonts w:ascii="Palatino Linotype" w:hAnsi="Palatino Linotype"/>
          <w:color w:val="000000" w:themeColor="text1"/>
          <w:sz w:val="22"/>
        </w:rPr>
        <w:t xml:space="preserve">irectora; </w:t>
      </w:r>
    </w:p>
    <w:p w14:paraId="55A2C53A" w14:textId="77777777" w:rsidR="009565E4" w:rsidRPr="00EC18F1" w:rsidRDefault="00614C0C"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Tesorero Honorífico</w:t>
      </w:r>
      <w:r w:rsidR="009565E4" w:rsidRPr="00EC18F1">
        <w:rPr>
          <w:rFonts w:ascii="Palatino Linotype" w:hAnsi="Palatino Linotype"/>
          <w:color w:val="000000" w:themeColor="text1"/>
          <w:sz w:val="22"/>
        </w:rPr>
        <w:t>;</w:t>
      </w:r>
    </w:p>
    <w:p w14:paraId="28AEAAAE" w14:textId="77777777" w:rsidR="009565E4" w:rsidRPr="00EC18F1" w:rsidRDefault="00614C0C"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Secretario</w:t>
      </w:r>
      <w:r w:rsidR="009565E4" w:rsidRPr="00EC18F1">
        <w:rPr>
          <w:rFonts w:ascii="Palatino Linotype" w:hAnsi="Palatino Linotype"/>
          <w:color w:val="000000" w:themeColor="text1"/>
          <w:sz w:val="22"/>
        </w:rPr>
        <w:t>;</w:t>
      </w:r>
    </w:p>
    <w:p w14:paraId="37D4D03C" w14:textId="77777777" w:rsidR="009565E4" w:rsidRPr="00EC18F1" w:rsidRDefault="00614C0C"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Coordinadora de la Unidad de Rehabilitación e Inclusión Social</w:t>
      </w:r>
      <w:r w:rsidR="009565E4" w:rsidRPr="00EC18F1">
        <w:rPr>
          <w:rFonts w:ascii="Palatino Linotype" w:hAnsi="Palatino Linotype"/>
          <w:color w:val="000000" w:themeColor="text1"/>
          <w:sz w:val="22"/>
        </w:rPr>
        <w:t>;</w:t>
      </w:r>
    </w:p>
    <w:p w14:paraId="1F4C8CE6" w14:textId="77777777"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Coordinadora de Psicología de la Unidad de Rehabilitación e Inclusión Social;</w:t>
      </w:r>
    </w:p>
    <w:p w14:paraId="6F9C7A65" w14:textId="4D2ABA30" w:rsidR="00614C0C"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Coordinadora de Desayunos Fríos;</w:t>
      </w:r>
    </w:p>
    <w:p w14:paraId="7B35ADFB" w14:textId="294F25FF"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Procuradora de Protección Municipal de Niñas, Niños y Adolescentes;</w:t>
      </w:r>
    </w:p>
    <w:p w14:paraId="5C7160A8" w14:textId="09ADEB30"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Coordinadora del Área de Psicología;</w:t>
      </w:r>
    </w:p>
    <w:p w14:paraId="70245704" w14:textId="776A08DA"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 de Odontología;</w:t>
      </w:r>
    </w:p>
    <w:p w14:paraId="39E277E6" w14:textId="75D62832"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 de Desayunos Calientes;</w:t>
      </w:r>
    </w:p>
    <w:p w14:paraId="33D0EF24" w14:textId="1F54A17E"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Promotor de HortaDIF; y</w:t>
      </w:r>
    </w:p>
    <w:p w14:paraId="6E260F1B" w14:textId="522CE4DC"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Coordinador de la Casa de Día.</w:t>
      </w:r>
    </w:p>
    <w:p w14:paraId="41B70579" w14:textId="77777777" w:rsidR="00614C0C" w:rsidRPr="00EC18F1" w:rsidRDefault="00614C0C" w:rsidP="00614C0C">
      <w:pPr>
        <w:pStyle w:val="Prrafodelista"/>
        <w:tabs>
          <w:tab w:val="left" w:pos="426"/>
        </w:tabs>
        <w:spacing w:before="240" w:after="240" w:line="360" w:lineRule="auto"/>
        <w:ind w:left="0" w:right="51"/>
        <w:jc w:val="both"/>
        <w:rPr>
          <w:rFonts w:ascii="Palatino Linotype" w:hAnsi="Palatino Linotype"/>
          <w:color w:val="000000" w:themeColor="text1"/>
        </w:rPr>
      </w:pPr>
    </w:p>
    <w:p w14:paraId="6A418471" w14:textId="36E437EA" w:rsidR="00614C0C" w:rsidRPr="00EC18F1" w:rsidRDefault="009565E4"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En acompañamiento de lo anterior, se entregaron dos oficios de veintidós (22) de diciembre de dos mil veintidós, firmados por el Tesorero Honorífico del Sistema Municipal para el Desarrollo Integral de la Familia de Timilpan, por los que manifestó lo siguiente:</w:t>
      </w:r>
    </w:p>
    <w:p w14:paraId="44DD740A" w14:textId="77777777"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Que la dependencia a su cargo no ha otorgado apoyos de manera económica desde el uno (01) de enero de dos mil diecinueve al quince (15) de noviembre de dos mil veintidós; y</w:t>
      </w:r>
    </w:p>
    <w:p w14:paraId="65727F34" w14:textId="37D51B6F" w:rsidR="009565E4" w:rsidRPr="00EC18F1" w:rsidRDefault="009565E4" w:rsidP="009565E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Que en la dependencia a su cargo no existe procedimiento resarcitorio, fiscal, administrativo, penal o civil en contra de ningún ex servidor público.</w:t>
      </w:r>
    </w:p>
    <w:p w14:paraId="2559CE5F" w14:textId="77777777" w:rsidR="00614C0C" w:rsidRPr="00EC18F1" w:rsidRDefault="00614C0C" w:rsidP="00614C0C">
      <w:pPr>
        <w:pStyle w:val="Prrafodelista"/>
        <w:tabs>
          <w:tab w:val="left" w:pos="426"/>
        </w:tabs>
        <w:spacing w:before="240" w:after="240" w:line="360" w:lineRule="auto"/>
        <w:ind w:left="0" w:right="51"/>
        <w:jc w:val="both"/>
        <w:rPr>
          <w:rFonts w:ascii="Palatino Linotype" w:hAnsi="Palatino Linotype"/>
          <w:color w:val="000000" w:themeColor="text1"/>
        </w:rPr>
      </w:pPr>
    </w:p>
    <w:p w14:paraId="5A542FD8" w14:textId="21E44104" w:rsidR="00614C0C" w:rsidRPr="00EC18F1" w:rsidRDefault="009565E4" w:rsidP="005A20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Así mismo, se hizo entrega de la </w:t>
      </w:r>
      <w:r w:rsidRPr="00EC18F1">
        <w:rPr>
          <w:rFonts w:ascii="Palatino Linotype" w:eastAsia="Calibri" w:hAnsi="Palatino Linotype" w:cs="Arial"/>
          <w:b/>
          <w:color w:val="000000" w:themeColor="text1"/>
          <w:lang w:val="es-ES"/>
        </w:rPr>
        <w:t>relación de nómina</w:t>
      </w:r>
      <w:r w:rsidRPr="00EC18F1">
        <w:rPr>
          <w:rFonts w:ascii="Palatino Linotype" w:eastAsia="Calibri" w:hAnsi="Palatino Linotype" w:cs="Arial"/>
          <w:color w:val="000000" w:themeColor="text1"/>
          <w:lang w:val="es-ES"/>
        </w:rPr>
        <w:t xml:space="preserve"> y </w:t>
      </w:r>
      <w:r w:rsidRPr="00EC18F1">
        <w:rPr>
          <w:rFonts w:ascii="Palatino Linotype" w:eastAsia="Calibri" w:hAnsi="Palatino Linotype" w:cs="Arial"/>
          <w:b/>
          <w:color w:val="000000" w:themeColor="text1"/>
          <w:lang w:val="es-ES"/>
        </w:rPr>
        <w:t>listas de raya</w:t>
      </w:r>
      <w:r w:rsidRPr="00EC18F1">
        <w:rPr>
          <w:rFonts w:ascii="Palatino Linotype" w:eastAsia="Calibri" w:hAnsi="Palatino Linotype" w:cs="Arial"/>
          <w:color w:val="000000" w:themeColor="text1"/>
          <w:lang w:val="es-ES"/>
        </w:rPr>
        <w:t xml:space="preserve"> del personal adscrito al </w:t>
      </w:r>
      <w:r w:rsidRPr="00EC18F1">
        <w:rPr>
          <w:rFonts w:ascii="Palatino Linotype" w:eastAsia="Calibri" w:hAnsi="Palatino Linotype" w:cs="Arial"/>
          <w:b/>
          <w:color w:val="000000" w:themeColor="text1"/>
          <w:lang w:val="es-ES"/>
        </w:rPr>
        <w:t>Sistema Municipal para el Desarrollo Integral de la Familia de Timilpan</w:t>
      </w:r>
      <w:r w:rsidRPr="00EC18F1">
        <w:rPr>
          <w:rFonts w:ascii="Palatino Linotype" w:eastAsia="Calibri" w:hAnsi="Palatino Linotype" w:cs="Arial"/>
          <w:color w:val="000000" w:themeColor="text1"/>
          <w:lang w:val="es-ES"/>
        </w:rPr>
        <w:t>, por quincena, de enero a diciembre, donde se detallan sus percepciones y deducciones, del dos mil diecinueve, dos mil veinte, dos mil veintiuno y dos mil veintidós.</w:t>
      </w:r>
      <w:r w:rsidR="005A20DC" w:rsidRPr="00EC18F1">
        <w:rPr>
          <w:rFonts w:ascii="Palatino Linotype" w:eastAsia="Calibri" w:hAnsi="Palatino Linotype" w:cs="Arial"/>
          <w:color w:val="000000" w:themeColor="text1"/>
          <w:lang w:val="es-ES"/>
        </w:rPr>
        <w:t xml:space="preserve"> Mismos que serán motivo de análisis más adelante.</w:t>
      </w:r>
      <w:r w:rsidRPr="00EC18F1">
        <w:rPr>
          <w:rFonts w:ascii="Palatino Linotype" w:eastAsia="Calibri" w:hAnsi="Palatino Linotype" w:cs="Arial"/>
          <w:color w:val="000000" w:themeColor="text1"/>
          <w:lang w:val="es-ES"/>
        </w:rPr>
        <w:t xml:space="preserve"> </w:t>
      </w:r>
    </w:p>
    <w:p w14:paraId="4C9EF35F" w14:textId="77777777" w:rsidR="005A20DC" w:rsidRPr="00EC18F1" w:rsidRDefault="005A20DC" w:rsidP="005A20DC">
      <w:pPr>
        <w:pStyle w:val="Prrafodelista"/>
        <w:tabs>
          <w:tab w:val="left" w:pos="426"/>
        </w:tabs>
        <w:spacing w:before="240" w:after="240" w:line="360" w:lineRule="auto"/>
        <w:ind w:left="0" w:right="51"/>
        <w:jc w:val="both"/>
        <w:rPr>
          <w:rFonts w:ascii="Palatino Linotype" w:hAnsi="Palatino Linotype"/>
          <w:color w:val="000000" w:themeColor="text1"/>
        </w:rPr>
      </w:pPr>
    </w:p>
    <w:p w14:paraId="7B69E4DA" w14:textId="5C4E2B40" w:rsidR="007774E7" w:rsidRPr="00EC18F1" w:rsidRDefault="00614C0C"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R</w:t>
      </w:r>
      <w:r w:rsidR="007774E7" w:rsidRPr="00EC18F1">
        <w:rPr>
          <w:rFonts w:ascii="Palatino Linotype" w:hAnsi="Palatino Linotype"/>
          <w:color w:val="000000" w:themeColor="text1"/>
        </w:rPr>
        <w:t xml:space="preserve">azón de lo anterior, se procederá a analizar </w:t>
      </w:r>
      <w:r w:rsidR="004C5EF2" w:rsidRPr="00EC18F1">
        <w:rPr>
          <w:rFonts w:ascii="Palatino Linotype" w:hAnsi="Palatino Linotype"/>
          <w:color w:val="000000" w:themeColor="text1"/>
        </w:rPr>
        <w:t>la naturaleza de lo solicitado, a fin de determinar si</w:t>
      </w:r>
      <w:r w:rsidR="007550FA" w:rsidRPr="00EC18F1">
        <w:rPr>
          <w:rFonts w:ascii="Palatino Linotype" w:hAnsi="Palatino Linotype"/>
          <w:color w:val="000000" w:themeColor="text1"/>
        </w:rPr>
        <w:t xml:space="preserve">, </w:t>
      </w:r>
      <w:r w:rsidR="00DC4DAD" w:rsidRPr="00EC18F1">
        <w:rPr>
          <w:rFonts w:ascii="Palatino Linotype" w:hAnsi="Palatino Linotype"/>
          <w:color w:val="000000" w:themeColor="text1"/>
        </w:rPr>
        <w:t>con su respuesta</w:t>
      </w:r>
      <w:r w:rsidR="00F735CC" w:rsidRPr="00EC18F1">
        <w:rPr>
          <w:rFonts w:ascii="Palatino Linotype" w:hAnsi="Palatino Linotype"/>
          <w:color w:val="000000" w:themeColor="text1"/>
        </w:rPr>
        <w:t xml:space="preserve"> y posterior informe justificado</w:t>
      </w:r>
      <w:r w:rsidR="00DC4DAD" w:rsidRPr="00EC18F1">
        <w:rPr>
          <w:rFonts w:ascii="Palatino Linotype" w:hAnsi="Palatino Linotype"/>
          <w:color w:val="000000" w:themeColor="text1"/>
        </w:rPr>
        <w:t xml:space="preserve">, </w:t>
      </w:r>
      <w:r w:rsidR="007550FA" w:rsidRPr="00EC18F1">
        <w:rPr>
          <w:rFonts w:ascii="Palatino Linotype" w:hAnsi="Palatino Linotype"/>
          <w:color w:val="000000" w:themeColor="text1"/>
        </w:rPr>
        <w:t xml:space="preserve">el </w:t>
      </w:r>
      <w:r w:rsidR="006073A5" w:rsidRPr="00EC18F1">
        <w:rPr>
          <w:rFonts w:ascii="Palatino Linotype" w:hAnsi="Palatino Linotype"/>
          <w:bCs/>
          <w:color w:val="000000" w:themeColor="text1"/>
        </w:rPr>
        <w:t>Ayuntamiento de Timilpan</w:t>
      </w:r>
      <w:r w:rsidR="007550FA" w:rsidRPr="00EC18F1">
        <w:rPr>
          <w:rFonts w:ascii="Palatino Linotype" w:hAnsi="Palatino Linotype"/>
          <w:color w:val="000000" w:themeColor="text1"/>
        </w:rPr>
        <w:t xml:space="preserve"> logró colmar el derecho de acceso a la información ejercido por </w:t>
      </w:r>
      <w:r w:rsidR="00F735CC" w:rsidRPr="00EC18F1">
        <w:rPr>
          <w:rFonts w:ascii="Palatino Linotype" w:hAnsi="Palatino Linotype"/>
          <w:color w:val="000000" w:themeColor="text1"/>
        </w:rPr>
        <w:t>el</w:t>
      </w:r>
      <w:r w:rsidR="007550FA" w:rsidRPr="00EC18F1">
        <w:rPr>
          <w:rFonts w:ascii="Palatino Linotype" w:hAnsi="Palatino Linotype"/>
          <w:color w:val="000000" w:themeColor="text1"/>
        </w:rPr>
        <w:t xml:space="preserve"> particular o, si por el </w:t>
      </w:r>
      <w:r w:rsidR="00C5125B" w:rsidRPr="00EC18F1">
        <w:rPr>
          <w:rFonts w:ascii="Palatino Linotype" w:hAnsi="Palatino Linotype"/>
          <w:color w:val="000000" w:themeColor="text1"/>
        </w:rPr>
        <w:t>contrario, procede el ordenar la entrega de información.</w:t>
      </w:r>
      <w:r w:rsidR="007550FA" w:rsidRPr="00EC18F1">
        <w:rPr>
          <w:rFonts w:ascii="Palatino Linotype" w:hAnsi="Palatino Linotype"/>
          <w:color w:val="000000" w:themeColor="text1"/>
        </w:rPr>
        <w:t xml:space="preserve"> </w:t>
      </w:r>
    </w:p>
    <w:p w14:paraId="229EC397" w14:textId="77777777" w:rsidR="008E402B" w:rsidRPr="00EC18F1" w:rsidRDefault="008E402B" w:rsidP="008E402B">
      <w:pPr>
        <w:pStyle w:val="Prrafodelista"/>
        <w:tabs>
          <w:tab w:val="left" w:pos="426"/>
        </w:tabs>
        <w:spacing w:before="240" w:after="240" w:line="360" w:lineRule="auto"/>
        <w:ind w:left="0" w:right="51"/>
        <w:jc w:val="both"/>
        <w:rPr>
          <w:rFonts w:ascii="Palatino Linotype" w:hAnsi="Palatino Linotype"/>
          <w:color w:val="000000" w:themeColor="text1"/>
        </w:rPr>
      </w:pPr>
    </w:p>
    <w:p w14:paraId="16C5F066" w14:textId="3DDE1D0D" w:rsidR="008E402B" w:rsidRPr="00EC18F1" w:rsidRDefault="00CF1F73" w:rsidP="00CF1F7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C18F1">
        <w:rPr>
          <w:rFonts w:ascii="Palatino Linotype" w:hAnsi="Palatino Linotype"/>
          <w:b/>
          <w:bCs/>
          <w:color w:val="000000" w:themeColor="text1"/>
        </w:rPr>
        <w:t>II. Del derecho de acceso a la información pública.</w:t>
      </w:r>
    </w:p>
    <w:p w14:paraId="1B3B7D99" w14:textId="77777777" w:rsidR="0050769D" w:rsidRPr="00EC18F1" w:rsidRDefault="00CF1F73"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Previo </w:t>
      </w:r>
      <w:r w:rsidR="0050769D" w:rsidRPr="00EC18F1">
        <w:rPr>
          <w:rFonts w:ascii="Palatino Linotype" w:hAnsi="Palatino Linotype"/>
          <w:lang w:val="es-ES"/>
        </w:rPr>
        <w:t xml:space="preserve">a iniciar el análisis de la información solicitada, se considera </w:t>
      </w:r>
      <w:r w:rsidR="0050769D" w:rsidRPr="00EC18F1">
        <w:rPr>
          <w:rFonts w:ascii="Palatino Linotype" w:hAnsi="Palatino Linotype"/>
          <w:color w:val="000000" w:themeColor="text1"/>
        </w:rPr>
        <w:t xml:space="preserve">esencial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0050769D" w:rsidRPr="00EC18F1">
        <w:rPr>
          <w:rFonts w:ascii="Palatino Linotype" w:hAnsi="Palatino Linotype"/>
          <w:color w:val="000000" w:themeColor="text1"/>
        </w:rPr>
        <w:lastRenderedPageBreak/>
        <w:t>Estado Libre y Soberano de México “Gaceta del Gobierno” el diecinueve (19) de octubre de dos mil once, cuyo rubro y texto dispone:</w:t>
      </w:r>
    </w:p>
    <w:p w14:paraId="5446A424"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EC18F1">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13E93F"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i/>
          <w:sz w:val="22"/>
        </w:rPr>
        <w:t>En consecuencia el acceso a la información se refiere a que se cumplan cualquiera de los siguientes tres supuestos:</w:t>
      </w:r>
    </w:p>
    <w:p w14:paraId="57E7EC81"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7768E9CD"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0EDE4E9E" w14:textId="77777777" w:rsidR="0050769D" w:rsidRPr="00EC18F1" w:rsidRDefault="0050769D" w:rsidP="0050769D">
      <w:pPr>
        <w:spacing w:line="276" w:lineRule="auto"/>
        <w:ind w:left="567" w:right="567"/>
        <w:jc w:val="both"/>
        <w:rPr>
          <w:rFonts w:ascii="Palatino Linotype" w:eastAsia="Palatino Linotype" w:hAnsi="Palatino Linotype" w:cs="Palatino Linotype"/>
          <w:sz w:val="22"/>
        </w:rPr>
      </w:pPr>
      <w:r w:rsidRPr="00EC18F1">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017AC1AB" w14:textId="77777777" w:rsidR="0050769D" w:rsidRPr="00EC18F1" w:rsidRDefault="0050769D" w:rsidP="0050769D">
      <w:pPr>
        <w:pStyle w:val="Prrafodelista"/>
        <w:tabs>
          <w:tab w:val="left" w:pos="426"/>
        </w:tabs>
        <w:spacing w:before="240" w:after="240" w:line="360" w:lineRule="auto"/>
        <w:ind w:left="0" w:right="51"/>
        <w:jc w:val="both"/>
        <w:rPr>
          <w:rFonts w:ascii="Palatino Linotype" w:hAnsi="Palatino Linotype"/>
          <w:color w:val="000000" w:themeColor="text1"/>
        </w:rPr>
      </w:pPr>
    </w:p>
    <w:p w14:paraId="5D646E6C"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El </w:t>
      </w:r>
      <w:r w:rsidRPr="00EC18F1">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EC18F1">
        <w:rPr>
          <w:rFonts w:ascii="Palatino Linotype" w:eastAsia="Palatino Linotype" w:hAnsi="Palatino Linotype" w:cs="Palatino Linotype"/>
          <w:color w:val="000000"/>
          <w:vertAlign w:val="superscript"/>
        </w:rPr>
        <w:footnoteReference w:id="9"/>
      </w:r>
      <w:r w:rsidRPr="00EC18F1">
        <w:rPr>
          <w:rFonts w:ascii="Palatino Linotype" w:eastAsia="Palatino Linotype" w:hAnsi="Palatino Linotype" w:cs="Palatino Linotype"/>
          <w:color w:val="000000"/>
        </w:rPr>
        <w:t>, para darnos un mejor panorama:</w:t>
      </w:r>
    </w:p>
    <w:p w14:paraId="51FEF6A3" w14:textId="77777777" w:rsidR="0050769D" w:rsidRPr="00EC18F1" w:rsidRDefault="0050769D" w:rsidP="0050769D">
      <w:pPr>
        <w:spacing w:line="276" w:lineRule="auto"/>
        <w:ind w:left="567" w:right="567"/>
        <w:jc w:val="both"/>
        <w:rPr>
          <w:rFonts w:ascii="Palatino Linotype" w:eastAsia="Palatino Linotype" w:hAnsi="Palatino Linotype" w:cs="Palatino Linotype"/>
          <w:i/>
        </w:rPr>
      </w:pPr>
      <w:r w:rsidRPr="00EC18F1">
        <w:rPr>
          <w:rFonts w:ascii="Palatino Linotype" w:eastAsia="Palatino Linotype" w:hAnsi="Palatino Linotype" w:cs="Palatino Linotype"/>
          <w:b/>
          <w:i/>
          <w:sz w:val="22"/>
        </w:rPr>
        <w:t xml:space="preserve">“XI. Documento: </w:t>
      </w:r>
      <w:r w:rsidRPr="00EC18F1">
        <w:rPr>
          <w:rFonts w:ascii="Palatino Linotype" w:eastAsia="Palatino Linotype" w:hAnsi="Palatino Linotype" w:cs="Palatino Linotype"/>
          <w:b/>
          <w:bCs/>
          <w:i/>
          <w:sz w:val="22"/>
        </w:rPr>
        <w:t>Los expedientes, reportes, estudios,</w:t>
      </w:r>
      <w:r w:rsidRPr="00EC18F1">
        <w:rPr>
          <w:rFonts w:ascii="Palatino Linotype" w:eastAsia="Palatino Linotype" w:hAnsi="Palatino Linotype" w:cs="Palatino Linotype"/>
          <w:b/>
          <w:i/>
          <w:sz w:val="22"/>
        </w:rPr>
        <w:t xml:space="preserve"> actas, resoluciones, oficios, correspondencia, acuerdos, directivas, directrices, circulares, contratos, convenios, instructivos, notas, memorandos, estadísticas o</w:t>
      </w:r>
      <w:r w:rsidRPr="00EC18F1">
        <w:rPr>
          <w:rFonts w:ascii="Palatino Linotype" w:eastAsia="Palatino Linotype" w:hAnsi="Palatino Linotype" w:cs="Palatino Linotype"/>
          <w:i/>
          <w:sz w:val="22"/>
        </w:rPr>
        <w:t xml:space="preserve"> bien, </w:t>
      </w:r>
      <w:r w:rsidRPr="00EC18F1">
        <w:rPr>
          <w:rFonts w:ascii="Palatino Linotype" w:eastAsia="Palatino Linotype" w:hAnsi="Palatino Linotype" w:cs="Palatino Linotype"/>
          <w:b/>
          <w:bCs/>
          <w:i/>
          <w:sz w:val="22"/>
        </w:rPr>
        <w:t>cualquier</w:t>
      </w:r>
      <w:r w:rsidRPr="00EC18F1">
        <w:rPr>
          <w:rFonts w:ascii="Palatino Linotype" w:eastAsia="Palatino Linotype" w:hAnsi="Palatino Linotype" w:cs="Palatino Linotype"/>
          <w:i/>
          <w:sz w:val="22"/>
        </w:rPr>
        <w:t xml:space="preserve"> otro </w:t>
      </w:r>
      <w:r w:rsidRPr="00EC18F1">
        <w:rPr>
          <w:rFonts w:ascii="Palatino Linotype" w:eastAsia="Palatino Linotype" w:hAnsi="Palatino Linotype" w:cs="Palatino Linotype"/>
          <w:b/>
          <w:bCs/>
          <w:i/>
          <w:sz w:val="22"/>
        </w:rPr>
        <w:t>registro que documente el ejercicio de las facultades, funciones y competencias de los</w:t>
      </w:r>
      <w:r w:rsidRPr="00EC18F1">
        <w:rPr>
          <w:rFonts w:ascii="Palatino Linotype" w:eastAsia="Palatino Linotype" w:hAnsi="Palatino Linotype" w:cs="Palatino Linotype"/>
          <w:i/>
          <w:sz w:val="22"/>
        </w:rPr>
        <w:t xml:space="preserve"> </w:t>
      </w:r>
      <w:r w:rsidRPr="00EC18F1">
        <w:rPr>
          <w:rFonts w:ascii="Palatino Linotype" w:eastAsia="Palatino Linotype" w:hAnsi="Palatino Linotype" w:cs="Palatino Linotype"/>
          <w:b/>
          <w:i/>
          <w:sz w:val="22"/>
        </w:rPr>
        <w:t>sujetos obligados</w:t>
      </w:r>
      <w:r w:rsidRPr="00EC18F1">
        <w:rPr>
          <w:rFonts w:ascii="Palatino Linotype" w:eastAsia="Palatino Linotype" w:hAnsi="Palatino Linotype" w:cs="Palatino Linotype"/>
          <w:i/>
          <w:sz w:val="22"/>
        </w:rPr>
        <w:t xml:space="preserve">, sus </w:t>
      </w:r>
      <w:r w:rsidRPr="00EC18F1">
        <w:rPr>
          <w:rFonts w:ascii="Palatino Linotype" w:eastAsia="Palatino Linotype" w:hAnsi="Palatino Linotype" w:cs="Palatino Linotype"/>
          <w:bCs/>
          <w:i/>
          <w:sz w:val="22"/>
        </w:rPr>
        <w:t>servidores públicos</w:t>
      </w:r>
      <w:r w:rsidRPr="00EC18F1">
        <w:rPr>
          <w:rFonts w:ascii="Palatino Linotype" w:eastAsia="Palatino Linotype" w:hAnsi="Palatino Linotype" w:cs="Palatino Linotype"/>
          <w:i/>
          <w:sz w:val="22"/>
        </w:rPr>
        <w:t xml:space="preserve"> e integrantes, sin importar su fuente o fecha de elaboración. Los documentos podrán estar en cualquier medio, sea escrito, impreso,  sonoro, visual, electrónico, informático u holográfi</w:t>
      </w:r>
      <w:r w:rsidRPr="00EC18F1">
        <w:rPr>
          <w:rFonts w:ascii="Palatino Linotype" w:eastAsia="Palatino Linotype" w:hAnsi="Palatino Linotype" w:cs="Palatino Linotype"/>
          <w:i/>
        </w:rPr>
        <w:t>co;”</w:t>
      </w:r>
    </w:p>
    <w:p w14:paraId="3D48ACFF" w14:textId="77777777" w:rsidR="0050769D" w:rsidRPr="00EC18F1" w:rsidRDefault="0050769D" w:rsidP="0050769D">
      <w:pPr>
        <w:spacing w:line="276" w:lineRule="auto"/>
        <w:ind w:left="567" w:right="567"/>
        <w:jc w:val="both"/>
        <w:rPr>
          <w:rFonts w:ascii="Palatino Linotype" w:eastAsia="Palatino Linotype" w:hAnsi="Palatino Linotype" w:cs="Palatino Linotype"/>
          <w:iCs/>
          <w:sz w:val="22"/>
        </w:rPr>
      </w:pPr>
      <w:r w:rsidRPr="00EC18F1">
        <w:rPr>
          <w:rFonts w:ascii="Palatino Linotype" w:eastAsia="Palatino Linotype" w:hAnsi="Palatino Linotype" w:cs="Palatino Linotype"/>
          <w:sz w:val="22"/>
        </w:rPr>
        <w:t>(Énfasis añadido)</w:t>
      </w:r>
    </w:p>
    <w:p w14:paraId="2A535347"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Correlativo </w:t>
      </w:r>
      <w:r w:rsidRPr="00EC18F1">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A64DE3E"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b/>
          <w:i/>
          <w:sz w:val="22"/>
        </w:rPr>
        <w:t xml:space="preserve">“Artículo 4. </w:t>
      </w:r>
      <w:r w:rsidRPr="00EC18F1">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2AAEBF0D"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EC18F1">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E416FD" w14:textId="77777777" w:rsidR="0050769D" w:rsidRPr="00EC18F1" w:rsidRDefault="0050769D" w:rsidP="0050769D">
      <w:pPr>
        <w:spacing w:line="276" w:lineRule="auto"/>
        <w:ind w:left="567" w:right="567"/>
        <w:jc w:val="both"/>
        <w:rPr>
          <w:rFonts w:ascii="Palatino Linotype" w:eastAsia="Palatino Linotype" w:hAnsi="Palatino Linotype" w:cs="Palatino Linotype"/>
          <w:b/>
          <w:i/>
          <w:sz w:val="22"/>
        </w:rPr>
      </w:pPr>
      <w:r w:rsidRPr="00EC18F1">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
    <w:p w14:paraId="2552A368" w14:textId="77777777" w:rsidR="0050769D" w:rsidRPr="00EC18F1" w:rsidRDefault="0050769D" w:rsidP="0050769D">
      <w:pPr>
        <w:spacing w:line="276" w:lineRule="auto"/>
        <w:ind w:right="567"/>
        <w:jc w:val="both"/>
        <w:rPr>
          <w:rFonts w:ascii="Palatino Linotype" w:eastAsia="Palatino Linotype" w:hAnsi="Palatino Linotype" w:cs="Palatino Linotype"/>
          <w:i/>
          <w:color w:val="000000"/>
          <w:sz w:val="22"/>
        </w:rPr>
      </w:pPr>
    </w:p>
    <w:p w14:paraId="6E5388CC"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EC18F1">
        <w:rPr>
          <w:rFonts w:ascii="Palatino Linotype" w:eastAsia="Palatino Linotype" w:hAnsi="Palatino Linotype" w:cs="Palatino Linotype"/>
          <w:i/>
          <w:sz w:val="22"/>
        </w:rPr>
        <w:t xml:space="preserve">. </w:t>
      </w:r>
    </w:p>
    <w:p w14:paraId="15B3E6E8" w14:textId="77777777" w:rsidR="0050769D" w:rsidRPr="00EC18F1" w:rsidRDefault="0050769D" w:rsidP="0050769D">
      <w:pPr>
        <w:spacing w:line="276" w:lineRule="auto"/>
        <w:ind w:left="567" w:right="567"/>
        <w:jc w:val="both"/>
        <w:rPr>
          <w:rFonts w:ascii="Palatino Linotype" w:eastAsia="Palatino Linotype" w:hAnsi="Palatino Linotype" w:cs="Palatino Linotype"/>
          <w:i/>
          <w:sz w:val="22"/>
        </w:rPr>
      </w:pPr>
      <w:r w:rsidRPr="00EC18F1">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1AE223B" w14:textId="77777777" w:rsidR="0050769D" w:rsidRPr="00EC18F1" w:rsidRDefault="0050769D" w:rsidP="0050769D">
      <w:pPr>
        <w:spacing w:line="276" w:lineRule="auto"/>
        <w:ind w:left="567" w:right="567"/>
        <w:jc w:val="both"/>
        <w:rPr>
          <w:rFonts w:ascii="Palatino Linotype" w:eastAsia="Palatino Linotype" w:hAnsi="Palatino Linotype" w:cs="Palatino Linotype"/>
          <w:sz w:val="22"/>
        </w:rPr>
      </w:pPr>
      <w:r w:rsidRPr="00EC18F1">
        <w:rPr>
          <w:rFonts w:ascii="Palatino Linotype" w:eastAsia="Palatino Linotype" w:hAnsi="Palatino Linotype" w:cs="Palatino Linotype"/>
          <w:sz w:val="22"/>
        </w:rPr>
        <w:t>(Énfasis añadido)</w:t>
      </w:r>
    </w:p>
    <w:p w14:paraId="00640402" w14:textId="77777777" w:rsidR="0050769D" w:rsidRPr="00EC18F1" w:rsidRDefault="0050769D" w:rsidP="0050769D">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17FA7AA6"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Es </w:t>
      </w:r>
      <w:r w:rsidRPr="00EC18F1">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3B7CEAA"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Por </w:t>
      </w:r>
      <w:r w:rsidRPr="00EC18F1">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EC18F1">
        <w:rPr>
          <w:rFonts w:ascii="Palatino Linotype" w:eastAsia="Palatino Linotype" w:hAnsi="Palatino Linotype" w:cs="Palatino Linotype"/>
          <w:color w:val="000000"/>
          <w:vertAlign w:val="superscript"/>
        </w:rPr>
        <w:footnoteReference w:id="10"/>
      </w:r>
      <w:r w:rsidRPr="00EC18F1">
        <w:rPr>
          <w:rFonts w:ascii="Palatino Linotype" w:eastAsia="Palatino Linotype" w:hAnsi="Palatino Linotype" w:cs="Palatino Linotype"/>
          <w:color w:val="000000"/>
        </w:rPr>
        <w:t>.</w:t>
      </w:r>
    </w:p>
    <w:p w14:paraId="4D804146" w14:textId="77777777" w:rsidR="0050769D" w:rsidRPr="00EC18F1" w:rsidRDefault="0050769D" w:rsidP="0050769D">
      <w:pPr>
        <w:pStyle w:val="Prrafodelista"/>
        <w:tabs>
          <w:tab w:val="left" w:pos="426"/>
        </w:tabs>
        <w:spacing w:before="240" w:after="240" w:line="360" w:lineRule="auto"/>
        <w:ind w:left="0" w:right="51"/>
        <w:jc w:val="both"/>
        <w:rPr>
          <w:rFonts w:ascii="Palatino Linotype" w:hAnsi="Palatino Linotype"/>
          <w:color w:val="000000" w:themeColor="text1"/>
        </w:rPr>
      </w:pPr>
    </w:p>
    <w:p w14:paraId="4C54FB63"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 </w:t>
      </w:r>
      <w:r w:rsidRPr="00EC18F1">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C18F1">
        <w:rPr>
          <w:rFonts w:ascii="Palatino Linotype" w:eastAsia="Palatino Linotype" w:hAnsi="Palatino Linotype" w:cs="Palatino Linotype"/>
          <w:color w:val="000000"/>
          <w:vertAlign w:val="superscript"/>
        </w:rPr>
        <w:footnoteReference w:id="11"/>
      </w:r>
      <w:r w:rsidRPr="00EC18F1">
        <w:rPr>
          <w:rFonts w:ascii="Palatino Linotype" w:eastAsia="Palatino Linotype" w:hAnsi="Palatino Linotype" w:cs="Palatino Linotype"/>
          <w:color w:val="000000"/>
        </w:rPr>
        <w:t xml:space="preserve"> y máxima publicidad; sobre éste último se debe poner mayor énfasis, puesto que establece que </w:t>
      </w:r>
      <w:r w:rsidRPr="00EC18F1">
        <w:rPr>
          <w:rFonts w:ascii="Palatino Linotype" w:eastAsia="Palatino Linotype" w:hAnsi="Palatino Linotype" w:cs="Palatino Linotype"/>
          <w:b/>
          <w:color w:val="000000"/>
          <w:u w:val="single"/>
        </w:rPr>
        <w:t>toda la información en posesión de los Sujetos Obligados será</w:t>
      </w:r>
      <w:r w:rsidRPr="00EC18F1">
        <w:rPr>
          <w:rFonts w:ascii="Palatino Linotype" w:eastAsia="Palatino Linotype" w:hAnsi="Palatino Linotype" w:cs="Palatino Linotype"/>
          <w:color w:val="000000"/>
        </w:rPr>
        <w:t xml:space="preserve"> pública, completa, </w:t>
      </w:r>
      <w:r w:rsidRPr="00EC18F1">
        <w:rPr>
          <w:rFonts w:ascii="Palatino Linotype" w:eastAsia="Palatino Linotype" w:hAnsi="Palatino Linotype" w:cs="Palatino Linotype"/>
          <w:b/>
          <w:color w:val="000000"/>
          <w:u w:val="single"/>
        </w:rPr>
        <w:t>oportuna</w:t>
      </w:r>
      <w:r w:rsidRPr="00EC18F1">
        <w:rPr>
          <w:rFonts w:ascii="Palatino Linotype" w:eastAsia="Palatino Linotype" w:hAnsi="Palatino Linotype" w:cs="Palatino Linotype"/>
          <w:color w:val="000000"/>
        </w:rPr>
        <w:t xml:space="preserve"> y </w:t>
      </w:r>
      <w:r w:rsidRPr="00EC18F1">
        <w:rPr>
          <w:rFonts w:ascii="Palatino Linotype" w:eastAsia="Palatino Linotype" w:hAnsi="Palatino Linotype" w:cs="Palatino Linotype"/>
          <w:b/>
          <w:color w:val="000000"/>
          <w:u w:val="single"/>
        </w:rPr>
        <w:t>accesible</w:t>
      </w:r>
      <w:r w:rsidRPr="00EC18F1">
        <w:rPr>
          <w:rFonts w:ascii="Palatino Linotype" w:eastAsia="Palatino Linotype" w:hAnsi="Palatino Linotype" w:cs="Palatino Linotype"/>
          <w:color w:val="000000"/>
        </w:rPr>
        <w:t xml:space="preserve">, </w:t>
      </w:r>
      <w:r w:rsidRPr="00EC18F1">
        <w:rPr>
          <w:rFonts w:ascii="Palatino Linotype" w:eastAsia="Palatino Linotype" w:hAnsi="Palatino Linotype" w:cs="Palatino Linotype"/>
          <w:b/>
          <w:color w:val="000000"/>
        </w:rPr>
        <w:t>lo que permite que la ciudadanía tenga un amplio acceso sobre lo que es el actuar de las autoridades</w:t>
      </w:r>
      <w:r w:rsidRPr="00EC18F1">
        <w:rPr>
          <w:rFonts w:ascii="Palatino Linotype" w:eastAsia="Palatino Linotype" w:hAnsi="Palatino Linotype" w:cs="Palatino Linotype"/>
          <w:color w:val="000000"/>
        </w:rPr>
        <w:t>.</w:t>
      </w:r>
    </w:p>
    <w:p w14:paraId="733CE073" w14:textId="77777777" w:rsidR="0050769D" w:rsidRPr="00EC18F1" w:rsidRDefault="0050769D" w:rsidP="0050769D">
      <w:pPr>
        <w:pStyle w:val="Prrafodelista"/>
        <w:tabs>
          <w:tab w:val="left" w:pos="426"/>
        </w:tabs>
        <w:spacing w:before="240" w:after="240" w:line="360" w:lineRule="auto"/>
        <w:ind w:left="0" w:right="51"/>
        <w:jc w:val="both"/>
        <w:rPr>
          <w:rFonts w:ascii="Palatino Linotype" w:hAnsi="Palatino Linotype"/>
          <w:color w:val="000000" w:themeColor="text1"/>
        </w:rPr>
      </w:pPr>
    </w:p>
    <w:p w14:paraId="017B93AB" w14:textId="77777777" w:rsidR="0050769D"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Robustece </w:t>
      </w:r>
      <w:r w:rsidRPr="00EC18F1">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7CDCAC35" w14:textId="77777777" w:rsidR="0050769D" w:rsidRPr="00EC18F1" w:rsidRDefault="0050769D" w:rsidP="0050769D">
      <w:pPr>
        <w:pStyle w:val="Prrafodelista"/>
        <w:tabs>
          <w:tab w:val="left" w:pos="426"/>
        </w:tabs>
        <w:spacing w:before="240" w:line="360" w:lineRule="auto"/>
        <w:ind w:left="0" w:right="51"/>
        <w:jc w:val="both"/>
        <w:rPr>
          <w:rFonts w:ascii="Palatino Linotype" w:hAnsi="Palatino Linotype"/>
          <w:color w:val="000000" w:themeColor="text1"/>
        </w:rPr>
      </w:pPr>
    </w:p>
    <w:p w14:paraId="38C76A16" w14:textId="77777777" w:rsidR="0050769D" w:rsidRPr="00EC18F1" w:rsidRDefault="0050769D" w:rsidP="0050769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rPr>
      </w:pPr>
      <w:r w:rsidRPr="00EC18F1">
        <w:rPr>
          <w:rFonts w:ascii="Palatino Linotype" w:eastAsia="Palatino Linotype" w:hAnsi="Palatino Linotype" w:cs="Palatino Linotype"/>
          <w:b/>
          <w:i/>
          <w:color w:val="000000"/>
          <w:sz w:val="22"/>
        </w:rPr>
        <w:lastRenderedPageBreak/>
        <w:t>ACCESO A LA INFORMACIÓN. IMPLICACIÓN DEL PRINCIPIO DE MÁXIMA PUBLICIDAD EN EL DERECHO FUNDAMENTAL RELATIVO.</w:t>
      </w:r>
      <w:r w:rsidRPr="00EC18F1">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53DA489" w14:textId="77777777" w:rsidR="0050769D" w:rsidRPr="00EC18F1" w:rsidRDefault="0050769D" w:rsidP="0050769D">
      <w:pPr>
        <w:pStyle w:val="Prrafodelista"/>
        <w:tabs>
          <w:tab w:val="left" w:pos="426"/>
        </w:tabs>
        <w:spacing w:before="240" w:after="240" w:line="360" w:lineRule="auto"/>
        <w:ind w:left="0" w:right="51"/>
        <w:jc w:val="both"/>
        <w:rPr>
          <w:rFonts w:ascii="Palatino Linotype" w:hAnsi="Palatino Linotype"/>
          <w:color w:val="000000" w:themeColor="text1"/>
        </w:rPr>
      </w:pPr>
    </w:p>
    <w:p w14:paraId="626C279A" w14:textId="38DDEDBE" w:rsidR="008E402B" w:rsidRPr="00EC18F1" w:rsidRDefault="0050769D" w:rsidP="005076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Tal y como se ha señalado, </w:t>
      </w:r>
      <w:r w:rsidRPr="00EC18F1">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EC18F1">
        <w:rPr>
          <w:rFonts w:ascii="Palatino Linotype" w:hAnsi="Palatino Linotype"/>
          <w:color w:val="000000" w:themeColor="text1"/>
        </w:rPr>
        <w:t xml:space="preserve">, ya sea porque la genera, posee o administra; </w:t>
      </w:r>
      <w:r w:rsidRPr="00EC18F1">
        <w:rPr>
          <w:rFonts w:ascii="Palatino Linotype" w:hAnsi="Palatino Linotype"/>
          <w:b/>
          <w:bCs/>
          <w:color w:val="000000" w:themeColor="text1"/>
        </w:rPr>
        <w:t>toda vez que</w:t>
      </w:r>
      <w:r w:rsidRPr="00EC18F1">
        <w:rPr>
          <w:rFonts w:ascii="Palatino Linotype" w:hAnsi="Palatino Linotype"/>
          <w:color w:val="000000" w:themeColor="text1"/>
        </w:rPr>
        <w:t xml:space="preserve">, a través de dicha acción, </w:t>
      </w:r>
      <w:r w:rsidRPr="00EC18F1">
        <w:rPr>
          <w:rFonts w:ascii="Palatino Linotype" w:hAnsi="Palatino Linotype"/>
          <w:b/>
          <w:color w:val="000000" w:themeColor="text1"/>
        </w:rPr>
        <w:t>permite que las personas ejerzan un medio de control sobre las acciones que se están ejerciendo y evaluar su desempeño</w:t>
      </w:r>
      <w:r w:rsidRPr="00EC18F1">
        <w:rPr>
          <w:rFonts w:ascii="Palatino Linotype" w:hAnsi="Palatino Linotype"/>
          <w:color w:val="000000" w:themeColor="text1"/>
        </w:rPr>
        <w:t>.</w:t>
      </w:r>
    </w:p>
    <w:p w14:paraId="5C169546" w14:textId="77777777" w:rsidR="00DC4DAD" w:rsidRPr="00EC18F1"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17426B83" w14:textId="2938819D" w:rsidR="00B7561B" w:rsidRPr="00EC18F1" w:rsidRDefault="00F735CC" w:rsidP="00B7561B">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III</w:t>
      </w:r>
      <w:r w:rsidR="00B7561B" w:rsidRPr="00EC18F1">
        <w:rPr>
          <w:rFonts w:ascii="Palatino Linotype" w:hAnsi="Palatino Linotype" w:cs="Tahoma"/>
          <w:b/>
          <w:bCs/>
          <w:iCs/>
        </w:rPr>
        <w:t xml:space="preserve">. De </w:t>
      </w:r>
      <w:r w:rsidR="003C1CB7" w:rsidRPr="00EC18F1">
        <w:rPr>
          <w:rFonts w:ascii="Palatino Linotype" w:hAnsi="Palatino Linotype" w:cs="Tahoma"/>
          <w:b/>
          <w:bCs/>
          <w:iCs/>
        </w:rPr>
        <w:t>las remuneraciones del personal.</w:t>
      </w:r>
    </w:p>
    <w:p w14:paraId="19A60186" w14:textId="77777777" w:rsidR="003C1CB7" w:rsidRPr="00EC18F1" w:rsidRDefault="003C1CB7" w:rsidP="003C1CB7">
      <w:pPr>
        <w:pStyle w:val="Prrafodelista"/>
        <w:numPr>
          <w:ilvl w:val="0"/>
          <w:numId w:val="1"/>
        </w:numPr>
        <w:tabs>
          <w:tab w:val="left" w:pos="426"/>
        </w:tabs>
        <w:spacing w:line="360" w:lineRule="auto"/>
        <w:jc w:val="both"/>
        <w:rPr>
          <w:rFonts w:ascii="Palatino Linotype" w:hAnsi="Palatino Linotype" w:cs="Arial"/>
        </w:rPr>
      </w:pPr>
      <w:r w:rsidRPr="00EC18F1">
        <w:rPr>
          <w:rFonts w:ascii="Palatino Linotype" w:hAnsi="Palatino Linotype"/>
          <w:color w:val="000000" w:themeColor="text1"/>
        </w:rPr>
        <w:t xml:space="preserve">La </w:t>
      </w:r>
      <w:r w:rsidRPr="00EC18F1">
        <w:rPr>
          <w:rFonts w:ascii="Palatino Linotype" w:hAnsi="Palatino Linotype"/>
        </w:rPr>
        <w:t xml:space="preserve">Ley de Transparencia y Acceso a la Información Pública, en su artículo 92, enlista y reconoce a la información que, por su naturaleza, deberá ser publicada y difundida por los </w:t>
      </w:r>
      <w:r w:rsidRPr="00EC18F1">
        <w:rPr>
          <w:rFonts w:ascii="Palatino Linotype" w:hAnsi="Palatino Linotype"/>
        </w:rPr>
        <w:lastRenderedPageBreak/>
        <w:t>Sujetos Obligados, de manera permanente y actualizada, en los respectivos medios electrónicos; siendo de especial interés la semántica de la información reconocida en la fracción VIII, a saber:</w:t>
      </w:r>
    </w:p>
    <w:p w14:paraId="45323C08" w14:textId="77777777" w:rsidR="003C1CB7" w:rsidRPr="00EC18F1" w:rsidRDefault="003C1CB7" w:rsidP="003C1CB7">
      <w:pPr>
        <w:pStyle w:val="Prrafodelista"/>
        <w:tabs>
          <w:tab w:val="left" w:pos="426"/>
        </w:tabs>
        <w:spacing w:line="276" w:lineRule="auto"/>
        <w:ind w:left="567" w:right="567"/>
        <w:jc w:val="both"/>
        <w:rPr>
          <w:rFonts w:ascii="Palatino Linotype" w:hAnsi="Palatino Linotype" w:cs="Arial"/>
          <w:i/>
          <w:sz w:val="22"/>
        </w:rPr>
      </w:pPr>
      <w:r w:rsidRPr="00EC18F1">
        <w:rPr>
          <w:rFonts w:ascii="Palatino Linotype" w:hAnsi="Palatino Linotype" w:cs="Arial"/>
          <w:i/>
          <w:sz w:val="22"/>
        </w:rPr>
        <w:t>“</w:t>
      </w:r>
      <w:r w:rsidRPr="00EC18F1">
        <w:rPr>
          <w:rFonts w:ascii="Palatino Linotype" w:hAnsi="Palatino Linotype" w:cs="Arial"/>
          <w:b/>
          <w:i/>
          <w:sz w:val="22"/>
        </w:rPr>
        <w:t>Artículo 92.</w:t>
      </w:r>
      <w:r w:rsidRPr="00EC18F1">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35CCE8" w14:textId="77777777" w:rsidR="003C1CB7" w:rsidRPr="00EC18F1" w:rsidRDefault="003C1CB7" w:rsidP="003C1CB7">
      <w:pPr>
        <w:pStyle w:val="Prrafodelista"/>
        <w:tabs>
          <w:tab w:val="left" w:pos="426"/>
        </w:tabs>
        <w:spacing w:line="276" w:lineRule="auto"/>
        <w:ind w:left="567" w:right="567"/>
        <w:jc w:val="both"/>
        <w:rPr>
          <w:rFonts w:ascii="Palatino Linotype" w:hAnsi="Palatino Linotype" w:cs="Arial"/>
          <w:i/>
          <w:sz w:val="22"/>
        </w:rPr>
      </w:pPr>
      <w:r w:rsidRPr="00EC18F1">
        <w:rPr>
          <w:rFonts w:ascii="Palatino Linotype" w:hAnsi="Palatino Linotype" w:cs="Arial"/>
          <w:i/>
          <w:sz w:val="22"/>
        </w:rPr>
        <w:t>(…)</w:t>
      </w:r>
    </w:p>
    <w:p w14:paraId="3202BD7E" w14:textId="77777777" w:rsidR="003C1CB7" w:rsidRPr="00EC18F1" w:rsidRDefault="003C1CB7" w:rsidP="003C1CB7">
      <w:pPr>
        <w:pStyle w:val="Prrafodelista"/>
        <w:tabs>
          <w:tab w:val="left" w:pos="426"/>
        </w:tabs>
        <w:spacing w:line="276" w:lineRule="auto"/>
        <w:ind w:left="567" w:right="567"/>
        <w:jc w:val="both"/>
        <w:rPr>
          <w:rFonts w:ascii="Palatino Linotype" w:hAnsi="Palatino Linotype" w:cs="Arial"/>
          <w:i/>
          <w:sz w:val="22"/>
        </w:rPr>
      </w:pPr>
      <w:r w:rsidRPr="00EC18F1">
        <w:rPr>
          <w:rFonts w:ascii="Palatino Linotype" w:hAnsi="Palatino Linotype" w:cs="Arial"/>
          <w:b/>
          <w:i/>
          <w:sz w:val="22"/>
        </w:rPr>
        <w:t>VIII.</w:t>
      </w:r>
      <w:r w:rsidRPr="00EC18F1">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E2C631E" w14:textId="77777777" w:rsidR="003C1CB7" w:rsidRPr="00EC18F1" w:rsidRDefault="003C1CB7" w:rsidP="003C1CB7">
      <w:pPr>
        <w:pStyle w:val="Prrafodelista"/>
        <w:tabs>
          <w:tab w:val="left" w:pos="426"/>
        </w:tabs>
        <w:spacing w:line="276" w:lineRule="auto"/>
        <w:ind w:left="567" w:right="567"/>
        <w:jc w:val="both"/>
        <w:rPr>
          <w:rFonts w:ascii="Palatino Linotype" w:hAnsi="Palatino Linotype" w:cs="Arial"/>
          <w:i/>
          <w:sz w:val="22"/>
        </w:rPr>
      </w:pPr>
      <w:r w:rsidRPr="00EC18F1">
        <w:rPr>
          <w:rFonts w:ascii="Palatino Linotype" w:hAnsi="Palatino Linotype" w:cs="Arial"/>
          <w:i/>
          <w:sz w:val="22"/>
        </w:rPr>
        <w:t>(…)”</w:t>
      </w:r>
    </w:p>
    <w:p w14:paraId="77E32F4A" w14:textId="77777777" w:rsidR="003C1CB7" w:rsidRPr="00EC18F1" w:rsidRDefault="003C1CB7" w:rsidP="003C1CB7">
      <w:pPr>
        <w:rPr>
          <w:rFonts w:ascii="Palatino Linotype" w:eastAsia="Calibri" w:hAnsi="Palatino Linotype" w:cs="Arial"/>
        </w:rPr>
      </w:pPr>
    </w:p>
    <w:p w14:paraId="619A2F54" w14:textId="52BEFB3C" w:rsidR="003C1CB7" w:rsidRPr="00EC18F1" w:rsidRDefault="003C1CB7" w:rsidP="003C1CB7">
      <w:pPr>
        <w:pStyle w:val="Prrafodelista"/>
        <w:numPr>
          <w:ilvl w:val="0"/>
          <w:numId w:val="1"/>
        </w:numPr>
        <w:tabs>
          <w:tab w:val="left" w:pos="426"/>
        </w:tabs>
        <w:spacing w:line="360" w:lineRule="auto"/>
        <w:jc w:val="both"/>
        <w:rPr>
          <w:rFonts w:ascii="Palatino Linotype" w:hAnsi="Palatino Linotype" w:cs="Arial"/>
        </w:rPr>
      </w:pPr>
      <w:r w:rsidRPr="00EC18F1">
        <w:rPr>
          <w:rFonts w:ascii="Palatino Linotype" w:hAnsi="Palatino Linotype"/>
        </w:rPr>
        <w:t>De lo anterior se coligue que la Ley de la materia reconoce a</w:t>
      </w:r>
      <w:r w:rsidRPr="00EC18F1">
        <w:rPr>
          <w:rFonts w:ascii="Palatino Linotype" w:hAnsi="Palatino Linotype" w:cs="Arial"/>
        </w:rPr>
        <w:t xml:space="preserve"> </w:t>
      </w:r>
      <w:r w:rsidRPr="00EC18F1">
        <w:rPr>
          <w:rFonts w:ascii="Palatino Linotype" w:eastAsia="Calibri" w:hAnsi="Palatino Linotype" w:cs="Arial"/>
          <w:b/>
          <w:bCs/>
        </w:rPr>
        <w:t>las remuneraciones que reciben los servidores públicos por la prestación de sus servicios</w:t>
      </w:r>
      <w:r w:rsidRPr="00EC18F1">
        <w:rPr>
          <w:rFonts w:ascii="Palatino Linotype" w:eastAsia="Calibri" w:hAnsi="Palatino Linotype" w:cs="Arial"/>
        </w:rPr>
        <w:t xml:space="preserve"> ante una Institución Pública </w:t>
      </w:r>
      <w:r w:rsidRPr="00EC18F1">
        <w:rPr>
          <w:rFonts w:ascii="Palatino Linotype" w:eastAsia="Calibri" w:hAnsi="Palatino Linotype" w:cs="Arial"/>
          <w:b/>
          <w:bCs/>
        </w:rPr>
        <w:t>como información de carácter pública</w:t>
      </w:r>
      <w:r w:rsidRPr="00EC18F1">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731696AF" w14:textId="77777777" w:rsidR="003C1CB7" w:rsidRPr="00EC18F1" w:rsidRDefault="003C1CB7" w:rsidP="003C1CB7">
      <w:pPr>
        <w:tabs>
          <w:tab w:val="left" w:pos="426"/>
        </w:tabs>
        <w:spacing w:line="360" w:lineRule="auto"/>
        <w:ind w:right="49"/>
        <w:contextualSpacing/>
        <w:jc w:val="both"/>
        <w:rPr>
          <w:rFonts w:ascii="Palatino Linotype" w:hAnsi="Palatino Linotype" w:cs="Arial"/>
          <w:color w:val="000000"/>
          <w:lang w:val="es-ES_tradnl"/>
        </w:rPr>
      </w:pPr>
    </w:p>
    <w:p w14:paraId="449FAA5D" w14:textId="77777777" w:rsidR="003C1CB7" w:rsidRPr="00EC18F1" w:rsidRDefault="003C1CB7" w:rsidP="003C1CB7">
      <w:pPr>
        <w:numPr>
          <w:ilvl w:val="0"/>
          <w:numId w:val="1"/>
        </w:numPr>
        <w:tabs>
          <w:tab w:val="left" w:pos="426"/>
        </w:tabs>
        <w:spacing w:line="360" w:lineRule="auto"/>
        <w:ind w:right="49"/>
        <w:contextualSpacing/>
        <w:jc w:val="both"/>
        <w:rPr>
          <w:rFonts w:ascii="Palatino Linotype" w:hAnsi="Palatino Linotype" w:cs="Arial"/>
          <w:color w:val="000000"/>
          <w:lang w:val="es-ES_tradnl"/>
        </w:rPr>
      </w:pPr>
      <w:r w:rsidRPr="00EC18F1">
        <w:rPr>
          <w:rFonts w:ascii="Palatino Linotype" w:hAnsi="Palatino Linotype"/>
          <w:color w:val="000000" w:themeColor="text1"/>
        </w:rPr>
        <w:t xml:space="preserve">Sirve </w:t>
      </w:r>
      <w:r w:rsidRPr="00EC18F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726B8B2" w14:textId="77777777" w:rsidR="003C1CB7" w:rsidRPr="00EC18F1" w:rsidRDefault="003C1CB7" w:rsidP="003C1CB7">
      <w:pPr>
        <w:tabs>
          <w:tab w:val="left" w:pos="851"/>
        </w:tabs>
        <w:spacing w:line="276" w:lineRule="auto"/>
        <w:ind w:left="567" w:right="567"/>
        <w:contextualSpacing/>
        <w:jc w:val="center"/>
        <w:rPr>
          <w:rFonts w:ascii="Palatino Linotype" w:eastAsia="Calibri" w:hAnsi="Palatino Linotype" w:cs="Arial"/>
          <w:b/>
          <w:i/>
          <w:iCs/>
          <w:color w:val="000000"/>
          <w:shd w:val="clear" w:color="auto" w:fill="FFFFFF"/>
        </w:rPr>
      </w:pPr>
      <w:r w:rsidRPr="00EC18F1">
        <w:rPr>
          <w:rFonts w:ascii="Palatino Linotype" w:eastAsia="Calibri" w:hAnsi="Palatino Linotype" w:cs="Arial"/>
          <w:b/>
          <w:i/>
          <w:iCs/>
          <w:color w:val="000000"/>
          <w:shd w:val="clear" w:color="auto" w:fill="FFFFFF"/>
        </w:rPr>
        <w:lastRenderedPageBreak/>
        <w:t>Criterio 01/2003.</w:t>
      </w:r>
    </w:p>
    <w:p w14:paraId="73883630" w14:textId="77777777" w:rsidR="003C1CB7" w:rsidRPr="00EC18F1" w:rsidRDefault="003C1CB7" w:rsidP="003C1CB7">
      <w:pPr>
        <w:tabs>
          <w:tab w:val="left" w:pos="851"/>
        </w:tabs>
        <w:spacing w:line="276" w:lineRule="auto"/>
        <w:ind w:left="567" w:right="567"/>
        <w:contextualSpacing/>
        <w:jc w:val="both"/>
        <w:rPr>
          <w:rFonts w:ascii="Palatino Linotype" w:eastAsia="Calibri" w:hAnsi="Palatino Linotype" w:cs="Arial"/>
          <w:i/>
          <w:iCs/>
          <w:color w:val="000000"/>
          <w:shd w:val="clear" w:color="auto" w:fill="FFFFFF"/>
        </w:rPr>
      </w:pPr>
      <w:r w:rsidRPr="00EC18F1">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EC18F1">
        <w:rPr>
          <w:rFonts w:ascii="Palatino Linotype" w:eastAsia="Calibri" w:hAnsi="Palatino Linotype" w:cs="Arial"/>
          <w:i/>
          <w:iCs/>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B93D21D" w14:textId="77777777" w:rsidR="003C1CB7" w:rsidRPr="00EC18F1" w:rsidRDefault="003C1CB7" w:rsidP="003C1CB7">
      <w:pPr>
        <w:tabs>
          <w:tab w:val="left" w:pos="851"/>
        </w:tabs>
        <w:spacing w:line="276" w:lineRule="auto"/>
        <w:ind w:left="567" w:right="567"/>
        <w:contextualSpacing/>
        <w:jc w:val="both"/>
        <w:rPr>
          <w:rFonts w:ascii="Palatino Linotype" w:eastAsia="Calibri" w:hAnsi="Palatino Linotype" w:cs="Arial"/>
          <w:i/>
          <w:color w:val="000000"/>
          <w:shd w:val="clear" w:color="auto" w:fill="FFFFFF"/>
        </w:rPr>
      </w:pPr>
    </w:p>
    <w:p w14:paraId="00F073FD" w14:textId="77777777" w:rsidR="003C1CB7" w:rsidRPr="00EC18F1" w:rsidRDefault="003C1CB7" w:rsidP="003C1CB7">
      <w:pPr>
        <w:tabs>
          <w:tab w:val="left" w:pos="851"/>
        </w:tabs>
        <w:spacing w:line="276" w:lineRule="auto"/>
        <w:ind w:left="567" w:right="567"/>
        <w:contextualSpacing/>
        <w:jc w:val="center"/>
        <w:rPr>
          <w:rFonts w:ascii="Palatino Linotype" w:eastAsia="Calibri" w:hAnsi="Palatino Linotype" w:cs="Arial"/>
          <w:b/>
          <w:i/>
          <w:iCs/>
          <w:color w:val="000000"/>
          <w:shd w:val="clear" w:color="auto" w:fill="FFFFFF"/>
        </w:rPr>
      </w:pPr>
      <w:r w:rsidRPr="00EC18F1">
        <w:rPr>
          <w:rFonts w:ascii="Palatino Linotype" w:eastAsia="Calibri" w:hAnsi="Palatino Linotype" w:cs="Arial"/>
          <w:b/>
          <w:i/>
          <w:iCs/>
          <w:color w:val="000000"/>
          <w:shd w:val="clear" w:color="auto" w:fill="FFFFFF"/>
        </w:rPr>
        <w:t>Criterio 02/2003.</w:t>
      </w:r>
    </w:p>
    <w:p w14:paraId="239E4F09" w14:textId="77777777" w:rsidR="003C1CB7" w:rsidRPr="00EC18F1" w:rsidRDefault="003C1CB7" w:rsidP="003C1CB7">
      <w:pPr>
        <w:tabs>
          <w:tab w:val="left" w:pos="851"/>
        </w:tabs>
        <w:spacing w:line="276" w:lineRule="auto"/>
        <w:ind w:left="567" w:right="567"/>
        <w:contextualSpacing/>
        <w:jc w:val="both"/>
        <w:rPr>
          <w:rFonts w:ascii="Palatino Linotype" w:eastAsia="Calibri" w:hAnsi="Palatino Linotype" w:cs="Arial"/>
          <w:i/>
          <w:iCs/>
          <w:color w:val="000000"/>
          <w:shd w:val="clear" w:color="auto" w:fill="FFFFFF"/>
        </w:rPr>
      </w:pPr>
      <w:r w:rsidRPr="00EC18F1">
        <w:rPr>
          <w:rFonts w:ascii="Palatino Linotype" w:eastAsia="Calibri" w:hAnsi="Palatino Linotype" w:cs="Arial"/>
          <w:b/>
          <w:i/>
          <w:iCs/>
          <w:color w:val="000000"/>
          <w:shd w:val="clear" w:color="auto" w:fill="FFFFFF"/>
        </w:rPr>
        <w:t>INGRESOS DE LOS SERVIDORES PÚBLICOS, SON INFORMACIÓN PÚBLICA AÚN CUANDO CONSTITUYEN DATOS PERSONALES QUE SE REFIEREN AL PATRIMONIO DE AQUÉLLOS.</w:t>
      </w:r>
      <w:r w:rsidRPr="00EC18F1">
        <w:rPr>
          <w:rFonts w:ascii="Palatino Linotype" w:eastAsia="Calibri" w:hAnsi="Palatino Linotype" w:cs="Arial"/>
          <w:i/>
          <w:iCs/>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B4AC080" w14:textId="77777777" w:rsidR="003C1CB7" w:rsidRPr="00EC18F1" w:rsidRDefault="003C1CB7" w:rsidP="003C1CB7">
      <w:pPr>
        <w:spacing w:line="360" w:lineRule="auto"/>
        <w:ind w:right="49"/>
        <w:contextualSpacing/>
        <w:jc w:val="both"/>
        <w:rPr>
          <w:rFonts w:ascii="Palatino Linotype" w:hAnsi="Palatino Linotype" w:cs="Arial"/>
          <w:color w:val="000000"/>
          <w:lang w:val="es-ES_tradnl"/>
        </w:rPr>
      </w:pPr>
    </w:p>
    <w:p w14:paraId="4DC79E44"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eastAsia="Calibri" w:hAnsi="Palatino Linotype"/>
          <w:lang w:val="es-ES"/>
        </w:rPr>
        <w:lastRenderedPageBreak/>
        <w:t xml:space="preserve">Además, </w:t>
      </w:r>
      <w:r w:rsidRPr="00EC18F1">
        <w:rPr>
          <w:rFonts w:ascii="Palatino Linotype" w:eastAsia="Calibri" w:hAnsi="Palatino Linotype" w:cs="Arial"/>
        </w:rPr>
        <w:t xml:space="preserve">al ser una erogación que realiza el </w:t>
      </w:r>
      <w:r w:rsidRPr="00EC18F1">
        <w:rPr>
          <w:rFonts w:ascii="Palatino Linotype" w:eastAsia="Calibri" w:hAnsi="Palatino Linotype" w:cs="Arial"/>
          <w:b/>
        </w:rPr>
        <w:t>SUJETO OBLIGADO</w:t>
      </w:r>
      <w:r w:rsidRPr="00EC18F1">
        <w:rPr>
          <w:rFonts w:ascii="Palatino Linotype" w:eastAsia="Calibri" w:hAnsi="Palatino Linotype" w:cs="Arial"/>
        </w:rPr>
        <w:t xml:space="preserve"> y al ser a cargo de fondos públicos, las mismas</w:t>
      </w:r>
      <w:r w:rsidRPr="00EC18F1">
        <w:rPr>
          <w:rFonts w:ascii="Palatino Linotype" w:eastAsia="MS Mincho" w:hAnsi="Palatino Linotype" w:cs="Times New Roman"/>
        </w:rPr>
        <w:t xml:space="preserve"> son fiscalizadas por la Legislatura, a través del Órgano Superior de Fiscalización. Bajo dicha tesitura es que resulta que dicha información debe ser </w:t>
      </w:r>
      <w:r w:rsidRPr="00EC18F1">
        <w:rPr>
          <w:rFonts w:ascii="Palatino Linotype" w:eastAsia="MS Mincho" w:hAnsi="Palatino Linotype" w:cs="Times New Roman"/>
          <w:b/>
        </w:rPr>
        <w:t>pública</w:t>
      </w:r>
      <w:r w:rsidRPr="00EC18F1">
        <w:rPr>
          <w:rFonts w:ascii="Palatino Linotype" w:eastAsia="MS Mincho" w:hAnsi="Palatino Linotype" w:cs="Times New Roman"/>
        </w:rPr>
        <w:t>.</w:t>
      </w:r>
    </w:p>
    <w:p w14:paraId="7E0F7BE4"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0DC4B1FC" w14:textId="0DE07834" w:rsidR="003C1CB7" w:rsidRPr="00EC18F1" w:rsidRDefault="005A20DC"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Dicho lo anterior, el hablar de las percepciones ordinarias y extraordinarias del personal</w:t>
      </w:r>
      <w:r w:rsidR="003C1CB7" w:rsidRPr="00EC18F1">
        <w:rPr>
          <w:rFonts w:ascii="Palatino Linotype" w:hAnsi="Palatino Linotype"/>
        </w:rPr>
        <w:t xml:space="preserve">, implica que hablemos, naturalmente, de la </w:t>
      </w:r>
      <w:r w:rsidR="003C1CB7" w:rsidRPr="00EC18F1">
        <w:rPr>
          <w:rFonts w:ascii="Palatino Linotype" w:hAnsi="Palatino Linotype"/>
          <w:b/>
        </w:rPr>
        <w:t>nómina del personal</w:t>
      </w:r>
      <w:r w:rsidR="003C1CB7" w:rsidRPr="00EC18F1">
        <w:rPr>
          <w:rFonts w:ascii="Palatino Linotype" w:hAnsi="Palatino Linotype"/>
        </w:rPr>
        <w:t>. Al respecto,</w:t>
      </w:r>
      <w:r w:rsidR="003C1CB7" w:rsidRPr="00EC18F1">
        <w:rPr>
          <w:rFonts w:ascii="Palatino Linotype" w:hAnsi="Palatino Linotype"/>
          <w:color w:val="000000" w:themeColor="text1"/>
        </w:rPr>
        <w:t xml:space="preserve"> </w:t>
      </w:r>
      <w:r w:rsidR="003C1CB7" w:rsidRPr="00EC18F1">
        <w:rPr>
          <w:rFonts w:ascii="Palatino Linotype" w:eastAsia="MS Gothic" w:hAnsi="Palatino Linotype" w:cs="Times New Roman"/>
        </w:rPr>
        <w:t xml:space="preserve">si bien es cierto que en nuestra legislación no existe como tal una definición del término </w:t>
      </w:r>
      <w:r w:rsidR="003C1CB7" w:rsidRPr="00EC18F1">
        <w:rPr>
          <w:rFonts w:ascii="Palatino Linotype" w:eastAsia="MS Gothic" w:hAnsi="Palatino Linotype" w:cs="Times New Roman"/>
          <w:b/>
          <w:i/>
        </w:rPr>
        <w:t>nómina,</w:t>
      </w:r>
      <w:r w:rsidR="003C1CB7" w:rsidRPr="00EC18F1">
        <w:rPr>
          <w:rFonts w:ascii="Palatino Linotype" w:eastAsia="MS Gothic" w:hAnsi="Palatino Linotype" w:cs="Times New Roman"/>
        </w:rPr>
        <w:t xml:space="preserve"> el </w:t>
      </w:r>
      <w:r w:rsidR="003C1CB7" w:rsidRPr="00EC18F1">
        <w:rPr>
          <w:rFonts w:ascii="Palatino Linotype" w:eastAsia="MS Gothic" w:hAnsi="Palatino Linotype" w:cs="Times New Roman"/>
          <w:i/>
        </w:rPr>
        <w:t xml:space="preserve">“Glosario de Términos Usuales de Finanzas Públicas” </w:t>
      </w:r>
      <w:r w:rsidR="003C1CB7" w:rsidRPr="00EC18F1">
        <w:rPr>
          <w:rFonts w:ascii="Palatino Linotype" w:eastAsia="MS Gothic" w:hAnsi="Palatino Linotype" w:cs="Times New Roman"/>
        </w:rPr>
        <w:t xml:space="preserve">del Centro de Estudios de las Finanzas Públicas de la Cámara de Diputados del H. Congreso de la Unión, el </w:t>
      </w:r>
      <w:r w:rsidR="003C1CB7" w:rsidRPr="00EC18F1">
        <w:rPr>
          <w:rFonts w:ascii="Palatino Linotype" w:eastAsia="MS Gothic" w:hAnsi="Palatino Linotype" w:cs="Times New Roman"/>
          <w:i/>
        </w:rPr>
        <w:t>“Glosario de Términos Administrativos”</w:t>
      </w:r>
      <w:r w:rsidR="003C1CB7" w:rsidRPr="00EC18F1">
        <w:rPr>
          <w:rFonts w:ascii="Palatino Linotype" w:eastAsia="MS Gothic" w:hAnsi="Palatino Linotype" w:cs="Times New Roman"/>
        </w:rPr>
        <w:t xml:space="preserve">, emitido por el Instituto Nacional de Administración Pública, A.C. y el </w:t>
      </w:r>
      <w:r w:rsidR="003C1CB7" w:rsidRPr="00EC18F1">
        <w:rPr>
          <w:rFonts w:ascii="Palatino Linotype" w:eastAsia="MS Gothic" w:hAnsi="Palatino Linotype" w:cs="Times New Roman"/>
          <w:i/>
        </w:rPr>
        <w:t>“Glosario de Términos para el Proceso de Planeación, Programación, Presupuestación y Evaluación en la Administración Pública”,</w:t>
      </w:r>
      <w:r w:rsidR="003C1CB7" w:rsidRPr="00EC18F1">
        <w:rPr>
          <w:rFonts w:ascii="Palatino Linotype" w:eastAsia="MS Gothic" w:hAnsi="Palatino Linotype" w:cs="Times New Roman"/>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0D9C3DB4" w14:textId="77777777" w:rsidR="003C1CB7" w:rsidRPr="00EC18F1" w:rsidRDefault="003C1CB7" w:rsidP="003C1CB7">
      <w:pPr>
        <w:autoSpaceDE w:val="0"/>
        <w:autoSpaceDN w:val="0"/>
        <w:adjustRightInd w:val="0"/>
        <w:spacing w:line="276" w:lineRule="auto"/>
        <w:ind w:left="851" w:right="567"/>
        <w:jc w:val="both"/>
        <w:rPr>
          <w:rFonts w:ascii="Palatino Linotype" w:hAnsi="Palatino Linotype" w:cs="Arial"/>
          <w:i/>
          <w:sz w:val="22"/>
          <w:lang w:eastAsia="es-MX"/>
        </w:rPr>
      </w:pPr>
      <w:r w:rsidRPr="00EC18F1">
        <w:rPr>
          <w:rFonts w:ascii="Palatino Linotype" w:hAnsi="Palatino Linotype" w:cs="Arial"/>
          <w:b/>
          <w:bCs/>
          <w:i/>
          <w:sz w:val="22"/>
          <w:lang w:eastAsia="es-MX"/>
        </w:rPr>
        <w:t xml:space="preserve">“NÓMINA: </w:t>
      </w:r>
      <w:r w:rsidRPr="00EC18F1">
        <w:rPr>
          <w:rFonts w:ascii="Palatino Linotype" w:hAnsi="Palatino Linotype" w:cs="Arial"/>
          <w:i/>
          <w:sz w:val="22"/>
          <w:lang w:eastAsia="es-MX"/>
        </w:rPr>
        <w:t>Listado general de los trabajadores de una institución, en</w:t>
      </w:r>
      <w:r w:rsidRPr="00EC18F1">
        <w:rPr>
          <w:rFonts w:ascii="Palatino Linotype" w:hAnsi="Palatino Linotype" w:cs="Arial"/>
          <w:b/>
          <w:bCs/>
          <w:i/>
          <w:sz w:val="22"/>
          <w:lang w:eastAsia="es-MX"/>
        </w:rPr>
        <w:t xml:space="preserve"> </w:t>
      </w:r>
      <w:r w:rsidRPr="00EC18F1">
        <w:rPr>
          <w:rFonts w:ascii="Palatino Linotype" w:hAnsi="Palatino Linotype" w:cs="Arial"/>
          <w:i/>
          <w:sz w:val="22"/>
          <w:lang w:eastAsia="es-MX"/>
        </w:rPr>
        <w:t xml:space="preserve">el cual se asientan las </w:t>
      </w:r>
      <w:r w:rsidRPr="00EC18F1">
        <w:rPr>
          <w:rFonts w:ascii="Palatino Linotype" w:hAnsi="Palatino Linotype" w:cs="Arial"/>
          <w:b/>
          <w:bCs/>
          <w:i/>
          <w:sz w:val="22"/>
          <w:lang w:eastAsia="es-MX"/>
        </w:rPr>
        <w:t>percepciones brutas</w:t>
      </w:r>
      <w:r w:rsidRPr="00EC18F1">
        <w:rPr>
          <w:rFonts w:ascii="Palatino Linotype" w:hAnsi="Palatino Linotype" w:cs="Arial"/>
          <w:i/>
          <w:sz w:val="22"/>
          <w:lang w:eastAsia="es-MX"/>
        </w:rPr>
        <w:t xml:space="preserve">, </w:t>
      </w:r>
      <w:r w:rsidRPr="00EC18F1">
        <w:rPr>
          <w:rFonts w:ascii="Palatino Linotype" w:hAnsi="Palatino Linotype" w:cs="Arial"/>
          <w:b/>
          <w:bCs/>
          <w:i/>
          <w:sz w:val="22"/>
          <w:lang w:eastAsia="es-MX"/>
        </w:rPr>
        <w:t>deducciones</w:t>
      </w:r>
      <w:r w:rsidRPr="00EC18F1">
        <w:rPr>
          <w:rFonts w:ascii="Palatino Linotype" w:hAnsi="Palatino Linotype" w:cs="Arial"/>
          <w:i/>
          <w:sz w:val="22"/>
          <w:lang w:eastAsia="es-MX"/>
        </w:rPr>
        <w:t xml:space="preserve"> y</w:t>
      </w:r>
      <w:r w:rsidRPr="00EC18F1">
        <w:rPr>
          <w:rFonts w:ascii="Palatino Linotype" w:hAnsi="Palatino Linotype" w:cs="Arial"/>
          <w:b/>
          <w:bCs/>
          <w:i/>
          <w:sz w:val="22"/>
          <w:lang w:eastAsia="es-MX"/>
        </w:rPr>
        <w:t xml:space="preserve"> alcance neto</w:t>
      </w:r>
      <w:r w:rsidRPr="00EC18F1">
        <w:rPr>
          <w:rFonts w:ascii="Palatino Linotype" w:hAnsi="Palatino Linotype" w:cs="Arial"/>
          <w:i/>
          <w:sz w:val="22"/>
          <w:lang w:eastAsia="es-MX"/>
        </w:rPr>
        <w:t xml:space="preserve"> de las mismas; la nómina es utilizada para</w:t>
      </w:r>
      <w:r w:rsidRPr="00EC18F1">
        <w:rPr>
          <w:rFonts w:ascii="Palatino Linotype" w:hAnsi="Palatino Linotype" w:cs="Arial"/>
          <w:b/>
          <w:bCs/>
          <w:i/>
          <w:sz w:val="22"/>
          <w:lang w:eastAsia="es-MX"/>
        </w:rPr>
        <w:t xml:space="preserve"> </w:t>
      </w:r>
      <w:r w:rsidRPr="00EC18F1">
        <w:rPr>
          <w:rFonts w:ascii="Palatino Linotype" w:hAnsi="Palatino Linotype" w:cs="Arial"/>
          <w:i/>
          <w:sz w:val="22"/>
          <w:lang w:eastAsia="es-MX"/>
        </w:rPr>
        <w:t>efectuar los pagos periódicos (semanales, quincenales o</w:t>
      </w:r>
      <w:r w:rsidRPr="00EC18F1">
        <w:rPr>
          <w:rFonts w:ascii="Palatino Linotype" w:hAnsi="Palatino Linotype" w:cs="Arial"/>
          <w:b/>
          <w:bCs/>
          <w:i/>
          <w:sz w:val="22"/>
          <w:lang w:eastAsia="es-MX"/>
        </w:rPr>
        <w:t xml:space="preserve"> </w:t>
      </w:r>
      <w:r w:rsidRPr="00EC18F1">
        <w:rPr>
          <w:rFonts w:ascii="Palatino Linotype" w:hAnsi="Palatino Linotype" w:cs="Arial"/>
          <w:i/>
          <w:sz w:val="22"/>
          <w:lang w:eastAsia="es-MX"/>
        </w:rPr>
        <w:t>mensuales) a los trabajadores por concepto de sueldos y</w:t>
      </w:r>
      <w:r w:rsidRPr="00EC18F1">
        <w:rPr>
          <w:rFonts w:ascii="Palatino Linotype" w:hAnsi="Palatino Linotype" w:cs="Arial"/>
          <w:b/>
          <w:bCs/>
          <w:i/>
          <w:sz w:val="22"/>
          <w:lang w:eastAsia="es-MX"/>
        </w:rPr>
        <w:t xml:space="preserve"> </w:t>
      </w:r>
      <w:r w:rsidRPr="00EC18F1">
        <w:rPr>
          <w:rFonts w:ascii="Palatino Linotype" w:hAnsi="Palatino Linotype" w:cs="Arial"/>
          <w:i/>
          <w:sz w:val="22"/>
          <w:lang w:eastAsia="es-MX"/>
        </w:rPr>
        <w:t>salarios.”</w:t>
      </w:r>
    </w:p>
    <w:p w14:paraId="3DF7CEAC" w14:textId="77777777" w:rsidR="003C1CB7" w:rsidRPr="00EC18F1" w:rsidRDefault="003C1CB7" w:rsidP="003C1CB7">
      <w:pPr>
        <w:autoSpaceDE w:val="0"/>
        <w:autoSpaceDN w:val="0"/>
        <w:adjustRightInd w:val="0"/>
        <w:spacing w:line="276" w:lineRule="auto"/>
        <w:ind w:left="851" w:right="567"/>
        <w:jc w:val="both"/>
        <w:rPr>
          <w:rFonts w:ascii="Palatino Linotype" w:hAnsi="Palatino Linotype" w:cs="Arial"/>
          <w:iCs/>
          <w:sz w:val="22"/>
          <w:lang w:eastAsia="es-MX"/>
        </w:rPr>
      </w:pPr>
      <w:r w:rsidRPr="00EC18F1">
        <w:rPr>
          <w:rFonts w:ascii="Palatino Linotype" w:hAnsi="Palatino Linotype" w:cs="Arial"/>
          <w:iCs/>
          <w:sz w:val="22"/>
          <w:lang w:eastAsia="es-MX"/>
        </w:rPr>
        <w:t>(Énfasis añadido)</w:t>
      </w:r>
    </w:p>
    <w:p w14:paraId="66C083BC"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6D257784"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Aunado a ello, debemos insistir que el salario o nómina es el conglomerado de todas las </w:t>
      </w:r>
      <w:r w:rsidRPr="00EC18F1">
        <w:rPr>
          <w:rFonts w:ascii="Palatino Linotype" w:hAnsi="Palatino Linotype"/>
          <w:b/>
          <w:bCs/>
          <w:color w:val="000000" w:themeColor="text1"/>
        </w:rPr>
        <w:t>percepciones</w:t>
      </w:r>
      <w:r w:rsidRPr="00EC18F1">
        <w:rPr>
          <w:rFonts w:ascii="Palatino Linotype" w:hAnsi="Palatino Linotype"/>
          <w:color w:val="000000" w:themeColor="text1"/>
        </w:rPr>
        <w:t xml:space="preserve"> y </w:t>
      </w:r>
      <w:r w:rsidRPr="00EC18F1">
        <w:rPr>
          <w:rFonts w:ascii="Palatino Linotype" w:hAnsi="Palatino Linotype"/>
          <w:b/>
          <w:bCs/>
          <w:color w:val="000000" w:themeColor="text1"/>
        </w:rPr>
        <w:t>deducciones</w:t>
      </w:r>
      <w:r w:rsidRPr="00EC18F1">
        <w:rPr>
          <w:rFonts w:ascii="Palatino Linotype" w:hAnsi="Palatino Linotype"/>
          <w:color w:val="000000" w:themeColor="text1"/>
        </w:rPr>
        <w:t xml:space="preserve"> que resultan en un alcance </w:t>
      </w:r>
      <w:r w:rsidRPr="00EC18F1">
        <w:rPr>
          <w:rFonts w:ascii="Palatino Linotype" w:hAnsi="Palatino Linotype"/>
          <w:b/>
          <w:bCs/>
          <w:color w:val="000000" w:themeColor="text1"/>
        </w:rPr>
        <w:t>neto</w:t>
      </w:r>
      <w:r w:rsidRPr="00EC18F1">
        <w:rPr>
          <w:rFonts w:ascii="Palatino Linotype" w:hAnsi="Palatino Linotype"/>
          <w:color w:val="000000" w:themeColor="text1"/>
        </w:rPr>
        <w:t xml:space="preserve"> como remuneración por el pago del empleo, cargo o comisión que realiza un servidor público.</w:t>
      </w:r>
    </w:p>
    <w:p w14:paraId="7FD985EA" w14:textId="77777777" w:rsidR="005A20DC" w:rsidRPr="00EC18F1" w:rsidRDefault="005A20DC" w:rsidP="005A20DC">
      <w:pPr>
        <w:pStyle w:val="Prrafodelista"/>
        <w:tabs>
          <w:tab w:val="left" w:pos="426"/>
        </w:tabs>
        <w:spacing w:before="240" w:after="240" w:line="360" w:lineRule="auto"/>
        <w:ind w:left="0" w:right="51"/>
        <w:jc w:val="both"/>
        <w:rPr>
          <w:rFonts w:ascii="Palatino Linotype" w:hAnsi="Palatino Linotype"/>
          <w:color w:val="000000" w:themeColor="text1"/>
        </w:rPr>
      </w:pPr>
    </w:p>
    <w:p w14:paraId="105E3C8E" w14:textId="501502B9" w:rsidR="005A20DC" w:rsidRPr="00EC18F1" w:rsidRDefault="005A20DC" w:rsidP="005A20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eastAsia="Calibri" w:hAnsi="Palatino Linotype" w:cs="Arial"/>
          <w:color w:val="000000" w:themeColor="text1"/>
          <w:lang w:val="es-ES"/>
        </w:rPr>
        <w:lastRenderedPageBreak/>
        <w:t xml:space="preserve">Expuesto lo anterior, recordemos que, en vía de informe justificado, el </w:t>
      </w:r>
      <w:r w:rsidRPr="00EC18F1">
        <w:rPr>
          <w:rFonts w:ascii="Palatino Linotype" w:eastAsia="Calibri" w:hAnsi="Palatino Linotype" w:cs="Arial"/>
          <w:b/>
          <w:color w:val="000000" w:themeColor="text1"/>
          <w:lang w:val="es-ES"/>
        </w:rPr>
        <w:t>SUJETO OBLIGADO</w:t>
      </w:r>
      <w:r w:rsidRPr="00EC18F1">
        <w:rPr>
          <w:rFonts w:ascii="Palatino Linotype" w:eastAsia="Calibri" w:hAnsi="Palatino Linotype" w:cs="Arial"/>
          <w:color w:val="000000" w:themeColor="text1"/>
          <w:lang w:val="es-ES"/>
        </w:rPr>
        <w:t xml:space="preserve"> entregó </w:t>
      </w:r>
      <w:r w:rsidRPr="00EC18F1">
        <w:rPr>
          <w:rFonts w:ascii="Palatino Linotype" w:hAnsi="Palatino Linotype"/>
        </w:rPr>
        <w:t xml:space="preserve">la </w:t>
      </w:r>
      <w:r w:rsidRPr="00EC18F1">
        <w:rPr>
          <w:rFonts w:ascii="Palatino Linotype" w:eastAsia="Calibri" w:hAnsi="Palatino Linotype" w:cs="Arial"/>
          <w:b/>
          <w:color w:val="000000" w:themeColor="text1"/>
          <w:lang w:val="es-ES"/>
        </w:rPr>
        <w:t>relación de nómina</w:t>
      </w:r>
      <w:r w:rsidRPr="00EC18F1">
        <w:rPr>
          <w:rFonts w:ascii="Palatino Linotype" w:eastAsia="Calibri" w:hAnsi="Palatino Linotype" w:cs="Arial"/>
          <w:color w:val="000000" w:themeColor="text1"/>
          <w:lang w:val="es-ES"/>
        </w:rPr>
        <w:t xml:space="preserve"> y </w:t>
      </w:r>
      <w:r w:rsidRPr="00EC18F1">
        <w:rPr>
          <w:rFonts w:ascii="Palatino Linotype" w:eastAsia="Calibri" w:hAnsi="Palatino Linotype" w:cs="Arial"/>
          <w:b/>
          <w:color w:val="000000" w:themeColor="text1"/>
          <w:lang w:val="es-ES"/>
        </w:rPr>
        <w:t>listas de raya</w:t>
      </w:r>
      <w:r w:rsidRPr="00EC18F1">
        <w:rPr>
          <w:rFonts w:ascii="Palatino Linotype" w:eastAsia="Calibri" w:hAnsi="Palatino Linotype" w:cs="Arial"/>
          <w:color w:val="000000" w:themeColor="text1"/>
          <w:lang w:val="es-ES"/>
        </w:rPr>
        <w:t xml:space="preserve"> del personal adscrito al </w:t>
      </w:r>
      <w:r w:rsidRPr="00EC18F1">
        <w:rPr>
          <w:rFonts w:ascii="Palatino Linotype" w:eastAsia="Calibri" w:hAnsi="Palatino Linotype" w:cs="Arial"/>
          <w:b/>
          <w:color w:val="000000" w:themeColor="text1"/>
          <w:lang w:val="es-ES"/>
        </w:rPr>
        <w:t>Sistema Municipal para el Desarrollo Integral de la Familia de Timilpan</w:t>
      </w:r>
      <w:r w:rsidRPr="00EC18F1">
        <w:rPr>
          <w:rFonts w:ascii="Palatino Linotype" w:eastAsia="Calibri" w:hAnsi="Palatino Linotype" w:cs="Arial"/>
          <w:color w:val="000000" w:themeColor="text1"/>
          <w:lang w:val="es-ES"/>
        </w:rPr>
        <w:t xml:space="preserve">, por quincena, donde se detalla su </w:t>
      </w:r>
      <w:r w:rsidRPr="00EC18F1">
        <w:rPr>
          <w:rFonts w:ascii="Palatino Linotype" w:eastAsia="Calibri" w:hAnsi="Palatino Linotype" w:cs="Arial"/>
          <w:b/>
          <w:color w:val="000000" w:themeColor="text1"/>
          <w:lang w:val="es-ES"/>
        </w:rPr>
        <w:t>cargo</w:t>
      </w:r>
      <w:r w:rsidRPr="00EC18F1">
        <w:rPr>
          <w:rFonts w:ascii="Palatino Linotype" w:eastAsia="Calibri" w:hAnsi="Palatino Linotype" w:cs="Arial"/>
          <w:color w:val="000000" w:themeColor="text1"/>
          <w:lang w:val="es-ES"/>
        </w:rPr>
        <w:t xml:space="preserve">, así como sus </w:t>
      </w:r>
      <w:r w:rsidRPr="00EC18F1">
        <w:rPr>
          <w:rFonts w:ascii="Palatino Linotype" w:eastAsia="Calibri" w:hAnsi="Palatino Linotype" w:cs="Arial"/>
          <w:b/>
          <w:color w:val="000000" w:themeColor="text1"/>
          <w:lang w:val="es-ES"/>
        </w:rPr>
        <w:t>percepciones</w:t>
      </w:r>
      <w:r w:rsidRPr="00EC18F1">
        <w:rPr>
          <w:rFonts w:ascii="Palatino Linotype" w:eastAsia="Calibri" w:hAnsi="Palatino Linotype" w:cs="Arial"/>
          <w:color w:val="000000" w:themeColor="text1"/>
          <w:lang w:val="es-ES"/>
        </w:rPr>
        <w:t xml:space="preserve">, </w:t>
      </w:r>
      <w:r w:rsidRPr="00EC18F1">
        <w:rPr>
          <w:rFonts w:ascii="Palatino Linotype" w:eastAsia="Calibri" w:hAnsi="Palatino Linotype" w:cs="Arial"/>
          <w:b/>
          <w:color w:val="000000" w:themeColor="text1"/>
          <w:lang w:val="es-ES"/>
        </w:rPr>
        <w:t>deducciones</w:t>
      </w:r>
      <w:r w:rsidRPr="00EC18F1">
        <w:rPr>
          <w:rFonts w:ascii="Palatino Linotype" w:eastAsia="Calibri" w:hAnsi="Palatino Linotype" w:cs="Arial"/>
          <w:color w:val="000000" w:themeColor="text1"/>
          <w:lang w:val="es-ES"/>
        </w:rPr>
        <w:t xml:space="preserve"> y </w:t>
      </w:r>
      <w:r w:rsidRPr="00EC18F1">
        <w:rPr>
          <w:rFonts w:ascii="Palatino Linotype" w:eastAsia="Calibri" w:hAnsi="Palatino Linotype" w:cs="Arial"/>
          <w:b/>
          <w:color w:val="000000" w:themeColor="text1"/>
          <w:lang w:val="es-ES"/>
        </w:rPr>
        <w:t>monto neto pagado</w:t>
      </w:r>
      <w:r w:rsidRPr="00EC18F1">
        <w:rPr>
          <w:rFonts w:ascii="Palatino Linotype" w:eastAsia="Calibri" w:hAnsi="Palatino Linotype" w:cs="Arial"/>
          <w:color w:val="000000" w:themeColor="text1"/>
          <w:lang w:val="es-ES"/>
        </w:rPr>
        <w:t xml:space="preserve"> por trabajador, del dos mil diecinueve, dos mil veinte, dos mil veintiuno y dos mil veintidós</w:t>
      </w:r>
      <w:r w:rsidR="00C91C5F" w:rsidRPr="00EC18F1">
        <w:rPr>
          <w:rFonts w:ascii="Palatino Linotype" w:eastAsia="Calibri" w:hAnsi="Palatino Linotype" w:cs="Arial"/>
          <w:color w:val="000000" w:themeColor="text1"/>
          <w:lang w:val="es-ES"/>
        </w:rPr>
        <w:t>. Se adjunta la captura de la primera foja de los documentos de mérito como referencia:</w:t>
      </w:r>
    </w:p>
    <w:p w14:paraId="73570A2C" w14:textId="06551599" w:rsidR="00C91C5F" w:rsidRPr="00EC18F1" w:rsidRDefault="00C91C5F" w:rsidP="00C91C5F">
      <w:pPr>
        <w:pStyle w:val="Prrafodelista"/>
        <w:tabs>
          <w:tab w:val="left" w:pos="426"/>
        </w:tabs>
        <w:spacing w:before="240" w:after="240" w:line="360" w:lineRule="auto"/>
        <w:ind w:left="0" w:right="51"/>
        <w:jc w:val="both"/>
        <w:rPr>
          <w:rFonts w:ascii="Palatino Linotype" w:hAnsi="Palatino Linotype"/>
          <w:color w:val="000000" w:themeColor="text1"/>
        </w:rPr>
      </w:pPr>
    </w:p>
    <w:p w14:paraId="0A45D3F4" w14:textId="4DB418A3" w:rsidR="005A20DC" w:rsidRPr="00EC18F1" w:rsidRDefault="005A20DC" w:rsidP="005A20DC">
      <w:pPr>
        <w:pStyle w:val="Prrafodelista"/>
        <w:tabs>
          <w:tab w:val="left" w:pos="426"/>
        </w:tabs>
        <w:spacing w:before="240" w:after="240" w:line="360" w:lineRule="auto"/>
        <w:ind w:left="0" w:right="51"/>
        <w:jc w:val="both"/>
        <w:rPr>
          <w:rFonts w:ascii="Palatino Linotype" w:hAnsi="Palatino Linotype"/>
          <w:color w:val="000000" w:themeColor="text1"/>
        </w:rPr>
      </w:pPr>
    </w:p>
    <w:p w14:paraId="33E0EC3E" w14:textId="77777777" w:rsidR="005A20DC" w:rsidRPr="00EC18F1" w:rsidRDefault="005A20DC" w:rsidP="005A20DC">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drawing>
          <wp:inline distT="0" distB="0" distL="0" distR="0" wp14:anchorId="1FB9F2BA" wp14:editId="3BA19386">
            <wp:extent cx="4737487" cy="2897811"/>
            <wp:effectExtent l="57150" t="57150" r="120650" b="1123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7624" cy="29040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C605F4" w14:textId="77777777" w:rsidR="00C91C5F" w:rsidRPr="00EC18F1" w:rsidRDefault="00C91C5F" w:rsidP="005A20DC">
      <w:pPr>
        <w:pStyle w:val="Prrafodelista"/>
        <w:tabs>
          <w:tab w:val="left" w:pos="426"/>
        </w:tabs>
        <w:spacing w:before="240" w:after="240" w:line="360" w:lineRule="auto"/>
        <w:ind w:left="0" w:right="51"/>
        <w:jc w:val="center"/>
        <w:rPr>
          <w:rFonts w:ascii="Palatino Linotype" w:hAnsi="Palatino Linotype"/>
          <w:color w:val="000000" w:themeColor="text1"/>
        </w:rPr>
      </w:pPr>
    </w:p>
    <w:p w14:paraId="56D3CDA1" w14:textId="77777777" w:rsidR="005A20DC" w:rsidRPr="00EC18F1" w:rsidRDefault="005A20DC" w:rsidP="005A20DC">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lastRenderedPageBreak/>
        <w:drawing>
          <wp:inline distT="0" distB="0" distL="0" distR="0" wp14:anchorId="40A5603C" wp14:editId="2369AE7F">
            <wp:extent cx="4753390" cy="3203348"/>
            <wp:effectExtent l="57150" t="57150" r="104775" b="1117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5752" cy="32116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481CB" w14:textId="77777777" w:rsidR="005A20DC" w:rsidRPr="00EC18F1" w:rsidRDefault="005A20DC" w:rsidP="005A20DC">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drawing>
          <wp:inline distT="0" distB="0" distL="0" distR="0" wp14:anchorId="285809AB" wp14:editId="54779C31">
            <wp:extent cx="4777244" cy="3263747"/>
            <wp:effectExtent l="57150" t="57150" r="118745" b="1085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9030" cy="32717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DF528F" w14:textId="77777777" w:rsidR="00C91C5F" w:rsidRPr="00EC18F1" w:rsidRDefault="00C91C5F" w:rsidP="005A20DC">
      <w:pPr>
        <w:pStyle w:val="Prrafodelista"/>
        <w:tabs>
          <w:tab w:val="left" w:pos="426"/>
        </w:tabs>
        <w:spacing w:before="240" w:after="240" w:line="360" w:lineRule="auto"/>
        <w:ind w:left="0" w:right="51"/>
        <w:jc w:val="center"/>
        <w:rPr>
          <w:rFonts w:ascii="Palatino Linotype" w:hAnsi="Palatino Linotype"/>
          <w:color w:val="000000" w:themeColor="text1"/>
        </w:rPr>
      </w:pPr>
    </w:p>
    <w:p w14:paraId="7473F63A" w14:textId="77777777" w:rsidR="005A20DC" w:rsidRPr="00EC18F1" w:rsidRDefault="005A20DC" w:rsidP="005A20DC">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lastRenderedPageBreak/>
        <w:drawing>
          <wp:inline distT="0" distB="0" distL="0" distR="0" wp14:anchorId="0BAFF10D" wp14:editId="77BF2CC0">
            <wp:extent cx="4745438" cy="3149128"/>
            <wp:effectExtent l="57150" t="57150" r="112395" b="1085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9158" cy="31582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F3594C" w14:textId="77777777" w:rsidR="005A20DC" w:rsidRPr="00EC18F1" w:rsidRDefault="005A20DC" w:rsidP="005A20DC">
      <w:pPr>
        <w:pStyle w:val="Prrafodelista"/>
        <w:tabs>
          <w:tab w:val="left" w:pos="426"/>
        </w:tabs>
        <w:spacing w:before="240" w:after="240" w:line="360" w:lineRule="auto"/>
        <w:ind w:left="0" w:right="51"/>
        <w:jc w:val="both"/>
        <w:rPr>
          <w:rFonts w:ascii="Palatino Linotype" w:hAnsi="Palatino Linotype"/>
          <w:color w:val="000000" w:themeColor="text1"/>
        </w:rPr>
      </w:pPr>
    </w:p>
    <w:p w14:paraId="1704340D" w14:textId="023D432F" w:rsidR="005A20DC" w:rsidRPr="00EC18F1" w:rsidRDefault="00C91C5F"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Así las cosas, se tiene que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w:t>
      </w:r>
      <w:r w:rsidRPr="00EC18F1">
        <w:rPr>
          <w:rFonts w:ascii="Palatino Linotype" w:hAnsi="Palatino Linotype"/>
          <w:b/>
          <w:color w:val="000000" w:themeColor="text1"/>
        </w:rPr>
        <w:t>colmó</w:t>
      </w:r>
      <w:r w:rsidRPr="00EC18F1">
        <w:rPr>
          <w:rFonts w:ascii="Palatino Linotype" w:hAnsi="Palatino Linotype"/>
          <w:color w:val="000000" w:themeColor="text1"/>
        </w:rPr>
        <w:t xml:space="preserve"> el requerimiento relativo al concentrado de nombres, cargos y percepciones del personal, bajo sistema de nómina y lista de raya, adscrito al Sistema Municipal para el Desarrollo Integral de la Familia de Timilpan.</w:t>
      </w:r>
    </w:p>
    <w:p w14:paraId="50B589C2" w14:textId="77777777" w:rsidR="005A20DC" w:rsidRPr="00EC18F1" w:rsidRDefault="005A20DC" w:rsidP="005A20DC">
      <w:pPr>
        <w:pStyle w:val="Prrafodelista"/>
        <w:tabs>
          <w:tab w:val="left" w:pos="426"/>
        </w:tabs>
        <w:spacing w:before="240" w:after="240" w:line="360" w:lineRule="auto"/>
        <w:ind w:left="0" w:right="51"/>
        <w:jc w:val="both"/>
        <w:rPr>
          <w:rFonts w:ascii="Palatino Linotype" w:hAnsi="Palatino Linotype"/>
          <w:color w:val="000000" w:themeColor="text1"/>
        </w:rPr>
      </w:pPr>
    </w:p>
    <w:p w14:paraId="6E31F35B" w14:textId="778B5044" w:rsidR="00C91C5F" w:rsidRPr="00EC18F1" w:rsidRDefault="00C91C5F" w:rsidP="00C91C5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Sin embargo, por cuanto hace a las </w:t>
      </w:r>
      <w:r w:rsidRPr="00EC18F1">
        <w:rPr>
          <w:rFonts w:ascii="Palatino Linotype" w:hAnsi="Palatino Linotype"/>
          <w:b/>
          <w:color w:val="000000" w:themeColor="text1"/>
        </w:rPr>
        <w:t xml:space="preserve">percepciones extraordinarias, compensaciones </w:t>
      </w:r>
      <w:r w:rsidRPr="00EC18F1">
        <w:rPr>
          <w:rFonts w:ascii="Palatino Linotype" w:hAnsi="Palatino Linotype"/>
          <w:color w:val="000000" w:themeColor="text1"/>
        </w:rPr>
        <w:t xml:space="preserve">y </w:t>
      </w:r>
      <w:r w:rsidRPr="00EC18F1">
        <w:rPr>
          <w:rFonts w:ascii="Palatino Linotype" w:hAnsi="Palatino Linotype"/>
          <w:b/>
          <w:color w:val="000000" w:themeColor="text1"/>
        </w:rPr>
        <w:t>bonificaciones</w:t>
      </w:r>
      <w:r w:rsidRPr="00EC18F1">
        <w:rPr>
          <w:rFonts w:ascii="Palatino Linotype" w:hAnsi="Palatino Linotype"/>
          <w:color w:val="000000" w:themeColor="text1"/>
        </w:rPr>
        <w:t xml:space="preserve"> del personal del Sistema Municipal para el Desarrollo Integral de la Familia,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únicamente hizo entrega del </w:t>
      </w:r>
      <w:r w:rsidRPr="00EC18F1">
        <w:rPr>
          <w:rFonts w:ascii="Palatino Linotype" w:hAnsi="Palatino Linotype"/>
          <w:b/>
          <w:color w:val="000000" w:themeColor="text1"/>
        </w:rPr>
        <w:t>aguinaldo</w:t>
      </w:r>
      <w:r w:rsidR="00B17C1A" w:rsidRPr="00EC18F1">
        <w:rPr>
          <w:rFonts w:ascii="Palatino Linotype" w:hAnsi="Palatino Linotype"/>
          <w:color w:val="000000" w:themeColor="text1"/>
        </w:rPr>
        <w:t xml:space="preserve"> del dos mil diecinueve, dos mil veinte y dos mil veintiuno</w:t>
      </w:r>
      <w:r w:rsidRPr="00EC18F1">
        <w:rPr>
          <w:rFonts w:ascii="Palatino Linotype" w:hAnsi="Palatino Linotype"/>
          <w:color w:val="000000" w:themeColor="text1"/>
        </w:rPr>
        <w:t xml:space="preserve">, mediante los documentos inicialmente presentados en respuesta a la solicitud de información </w:t>
      </w:r>
      <w:r w:rsidRPr="00EC18F1">
        <w:rPr>
          <w:rFonts w:ascii="Palatino Linotype" w:hAnsi="Palatino Linotype"/>
          <w:b/>
          <w:color w:val="000000" w:themeColor="text1"/>
        </w:rPr>
        <w:t>00073/TIMILPAN/IP/2022</w:t>
      </w:r>
      <w:r w:rsidRPr="00EC18F1">
        <w:rPr>
          <w:rFonts w:ascii="Palatino Linotype" w:hAnsi="Palatino Linotype"/>
          <w:color w:val="000000" w:themeColor="text1"/>
        </w:rPr>
        <w:t xml:space="preserve">. </w:t>
      </w:r>
      <w:r w:rsidRPr="00EC18F1">
        <w:rPr>
          <w:rFonts w:ascii="Palatino Linotype" w:eastAsia="Calibri" w:hAnsi="Palatino Linotype" w:cs="Arial"/>
          <w:color w:val="000000" w:themeColor="text1"/>
          <w:lang w:val="es-ES"/>
        </w:rPr>
        <w:t>Se adjunta a continuación la captura de la primer foja de los documentos a modo de referencia:</w:t>
      </w:r>
    </w:p>
    <w:p w14:paraId="0D51D0B7" w14:textId="77777777" w:rsidR="00C91C5F" w:rsidRPr="00EC18F1" w:rsidRDefault="00C91C5F" w:rsidP="00C91C5F">
      <w:pPr>
        <w:pStyle w:val="Prrafodelista"/>
        <w:tabs>
          <w:tab w:val="left" w:pos="426"/>
        </w:tabs>
        <w:spacing w:before="240" w:after="240" w:line="360" w:lineRule="auto"/>
        <w:ind w:left="0" w:right="51"/>
        <w:jc w:val="both"/>
        <w:rPr>
          <w:rFonts w:ascii="Palatino Linotype" w:hAnsi="Palatino Linotype"/>
          <w:color w:val="000000" w:themeColor="text1"/>
        </w:rPr>
      </w:pPr>
    </w:p>
    <w:p w14:paraId="16C0AA44" w14:textId="7D8E241E" w:rsidR="00C91C5F" w:rsidRPr="00EC18F1" w:rsidRDefault="00C91C5F" w:rsidP="00C91C5F">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0288" behindDoc="0" locked="0" layoutInCell="1" allowOverlap="1" wp14:anchorId="510C823E" wp14:editId="17903BAB">
                <wp:simplePos x="0" y="0"/>
                <wp:positionH relativeFrom="column">
                  <wp:posOffset>4565291</wp:posOffset>
                </wp:positionH>
                <wp:positionV relativeFrom="paragraph">
                  <wp:posOffset>458001</wp:posOffset>
                </wp:positionV>
                <wp:extent cx="485030" cy="3061252"/>
                <wp:effectExtent l="57150" t="19050" r="67945" b="101600"/>
                <wp:wrapNone/>
                <wp:docPr id="18" name="Rectángulo 18"/>
                <wp:cNvGraphicFramePr/>
                <a:graphic xmlns:a="http://schemas.openxmlformats.org/drawingml/2006/main">
                  <a:graphicData uri="http://schemas.microsoft.com/office/word/2010/wordprocessingShape">
                    <wps:wsp>
                      <wps:cNvSpPr/>
                      <wps:spPr>
                        <a:xfrm>
                          <a:off x="0" y="0"/>
                          <a:ext cx="485030" cy="306125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38A04" id="Rectángulo 18" o:spid="_x0000_s1026" style="position:absolute;margin-left:359.45pt;margin-top:36.05pt;width:38.2pt;height:24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" filled="f" strokecolor="red" strokeweight="1.5pt">
                <v:shadow on="t" color="black" opacity="22937f" origin=",.5" offset="0,.63889mm"/>
              </v:rect>
            </w:pict>
          </mc:Fallback>
        </mc:AlternateContent>
      </w:r>
      <w:r w:rsidRPr="00EC18F1">
        <w:rPr>
          <w:rFonts w:ascii="Palatino Linotype" w:hAnsi="Palatino Linotype"/>
          <w:noProof/>
          <w:color w:val="000000" w:themeColor="text1"/>
          <w:lang w:eastAsia="es-MX"/>
        </w:rPr>
        <w:drawing>
          <wp:inline distT="0" distB="0" distL="0" distR="0" wp14:anchorId="33D2788C" wp14:editId="2C6753D3">
            <wp:extent cx="4761341" cy="3583666"/>
            <wp:effectExtent l="57150" t="57150" r="115570" b="112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5939" cy="35946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50A580" w14:textId="0560DA58" w:rsidR="00C91C5F" w:rsidRPr="00EC18F1" w:rsidRDefault="00C91C5F" w:rsidP="00C91C5F">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6FA5142B" wp14:editId="5B484090">
                <wp:simplePos x="0" y="0"/>
                <wp:positionH relativeFrom="column">
                  <wp:posOffset>4668658</wp:posOffset>
                </wp:positionH>
                <wp:positionV relativeFrom="paragraph">
                  <wp:posOffset>482517</wp:posOffset>
                </wp:positionV>
                <wp:extent cx="421419" cy="2266122"/>
                <wp:effectExtent l="57150" t="19050" r="74295" b="96520"/>
                <wp:wrapNone/>
                <wp:docPr id="19" name="Rectángulo 19"/>
                <wp:cNvGraphicFramePr/>
                <a:graphic xmlns:a="http://schemas.openxmlformats.org/drawingml/2006/main">
                  <a:graphicData uri="http://schemas.microsoft.com/office/word/2010/wordprocessingShape">
                    <wps:wsp>
                      <wps:cNvSpPr/>
                      <wps:spPr>
                        <a:xfrm>
                          <a:off x="0" y="0"/>
                          <a:ext cx="421419" cy="226612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C92F" id="Rectángulo 19" o:spid="_x0000_s1026" style="position:absolute;margin-left:367.6pt;margin-top:38pt;width:33.2pt;height:17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" filled="f" strokecolor="red" strokeweight="1.5pt">
                <v:shadow on="t" color="black" opacity="22937f" origin=",.5" offset="0,.63889mm"/>
              </v:rect>
            </w:pict>
          </mc:Fallback>
        </mc:AlternateContent>
      </w:r>
      <w:r w:rsidRPr="00EC18F1">
        <w:rPr>
          <w:rFonts w:ascii="Palatino Linotype" w:hAnsi="Palatino Linotype"/>
          <w:noProof/>
          <w:color w:val="000000" w:themeColor="text1"/>
          <w:lang w:eastAsia="es-MX"/>
        </w:rPr>
        <w:drawing>
          <wp:inline distT="0" distB="0" distL="0" distR="0" wp14:anchorId="13078BA3" wp14:editId="2384B8B8">
            <wp:extent cx="4793146" cy="2796815"/>
            <wp:effectExtent l="57150" t="57150" r="121920" b="1181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9950" cy="2806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EA258C" w14:textId="1ACB61D2" w:rsidR="00C91C5F" w:rsidRPr="00EC18F1" w:rsidRDefault="00C91C5F" w:rsidP="00C91C5F">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4384" behindDoc="0" locked="0" layoutInCell="1" allowOverlap="1" wp14:anchorId="07746A91" wp14:editId="02A242C2">
                <wp:simplePos x="0" y="0"/>
                <wp:positionH relativeFrom="column">
                  <wp:posOffset>4676610</wp:posOffset>
                </wp:positionH>
                <wp:positionV relativeFrom="paragraph">
                  <wp:posOffset>346682</wp:posOffset>
                </wp:positionV>
                <wp:extent cx="373712" cy="1645920"/>
                <wp:effectExtent l="57150" t="19050" r="83820" b="87630"/>
                <wp:wrapNone/>
                <wp:docPr id="20" name="Rectángulo 20"/>
                <wp:cNvGraphicFramePr/>
                <a:graphic xmlns:a="http://schemas.openxmlformats.org/drawingml/2006/main">
                  <a:graphicData uri="http://schemas.microsoft.com/office/word/2010/wordprocessingShape">
                    <wps:wsp>
                      <wps:cNvSpPr/>
                      <wps:spPr>
                        <a:xfrm>
                          <a:off x="0" y="0"/>
                          <a:ext cx="373712" cy="164592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6007" id="Rectángulo 20" o:spid="_x0000_s1026" style="position:absolute;margin-left:368.25pt;margin-top:27.3pt;width:29.45pt;height:1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" filled="f" strokecolor="red" strokeweight="1.5pt">
                <v:shadow on="t" color="black" opacity="22937f" origin=",.5" offset="0,.63889mm"/>
              </v:rect>
            </w:pict>
          </mc:Fallback>
        </mc:AlternateContent>
      </w:r>
      <w:r w:rsidRPr="00EC18F1">
        <w:rPr>
          <w:rFonts w:ascii="Palatino Linotype" w:hAnsi="Palatino Linotype"/>
          <w:noProof/>
          <w:color w:val="000000" w:themeColor="text1"/>
          <w:lang w:eastAsia="es-MX"/>
        </w:rPr>
        <w:drawing>
          <wp:inline distT="0" distB="0" distL="0" distR="0" wp14:anchorId="35AF2FC7" wp14:editId="1CC8C355">
            <wp:extent cx="4769292" cy="2076515"/>
            <wp:effectExtent l="57150" t="57150" r="10795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6566" cy="2088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AF440C" w14:textId="3B3A67DD" w:rsidR="00C91C5F" w:rsidRPr="00EC18F1" w:rsidRDefault="00C91C5F" w:rsidP="00C91C5F">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rFonts w:ascii="Palatino Linotype" w:hAnsi="Palatino Linotype"/>
          <w:noProof/>
          <w:color w:val="000000" w:themeColor="text1"/>
          <w:lang w:eastAsia="es-MX"/>
        </w:rPr>
        <w:drawing>
          <wp:inline distT="0" distB="0" distL="0" distR="0" wp14:anchorId="5CFA45C8" wp14:editId="4AAF6D9D">
            <wp:extent cx="4761341" cy="1915742"/>
            <wp:effectExtent l="57150" t="57150" r="115570" b="1231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3949" cy="19288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583523" w14:textId="77777777" w:rsidR="00C91C5F" w:rsidRPr="00EC18F1" w:rsidRDefault="00C91C5F" w:rsidP="00C91C5F">
      <w:pPr>
        <w:pStyle w:val="Prrafodelista"/>
        <w:tabs>
          <w:tab w:val="left" w:pos="426"/>
        </w:tabs>
        <w:spacing w:before="240" w:after="240" w:line="360" w:lineRule="auto"/>
        <w:ind w:left="0" w:right="51"/>
        <w:jc w:val="both"/>
        <w:rPr>
          <w:rFonts w:ascii="Palatino Linotype" w:hAnsi="Palatino Linotype"/>
          <w:color w:val="000000" w:themeColor="text1"/>
        </w:rPr>
      </w:pPr>
    </w:p>
    <w:p w14:paraId="7F7E0096" w14:textId="7211268A" w:rsidR="003C1CB7" w:rsidRPr="00EC18F1" w:rsidRDefault="00B17C1A" w:rsidP="00D528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eastAsia="MS Gothic" w:hAnsi="Palatino Linotype" w:cs="Times New Roman"/>
        </w:rPr>
        <w:t>Razón de lo anterior, conviene mencionar</w:t>
      </w:r>
      <w:r w:rsidR="003C1CB7" w:rsidRPr="00EC18F1">
        <w:rPr>
          <w:rFonts w:ascii="Palatino Linotype" w:eastAsia="MS Gothic" w:hAnsi="Palatino Linotype" w:cs="Times New Roman"/>
        </w:rPr>
        <w:t xml:space="preserve"> que el artículo 147 de la Constitución Política del Estado Libre y Soberano de México, establece que los trabajadores al servicio del Estado, los miembros de los Ayuntamientos y </w:t>
      </w:r>
      <w:r w:rsidR="003C1CB7" w:rsidRPr="00EC18F1">
        <w:rPr>
          <w:rFonts w:ascii="Palatino Linotype" w:eastAsia="MS Gothic" w:hAnsi="Palatino Linotype" w:cs="Times New Roman"/>
          <w:b/>
        </w:rPr>
        <w:t>organismos descentralizados municipales</w:t>
      </w:r>
      <w:r w:rsidR="003C1CB7" w:rsidRPr="00EC18F1">
        <w:rPr>
          <w:rFonts w:ascii="Palatino Linotype" w:eastAsia="MS Gothic" w:hAnsi="Palatino Linotype" w:cs="Times New Roman"/>
        </w:rPr>
        <w:t>, recibirán una remuneración adecuada e irrenunciable por el desempeño de su empleo, cargo o comisión, que será determinada en el presupuesto de egresos que corresponda.</w:t>
      </w:r>
    </w:p>
    <w:p w14:paraId="1FE97AFF"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5B204FE4"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 </w:t>
      </w:r>
      <w:r w:rsidRPr="00EC18F1">
        <w:rPr>
          <w:rFonts w:ascii="Palatino Linotype" w:eastAsia="MS Mincho" w:hAnsi="Palatino Linotype" w:cs="Times New Roman"/>
        </w:rPr>
        <w:t>el mismo sentido, el Código Financiero del Estado de México y Municipios, en su artículo 3° fracción XXXXII estipula lo siguiente:</w:t>
      </w:r>
    </w:p>
    <w:p w14:paraId="01A5D412" w14:textId="77777777" w:rsidR="003C1CB7" w:rsidRPr="00EC18F1" w:rsidRDefault="003C1CB7" w:rsidP="003C1CB7">
      <w:pPr>
        <w:pStyle w:val="Prrafodelista"/>
        <w:tabs>
          <w:tab w:val="left" w:pos="426"/>
        </w:tabs>
        <w:spacing w:before="240" w:line="360" w:lineRule="auto"/>
        <w:ind w:left="0" w:right="51"/>
        <w:jc w:val="both"/>
        <w:rPr>
          <w:rFonts w:ascii="Palatino Linotype" w:hAnsi="Palatino Linotype"/>
          <w:color w:val="000000" w:themeColor="text1"/>
        </w:rPr>
      </w:pPr>
    </w:p>
    <w:p w14:paraId="51C55BC7" w14:textId="77777777" w:rsidR="003C1CB7" w:rsidRPr="00EC18F1" w:rsidRDefault="003C1CB7" w:rsidP="003C1CB7">
      <w:pPr>
        <w:pStyle w:val="Prrafodelista"/>
        <w:spacing w:line="276" w:lineRule="auto"/>
        <w:ind w:left="567" w:right="567"/>
        <w:jc w:val="both"/>
        <w:rPr>
          <w:rFonts w:ascii="Palatino Linotype" w:eastAsia="MS Mincho" w:hAnsi="Palatino Linotype" w:cs="Times New Roman"/>
          <w:i/>
          <w:sz w:val="22"/>
        </w:rPr>
      </w:pPr>
      <w:r w:rsidRPr="00EC18F1">
        <w:rPr>
          <w:rFonts w:ascii="Palatino Linotype" w:eastAsia="MS Mincho" w:hAnsi="Palatino Linotype" w:cs="Times New Roman"/>
          <w:i/>
          <w:sz w:val="22"/>
        </w:rPr>
        <w:lastRenderedPageBreak/>
        <w:t>“</w:t>
      </w:r>
      <w:r w:rsidRPr="00EC18F1">
        <w:rPr>
          <w:rFonts w:ascii="Palatino Linotype" w:eastAsia="MS Mincho" w:hAnsi="Palatino Linotype" w:cs="Times New Roman"/>
          <w:b/>
          <w:i/>
          <w:sz w:val="22"/>
        </w:rPr>
        <w:t>Artículo 3.</w:t>
      </w:r>
      <w:r w:rsidRPr="00EC18F1">
        <w:rPr>
          <w:rFonts w:ascii="Palatino Linotype" w:eastAsia="MS Mincho" w:hAnsi="Palatino Linotype" w:cs="Times New Roman"/>
          <w:i/>
          <w:sz w:val="22"/>
        </w:rPr>
        <w:t xml:space="preserve"> </w:t>
      </w:r>
    </w:p>
    <w:p w14:paraId="1B5EC5B3" w14:textId="77777777" w:rsidR="003C1CB7" w:rsidRPr="00EC18F1" w:rsidRDefault="003C1CB7" w:rsidP="003C1CB7">
      <w:pPr>
        <w:pStyle w:val="Prrafodelista"/>
        <w:spacing w:line="276" w:lineRule="auto"/>
        <w:ind w:left="567" w:right="567"/>
        <w:jc w:val="both"/>
        <w:rPr>
          <w:rFonts w:ascii="Palatino Linotype" w:eastAsia="MS Mincho" w:hAnsi="Palatino Linotype" w:cs="Times New Roman"/>
          <w:i/>
          <w:sz w:val="22"/>
        </w:rPr>
      </w:pPr>
      <w:r w:rsidRPr="00EC18F1">
        <w:rPr>
          <w:rFonts w:ascii="Palatino Linotype" w:eastAsia="MS Mincho" w:hAnsi="Palatino Linotype" w:cs="Times New Roman"/>
          <w:i/>
          <w:sz w:val="22"/>
        </w:rPr>
        <w:t>(…)</w:t>
      </w:r>
    </w:p>
    <w:p w14:paraId="1DD33241" w14:textId="77777777" w:rsidR="003C1CB7" w:rsidRPr="00EC18F1" w:rsidRDefault="003C1CB7" w:rsidP="003C1CB7">
      <w:pPr>
        <w:pStyle w:val="Prrafodelista"/>
        <w:spacing w:line="276" w:lineRule="auto"/>
        <w:ind w:left="567" w:right="567"/>
        <w:jc w:val="both"/>
        <w:rPr>
          <w:rFonts w:ascii="Palatino Linotype" w:eastAsia="MS Mincho" w:hAnsi="Palatino Linotype" w:cs="Times New Roman"/>
          <w:i/>
          <w:sz w:val="22"/>
        </w:rPr>
      </w:pPr>
      <w:r w:rsidRPr="00EC18F1">
        <w:rPr>
          <w:rFonts w:ascii="Palatino Linotype" w:eastAsia="MS Mincho" w:hAnsi="Palatino Linotype" w:cs="Times New Roman"/>
          <w:b/>
          <w:i/>
          <w:sz w:val="22"/>
        </w:rPr>
        <w:t>XXXII. Remuneración:</w:t>
      </w:r>
      <w:r w:rsidRPr="00EC18F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A3BB35E" w14:textId="77777777" w:rsidR="003C1CB7" w:rsidRPr="00EC18F1" w:rsidRDefault="003C1CB7" w:rsidP="003C1CB7">
      <w:pPr>
        <w:pStyle w:val="Prrafodelista"/>
        <w:spacing w:line="276" w:lineRule="auto"/>
        <w:ind w:left="567" w:right="567"/>
        <w:jc w:val="both"/>
        <w:rPr>
          <w:rFonts w:ascii="Palatino Linotype" w:eastAsia="MS Mincho" w:hAnsi="Palatino Linotype" w:cs="Times New Roman"/>
          <w:i/>
          <w:sz w:val="22"/>
        </w:rPr>
      </w:pPr>
      <w:r w:rsidRPr="00EC18F1">
        <w:rPr>
          <w:rFonts w:ascii="Palatino Linotype" w:eastAsia="MS Mincho" w:hAnsi="Palatino Linotype" w:cs="Times New Roman"/>
          <w:i/>
          <w:sz w:val="22"/>
        </w:rPr>
        <w:t>(…)”</w:t>
      </w:r>
    </w:p>
    <w:p w14:paraId="6F5CE920"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A685182"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Ahora </w:t>
      </w:r>
      <w:r w:rsidRPr="00EC18F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057A0E7"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b/>
          <w:bCs/>
          <w:i/>
          <w:iCs/>
          <w:sz w:val="22"/>
        </w:rPr>
        <w:t>“ARTÍCULO 71.</w:t>
      </w:r>
      <w:r w:rsidRPr="00EC18F1">
        <w:rPr>
          <w:rFonts w:ascii="Palatino Linotype" w:hAnsi="Palatino Linotype" w:cs="Tahoma"/>
          <w:i/>
          <w:iCs/>
          <w:sz w:val="22"/>
        </w:rPr>
        <w:t xml:space="preserve"> </w:t>
      </w:r>
      <w:r w:rsidRPr="00EC18F1">
        <w:rPr>
          <w:rFonts w:ascii="Palatino Linotype" w:hAnsi="Palatino Linotype" w:cs="Tahoma"/>
          <w:b/>
          <w:bCs/>
          <w:i/>
          <w:iCs/>
          <w:sz w:val="22"/>
          <w:u w:val="double"/>
        </w:rPr>
        <w:t>El sueldo es la retribución que la institución pública debe pagar al servidor público por los servicios prestados</w:t>
      </w:r>
      <w:r w:rsidRPr="00EC18F1">
        <w:rPr>
          <w:rFonts w:ascii="Palatino Linotype" w:hAnsi="Palatino Linotype" w:cs="Tahoma"/>
          <w:i/>
          <w:iCs/>
          <w:sz w:val="22"/>
        </w:rPr>
        <w:t>.</w:t>
      </w:r>
      <w:r w:rsidRPr="00EC18F1">
        <w:rPr>
          <w:rFonts w:ascii="Palatino Linotype" w:hAnsi="Palatino Linotype" w:cs="Tahoma"/>
          <w:i/>
          <w:iCs/>
          <w:sz w:val="22"/>
        </w:rPr>
        <w:cr/>
      </w:r>
    </w:p>
    <w:p w14:paraId="2CC484E0"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p>
    <w:p w14:paraId="0A2A5FBE"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b/>
          <w:bCs/>
          <w:i/>
          <w:iCs/>
          <w:sz w:val="22"/>
        </w:rPr>
        <w:t>ARTÍCULO 220 K.-</w:t>
      </w:r>
      <w:r w:rsidRPr="00EC18F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16A7B1C0"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i/>
          <w:iCs/>
          <w:sz w:val="22"/>
        </w:rPr>
        <w:t>I. Contratos, Nombramientos o Formato Único de Movimientos de Personal, cuando no exista Convenio de condiciones generales de trabajo aplicable;</w:t>
      </w:r>
    </w:p>
    <w:p w14:paraId="3A5ACF4B" w14:textId="77777777" w:rsidR="003C1CB7" w:rsidRPr="00EC18F1" w:rsidRDefault="003C1CB7" w:rsidP="003C1CB7">
      <w:pPr>
        <w:tabs>
          <w:tab w:val="left" w:pos="4962"/>
        </w:tabs>
        <w:spacing w:line="276" w:lineRule="auto"/>
        <w:ind w:left="567" w:right="567"/>
        <w:jc w:val="both"/>
        <w:rPr>
          <w:rFonts w:ascii="Palatino Linotype" w:hAnsi="Palatino Linotype" w:cs="Tahoma"/>
          <w:b/>
          <w:i/>
          <w:iCs/>
          <w:sz w:val="22"/>
        </w:rPr>
      </w:pPr>
      <w:r w:rsidRPr="00EC18F1">
        <w:rPr>
          <w:rFonts w:ascii="Palatino Linotype" w:hAnsi="Palatino Linotype" w:cs="Tahoma"/>
          <w:b/>
          <w:i/>
          <w:iCs/>
          <w:sz w:val="22"/>
        </w:rPr>
        <w:t>II. Recibos de pagos de salarios o las constancias documentales del pago de salario cuando sea por depósito o mediante información electrónica;</w:t>
      </w:r>
    </w:p>
    <w:p w14:paraId="48CF4118"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i/>
          <w:iCs/>
          <w:sz w:val="22"/>
        </w:rPr>
        <w:t>III. Controles de asistencia o la información magnética o electrónica de asistencia de los servidores públicos;</w:t>
      </w:r>
    </w:p>
    <w:p w14:paraId="52010F2F"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EC18F1">
        <w:rPr>
          <w:rFonts w:ascii="Palatino Linotype" w:hAnsi="Palatino Linotype" w:cs="Tahoma"/>
          <w:i/>
          <w:iCs/>
          <w:sz w:val="22"/>
        </w:rPr>
        <w:t xml:space="preserve"> y</w:t>
      </w:r>
    </w:p>
    <w:p w14:paraId="0DB05345" w14:textId="77777777" w:rsidR="003C1CB7" w:rsidRPr="00EC18F1" w:rsidRDefault="003C1CB7" w:rsidP="003C1CB7">
      <w:pPr>
        <w:tabs>
          <w:tab w:val="left" w:pos="4962"/>
        </w:tabs>
        <w:spacing w:line="276" w:lineRule="auto"/>
        <w:ind w:left="567" w:right="567"/>
        <w:jc w:val="both"/>
        <w:rPr>
          <w:rFonts w:ascii="Palatino Linotype" w:hAnsi="Palatino Linotype" w:cs="Tahoma"/>
          <w:i/>
          <w:iCs/>
          <w:sz w:val="22"/>
        </w:rPr>
      </w:pPr>
      <w:r w:rsidRPr="00EC18F1">
        <w:rPr>
          <w:rFonts w:ascii="Palatino Linotype" w:hAnsi="Palatino Linotype" w:cs="Tahoma"/>
          <w:i/>
          <w:iCs/>
          <w:sz w:val="22"/>
        </w:rPr>
        <w:t>V. Los demás que señalen las leyes.</w:t>
      </w:r>
    </w:p>
    <w:p w14:paraId="407745B3" w14:textId="77777777" w:rsidR="003C1CB7" w:rsidRPr="00EC18F1" w:rsidRDefault="003C1CB7" w:rsidP="003C1CB7">
      <w:pPr>
        <w:tabs>
          <w:tab w:val="left" w:pos="8222"/>
          <w:tab w:val="left" w:pos="8789"/>
        </w:tabs>
        <w:spacing w:line="276" w:lineRule="auto"/>
        <w:ind w:left="567" w:right="567"/>
        <w:jc w:val="both"/>
        <w:rPr>
          <w:rFonts w:ascii="Palatino Linotype" w:hAnsi="Palatino Linotype"/>
          <w:bCs/>
          <w:i/>
          <w:iCs/>
          <w:sz w:val="22"/>
        </w:rPr>
      </w:pPr>
      <w:r w:rsidRPr="00EC18F1">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EC18F1">
        <w:rPr>
          <w:rFonts w:ascii="Palatino Linotype" w:hAnsi="Palatino Linotype"/>
          <w:b/>
          <w:bCs/>
          <w:i/>
          <w:iCs/>
          <w:sz w:val="22"/>
        </w:rPr>
        <w:t>II, III, IV durante el último año y un año después de que se extinga la relación laboral,</w:t>
      </w:r>
      <w:r w:rsidRPr="00EC18F1">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w:t>
      </w:r>
      <w:r w:rsidRPr="00EC18F1">
        <w:rPr>
          <w:rFonts w:ascii="Palatino Linotype" w:hAnsi="Palatino Linotype"/>
          <w:bCs/>
          <w:i/>
          <w:iCs/>
          <w:sz w:val="22"/>
        </w:rPr>
        <w:lastRenderedPageBreak/>
        <w:t>ciencia y las constancias expedidas por el encargado del área de personal de éstas, harán prueba plena.</w:t>
      </w:r>
    </w:p>
    <w:p w14:paraId="3AB9B061" w14:textId="77777777" w:rsidR="003C1CB7" w:rsidRPr="00EC18F1" w:rsidRDefault="003C1CB7" w:rsidP="003C1CB7">
      <w:pPr>
        <w:tabs>
          <w:tab w:val="left" w:pos="8222"/>
          <w:tab w:val="left" w:pos="8789"/>
        </w:tabs>
        <w:spacing w:line="276" w:lineRule="auto"/>
        <w:ind w:left="567" w:right="567"/>
        <w:jc w:val="both"/>
        <w:rPr>
          <w:rFonts w:ascii="Palatino Linotype" w:hAnsi="Palatino Linotype"/>
          <w:bCs/>
          <w:i/>
          <w:iCs/>
          <w:sz w:val="22"/>
        </w:rPr>
      </w:pPr>
      <w:r w:rsidRPr="00EC18F1">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00B0569A" w14:textId="77777777" w:rsidR="003C1CB7" w:rsidRPr="00EC18F1" w:rsidRDefault="003C1CB7" w:rsidP="003C1CB7">
      <w:pPr>
        <w:tabs>
          <w:tab w:val="left" w:pos="8222"/>
          <w:tab w:val="left" w:pos="8789"/>
        </w:tabs>
        <w:spacing w:line="276" w:lineRule="auto"/>
        <w:ind w:left="567" w:right="567"/>
        <w:jc w:val="both"/>
        <w:rPr>
          <w:rFonts w:ascii="Palatino Linotype" w:hAnsi="Palatino Linotype"/>
          <w:bCs/>
          <w:iCs/>
          <w:sz w:val="22"/>
        </w:rPr>
      </w:pPr>
      <w:r w:rsidRPr="00EC18F1">
        <w:rPr>
          <w:rFonts w:ascii="Palatino Linotype" w:hAnsi="Palatino Linotype"/>
          <w:bCs/>
          <w:iCs/>
          <w:sz w:val="22"/>
        </w:rPr>
        <w:t>(Énfasis añadido)</w:t>
      </w:r>
    </w:p>
    <w:p w14:paraId="07F711DD"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2C74FC71"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De </w:t>
      </w:r>
      <w:r w:rsidRPr="00EC18F1">
        <w:rPr>
          <w:rFonts w:ascii="Palatino Linotype" w:eastAsia="MS Gothic" w:hAnsi="Palatino Linotype" w:cs="Times New Roman"/>
        </w:rPr>
        <w:t xml:space="preserve">lo anterior, se advierte que </w:t>
      </w:r>
      <w:r w:rsidRPr="00EC18F1">
        <w:rPr>
          <w:rFonts w:ascii="Palatino Linotype" w:eastAsia="MS Gothic" w:hAnsi="Palatino Linotype" w:cs="Times New Roman"/>
          <w:b/>
        </w:rPr>
        <w:t>toda institución pública o dependencia del Estado de México</w:t>
      </w:r>
      <w:r w:rsidRPr="00EC18F1">
        <w:rPr>
          <w:rFonts w:ascii="Palatino Linotype" w:eastAsia="MS Gothic" w:hAnsi="Palatino Linotype" w:cs="Times New Roman"/>
        </w:rPr>
        <w:t xml:space="preserve"> </w:t>
      </w:r>
      <w:r w:rsidRPr="00EC18F1">
        <w:rPr>
          <w:rFonts w:ascii="Palatino Linotype" w:eastAsia="MS Gothic" w:hAnsi="Palatino Linotype" w:cs="Times New Roman"/>
          <w:b/>
        </w:rPr>
        <w:t xml:space="preserve">debe conservar las constancias documentales del </w:t>
      </w:r>
      <w:r w:rsidRPr="00EC18F1">
        <w:rPr>
          <w:rFonts w:ascii="Palatino Linotype" w:eastAsia="MS Gothic" w:hAnsi="Palatino Linotype" w:cs="Times New Roman"/>
        </w:rPr>
        <w:t xml:space="preserve">pago de salario, </w:t>
      </w:r>
      <w:r w:rsidRPr="00EC18F1">
        <w:rPr>
          <w:rFonts w:ascii="Palatino Linotype" w:eastAsia="MS Gothic" w:hAnsi="Palatino Linotype" w:cs="Times New Roman"/>
          <w:b/>
          <w:u w:val="double"/>
        </w:rPr>
        <w:t>prima vacacional, aguinaldo y demás prestaciones legales</w:t>
      </w:r>
      <w:r w:rsidRPr="00EC18F1">
        <w:rPr>
          <w:rFonts w:ascii="Palatino Linotype" w:eastAsia="MS Gothic" w:hAnsi="Palatino Linotype" w:cs="Times New Roman"/>
        </w:rPr>
        <w:t xml:space="preserve">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1F054006"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2775F485"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 </w:t>
      </w:r>
      <w:r w:rsidRPr="00EC18F1">
        <w:rPr>
          <w:rFonts w:ascii="Palatino Linotype" w:eastAsia="MS Gothic" w:hAnsi="Palatino Linotype" w:cs="Times New Roman"/>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EC18F1">
        <w:rPr>
          <w:rFonts w:ascii="Palatino Linotype" w:eastAsia="MS Gothic" w:hAnsi="Palatino Linotype" w:cs="Times New Roman"/>
          <w:u w:val="single"/>
        </w:rPr>
        <w:t>“recibos o comprobantes de pago”,</w:t>
      </w:r>
      <w:r w:rsidRPr="00EC18F1">
        <w:rPr>
          <w:rFonts w:ascii="Palatino Linotype" w:eastAsia="MS Gothic" w:hAnsi="Palatino Linotype" w:cs="Times New Roman"/>
        </w:rPr>
        <w:t xml:space="preserve"> los cuales constituyen un instrumento mediante el cual el</w:t>
      </w:r>
      <w:r w:rsidRPr="00EC18F1">
        <w:rPr>
          <w:rFonts w:ascii="Palatino Linotype" w:eastAsia="MS Gothic" w:hAnsi="Palatino Linotype" w:cs="Times New Roman"/>
          <w:b/>
          <w:bCs/>
        </w:rPr>
        <w:t xml:space="preserve"> SUJETO OBLIGADO </w:t>
      </w:r>
      <w:r w:rsidRPr="00EC18F1">
        <w:rPr>
          <w:rFonts w:ascii="Palatino Linotype" w:eastAsia="MS Gothic" w:hAnsi="Palatino Linotype" w:cs="Times New Roman"/>
        </w:rPr>
        <w:t>acredita las remuneraciones al personal.</w:t>
      </w:r>
    </w:p>
    <w:p w14:paraId="73325556"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6D00C395"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 </w:t>
      </w:r>
      <w:r w:rsidRPr="00EC18F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EC18F1">
        <w:rPr>
          <w:rFonts w:ascii="Palatino Linotype" w:eastAsia="MS Mincho" w:hAnsi="Palatino Linotype" w:cs="Times New Roman"/>
          <w:b/>
          <w:bCs/>
        </w:rPr>
        <w:t>públicas.</w:t>
      </w:r>
    </w:p>
    <w:p w14:paraId="515C0C9C" w14:textId="77777777" w:rsidR="003C1CB7" w:rsidRPr="00EC18F1" w:rsidRDefault="003C1CB7" w:rsidP="003C1CB7">
      <w:pPr>
        <w:pStyle w:val="Prrafodelista"/>
        <w:rPr>
          <w:rFonts w:ascii="Palatino Linotype" w:hAnsi="Palatino Linotype"/>
          <w:color w:val="000000" w:themeColor="text1"/>
        </w:rPr>
      </w:pPr>
    </w:p>
    <w:p w14:paraId="535CA2A6"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Esto </w:t>
      </w:r>
      <w:r w:rsidRPr="00EC18F1">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7F17304" w14:textId="77777777" w:rsidR="003C1CB7" w:rsidRPr="00EC18F1" w:rsidRDefault="003C1CB7" w:rsidP="003C1CB7">
      <w:pPr>
        <w:pStyle w:val="Prrafodelista"/>
        <w:spacing w:line="276" w:lineRule="auto"/>
        <w:ind w:left="567" w:right="567"/>
        <w:jc w:val="both"/>
        <w:rPr>
          <w:rFonts w:ascii="Palatino Linotype" w:eastAsia="Times New Roman" w:hAnsi="Palatino Linotype" w:cs="Arial"/>
          <w:b/>
          <w:i/>
          <w:iCs/>
          <w:sz w:val="22"/>
          <w:lang w:val="es-ES"/>
        </w:rPr>
      </w:pPr>
      <w:r w:rsidRPr="00EC18F1">
        <w:rPr>
          <w:rFonts w:ascii="Palatino Linotype" w:eastAsia="Times New Roman" w:hAnsi="Palatino Linotype" w:cs="Arial"/>
          <w:b/>
          <w:i/>
          <w:iCs/>
          <w:sz w:val="22"/>
          <w:lang w:val="es-ES"/>
        </w:rPr>
        <w:t>“Artículo 61.</w:t>
      </w:r>
    </w:p>
    <w:p w14:paraId="14D64503" w14:textId="77777777" w:rsidR="003C1CB7" w:rsidRPr="00EC18F1" w:rsidRDefault="003C1CB7" w:rsidP="003C1CB7">
      <w:pPr>
        <w:pStyle w:val="Prrafodelista"/>
        <w:spacing w:line="276" w:lineRule="auto"/>
        <w:ind w:left="567" w:right="567"/>
        <w:jc w:val="both"/>
        <w:rPr>
          <w:rFonts w:ascii="Palatino Linotype" w:eastAsia="Times New Roman" w:hAnsi="Palatino Linotype" w:cs="Arial"/>
          <w:iCs/>
          <w:sz w:val="22"/>
          <w:lang w:val="es-ES"/>
        </w:rPr>
      </w:pPr>
      <w:r w:rsidRPr="00EC18F1">
        <w:rPr>
          <w:rFonts w:ascii="Palatino Linotype" w:eastAsia="Times New Roman" w:hAnsi="Palatino Linotype" w:cs="Arial"/>
          <w:iCs/>
          <w:sz w:val="22"/>
          <w:lang w:val="es-ES"/>
        </w:rPr>
        <w:t>(…)</w:t>
      </w:r>
    </w:p>
    <w:p w14:paraId="7B222E6C" w14:textId="77777777" w:rsidR="003C1CB7" w:rsidRPr="00EC18F1" w:rsidRDefault="003C1CB7" w:rsidP="003C1CB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C18F1">
        <w:rPr>
          <w:rFonts w:ascii="Palatino Linotype" w:hAnsi="Palatino Linotype" w:cs="Bookman Old Style"/>
          <w:b/>
          <w:i/>
          <w:iCs/>
          <w:sz w:val="22"/>
        </w:rPr>
        <w:t>XXXIII.</w:t>
      </w:r>
      <w:r w:rsidRPr="00EC18F1">
        <w:rPr>
          <w:rFonts w:ascii="Palatino Linotype" w:hAnsi="Palatino Linotype" w:cs="Bookman Old Style"/>
          <w:i/>
          <w:iCs/>
          <w:sz w:val="22"/>
        </w:rPr>
        <w:t xml:space="preserve"> Revisar, por conducto del </w:t>
      </w:r>
      <w:r w:rsidRPr="00EC18F1">
        <w:rPr>
          <w:rFonts w:ascii="Palatino Linotype" w:hAnsi="Palatino Linotype" w:cs="Bookman Old Style"/>
          <w:b/>
          <w:i/>
          <w:iCs/>
          <w:sz w:val="22"/>
        </w:rPr>
        <w:t>Órgano Superior de Fiscalización del Estado de México</w:t>
      </w:r>
      <w:r w:rsidRPr="00EC18F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95BD720" w14:textId="77777777" w:rsidR="003C1CB7" w:rsidRPr="00EC18F1" w:rsidRDefault="003C1CB7" w:rsidP="003C1CB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C18F1">
        <w:rPr>
          <w:rFonts w:ascii="Palatino Linotype" w:hAnsi="Palatino Linotype" w:cs="Bookman Old Style"/>
          <w:i/>
          <w:iCs/>
          <w:sz w:val="22"/>
        </w:rPr>
        <w:t>(…)</w:t>
      </w:r>
    </w:p>
    <w:p w14:paraId="0358C411" w14:textId="77777777" w:rsidR="003C1CB7" w:rsidRPr="00EC18F1" w:rsidRDefault="003C1CB7" w:rsidP="003C1CB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EC18F1">
        <w:rPr>
          <w:rFonts w:ascii="Palatino Linotype" w:hAnsi="Palatino Linotype" w:cs="Bookman Old Style"/>
          <w:b/>
          <w:i/>
          <w:iCs/>
          <w:sz w:val="22"/>
        </w:rPr>
        <w:t>XXXIV.</w:t>
      </w:r>
      <w:r w:rsidRPr="00EC18F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C18F1">
        <w:rPr>
          <w:rFonts w:ascii="Palatino Linotype" w:hAnsi="Palatino Linotype" w:cs="Bookman Old Style"/>
          <w:b/>
          <w:i/>
          <w:iCs/>
          <w:sz w:val="22"/>
        </w:rPr>
        <w:t>Órgano Superior de Fiscalización</w:t>
      </w:r>
      <w:r w:rsidRPr="00EC18F1">
        <w:rPr>
          <w:rFonts w:ascii="Palatino Linotype" w:hAnsi="Palatino Linotype" w:cs="Bookman Old Style"/>
          <w:i/>
          <w:iCs/>
          <w:sz w:val="22"/>
        </w:rPr>
        <w:t>.”</w:t>
      </w:r>
    </w:p>
    <w:p w14:paraId="7F6660B1" w14:textId="77777777" w:rsidR="003C1CB7" w:rsidRPr="00EC18F1" w:rsidRDefault="003C1CB7" w:rsidP="003C1CB7">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EC18F1">
        <w:rPr>
          <w:rFonts w:ascii="Palatino Linotype" w:hAnsi="Palatino Linotype" w:cs="Bookman Old Style"/>
          <w:iCs/>
          <w:sz w:val="22"/>
        </w:rPr>
        <w:t>(Énfasis añadido)</w:t>
      </w:r>
    </w:p>
    <w:p w14:paraId="15986010"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11A9FFBC"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Correlativo </w:t>
      </w:r>
      <w:r w:rsidRPr="00EC18F1">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EC18F1">
        <w:rPr>
          <w:rFonts w:ascii="Palatino Linotype" w:eastAsia="MS Mincho" w:hAnsi="Palatino Linotype" w:cs="Times New Roman"/>
          <w:b/>
        </w:rPr>
        <w:t>SUJETO OBLIGADO</w:t>
      </w:r>
      <w:r w:rsidRPr="00EC18F1">
        <w:rPr>
          <w:rFonts w:ascii="Palatino Linotype" w:eastAsia="MS Mincho" w:hAnsi="Palatino Linotype" w:cs="Times New Roman"/>
        </w:rPr>
        <w:t xml:space="preserve"> se halla reconocido como un Sujeto de Fiscalización con base en los artículos 2, fracción VII, y 4, fracción IV:</w:t>
      </w:r>
    </w:p>
    <w:p w14:paraId="2D327C93"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i/>
          <w:sz w:val="22"/>
        </w:rPr>
        <w:t>“</w:t>
      </w:r>
      <w:r w:rsidRPr="00EC18F1">
        <w:rPr>
          <w:rFonts w:ascii="Palatino Linotype" w:hAnsi="Palatino Linotype"/>
          <w:b/>
          <w:i/>
          <w:sz w:val="22"/>
        </w:rPr>
        <w:t>Artículo 2.</w:t>
      </w:r>
      <w:r w:rsidRPr="00EC18F1">
        <w:rPr>
          <w:rFonts w:ascii="Palatino Linotype" w:hAnsi="Palatino Linotype"/>
          <w:i/>
          <w:sz w:val="22"/>
        </w:rPr>
        <w:t xml:space="preserve"> Para los efectos de la presente Ley, se entenderá por:</w:t>
      </w:r>
    </w:p>
    <w:p w14:paraId="04E1DB7D"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i/>
          <w:sz w:val="22"/>
        </w:rPr>
        <w:t>(…)</w:t>
      </w:r>
    </w:p>
    <w:p w14:paraId="67ADF3D8"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b/>
          <w:i/>
          <w:sz w:val="22"/>
        </w:rPr>
        <w:t xml:space="preserve">II. Municipios: </w:t>
      </w:r>
      <w:r w:rsidRPr="00EC18F1">
        <w:rPr>
          <w:rFonts w:ascii="Palatino Linotype" w:hAnsi="Palatino Linotype"/>
          <w:i/>
          <w:sz w:val="22"/>
        </w:rPr>
        <w:t xml:space="preserve">A los Municipios del Estado; </w:t>
      </w:r>
    </w:p>
    <w:p w14:paraId="17709078"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i/>
          <w:sz w:val="22"/>
        </w:rPr>
        <w:t>(…)”</w:t>
      </w:r>
    </w:p>
    <w:p w14:paraId="54630DC1" w14:textId="77777777" w:rsidR="003C1CB7" w:rsidRPr="00EC18F1" w:rsidRDefault="003C1CB7" w:rsidP="003C1CB7">
      <w:pPr>
        <w:spacing w:line="276" w:lineRule="auto"/>
        <w:ind w:left="567" w:right="567"/>
        <w:contextualSpacing/>
        <w:jc w:val="both"/>
        <w:rPr>
          <w:rFonts w:ascii="Palatino Linotype" w:hAnsi="Palatino Linotype"/>
          <w:i/>
          <w:sz w:val="22"/>
        </w:rPr>
      </w:pPr>
    </w:p>
    <w:p w14:paraId="77138DDC"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bCs/>
          <w:i/>
          <w:sz w:val="22"/>
        </w:rPr>
        <w:t>“</w:t>
      </w:r>
      <w:r w:rsidRPr="00EC18F1">
        <w:rPr>
          <w:rFonts w:ascii="Palatino Linotype" w:hAnsi="Palatino Linotype"/>
          <w:b/>
          <w:i/>
          <w:sz w:val="22"/>
        </w:rPr>
        <w:t>Artículo 4.-</w:t>
      </w:r>
      <w:r w:rsidRPr="00EC18F1">
        <w:rPr>
          <w:rFonts w:ascii="Palatino Linotype" w:hAnsi="Palatino Linotype"/>
          <w:i/>
          <w:sz w:val="22"/>
        </w:rPr>
        <w:t xml:space="preserve"> Son sujetos de fiscalización:</w:t>
      </w:r>
    </w:p>
    <w:p w14:paraId="44362E94"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i/>
          <w:sz w:val="22"/>
        </w:rPr>
        <w:lastRenderedPageBreak/>
        <w:t>(…)</w:t>
      </w:r>
    </w:p>
    <w:p w14:paraId="6DA5AEC4"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b/>
          <w:i/>
          <w:sz w:val="22"/>
        </w:rPr>
        <w:t xml:space="preserve">II. </w:t>
      </w:r>
      <w:r w:rsidRPr="00EC18F1">
        <w:rPr>
          <w:rFonts w:ascii="Palatino Linotype" w:hAnsi="Palatino Linotype"/>
          <w:i/>
          <w:sz w:val="22"/>
        </w:rPr>
        <w:t>Los municipios del Estado de México;</w:t>
      </w:r>
      <w:r w:rsidRPr="00EC18F1">
        <w:rPr>
          <w:rFonts w:ascii="Palatino Linotype" w:hAnsi="Palatino Linotype"/>
          <w:b/>
          <w:i/>
          <w:sz w:val="22"/>
        </w:rPr>
        <w:t xml:space="preserve"> </w:t>
      </w:r>
    </w:p>
    <w:p w14:paraId="082E8E97" w14:textId="77777777" w:rsidR="003C1CB7" w:rsidRPr="00EC18F1" w:rsidRDefault="003C1CB7" w:rsidP="003C1CB7">
      <w:pPr>
        <w:spacing w:line="276" w:lineRule="auto"/>
        <w:ind w:left="567" w:right="567"/>
        <w:contextualSpacing/>
        <w:jc w:val="both"/>
        <w:rPr>
          <w:rFonts w:ascii="Palatino Linotype" w:hAnsi="Palatino Linotype"/>
          <w:i/>
          <w:sz w:val="22"/>
        </w:rPr>
      </w:pPr>
      <w:r w:rsidRPr="00EC18F1">
        <w:rPr>
          <w:rFonts w:ascii="Palatino Linotype" w:hAnsi="Palatino Linotype"/>
          <w:i/>
          <w:sz w:val="22"/>
        </w:rPr>
        <w:t>(…)”</w:t>
      </w:r>
    </w:p>
    <w:p w14:paraId="7D20F438"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7445FF7A"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Establecido </w:t>
      </w:r>
      <w:r w:rsidRPr="00EC18F1">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EC18F1">
        <w:rPr>
          <w:rFonts w:ascii="Palatino Linotype" w:eastAsia="MS Mincho" w:hAnsi="Palatino Linotype" w:cs="Times New Roman"/>
          <w:b/>
          <w:bCs/>
        </w:rPr>
        <w:t>“Políticas para la Integración del Informe Trimestral de los Sujetos de Fiscalización Municipales”</w:t>
      </w:r>
      <w:r w:rsidRPr="00EC18F1">
        <w:rPr>
          <w:rFonts w:ascii="Palatino Linotype" w:eastAsia="MS Mincho" w:hAnsi="Palatino Linotype" w:cs="Times New Roman"/>
        </w:rPr>
        <w:t>, cuyo objetivo es establecer las especificaciones necesarias para que las entidades fiscales elaboren y presentes los referidos informes.</w:t>
      </w:r>
    </w:p>
    <w:p w14:paraId="3C66E454"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525251D7"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Estas políticas </w:t>
      </w:r>
      <w:r w:rsidRPr="00EC18F1">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3B1A9174"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054ADBA5"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La </w:t>
      </w:r>
      <w:r w:rsidRPr="00EC18F1">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23D90DE1"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sz w:val="22"/>
        </w:rPr>
      </w:pPr>
      <w:r w:rsidRPr="00EC18F1">
        <w:rPr>
          <w:rFonts w:ascii="Palatino Linotype" w:eastAsia="MS Mincho" w:hAnsi="Palatino Linotype" w:cs="Times New Roman"/>
          <w:sz w:val="22"/>
        </w:rPr>
        <w:t>Información impresa; e</w:t>
      </w:r>
    </w:p>
    <w:p w14:paraId="58F62869"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eastAsia="MS Mincho" w:hAnsi="Palatino Linotype" w:cs="Times New Roman"/>
          <w:sz w:val="22"/>
        </w:rPr>
        <w:t>Información en medio de almacenamiento electrónico.</w:t>
      </w:r>
    </w:p>
    <w:p w14:paraId="76791C68"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1F43C0F0"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Por </w:t>
      </w:r>
      <w:r w:rsidRPr="00EC18F1">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054D741C"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EC18F1">
        <w:rPr>
          <w:rFonts w:ascii="Palatino Linotype" w:hAnsi="Palatino Linotype" w:cs="Arial"/>
          <w:b/>
          <w:color w:val="000000" w:themeColor="text1"/>
          <w:sz w:val="22"/>
        </w:rPr>
        <w:t xml:space="preserve">Módulo 1: </w:t>
      </w:r>
      <w:r w:rsidRPr="00EC18F1">
        <w:rPr>
          <w:rFonts w:ascii="Palatino Linotype" w:hAnsi="Palatino Linotype" w:cs="Arial"/>
          <w:color w:val="000000" w:themeColor="text1"/>
          <w:sz w:val="22"/>
        </w:rPr>
        <w:t>Información contable y financiera;</w:t>
      </w:r>
    </w:p>
    <w:p w14:paraId="076BFD23"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EC18F1">
        <w:rPr>
          <w:rFonts w:ascii="Palatino Linotype" w:hAnsi="Palatino Linotype" w:cs="Arial"/>
          <w:b/>
          <w:color w:val="000000" w:themeColor="text1"/>
          <w:sz w:val="22"/>
        </w:rPr>
        <w:t>Módulo 2:</w:t>
      </w:r>
      <w:r w:rsidRPr="00EC18F1">
        <w:rPr>
          <w:rFonts w:ascii="Palatino Linotype" w:hAnsi="Palatino Linotype" w:cs="Arial"/>
          <w:color w:val="000000" w:themeColor="text1"/>
          <w:sz w:val="22"/>
        </w:rPr>
        <w:t xml:space="preserve"> Información presupuestaria;</w:t>
      </w:r>
    </w:p>
    <w:p w14:paraId="54DAEC93"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EC18F1">
        <w:rPr>
          <w:rFonts w:ascii="Palatino Linotype" w:hAnsi="Palatino Linotype" w:cs="Arial"/>
          <w:b/>
          <w:color w:val="000000" w:themeColor="text1"/>
          <w:sz w:val="22"/>
        </w:rPr>
        <w:t>Módulo 3:</w:t>
      </w:r>
      <w:r w:rsidRPr="00EC18F1">
        <w:rPr>
          <w:rFonts w:ascii="Palatino Linotype" w:hAnsi="Palatino Linotype" w:cs="Arial"/>
          <w:color w:val="000000" w:themeColor="text1"/>
          <w:sz w:val="22"/>
        </w:rPr>
        <w:t xml:space="preserve"> Información programática; y</w:t>
      </w:r>
    </w:p>
    <w:p w14:paraId="6DB29A77" w14:textId="77777777" w:rsidR="003C1CB7" w:rsidRPr="00EC18F1" w:rsidRDefault="003C1CB7" w:rsidP="003C1C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b/>
          <w:color w:val="000000" w:themeColor="text1"/>
          <w:sz w:val="22"/>
        </w:rPr>
        <w:lastRenderedPageBreak/>
        <w:t>Módulo 4:</w:t>
      </w:r>
      <w:r w:rsidRPr="00EC18F1">
        <w:rPr>
          <w:rFonts w:ascii="Palatino Linotype" w:hAnsi="Palatino Linotype" w:cs="Arial"/>
          <w:color w:val="000000" w:themeColor="text1"/>
          <w:sz w:val="22"/>
        </w:rPr>
        <w:t xml:space="preserve"> Información administrativa.</w:t>
      </w:r>
    </w:p>
    <w:p w14:paraId="77DCC9FA"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6C3D7AAC"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Siendo de especial interés, para el presente asunto, el contenido del Módulo 4, sobre ‘Información Administrativa’; la cual, de acuerdo con las </w:t>
      </w:r>
      <w:r w:rsidRPr="00EC18F1">
        <w:rPr>
          <w:rFonts w:ascii="Palatino Linotype" w:eastAsia="MS Mincho" w:hAnsi="Palatino Linotype" w:cs="Times New Roman"/>
          <w:b/>
          <w:bCs/>
        </w:rPr>
        <w:t>“Políticas para la Integración del Informe Trimestral de los Sujetos de Fiscalización Municipales”</w:t>
      </w:r>
      <w:r w:rsidRPr="00EC18F1">
        <w:rPr>
          <w:rFonts w:ascii="Palatino Linotype" w:eastAsia="MS Mincho" w:hAnsi="Palatino Linotype" w:cs="Times New Roman"/>
        </w:rPr>
        <w:t>, se compondrá de los siguientes documentos:</w:t>
      </w:r>
    </w:p>
    <w:p w14:paraId="0D980642"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1C34C980" w14:textId="77777777" w:rsidR="003C1CB7" w:rsidRPr="00EC18F1" w:rsidRDefault="003C1CB7" w:rsidP="003C1CB7">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noProof/>
        </w:rPr>
        <w:object w:dxaOrig="5730" w:dyaOrig="4575" w14:anchorId="72985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9.2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5" DrawAspect="Content" ObjectID="_1771777837" r:id="rId17"/>
        </w:object>
      </w:r>
    </w:p>
    <w:p w14:paraId="3022FDD5"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49708F0C"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 lo que corresponde al Submódulo de ‘Nómina y Comprobantes Fiscales’, se advierte que el </w:t>
      </w:r>
      <w:r w:rsidRPr="00EC18F1">
        <w:rPr>
          <w:rFonts w:ascii="Palatino Linotype" w:hAnsi="Palatino Linotype"/>
          <w:b/>
          <w:bCs/>
          <w:color w:val="000000" w:themeColor="text1"/>
        </w:rPr>
        <w:t>SUJETO OBLIGADO</w:t>
      </w:r>
      <w:r w:rsidRPr="00EC18F1">
        <w:rPr>
          <w:rFonts w:ascii="Palatino Linotype" w:hAnsi="Palatino Linotype"/>
          <w:color w:val="000000" w:themeColor="text1"/>
        </w:rPr>
        <w:t xml:space="preserve"> deberá integrar, en formato </w:t>
      </w:r>
      <w:r w:rsidRPr="00EC18F1">
        <w:rPr>
          <w:rFonts w:ascii="Palatino Linotype" w:hAnsi="Palatino Linotype"/>
          <w:i/>
          <w:iCs/>
          <w:color w:val="000000" w:themeColor="text1"/>
        </w:rPr>
        <w:t>.pdf</w:t>
      </w:r>
      <w:r w:rsidRPr="00EC18F1">
        <w:rPr>
          <w:rFonts w:ascii="Palatino Linotype" w:hAnsi="Palatino Linotype"/>
          <w:color w:val="000000" w:themeColor="text1"/>
        </w:rPr>
        <w:t xml:space="preserve">, </w:t>
      </w:r>
      <w:r w:rsidRPr="00EC18F1">
        <w:rPr>
          <w:rFonts w:ascii="Palatino Linotype" w:hAnsi="Palatino Linotype"/>
          <w:b/>
          <w:bCs/>
          <w:color w:val="000000" w:themeColor="text1"/>
        </w:rPr>
        <w:t>y de forma quincenal</w:t>
      </w:r>
      <w:r w:rsidRPr="00EC18F1">
        <w:rPr>
          <w:rFonts w:ascii="Palatino Linotype" w:hAnsi="Palatino Linotype"/>
          <w:color w:val="000000" w:themeColor="text1"/>
        </w:rPr>
        <w:t xml:space="preserve">, el documento titulado </w:t>
      </w:r>
      <w:r w:rsidRPr="00EC18F1">
        <w:rPr>
          <w:rFonts w:ascii="Palatino Linotype" w:hAnsi="Palatino Linotype"/>
          <w:b/>
          <w:bCs/>
          <w:color w:val="000000" w:themeColor="text1"/>
          <w:u w:val="single"/>
        </w:rPr>
        <w:t>Conciliación de Nómina Mensual</w:t>
      </w:r>
      <w:r w:rsidRPr="00EC18F1">
        <w:rPr>
          <w:rFonts w:ascii="Palatino Linotype" w:hAnsi="Palatino Linotype"/>
          <w:color w:val="000000" w:themeColor="text1"/>
          <w:u w:val="single"/>
        </w:rPr>
        <w:t>;</w:t>
      </w:r>
      <w:r w:rsidRPr="00EC18F1">
        <w:rPr>
          <w:rFonts w:ascii="Palatino Linotype" w:hAnsi="Palatino Linotype"/>
          <w:color w:val="000000" w:themeColor="text1"/>
        </w:rPr>
        <w:t xml:space="preserve"> tal como lo establece el mapa de integración del Submódulo en comento:</w:t>
      </w:r>
    </w:p>
    <w:p w14:paraId="7E2CA1D0"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11489C54" w14:textId="77777777" w:rsidR="003C1CB7" w:rsidRPr="00EC18F1" w:rsidRDefault="003C1CB7" w:rsidP="003C1CB7">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noProof/>
        </w:rPr>
        <w:object w:dxaOrig="12630" w:dyaOrig="3705" w14:anchorId="599FA160">
          <v:shape id="_x0000_i1026" type="#_x0000_t75" alt="" style="width:382.55pt;height:110.8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6" DrawAspect="Content" ObjectID="_1771777838" r:id="rId19"/>
        </w:object>
      </w:r>
    </w:p>
    <w:p w14:paraId="29A20E6B"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490FF8C9" w14:textId="77777777" w:rsidR="003C1CB7" w:rsidRPr="00EC18F1" w:rsidRDefault="003C1CB7" w:rsidP="003C1CB7">
      <w:pPr>
        <w:numPr>
          <w:ilvl w:val="0"/>
          <w:numId w:val="1"/>
        </w:numPr>
        <w:spacing w:line="360" w:lineRule="auto"/>
        <w:ind w:right="49"/>
        <w:contextualSpacing/>
        <w:jc w:val="both"/>
        <w:rPr>
          <w:rFonts w:ascii="Palatino Linotype" w:hAnsi="Palatino Linotype" w:cs="Arial"/>
          <w:color w:val="000000"/>
          <w:lang w:val="es-ES_tradnl"/>
        </w:rPr>
      </w:pPr>
      <w:r w:rsidRPr="00EC18F1">
        <w:rPr>
          <w:rFonts w:ascii="Palatino Linotype" w:hAnsi="Palatino Linotype"/>
          <w:color w:val="000000" w:themeColor="text1"/>
        </w:rPr>
        <w:t xml:space="preserve">Al respecto, conviene referir que la </w:t>
      </w:r>
      <w:r w:rsidRPr="00EC18F1">
        <w:rPr>
          <w:rFonts w:ascii="Palatino Linotype" w:hAnsi="Palatino Linotype"/>
          <w:b/>
          <w:bCs/>
          <w:color w:val="000000" w:themeColor="text1"/>
        </w:rPr>
        <w:t>Conciliación de Nómina Mensual es un documento en el que se detalla</w:t>
      </w:r>
      <w:r w:rsidRPr="00EC18F1">
        <w:rPr>
          <w:rFonts w:ascii="Palatino Linotype" w:hAnsi="Palatino Linotype"/>
          <w:color w:val="000000" w:themeColor="text1"/>
        </w:rPr>
        <w:t xml:space="preserve">, entre otros, el nombre, puesto funcional, área de adscripción, categoría, así como </w:t>
      </w:r>
      <w:r w:rsidRPr="00EC18F1">
        <w:rPr>
          <w:rFonts w:ascii="Palatino Linotype" w:hAnsi="Palatino Linotype"/>
          <w:b/>
          <w:bCs/>
          <w:color w:val="000000" w:themeColor="text1"/>
        </w:rPr>
        <w:t>todas las percepciones y deducciones que recibe cada servidor público que labora en la entidad</w:t>
      </w:r>
      <w:r w:rsidRPr="00EC18F1">
        <w:rPr>
          <w:rStyle w:val="Refdenotaalpie"/>
          <w:b/>
          <w:bCs/>
          <w:color w:val="000000" w:themeColor="text1"/>
        </w:rPr>
        <w:footnoteReference w:id="12"/>
      </w:r>
      <w:r w:rsidRPr="00EC18F1">
        <w:rPr>
          <w:rFonts w:ascii="Palatino Linotype" w:hAnsi="Palatino Linotype"/>
          <w:color w:val="000000" w:themeColor="text1"/>
        </w:rPr>
        <w:t xml:space="preserve">. </w:t>
      </w:r>
    </w:p>
    <w:p w14:paraId="04C80FAA" w14:textId="77777777" w:rsidR="003C1CB7" w:rsidRPr="00EC18F1" w:rsidRDefault="003C1CB7" w:rsidP="003C1CB7">
      <w:pPr>
        <w:spacing w:line="360" w:lineRule="auto"/>
        <w:ind w:right="49"/>
        <w:contextualSpacing/>
        <w:jc w:val="both"/>
        <w:rPr>
          <w:rFonts w:ascii="Palatino Linotype" w:hAnsi="Palatino Linotype" w:cs="Arial"/>
          <w:color w:val="000000"/>
          <w:lang w:val="es-ES_tradnl"/>
        </w:rPr>
      </w:pPr>
    </w:p>
    <w:p w14:paraId="0A0D9BAB" w14:textId="77777777"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eastAsia="Calibri" w:hAnsi="Palatino Linotype"/>
          <w:lang w:val="es-ES"/>
        </w:rPr>
        <w:t xml:space="preserve">Aunado a </w:t>
      </w:r>
      <w:r w:rsidRPr="00EC18F1">
        <w:rPr>
          <w:rFonts w:ascii="Palatino Linotype" w:hAnsi="Palatino Linotype"/>
          <w:color w:val="000000" w:themeColor="text1"/>
        </w:rPr>
        <w:t xml:space="preserve">lo anterior, las </w:t>
      </w:r>
      <w:r w:rsidRPr="00EC18F1">
        <w:rPr>
          <w:rFonts w:ascii="Palatino Linotype" w:hAnsi="Palatino Linotype"/>
          <w:b/>
          <w:bCs/>
          <w:color w:val="000000" w:themeColor="text1"/>
        </w:rPr>
        <w:t>Políticas para la Integración del Informe Trimestral de los Sujetos de Fiscalización Municipales</w:t>
      </w:r>
      <w:r w:rsidRPr="00EC18F1">
        <w:rPr>
          <w:rFonts w:ascii="Palatino Linotype" w:hAnsi="Palatino Linotype"/>
          <w:color w:val="000000" w:themeColor="text1"/>
        </w:rPr>
        <w:t>, que elabora el Órgano Superior de Fiscalización del Estado de México, refieren que el formato en cuestión contemplará un total de 26 elementos, a saber:</w:t>
      </w:r>
    </w:p>
    <w:p w14:paraId="4719975C"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olor w:val="000000" w:themeColor="text1"/>
        </w:rPr>
      </w:pPr>
    </w:p>
    <w:p w14:paraId="3BD06CA7" w14:textId="77777777" w:rsidR="003C1CB7" w:rsidRPr="00EC18F1" w:rsidRDefault="003C1CB7" w:rsidP="003C1CB7">
      <w:pPr>
        <w:pStyle w:val="Prrafodelista"/>
        <w:tabs>
          <w:tab w:val="left" w:pos="426"/>
        </w:tabs>
        <w:spacing w:before="240" w:after="240" w:line="360" w:lineRule="auto"/>
        <w:ind w:left="0" w:right="51"/>
        <w:jc w:val="center"/>
        <w:rPr>
          <w:noProof/>
        </w:rPr>
      </w:pPr>
      <w:r w:rsidRPr="00EC18F1">
        <w:rPr>
          <w:noProof/>
        </w:rPr>
        <w:object w:dxaOrig="15000" w:dyaOrig="8490" w14:anchorId="5BFEB2D2">
          <v:shape id="_x0000_i1027" type="#_x0000_t75" alt="" style="width:382.55pt;height:3in;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7" DrawAspect="Content" ObjectID="_1771777839" r:id="rId21"/>
        </w:object>
      </w:r>
    </w:p>
    <w:p w14:paraId="45E52067" w14:textId="09E935BB" w:rsidR="003C1CB7" w:rsidRPr="00EC18F1" w:rsidRDefault="003C1CB7" w:rsidP="003C1CB7">
      <w:pPr>
        <w:pStyle w:val="Prrafodelista"/>
        <w:tabs>
          <w:tab w:val="left" w:pos="426"/>
        </w:tabs>
        <w:spacing w:before="240" w:after="240" w:line="360" w:lineRule="auto"/>
        <w:ind w:left="0" w:right="51"/>
        <w:jc w:val="center"/>
      </w:pPr>
    </w:p>
    <w:p w14:paraId="0218F22D" w14:textId="77777777" w:rsidR="003C1CB7" w:rsidRPr="00EC18F1" w:rsidRDefault="003C1CB7" w:rsidP="003C1CB7">
      <w:pPr>
        <w:pStyle w:val="Prrafodelista"/>
        <w:tabs>
          <w:tab w:val="left" w:pos="426"/>
        </w:tabs>
        <w:spacing w:before="240" w:after="240" w:line="360" w:lineRule="auto"/>
        <w:ind w:left="0" w:right="51"/>
        <w:jc w:val="center"/>
      </w:pPr>
      <w:r w:rsidRPr="00EC18F1">
        <w:rPr>
          <w:noProof/>
        </w:rPr>
        <w:object w:dxaOrig="16935" w:dyaOrig="10035" w14:anchorId="551EFF0D">
          <v:shape id="_x0000_i1028" type="#_x0000_t75" alt="" style="width:383.8pt;height:226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8" DrawAspect="Content" ObjectID="_1771777840" r:id="rId23"/>
        </w:object>
      </w:r>
    </w:p>
    <w:p w14:paraId="120F6B43" w14:textId="77777777" w:rsidR="003C1CB7" w:rsidRPr="00EC18F1" w:rsidRDefault="003C1CB7" w:rsidP="003C1CB7">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noProof/>
        </w:rPr>
        <w:object w:dxaOrig="16665" w:dyaOrig="5235" w14:anchorId="212B6A9E">
          <v:shape id="_x0000_i1029" type="#_x0000_t75" alt="" style="width:384.4pt;height:119.6pt;mso-width-percent:0;mso-height-percent:0;mso-width-percent:0;mso-height-percent:0"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9" DrawAspect="Content" ObjectID="_1771777841" r:id="rId25"/>
        </w:object>
      </w:r>
    </w:p>
    <w:p w14:paraId="38C4B906" w14:textId="3138D918"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EC18F1">
        <w:rPr>
          <w:rFonts w:ascii="Palatino Linotype" w:hAnsi="Palatino Linotype"/>
          <w:color w:val="000000" w:themeColor="text1"/>
        </w:rPr>
        <w:lastRenderedPageBreak/>
        <w:t xml:space="preserve">De las imágenes anteriores, podemos identificar a la </w:t>
      </w:r>
      <w:r w:rsidRPr="00EC18F1">
        <w:rPr>
          <w:rFonts w:ascii="Palatino Linotype" w:hAnsi="Palatino Linotype"/>
          <w:b/>
          <w:bCs/>
          <w:color w:val="000000" w:themeColor="text1"/>
        </w:rPr>
        <w:t>Conciliación de Nómina</w:t>
      </w:r>
      <w:r w:rsidRPr="00EC18F1">
        <w:rPr>
          <w:rFonts w:ascii="Palatino Linotype" w:hAnsi="Palatino Linotype"/>
          <w:bCs/>
          <w:color w:val="000000" w:themeColor="text1"/>
        </w:rPr>
        <w:t xml:space="preserve">, </w:t>
      </w:r>
      <w:r w:rsidRPr="00EC18F1">
        <w:rPr>
          <w:rFonts w:ascii="Palatino Linotype" w:hAnsi="Palatino Linotype"/>
          <w:b/>
          <w:bCs/>
          <w:color w:val="000000" w:themeColor="text1"/>
        </w:rPr>
        <w:t>de manera enunciativa mas no limitativa</w:t>
      </w:r>
      <w:r w:rsidRPr="00EC18F1">
        <w:rPr>
          <w:rFonts w:ascii="Palatino Linotype" w:hAnsi="Palatino Linotype"/>
          <w:bCs/>
          <w:color w:val="000000" w:themeColor="text1"/>
        </w:rPr>
        <w:t>,</w:t>
      </w:r>
      <w:r w:rsidRPr="00EC18F1">
        <w:rPr>
          <w:rFonts w:ascii="Palatino Linotype" w:hAnsi="Palatino Linotype"/>
          <w:b/>
          <w:bCs/>
          <w:color w:val="000000" w:themeColor="text1"/>
        </w:rPr>
        <w:t xml:space="preserve"> </w:t>
      </w:r>
      <w:r w:rsidRPr="00EC18F1">
        <w:rPr>
          <w:rFonts w:ascii="Palatino Linotype" w:hAnsi="Palatino Linotype"/>
          <w:color w:val="000000" w:themeColor="text1"/>
        </w:rPr>
        <w:t>como uno de los documentos que puede satisfacer los requerimientos del particular</w:t>
      </w:r>
      <w:r w:rsidR="00B17C1A" w:rsidRPr="00EC18F1">
        <w:rPr>
          <w:rFonts w:ascii="Palatino Linotype" w:hAnsi="Palatino Linotype"/>
          <w:color w:val="000000" w:themeColor="text1"/>
        </w:rPr>
        <w:t xml:space="preserve"> relativo a las percepciones extraordinarias, compensaciones y bonificaciones del personal adscrito al Sistema Municipal para el Desarrollo Integral de la Familia de Timilpan</w:t>
      </w:r>
      <w:r w:rsidRPr="00EC18F1">
        <w:rPr>
          <w:rFonts w:ascii="Palatino Linotype" w:hAnsi="Palatino Linotype"/>
          <w:color w:val="000000" w:themeColor="text1"/>
        </w:rPr>
        <w:t xml:space="preserve">, pues como se ha analizado en párrafos previos, </w:t>
      </w:r>
      <w:r w:rsidRPr="00EC18F1">
        <w:rPr>
          <w:rFonts w:ascii="Palatino Linotype" w:hAnsi="Palatino Linotype"/>
          <w:bCs/>
          <w:color w:val="000000" w:themeColor="text1"/>
        </w:rPr>
        <w:t>el documento en cuestión</w:t>
      </w:r>
      <w:r w:rsidRPr="00EC18F1">
        <w:rPr>
          <w:rFonts w:ascii="Palatino Linotype" w:hAnsi="Palatino Linotype"/>
          <w:b/>
          <w:bCs/>
          <w:color w:val="000000" w:themeColor="text1"/>
        </w:rPr>
        <w:t xml:space="preserve"> consiste en el conjunto de percepciones y deducciones que se generan con motivo de la relación laboral</w:t>
      </w:r>
      <w:r w:rsidRPr="00EC18F1">
        <w:rPr>
          <w:rFonts w:ascii="Palatino Linotype" w:hAnsi="Palatino Linotype"/>
          <w:color w:val="000000" w:themeColor="text1"/>
        </w:rPr>
        <w:t xml:space="preserve"> de todos y cada uno de los trabajadores al servicio del ayuntamiento.</w:t>
      </w:r>
    </w:p>
    <w:p w14:paraId="6DFAE0EF"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5F7704FD" w14:textId="280BC14B" w:rsidR="003C1CB7" w:rsidRPr="00EC18F1" w:rsidRDefault="003C1CB7" w:rsidP="003C1CB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Arial"/>
          <w:color w:val="000000"/>
          <w:lang w:val="es-ES_tradnl"/>
        </w:rPr>
        <w:t xml:space="preserve">Razón de lo anterior, </w:t>
      </w:r>
      <w:r w:rsidR="00B17C1A" w:rsidRPr="00EC18F1">
        <w:rPr>
          <w:rFonts w:ascii="Palatino Linotype" w:hAnsi="Palatino Linotype" w:cs="Arial"/>
          <w:color w:val="000000"/>
          <w:lang w:val="es-ES_tradnl"/>
        </w:rPr>
        <w:t xml:space="preserve">el </w:t>
      </w:r>
      <w:r w:rsidR="00B17C1A" w:rsidRPr="00EC18F1">
        <w:rPr>
          <w:rFonts w:ascii="Palatino Linotype" w:hAnsi="Palatino Linotype" w:cs="Arial"/>
          <w:b/>
          <w:color w:val="000000"/>
          <w:lang w:val="es-ES_tradnl"/>
        </w:rPr>
        <w:t>SUJETO OBLIGADO</w:t>
      </w:r>
      <w:r w:rsidR="00B17C1A" w:rsidRPr="00EC18F1">
        <w:rPr>
          <w:rFonts w:ascii="Palatino Linotype" w:hAnsi="Palatino Linotype" w:cs="Arial"/>
          <w:color w:val="000000"/>
          <w:lang w:val="es-ES_tradnl"/>
        </w:rPr>
        <w:t xml:space="preserve"> deberá entregar el o los documentos donde consten </w:t>
      </w:r>
      <w:r w:rsidR="00B17C1A" w:rsidRPr="00EC18F1">
        <w:rPr>
          <w:rFonts w:ascii="Palatino Linotype" w:hAnsi="Palatino Linotype"/>
          <w:color w:val="000000" w:themeColor="text1"/>
        </w:rPr>
        <w:t>las percepciones extraordinarias, compensaciones y bonificaciones del personal adscrito al Sistema Municipal para el Desarrollo Integral de la Familia de Timilpan, sea en sistema de nómina o lista de raya, del uno (01) de enero de dos mil diecinueve al quince (15) de noviembre de dos mil veintidós.</w:t>
      </w:r>
    </w:p>
    <w:p w14:paraId="656FB736"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4C8C5E42" w14:textId="4675F994" w:rsidR="003C1CB7" w:rsidRPr="00EC18F1" w:rsidRDefault="00B17C1A"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Por otro lado, no se omite mencionar que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entregó información, únicamente, de las listas de raya del personal adscrito al Sistema Municipal para el Desarrollo Integral de la Familia de Timilpan, cuando de la lectura al requerimiento inmerso en la solicitud de información </w:t>
      </w:r>
      <w:r w:rsidRPr="00EC18F1">
        <w:rPr>
          <w:rFonts w:ascii="Palatino Linotype" w:hAnsi="Palatino Linotype"/>
          <w:b/>
          <w:color w:val="000000" w:themeColor="text1"/>
        </w:rPr>
        <w:t>00073/TIMILPAN/IP/2022</w:t>
      </w:r>
      <w:r w:rsidRPr="00EC18F1">
        <w:rPr>
          <w:rFonts w:ascii="Palatino Linotype" w:hAnsi="Palatino Linotype"/>
          <w:color w:val="000000" w:themeColor="text1"/>
        </w:rPr>
        <w:t xml:space="preserve">, se advierte que el particular requirió las listas de forma </w:t>
      </w:r>
      <w:r w:rsidRPr="00EC18F1">
        <w:rPr>
          <w:rFonts w:ascii="Palatino Linotype" w:hAnsi="Palatino Linotype"/>
          <w:b/>
          <w:color w:val="000000" w:themeColor="text1"/>
        </w:rPr>
        <w:t>general</w:t>
      </w:r>
      <w:r w:rsidRPr="00EC18F1">
        <w:rPr>
          <w:rFonts w:ascii="Palatino Linotype" w:hAnsi="Palatino Linotype"/>
          <w:color w:val="000000" w:themeColor="text1"/>
        </w:rPr>
        <w:t xml:space="preserve"> respecto de todo el ayuntamiento y no específica.</w:t>
      </w:r>
    </w:p>
    <w:p w14:paraId="5CE431E7" w14:textId="77777777" w:rsidR="00B17C1A" w:rsidRPr="00EC18F1" w:rsidRDefault="00B17C1A" w:rsidP="00B17C1A">
      <w:pPr>
        <w:pStyle w:val="Prrafodelista"/>
        <w:tabs>
          <w:tab w:val="left" w:pos="426"/>
        </w:tabs>
        <w:spacing w:before="240" w:after="240" w:line="360" w:lineRule="auto"/>
        <w:ind w:left="0" w:right="51"/>
        <w:jc w:val="both"/>
        <w:rPr>
          <w:rFonts w:ascii="Palatino Linotype" w:hAnsi="Palatino Linotype" w:cs="Tahoma"/>
          <w:bCs/>
          <w:iCs/>
        </w:rPr>
      </w:pPr>
    </w:p>
    <w:p w14:paraId="65AD5A81" w14:textId="6025F713" w:rsidR="00B17C1A" w:rsidRPr="00EC18F1" w:rsidRDefault="00B17C1A"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Por ende, deberá entregar las listas de raya del personal adscrito al Ayuntamiento de Timilpan del uno (01) de enero de dos mil diecinueve al </w:t>
      </w:r>
      <w:r w:rsidR="005F1213" w:rsidRPr="00EC18F1">
        <w:rPr>
          <w:rFonts w:ascii="Palatino Linotype" w:hAnsi="Palatino Linotype"/>
          <w:color w:val="000000" w:themeColor="text1"/>
        </w:rPr>
        <w:t>ocho (08</w:t>
      </w:r>
      <w:r w:rsidRPr="00EC18F1">
        <w:rPr>
          <w:rFonts w:ascii="Palatino Linotype" w:hAnsi="Palatino Linotype"/>
          <w:color w:val="000000" w:themeColor="text1"/>
        </w:rPr>
        <w:t>)</w:t>
      </w:r>
      <w:r w:rsidR="00D528C9" w:rsidRPr="00EC18F1">
        <w:rPr>
          <w:rFonts w:ascii="Palatino Linotype" w:hAnsi="Palatino Linotype"/>
          <w:color w:val="000000" w:themeColor="text1"/>
        </w:rPr>
        <w:t xml:space="preserve"> de noviembre de dos mil veintidós, en versión pública de ser procedente.</w:t>
      </w:r>
    </w:p>
    <w:p w14:paraId="2C1DE2D8" w14:textId="04B2541D" w:rsidR="003C1CB7" w:rsidRPr="00EC18F1" w:rsidRDefault="003C1CB7" w:rsidP="003C1CB7">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lastRenderedPageBreak/>
        <w:t>IV. De las Fichas Curriculares del personal adscrito al Sistema Municipal para el Desarrollo Integral de la Familia de Timilpan.</w:t>
      </w:r>
    </w:p>
    <w:p w14:paraId="514EFBDF"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hAnsi="Palatino Linotype"/>
          <w:color w:val="000000" w:themeColor="text1"/>
        </w:rPr>
        <w:t xml:space="preserve">Ahora bien, en lo que corresponde a las Fichas Curriculares  de todo el personal que labora en el Sistema Municipal para el Desarrollo Integral de la Familia de Timilpan, conviene referir que la información se encuentra intrínsecamente relacionada con el </w:t>
      </w:r>
      <w:r w:rsidRPr="00EC18F1">
        <w:rPr>
          <w:rFonts w:ascii="Palatino Linotype" w:hAnsi="Palatino Linotype"/>
          <w:i/>
          <w:color w:val="000000" w:themeColor="text1"/>
        </w:rPr>
        <w:t>currículum vitae</w:t>
      </w:r>
      <w:r w:rsidRPr="00EC18F1">
        <w:rPr>
          <w:rFonts w:ascii="Palatino Linotype" w:hAnsi="Palatino Linotype"/>
          <w:color w:val="000000" w:themeColor="text1"/>
        </w:rPr>
        <w:t xml:space="preserve">, el cual, </w:t>
      </w:r>
      <w:r w:rsidRPr="00EC18F1">
        <w:rPr>
          <w:rFonts w:ascii="Palatino Linotype" w:eastAsia="MS Gothic" w:hAnsi="Palatino Linotype" w:cs="Times New Roman"/>
          <w:lang w:val="es-ES"/>
        </w:rPr>
        <w:t>la  Real Academia de la Lengua Española define el término de la siguiente manera:</w:t>
      </w:r>
    </w:p>
    <w:p w14:paraId="42F3748D" w14:textId="77777777" w:rsidR="00D528C9" w:rsidRPr="00EC18F1" w:rsidRDefault="00D528C9" w:rsidP="00D528C9">
      <w:pPr>
        <w:tabs>
          <w:tab w:val="left" w:pos="426"/>
        </w:tabs>
        <w:spacing w:line="276" w:lineRule="auto"/>
        <w:ind w:left="567" w:right="567"/>
        <w:jc w:val="both"/>
        <w:rPr>
          <w:rFonts w:ascii="Palatino Linotype" w:eastAsia="MS Mincho" w:hAnsi="Palatino Linotype" w:cs="Arial"/>
          <w:sz w:val="22"/>
        </w:rPr>
      </w:pPr>
      <w:r w:rsidRPr="00EC18F1">
        <w:rPr>
          <w:rFonts w:ascii="Palatino Linotype" w:eastAsia="Calibri" w:hAnsi="Palatino Linotype" w:cs="Arial"/>
          <w:b/>
          <w:bCs/>
          <w:sz w:val="22"/>
        </w:rPr>
        <w:t>“</w:t>
      </w:r>
      <w:r w:rsidRPr="00EC18F1">
        <w:rPr>
          <w:rFonts w:ascii="Palatino Linotype" w:eastAsia="Calibri" w:hAnsi="Palatino Linotype" w:cs="Arial"/>
          <w:b/>
          <w:bCs/>
          <w:i/>
          <w:sz w:val="22"/>
        </w:rPr>
        <w:t>currículum vítae</w:t>
      </w:r>
      <w:r w:rsidRPr="00EC18F1">
        <w:rPr>
          <w:rFonts w:ascii="Palatino Linotype" w:eastAsia="Calibri" w:hAnsi="Palatino Linotype" w:cs="Arial"/>
          <w:i/>
          <w:sz w:val="22"/>
        </w:rPr>
        <w:t>. </w:t>
      </w:r>
      <w:bookmarkStart w:id="22" w:name="1"/>
      <w:r w:rsidRPr="00EC18F1">
        <w:rPr>
          <w:rFonts w:ascii="Palatino Linotype" w:eastAsia="Calibri" w:hAnsi="Palatino Linotype" w:cs="Arial"/>
          <w:b/>
          <w:bCs/>
          <w:i/>
          <w:sz w:val="22"/>
        </w:rPr>
        <w:t>1.</w:t>
      </w:r>
      <w:bookmarkEnd w:id="22"/>
      <w:r w:rsidRPr="00EC18F1">
        <w:rPr>
          <w:rFonts w:ascii="Palatino Linotype" w:eastAsia="Calibri" w:hAnsi="Palatino Linotype" w:cs="Arial"/>
          <w:i/>
          <w:sz w:val="22"/>
        </w:rPr>
        <w:t> Loc. lat. que significa literalmente ‘carrera de la vida’. Se usa como locución nominal masculina para designar la relación de los datos personales, formación académica, actividad laboral y méritos de una persona.</w:t>
      </w:r>
      <w:r w:rsidRPr="00EC18F1">
        <w:rPr>
          <w:rFonts w:ascii="Palatino Linotype" w:eastAsia="Calibri" w:hAnsi="Palatino Linotype" w:cs="Arial"/>
          <w:sz w:val="22"/>
        </w:rPr>
        <w:t>”</w:t>
      </w:r>
    </w:p>
    <w:p w14:paraId="10CB1925" w14:textId="77777777" w:rsidR="00D528C9" w:rsidRPr="00EC18F1" w:rsidRDefault="00D528C9" w:rsidP="00D528C9">
      <w:pPr>
        <w:tabs>
          <w:tab w:val="left" w:pos="426"/>
        </w:tabs>
        <w:spacing w:line="360" w:lineRule="auto"/>
        <w:ind w:right="49"/>
        <w:contextualSpacing/>
        <w:jc w:val="both"/>
        <w:rPr>
          <w:rFonts w:ascii="Palatino Linotype" w:hAnsi="Palatino Linotype"/>
          <w:b/>
          <w:color w:val="000000" w:themeColor="text1"/>
        </w:rPr>
      </w:pPr>
    </w:p>
    <w:p w14:paraId="5A9064B3"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eastAsia="MS Gothic" w:hAnsi="Palatino Linotype" w:cs="Times New Roman"/>
        </w:rPr>
        <w:t xml:space="preserve">De </w:t>
      </w:r>
      <w:r w:rsidRPr="00EC18F1">
        <w:rPr>
          <w:rFonts w:ascii="Palatino Linotype" w:eastAsia="MS Mincho" w:hAnsi="Palatino Linotype" w:cs="Arial"/>
        </w:rPr>
        <w:t xml:space="preserve">la interpretación a esta definición se desprende que el </w:t>
      </w:r>
      <w:r w:rsidRPr="00EC18F1">
        <w:rPr>
          <w:rFonts w:ascii="Palatino Linotype" w:eastAsia="MS Mincho" w:hAnsi="Palatino Linotype" w:cs="Arial"/>
          <w:i/>
        </w:rPr>
        <w:t>Currículum Vitae</w:t>
      </w:r>
      <w:r w:rsidRPr="00EC18F1">
        <w:rPr>
          <w:rFonts w:ascii="Palatino Linotype" w:eastAsia="MS Mincho" w:hAnsi="Palatino Linotype" w:cs="Arial"/>
        </w:rPr>
        <w:t xml:space="preserve"> está relacionado con la </w:t>
      </w:r>
      <w:r w:rsidRPr="00EC18F1">
        <w:rPr>
          <w:rFonts w:ascii="Palatino Linotype" w:eastAsia="MS Mincho" w:hAnsi="Palatino Linotype" w:cs="Arial"/>
          <w:b/>
        </w:rPr>
        <w:t>hoja de vida</w:t>
      </w:r>
      <w:r w:rsidRPr="00EC18F1">
        <w:rPr>
          <w:rFonts w:ascii="Palatino Linotype" w:eastAsia="MS Mincho" w:hAnsi="Palatino Linotype" w:cs="Arial"/>
        </w:rPr>
        <w:t xml:space="preserve"> o </w:t>
      </w:r>
      <w:r w:rsidRPr="00EC18F1">
        <w:rPr>
          <w:rFonts w:ascii="Palatino Linotype" w:eastAsia="MS Mincho" w:hAnsi="Palatino Linotype" w:cs="Arial"/>
          <w:b/>
        </w:rPr>
        <w:t>carrera de vida</w:t>
      </w:r>
      <w:r w:rsidRPr="00EC18F1">
        <w:rPr>
          <w:rFonts w:ascii="Palatino Linotype" w:eastAsia="MS Mincho" w:hAnsi="Palatino Linotype" w:cs="Arial"/>
        </w:rPr>
        <w:t xml:space="preserve"> de una persona, donde se podría apreciar la preparación académica y </w:t>
      </w:r>
      <w:r w:rsidRPr="00EC18F1">
        <w:rPr>
          <w:rFonts w:ascii="Palatino Linotype" w:eastAsia="MS Mincho" w:hAnsi="Palatino Linotype" w:cs="Arial"/>
          <w:b/>
        </w:rPr>
        <w:t>laboral</w:t>
      </w:r>
      <w:r w:rsidRPr="00EC18F1">
        <w:rPr>
          <w:rFonts w:ascii="Palatino Linotype" w:eastAsia="MS Mincho" w:hAnsi="Palatino Linotype" w:cs="Arial"/>
        </w:rPr>
        <w:t xml:space="preserve"> que tiene, además de los méritos obtenidos tal y como podrían ser cursos, certificaciones o capacitaciones.</w:t>
      </w:r>
    </w:p>
    <w:p w14:paraId="70741312" w14:textId="77777777" w:rsidR="00D528C9" w:rsidRPr="00EC18F1" w:rsidRDefault="00D528C9" w:rsidP="00D528C9">
      <w:pPr>
        <w:tabs>
          <w:tab w:val="left" w:pos="426"/>
        </w:tabs>
        <w:spacing w:line="360" w:lineRule="auto"/>
        <w:ind w:right="49"/>
        <w:contextualSpacing/>
        <w:jc w:val="both"/>
        <w:rPr>
          <w:rFonts w:ascii="Palatino Linotype" w:hAnsi="Palatino Linotype"/>
          <w:b/>
          <w:color w:val="000000" w:themeColor="text1"/>
        </w:rPr>
      </w:pPr>
    </w:p>
    <w:p w14:paraId="300C96E5"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eastAsia="MS Gothic" w:hAnsi="Palatino Linotype" w:cs="Times New Roman"/>
        </w:rPr>
        <w:t xml:space="preserve">Sirve </w:t>
      </w:r>
      <w:r w:rsidRPr="00EC18F1">
        <w:rPr>
          <w:rFonts w:ascii="Palatino Linotype" w:eastAsia="Calibri" w:hAnsi="Palatino Linotype" w:cs="Arial"/>
          <w:lang w:val="es-ES" w:eastAsia="es-MX"/>
        </w:rPr>
        <w:t xml:space="preserve">agregar que el </w:t>
      </w:r>
      <w:r w:rsidRPr="00EC18F1">
        <w:rPr>
          <w:rFonts w:ascii="Palatino Linotype" w:eastAsia="Calibri" w:hAnsi="Palatino Linotype" w:cs="Arial"/>
          <w:i/>
          <w:lang w:val="es-ES" w:eastAsia="es-MX"/>
        </w:rPr>
        <w:t>Currículum Vitae</w:t>
      </w:r>
      <w:r w:rsidRPr="00EC18F1">
        <w:rPr>
          <w:rFonts w:ascii="Palatino Linotype" w:eastAsia="Calibri" w:hAnsi="Palatino Linotype" w:cs="Arial"/>
          <w:lang w:val="es-ES" w:eastAsia="es-MX"/>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6E05A4AF" w14:textId="77777777" w:rsidR="00D528C9" w:rsidRPr="00EC18F1" w:rsidRDefault="00D528C9" w:rsidP="00D528C9">
      <w:pPr>
        <w:tabs>
          <w:tab w:val="left" w:pos="426"/>
        </w:tabs>
        <w:spacing w:line="360" w:lineRule="auto"/>
        <w:ind w:right="49"/>
        <w:contextualSpacing/>
        <w:jc w:val="both"/>
        <w:rPr>
          <w:rFonts w:ascii="Palatino Linotype" w:hAnsi="Palatino Linotype"/>
          <w:b/>
          <w:color w:val="000000" w:themeColor="text1"/>
        </w:rPr>
      </w:pPr>
    </w:p>
    <w:p w14:paraId="698BB114"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eastAsia="MS Gothic" w:hAnsi="Palatino Linotype" w:cs="Times New Roman"/>
        </w:rPr>
        <w:t xml:space="preserve">Cabe aclarar que el </w:t>
      </w:r>
      <w:r w:rsidRPr="00EC18F1">
        <w:rPr>
          <w:rFonts w:ascii="Palatino Linotype" w:eastAsia="MS Mincho" w:hAnsi="Palatino Linotype"/>
          <w:i/>
        </w:rPr>
        <w:t>Currículum Vitae</w:t>
      </w:r>
      <w:r w:rsidRPr="00EC18F1">
        <w:rPr>
          <w:rFonts w:ascii="Palatino Linotype" w:eastAsia="MS Mincho" w:hAnsi="Palatino Linotype"/>
        </w:rPr>
        <w:t xml:space="preserve"> es equiparable con la </w:t>
      </w:r>
      <w:r w:rsidRPr="00EC18F1">
        <w:rPr>
          <w:rFonts w:ascii="Palatino Linotype" w:eastAsia="MS Mincho" w:hAnsi="Palatino Linotype"/>
          <w:b/>
        </w:rPr>
        <w:t>Ficha Curricular</w:t>
      </w:r>
      <w:r w:rsidRPr="00EC18F1">
        <w:rPr>
          <w:rFonts w:ascii="Palatino Linotype" w:eastAsia="MS Mincho" w:hAnsi="Palatino Linotype"/>
        </w:rPr>
        <w:t xml:space="preserve">, puesto que cumplen con el mismo fin; es decir, plasmar la </w:t>
      </w:r>
      <w:r w:rsidRPr="00EC18F1">
        <w:rPr>
          <w:rFonts w:ascii="Palatino Linotype" w:eastAsia="MS Mincho" w:hAnsi="Palatino Linotype" w:cs="Arial"/>
        </w:rPr>
        <w:t xml:space="preserve">carrera de vida de una persona, donde se podría apreciar la preparación académica y laboral. </w:t>
      </w:r>
    </w:p>
    <w:p w14:paraId="5AA59CFF"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eastAsia="MS Mincho" w:hAnsi="Palatino Linotype" w:cs="Arial"/>
        </w:rPr>
        <w:lastRenderedPageBreak/>
        <w:t xml:space="preserve">En ese sentido, conviene referir que la información solicitada es reconocida como una de las </w:t>
      </w:r>
      <w:r w:rsidRPr="00EC18F1">
        <w:rPr>
          <w:rFonts w:ascii="Palatino Linotype" w:eastAsia="MS Mincho" w:hAnsi="Palatino Linotype" w:cs="Arial"/>
          <w:b/>
        </w:rPr>
        <w:t>obligaciones de transparencia común</w:t>
      </w:r>
      <w:r w:rsidRPr="00EC18F1">
        <w:rPr>
          <w:rFonts w:ascii="Palatino Linotype" w:eastAsia="MS Mincho" w:hAnsi="Palatino Linotype" w:cs="Arial"/>
        </w:rPr>
        <w:t xml:space="preserve"> que los Sujetos Obligados están constreñidos a publicar y difundir de manera permanente a la ciudadanía. Lo anterior de conformidad con lo dispuesto por el artículo 92, fracción XXI, de la Ley de Transparencia y Acceso a la Información Pública del Estado de México y Municipios, el cual dispone lo siguiente:</w:t>
      </w:r>
    </w:p>
    <w:p w14:paraId="650028D6" w14:textId="77777777" w:rsidR="00D528C9" w:rsidRPr="00EC18F1" w:rsidRDefault="00D528C9" w:rsidP="00D528C9">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r w:rsidRPr="00EC18F1">
        <w:rPr>
          <w:rFonts w:ascii="Palatino Linotype" w:hAnsi="Palatino Linotype"/>
          <w:b/>
          <w:i/>
          <w:sz w:val="22"/>
        </w:rPr>
        <w:t>Artículo 92.</w:t>
      </w:r>
      <w:r w:rsidRPr="00EC18F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22B8111" w14:textId="77777777" w:rsidR="00D528C9" w:rsidRPr="00EC18F1" w:rsidRDefault="00D528C9" w:rsidP="00D528C9">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p>
    <w:p w14:paraId="6A035585" w14:textId="77777777" w:rsidR="00D528C9" w:rsidRPr="00EC18F1" w:rsidRDefault="00D528C9" w:rsidP="00D528C9">
      <w:pPr>
        <w:pStyle w:val="Prrafodelista"/>
        <w:spacing w:line="276" w:lineRule="auto"/>
        <w:ind w:left="567" w:right="567"/>
        <w:jc w:val="both"/>
        <w:rPr>
          <w:rFonts w:ascii="Palatino Linotype" w:hAnsi="Palatino Linotype"/>
          <w:i/>
          <w:sz w:val="22"/>
        </w:rPr>
      </w:pPr>
      <w:r w:rsidRPr="00EC18F1">
        <w:rPr>
          <w:rFonts w:ascii="Palatino Linotype" w:hAnsi="Palatino Linotype"/>
          <w:b/>
          <w:i/>
          <w:sz w:val="22"/>
        </w:rPr>
        <w:t>XXI.</w:t>
      </w:r>
      <w:r w:rsidRPr="00EC18F1">
        <w:rPr>
          <w:rFonts w:ascii="Palatino Linotype" w:hAnsi="Palatino Linotype"/>
          <w:i/>
          <w:sz w:val="22"/>
        </w:rPr>
        <w:t xml:space="preserve"> La </w:t>
      </w:r>
      <w:r w:rsidRPr="00EC18F1">
        <w:rPr>
          <w:rFonts w:ascii="Palatino Linotype" w:hAnsi="Palatino Linotype"/>
          <w:b/>
          <w:i/>
          <w:sz w:val="22"/>
        </w:rPr>
        <w:t>información curricular</w:t>
      </w:r>
      <w:r w:rsidRPr="00EC18F1">
        <w:rPr>
          <w:rFonts w:ascii="Palatino Linotype" w:hAnsi="Palatino Linotype"/>
          <w:i/>
          <w:sz w:val="22"/>
        </w:rPr>
        <w:t>, desde el nivel de jefe de departamento o equivalente, hasta el titular del sujeto obligado, así como, en su caso, las sanciones administrativas de que haya sido objeto;</w:t>
      </w:r>
    </w:p>
    <w:p w14:paraId="1CF4C22F" w14:textId="77777777" w:rsidR="00D528C9" w:rsidRPr="00EC18F1" w:rsidRDefault="00D528C9" w:rsidP="00D528C9">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p>
    <w:p w14:paraId="74CA4A01" w14:textId="77777777" w:rsidR="00D528C9" w:rsidRPr="00EC18F1" w:rsidRDefault="00D528C9" w:rsidP="00D528C9">
      <w:pPr>
        <w:pStyle w:val="Prrafodelista"/>
        <w:spacing w:line="276" w:lineRule="auto"/>
        <w:ind w:left="567" w:right="567"/>
        <w:jc w:val="both"/>
        <w:rPr>
          <w:rFonts w:ascii="Palatino Linotype" w:eastAsia="MS Mincho" w:hAnsi="Palatino Linotype"/>
          <w:sz w:val="22"/>
        </w:rPr>
      </w:pPr>
      <w:r w:rsidRPr="00EC18F1">
        <w:rPr>
          <w:rFonts w:ascii="Palatino Linotype" w:hAnsi="Palatino Linotype"/>
          <w:sz w:val="22"/>
        </w:rPr>
        <w:t>(Énfasis añadido)</w:t>
      </w:r>
    </w:p>
    <w:p w14:paraId="0F860CC4" w14:textId="77777777" w:rsidR="00D528C9" w:rsidRPr="00EC18F1" w:rsidRDefault="00D528C9" w:rsidP="00D528C9">
      <w:pPr>
        <w:tabs>
          <w:tab w:val="left" w:pos="426"/>
        </w:tabs>
        <w:spacing w:line="360" w:lineRule="auto"/>
        <w:ind w:right="49"/>
        <w:contextualSpacing/>
        <w:jc w:val="both"/>
        <w:rPr>
          <w:rFonts w:ascii="Palatino Linotype" w:hAnsi="Palatino Linotype"/>
          <w:b/>
          <w:color w:val="000000" w:themeColor="text1"/>
        </w:rPr>
      </w:pPr>
    </w:p>
    <w:p w14:paraId="24A46D2F" w14:textId="77777777" w:rsidR="00D528C9" w:rsidRPr="00EC18F1" w:rsidRDefault="00D528C9" w:rsidP="00D528C9">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eastAsia="MS Gothic" w:hAnsi="Palatino Linotype" w:cs="Times New Roman"/>
        </w:rPr>
        <w:t xml:space="preserve">Como </w:t>
      </w:r>
      <w:r w:rsidRPr="00EC18F1">
        <w:rPr>
          <w:rFonts w:ascii="Palatino Linotype" w:eastAsia="MS Mincho" w:hAnsi="Palatino Linotype"/>
        </w:rPr>
        <w:t xml:space="preserve">resultado de lo anterior, se tiene que la información relativa a la </w:t>
      </w:r>
      <w:r w:rsidRPr="00EC18F1">
        <w:rPr>
          <w:rFonts w:ascii="Palatino Linotype" w:eastAsia="MS Mincho" w:hAnsi="Palatino Linotype"/>
          <w:b/>
        </w:rPr>
        <w:t>Ficha Curricular</w:t>
      </w:r>
      <w:r w:rsidRPr="00EC18F1">
        <w:rPr>
          <w:rFonts w:ascii="Palatino Linotype" w:eastAsia="MS Mincho" w:hAnsi="Palatino Linotype"/>
        </w:rPr>
        <w:t xml:space="preserve"> o </w:t>
      </w:r>
      <w:r w:rsidRPr="00EC18F1">
        <w:rPr>
          <w:rFonts w:ascii="Palatino Linotype" w:eastAsia="MS Mincho" w:hAnsi="Palatino Linotype"/>
          <w:i/>
        </w:rPr>
        <w:t>Currículum Vitae</w:t>
      </w:r>
      <w:r w:rsidRPr="00EC18F1">
        <w:rPr>
          <w:rFonts w:ascii="Palatino Linotype" w:eastAsia="MS Mincho" w:hAnsi="Palatino Linotype"/>
        </w:rPr>
        <w:t xml:space="preserve"> es de acceso público por estar contemplado dentro de las obligaciones de transparencia común que tienen los Sujetos Obligados.</w:t>
      </w:r>
    </w:p>
    <w:p w14:paraId="52FD5D78" w14:textId="77777777" w:rsidR="00D528C9" w:rsidRPr="00EC18F1" w:rsidRDefault="00D528C9" w:rsidP="00D528C9">
      <w:pPr>
        <w:tabs>
          <w:tab w:val="left" w:pos="426"/>
        </w:tabs>
        <w:spacing w:line="360" w:lineRule="auto"/>
        <w:ind w:right="49"/>
        <w:contextualSpacing/>
        <w:jc w:val="both"/>
        <w:rPr>
          <w:rFonts w:ascii="Palatino Linotype" w:hAnsi="Palatino Linotype"/>
          <w:b/>
          <w:color w:val="000000" w:themeColor="text1"/>
        </w:rPr>
      </w:pPr>
    </w:p>
    <w:p w14:paraId="5CF7A3AD" w14:textId="4D0AB1C9" w:rsidR="00D528C9" w:rsidRPr="00EC18F1" w:rsidRDefault="00D528C9" w:rsidP="00D528C9">
      <w:pPr>
        <w:pStyle w:val="Prrafodelista"/>
        <w:numPr>
          <w:ilvl w:val="0"/>
          <w:numId w:val="1"/>
        </w:numPr>
        <w:tabs>
          <w:tab w:val="left" w:pos="426"/>
        </w:tabs>
        <w:spacing w:before="240" w:after="240" w:line="360" w:lineRule="auto"/>
        <w:ind w:right="51"/>
        <w:jc w:val="both"/>
        <w:rPr>
          <w:rFonts w:ascii="Palatino Linotype" w:hAnsi="Palatino Linotype" w:cs="Arial"/>
          <w:color w:val="000000"/>
          <w:lang w:val="es-ES_tradnl"/>
        </w:rPr>
      </w:pPr>
      <w:r w:rsidRPr="00EC18F1">
        <w:rPr>
          <w:rFonts w:ascii="Palatino Linotype" w:eastAsia="MS Gothic" w:hAnsi="Palatino Linotype" w:cs="Times New Roman"/>
        </w:rPr>
        <w:t xml:space="preserve">Al respecto, conviene recordar que, en vía de informe justificado, el </w:t>
      </w:r>
      <w:r w:rsidRPr="00EC18F1">
        <w:rPr>
          <w:rFonts w:ascii="Palatino Linotype" w:eastAsia="MS Gothic" w:hAnsi="Palatino Linotype" w:cs="Times New Roman"/>
          <w:b/>
        </w:rPr>
        <w:t>SUJETO OBLIGADO</w:t>
      </w:r>
      <w:r w:rsidRPr="00EC18F1">
        <w:rPr>
          <w:rFonts w:ascii="Palatino Linotype" w:eastAsia="MS Gothic" w:hAnsi="Palatino Linotype" w:cs="Times New Roman"/>
        </w:rPr>
        <w:t xml:space="preserve"> hizo entrega de 12 </w:t>
      </w:r>
      <w:r w:rsidRPr="00EC18F1">
        <w:rPr>
          <w:rFonts w:ascii="Palatino Linotype" w:eastAsia="MS Gothic" w:hAnsi="Palatino Linotype" w:cs="Times New Roman"/>
          <w:b/>
        </w:rPr>
        <w:t>Fichas Curriculares</w:t>
      </w:r>
      <w:r w:rsidRPr="00EC18F1">
        <w:rPr>
          <w:rFonts w:ascii="Palatino Linotype" w:eastAsia="MS Gothic" w:hAnsi="Palatino Linotype" w:cs="Times New Roman"/>
        </w:rPr>
        <w:t xml:space="preserve"> de mandos medios y superiores adscritos al Sistema Municipal para el Desarrollo Integral de la Familia de Timilpan, los cuales, no fueron puestos a la vista por contener datos personales; sin embargo, se enlistan a continuación:</w:t>
      </w:r>
    </w:p>
    <w:p w14:paraId="234F10F2" w14:textId="77777777" w:rsidR="00D528C9" w:rsidRPr="00EC18F1" w:rsidRDefault="00D528C9" w:rsidP="00D528C9">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4483B8A6" w14:textId="77777777" w:rsidR="001A0F59" w:rsidRPr="00EC18F1" w:rsidRDefault="001A0F59" w:rsidP="00D528C9">
      <w:pPr>
        <w:pStyle w:val="Prrafodelista"/>
        <w:tabs>
          <w:tab w:val="left" w:pos="426"/>
        </w:tabs>
        <w:spacing w:before="240" w:after="240" w:line="360" w:lineRule="auto"/>
        <w:ind w:left="0" w:right="51"/>
        <w:jc w:val="both"/>
        <w:rPr>
          <w:rFonts w:ascii="Palatino Linotype" w:hAnsi="Palatino Linotype" w:cs="Arial"/>
          <w:color w:val="000000"/>
          <w:lang w:val="es-ES_tradnl"/>
        </w:rPr>
      </w:pPr>
    </w:p>
    <w:tbl>
      <w:tblPr>
        <w:tblStyle w:val="Tablaconcuadrcula"/>
        <w:tblW w:w="0" w:type="auto"/>
        <w:tblLook w:val="04A0" w:firstRow="1" w:lastRow="0" w:firstColumn="1" w:lastColumn="0" w:noHBand="0" w:noVBand="1"/>
      </w:tblPr>
      <w:tblGrid>
        <w:gridCol w:w="4414"/>
        <w:gridCol w:w="4414"/>
      </w:tblGrid>
      <w:tr w:rsidR="00D528C9" w:rsidRPr="00EC18F1" w14:paraId="64963426" w14:textId="77777777" w:rsidTr="00D528C9">
        <w:tc>
          <w:tcPr>
            <w:tcW w:w="4414" w:type="dxa"/>
            <w:shd w:val="clear" w:color="auto" w:fill="BFBFBF" w:themeFill="background1" w:themeFillShade="BF"/>
            <w:vAlign w:val="center"/>
          </w:tcPr>
          <w:p w14:paraId="2B49D960" w14:textId="1555C28C" w:rsidR="00D528C9" w:rsidRPr="00EC18F1" w:rsidRDefault="00D528C9" w:rsidP="00D528C9">
            <w:pPr>
              <w:pStyle w:val="Prrafodelista"/>
              <w:tabs>
                <w:tab w:val="left" w:pos="426"/>
              </w:tabs>
              <w:ind w:left="0" w:right="51"/>
              <w:jc w:val="center"/>
              <w:rPr>
                <w:rFonts w:ascii="Palatino Linotype" w:hAnsi="Palatino Linotype" w:cs="Arial"/>
                <w:b/>
                <w:color w:val="000000"/>
                <w:sz w:val="22"/>
                <w:lang w:val="es-ES_tradnl"/>
              </w:rPr>
            </w:pPr>
            <w:r w:rsidRPr="00EC18F1">
              <w:rPr>
                <w:rFonts w:ascii="Palatino Linotype" w:hAnsi="Palatino Linotype" w:cs="Arial"/>
                <w:b/>
                <w:color w:val="000000"/>
                <w:sz w:val="22"/>
                <w:lang w:val="es-ES_tradnl"/>
              </w:rPr>
              <w:lastRenderedPageBreak/>
              <w:t>NOMBRE DEL PERSONAL ADSCRITO AL DIF MUNICIPAL</w:t>
            </w:r>
          </w:p>
        </w:tc>
        <w:tc>
          <w:tcPr>
            <w:tcW w:w="4414" w:type="dxa"/>
            <w:shd w:val="clear" w:color="auto" w:fill="BFBFBF" w:themeFill="background1" w:themeFillShade="BF"/>
            <w:vAlign w:val="center"/>
          </w:tcPr>
          <w:p w14:paraId="4B24F9F6" w14:textId="77777777" w:rsidR="00D528C9" w:rsidRPr="00EC18F1" w:rsidRDefault="00D528C9" w:rsidP="00D528C9">
            <w:pPr>
              <w:pStyle w:val="Prrafodelista"/>
              <w:tabs>
                <w:tab w:val="left" w:pos="426"/>
              </w:tabs>
              <w:ind w:left="0" w:right="51"/>
              <w:jc w:val="center"/>
              <w:rPr>
                <w:rFonts w:ascii="Palatino Linotype" w:hAnsi="Palatino Linotype" w:cs="Arial"/>
                <w:b/>
                <w:color w:val="000000"/>
                <w:sz w:val="22"/>
                <w:lang w:val="es-ES_tradnl"/>
              </w:rPr>
            </w:pPr>
            <w:r w:rsidRPr="00EC18F1">
              <w:rPr>
                <w:rFonts w:ascii="Palatino Linotype" w:hAnsi="Palatino Linotype" w:cs="Arial"/>
                <w:b/>
                <w:color w:val="000000"/>
                <w:sz w:val="22"/>
                <w:lang w:val="es-ES_tradnl"/>
              </w:rPr>
              <w:t>CARGO</w:t>
            </w:r>
          </w:p>
        </w:tc>
      </w:tr>
      <w:tr w:rsidR="00D528C9" w:rsidRPr="00EC18F1" w14:paraId="68EDB634" w14:textId="77777777" w:rsidTr="00D528C9">
        <w:tc>
          <w:tcPr>
            <w:tcW w:w="4414" w:type="dxa"/>
            <w:vAlign w:val="center"/>
          </w:tcPr>
          <w:p w14:paraId="715B7137" w14:textId="15B71704"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Prof. Lidia Hernández Esteban</w:t>
            </w:r>
          </w:p>
        </w:tc>
        <w:tc>
          <w:tcPr>
            <w:tcW w:w="4414" w:type="dxa"/>
            <w:vAlign w:val="center"/>
          </w:tcPr>
          <w:p w14:paraId="5C133BE5" w14:textId="4D871EE9"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Directora</w:t>
            </w:r>
          </w:p>
        </w:tc>
      </w:tr>
      <w:tr w:rsidR="00D528C9" w:rsidRPr="00EC18F1" w14:paraId="2FD54A00" w14:textId="77777777" w:rsidTr="00D528C9">
        <w:tc>
          <w:tcPr>
            <w:tcW w:w="4414" w:type="dxa"/>
            <w:vAlign w:val="center"/>
          </w:tcPr>
          <w:p w14:paraId="0273C5F5" w14:textId="33546C6C"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C.P. Fernando Nieto Molina</w:t>
            </w:r>
          </w:p>
        </w:tc>
        <w:tc>
          <w:tcPr>
            <w:tcW w:w="4414" w:type="dxa"/>
            <w:vAlign w:val="center"/>
          </w:tcPr>
          <w:p w14:paraId="2E7DEC0C" w14:textId="06EA1E25"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Tesorero Honorífico</w:t>
            </w:r>
          </w:p>
        </w:tc>
      </w:tr>
      <w:tr w:rsidR="00D528C9" w:rsidRPr="00EC18F1" w14:paraId="6340C989" w14:textId="77777777" w:rsidTr="00D528C9">
        <w:tc>
          <w:tcPr>
            <w:tcW w:w="4414" w:type="dxa"/>
            <w:vAlign w:val="center"/>
          </w:tcPr>
          <w:p w14:paraId="2484B0FA" w14:textId="772C1403"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Lic. Abram Tapia Magno</w:t>
            </w:r>
          </w:p>
        </w:tc>
        <w:tc>
          <w:tcPr>
            <w:tcW w:w="4414" w:type="dxa"/>
            <w:vAlign w:val="center"/>
          </w:tcPr>
          <w:p w14:paraId="11862B88" w14:textId="73F7063D"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Secretario</w:t>
            </w:r>
          </w:p>
        </w:tc>
      </w:tr>
      <w:tr w:rsidR="00D528C9" w:rsidRPr="00EC18F1" w14:paraId="6765D99D" w14:textId="77777777" w:rsidTr="00D528C9">
        <w:tc>
          <w:tcPr>
            <w:tcW w:w="4414" w:type="dxa"/>
            <w:vAlign w:val="center"/>
          </w:tcPr>
          <w:p w14:paraId="47807166" w14:textId="0EB693FC"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Lic. Patricia Flores Rosales</w:t>
            </w:r>
          </w:p>
        </w:tc>
        <w:tc>
          <w:tcPr>
            <w:tcW w:w="4414" w:type="dxa"/>
            <w:vAlign w:val="center"/>
          </w:tcPr>
          <w:p w14:paraId="258B2DB9" w14:textId="5C8AFDBE"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Coordinadora de la Unidad de Rehabilitación e Integración Social</w:t>
            </w:r>
          </w:p>
        </w:tc>
      </w:tr>
      <w:tr w:rsidR="00D528C9" w:rsidRPr="00EC18F1" w14:paraId="6E2325F4" w14:textId="77777777" w:rsidTr="00D528C9">
        <w:tc>
          <w:tcPr>
            <w:tcW w:w="4414" w:type="dxa"/>
            <w:vAlign w:val="center"/>
          </w:tcPr>
          <w:p w14:paraId="495A39D8" w14:textId="4032530A"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Diana Laura García Monroy</w:t>
            </w:r>
          </w:p>
        </w:tc>
        <w:tc>
          <w:tcPr>
            <w:tcW w:w="4414" w:type="dxa"/>
            <w:vAlign w:val="center"/>
          </w:tcPr>
          <w:p w14:paraId="2569FD32" w14:textId="3C996205"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Coordinadora de Psicología en Unidad de Rehabilitación e Integración Social</w:t>
            </w:r>
          </w:p>
        </w:tc>
      </w:tr>
      <w:tr w:rsidR="00D528C9" w:rsidRPr="00EC18F1" w14:paraId="00DF0F4C" w14:textId="77777777" w:rsidTr="00D528C9">
        <w:tc>
          <w:tcPr>
            <w:tcW w:w="4414" w:type="dxa"/>
            <w:vAlign w:val="center"/>
          </w:tcPr>
          <w:p w14:paraId="5573E3B9" w14:textId="59682E8A"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Francisca Monroy Martínez</w:t>
            </w:r>
          </w:p>
        </w:tc>
        <w:tc>
          <w:tcPr>
            <w:tcW w:w="4414" w:type="dxa"/>
            <w:vAlign w:val="center"/>
          </w:tcPr>
          <w:p w14:paraId="59F40134" w14:textId="3ECA9882"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Coordinadora de Desayunos Fríos</w:t>
            </w:r>
          </w:p>
        </w:tc>
      </w:tr>
      <w:tr w:rsidR="00D528C9" w:rsidRPr="00EC18F1" w14:paraId="19F81C75" w14:textId="77777777" w:rsidTr="00D528C9">
        <w:tc>
          <w:tcPr>
            <w:tcW w:w="4414" w:type="dxa"/>
            <w:vAlign w:val="center"/>
          </w:tcPr>
          <w:p w14:paraId="085A7D34" w14:textId="52BB30F2"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Ana Karen Martínez García</w:t>
            </w:r>
          </w:p>
        </w:tc>
        <w:tc>
          <w:tcPr>
            <w:tcW w:w="4414" w:type="dxa"/>
            <w:vAlign w:val="center"/>
          </w:tcPr>
          <w:p w14:paraId="1281D5EA" w14:textId="52E1CD5B"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Procuradora de Protección Municipal de Niñas, Niños y Adolescentes</w:t>
            </w:r>
          </w:p>
        </w:tc>
      </w:tr>
      <w:tr w:rsidR="00D528C9" w:rsidRPr="00EC18F1" w14:paraId="1D1716A1" w14:textId="77777777" w:rsidTr="00D528C9">
        <w:tc>
          <w:tcPr>
            <w:tcW w:w="4414" w:type="dxa"/>
            <w:vAlign w:val="center"/>
          </w:tcPr>
          <w:p w14:paraId="5E68774D" w14:textId="48CAF67F"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América Carmen Julián</w:t>
            </w:r>
          </w:p>
        </w:tc>
        <w:tc>
          <w:tcPr>
            <w:tcW w:w="4414" w:type="dxa"/>
            <w:vAlign w:val="center"/>
          </w:tcPr>
          <w:p w14:paraId="68B5AF68" w14:textId="7134B762"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Coordinadora del Área de Psicología</w:t>
            </w:r>
          </w:p>
        </w:tc>
      </w:tr>
      <w:tr w:rsidR="00D528C9" w:rsidRPr="00EC18F1" w14:paraId="6F5126D7" w14:textId="77777777" w:rsidTr="00D528C9">
        <w:tc>
          <w:tcPr>
            <w:tcW w:w="4414" w:type="dxa"/>
            <w:vAlign w:val="center"/>
          </w:tcPr>
          <w:p w14:paraId="19CBDCE8" w14:textId="097719FB"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Elizabeth Martínez Hernández</w:t>
            </w:r>
          </w:p>
        </w:tc>
        <w:tc>
          <w:tcPr>
            <w:tcW w:w="4414" w:type="dxa"/>
            <w:vAlign w:val="center"/>
          </w:tcPr>
          <w:p w14:paraId="3CE66F85" w14:textId="6EDC6A1B"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Coordinadora de Odontología</w:t>
            </w:r>
          </w:p>
        </w:tc>
      </w:tr>
      <w:tr w:rsidR="00D528C9" w:rsidRPr="00EC18F1" w14:paraId="2478A2C2" w14:textId="77777777" w:rsidTr="00D528C9">
        <w:tc>
          <w:tcPr>
            <w:tcW w:w="4414" w:type="dxa"/>
            <w:vAlign w:val="center"/>
          </w:tcPr>
          <w:p w14:paraId="174C0B08" w14:textId="48236ADA"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Santiago Rivera Palma</w:t>
            </w:r>
          </w:p>
        </w:tc>
        <w:tc>
          <w:tcPr>
            <w:tcW w:w="4414" w:type="dxa"/>
            <w:vAlign w:val="center"/>
          </w:tcPr>
          <w:p w14:paraId="5B4FEE5F" w14:textId="1001FC9F"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 de Desayunos Calientes</w:t>
            </w:r>
          </w:p>
        </w:tc>
      </w:tr>
      <w:tr w:rsidR="00D528C9" w:rsidRPr="00EC18F1" w14:paraId="7A7DF5FB" w14:textId="77777777" w:rsidTr="00D528C9">
        <w:tc>
          <w:tcPr>
            <w:tcW w:w="4414" w:type="dxa"/>
            <w:vAlign w:val="center"/>
          </w:tcPr>
          <w:p w14:paraId="4308A3B3" w14:textId="092D4130"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Justino García Andrés</w:t>
            </w:r>
          </w:p>
        </w:tc>
        <w:tc>
          <w:tcPr>
            <w:tcW w:w="4414" w:type="dxa"/>
            <w:vAlign w:val="center"/>
          </w:tcPr>
          <w:p w14:paraId="3D7CDED9" w14:textId="7D47B498"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Promotor de HortaDIF</w:t>
            </w:r>
          </w:p>
        </w:tc>
      </w:tr>
      <w:tr w:rsidR="00D528C9" w:rsidRPr="00EC18F1" w14:paraId="24A45FB5" w14:textId="77777777" w:rsidTr="00D528C9">
        <w:tc>
          <w:tcPr>
            <w:tcW w:w="4414" w:type="dxa"/>
            <w:vAlign w:val="center"/>
          </w:tcPr>
          <w:p w14:paraId="796454D3" w14:textId="58AC5EEE" w:rsidR="00D528C9" w:rsidRPr="00EC18F1" w:rsidRDefault="00D528C9" w:rsidP="00D528C9">
            <w:pPr>
              <w:pStyle w:val="Prrafodelista"/>
              <w:tabs>
                <w:tab w:val="left" w:pos="426"/>
              </w:tabs>
              <w:ind w:left="0" w:right="51"/>
              <w:jc w:val="center"/>
              <w:rPr>
                <w:rFonts w:ascii="Palatino Linotype" w:hAnsi="Palatino Linotype" w:cs="Arial"/>
                <w:i/>
                <w:color w:val="000000"/>
                <w:sz w:val="22"/>
                <w:lang w:val="es-ES_tradnl"/>
              </w:rPr>
            </w:pPr>
            <w:r w:rsidRPr="00EC18F1">
              <w:rPr>
                <w:rFonts w:ascii="Palatino Linotype" w:hAnsi="Palatino Linotype" w:cs="Arial"/>
                <w:i/>
                <w:color w:val="000000"/>
                <w:sz w:val="22"/>
                <w:lang w:val="es-ES_tradnl"/>
              </w:rPr>
              <w:t>Lidia de la Cruz González</w:t>
            </w:r>
          </w:p>
        </w:tc>
        <w:tc>
          <w:tcPr>
            <w:tcW w:w="4414" w:type="dxa"/>
            <w:vAlign w:val="center"/>
          </w:tcPr>
          <w:p w14:paraId="19170EED" w14:textId="49BAE726" w:rsidR="00D528C9" w:rsidRPr="00EC18F1" w:rsidRDefault="00D528C9" w:rsidP="00D528C9">
            <w:pPr>
              <w:pStyle w:val="Prrafodelista"/>
              <w:tabs>
                <w:tab w:val="left" w:pos="426"/>
              </w:tabs>
              <w:ind w:left="0" w:right="51"/>
              <w:jc w:val="center"/>
              <w:rPr>
                <w:rFonts w:ascii="Palatino Linotype" w:hAnsi="Palatino Linotype" w:cs="Arial"/>
                <w:color w:val="000000"/>
                <w:sz w:val="22"/>
                <w:lang w:val="es-ES_tradnl"/>
              </w:rPr>
            </w:pPr>
            <w:r w:rsidRPr="00EC18F1">
              <w:rPr>
                <w:rFonts w:ascii="Palatino Linotype" w:hAnsi="Palatino Linotype" w:cs="Arial"/>
                <w:color w:val="000000"/>
                <w:sz w:val="22"/>
                <w:lang w:val="es-ES_tradnl"/>
              </w:rPr>
              <w:t>Coordinador de la Casa de Día</w:t>
            </w:r>
          </w:p>
        </w:tc>
      </w:tr>
    </w:tbl>
    <w:p w14:paraId="4D52A581" w14:textId="77777777" w:rsidR="00D528C9" w:rsidRPr="00EC18F1" w:rsidRDefault="00D528C9" w:rsidP="00D528C9">
      <w:pPr>
        <w:pStyle w:val="Prrafodelista"/>
        <w:tabs>
          <w:tab w:val="left" w:pos="426"/>
        </w:tabs>
        <w:spacing w:before="240" w:after="240" w:line="360" w:lineRule="auto"/>
        <w:ind w:left="0" w:right="51"/>
        <w:jc w:val="both"/>
        <w:rPr>
          <w:rFonts w:ascii="Palatino Linotype" w:hAnsi="Palatino Linotype" w:cs="Arial"/>
          <w:color w:val="000000"/>
          <w:lang w:val="es-ES_tradnl"/>
        </w:rPr>
      </w:pPr>
    </w:p>
    <w:p w14:paraId="1140E3D9" w14:textId="042BBBC7" w:rsidR="003C1CB7" w:rsidRPr="00EC18F1" w:rsidRDefault="00D528C9"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No obstante, urge recordar al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que la pretensión del particular no es solo acceder a las Fichas Curriculares de los mandos medios y superiores</w:t>
      </w:r>
      <w:r w:rsidR="00913C4C" w:rsidRPr="00EC18F1">
        <w:rPr>
          <w:rFonts w:ascii="Palatino Linotype" w:hAnsi="Palatino Linotype"/>
          <w:color w:val="000000" w:themeColor="text1"/>
        </w:rPr>
        <w:t xml:space="preserve">, sino de todo el personal adscrito al </w:t>
      </w:r>
      <w:r w:rsidR="00913C4C" w:rsidRPr="00EC18F1">
        <w:rPr>
          <w:rFonts w:ascii="Palatino Linotype" w:eastAsia="MS Gothic" w:hAnsi="Palatino Linotype" w:cs="Times New Roman"/>
        </w:rPr>
        <w:t>Sistema Municipal para el Desarrollo Integral de la Familia de Timilpan.</w:t>
      </w:r>
    </w:p>
    <w:p w14:paraId="2A6D5855"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509B1289" w14:textId="237F60AE" w:rsidR="003C1CB7" w:rsidRPr="00EC18F1" w:rsidRDefault="00913C4C"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Por lo tanto,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deberá entregar las Fichas curriculares de todo el personal adscrito al </w:t>
      </w:r>
      <w:r w:rsidRPr="00EC18F1">
        <w:rPr>
          <w:rFonts w:ascii="Palatino Linotype" w:eastAsia="MS Gothic" w:hAnsi="Palatino Linotype" w:cs="Times New Roman"/>
        </w:rPr>
        <w:t>Sistema Municipal para el Desarrollo Integral de la Familia de Timilpan, por el periodo comprendido del uno (01) de enero de dos mil diecinueve al quince (15) de noviembre de dos mil veintidós, de ser procedente en versión.</w:t>
      </w:r>
    </w:p>
    <w:p w14:paraId="6AD2F5ED"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0C4F82DD" w14:textId="77777777" w:rsidR="001A0F59" w:rsidRPr="00EC18F1" w:rsidRDefault="001A0F59" w:rsidP="003C1CB7">
      <w:pPr>
        <w:pStyle w:val="Prrafodelista"/>
        <w:tabs>
          <w:tab w:val="left" w:pos="426"/>
        </w:tabs>
        <w:spacing w:before="240" w:after="240" w:line="360" w:lineRule="auto"/>
        <w:ind w:left="0" w:right="51"/>
        <w:jc w:val="both"/>
        <w:rPr>
          <w:rFonts w:ascii="Palatino Linotype" w:hAnsi="Palatino Linotype" w:cs="Tahoma"/>
          <w:bCs/>
          <w:iCs/>
        </w:rPr>
      </w:pPr>
    </w:p>
    <w:p w14:paraId="615C017E" w14:textId="77777777" w:rsidR="001A0F59" w:rsidRPr="00EC18F1" w:rsidRDefault="001A0F59" w:rsidP="003C1CB7">
      <w:pPr>
        <w:pStyle w:val="Prrafodelista"/>
        <w:tabs>
          <w:tab w:val="left" w:pos="426"/>
        </w:tabs>
        <w:spacing w:before="240" w:after="240" w:line="360" w:lineRule="auto"/>
        <w:ind w:left="0" w:right="51"/>
        <w:jc w:val="both"/>
        <w:rPr>
          <w:rFonts w:ascii="Palatino Linotype" w:hAnsi="Palatino Linotype" w:cs="Tahoma"/>
          <w:bCs/>
          <w:iCs/>
        </w:rPr>
      </w:pPr>
    </w:p>
    <w:p w14:paraId="77D13661" w14:textId="7B2463FF" w:rsidR="003C1CB7" w:rsidRPr="00EC18F1" w:rsidRDefault="003C1CB7" w:rsidP="003C1CB7">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lastRenderedPageBreak/>
        <w:t>V. De los apoyos otorgados por el Sistema Municipal para el Desarrollo Integral de la Familia de Timilpan.</w:t>
      </w:r>
    </w:p>
    <w:p w14:paraId="53B2D8B9" w14:textId="554ECBCC" w:rsidR="00913C4C" w:rsidRPr="00EC18F1" w:rsidRDefault="00913C4C" w:rsidP="00913C4C">
      <w:pPr>
        <w:numPr>
          <w:ilvl w:val="0"/>
          <w:numId w:val="1"/>
        </w:numPr>
        <w:tabs>
          <w:tab w:val="left" w:pos="426"/>
        </w:tabs>
        <w:spacing w:line="360" w:lineRule="auto"/>
        <w:ind w:right="49"/>
        <w:contextualSpacing/>
        <w:jc w:val="both"/>
        <w:rPr>
          <w:rFonts w:ascii="Palatino Linotype" w:hAnsi="Palatino Linotype"/>
          <w:b/>
          <w:color w:val="000000" w:themeColor="text1"/>
        </w:rPr>
      </w:pPr>
      <w:r w:rsidRPr="00EC18F1">
        <w:rPr>
          <w:rFonts w:ascii="Palatino Linotype" w:hAnsi="Palatino Linotype"/>
          <w:color w:val="000000" w:themeColor="text1"/>
        </w:rPr>
        <w:t xml:space="preserve">Por cuanto hace a los apoyos económicos otorgados por el </w:t>
      </w:r>
      <w:r w:rsidRPr="00EC18F1">
        <w:rPr>
          <w:rFonts w:ascii="Palatino Linotype" w:eastAsia="MS Gothic" w:hAnsi="Palatino Linotype" w:cs="Times New Roman"/>
        </w:rPr>
        <w:t xml:space="preserve">Sistema Municipal para el Desarrollo Integral de la Familia de Timilpan, durante el  periodo comprendido del uno (01) de enero de dos mil diecinueve al quince (15) de noviembre de dos mil veintidós, cabe señalar que </w:t>
      </w:r>
      <w:r w:rsidRPr="00EC18F1">
        <w:rPr>
          <w:rFonts w:ascii="Palatino Linotype" w:eastAsia="MS Mincho" w:hAnsi="Palatino Linotype" w:cs="Arial"/>
        </w:rPr>
        <w:t xml:space="preserve">la información solicitada es reconocida como una de las </w:t>
      </w:r>
      <w:r w:rsidRPr="00EC18F1">
        <w:rPr>
          <w:rFonts w:ascii="Palatino Linotype" w:eastAsia="MS Mincho" w:hAnsi="Palatino Linotype" w:cs="Arial"/>
          <w:b/>
        </w:rPr>
        <w:t>obligaciones de transparencia común</w:t>
      </w:r>
      <w:r w:rsidRPr="00EC18F1">
        <w:rPr>
          <w:rFonts w:ascii="Palatino Linotype" w:eastAsia="MS Mincho" w:hAnsi="Palatino Linotype" w:cs="Arial"/>
        </w:rPr>
        <w:t xml:space="preserve"> que los Sujetos Obligados están constreñidos a publicar y difundir de manera permanente a la ciudadanía. Lo anterior de conformidad con lo dispuesto por el artículo 92, fracción XIV, de la Ley de Transparencia y Acceso a la Información Pública del Estado de México y Municipios, el cual dispone lo siguiente:</w:t>
      </w:r>
    </w:p>
    <w:p w14:paraId="68ED3CA2" w14:textId="77777777" w:rsidR="00913C4C" w:rsidRPr="00EC18F1" w:rsidRDefault="00913C4C" w:rsidP="00913C4C">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r w:rsidRPr="00EC18F1">
        <w:rPr>
          <w:rFonts w:ascii="Palatino Linotype" w:hAnsi="Palatino Linotype"/>
          <w:b/>
          <w:i/>
          <w:sz w:val="22"/>
        </w:rPr>
        <w:t>Artículo 92.</w:t>
      </w:r>
      <w:r w:rsidRPr="00EC18F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3BF887" w14:textId="77777777" w:rsidR="00913C4C" w:rsidRPr="00EC18F1" w:rsidRDefault="00913C4C" w:rsidP="00913C4C">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p>
    <w:p w14:paraId="5A1DA1E0" w14:textId="77777777" w:rsidR="00913C4C" w:rsidRPr="00EC18F1" w:rsidRDefault="00913C4C" w:rsidP="00913C4C">
      <w:pPr>
        <w:pStyle w:val="Prrafodelista"/>
        <w:spacing w:line="276" w:lineRule="auto"/>
        <w:ind w:left="567" w:right="567"/>
        <w:jc w:val="both"/>
        <w:rPr>
          <w:rFonts w:ascii="Palatino Linotype" w:hAnsi="Palatino Linotype"/>
          <w:i/>
          <w:sz w:val="22"/>
        </w:rPr>
      </w:pPr>
      <w:r w:rsidRPr="00EC18F1">
        <w:rPr>
          <w:rFonts w:ascii="Palatino Linotype" w:hAnsi="Palatino Linotype"/>
          <w:b/>
          <w:i/>
          <w:sz w:val="22"/>
        </w:rPr>
        <w:t>XIV.</w:t>
      </w:r>
      <w:r w:rsidRPr="00EC18F1">
        <w:rPr>
          <w:rFonts w:ascii="Palatino Linotype" w:hAnsi="Palatino Linotype"/>
          <w:i/>
          <w:sz w:val="22"/>
        </w:rPr>
        <w:t xml:space="preserve"> La </w:t>
      </w:r>
      <w:r w:rsidRPr="00EC18F1">
        <w:rPr>
          <w:rFonts w:ascii="Palatino Linotype" w:hAnsi="Palatino Linotype"/>
          <w:b/>
          <w:i/>
          <w:sz w:val="22"/>
        </w:rPr>
        <w:t>información de los programas de</w:t>
      </w:r>
      <w:r w:rsidRPr="00EC18F1">
        <w:rPr>
          <w:rFonts w:ascii="Palatino Linotype" w:hAnsi="Palatino Linotype"/>
          <w:i/>
          <w:sz w:val="22"/>
        </w:rPr>
        <w:t xml:space="preserve"> subsidios, estímulos y </w:t>
      </w:r>
      <w:r w:rsidRPr="00EC18F1">
        <w:rPr>
          <w:rFonts w:ascii="Palatino Linotype" w:hAnsi="Palatino Linotype"/>
          <w:b/>
          <w:i/>
          <w:sz w:val="22"/>
        </w:rPr>
        <w:t>apoyos</w:t>
      </w:r>
      <w:r w:rsidRPr="00EC18F1">
        <w:rPr>
          <w:rFonts w:ascii="Palatino Linotype" w:hAnsi="Palatino Linotype"/>
          <w:i/>
          <w:sz w:val="22"/>
        </w:rPr>
        <w:t xml:space="preserve">, en el que se deberá informar respecto de los programas de transferencia, de servicios, de infraestructura social y de subsidio, en los que se deberá contener lo siguiente: </w:t>
      </w:r>
    </w:p>
    <w:p w14:paraId="5E376E86"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a)</w:t>
      </w:r>
      <w:r w:rsidRPr="00EC18F1">
        <w:rPr>
          <w:rFonts w:ascii="Palatino Linotype" w:hAnsi="Palatino Linotype"/>
          <w:i/>
          <w:sz w:val="22"/>
        </w:rPr>
        <w:t xml:space="preserve"> Área; </w:t>
      </w:r>
    </w:p>
    <w:p w14:paraId="561A466B"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b)</w:t>
      </w:r>
      <w:r w:rsidRPr="00EC18F1">
        <w:rPr>
          <w:rFonts w:ascii="Palatino Linotype" w:hAnsi="Palatino Linotype"/>
          <w:i/>
          <w:sz w:val="22"/>
        </w:rPr>
        <w:t xml:space="preserve"> Denominación del programa; </w:t>
      </w:r>
    </w:p>
    <w:p w14:paraId="7AD70CE3"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c)</w:t>
      </w:r>
      <w:r w:rsidRPr="00EC18F1">
        <w:rPr>
          <w:rFonts w:ascii="Palatino Linotype" w:hAnsi="Palatino Linotype"/>
          <w:i/>
          <w:sz w:val="22"/>
        </w:rPr>
        <w:t xml:space="preserve"> Periodo de vigencia; </w:t>
      </w:r>
    </w:p>
    <w:p w14:paraId="1E7C2968"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d)</w:t>
      </w:r>
      <w:r w:rsidRPr="00EC18F1">
        <w:rPr>
          <w:rFonts w:ascii="Palatino Linotype" w:hAnsi="Palatino Linotype"/>
          <w:i/>
          <w:sz w:val="22"/>
        </w:rPr>
        <w:t xml:space="preserve"> Diseño, objetivos y alcances; </w:t>
      </w:r>
    </w:p>
    <w:p w14:paraId="5C191BED"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e)</w:t>
      </w:r>
      <w:r w:rsidRPr="00EC18F1">
        <w:rPr>
          <w:rFonts w:ascii="Palatino Linotype" w:hAnsi="Palatino Linotype"/>
          <w:i/>
          <w:sz w:val="22"/>
        </w:rPr>
        <w:t xml:space="preserve"> Metas físicas; </w:t>
      </w:r>
    </w:p>
    <w:p w14:paraId="29384DB6"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f)</w:t>
      </w:r>
      <w:r w:rsidRPr="00EC18F1">
        <w:rPr>
          <w:rFonts w:ascii="Palatino Linotype" w:hAnsi="Palatino Linotype"/>
          <w:i/>
          <w:sz w:val="22"/>
        </w:rPr>
        <w:t xml:space="preserve"> Población beneficiada estimada; </w:t>
      </w:r>
    </w:p>
    <w:p w14:paraId="4D0AB095"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g)</w:t>
      </w:r>
      <w:r w:rsidRPr="00EC18F1">
        <w:rPr>
          <w:rFonts w:ascii="Palatino Linotype" w:hAnsi="Palatino Linotype"/>
          <w:i/>
          <w:sz w:val="22"/>
        </w:rPr>
        <w:t xml:space="preserve"> </w:t>
      </w:r>
      <w:r w:rsidRPr="00EC18F1">
        <w:rPr>
          <w:rFonts w:ascii="Palatino Linotype" w:hAnsi="Palatino Linotype"/>
          <w:b/>
          <w:i/>
          <w:sz w:val="22"/>
        </w:rPr>
        <w:t>Monto aprobado, modificado y ejercido, así como los calendarios de su programación presupuestal</w:t>
      </w:r>
      <w:r w:rsidRPr="00EC18F1">
        <w:rPr>
          <w:rFonts w:ascii="Palatino Linotype" w:hAnsi="Palatino Linotype"/>
          <w:i/>
          <w:sz w:val="22"/>
        </w:rPr>
        <w:t xml:space="preserve">; </w:t>
      </w:r>
    </w:p>
    <w:p w14:paraId="62267750"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h)</w:t>
      </w:r>
      <w:r w:rsidRPr="00EC18F1">
        <w:rPr>
          <w:rFonts w:ascii="Palatino Linotype" w:hAnsi="Palatino Linotype"/>
          <w:i/>
          <w:sz w:val="22"/>
        </w:rPr>
        <w:t xml:space="preserve"> Requisitos y procedimientos de acceso; </w:t>
      </w:r>
    </w:p>
    <w:p w14:paraId="66B92688"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i)</w:t>
      </w:r>
      <w:r w:rsidRPr="00EC18F1">
        <w:rPr>
          <w:rFonts w:ascii="Palatino Linotype" w:hAnsi="Palatino Linotype"/>
          <w:i/>
          <w:sz w:val="22"/>
        </w:rPr>
        <w:t xml:space="preserve"> Procedimiento de queja o inconformidad ciudadana; </w:t>
      </w:r>
    </w:p>
    <w:p w14:paraId="17D601DF"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j)</w:t>
      </w:r>
      <w:r w:rsidRPr="00EC18F1">
        <w:rPr>
          <w:rFonts w:ascii="Palatino Linotype" w:hAnsi="Palatino Linotype"/>
          <w:i/>
          <w:sz w:val="22"/>
        </w:rPr>
        <w:t xml:space="preserve"> Mecanismos de exigibilidad; </w:t>
      </w:r>
    </w:p>
    <w:p w14:paraId="49996AC1"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k)</w:t>
      </w:r>
      <w:r w:rsidRPr="00EC18F1">
        <w:rPr>
          <w:rFonts w:ascii="Palatino Linotype" w:hAnsi="Palatino Linotype"/>
          <w:i/>
          <w:sz w:val="22"/>
        </w:rPr>
        <w:t xml:space="preserve"> Mecanismos e informes de evaluación y seguimiento de recomendaciones; </w:t>
      </w:r>
    </w:p>
    <w:p w14:paraId="4CFC4836"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lastRenderedPageBreak/>
        <w:t>l)</w:t>
      </w:r>
      <w:r w:rsidRPr="00EC18F1">
        <w:rPr>
          <w:rFonts w:ascii="Palatino Linotype" w:hAnsi="Palatino Linotype"/>
          <w:i/>
          <w:sz w:val="22"/>
        </w:rPr>
        <w:t xml:space="preserve"> Indicadores con nombre, definición, método de cálculo, unidad de medida; dimensión, frecuencia de medición, nombre de las bases de datos utilizadas para su cálculo; </w:t>
      </w:r>
    </w:p>
    <w:p w14:paraId="7AA51930" w14:textId="0CE94A4F"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m)</w:t>
      </w:r>
      <w:r w:rsidRPr="00EC18F1">
        <w:rPr>
          <w:rFonts w:ascii="Palatino Linotype" w:hAnsi="Palatino Linotype"/>
          <w:i/>
          <w:sz w:val="22"/>
        </w:rPr>
        <w:t xml:space="preserve"> Formas de participación social; </w:t>
      </w:r>
    </w:p>
    <w:p w14:paraId="4544656E"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n)</w:t>
      </w:r>
      <w:r w:rsidRPr="00EC18F1">
        <w:rPr>
          <w:rFonts w:ascii="Palatino Linotype" w:hAnsi="Palatino Linotype"/>
          <w:i/>
          <w:sz w:val="22"/>
        </w:rPr>
        <w:t xml:space="preserve"> Articulación con otros programas sociales;</w:t>
      </w:r>
    </w:p>
    <w:p w14:paraId="2F20EB2C"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ñ)</w:t>
      </w:r>
      <w:r w:rsidRPr="00EC18F1">
        <w:rPr>
          <w:rFonts w:ascii="Palatino Linotype" w:hAnsi="Palatino Linotype"/>
          <w:i/>
          <w:sz w:val="22"/>
        </w:rPr>
        <w:t xml:space="preserve"> Vínculo a las reglas de operación o documento equivalente; </w:t>
      </w:r>
    </w:p>
    <w:p w14:paraId="75A513FB" w14:textId="77777777"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o)</w:t>
      </w:r>
      <w:r w:rsidRPr="00EC18F1">
        <w:rPr>
          <w:rFonts w:ascii="Palatino Linotype" w:hAnsi="Palatino Linotype"/>
          <w:i/>
          <w:sz w:val="22"/>
        </w:rPr>
        <w:t xml:space="preserve"> Informes periódicos sobre la ejecución y los resultados de las evaluaciones realizadas; y </w:t>
      </w:r>
    </w:p>
    <w:p w14:paraId="225E3057" w14:textId="58FC6A29" w:rsidR="00913C4C" w:rsidRPr="00EC18F1" w:rsidRDefault="00913C4C" w:rsidP="00913C4C">
      <w:pPr>
        <w:pStyle w:val="Prrafodelista"/>
        <w:spacing w:line="276" w:lineRule="auto"/>
        <w:ind w:left="851" w:right="567"/>
        <w:jc w:val="both"/>
        <w:rPr>
          <w:rFonts w:ascii="Palatino Linotype" w:hAnsi="Palatino Linotype"/>
          <w:i/>
          <w:sz w:val="22"/>
        </w:rPr>
      </w:pPr>
      <w:r w:rsidRPr="00EC18F1">
        <w:rPr>
          <w:rFonts w:ascii="Palatino Linotype" w:hAnsi="Palatino Linotype"/>
          <w:b/>
          <w:i/>
          <w:sz w:val="22"/>
        </w:rPr>
        <w:t>p)</w:t>
      </w:r>
      <w:r w:rsidRPr="00EC18F1">
        <w:rPr>
          <w:rFonts w:ascii="Palatino Linotype" w:hAnsi="Palatino Linotype"/>
          <w:i/>
          <w:sz w:val="22"/>
        </w:rPr>
        <w:t xml:space="preserve"> </w:t>
      </w:r>
      <w:r w:rsidRPr="00EC18F1">
        <w:rPr>
          <w:rFonts w:ascii="Palatino Linotype" w:hAnsi="Palatino Linotype"/>
          <w:b/>
          <w:i/>
          <w:sz w:val="22"/>
        </w:rPr>
        <w:t xml:space="preserve">Padrón de beneficiarios mismo que deberá contener los siguientes datos: nombre de la persona física o denominación social de las personas jurídicas colectivas beneficiadas, el monto, recurso, beneficio o apoyo otorgado para cada una de ellas, </w:t>
      </w:r>
      <w:r w:rsidRPr="00EC18F1">
        <w:rPr>
          <w:rFonts w:ascii="Palatino Linotype" w:hAnsi="Palatino Linotype"/>
          <w:i/>
          <w:sz w:val="22"/>
        </w:rPr>
        <w:t>unidad territorial, en su caso, edad y sexo.</w:t>
      </w:r>
    </w:p>
    <w:p w14:paraId="4F246B92" w14:textId="3DD7FEFE" w:rsidR="00913C4C" w:rsidRPr="00EC18F1" w:rsidRDefault="00913C4C" w:rsidP="00913C4C">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p>
    <w:p w14:paraId="433FA318" w14:textId="77777777" w:rsidR="00913C4C" w:rsidRPr="00EC18F1" w:rsidRDefault="00913C4C" w:rsidP="00913C4C">
      <w:pPr>
        <w:pStyle w:val="Prrafodelista"/>
        <w:spacing w:line="276" w:lineRule="auto"/>
        <w:ind w:left="567" w:right="567"/>
        <w:jc w:val="both"/>
        <w:rPr>
          <w:rFonts w:ascii="Palatino Linotype" w:eastAsia="MS Mincho" w:hAnsi="Palatino Linotype"/>
          <w:sz w:val="22"/>
        </w:rPr>
      </w:pPr>
      <w:r w:rsidRPr="00EC18F1">
        <w:rPr>
          <w:rFonts w:ascii="Palatino Linotype" w:hAnsi="Palatino Linotype"/>
          <w:sz w:val="22"/>
        </w:rPr>
        <w:t>(Énfasis añadido)</w:t>
      </w:r>
    </w:p>
    <w:p w14:paraId="7B60AE80" w14:textId="77777777" w:rsidR="00913C4C" w:rsidRPr="00EC18F1" w:rsidRDefault="00913C4C" w:rsidP="00913C4C">
      <w:pPr>
        <w:tabs>
          <w:tab w:val="left" w:pos="426"/>
        </w:tabs>
        <w:spacing w:line="360" w:lineRule="auto"/>
        <w:ind w:right="49"/>
        <w:contextualSpacing/>
        <w:jc w:val="both"/>
        <w:rPr>
          <w:rFonts w:ascii="Palatino Linotype" w:hAnsi="Palatino Linotype"/>
          <w:b/>
          <w:color w:val="000000" w:themeColor="text1"/>
        </w:rPr>
      </w:pPr>
    </w:p>
    <w:p w14:paraId="63950A96" w14:textId="76642637" w:rsidR="003C1CB7" w:rsidRPr="00EC18F1" w:rsidRDefault="00913C4C" w:rsidP="00913C4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Gothic" w:hAnsi="Palatino Linotype" w:cs="Times New Roman"/>
        </w:rPr>
        <w:t xml:space="preserve">Correlativo a lo anterior, no es ocioso mencionar que la Ley que Crea los Organismos Públicos Descentralizados de Asistencia Social, de Carácter Municipal, de nominados “Sistemas Municipales </w:t>
      </w:r>
      <w:r w:rsidR="003359E2" w:rsidRPr="00EC18F1">
        <w:rPr>
          <w:rFonts w:ascii="Palatino Linotype" w:eastAsia="MS Gothic" w:hAnsi="Palatino Linotype" w:cs="Times New Roman"/>
        </w:rPr>
        <w:t>para el Desarrollo Integral de la Familia” establece que éstos se constituirán para cada municipio y tendrán su domicilio social en la Cabecera Municipal correspondiente</w:t>
      </w:r>
      <w:r w:rsidR="003359E2" w:rsidRPr="00EC18F1">
        <w:rPr>
          <w:rStyle w:val="Refdenotaalpie"/>
          <w:rFonts w:ascii="Palatino Linotype" w:eastAsia="MS Gothic" w:hAnsi="Palatino Linotype" w:cs="Times New Roman"/>
        </w:rPr>
        <w:footnoteReference w:id="13"/>
      </w:r>
      <w:r w:rsidR="003359E2" w:rsidRPr="00EC18F1">
        <w:rPr>
          <w:rFonts w:ascii="Palatino Linotype" w:eastAsia="MS Gothic" w:hAnsi="Palatino Linotype" w:cs="Times New Roman"/>
        </w:rPr>
        <w:t xml:space="preserve"> y, de acuerdo con su artículo 3, tendrán los siguientes objetivos:</w:t>
      </w:r>
    </w:p>
    <w:p w14:paraId="7B1AF793" w14:textId="4050562E"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w:t>
      </w:r>
      <w:r w:rsidRPr="00EC18F1">
        <w:rPr>
          <w:rFonts w:ascii="Palatino Linotype" w:hAnsi="Palatino Linotype" w:cs="Tahoma"/>
          <w:b/>
          <w:bCs/>
          <w:i/>
          <w:iCs/>
          <w:sz w:val="22"/>
        </w:rPr>
        <w:t>Artículo 3.-</w:t>
      </w:r>
      <w:r w:rsidRPr="00EC18F1">
        <w:rPr>
          <w:rFonts w:ascii="Palatino Linotype" w:hAnsi="Palatino Linotype" w:cs="Tahoma"/>
          <w:bCs/>
          <w:i/>
          <w:iCs/>
          <w:sz w:val="22"/>
        </w:rPr>
        <w:t xml:space="preserve"> Los organismos a que se refiere esta Ley, tendrán los siguientes objetivos de asistencia social y beneficio colectivo:</w:t>
      </w:r>
    </w:p>
    <w:p w14:paraId="09A8C9EE"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w:t>
      </w:r>
      <w:r w:rsidRPr="00EC18F1">
        <w:rPr>
          <w:rFonts w:ascii="Palatino Linotype" w:hAnsi="Palatino Linotype" w:cs="Tahoma"/>
          <w:bCs/>
          <w:i/>
          <w:iCs/>
          <w:sz w:val="22"/>
        </w:rPr>
        <w:t xml:space="preserve"> </w:t>
      </w:r>
      <w:r w:rsidRPr="00EC18F1">
        <w:rPr>
          <w:rFonts w:ascii="Palatino Linotype" w:hAnsi="Palatino Linotype" w:cs="Tahoma"/>
          <w:b/>
          <w:bCs/>
          <w:i/>
          <w:iCs/>
          <w:sz w:val="22"/>
        </w:rPr>
        <w:t>Asegurar la atención permanente a la población marginada, brindando servicios integrales de asistencia social</w:t>
      </w:r>
      <w:r w:rsidRPr="00EC18F1">
        <w:rPr>
          <w:rFonts w:ascii="Palatino Linotype" w:hAnsi="Palatino Linotype" w:cs="Tahoma"/>
          <w:bCs/>
          <w:i/>
          <w:iCs/>
          <w:sz w:val="22"/>
        </w:rPr>
        <w:t xml:space="preserve">, enmarcados dentro de los Programas Básicos del Sistema para el Desarrollo Integral de la Familia en el Estado de México, conforme a las normas establecidas a nivel Nacional y Estatal; </w:t>
      </w:r>
    </w:p>
    <w:p w14:paraId="558EFF6C"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w:t>
      </w:r>
      <w:r w:rsidRPr="00EC18F1">
        <w:rPr>
          <w:rFonts w:ascii="Palatino Linotype" w:hAnsi="Palatino Linotype" w:cs="Tahoma"/>
          <w:bCs/>
          <w:i/>
          <w:iCs/>
          <w:sz w:val="22"/>
        </w:rPr>
        <w:t xml:space="preserve"> </w:t>
      </w:r>
      <w:r w:rsidRPr="00EC18F1">
        <w:rPr>
          <w:rFonts w:ascii="Palatino Linotype" w:hAnsi="Palatino Linotype" w:cs="Tahoma"/>
          <w:b/>
          <w:bCs/>
          <w:i/>
          <w:iCs/>
          <w:sz w:val="22"/>
        </w:rPr>
        <w:t>Promover los mínimos de bienestar social y el desarrollo</w:t>
      </w:r>
      <w:r w:rsidRPr="00EC18F1">
        <w:rPr>
          <w:rFonts w:ascii="Palatino Linotype" w:hAnsi="Palatino Linotype" w:cs="Tahoma"/>
          <w:bCs/>
          <w:i/>
          <w:iCs/>
          <w:sz w:val="22"/>
        </w:rPr>
        <w:t xml:space="preserve"> de la comunidad, para crear mejores condiciones de vida a los habitantes del Municipio; </w:t>
      </w:r>
    </w:p>
    <w:p w14:paraId="47AB81D8"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III.</w:t>
      </w:r>
      <w:r w:rsidRPr="00EC18F1">
        <w:rPr>
          <w:rFonts w:ascii="Palatino Linotype" w:hAnsi="Palatino Linotype" w:cs="Tahoma"/>
          <w:bCs/>
          <w:i/>
          <w:iCs/>
          <w:sz w:val="22"/>
        </w:rPr>
        <w:t xml:space="preserve"> Fomentar la educación escolar y extra-escolar e impulsar el sano crecimiento físico y mental de la niñez; </w:t>
      </w:r>
    </w:p>
    <w:p w14:paraId="567E698E"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IV.</w:t>
      </w:r>
      <w:r w:rsidRPr="00EC18F1">
        <w:rPr>
          <w:rFonts w:ascii="Palatino Linotype" w:hAnsi="Palatino Linotype" w:cs="Tahoma"/>
          <w:bCs/>
          <w:i/>
          <w:iCs/>
          <w:sz w:val="22"/>
        </w:rPr>
        <w:t xml:space="preserve"> Coordinar las actividades que en materia de asistencia social realicen otras Instituciones públicas o privadas en el municipio; </w:t>
      </w:r>
    </w:p>
    <w:p w14:paraId="1E6A7007"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lastRenderedPageBreak/>
        <w:t>V.</w:t>
      </w:r>
      <w:r w:rsidRPr="00EC18F1">
        <w:rPr>
          <w:rFonts w:ascii="Palatino Linotype" w:hAnsi="Palatino Linotype" w:cs="Tahoma"/>
          <w:bCs/>
          <w:i/>
          <w:iCs/>
          <w:sz w:val="22"/>
        </w:rPr>
        <w:t xml:space="preserve"> Impulsar, promover o gestionar la creación de Instituciones o establecimientos de asistencia social, en beneficio de menores en el estado de abandono, de senescentes y de discapacitados sin recursos; </w:t>
      </w:r>
    </w:p>
    <w:p w14:paraId="0018FE21"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w:t>
      </w:r>
      <w:r w:rsidRPr="00EC18F1">
        <w:rPr>
          <w:rFonts w:ascii="Palatino Linotype" w:hAnsi="Palatino Linotype" w:cs="Tahoma"/>
          <w:bCs/>
          <w:i/>
          <w:iCs/>
          <w:sz w:val="22"/>
        </w:rPr>
        <w:t xml:space="preserve"> Prestar servicios jurídicos y de orientación social a menores, senectos y discapacitados carentes de recursos económicos, así como a la familia para su integración y bienestar; </w:t>
      </w:r>
    </w:p>
    <w:p w14:paraId="194A78F9"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VII.</w:t>
      </w:r>
      <w:r w:rsidRPr="00EC18F1">
        <w:rPr>
          <w:rFonts w:ascii="Palatino Linotype" w:hAnsi="Palatino Linotype" w:cs="Tahoma"/>
          <w:bCs/>
          <w:i/>
          <w:iCs/>
          <w:sz w:val="22"/>
        </w:rPr>
        <w:t xml:space="preserve"> Procurar permanentemente la adecuación de los objetivos y programas del Sistema Municipal y los que lleve a cabo el D.I.F. Estatal, a través de Acuerdos, Convenios o cualquier figura jurídica, encaminados a la obtención del bienestar social; </w:t>
      </w:r>
    </w:p>
    <w:p w14:paraId="4A5349AA" w14:textId="7777777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VIII.</w:t>
      </w:r>
      <w:r w:rsidRPr="00EC18F1">
        <w:rPr>
          <w:rFonts w:ascii="Palatino Linotype" w:hAnsi="Palatino Linotype" w:cs="Tahoma"/>
          <w:bCs/>
          <w:i/>
          <w:iCs/>
          <w:sz w:val="22"/>
        </w:rPr>
        <w:t xml:space="preserve"> </w:t>
      </w:r>
      <w:r w:rsidRPr="00EC18F1">
        <w:rPr>
          <w:rFonts w:ascii="Palatino Linotype" w:hAnsi="Palatino Linotype" w:cs="Tahoma"/>
          <w:b/>
          <w:bCs/>
          <w:i/>
          <w:iCs/>
          <w:sz w:val="22"/>
        </w:rPr>
        <w:t>Impulsar acciones para promover el desarrollo humano integral</w:t>
      </w:r>
      <w:r w:rsidRPr="00EC18F1">
        <w:rPr>
          <w:rFonts w:ascii="Palatino Linotype" w:hAnsi="Palatino Linotype" w:cs="Tahoma"/>
          <w:bCs/>
          <w:i/>
          <w:iCs/>
          <w:sz w:val="22"/>
        </w:rPr>
        <w:t xml:space="preserve"> de los adultos mayores, coadyuvando para que sus distintas capacidades sean valoradas y aprovechadas en el desarrollo comunitario, económico y social; </w:t>
      </w:r>
    </w:p>
    <w:p w14:paraId="54EBC33C" w14:textId="783DD4D9"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IX.</w:t>
      </w:r>
      <w:r w:rsidRPr="00EC18F1">
        <w:rPr>
          <w:rFonts w:ascii="Palatino Linotype" w:hAnsi="Palatino Linotype" w:cs="Tahoma"/>
          <w:bCs/>
          <w:i/>
          <w:iCs/>
          <w:sz w:val="22"/>
        </w:rPr>
        <w:t xml:space="preserve"> Los demás que le encomienden las leyes.”</w:t>
      </w:r>
    </w:p>
    <w:p w14:paraId="771B7DB8" w14:textId="1CC72CE7" w:rsidR="003359E2" w:rsidRPr="00EC18F1" w:rsidRDefault="003359E2" w:rsidP="003359E2">
      <w:pPr>
        <w:pStyle w:val="Prrafodelista"/>
        <w:tabs>
          <w:tab w:val="left" w:pos="426"/>
        </w:tabs>
        <w:spacing w:before="240" w:after="240" w:line="276" w:lineRule="auto"/>
        <w:ind w:left="567" w:right="567"/>
        <w:jc w:val="both"/>
        <w:rPr>
          <w:rFonts w:ascii="Palatino Linotype" w:hAnsi="Palatino Linotype" w:cs="Tahoma"/>
          <w:bCs/>
          <w:iCs/>
          <w:sz w:val="22"/>
        </w:rPr>
      </w:pPr>
      <w:r w:rsidRPr="00EC18F1">
        <w:rPr>
          <w:rFonts w:ascii="Palatino Linotype" w:hAnsi="Palatino Linotype" w:cs="Tahoma"/>
          <w:bCs/>
          <w:iCs/>
          <w:sz w:val="22"/>
        </w:rPr>
        <w:t>(Énfasis añadido)</w:t>
      </w:r>
    </w:p>
    <w:p w14:paraId="5498BC4F" w14:textId="77777777" w:rsidR="003359E2" w:rsidRPr="00EC18F1" w:rsidRDefault="003359E2" w:rsidP="003C1CB7">
      <w:pPr>
        <w:pStyle w:val="Prrafodelista"/>
        <w:tabs>
          <w:tab w:val="left" w:pos="426"/>
        </w:tabs>
        <w:spacing w:before="240" w:after="240" w:line="360" w:lineRule="auto"/>
        <w:ind w:left="0" w:right="51"/>
        <w:jc w:val="both"/>
        <w:rPr>
          <w:rFonts w:ascii="Palatino Linotype" w:hAnsi="Palatino Linotype" w:cs="Tahoma"/>
          <w:bCs/>
          <w:iCs/>
        </w:rPr>
      </w:pPr>
    </w:p>
    <w:p w14:paraId="5CA22AEC" w14:textId="00106CB1" w:rsidR="003C1CB7" w:rsidRPr="00EC18F1" w:rsidRDefault="003359E2" w:rsidP="003359E2">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De lo antes expuesto, se puede identificar al Sistema Municipal para el Desarrollo Integral de la Familia de Timilpan como un órgano desconcentrado del Ejecutivo Municipal, cuya finalidad persigue un estado de bienestar mínimo para las personas en cualquier situación de vulnerabilidad, sea económica, por edad, demográfica o social, a través de programas y políticas públicas orientadas a la asistencia social.</w:t>
      </w:r>
    </w:p>
    <w:p w14:paraId="764FAB0C"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1101E69C" w14:textId="6DFE2F92" w:rsidR="003C1CB7" w:rsidRPr="00EC18F1" w:rsidRDefault="003359E2"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Correlativo a lo anterior, el Bando Municipal 2022 del Ayuntamiento de Timilpan, en su artículo 287, establece que el patrimonio del Sistema Municipal para el Desarrollo Integral de la Familia de Timilpan, se integrará con los siguientes recursos:</w:t>
      </w:r>
    </w:p>
    <w:p w14:paraId="4B73E3C2" w14:textId="1C4F14FD" w:rsidR="003359E2" w:rsidRPr="00EC18F1" w:rsidRDefault="003359E2" w:rsidP="003359E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Los derechos y bienes muebles e inmuebles que adquiera este organismo y que sean propiedad del municipio;</w:t>
      </w:r>
    </w:p>
    <w:p w14:paraId="20E4F2C5" w14:textId="790EC152" w:rsidR="003359E2" w:rsidRPr="00EC18F1" w:rsidRDefault="003359E2" w:rsidP="003359E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El presupuesto que les sea asignado por el ayuntamiento y que se contendrá anualmente en el presupuesto de egresos, así como los bienes y demás ingresos que el Gobierno del Estado, la Federación o cualquier otra entidad o institución le otorguen o destinen;</w:t>
      </w:r>
    </w:p>
    <w:p w14:paraId="461B56E2" w14:textId="402F17D2" w:rsidR="003359E2" w:rsidRPr="00EC18F1" w:rsidRDefault="003359E2" w:rsidP="003359E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lastRenderedPageBreak/>
        <w:t>Las aportaciones, donaciones, legados y las liberalidades que reciban de personas físicas o morales;</w:t>
      </w:r>
    </w:p>
    <w:p w14:paraId="53B715D8" w14:textId="277EED28" w:rsidR="003359E2" w:rsidRPr="00EC18F1" w:rsidRDefault="003359E2" w:rsidP="003359E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Las concesiones, permisos, licencias y autorizaciones que le otorguen conforme a las leyes; y</w:t>
      </w:r>
    </w:p>
    <w:p w14:paraId="13B525FC" w14:textId="48125670" w:rsidR="003359E2" w:rsidRPr="00EC18F1" w:rsidRDefault="003359E2" w:rsidP="003359E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En general, los demás bienes, derechos e ingresos que obtenga por cualquier título legal.</w:t>
      </w:r>
    </w:p>
    <w:p w14:paraId="6961D921"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1059D99C" w14:textId="20371B75" w:rsidR="003C1CB7" w:rsidRPr="00EC18F1" w:rsidRDefault="003359E2"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El </w:t>
      </w:r>
      <w:r w:rsidRPr="00EC18F1">
        <w:rPr>
          <w:rFonts w:ascii="Palatino Linotype" w:hAnsi="Palatino Linotype"/>
          <w:b/>
          <w:color w:val="000000" w:themeColor="text1"/>
        </w:rPr>
        <w:t>Sistema Municipal para el Desarrollo Integral de la Familia de Timilpan</w:t>
      </w:r>
      <w:r w:rsidR="00874A6C" w:rsidRPr="00EC18F1">
        <w:rPr>
          <w:rFonts w:ascii="Palatino Linotype" w:hAnsi="Palatino Linotype"/>
          <w:b/>
          <w:color w:val="000000" w:themeColor="text1"/>
        </w:rPr>
        <w:t xml:space="preserve"> deberá elaborar su presupuesto</w:t>
      </w:r>
      <w:r w:rsidR="00874A6C" w:rsidRPr="00EC18F1">
        <w:rPr>
          <w:rFonts w:ascii="Palatino Linotype" w:hAnsi="Palatino Linotype"/>
          <w:color w:val="000000" w:themeColor="text1"/>
        </w:rPr>
        <w:t xml:space="preserve"> anual </w:t>
      </w:r>
      <w:r w:rsidR="00874A6C" w:rsidRPr="00EC18F1">
        <w:rPr>
          <w:rFonts w:ascii="Palatino Linotype" w:hAnsi="Palatino Linotype"/>
          <w:b/>
          <w:color w:val="000000" w:themeColor="text1"/>
        </w:rPr>
        <w:t>de operaciones</w:t>
      </w:r>
      <w:r w:rsidR="00874A6C" w:rsidRPr="00EC18F1">
        <w:rPr>
          <w:rFonts w:ascii="Palatino Linotype" w:hAnsi="Palatino Linotype"/>
          <w:color w:val="000000" w:themeColor="text1"/>
        </w:rPr>
        <w:t xml:space="preserve"> y de inversión, especificándose los ingresos que espera recibir, la </w:t>
      </w:r>
      <w:r w:rsidR="00874A6C" w:rsidRPr="00EC18F1">
        <w:rPr>
          <w:rFonts w:ascii="Palatino Linotype" w:hAnsi="Palatino Linotype"/>
          <w:b/>
          <w:color w:val="000000" w:themeColor="text1"/>
        </w:rPr>
        <w:t>forma en que ejercerá sus recursos disponibles</w:t>
      </w:r>
      <w:r w:rsidR="00874A6C" w:rsidRPr="00EC18F1">
        <w:rPr>
          <w:rFonts w:ascii="Palatino Linotype" w:hAnsi="Palatino Linotype"/>
          <w:color w:val="000000" w:themeColor="text1"/>
        </w:rPr>
        <w:t xml:space="preserve"> y, será sometido a la aprobación del ayuntamiento en Sesión de Cabildo</w:t>
      </w:r>
      <w:r w:rsidR="00874A6C" w:rsidRPr="00EC18F1">
        <w:rPr>
          <w:rStyle w:val="Refdenotaalpie"/>
          <w:rFonts w:ascii="Palatino Linotype" w:hAnsi="Palatino Linotype"/>
          <w:color w:val="000000" w:themeColor="text1"/>
        </w:rPr>
        <w:footnoteReference w:id="14"/>
      </w:r>
      <w:r w:rsidR="00874A6C" w:rsidRPr="00EC18F1">
        <w:rPr>
          <w:rFonts w:ascii="Palatino Linotype" w:hAnsi="Palatino Linotype"/>
          <w:color w:val="000000" w:themeColor="text1"/>
        </w:rPr>
        <w:t>.</w:t>
      </w:r>
    </w:p>
    <w:p w14:paraId="69D3A4DF"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7C306037" w14:textId="62B84FB1" w:rsidR="003C1CB7" w:rsidRPr="00EC18F1" w:rsidRDefault="00874A6C"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Así las cosas, si bien es cierto que el Tesorero Honorario refirió en respuesta a la solicitud primigenia que no se tenía registro del otorgamiento de apoyos económicos durante el periodo solicitado, también lo es que la Unidad de Transparencia debió turnar el requerimiento a todas las áreas administrativas del Sistema Municipal que, por la naturaleza de sus funciones, se encargaran de atender algún ramo de desarrollo social y/o bienestar.</w:t>
      </w:r>
    </w:p>
    <w:p w14:paraId="5ABF6EAD" w14:textId="77777777" w:rsidR="00874A6C" w:rsidRPr="00EC18F1" w:rsidRDefault="00874A6C" w:rsidP="00874A6C">
      <w:pPr>
        <w:pStyle w:val="Prrafodelista"/>
        <w:tabs>
          <w:tab w:val="left" w:pos="426"/>
        </w:tabs>
        <w:spacing w:before="240" w:after="240" w:line="360" w:lineRule="auto"/>
        <w:ind w:left="0" w:right="51"/>
        <w:jc w:val="both"/>
        <w:rPr>
          <w:rFonts w:ascii="Palatino Linotype" w:hAnsi="Palatino Linotype" w:cs="Tahoma"/>
          <w:bCs/>
          <w:iCs/>
        </w:rPr>
      </w:pPr>
    </w:p>
    <w:p w14:paraId="03D794B2" w14:textId="77777777" w:rsidR="00874A6C" w:rsidRPr="00EC18F1" w:rsidRDefault="00874A6C" w:rsidP="00874A6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En consecuencia,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deberá realizar una búsqueda exhaustiva y razonable en todas las áreas administrativas naturalmente competentes, a fin de entregar el o los documentos donde consten los apoyos económicos entregados por el Sistema Municipal para el Desarrollo Integral de la Familia de Timilpan, del uno (01) de enero de </w:t>
      </w:r>
      <w:r w:rsidRPr="00EC18F1">
        <w:rPr>
          <w:rFonts w:ascii="Palatino Linotype" w:hAnsi="Palatino Linotype"/>
          <w:color w:val="000000" w:themeColor="text1"/>
        </w:rPr>
        <w:lastRenderedPageBreak/>
        <w:t>dos mil diecinueve al quince (15) de noviembre de dos mil veintidós, en versión pública de ser procedente.</w:t>
      </w:r>
      <w:r w:rsidRPr="00EC18F1">
        <w:rPr>
          <w:rFonts w:ascii="Palatino Linotype" w:hAnsi="Palatino Linotype" w:cs="Tahoma"/>
          <w:bCs/>
          <w:iCs/>
          <w:lang w:val="es-ES"/>
        </w:rPr>
        <w:t xml:space="preserve"> </w:t>
      </w:r>
    </w:p>
    <w:p w14:paraId="146E35B9" w14:textId="77777777" w:rsidR="00874A6C" w:rsidRPr="00EC18F1" w:rsidRDefault="00874A6C" w:rsidP="00874A6C">
      <w:pPr>
        <w:pStyle w:val="Prrafodelista"/>
        <w:tabs>
          <w:tab w:val="left" w:pos="426"/>
        </w:tabs>
        <w:spacing w:before="240" w:after="240" w:line="360" w:lineRule="auto"/>
        <w:ind w:left="0" w:right="51"/>
        <w:jc w:val="both"/>
        <w:rPr>
          <w:rFonts w:ascii="Palatino Linotype" w:hAnsi="Palatino Linotype" w:cs="Tahoma"/>
          <w:bCs/>
          <w:iCs/>
        </w:rPr>
      </w:pPr>
    </w:p>
    <w:p w14:paraId="7888BDF8" w14:textId="46A07325" w:rsidR="00874A6C" w:rsidRPr="00EC18F1" w:rsidRDefault="00874A6C" w:rsidP="00874A6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lang w:val="es-ES"/>
        </w:rPr>
        <w:t xml:space="preserve">Empero, si derivado de la búsqueda de la información, ésta no se localizara en los archivos del </w:t>
      </w:r>
      <w:r w:rsidRPr="00EC18F1">
        <w:rPr>
          <w:rFonts w:ascii="Palatino Linotype" w:hAnsi="Palatino Linotype" w:cs="Tahoma"/>
          <w:b/>
          <w:bCs/>
          <w:iCs/>
          <w:lang w:val="es-ES"/>
        </w:rPr>
        <w:t>SUJETO OBLIGADO</w:t>
      </w:r>
      <w:r w:rsidRPr="00EC18F1">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09C04D5C" w14:textId="77777777" w:rsidR="00874A6C" w:rsidRPr="00EC18F1" w:rsidRDefault="00874A6C" w:rsidP="00874A6C">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w:t>
      </w:r>
      <w:r w:rsidRPr="00EC18F1">
        <w:rPr>
          <w:rFonts w:ascii="Palatino Linotype" w:hAnsi="Palatino Linotype" w:cs="Tahoma"/>
          <w:b/>
          <w:bCs/>
          <w:i/>
          <w:iCs/>
          <w:sz w:val="22"/>
        </w:rPr>
        <w:t>Artículo 19.</w:t>
      </w:r>
      <w:r w:rsidRPr="00EC18F1">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31646ABC" w14:textId="77777777" w:rsidR="00874A6C" w:rsidRPr="00EC18F1" w:rsidRDefault="00874A6C" w:rsidP="00874A6C">
      <w:pPr>
        <w:pStyle w:val="Prrafodelista"/>
        <w:tabs>
          <w:tab w:val="left" w:pos="426"/>
        </w:tabs>
        <w:spacing w:before="240" w:after="240" w:line="276" w:lineRule="auto"/>
        <w:ind w:left="567" w:right="567"/>
        <w:jc w:val="both"/>
        <w:rPr>
          <w:rFonts w:ascii="Palatino Linotype" w:hAnsi="Palatino Linotype" w:cs="Tahoma"/>
          <w:b/>
          <w:bCs/>
          <w:i/>
          <w:iCs/>
          <w:sz w:val="22"/>
        </w:rPr>
      </w:pPr>
      <w:r w:rsidRPr="00EC18F1">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745F7D7E" w14:textId="77777777" w:rsidR="00874A6C" w:rsidRPr="00EC18F1" w:rsidRDefault="00874A6C" w:rsidP="00874A6C">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E5E4AC1" w14:textId="77777777" w:rsidR="00874A6C" w:rsidRPr="00EC18F1" w:rsidRDefault="00874A6C" w:rsidP="00874A6C">
      <w:pPr>
        <w:pStyle w:val="Prrafodelista"/>
        <w:tabs>
          <w:tab w:val="left" w:pos="426"/>
        </w:tabs>
        <w:spacing w:before="240" w:after="240" w:line="276" w:lineRule="auto"/>
        <w:ind w:left="567" w:right="567"/>
        <w:jc w:val="both"/>
        <w:rPr>
          <w:rFonts w:ascii="Palatino Linotype" w:hAnsi="Palatino Linotype" w:cs="Tahoma"/>
          <w:bCs/>
          <w:iCs/>
          <w:sz w:val="22"/>
        </w:rPr>
      </w:pPr>
      <w:r w:rsidRPr="00EC18F1">
        <w:rPr>
          <w:rFonts w:ascii="Palatino Linotype" w:hAnsi="Palatino Linotype" w:cs="Tahoma"/>
          <w:bCs/>
          <w:iCs/>
          <w:sz w:val="22"/>
        </w:rPr>
        <w:t>(Énfasis añadido)</w:t>
      </w:r>
    </w:p>
    <w:p w14:paraId="52668AE1" w14:textId="77777777" w:rsidR="00874A6C" w:rsidRPr="00EC18F1" w:rsidRDefault="00874A6C" w:rsidP="00874A6C">
      <w:pPr>
        <w:pStyle w:val="Prrafodelista"/>
        <w:tabs>
          <w:tab w:val="left" w:pos="426"/>
        </w:tabs>
        <w:spacing w:before="240" w:after="240" w:line="360" w:lineRule="auto"/>
        <w:ind w:left="0" w:right="51"/>
        <w:jc w:val="both"/>
        <w:rPr>
          <w:rFonts w:ascii="Palatino Linotype" w:hAnsi="Palatino Linotype" w:cs="Tahoma"/>
          <w:bCs/>
          <w:iCs/>
        </w:rPr>
      </w:pPr>
    </w:p>
    <w:p w14:paraId="2BA13699" w14:textId="42EABF7E" w:rsidR="00874A6C" w:rsidRPr="00EC18F1" w:rsidRDefault="00874A6C" w:rsidP="00874A6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Por </w:t>
      </w:r>
      <w:r w:rsidRPr="00EC18F1">
        <w:rPr>
          <w:rFonts w:ascii="Palatino Linotype" w:hAnsi="Palatino Linotype" w:cs="Tahoma"/>
          <w:bCs/>
          <w:iCs/>
          <w:lang w:val="es-ES_tradnl"/>
        </w:rPr>
        <w:t xml:space="preserve">lo tanto, de ser el caso que no se hayan ejercido las facultades, competencias o funciones que propiciaran la generación de la información que se ordena entregar, el </w:t>
      </w:r>
      <w:r w:rsidRPr="00EC18F1">
        <w:rPr>
          <w:rFonts w:ascii="Palatino Linotype" w:hAnsi="Palatino Linotype" w:cs="Tahoma"/>
          <w:b/>
          <w:bCs/>
          <w:iCs/>
          <w:lang w:val="es-ES_tradnl"/>
        </w:rPr>
        <w:t>SUJETO OBLIGADO</w:t>
      </w:r>
      <w:r w:rsidRPr="00EC18F1">
        <w:rPr>
          <w:rFonts w:ascii="Palatino Linotype" w:hAnsi="Palatino Linotype" w:cs="Tahoma"/>
          <w:bCs/>
          <w:iCs/>
          <w:lang w:val="es-ES_tradnl"/>
        </w:rPr>
        <w:t xml:space="preserve"> deberá motivar su respuesta en función de las causas que motiven tal circunstancia.</w:t>
      </w:r>
    </w:p>
    <w:p w14:paraId="18541043"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3E1D3628" w14:textId="003672C7" w:rsidR="003C1CB7" w:rsidRPr="00EC18F1" w:rsidRDefault="003C1CB7" w:rsidP="003C1CB7">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VI. De la deuda del ayuntamiento.</w:t>
      </w:r>
    </w:p>
    <w:p w14:paraId="75D2294B" w14:textId="52B2B250" w:rsidR="003C1CB7" w:rsidRPr="00EC18F1" w:rsidRDefault="005E23CD"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Por otro lado, por cuanto hace a la información relacionada con el detalle y montos de deuda, la Ley de Transparencia y Acceso a la Información Pública del Estado de México y </w:t>
      </w:r>
      <w:r w:rsidRPr="00EC18F1">
        <w:rPr>
          <w:rFonts w:ascii="Palatino Linotype" w:hAnsi="Palatino Linotype"/>
          <w:color w:val="000000" w:themeColor="text1"/>
        </w:rPr>
        <w:lastRenderedPageBreak/>
        <w:t xml:space="preserve">Municipios, en su artículo 92, reconoce a su semántica como una </w:t>
      </w:r>
      <w:r w:rsidRPr="00EC18F1">
        <w:rPr>
          <w:rFonts w:ascii="Palatino Linotype" w:hAnsi="Palatino Linotype"/>
          <w:b/>
          <w:color w:val="000000" w:themeColor="text1"/>
        </w:rPr>
        <w:t>obligación de transparencia común</w:t>
      </w:r>
      <w:r w:rsidRPr="00EC18F1">
        <w:rPr>
          <w:rFonts w:ascii="Palatino Linotype" w:hAnsi="Palatino Linotype"/>
          <w:color w:val="000000" w:themeColor="text1"/>
        </w:rPr>
        <w:t>:</w:t>
      </w:r>
    </w:p>
    <w:p w14:paraId="3CF6CB67" w14:textId="77777777" w:rsidR="005E23CD" w:rsidRPr="00EC18F1" w:rsidRDefault="005E23CD" w:rsidP="005E23CD">
      <w:pPr>
        <w:pStyle w:val="Prrafodelista"/>
        <w:spacing w:line="276" w:lineRule="auto"/>
        <w:ind w:left="567" w:right="567"/>
        <w:jc w:val="both"/>
        <w:rPr>
          <w:rFonts w:ascii="Palatino Linotype" w:hAnsi="Palatino Linotype"/>
          <w:i/>
          <w:sz w:val="22"/>
        </w:rPr>
      </w:pPr>
      <w:r w:rsidRPr="00EC18F1">
        <w:rPr>
          <w:rFonts w:ascii="Palatino Linotype" w:hAnsi="Palatino Linotype" w:cs="Tahoma"/>
          <w:bCs/>
          <w:i/>
          <w:iCs/>
          <w:sz w:val="22"/>
        </w:rPr>
        <w:t>“</w:t>
      </w:r>
      <w:r w:rsidRPr="00EC18F1">
        <w:rPr>
          <w:rFonts w:ascii="Palatino Linotype" w:hAnsi="Palatino Linotype"/>
          <w:b/>
          <w:i/>
          <w:sz w:val="22"/>
        </w:rPr>
        <w:t>Artículo 92.</w:t>
      </w:r>
      <w:r w:rsidRPr="00EC18F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E5FF90" w14:textId="77777777" w:rsidR="005E23CD" w:rsidRPr="00EC18F1" w:rsidRDefault="005E23CD" w:rsidP="005E23CD">
      <w:pPr>
        <w:pStyle w:val="Prrafodelista"/>
        <w:spacing w:line="276" w:lineRule="auto"/>
        <w:ind w:left="567" w:right="567"/>
        <w:jc w:val="both"/>
        <w:rPr>
          <w:rFonts w:ascii="Palatino Linotype" w:hAnsi="Palatino Linotype"/>
          <w:i/>
          <w:sz w:val="22"/>
        </w:rPr>
      </w:pPr>
      <w:r w:rsidRPr="00EC18F1">
        <w:rPr>
          <w:rFonts w:ascii="Palatino Linotype" w:hAnsi="Palatino Linotype"/>
          <w:i/>
          <w:sz w:val="22"/>
        </w:rPr>
        <w:t>(…)</w:t>
      </w:r>
    </w:p>
    <w:p w14:paraId="1F9E3481" w14:textId="77777777" w:rsidR="005E23CD" w:rsidRPr="00EC18F1" w:rsidRDefault="005E23CD" w:rsidP="005E23CD">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 xml:space="preserve">XXVI. </w:t>
      </w:r>
      <w:r w:rsidRPr="00EC18F1">
        <w:rPr>
          <w:rFonts w:ascii="Palatino Linotype" w:hAnsi="Palatino Linotype"/>
          <w:i/>
          <w:sz w:val="22"/>
        </w:rPr>
        <w:t xml:space="preserve">La información relativa a la </w:t>
      </w:r>
      <w:r w:rsidRPr="00EC18F1">
        <w:rPr>
          <w:rFonts w:ascii="Palatino Linotype" w:hAnsi="Palatino Linotype"/>
          <w:b/>
          <w:i/>
          <w:sz w:val="22"/>
        </w:rPr>
        <w:t>deuda pública</w:t>
      </w:r>
      <w:r w:rsidRPr="00EC18F1">
        <w:rPr>
          <w:rFonts w:ascii="Palatino Linotype" w:hAnsi="Palatino Linotype"/>
          <w:i/>
          <w:sz w:val="22"/>
        </w:rPr>
        <w:t xml:space="preserve">, en términos de las disposiciones jurídicas aplicables: Los datos de todos los financiamientos contratados, así como de los movimientos que se efectúen, en la que se incluya: </w:t>
      </w:r>
    </w:p>
    <w:p w14:paraId="1116A80D" w14:textId="77777777" w:rsidR="005E23CD" w:rsidRPr="00EC18F1" w:rsidRDefault="005E23CD" w:rsidP="005E23CD">
      <w:pPr>
        <w:pStyle w:val="Prrafodelista"/>
        <w:tabs>
          <w:tab w:val="left" w:pos="426"/>
        </w:tabs>
        <w:spacing w:before="240" w:after="240" w:line="276" w:lineRule="auto"/>
        <w:ind w:left="851" w:right="567"/>
        <w:jc w:val="both"/>
        <w:rPr>
          <w:rFonts w:ascii="Palatino Linotype" w:hAnsi="Palatino Linotype"/>
          <w:i/>
          <w:sz w:val="22"/>
        </w:rPr>
      </w:pPr>
      <w:r w:rsidRPr="00EC18F1">
        <w:rPr>
          <w:rFonts w:ascii="Palatino Linotype" w:hAnsi="Palatino Linotype"/>
          <w:b/>
          <w:i/>
          <w:sz w:val="22"/>
        </w:rPr>
        <w:t>a)</w:t>
      </w:r>
      <w:r w:rsidRPr="00EC18F1">
        <w:rPr>
          <w:rFonts w:ascii="Palatino Linotype" w:hAnsi="Palatino Linotype"/>
          <w:i/>
          <w:sz w:val="22"/>
        </w:rPr>
        <w:t xml:space="preserve"> Los montos de financiamiento contratados; </w:t>
      </w:r>
    </w:p>
    <w:p w14:paraId="19B72260" w14:textId="77777777" w:rsidR="005E23CD" w:rsidRPr="00EC18F1" w:rsidRDefault="005E23CD" w:rsidP="005E23CD">
      <w:pPr>
        <w:pStyle w:val="Prrafodelista"/>
        <w:tabs>
          <w:tab w:val="left" w:pos="426"/>
        </w:tabs>
        <w:spacing w:before="240" w:after="240" w:line="276" w:lineRule="auto"/>
        <w:ind w:left="851" w:right="567"/>
        <w:jc w:val="both"/>
        <w:rPr>
          <w:rFonts w:ascii="Palatino Linotype" w:hAnsi="Palatino Linotype"/>
          <w:i/>
          <w:sz w:val="22"/>
        </w:rPr>
      </w:pPr>
      <w:r w:rsidRPr="00EC18F1">
        <w:rPr>
          <w:rFonts w:ascii="Palatino Linotype" w:hAnsi="Palatino Linotype"/>
          <w:b/>
          <w:i/>
          <w:sz w:val="22"/>
        </w:rPr>
        <w:t>b)</w:t>
      </w:r>
      <w:r w:rsidRPr="00EC18F1">
        <w:rPr>
          <w:rFonts w:ascii="Palatino Linotype" w:hAnsi="Palatino Linotype"/>
          <w:i/>
          <w:sz w:val="22"/>
        </w:rPr>
        <w:t xml:space="preserve"> Los plazos; </w:t>
      </w:r>
    </w:p>
    <w:p w14:paraId="3B164A02" w14:textId="77777777" w:rsidR="005E23CD" w:rsidRPr="00EC18F1" w:rsidRDefault="005E23CD" w:rsidP="005E23CD">
      <w:pPr>
        <w:pStyle w:val="Prrafodelista"/>
        <w:tabs>
          <w:tab w:val="left" w:pos="426"/>
        </w:tabs>
        <w:spacing w:before="240" w:after="240" w:line="276" w:lineRule="auto"/>
        <w:ind w:left="851" w:right="567"/>
        <w:jc w:val="both"/>
        <w:rPr>
          <w:rFonts w:ascii="Palatino Linotype" w:hAnsi="Palatino Linotype"/>
          <w:i/>
          <w:sz w:val="22"/>
        </w:rPr>
      </w:pPr>
      <w:r w:rsidRPr="00EC18F1">
        <w:rPr>
          <w:rFonts w:ascii="Palatino Linotype" w:hAnsi="Palatino Linotype"/>
          <w:b/>
          <w:i/>
          <w:sz w:val="22"/>
        </w:rPr>
        <w:t>c)</w:t>
      </w:r>
      <w:r w:rsidRPr="00EC18F1">
        <w:rPr>
          <w:rFonts w:ascii="Palatino Linotype" w:hAnsi="Palatino Linotype"/>
          <w:i/>
          <w:sz w:val="22"/>
        </w:rPr>
        <w:t xml:space="preserve"> Las tasas de interés; y </w:t>
      </w:r>
    </w:p>
    <w:p w14:paraId="27FC953E" w14:textId="6121FB60" w:rsidR="005E23CD" w:rsidRPr="00EC18F1" w:rsidRDefault="005E23CD" w:rsidP="005E23CD">
      <w:pPr>
        <w:pStyle w:val="Prrafodelista"/>
        <w:tabs>
          <w:tab w:val="left" w:pos="426"/>
        </w:tabs>
        <w:spacing w:before="240" w:after="240" w:line="276" w:lineRule="auto"/>
        <w:ind w:left="851" w:right="567"/>
        <w:jc w:val="both"/>
        <w:rPr>
          <w:rFonts w:ascii="Palatino Linotype" w:hAnsi="Palatino Linotype"/>
          <w:b/>
          <w:i/>
          <w:sz w:val="22"/>
        </w:rPr>
      </w:pPr>
      <w:r w:rsidRPr="00EC18F1">
        <w:rPr>
          <w:rFonts w:ascii="Palatino Linotype" w:hAnsi="Palatino Linotype"/>
          <w:b/>
          <w:i/>
          <w:sz w:val="22"/>
        </w:rPr>
        <w:t xml:space="preserve">d) </w:t>
      </w:r>
      <w:r w:rsidRPr="00EC18F1">
        <w:rPr>
          <w:rFonts w:ascii="Palatino Linotype" w:hAnsi="Palatino Linotype"/>
          <w:i/>
          <w:sz w:val="22"/>
        </w:rPr>
        <w:t>Las garantías.</w:t>
      </w:r>
      <w:r w:rsidRPr="00EC18F1">
        <w:rPr>
          <w:rFonts w:ascii="Palatino Linotype" w:hAnsi="Palatino Linotype"/>
          <w:b/>
          <w:i/>
          <w:sz w:val="22"/>
        </w:rPr>
        <w:t xml:space="preserve"> </w:t>
      </w:r>
    </w:p>
    <w:p w14:paraId="64CA6A5C" w14:textId="49C82E1F" w:rsidR="005E23CD" w:rsidRPr="00EC18F1" w:rsidRDefault="005E23CD" w:rsidP="005E23CD">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i/>
          <w:sz w:val="22"/>
        </w:rPr>
        <w:t>(…)”</w:t>
      </w:r>
    </w:p>
    <w:p w14:paraId="66C07B98" w14:textId="77777777" w:rsidR="005E23CD" w:rsidRPr="00EC18F1" w:rsidRDefault="005E23CD" w:rsidP="005E23CD">
      <w:pPr>
        <w:pStyle w:val="Prrafodelista"/>
        <w:tabs>
          <w:tab w:val="left" w:pos="426"/>
        </w:tabs>
        <w:spacing w:before="240" w:after="240" w:line="276" w:lineRule="auto"/>
        <w:ind w:left="567" w:right="567"/>
        <w:jc w:val="both"/>
        <w:rPr>
          <w:rFonts w:ascii="Palatino Linotype" w:hAnsi="Palatino Linotype" w:cs="Tahoma"/>
          <w:bCs/>
          <w:i/>
          <w:iCs/>
          <w:sz w:val="22"/>
        </w:rPr>
      </w:pPr>
    </w:p>
    <w:p w14:paraId="4CC22ED0" w14:textId="77777777" w:rsidR="005E23CD" w:rsidRPr="00EC18F1" w:rsidRDefault="005E23CD" w:rsidP="003C1CB7">
      <w:pPr>
        <w:pStyle w:val="Prrafodelista"/>
        <w:tabs>
          <w:tab w:val="left" w:pos="426"/>
        </w:tabs>
        <w:spacing w:before="240" w:after="240" w:line="360" w:lineRule="auto"/>
        <w:ind w:left="0" w:right="51"/>
        <w:jc w:val="both"/>
        <w:rPr>
          <w:rFonts w:ascii="Palatino Linotype" w:hAnsi="Palatino Linotype" w:cs="Tahoma"/>
          <w:bCs/>
          <w:iCs/>
        </w:rPr>
      </w:pPr>
    </w:p>
    <w:p w14:paraId="33671307" w14:textId="0A638FEA" w:rsidR="003C1CB7" w:rsidRPr="00EC18F1" w:rsidRDefault="00093AD6" w:rsidP="00093AD6">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En concordancia con lo anterior, el Código Financiero del Estado de México y Municipios reconoce que la </w:t>
      </w:r>
      <w:r w:rsidRPr="00EC18F1">
        <w:rPr>
          <w:rFonts w:ascii="Palatino Linotype" w:hAnsi="Palatino Linotype"/>
          <w:b/>
          <w:color w:val="000000" w:themeColor="text1"/>
        </w:rPr>
        <w:t>deuda pública</w:t>
      </w:r>
      <w:r w:rsidRPr="00EC18F1">
        <w:rPr>
          <w:rFonts w:ascii="Palatino Linotype" w:hAnsi="Palatino Linotype"/>
          <w:color w:val="000000" w:themeColor="text1"/>
        </w:rPr>
        <w:t xml:space="preserve"> está constituida por las obligaciones de pasivo directas, indirectas o contingentes, derivadas de financiamientos a cargo de los entes públicos</w:t>
      </w:r>
      <w:r w:rsidRPr="00EC18F1">
        <w:rPr>
          <w:rStyle w:val="Refdenotaalpie"/>
          <w:rFonts w:ascii="Palatino Linotype" w:hAnsi="Palatino Linotype"/>
          <w:color w:val="000000" w:themeColor="text1"/>
        </w:rPr>
        <w:footnoteReference w:id="15"/>
      </w:r>
      <w:r w:rsidRPr="00EC18F1">
        <w:rPr>
          <w:rFonts w:ascii="Palatino Linotype" w:hAnsi="Palatino Linotype"/>
          <w:color w:val="000000" w:themeColor="text1"/>
        </w:rPr>
        <w:t>.</w:t>
      </w:r>
    </w:p>
    <w:p w14:paraId="6D6CCFAA"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0360969C" w14:textId="02D6797E" w:rsidR="003C1CB7" w:rsidRPr="00EC18F1" w:rsidRDefault="00093AD6" w:rsidP="00093AD6">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Ahora bien, se entenderá por </w:t>
      </w:r>
      <w:r w:rsidRPr="00EC18F1">
        <w:rPr>
          <w:rFonts w:ascii="Palatino Linotype" w:hAnsi="Palatino Linotype"/>
          <w:i/>
          <w:color w:val="000000" w:themeColor="text1"/>
        </w:rPr>
        <w:t>financiamiento</w:t>
      </w:r>
      <w:r w:rsidRPr="00EC18F1">
        <w:rPr>
          <w:rFonts w:ascii="Palatino Linotype" w:hAnsi="Palatino Linotype"/>
          <w:color w:val="000000" w:themeColor="text1"/>
        </w:rPr>
        <w:t xml:space="preserve">, a toda operación constitutiva de un pasivo, directo, indirecto o contingente, de corto, mediano o largo plazo, a cargo de los entes públicos, derivada de un crédito, empréstito o préstamo, los contraídos con proveedores, contratistas y los derivados de las relaciones laborales, incluyendo </w:t>
      </w:r>
      <w:r w:rsidRPr="00EC18F1">
        <w:rPr>
          <w:rFonts w:ascii="Palatino Linotype" w:hAnsi="Palatino Linotype"/>
          <w:color w:val="000000" w:themeColor="text1"/>
        </w:rPr>
        <w:lastRenderedPageBreak/>
        <w:t>arrendamientos y factorajes financieros o cadenas productivas, independientemente de la forma mediante la que se instrumente</w:t>
      </w:r>
      <w:r w:rsidRPr="00EC18F1">
        <w:rPr>
          <w:rStyle w:val="Refdenotaalpie"/>
          <w:rFonts w:ascii="Palatino Linotype" w:hAnsi="Palatino Linotype"/>
          <w:color w:val="000000" w:themeColor="text1"/>
        </w:rPr>
        <w:footnoteReference w:id="16"/>
      </w:r>
      <w:r w:rsidRPr="00EC18F1">
        <w:rPr>
          <w:rFonts w:ascii="Palatino Linotype" w:hAnsi="Palatino Linotype"/>
          <w:color w:val="000000" w:themeColor="text1"/>
        </w:rPr>
        <w:t>.</w:t>
      </w:r>
    </w:p>
    <w:p w14:paraId="02679031"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36A3EC72" w14:textId="1F6366BB" w:rsidR="003C1CB7" w:rsidRPr="00EC18F1" w:rsidRDefault="00093AD6"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Cabe destacar que, </w:t>
      </w:r>
      <w:r w:rsidRPr="00EC18F1">
        <w:rPr>
          <w:rFonts w:ascii="Palatino Linotype" w:hAnsi="Palatino Linotype" w:cs="Arial"/>
          <w:lang w:val="es-ES"/>
        </w:rPr>
        <w:t xml:space="preserve">de acuerdo con lo establecido por el artículo 273 del </w:t>
      </w:r>
      <w:r w:rsidRPr="00EC18F1">
        <w:rPr>
          <w:rFonts w:ascii="Palatino Linotype" w:hAnsi="Palatino Linotype"/>
          <w:color w:val="000000" w:themeColor="text1"/>
        </w:rPr>
        <w:t>Código Financiero del Estado de México y Municipios</w:t>
      </w:r>
      <w:r w:rsidRPr="00EC18F1">
        <w:rPr>
          <w:rFonts w:ascii="Palatino Linotype" w:hAnsi="Palatino Linotype" w:cs="Arial"/>
          <w:lang w:val="es-ES"/>
        </w:rPr>
        <w:t>, todas las obligaciones de pasivo directas, indirectas y contingentes que contraigan los entes públicos, se inscribirán en el Registro de Deuda Pública y en el Registro Público Único en términos de la Ley de Disciplina Financiera, que será considerado como información pública de oficio y se difundirá a más tardar 10 días posteriores a su inscripción en la página de internet del ente público respectivo que contrate obligaciones, de la Secretaría de Finanzas y del Órgano Superior de Fiscalización del Estado actualizándose trimestralmente.</w:t>
      </w:r>
    </w:p>
    <w:p w14:paraId="5A135CC6" w14:textId="77777777" w:rsidR="003C1CB7" w:rsidRPr="00EC18F1" w:rsidRDefault="003C1CB7" w:rsidP="003C1CB7">
      <w:pPr>
        <w:pStyle w:val="Prrafodelista"/>
        <w:tabs>
          <w:tab w:val="left" w:pos="426"/>
        </w:tabs>
        <w:spacing w:before="240" w:after="240" w:line="360" w:lineRule="auto"/>
        <w:ind w:left="0" w:right="51"/>
        <w:jc w:val="both"/>
        <w:rPr>
          <w:rFonts w:ascii="Palatino Linotype" w:hAnsi="Palatino Linotype" w:cs="Tahoma"/>
          <w:bCs/>
          <w:iCs/>
        </w:rPr>
      </w:pPr>
    </w:p>
    <w:p w14:paraId="19188525" w14:textId="5B2D304E" w:rsidR="003C1CB7" w:rsidRPr="00EC18F1" w:rsidRDefault="00093AD6" w:rsidP="00093AD6">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Para el caso,</w:t>
      </w:r>
      <w:r w:rsidRPr="00EC18F1">
        <w:rPr>
          <w:rFonts w:ascii="Palatino Linotype" w:hAnsi="Palatino Linotype" w:cs="Arial"/>
          <w:lang w:val="es-ES"/>
        </w:rPr>
        <w:t xml:space="preserve"> a efecto de mejor proveer y determinar si la información proporcionada al </w:t>
      </w:r>
      <w:r w:rsidRPr="00EC18F1">
        <w:rPr>
          <w:rFonts w:ascii="Palatino Linotype" w:hAnsi="Palatino Linotype" w:cs="Arial"/>
          <w:b/>
          <w:lang w:val="es-ES"/>
        </w:rPr>
        <w:t>RECURRENTE</w:t>
      </w:r>
      <w:r w:rsidRPr="00EC18F1">
        <w:rPr>
          <w:rFonts w:ascii="Palatino Linotype" w:hAnsi="Palatino Linotype" w:cs="Arial"/>
          <w:lang w:val="es-ES"/>
        </w:rPr>
        <w:t xml:space="preserve"> satisface su solicitud, se verificó el Registro Público Único de Financiamientos y Obligaciones de Entidades Federativas y Municipios</w:t>
      </w:r>
      <w:r w:rsidRPr="00EC18F1">
        <w:rPr>
          <w:rStyle w:val="Refdenotaalpie"/>
          <w:rFonts w:ascii="Palatino Linotype" w:hAnsi="Palatino Linotype" w:cs="Arial"/>
          <w:lang w:val="es-ES"/>
        </w:rPr>
        <w:footnoteReference w:id="17"/>
      </w:r>
      <w:r w:rsidRPr="00EC18F1">
        <w:rPr>
          <w:rFonts w:ascii="Palatino Linotype" w:hAnsi="Palatino Linotype" w:cs="Arial"/>
          <w:lang w:val="es-ES"/>
        </w:rPr>
        <w:t xml:space="preserve"> y, de dicho documento, se deriva que el </w:t>
      </w:r>
      <w:r w:rsidRPr="00EC18F1">
        <w:rPr>
          <w:rFonts w:ascii="Palatino Linotype" w:hAnsi="Palatino Linotype" w:cs="Arial"/>
          <w:b/>
          <w:lang w:val="es-ES"/>
        </w:rPr>
        <w:t>SUJETO OBLIGADO</w:t>
      </w:r>
      <w:r w:rsidRPr="00EC18F1">
        <w:rPr>
          <w:rFonts w:ascii="Palatino Linotype" w:hAnsi="Palatino Linotype" w:cs="Arial"/>
          <w:lang w:val="es-ES"/>
        </w:rPr>
        <w:t xml:space="preserve"> tiene un pasivo registrado</w:t>
      </w:r>
      <w:r w:rsidR="00D041AD" w:rsidRPr="00EC18F1">
        <w:rPr>
          <w:rFonts w:ascii="Palatino Linotype" w:hAnsi="Palatino Linotype" w:cs="Arial"/>
          <w:lang w:val="es-ES"/>
        </w:rPr>
        <w:t>, contratado el veintisiete (27) de junio de dos mil veintidós, por $7,856,000.00 (SIETE MILLONES OCHICIENTOS CINCUENTA Y SEIS MIL PESOS 00/100 M.N.)</w:t>
      </w:r>
      <w:r w:rsidRPr="00EC18F1">
        <w:rPr>
          <w:rFonts w:ascii="Palatino Linotype" w:hAnsi="Palatino Linotype" w:cs="Arial"/>
          <w:lang w:val="es-ES"/>
        </w:rPr>
        <w:t>, tal como se muestra a continuación:</w:t>
      </w:r>
    </w:p>
    <w:p w14:paraId="49EE3777" w14:textId="74954158" w:rsidR="00093AD6" w:rsidRPr="00EC18F1" w:rsidRDefault="00093AD6" w:rsidP="00093AD6">
      <w:pPr>
        <w:pStyle w:val="Prrafodelista"/>
        <w:tabs>
          <w:tab w:val="left" w:pos="426"/>
        </w:tabs>
        <w:spacing w:before="240" w:after="240" w:line="360" w:lineRule="auto"/>
        <w:ind w:left="0" w:right="51"/>
        <w:jc w:val="center"/>
        <w:rPr>
          <w:rFonts w:ascii="Palatino Linotype" w:hAnsi="Palatino Linotype" w:cs="Tahoma"/>
          <w:bCs/>
          <w:iCs/>
        </w:rPr>
      </w:pPr>
      <w:r w:rsidRPr="00EC18F1">
        <w:rPr>
          <w:rFonts w:ascii="Palatino Linotype" w:hAnsi="Palatino Linotype" w:cs="Tahoma"/>
          <w:bCs/>
          <w:iCs/>
          <w:noProof/>
          <w:lang w:eastAsia="es-MX"/>
        </w:rPr>
        <w:lastRenderedPageBreak/>
        <w:drawing>
          <wp:inline distT="0" distB="0" distL="0" distR="0" wp14:anchorId="1CF8CFCC" wp14:editId="31D60403">
            <wp:extent cx="4442984" cy="1565453"/>
            <wp:effectExtent l="57150" t="57150" r="110490" b="1111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8949" cy="15886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D2B53C" w14:textId="77777777" w:rsidR="00093AD6" w:rsidRPr="00EC18F1" w:rsidRDefault="00093AD6" w:rsidP="003C1CB7">
      <w:pPr>
        <w:pStyle w:val="Prrafodelista"/>
        <w:tabs>
          <w:tab w:val="left" w:pos="426"/>
        </w:tabs>
        <w:spacing w:before="240" w:after="240" w:line="360" w:lineRule="auto"/>
        <w:ind w:left="0" w:right="51"/>
        <w:jc w:val="both"/>
        <w:rPr>
          <w:rFonts w:ascii="Palatino Linotype" w:hAnsi="Palatino Linotype" w:cs="Tahoma"/>
          <w:bCs/>
          <w:iCs/>
        </w:rPr>
      </w:pPr>
    </w:p>
    <w:p w14:paraId="113F446E" w14:textId="41990ECE" w:rsidR="003C1CB7" w:rsidRPr="00EC18F1" w:rsidRDefault="00D041AD"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Consecuencia de lo anterior, el </w:t>
      </w:r>
      <w:r w:rsidRPr="00EC18F1">
        <w:rPr>
          <w:rFonts w:ascii="Palatino Linotype" w:hAnsi="Palatino Linotype"/>
          <w:b/>
          <w:color w:val="000000" w:themeColor="text1"/>
        </w:rPr>
        <w:t>SUJETO OBLIGADO</w:t>
      </w:r>
      <w:r w:rsidRPr="00EC18F1">
        <w:rPr>
          <w:rFonts w:ascii="Palatino Linotype" w:hAnsi="Palatino Linotype"/>
          <w:color w:val="000000" w:themeColor="text1"/>
        </w:rPr>
        <w:t xml:space="preserve"> deberá hacer entrega del o los documentos donde conste el detalle y montos de la deuda pública contratada durante el periodo comprendido del uno (01) de enero de dos mil diecinueve al treinta (30) de noviembre de dos mil veintidós.</w:t>
      </w:r>
    </w:p>
    <w:p w14:paraId="34645291"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07C04891" w14:textId="7B4B871A" w:rsidR="00365485" w:rsidRPr="00EC18F1" w:rsidRDefault="00365485" w:rsidP="00365485">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EC18F1">
        <w:rPr>
          <w:rFonts w:ascii="Palatino Linotype" w:hAnsi="Palatino Linotype"/>
          <w:b/>
          <w:color w:val="000000" w:themeColor="text1"/>
        </w:rPr>
        <w:t>VII. De los proveedores del ayuntamiento.</w:t>
      </w:r>
    </w:p>
    <w:p w14:paraId="2A27AB02"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La </w:t>
      </w:r>
      <w:r w:rsidRPr="00EC18F1">
        <w:rPr>
          <w:rFonts w:ascii="Palatino Linotype" w:hAnsi="Palatino Linotype" w:cs="Arial"/>
          <w:color w:val="000000"/>
        </w:rPr>
        <w:t xml:space="preserve">Ley de Contratación pública del Estado de México y Municipios tiene por objeto el regular los actos relativos a la planeación, programación, presupuestación, ejecución y control de la adquisición, enajenación y arrendamiento de bienes, y la contratación de servicios de cualquier naturaleza, que realicen los distintos entes públicos de la entidad, entre los que se encuentran los </w:t>
      </w:r>
      <w:r w:rsidRPr="00EC18F1">
        <w:rPr>
          <w:rFonts w:ascii="Palatino Linotype" w:hAnsi="Palatino Linotype" w:cs="Arial"/>
          <w:b/>
          <w:color w:val="000000"/>
        </w:rPr>
        <w:t>organismos auxiliares de carácter municipal</w:t>
      </w:r>
      <w:r w:rsidRPr="00EC18F1">
        <w:rPr>
          <w:rStyle w:val="Refdenotaalpie"/>
          <w:rFonts w:ascii="Palatino Linotype" w:hAnsi="Palatino Linotype" w:cs="Arial"/>
          <w:b/>
          <w:color w:val="000000"/>
        </w:rPr>
        <w:footnoteReference w:id="18"/>
      </w:r>
      <w:r w:rsidRPr="00EC18F1">
        <w:rPr>
          <w:rFonts w:ascii="Palatino Linotype" w:hAnsi="Palatino Linotype" w:cs="Arial"/>
          <w:color w:val="000000"/>
        </w:rPr>
        <w:t>.</w:t>
      </w:r>
    </w:p>
    <w:p w14:paraId="4ED83F32"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58FD4857"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Ahora bien, de acuerdo con el artículo 4 de la Ley de mérito, en las adquisiciones, enajenaciones, arrendamientos y servicios, quedan comprendidos:</w:t>
      </w:r>
    </w:p>
    <w:p w14:paraId="07CD1005"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s="Arial"/>
          <w:color w:val="000000"/>
          <w:sz w:val="22"/>
        </w:rPr>
        <w:t>La adquisición de bienes muebles;</w:t>
      </w:r>
    </w:p>
    <w:p w14:paraId="60EC3E32"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 xml:space="preserve">La adquisición de bienes inmuebles, a través de compraventa. </w:t>
      </w:r>
    </w:p>
    <w:p w14:paraId="621AEEB6"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 xml:space="preserve">La enajenación de bienes muebles e inmuebles. </w:t>
      </w:r>
    </w:p>
    <w:p w14:paraId="3E44A132"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lastRenderedPageBreak/>
        <w:t xml:space="preserve">El arrendamiento de bienes muebles e inmuebles. </w:t>
      </w:r>
    </w:p>
    <w:p w14:paraId="69E8D646"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 xml:space="preserve">La contratación de los servicios, relacionados con bienes muebles que se encuentran incorporados o adheridos a bienes inmuebles, cuya instalación o mantenimiento no implique modificación al bien inmueble. </w:t>
      </w:r>
    </w:p>
    <w:p w14:paraId="247136D7"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 xml:space="preserve">La contratación de los servicios de reconstrucción y mantenimiento de bienes muebles. </w:t>
      </w:r>
    </w:p>
    <w:p w14:paraId="26518FCD"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 xml:space="preserve">La contratación de los servicios de maquila, seguros y transportación, así como de los de limpieza y vigilancia de bienes inmuebles. </w:t>
      </w:r>
    </w:p>
    <w:p w14:paraId="22068012" w14:textId="77777777" w:rsidR="00365485" w:rsidRPr="00EC18F1" w:rsidRDefault="00365485" w:rsidP="0036548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EC18F1">
        <w:rPr>
          <w:rFonts w:ascii="Palatino Linotype" w:hAnsi="Palatino Linotype"/>
          <w:color w:val="000000" w:themeColor="text1"/>
          <w:sz w:val="22"/>
        </w:rPr>
        <w:t>La prestación de servicios profesionales, la contratación de consultorías, asesorías y estudios e investigaciones, excepto la contratación de servicios personales de personas físicas bajo el régimen de honorarios.</w:t>
      </w:r>
    </w:p>
    <w:p w14:paraId="6E6BE8C9"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3CCE5457"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w:t>
      </w:r>
      <w:r w:rsidRPr="00EC18F1">
        <w:rPr>
          <w:rStyle w:val="Refdenotaalpie"/>
          <w:rFonts w:ascii="Palatino Linotype" w:hAnsi="Palatino Linotype" w:cs="Arial"/>
          <w:color w:val="000000"/>
        </w:rPr>
        <w:footnoteReference w:id="19"/>
      </w:r>
      <w:r w:rsidRPr="00EC18F1">
        <w:rPr>
          <w:rFonts w:ascii="Palatino Linotype" w:hAnsi="Palatino Linotype" w:cs="Arial"/>
          <w:color w:val="000000"/>
        </w:rPr>
        <w:t>.</w:t>
      </w:r>
    </w:p>
    <w:p w14:paraId="5286680B"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0952510E"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 xml:space="preserve">Ahora bien, a fin de conocer la capacidad administrativa, financiera, legal y técnica de las fuentes de suministro, los ayuntamientos integrarán un </w:t>
      </w:r>
      <w:r w:rsidRPr="00EC18F1">
        <w:rPr>
          <w:rFonts w:ascii="Palatino Linotype" w:hAnsi="Palatino Linotype" w:cs="Arial"/>
          <w:b/>
          <w:color w:val="000000"/>
        </w:rPr>
        <w:t>catálogo de proveedores y de prestadores de servicios</w:t>
      </w:r>
      <w:r w:rsidRPr="00EC18F1">
        <w:rPr>
          <w:rFonts w:ascii="Palatino Linotype" w:hAnsi="Palatino Linotype" w:cs="Arial"/>
          <w:color w:val="000000"/>
        </w:rPr>
        <w:t xml:space="preserve">. </w:t>
      </w:r>
    </w:p>
    <w:p w14:paraId="35FC3E82"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28F6D273"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 xml:space="preserve">Dicho lo anterior, no es ocioso señalar que la información solicitada se encuentra relacionada con parte de las obligaciones de transparencia comunes que el </w:t>
      </w:r>
      <w:r w:rsidRPr="00EC18F1">
        <w:rPr>
          <w:rFonts w:ascii="Palatino Linotype" w:hAnsi="Palatino Linotype" w:cs="Arial"/>
          <w:b/>
          <w:color w:val="000000"/>
        </w:rPr>
        <w:t>SUJETO OBLIGADO</w:t>
      </w:r>
      <w:r w:rsidRPr="00EC18F1">
        <w:rPr>
          <w:rFonts w:ascii="Palatino Linotype" w:hAnsi="Palatino Linotype" w:cs="Arial"/>
          <w:color w:val="000000"/>
        </w:rPr>
        <w:t xml:space="preserve"> se encuentra constreñido a publicar y difundir de manera permanente a la ciudadanía; ello con base en lo establecido en el artículo 92, fracciones XXXV y XXXVI, de </w:t>
      </w:r>
      <w:r w:rsidRPr="00EC18F1">
        <w:rPr>
          <w:rFonts w:ascii="Palatino Linotype" w:hAnsi="Palatino Linotype" w:cs="Arial"/>
          <w:color w:val="000000"/>
        </w:rPr>
        <w:lastRenderedPageBreak/>
        <w:t>la Ley de Transparencia y Acceso a la Información Pública del Estado de México y Municipios, mismo que se comparte a continuación:</w:t>
      </w:r>
    </w:p>
    <w:p w14:paraId="7C6F88CB"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i/>
          <w:color w:val="000000" w:themeColor="text1"/>
          <w:sz w:val="22"/>
        </w:rPr>
        <w:t>“</w:t>
      </w:r>
      <w:r w:rsidRPr="00EC18F1">
        <w:rPr>
          <w:rFonts w:ascii="Palatino Linotype" w:hAnsi="Palatino Linotype"/>
          <w:b/>
          <w:i/>
          <w:color w:val="000000" w:themeColor="text1"/>
          <w:sz w:val="22"/>
        </w:rPr>
        <w:t>Artículo 92.</w:t>
      </w:r>
      <w:r w:rsidRPr="00EC18F1">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DFC39D"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i/>
          <w:color w:val="000000" w:themeColor="text1"/>
          <w:sz w:val="22"/>
        </w:rPr>
        <w:t>(…)</w:t>
      </w:r>
    </w:p>
    <w:p w14:paraId="6C603F37"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b/>
          <w:i/>
          <w:color w:val="000000" w:themeColor="text1"/>
          <w:sz w:val="22"/>
        </w:rPr>
        <w:t>XXXV.</w:t>
      </w:r>
      <w:r w:rsidRPr="00EC18F1">
        <w:rPr>
          <w:rFonts w:ascii="Palatino Linotype" w:hAnsi="Palatino Linotype"/>
          <w:i/>
          <w:color w:val="000000" w:themeColor="text1"/>
          <w:sz w:val="22"/>
        </w:rPr>
        <w:t xml:space="preserve"> </w:t>
      </w:r>
      <w:r w:rsidRPr="00EC18F1">
        <w:rPr>
          <w:rFonts w:ascii="Palatino Linotype" w:hAnsi="Palatino Linotype"/>
          <w:b/>
          <w:i/>
          <w:color w:val="000000" w:themeColor="text1"/>
          <w:sz w:val="22"/>
        </w:rPr>
        <w:t>Informes de</w:t>
      </w:r>
      <w:r w:rsidRPr="00EC18F1">
        <w:rPr>
          <w:rFonts w:ascii="Palatino Linotype" w:hAnsi="Palatino Linotype"/>
          <w:i/>
          <w:color w:val="000000" w:themeColor="text1"/>
          <w:sz w:val="22"/>
        </w:rPr>
        <w:t xml:space="preserve"> avances programáticos o presupuestales, balances generales y </w:t>
      </w:r>
      <w:r w:rsidRPr="00EC18F1">
        <w:rPr>
          <w:rFonts w:ascii="Palatino Linotype" w:hAnsi="Palatino Linotype"/>
          <w:b/>
          <w:i/>
          <w:color w:val="000000" w:themeColor="text1"/>
          <w:sz w:val="22"/>
        </w:rPr>
        <w:t>estado financiero</w:t>
      </w:r>
      <w:r w:rsidRPr="00EC18F1">
        <w:rPr>
          <w:rFonts w:ascii="Palatino Linotype" w:hAnsi="Palatino Linotype"/>
          <w:i/>
          <w:color w:val="000000" w:themeColor="text1"/>
          <w:sz w:val="22"/>
        </w:rPr>
        <w:t>;</w:t>
      </w:r>
    </w:p>
    <w:p w14:paraId="4366115F"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b/>
          <w:i/>
          <w:color w:val="000000" w:themeColor="text1"/>
          <w:sz w:val="22"/>
        </w:rPr>
        <w:t>XXXVI.</w:t>
      </w:r>
      <w:r w:rsidRPr="00EC18F1">
        <w:rPr>
          <w:rFonts w:ascii="Palatino Linotype" w:hAnsi="Palatino Linotype"/>
          <w:i/>
          <w:color w:val="000000" w:themeColor="text1"/>
          <w:sz w:val="22"/>
        </w:rPr>
        <w:t xml:space="preserve"> </w:t>
      </w:r>
      <w:r w:rsidRPr="00EC18F1">
        <w:rPr>
          <w:rFonts w:ascii="Palatino Linotype" w:hAnsi="Palatino Linotype"/>
          <w:b/>
          <w:i/>
          <w:color w:val="000000" w:themeColor="text1"/>
          <w:sz w:val="22"/>
        </w:rPr>
        <w:t>Padrón de proveedores</w:t>
      </w:r>
      <w:r w:rsidRPr="00EC18F1">
        <w:rPr>
          <w:rFonts w:ascii="Palatino Linotype" w:hAnsi="Palatino Linotype"/>
          <w:i/>
          <w:color w:val="000000" w:themeColor="text1"/>
          <w:sz w:val="22"/>
        </w:rPr>
        <w:t xml:space="preserve"> y contratistas;</w:t>
      </w:r>
    </w:p>
    <w:p w14:paraId="3DB55509"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i/>
          <w:color w:val="000000" w:themeColor="text1"/>
          <w:sz w:val="22"/>
        </w:rPr>
        <w:t>(…)”</w:t>
      </w:r>
    </w:p>
    <w:p w14:paraId="708C06D8"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EC18F1">
        <w:rPr>
          <w:rFonts w:ascii="Palatino Linotype" w:hAnsi="Palatino Linotype"/>
          <w:color w:val="000000" w:themeColor="text1"/>
          <w:sz w:val="22"/>
        </w:rPr>
        <w:t>(Énfasis añadido)</w:t>
      </w:r>
    </w:p>
    <w:p w14:paraId="46EF7EBC"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6CDDCC49"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No se omite mencionar que las obligaciones de transparencia común establecidas en el numeral 92 de nuestra Ley Estatal, armonizan con las obligaciones señaladas en el artículo 70 de la Ley General de Transparencia y Acceso a la Información Pública, en cuya fracción XXXII se señala lo siguiente:</w:t>
      </w:r>
    </w:p>
    <w:p w14:paraId="69597F22"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i/>
          <w:iCs/>
          <w:color w:val="000000" w:themeColor="text1"/>
          <w:sz w:val="22"/>
        </w:rPr>
        <w:t>“</w:t>
      </w:r>
      <w:r w:rsidRPr="00EC18F1">
        <w:rPr>
          <w:rFonts w:ascii="Palatino Linotype" w:hAnsi="Palatino Linotype"/>
          <w:b/>
          <w:bCs/>
          <w:i/>
          <w:iCs/>
          <w:color w:val="000000" w:themeColor="text1"/>
          <w:sz w:val="22"/>
        </w:rPr>
        <w:t xml:space="preserve">Artículo 70. </w:t>
      </w:r>
      <w:r w:rsidRPr="00EC18F1">
        <w:rPr>
          <w:rFonts w:ascii="Palatino Linotype" w:hAnsi="Palatino Linotype"/>
          <w:i/>
          <w:iCs/>
          <w:color w:val="000000" w:themeColor="text1"/>
          <w:sz w:val="22"/>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96F30B1"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i/>
          <w:iCs/>
          <w:color w:val="000000" w:themeColor="text1"/>
          <w:sz w:val="22"/>
        </w:rPr>
        <w:t>(…)</w:t>
      </w:r>
    </w:p>
    <w:p w14:paraId="29ABBB03"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XXXII.</w:t>
      </w:r>
      <w:r w:rsidRPr="00EC18F1">
        <w:rPr>
          <w:rFonts w:ascii="Palatino Linotype" w:hAnsi="Palatino Linotype"/>
          <w:i/>
          <w:iCs/>
          <w:color w:val="000000" w:themeColor="text1"/>
          <w:sz w:val="22"/>
        </w:rPr>
        <w:t xml:space="preserve"> Padrón de proveedores y contratistas;</w:t>
      </w:r>
    </w:p>
    <w:p w14:paraId="3C322B38"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i/>
          <w:iCs/>
          <w:color w:val="000000" w:themeColor="text1"/>
          <w:sz w:val="22"/>
        </w:rPr>
        <w:t>(…)”</w:t>
      </w:r>
    </w:p>
    <w:p w14:paraId="6BB0E7F8"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7CC0131F"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 xml:space="preserve">En seguimiento a lo anterior, los </w:t>
      </w:r>
      <w:r w:rsidRPr="00EC18F1">
        <w:rPr>
          <w:rFonts w:ascii="Palatino Linotype" w:hAnsi="Palatino Linotype" w:cs="Arial"/>
          <w:i/>
          <w:iCs/>
          <w:color w:val="00000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w:t>
      </w:r>
      <w:r w:rsidRPr="00EC18F1">
        <w:rPr>
          <w:rFonts w:ascii="Palatino Linotype" w:hAnsi="Palatino Linotype" w:cs="Arial"/>
          <w:i/>
          <w:iCs/>
          <w:color w:val="000000"/>
        </w:rPr>
        <w:lastRenderedPageBreak/>
        <w:t>la Plataforma Nacional de Transparencia</w:t>
      </w:r>
      <w:r w:rsidRPr="00EC18F1">
        <w:rPr>
          <w:rFonts w:ascii="Palatino Linotype" w:hAnsi="Palatino Linotype" w:cs="Arial"/>
          <w:color w:val="000000"/>
        </w:rPr>
        <w:t xml:space="preserve">, en su Lineamiento Primero, establecen que éstos son de observancia </w:t>
      </w:r>
      <w:r w:rsidRPr="00EC18F1">
        <w:rPr>
          <w:rFonts w:ascii="Palatino Linotype" w:hAnsi="Palatino Linotype" w:cs="Arial"/>
          <w:b/>
          <w:bCs/>
          <w:color w:val="000000"/>
        </w:rPr>
        <w:t>obligatoria</w:t>
      </w:r>
      <w:r w:rsidRPr="00EC18F1">
        <w:rPr>
          <w:rFonts w:ascii="Palatino Linotype" w:hAnsi="Palatino Linotype" w:cs="Arial"/>
          <w:color w:val="000000"/>
        </w:rPr>
        <w:t xml:space="preserve"> para el Instituto, los organismos garantes y los </w:t>
      </w:r>
      <w:r w:rsidRPr="00EC18F1">
        <w:rPr>
          <w:rFonts w:ascii="Palatino Linotype" w:hAnsi="Palatino Linotype" w:cs="Arial"/>
          <w:b/>
          <w:bCs/>
          <w:color w:val="000000"/>
        </w:rPr>
        <w:t>sujetos obligados de todo el país</w:t>
      </w:r>
      <w:r w:rsidRPr="00EC18F1">
        <w:rPr>
          <w:rFonts w:ascii="Palatino Linotype" w:hAnsi="Palatino Linotype" w:cs="Arial"/>
          <w:color w:val="000000"/>
        </w:rPr>
        <w:t xml:space="preserve"> en sus diferentes ámbitos (federal, estatal y </w:t>
      </w:r>
      <w:r w:rsidRPr="00EC18F1">
        <w:rPr>
          <w:rFonts w:ascii="Palatino Linotype" w:hAnsi="Palatino Linotype" w:cs="Arial"/>
          <w:b/>
          <w:bCs/>
          <w:color w:val="000000"/>
        </w:rPr>
        <w:t>municipal</w:t>
      </w:r>
      <w:r w:rsidRPr="00EC18F1">
        <w:rPr>
          <w:rFonts w:ascii="Palatino Linotype" w:hAnsi="Palatino Linotype" w:cs="Arial"/>
          <w:color w:val="000000"/>
        </w:rPr>
        <w:t>), pues 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14:paraId="6FAA7A2E"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7A1E2288"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 xml:space="preserve">Dicho lo anterior, por cuanto hace a la obligación de transparencia común reconocida como el </w:t>
      </w:r>
      <w:r w:rsidRPr="00EC18F1">
        <w:rPr>
          <w:rFonts w:ascii="Palatino Linotype" w:hAnsi="Palatino Linotype" w:cs="Arial"/>
          <w:i/>
          <w:iCs/>
          <w:color w:val="000000"/>
        </w:rPr>
        <w:t>Padrón de Proveedores y Contratistas</w:t>
      </w:r>
      <w:r w:rsidRPr="00EC18F1">
        <w:rPr>
          <w:rFonts w:ascii="Palatino Linotype" w:hAnsi="Palatino Linotype" w:cs="Arial"/>
          <w:color w:val="000000"/>
        </w:rPr>
        <w:t>, los Lineamientos de mérito establecen que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14:paraId="711FA3EE"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65E0CA49" w14:textId="77777777"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Por cuanto hace a los Criterios Sustantivos de Contenido de la información, los Lineamientos contemplan los siguientes rubros:</w:t>
      </w:r>
    </w:p>
    <w:p w14:paraId="418D4051"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rPr>
      </w:pPr>
      <w:r w:rsidRPr="00EC18F1">
        <w:rPr>
          <w:rFonts w:ascii="Palatino Linotype" w:hAnsi="Palatino Linotype"/>
          <w:i/>
          <w:iCs/>
          <w:color w:val="000000" w:themeColor="text1"/>
          <w:sz w:val="22"/>
        </w:rPr>
        <w:t>“</w:t>
      </w:r>
      <w:r w:rsidRPr="00EC18F1">
        <w:rPr>
          <w:rFonts w:ascii="Palatino Linotype" w:hAnsi="Palatino Linotype"/>
          <w:b/>
          <w:bCs/>
          <w:i/>
          <w:iCs/>
          <w:color w:val="000000" w:themeColor="text1"/>
          <w:sz w:val="22"/>
        </w:rPr>
        <w:t xml:space="preserve">Criterios sustantivos de contenido </w:t>
      </w:r>
    </w:p>
    <w:p w14:paraId="62E937DE"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1</w:t>
      </w:r>
      <w:r w:rsidRPr="00EC18F1">
        <w:rPr>
          <w:rFonts w:ascii="Palatino Linotype" w:hAnsi="Palatino Linotype"/>
          <w:i/>
          <w:iCs/>
          <w:color w:val="000000" w:themeColor="text1"/>
          <w:sz w:val="22"/>
        </w:rPr>
        <w:t xml:space="preserve"> Ejercicio </w:t>
      </w:r>
    </w:p>
    <w:p w14:paraId="281134B0"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2</w:t>
      </w:r>
      <w:r w:rsidRPr="00EC18F1">
        <w:rPr>
          <w:rFonts w:ascii="Palatino Linotype" w:hAnsi="Palatino Linotype"/>
          <w:i/>
          <w:iCs/>
          <w:color w:val="000000" w:themeColor="text1"/>
          <w:sz w:val="22"/>
        </w:rPr>
        <w:t xml:space="preserve"> Periodo que se informa (fecha de inicio y fecha de término con el formato día/mes/año) </w:t>
      </w:r>
    </w:p>
    <w:p w14:paraId="371F1323"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3</w:t>
      </w:r>
      <w:r w:rsidRPr="00EC18F1">
        <w:rPr>
          <w:rFonts w:ascii="Palatino Linotype" w:hAnsi="Palatino Linotype"/>
          <w:i/>
          <w:iCs/>
          <w:color w:val="000000" w:themeColor="text1"/>
          <w:sz w:val="22"/>
        </w:rPr>
        <w:t xml:space="preserve"> Personería jurídica del proveedor o contratista (catálogo): Persona física/Persona moral</w:t>
      </w:r>
    </w:p>
    <w:p w14:paraId="3E2DFF54"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4</w:t>
      </w:r>
      <w:r w:rsidRPr="00EC18F1">
        <w:rPr>
          <w:rFonts w:ascii="Palatino Linotype" w:hAnsi="Palatino Linotype"/>
          <w:i/>
          <w:iCs/>
          <w:color w:val="000000" w:themeColor="text1"/>
          <w:sz w:val="22"/>
        </w:rPr>
        <w:t xml:space="preserve"> </w:t>
      </w:r>
      <w:r w:rsidRPr="00EC18F1">
        <w:rPr>
          <w:rFonts w:ascii="Palatino Linotype" w:hAnsi="Palatino Linotype"/>
          <w:b/>
          <w:i/>
          <w:iCs/>
          <w:color w:val="000000" w:themeColor="text1"/>
          <w:sz w:val="22"/>
        </w:rPr>
        <w:t>Nombre (nombre[s], primer apellido, segundo apellido), denominación o razón social del proveedor o contratista</w:t>
      </w:r>
    </w:p>
    <w:p w14:paraId="05A91CA6"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5</w:t>
      </w:r>
      <w:r w:rsidRPr="00EC18F1">
        <w:rPr>
          <w:rFonts w:ascii="Palatino Linotype" w:hAnsi="Palatino Linotype"/>
          <w:i/>
          <w:iCs/>
          <w:color w:val="000000" w:themeColor="text1"/>
          <w:sz w:val="22"/>
        </w:rPr>
        <w:t xml:space="preserve"> Estratificación, por ejemplo, Micro empresa, pequeña empresa, mediana empresa </w:t>
      </w:r>
    </w:p>
    <w:p w14:paraId="43BCCBB2"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6</w:t>
      </w:r>
      <w:r w:rsidRPr="00EC18F1">
        <w:rPr>
          <w:rFonts w:ascii="Palatino Linotype" w:hAnsi="Palatino Linotype"/>
          <w:i/>
          <w:iCs/>
          <w:color w:val="000000" w:themeColor="text1"/>
          <w:sz w:val="22"/>
        </w:rPr>
        <w:t xml:space="preserve"> Origen del proveedor o contratista (catálogo): Nacional/Extranjero </w:t>
      </w:r>
    </w:p>
    <w:p w14:paraId="3CDF38C4"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7</w:t>
      </w:r>
      <w:r w:rsidRPr="00EC18F1">
        <w:rPr>
          <w:rFonts w:ascii="Palatino Linotype" w:hAnsi="Palatino Linotype"/>
          <w:i/>
          <w:iCs/>
          <w:color w:val="000000" w:themeColor="text1"/>
          <w:sz w:val="22"/>
        </w:rPr>
        <w:t xml:space="preserve"> País de origen si la empresa es una filial extranjera </w:t>
      </w:r>
    </w:p>
    <w:p w14:paraId="5A918D85"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lastRenderedPageBreak/>
        <w:t xml:space="preserve">Criterio 8 </w:t>
      </w:r>
      <w:r w:rsidRPr="00EC18F1">
        <w:rPr>
          <w:rFonts w:ascii="Palatino Linotype" w:hAnsi="Palatino Linotype"/>
          <w:bCs/>
          <w:i/>
          <w:iCs/>
          <w:color w:val="000000" w:themeColor="text1"/>
          <w:sz w:val="22"/>
        </w:rPr>
        <w:t>Registro Federal de Contribuyentes (RFC) de la persona física o moral con homoclave incluida</w:t>
      </w:r>
      <w:r w:rsidRPr="00EC18F1">
        <w:rPr>
          <w:rFonts w:ascii="Palatino Linotype" w:hAnsi="Palatino Linotype"/>
          <w:i/>
          <w:iCs/>
          <w:color w:val="000000" w:themeColor="text1"/>
          <w:sz w:val="22"/>
        </w:rPr>
        <w:t xml:space="preserve">, emitido por el Servicio de Administración Tributaria (SAT). En el caso de personas morales son 12 caracteres y en el de personas físicas 13. </w:t>
      </w:r>
    </w:p>
    <w:p w14:paraId="1CEF0AC0"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 xml:space="preserve">Criterio 9 </w:t>
      </w:r>
      <w:r w:rsidRPr="00EC18F1">
        <w:rPr>
          <w:rFonts w:ascii="Palatino Linotype" w:hAnsi="Palatino Linotype"/>
          <w:i/>
          <w:iCs/>
          <w:color w:val="000000" w:themeColor="text1"/>
          <w:sz w:val="22"/>
        </w:rPr>
        <w:t xml:space="preserve">Entidad federativa de la persona física o moral (catálogo) </w:t>
      </w:r>
    </w:p>
    <w:p w14:paraId="197C1CA7"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10</w:t>
      </w:r>
      <w:r w:rsidRPr="00EC18F1">
        <w:rPr>
          <w:rFonts w:ascii="Palatino Linotype" w:hAnsi="Palatino Linotype"/>
          <w:i/>
          <w:iCs/>
          <w:color w:val="000000" w:themeColor="text1"/>
          <w:sz w:val="22"/>
        </w:rPr>
        <w:t xml:space="preserve"> El proveedor o contratista realiza subcontrataciones (catálogo): Sí / No </w:t>
      </w:r>
    </w:p>
    <w:p w14:paraId="4963EF49"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11</w:t>
      </w:r>
      <w:r w:rsidRPr="00EC18F1">
        <w:rPr>
          <w:rFonts w:ascii="Palatino Linotype" w:hAnsi="Palatino Linotype"/>
          <w:i/>
          <w:iCs/>
          <w:color w:val="000000" w:themeColor="text1"/>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p w14:paraId="19DF9B57"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12</w:t>
      </w:r>
      <w:r w:rsidRPr="00EC18F1">
        <w:rPr>
          <w:rFonts w:ascii="Palatino Linotype" w:hAnsi="Palatino Linotype"/>
          <w:i/>
          <w:iCs/>
          <w:color w:val="000000" w:themeColor="text1"/>
          <w:sz w:val="22"/>
        </w:rPr>
        <w:t xml:space="preserve"> </w:t>
      </w:r>
      <w:r w:rsidRPr="00EC18F1">
        <w:rPr>
          <w:rFonts w:ascii="Palatino Linotype" w:hAnsi="Palatino Linotype"/>
          <w:bCs/>
          <w:i/>
          <w:iCs/>
          <w:color w:val="000000" w:themeColor="text1"/>
          <w:sz w:val="22"/>
        </w:rPr>
        <w:t>Domicilio fiscal</w:t>
      </w:r>
      <w:r w:rsidRPr="00EC18F1">
        <w:rPr>
          <w:rFonts w:ascii="Palatino Linotype" w:hAnsi="Palatino Linotype"/>
          <w:i/>
          <w:iCs/>
          <w:color w:val="000000" w:themeColor="text1"/>
          <w:sz w:val="22"/>
        </w:rPr>
        <w:t xml:space="preserve">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w:t>
      </w:r>
      <w:r w:rsidRPr="00EC18F1">
        <w:rPr>
          <w:rFonts w:ascii="Palatino Linotype" w:hAnsi="Palatino Linotype"/>
          <w:b/>
          <w:bCs/>
          <w:i/>
          <w:iCs/>
          <w:color w:val="000000" w:themeColor="text1"/>
          <w:sz w:val="22"/>
        </w:rPr>
        <w:t>proporcionado ante el SAT</w:t>
      </w:r>
      <w:r w:rsidRPr="00EC18F1">
        <w:rPr>
          <w:rFonts w:ascii="Palatino Linotype" w:hAnsi="Palatino Linotype"/>
          <w:i/>
          <w:iCs/>
          <w:color w:val="000000" w:themeColor="text1"/>
          <w:sz w:val="22"/>
        </w:rPr>
        <w:t xml:space="preserve"> </w:t>
      </w:r>
    </w:p>
    <w:p w14:paraId="32570796"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b/>
          <w:bCs/>
          <w:i/>
          <w:iCs/>
          <w:color w:val="000000" w:themeColor="text1"/>
          <w:sz w:val="22"/>
        </w:rPr>
        <w:t>Criterio 13</w:t>
      </w:r>
      <w:r w:rsidRPr="00EC18F1">
        <w:rPr>
          <w:rFonts w:ascii="Palatino Linotype" w:hAnsi="Palatino Linotype"/>
          <w:i/>
          <w:iCs/>
          <w:color w:val="000000" w:themeColor="text1"/>
          <w:sz w:val="22"/>
        </w:rPr>
        <w:t xml:space="preserve"> Domicilio en el extranjero. En caso de que el proveedor o contratista sea de otro país, se deberá incluir el domicilio el cual deberá incluir por lo menos: país, ciudad, calle y número</w:t>
      </w:r>
    </w:p>
    <w:p w14:paraId="4FCADB0F"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i/>
          <w:iCs/>
          <w:color w:val="000000" w:themeColor="text1"/>
          <w:sz w:val="22"/>
        </w:rPr>
      </w:pPr>
      <w:r w:rsidRPr="00EC18F1">
        <w:rPr>
          <w:rFonts w:ascii="Palatino Linotype" w:hAnsi="Palatino Linotype"/>
          <w:i/>
          <w:iCs/>
          <w:color w:val="000000" w:themeColor="text1"/>
          <w:sz w:val="22"/>
        </w:rPr>
        <w:t>(…)”</w:t>
      </w:r>
    </w:p>
    <w:p w14:paraId="3442B8EC" w14:textId="77777777" w:rsidR="00365485" w:rsidRPr="00EC18F1" w:rsidRDefault="00365485" w:rsidP="00365485">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EC18F1">
        <w:rPr>
          <w:rFonts w:ascii="Palatino Linotype" w:hAnsi="Palatino Linotype"/>
          <w:color w:val="000000" w:themeColor="text1"/>
          <w:sz w:val="22"/>
        </w:rPr>
        <w:t>(Énfasis añadido)</w:t>
      </w:r>
    </w:p>
    <w:p w14:paraId="6033D5D7"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1D352FDC" w14:textId="1C8BA30D" w:rsidR="00365485" w:rsidRPr="00EC18F1" w:rsidRDefault="00365485" w:rsidP="003654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s="Arial"/>
          <w:color w:val="000000"/>
        </w:rPr>
        <w:t xml:space="preserve">Por lo tanto, el </w:t>
      </w:r>
      <w:r w:rsidRPr="00EC18F1">
        <w:rPr>
          <w:rFonts w:ascii="Palatino Linotype" w:hAnsi="Palatino Linotype" w:cs="Arial"/>
          <w:b/>
          <w:color w:val="000000"/>
        </w:rPr>
        <w:t>SUJETO OBLIGADO</w:t>
      </w:r>
      <w:r w:rsidRPr="00EC18F1">
        <w:rPr>
          <w:rFonts w:ascii="Palatino Linotype" w:hAnsi="Palatino Linotype" w:cs="Arial"/>
          <w:color w:val="000000"/>
        </w:rPr>
        <w:t xml:space="preserve"> deberá entregar el o los documentos donde consten los proveedores del ayuntamiento, junto con el monto designado a cada uno, por el periodo comprendido del uno (01) de enero de dos mil diecinueve al quince (15) de noviembre de dos mil veintidós.</w:t>
      </w:r>
    </w:p>
    <w:p w14:paraId="7BBD30DA" w14:textId="77777777" w:rsidR="00365485" w:rsidRPr="00EC18F1" w:rsidRDefault="00365485" w:rsidP="00365485">
      <w:pPr>
        <w:pStyle w:val="Prrafodelista"/>
        <w:tabs>
          <w:tab w:val="left" w:pos="426"/>
        </w:tabs>
        <w:spacing w:before="240" w:after="240" w:line="360" w:lineRule="auto"/>
        <w:ind w:left="0" w:right="51"/>
        <w:jc w:val="both"/>
        <w:rPr>
          <w:rFonts w:ascii="Palatino Linotype" w:hAnsi="Palatino Linotype"/>
          <w:color w:val="000000" w:themeColor="text1"/>
        </w:rPr>
      </w:pPr>
    </w:p>
    <w:p w14:paraId="43DDE581" w14:textId="538B048D" w:rsidR="003C1CB7" w:rsidRPr="00EC18F1" w:rsidRDefault="003C1CB7" w:rsidP="003C1CB7">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VI</w:t>
      </w:r>
      <w:r w:rsidR="00365485" w:rsidRPr="00EC18F1">
        <w:rPr>
          <w:rFonts w:ascii="Palatino Linotype" w:hAnsi="Palatino Linotype" w:cs="Tahoma"/>
          <w:b/>
          <w:bCs/>
          <w:iCs/>
        </w:rPr>
        <w:t>I</w:t>
      </w:r>
      <w:r w:rsidRPr="00EC18F1">
        <w:rPr>
          <w:rFonts w:ascii="Palatino Linotype" w:hAnsi="Palatino Linotype" w:cs="Tahoma"/>
          <w:b/>
          <w:bCs/>
          <w:iCs/>
        </w:rPr>
        <w:t>I. De los procedimientos resarcitorios, fiscales, administrativos y/o penales promovidos en contra de ex servidores públicos.</w:t>
      </w:r>
    </w:p>
    <w:p w14:paraId="46C2CE20" w14:textId="12D5E5DA" w:rsidR="00DC4DAD" w:rsidRPr="00EC18F1" w:rsidRDefault="001E2702"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El</w:t>
      </w:r>
      <w:r w:rsidR="00B7561B" w:rsidRPr="00EC18F1">
        <w:rPr>
          <w:rFonts w:ascii="Palatino Linotype" w:hAnsi="Palatino Linotype"/>
          <w:color w:val="000000" w:themeColor="text1"/>
        </w:rPr>
        <w:t xml:space="preserve"> artículo 115 de la Constitución Política de los Estados Unidos Mexicanos establece que los ayuntamientos tendrán facultades para aprobar, de acuerdo con las leyes en materia municipal que deberán expedir las legislaturas de los Estados, los bandos de </w:t>
      </w:r>
      <w:r w:rsidR="00B7561B" w:rsidRPr="00EC18F1">
        <w:rPr>
          <w:rFonts w:ascii="Palatino Linotype" w:hAnsi="Palatino Linotype"/>
          <w:color w:val="000000" w:themeColor="text1"/>
        </w:rPr>
        <w:lastRenderedPageBreak/>
        <w:t xml:space="preserve">policía y gobierno, los reglamentos, circulares y disposiciones administrativas de observancia general dentro de sus respectivas jurisdicciones, </w:t>
      </w:r>
      <w:r w:rsidR="00B7561B" w:rsidRPr="00EC18F1">
        <w:rPr>
          <w:rFonts w:ascii="Palatino Linotype" w:hAnsi="Palatino Linotype"/>
          <w:b/>
          <w:color w:val="000000" w:themeColor="text1"/>
        </w:rPr>
        <w:t>que organicen la administración pública municipal</w:t>
      </w:r>
      <w:r w:rsidR="00B7561B" w:rsidRPr="00EC18F1">
        <w:rPr>
          <w:rFonts w:ascii="Palatino Linotype" w:hAnsi="Palatino Linotype"/>
          <w:color w:val="000000" w:themeColor="text1"/>
        </w:rPr>
        <w:t xml:space="preserve">, </w:t>
      </w:r>
      <w:r w:rsidR="00B7561B" w:rsidRPr="00EC18F1">
        <w:rPr>
          <w:rFonts w:ascii="Palatino Linotype" w:hAnsi="Palatino Linotype"/>
          <w:b/>
          <w:color w:val="000000" w:themeColor="text1"/>
        </w:rPr>
        <w:t>regulen las materias, procedimientos, funciones y servicios públicos de su competencia</w:t>
      </w:r>
      <w:r w:rsidR="00B7561B" w:rsidRPr="00EC18F1">
        <w:rPr>
          <w:rFonts w:ascii="Palatino Linotype" w:hAnsi="Palatino Linotype"/>
          <w:color w:val="000000" w:themeColor="text1"/>
        </w:rPr>
        <w:t xml:space="preserve"> y aseguren la participación ciudadana y vecinal.</w:t>
      </w:r>
    </w:p>
    <w:p w14:paraId="696979C4" w14:textId="77777777" w:rsidR="00DC4DAD" w:rsidRPr="00EC18F1"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66C8E364" w14:textId="6C0FF1E5" w:rsidR="00DC4DAD" w:rsidRPr="00EC18F1"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 xml:space="preserve">En seguimiento al mandato constitucional referido </w:t>
      </w:r>
      <w:r w:rsidRPr="00EC18F1">
        <w:rPr>
          <w:rFonts w:ascii="Palatino Linotype" w:hAnsi="Palatino Linotype"/>
          <w:i/>
          <w:color w:val="000000" w:themeColor="text1"/>
        </w:rPr>
        <w:t>supra</w:t>
      </w:r>
      <w:r w:rsidRPr="00EC18F1">
        <w:rPr>
          <w:rFonts w:ascii="Palatino Linotype" w:hAnsi="Palatino Linotype"/>
          <w:color w:val="000000" w:themeColor="text1"/>
        </w:rPr>
        <w:t>,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 la persona titular de la presidencia municipal, las que estarán subordinadas a ésta.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w:t>
      </w:r>
      <w:r w:rsidRPr="00EC18F1">
        <w:rPr>
          <w:rStyle w:val="Refdenotaalpie"/>
          <w:rFonts w:ascii="Palatino Linotype" w:hAnsi="Palatino Linotype"/>
          <w:color w:val="000000" w:themeColor="text1"/>
        </w:rPr>
        <w:footnoteReference w:id="20"/>
      </w:r>
      <w:r w:rsidRPr="00EC18F1">
        <w:rPr>
          <w:rFonts w:ascii="Palatino Linotype" w:hAnsi="Palatino Linotype"/>
          <w:color w:val="000000" w:themeColor="text1"/>
        </w:rPr>
        <w:t>.</w:t>
      </w:r>
    </w:p>
    <w:p w14:paraId="0E713E28" w14:textId="77777777" w:rsidR="00DC4DAD" w:rsidRPr="00EC18F1" w:rsidRDefault="00DC4DAD" w:rsidP="00DC4DAD">
      <w:pPr>
        <w:pStyle w:val="Prrafodelista"/>
        <w:tabs>
          <w:tab w:val="left" w:pos="426"/>
        </w:tabs>
        <w:spacing w:before="240" w:after="240" w:line="360" w:lineRule="auto"/>
        <w:ind w:left="0" w:right="51"/>
        <w:jc w:val="both"/>
        <w:rPr>
          <w:rFonts w:ascii="Palatino Linotype" w:hAnsi="Palatino Linotype" w:cs="Tahoma"/>
          <w:bCs/>
          <w:iCs/>
        </w:rPr>
      </w:pPr>
    </w:p>
    <w:p w14:paraId="41D6444A" w14:textId="45675C8E" w:rsidR="00DC4DAD" w:rsidRPr="00EC18F1" w:rsidRDefault="00B7561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olor w:val="000000" w:themeColor="text1"/>
        </w:rPr>
        <w:t>Para el despacho, estudio y planeación de los diversos asuntos de la administración municipal, el ayuntamiento contará por lo menos con las siguientes Dependencias</w:t>
      </w:r>
      <w:r w:rsidRPr="00EC18F1">
        <w:rPr>
          <w:rStyle w:val="Refdenotaalpie"/>
          <w:rFonts w:ascii="Palatino Linotype" w:hAnsi="Palatino Linotype"/>
          <w:color w:val="000000" w:themeColor="text1"/>
        </w:rPr>
        <w:footnoteReference w:id="21"/>
      </w:r>
      <w:r w:rsidRPr="00EC18F1">
        <w:rPr>
          <w:rFonts w:ascii="Palatino Linotype" w:hAnsi="Palatino Linotype"/>
          <w:color w:val="000000" w:themeColor="text1"/>
        </w:rPr>
        <w:t>:</w:t>
      </w:r>
    </w:p>
    <w:p w14:paraId="1C9D8B83" w14:textId="43D90BCC" w:rsidR="00B7561B" w:rsidRPr="00EC18F1" w:rsidRDefault="00272BB4"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La Secretaría del Ayuntamiento;</w:t>
      </w:r>
    </w:p>
    <w:p w14:paraId="0FCEF4C7" w14:textId="20718D92"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bCs/>
          <w:color w:val="000000" w:themeColor="text1"/>
          <w:sz w:val="22"/>
        </w:rPr>
        <w:t xml:space="preserve">La </w:t>
      </w:r>
      <w:r w:rsidR="00272BB4" w:rsidRPr="00EC18F1">
        <w:rPr>
          <w:rFonts w:ascii="Palatino Linotype" w:hAnsi="Palatino Linotype"/>
          <w:bCs/>
          <w:color w:val="000000" w:themeColor="text1"/>
          <w:sz w:val="22"/>
        </w:rPr>
        <w:t xml:space="preserve">Tesorería </w:t>
      </w:r>
      <w:r w:rsidR="001E2702" w:rsidRPr="00EC18F1">
        <w:rPr>
          <w:rFonts w:ascii="Palatino Linotype" w:hAnsi="Palatino Linotype"/>
          <w:bCs/>
          <w:color w:val="000000" w:themeColor="text1"/>
          <w:sz w:val="22"/>
        </w:rPr>
        <w:t>Municipal</w:t>
      </w:r>
      <w:r w:rsidRPr="00EC18F1">
        <w:rPr>
          <w:rFonts w:ascii="Palatino Linotype" w:hAnsi="Palatino Linotype"/>
          <w:bCs/>
          <w:color w:val="000000" w:themeColor="text1"/>
          <w:sz w:val="22"/>
        </w:rPr>
        <w:t xml:space="preserve">. </w:t>
      </w:r>
    </w:p>
    <w:p w14:paraId="4156A43F"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 xml:space="preserve">La Dirección de Obras Públicas o equivalente. </w:t>
      </w:r>
    </w:p>
    <w:p w14:paraId="6F60574F"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 xml:space="preserve">La Dirección de Desarrollo Económico o equivalente. </w:t>
      </w:r>
    </w:p>
    <w:p w14:paraId="5754B302"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 xml:space="preserve">La Dirección de Desarrollo Urbano o equivalente; </w:t>
      </w:r>
    </w:p>
    <w:p w14:paraId="04822439"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 xml:space="preserve">La Dirección de Ecología o equivalente. </w:t>
      </w:r>
    </w:p>
    <w:p w14:paraId="6356433C"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lastRenderedPageBreak/>
        <w:t xml:space="preserve">La Dirección de Desarrollo Social o equivalente. </w:t>
      </w:r>
    </w:p>
    <w:p w14:paraId="554A0B16" w14:textId="77777777"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 xml:space="preserve">La Coordinación Municipal de Protección Civil o equivalente. </w:t>
      </w:r>
    </w:p>
    <w:p w14:paraId="2FB57D4F" w14:textId="14981D44" w:rsidR="00B7561B" w:rsidRPr="00EC18F1" w:rsidRDefault="00B7561B" w:rsidP="00B7561B">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olor w:val="000000" w:themeColor="text1"/>
          <w:sz w:val="22"/>
        </w:rPr>
        <w:t>La Dirección de las Mujeres o equivalente.</w:t>
      </w:r>
    </w:p>
    <w:p w14:paraId="37C7093F" w14:textId="77777777" w:rsidR="007C7245" w:rsidRPr="00EC18F1" w:rsidRDefault="007C7245" w:rsidP="007C7245">
      <w:pPr>
        <w:pStyle w:val="Prrafodelista"/>
        <w:tabs>
          <w:tab w:val="left" w:pos="426"/>
        </w:tabs>
        <w:spacing w:before="240" w:after="240" w:line="360" w:lineRule="auto"/>
        <w:ind w:left="0" w:right="51"/>
        <w:jc w:val="both"/>
        <w:rPr>
          <w:rFonts w:ascii="Palatino Linotype" w:hAnsi="Palatino Linotype" w:cs="Tahoma"/>
          <w:bCs/>
          <w:iCs/>
        </w:rPr>
      </w:pPr>
    </w:p>
    <w:p w14:paraId="0D8F2D04" w14:textId="7CD2726D" w:rsidR="00EF5FD8" w:rsidRPr="00EC18F1" w:rsidRDefault="009B35C8"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Lo anterior </w:t>
      </w:r>
      <w:r w:rsidR="00D13936" w:rsidRPr="00EC18F1">
        <w:rPr>
          <w:rFonts w:ascii="Palatino Linotype" w:hAnsi="Palatino Linotype" w:cs="Tahoma"/>
          <w:bCs/>
          <w:iCs/>
        </w:rPr>
        <w:t xml:space="preserve">es recuperado por el Bando Municipal 2022 de </w:t>
      </w:r>
      <w:r w:rsidR="001E2702" w:rsidRPr="00EC18F1">
        <w:rPr>
          <w:rFonts w:ascii="Palatino Linotype" w:hAnsi="Palatino Linotype" w:cs="Tahoma"/>
          <w:bCs/>
          <w:iCs/>
        </w:rPr>
        <w:t>Timilpan</w:t>
      </w:r>
      <w:r w:rsidR="00D13936" w:rsidRPr="00EC18F1">
        <w:rPr>
          <w:rFonts w:ascii="Palatino Linotype" w:hAnsi="Palatino Linotype" w:cs="Tahoma"/>
          <w:bCs/>
          <w:iCs/>
        </w:rPr>
        <w:t xml:space="preserve">, </w:t>
      </w:r>
      <w:r w:rsidR="004E37C3" w:rsidRPr="00EC18F1">
        <w:rPr>
          <w:rFonts w:ascii="Palatino Linotype" w:hAnsi="Palatino Linotype" w:cs="Tahoma"/>
          <w:bCs/>
          <w:iCs/>
        </w:rPr>
        <w:t xml:space="preserve">cuyo artículo </w:t>
      </w:r>
      <w:r w:rsidR="001E2702" w:rsidRPr="00EC18F1">
        <w:rPr>
          <w:rFonts w:ascii="Palatino Linotype" w:hAnsi="Palatino Linotype" w:cs="Tahoma"/>
          <w:bCs/>
          <w:iCs/>
        </w:rPr>
        <w:t>35</w:t>
      </w:r>
      <w:r w:rsidR="004E37C3" w:rsidRPr="00EC18F1">
        <w:rPr>
          <w:rFonts w:ascii="Palatino Linotype" w:hAnsi="Palatino Linotype" w:cs="Tahoma"/>
          <w:bCs/>
          <w:iCs/>
        </w:rPr>
        <w:t xml:space="preserve"> establece que </w:t>
      </w:r>
      <w:r w:rsidR="001E2702" w:rsidRPr="00EC18F1">
        <w:rPr>
          <w:rFonts w:ascii="Palatino Linotype" w:hAnsi="Palatino Linotype" w:cs="Tahoma"/>
          <w:bCs/>
          <w:iCs/>
        </w:rPr>
        <w:t>el gobierno municipal está depositado en un cuerpo colegiado que se denomina Ayuntamiento, cuyos acuerdos serán ejecutados por el Presidente Municipal, a quien estarán subordinadas las dependencias de la administración pública municipal y contará con todas aquellas facultades que le concede la legislación y normativa municipal aplicable.</w:t>
      </w:r>
    </w:p>
    <w:p w14:paraId="50713007" w14:textId="77777777" w:rsidR="00EF5FD8" w:rsidRPr="00EC18F1" w:rsidRDefault="00EF5FD8" w:rsidP="00EF5FD8">
      <w:pPr>
        <w:pStyle w:val="Prrafodelista"/>
        <w:tabs>
          <w:tab w:val="left" w:pos="426"/>
        </w:tabs>
        <w:spacing w:before="240" w:after="240" w:line="360" w:lineRule="auto"/>
        <w:ind w:left="0" w:right="51"/>
        <w:jc w:val="both"/>
        <w:rPr>
          <w:rFonts w:ascii="Palatino Linotype" w:hAnsi="Palatino Linotype" w:cs="Tahoma"/>
          <w:bCs/>
          <w:iCs/>
        </w:rPr>
      </w:pPr>
    </w:p>
    <w:p w14:paraId="6F83E459" w14:textId="3CD9CD04" w:rsidR="00EF5FD8" w:rsidRPr="00EC18F1" w:rsidRDefault="00B70D2B"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Por su parte, el artículo </w:t>
      </w:r>
      <w:r w:rsidR="001E2702" w:rsidRPr="00EC18F1">
        <w:rPr>
          <w:rFonts w:ascii="Palatino Linotype" w:hAnsi="Palatino Linotype" w:cs="Tahoma"/>
          <w:bCs/>
          <w:iCs/>
        </w:rPr>
        <w:t>38</w:t>
      </w:r>
      <w:r w:rsidRPr="00EC18F1">
        <w:rPr>
          <w:rFonts w:ascii="Palatino Linotype" w:hAnsi="Palatino Linotype" w:cs="Tahoma"/>
          <w:bCs/>
          <w:iCs/>
        </w:rPr>
        <w:t xml:space="preserve"> del Bando </w:t>
      </w:r>
      <w:r w:rsidR="00F735CC" w:rsidRPr="00EC18F1">
        <w:rPr>
          <w:rFonts w:ascii="Palatino Linotype" w:hAnsi="Palatino Linotype" w:cs="Tahoma"/>
          <w:bCs/>
          <w:iCs/>
        </w:rPr>
        <w:t>Municipal</w:t>
      </w:r>
      <w:r w:rsidRPr="00EC18F1">
        <w:rPr>
          <w:rFonts w:ascii="Palatino Linotype" w:hAnsi="Palatino Linotype" w:cs="Tahoma"/>
          <w:bCs/>
          <w:iCs/>
        </w:rPr>
        <w:t xml:space="preserve"> en estudio refiere lo siguiente:</w:t>
      </w:r>
    </w:p>
    <w:p w14:paraId="4B76255E" w14:textId="40C30C03" w:rsidR="00027A36" w:rsidRPr="00EC18F1" w:rsidRDefault="00B70D2B" w:rsidP="00B70D2B">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Cs/>
          <w:i/>
          <w:sz w:val="22"/>
        </w:rPr>
        <w:t>“</w:t>
      </w:r>
      <w:r w:rsidR="00027A36" w:rsidRPr="00EC18F1">
        <w:rPr>
          <w:rFonts w:ascii="Palatino Linotype" w:hAnsi="Palatino Linotype" w:cs="Tahoma"/>
          <w:b/>
          <w:i/>
          <w:sz w:val="22"/>
        </w:rPr>
        <w:t xml:space="preserve">Artículo </w:t>
      </w:r>
      <w:r w:rsidR="001E2702" w:rsidRPr="00EC18F1">
        <w:rPr>
          <w:rFonts w:ascii="Palatino Linotype" w:hAnsi="Palatino Linotype" w:cs="Tahoma"/>
          <w:b/>
          <w:i/>
          <w:sz w:val="22"/>
        </w:rPr>
        <w:t>38</w:t>
      </w:r>
      <w:r w:rsidR="00027A36" w:rsidRPr="00EC18F1">
        <w:rPr>
          <w:rFonts w:ascii="Palatino Linotype" w:hAnsi="Palatino Linotype" w:cs="Tahoma"/>
          <w:b/>
          <w:i/>
          <w:sz w:val="22"/>
        </w:rPr>
        <w:t>.</w:t>
      </w:r>
      <w:r w:rsidR="00027A36" w:rsidRPr="00EC18F1">
        <w:rPr>
          <w:rFonts w:ascii="Palatino Linotype" w:hAnsi="Palatino Linotype" w:cs="Tahoma"/>
          <w:bCs/>
          <w:i/>
          <w:sz w:val="22"/>
        </w:rPr>
        <w:t xml:space="preserve"> </w:t>
      </w:r>
      <w:r w:rsidR="001E2702" w:rsidRPr="00EC18F1">
        <w:rPr>
          <w:rFonts w:ascii="Palatino Linotype" w:hAnsi="Palatino Linotype" w:cs="Tahoma"/>
          <w:bCs/>
          <w:i/>
          <w:sz w:val="22"/>
        </w:rPr>
        <w:t>Para el despacho de los asuntos de la Administración Pública municipal, el Presidente Municipal se auxilia de las siguientes dependencias:</w:t>
      </w:r>
      <w:r w:rsidR="00027A36" w:rsidRPr="00EC18F1">
        <w:rPr>
          <w:rFonts w:ascii="Palatino Linotype" w:hAnsi="Palatino Linotype" w:cs="Tahoma"/>
          <w:bCs/>
          <w:i/>
          <w:sz w:val="22"/>
        </w:rPr>
        <w:t xml:space="preserve"> </w:t>
      </w:r>
    </w:p>
    <w:p w14:paraId="43BB5164" w14:textId="7A6E00E7" w:rsidR="001E2702" w:rsidRPr="00EC18F1" w:rsidRDefault="001E2702" w:rsidP="00B70D2B">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Cs/>
          <w:i/>
          <w:sz w:val="22"/>
        </w:rPr>
        <w:t>(…)</w:t>
      </w:r>
    </w:p>
    <w:p w14:paraId="2EF058DB" w14:textId="4C6FA111" w:rsidR="001E2702" w:rsidRPr="00EC18F1" w:rsidRDefault="001E2702" w:rsidP="00B70D2B">
      <w:pPr>
        <w:pStyle w:val="Prrafodelista"/>
        <w:tabs>
          <w:tab w:val="left" w:pos="426"/>
        </w:tabs>
        <w:spacing w:before="240" w:after="240" w:line="276" w:lineRule="auto"/>
        <w:ind w:left="567" w:right="567"/>
        <w:jc w:val="both"/>
        <w:rPr>
          <w:rFonts w:ascii="Palatino Linotype" w:hAnsi="Palatino Linotype" w:cs="Tahoma"/>
          <w:i/>
          <w:sz w:val="22"/>
        </w:rPr>
      </w:pPr>
      <w:r w:rsidRPr="00EC18F1">
        <w:rPr>
          <w:rFonts w:ascii="Palatino Linotype" w:hAnsi="Palatino Linotype" w:cs="Tahoma"/>
          <w:b/>
          <w:i/>
          <w:sz w:val="22"/>
        </w:rPr>
        <w:t xml:space="preserve">III. </w:t>
      </w:r>
      <w:r w:rsidRPr="00EC18F1">
        <w:rPr>
          <w:rFonts w:ascii="Palatino Linotype" w:hAnsi="Palatino Linotype" w:cs="Tahoma"/>
          <w:i/>
          <w:sz w:val="22"/>
        </w:rPr>
        <w:t>Contraloría Municipal</w:t>
      </w:r>
    </w:p>
    <w:p w14:paraId="2F616907" w14:textId="04244192" w:rsidR="00027A36" w:rsidRPr="00EC18F1" w:rsidRDefault="001E2702" w:rsidP="00B70D2B">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Cs/>
          <w:i/>
          <w:sz w:val="22"/>
        </w:rPr>
        <w:t>(…)”</w:t>
      </w:r>
    </w:p>
    <w:p w14:paraId="1ACDD2E9" w14:textId="76037380" w:rsidR="00E96F22" w:rsidRPr="00EC18F1" w:rsidRDefault="00E96F22" w:rsidP="00B70D2B">
      <w:pPr>
        <w:pStyle w:val="Prrafodelista"/>
        <w:tabs>
          <w:tab w:val="left" w:pos="426"/>
        </w:tabs>
        <w:spacing w:before="240" w:after="240" w:line="276" w:lineRule="auto"/>
        <w:ind w:left="567" w:right="567"/>
        <w:jc w:val="both"/>
        <w:rPr>
          <w:rFonts w:ascii="Palatino Linotype" w:hAnsi="Palatino Linotype" w:cs="Tahoma"/>
          <w:bCs/>
          <w:iCs/>
          <w:sz w:val="22"/>
        </w:rPr>
      </w:pPr>
      <w:r w:rsidRPr="00EC18F1">
        <w:rPr>
          <w:rFonts w:ascii="Palatino Linotype" w:hAnsi="Palatino Linotype" w:cs="Tahoma"/>
          <w:bCs/>
          <w:iCs/>
          <w:sz w:val="22"/>
        </w:rPr>
        <w:t>(Énfasis añadido)</w:t>
      </w:r>
    </w:p>
    <w:p w14:paraId="43C4D35B" w14:textId="77777777" w:rsidR="00B70D2B" w:rsidRPr="00EC18F1" w:rsidRDefault="00B70D2B" w:rsidP="00EF5FD8">
      <w:pPr>
        <w:pStyle w:val="Prrafodelista"/>
        <w:tabs>
          <w:tab w:val="left" w:pos="426"/>
        </w:tabs>
        <w:spacing w:before="240" w:after="240" w:line="360" w:lineRule="auto"/>
        <w:ind w:left="0" w:right="51"/>
        <w:jc w:val="both"/>
        <w:rPr>
          <w:rFonts w:ascii="Palatino Linotype" w:hAnsi="Palatino Linotype" w:cs="Tahoma"/>
          <w:bCs/>
          <w:iCs/>
        </w:rPr>
      </w:pPr>
    </w:p>
    <w:p w14:paraId="120F41AC" w14:textId="09D969A4" w:rsidR="00EF5FD8" w:rsidRPr="00EC18F1" w:rsidRDefault="00E96F22"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Resultando de especial interés para el presente asunto la</w:t>
      </w:r>
      <w:r w:rsidR="003663BC" w:rsidRPr="00EC18F1">
        <w:rPr>
          <w:rFonts w:ascii="Palatino Linotype" w:hAnsi="Palatino Linotype" w:cs="Tahoma"/>
          <w:bCs/>
          <w:iCs/>
        </w:rPr>
        <w:t xml:space="preserve"> </w:t>
      </w:r>
      <w:r w:rsidR="003663BC" w:rsidRPr="00EC18F1">
        <w:rPr>
          <w:rFonts w:ascii="Palatino Linotype" w:hAnsi="Palatino Linotype" w:cs="Tahoma"/>
          <w:b/>
          <w:iCs/>
        </w:rPr>
        <w:t>Contraloría Interna Municipal</w:t>
      </w:r>
      <w:r w:rsidR="003663BC" w:rsidRPr="00EC18F1">
        <w:rPr>
          <w:rFonts w:ascii="Palatino Linotype" w:hAnsi="Palatino Linotype" w:cs="Tahoma"/>
          <w:iCs/>
        </w:rPr>
        <w:t>, y la</w:t>
      </w:r>
      <w:r w:rsidRPr="00EC18F1">
        <w:rPr>
          <w:rFonts w:ascii="Palatino Linotype" w:hAnsi="Palatino Linotype" w:cs="Tahoma"/>
          <w:bCs/>
          <w:iCs/>
        </w:rPr>
        <w:t xml:space="preserve"> </w:t>
      </w:r>
      <w:r w:rsidRPr="00EC18F1">
        <w:rPr>
          <w:rFonts w:ascii="Palatino Linotype" w:hAnsi="Palatino Linotype" w:cs="Tahoma"/>
          <w:b/>
          <w:iCs/>
        </w:rPr>
        <w:t>Dirección Jur</w:t>
      </w:r>
      <w:r w:rsidR="0001689A" w:rsidRPr="00EC18F1">
        <w:rPr>
          <w:rFonts w:ascii="Palatino Linotype" w:hAnsi="Palatino Linotype" w:cs="Tahoma"/>
          <w:b/>
          <w:iCs/>
        </w:rPr>
        <w:t>ídica</w:t>
      </w:r>
      <w:r w:rsidR="001E2702" w:rsidRPr="00EC18F1">
        <w:rPr>
          <w:rFonts w:ascii="Palatino Linotype" w:hAnsi="Palatino Linotype" w:cs="Tahoma"/>
          <w:iCs/>
        </w:rPr>
        <w:t xml:space="preserve"> (o equivalente)</w:t>
      </w:r>
      <w:r w:rsidR="0001689A" w:rsidRPr="00EC18F1">
        <w:rPr>
          <w:rFonts w:ascii="Palatino Linotype" w:hAnsi="Palatino Linotype" w:cs="Tahoma"/>
          <w:bCs/>
          <w:iCs/>
        </w:rPr>
        <w:t xml:space="preserve">, al ser </w:t>
      </w:r>
      <w:r w:rsidR="001E2702" w:rsidRPr="00EC18F1">
        <w:rPr>
          <w:rFonts w:ascii="Palatino Linotype" w:hAnsi="Palatino Linotype" w:cs="Tahoma"/>
          <w:bCs/>
          <w:iCs/>
        </w:rPr>
        <w:t>las áreas administrativas que, por la naturaleza de sus funciones, tienen relación con lo solicitado.</w:t>
      </w:r>
    </w:p>
    <w:p w14:paraId="55A0A7D0" w14:textId="77777777" w:rsidR="003663BC" w:rsidRPr="00EC18F1" w:rsidRDefault="003663BC" w:rsidP="003663BC">
      <w:pPr>
        <w:pStyle w:val="Prrafodelista"/>
        <w:tabs>
          <w:tab w:val="left" w:pos="426"/>
        </w:tabs>
        <w:spacing w:before="240" w:after="240" w:line="360" w:lineRule="auto"/>
        <w:ind w:left="0" w:right="51"/>
        <w:jc w:val="both"/>
        <w:rPr>
          <w:rFonts w:ascii="Palatino Linotype" w:hAnsi="Palatino Linotype" w:cs="Tahoma"/>
          <w:bCs/>
          <w:iCs/>
        </w:rPr>
      </w:pPr>
    </w:p>
    <w:p w14:paraId="03519E56" w14:textId="1B8AF106" w:rsidR="003663BC" w:rsidRPr="00EC18F1" w:rsidRDefault="00126B68" w:rsidP="003663BC">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VI</w:t>
      </w:r>
      <w:r w:rsidR="00365485" w:rsidRPr="00EC18F1">
        <w:rPr>
          <w:rFonts w:ascii="Palatino Linotype" w:hAnsi="Palatino Linotype" w:cs="Tahoma"/>
          <w:b/>
          <w:bCs/>
          <w:iCs/>
        </w:rPr>
        <w:t>I</w:t>
      </w:r>
      <w:r w:rsidRPr="00EC18F1">
        <w:rPr>
          <w:rFonts w:ascii="Palatino Linotype" w:hAnsi="Palatino Linotype" w:cs="Tahoma"/>
          <w:b/>
          <w:bCs/>
          <w:iCs/>
        </w:rPr>
        <w:t>I</w:t>
      </w:r>
      <w:r w:rsidR="003663BC" w:rsidRPr="00EC18F1">
        <w:rPr>
          <w:rFonts w:ascii="Palatino Linotype" w:hAnsi="Palatino Linotype" w:cs="Tahoma"/>
          <w:b/>
          <w:bCs/>
          <w:iCs/>
        </w:rPr>
        <w:t>.I. De la Contraloría Interna Municipal.</w:t>
      </w:r>
    </w:p>
    <w:p w14:paraId="7CA42556" w14:textId="74B66F59" w:rsidR="003663BC" w:rsidRPr="00EC18F1" w:rsidRDefault="003663BC"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La </w:t>
      </w:r>
      <w:r w:rsidRPr="00EC18F1">
        <w:rPr>
          <w:rFonts w:ascii="Palatino Linotype" w:hAnsi="Palatino Linotype" w:cs="Tahoma"/>
          <w:b/>
          <w:iCs/>
        </w:rPr>
        <w:t>Contraloría Interna Municipal</w:t>
      </w:r>
      <w:r w:rsidRPr="00EC18F1">
        <w:rPr>
          <w:rFonts w:ascii="Palatino Linotype" w:hAnsi="Palatino Linotype" w:cs="Tahoma"/>
          <w:bCs/>
          <w:iCs/>
        </w:rPr>
        <w:t xml:space="preserve"> será el órgano de control interno establecido por el Ayuntamiento, </w:t>
      </w:r>
      <w:r w:rsidRPr="00EC18F1">
        <w:rPr>
          <w:rFonts w:ascii="Palatino Linotype" w:hAnsi="Palatino Linotype" w:cs="Tahoma"/>
          <w:b/>
          <w:iCs/>
        </w:rPr>
        <w:t xml:space="preserve">responsable de la supervisión, evaluación, operación y funcionamiento de las dependencias, respecto de la responsabilidad administrativa disciplinaria y/o </w:t>
      </w:r>
      <w:r w:rsidRPr="00EC18F1">
        <w:rPr>
          <w:rFonts w:ascii="Palatino Linotype" w:hAnsi="Palatino Linotype" w:cs="Tahoma"/>
          <w:b/>
          <w:iCs/>
        </w:rPr>
        <w:lastRenderedPageBreak/>
        <w:t>resarcitoria de los servidores públicos municipales, en sus etapas de investigación, substanciación y resolución</w:t>
      </w:r>
      <w:r w:rsidRPr="00EC18F1">
        <w:rPr>
          <w:rFonts w:ascii="Palatino Linotype" w:hAnsi="Palatino Linotype" w:cs="Tahoma"/>
          <w:bCs/>
          <w:iCs/>
        </w:rPr>
        <w:t>.</w:t>
      </w:r>
    </w:p>
    <w:p w14:paraId="40394FF3" w14:textId="77777777" w:rsidR="003663BC" w:rsidRPr="00EC18F1" w:rsidRDefault="003663BC" w:rsidP="003663BC">
      <w:pPr>
        <w:pStyle w:val="Prrafodelista"/>
        <w:tabs>
          <w:tab w:val="left" w:pos="426"/>
        </w:tabs>
        <w:spacing w:before="240" w:after="240" w:line="360" w:lineRule="auto"/>
        <w:ind w:left="0" w:right="51"/>
        <w:jc w:val="both"/>
        <w:rPr>
          <w:rFonts w:ascii="Palatino Linotype" w:hAnsi="Palatino Linotype" w:cs="Tahoma"/>
          <w:bCs/>
          <w:iCs/>
        </w:rPr>
      </w:pPr>
    </w:p>
    <w:p w14:paraId="71BCF2EB" w14:textId="15DAA112" w:rsidR="003663BC" w:rsidRPr="00EC18F1" w:rsidRDefault="003663BC"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Por lo tanto, </w:t>
      </w:r>
      <w:r w:rsidRPr="00EC18F1">
        <w:rPr>
          <w:rFonts w:ascii="Palatino Linotype" w:hAnsi="Palatino Linotype" w:cs="Tahoma"/>
          <w:b/>
          <w:iCs/>
        </w:rPr>
        <w:t>la Contraloría Interna Municipal se encargará de llevar a cabo las acciones</w:t>
      </w:r>
      <w:r w:rsidRPr="00EC18F1">
        <w:rPr>
          <w:rFonts w:ascii="Palatino Linotype" w:hAnsi="Palatino Linotype" w:cs="Tahoma"/>
          <w:bCs/>
          <w:iCs/>
        </w:rPr>
        <w:t xml:space="preserve"> </w:t>
      </w:r>
      <w:r w:rsidRPr="00EC18F1">
        <w:rPr>
          <w:rFonts w:ascii="Palatino Linotype" w:hAnsi="Palatino Linotype" w:cs="Tahoma"/>
          <w:b/>
          <w:iCs/>
        </w:rPr>
        <w:t>que</w:t>
      </w:r>
      <w:r w:rsidRPr="00EC18F1">
        <w:rPr>
          <w:rFonts w:ascii="Palatino Linotype" w:hAnsi="Palatino Linotype" w:cs="Tahoma"/>
          <w:bCs/>
          <w:iCs/>
        </w:rPr>
        <w:t xml:space="preserve"> le </w:t>
      </w:r>
      <w:r w:rsidRPr="00EC18F1">
        <w:rPr>
          <w:rFonts w:ascii="Palatino Linotype" w:hAnsi="Palatino Linotype" w:cs="Tahoma"/>
          <w:b/>
          <w:iCs/>
        </w:rPr>
        <w:t>permitan</w:t>
      </w:r>
      <w:r w:rsidRPr="00EC18F1">
        <w:rPr>
          <w:rFonts w:ascii="Palatino Linotype" w:hAnsi="Palatino Linotype" w:cs="Tahoma"/>
          <w:bCs/>
          <w:iCs/>
        </w:rPr>
        <w:t xml:space="preserve"> a la administración municipal, </w:t>
      </w:r>
      <w:r w:rsidRPr="00EC18F1">
        <w:rPr>
          <w:rFonts w:ascii="Palatino Linotype" w:hAnsi="Palatino Linotype" w:cs="Tahoma"/>
          <w:b/>
          <w:iCs/>
        </w:rPr>
        <w:t>contar con un diagnóstico cierto y actual de las conductas éticas de los servidores públicos municipales</w:t>
      </w:r>
      <w:r w:rsidRPr="00EC18F1">
        <w:rPr>
          <w:rFonts w:ascii="Palatino Linotype" w:hAnsi="Palatino Linotype" w:cs="Tahoma"/>
          <w:bCs/>
          <w:iCs/>
        </w:rPr>
        <w:t xml:space="preserve">, con el fin de conocer la percepción ciudadana frente a la Administración Pública Municipal, de coordinar las acciones de evaluación social, trámites y servicios que llevan a cabo las distintas dependencias, </w:t>
      </w:r>
      <w:r w:rsidRPr="00EC18F1">
        <w:rPr>
          <w:rFonts w:ascii="Palatino Linotype" w:hAnsi="Palatino Linotype" w:cs="Tahoma"/>
          <w:b/>
          <w:iCs/>
        </w:rPr>
        <w:t>así como recibir las denuncias que se interpongan en contra de los servidores públicos municipales</w:t>
      </w:r>
      <w:r w:rsidRPr="00EC18F1">
        <w:rPr>
          <w:rFonts w:ascii="Palatino Linotype" w:hAnsi="Palatino Linotype" w:cs="Tahoma"/>
          <w:bCs/>
          <w:iCs/>
        </w:rPr>
        <w:t>, realizando la investigación correspondiente, en términos de la Ley de Responsabilidades Administrativas del Estado de México y Municipios.</w:t>
      </w:r>
    </w:p>
    <w:p w14:paraId="78C012CF" w14:textId="77777777" w:rsidR="003663BC" w:rsidRPr="00EC18F1" w:rsidRDefault="003663BC" w:rsidP="003663BC">
      <w:pPr>
        <w:pStyle w:val="Prrafodelista"/>
        <w:tabs>
          <w:tab w:val="left" w:pos="426"/>
        </w:tabs>
        <w:spacing w:before="240" w:after="240" w:line="360" w:lineRule="auto"/>
        <w:ind w:left="0" w:right="51"/>
        <w:jc w:val="both"/>
        <w:rPr>
          <w:rFonts w:ascii="Palatino Linotype" w:hAnsi="Palatino Linotype" w:cs="Tahoma"/>
          <w:bCs/>
          <w:iCs/>
        </w:rPr>
      </w:pPr>
    </w:p>
    <w:p w14:paraId="0AFE8E90" w14:textId="0DC2826A" w:rsidR="003663BC" w:rsidRPr="00EC18F1" w:rsidRDefault="003663BC" w:rsidP="001E2702">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Dicho lo anterior, resulta elemental recordar que </w:t>
      </w:r>
      <w:r w:rsidR="001E2702" w:rsidRPr="00EC18F1">
        <w:rPr>
          <w:rFonts w:ascii="Palatino Linotype" w:hAnsi="Palatino Linotype" w:cs="Tahoma"/>
          <w:bCs/>
          <w:iCs/>
        </w:rPr>
        <w:t>el</w:t>
      </w:r>
      <w:r w:rsidRPr="00EC18F1">
        <w:rPr>
          <w:rFonts w:ascii="Palatino Linotype" w:hAnsi="Palatino Linotype" w:cs="Tahoma"/>
          <w:bCs/>
          <w:iCs/>
        </w:rPr>
        <w:t xml:space="preserve"> particular requirió información sobre </w:t>
      </w:r>
      <w:r w:rsidR="001E2702" w:rsidRPr="00EC18F1">
        <w:rPr>
          <w:rFonts w:ascii="Palatino Linotype" w:hAnsi="Palatino Linotype" w:cs="Tahoma"/>
          <w:bCs/>
          <w:iCs/>
        </w:rPr>
        <w:t xml:space="preserve">el estatus de los procedimientos resarcitorios, fiscales, administrativos, penales y/o civiles, donde el ayuntamiento sea parte, promovido en contra de cualquier ex servidor público </w:t>
      </w:r>
      <w:r w:rsidR="00126B68" w:rsidRPr="00EC18F1">
        <w:rPr>
          <w:rFonts w:ascii="Palatino Linotype" w:hAnsi="Palatino Linotype" w:cs="Tahoma"/>
          <w:bCs/>
          <w:iCs/>
        </w:rPr>
        <w:t>desde el uno (01) de enero de dos mil diecinueve al quince (15) de noviembre de dos mil veintidós.</w:t>
      </w:r>
    </w:p>
    <w:p w14:paraId="594E2612" w14:textId="77777777" w:rsidR="001E2702" w:rsidRPr="00EC18F1" w:rsidRDefault="001E2702" w:rsidP="001E2702">
      <w:pPr>
        <w:pStyle w:val="Prrafodelista"/>
        <w:tabs>
          <w:tab w:val="left" w:pos="426"/>
        </w:tabs>
        <w:spacing w:before="240" w:after="240" w:line="360" w:lineRule="auto"/>
        <w:ind w:left="0" w:right="51"/>
        <w:jc w:val="both"/>
        <w:rPr>
          <w:rFonts w:ascii="Palatino Linotype" w:hAnsi="Palatino Linotype" w:cs="Tahoma"/>
          <w:bCs/>
          <w:iCs/>
        </w:rPr>
      </w:pPr>
    </w:p>
    <w:p w14:paraId="62AFD432" w14:textId="77777777" w:rsidR="003663BC" w:rsidRPr="00EC18F1" w:rsidRDefault="003663BC"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Dicho lo anterior, no es ocioso mencionar que la interposición de una denuncia en contra de organismos o </w:t>
      </w:r>
      <w:r w:rsidRPr="00EC18F1">
        <w:rPr>
          <w:rFonts w:ascii="Palatino Linotype" w:hAnsi="Palatino Linotype" w:cs="Tahoma"/>
          <w:b/>
          <w:bCs/>
          <w:iCs/>
        </w:rPr>
        <w:t>servidores públicos</w:t>
      </w:r>
      <w:r w:rsidRPr="00EC18F1">
        <w:rPr>
          <w:rFonts w:ascii="Palatino Linotype" w:hAnsi="Palatino Linotype" w:cs="Tahoma"/>
          <w:bCs/>
          <w:iCs/>
        </w:rPr>
        <w:t xml:space="preserve">, por lo general, se deriva de un mal uso del poder o cargo público conferido, lo cual se relaciona completamente con </w:t>
      </w:r>
      <w:r w:rsidRPr="00EC18F1">
        <w:rPr>
          <w:rFonts w:ascii="Palatino Linotype" w:hAnsi="Palatino Linotype" w:cs="Tahoma"/>
          <w:b/>
          <w:iCs/>
        </w:rPr>
        <w:t>delitos, infracciones o faltas administrativas derivadas de actos u omisiones cometidas por las y los servidores públicos</w:t>
      </w:r>
      <w:r w:rsidRPr="00EC18F1">
        <w:rPr>
          <w:rFonts w:ascii="Palatino Linotype" w:hAnsi="Palatino Linotype" w:cs="Tahoma"/>
          <w:bCs/>
          <w:iCs/>
        </w:rPr>
        <w:t>.</w:t>
      </w:r>
    </w:p>
    <w:p w14:paraId="0E6C709D" w14:textId="77777777" w:rsidR="003663BC" w:rsidRPr="00EC18F1" w:rsidRDefault="003663BC" w:rsidP="003663BC">
      <w:pPr>
        <w:pStyle w:val="Prrafodelista"/>
        <w:tabs>
          <w:tab w:val="left" w:pos="426"/>
        </w:tabs>
        <w:spacing w:before="240" w:after="240" w:line="360" w:lineRule="auto"/>
        <w:ind w:left="0" w:right="51"/>
        <w:jc w:val="both"/>
        <w:rPr>
          <w:rFonts w:ascii="Palatino Linotype" w:hAnsi="Palatino Linotype" w:cs="Tahoma"/>
          <w:bCs/>
          <w:iCs/>
        </w:rPr>
      </w:pPr>
    </w:p>
    <w:p w14:paraId="7128E078"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cs="Tahoma"/>
          <w:bCs/>
          <w:iCs/>
        </w:rPr>
        <w:lastRenderedPageBreak/>
        <w:t xml:space="preserve">Por ende, </w:t>
      </w:r>
      <w:r w:rsidRPr="00EC18F1">
        <w:rPr>
          <w:rFonts w:ascii="Palatino Linotype" w:hAnsi="Palatino Linotype"/>
          <w:lang w:val="es-ES_tradnl"/>
        </w:rPr>
        <w:t xml:space="preserve">con el objetivo de comprender en sentido amplio la información solicitada por el particular, conviene establecer la línea procesal que afronta un expediente que se encuentre sustanciado en el </w:t>
      </w:r>
      <w:r w:rsidRPr="00EC18F1">
        <w:rPr>
          <w:rFonts w:ascii="Palatino Linotype" w:hAnsi="Palatino Linotype"/>
          <w:b/>
          <w:bCs/>
          <w:lang w:val="es-ES_tradnl"/>
        </w:rPr>
        <w:t>Órgano de Control Interno</w:t>
      </w:r>
      <w:r w:rsidRPr="00EC18F1">
        <w:rPr>
          <w:rFonts w:ascii="Palatino Linotype" w:hAnsi="Palatino Linotype"/>
          <w:lang w:val="es-ES_tradnl"/>
        </w:rPr>
        <w:t xml:space="preserve"> del </w:t>
      </w:r>
      <w:r w:rsidRPr="00EC18F1">
        <w:rPr>
          <w:rFonts w:ascii="Palatino Linotype" w:hAnsi="Palatino Linotype"/>
          <w:b/>
          <w:lang w:val="es-ES_tradnl"/>
        </w:rPr>
        <w:t>SUJETO OBLIGADO</w:t>
      </w:r>
      <w:r w:rsidRPr="00EC18F1">
        <w:rPr>
          <w:rFonts w:ascii="Palatino Linotype" w:hAnsi="Palatino Linotype"/>
          <w:lang w:val="es-ES_tradnl"/>
        </w:rPr>
        <w:t xml:space="preserve">, el cual se inicia mediante una investigación por la presunta responsabilidad de faltas administrativas promovida: </w:t>
      </w:r>
      <w:r w:rsidRPr="00EC18F1">
        <w:rPr>
          <w:rFonts w:ascii="Palatino Linotype" w:hAnsi="Palatino Linotype"/>
          <w:b/>
          <w:lang w:val="es-ES_tradnl"/>
        </w:rPr>
        <w:t>a)</w:t>
      </w:r>
      <w:r w:rsidRPr="00EC18F1">
        <w:rPr>
          <w:rFonts w:ascii="Palatino Linotype" w:hAnsi="Palatino Linotype"/>
          <w:lang w:val="es-ES_tradnl"/>
        </w:rPr>
        <w:t xml:space="preserve"> de oficio, </w:t>
      </w:r>
      <w:r w:rsidRPr="00EC18F1">
        <w:rPr>
          <w:rFonts w:ascii="Palatino Linotype" w:hAnsi="Palatino Linotype"/>
          <w:b/>
          <w:lang w:val="es-ES_tradnl"/>
        </w:rPr>
        <w:t>b)</w:t>
      </w:r>
      <w:r w:rsidRPr="00EC18F1">
        <w:rPr>
          <w:rFonts w:ascii="Palatino Linotype" w:hAnsi="Palatino Linotype"/>
          <w:lang w:val="es-ES_tradnl"/>
        </w:rPr>
        <w:t xml:space="preserve"> por denuncia –o queja-; o, </w:t>
      </w:r>
      <w:r w:rsidRPr="00EC18F1">
        <w:rPr>
          <w:rFonts w:ascii="Palatino Linotype" w:hAnsi="Palatino Linotype"/>
          <w:b/>
          <w:lang w:val="es-ES_tradnl"/>
        </w:rPr>
        <w:t>c)</w:t>
      </w:r>
      <w:r w:rsidRPr="00EC18F1">
        <w:rPr>
          <w:rFonts w:ascii="Palatino Linotype" w:hAnsi="Palatino Linotype"/>
          <w:lang w:val="es-ES_tradnl"/>
        </w:rPr>
        <w:t xml:space="preserve"> derivado de las auditorías practicadas por parte de las autoridades correspondientes o, en su caso, auditores externos</w:t>
      </w:r>
      <w:r w:rsidRPr="00EC18F1">
        <w:rPr>
          <w:rFonts w:ascii="Palatino Linotype" w:hAnsi="Palatino Linotype"/>
          <w:vertAlign w:val="superscript"/>
          <w:lang w:val="es-ES_tradnl"/>
        </w:rPr>
        <w:footnoteReference w:id="22"/>
      </w:r>
      <w:r w:rsidRPr="00EC18F1">
        <w:rPr>
          <w:rFonts w:ascii="Palatino Linotype" w:hAnsi="Palatino Linotype"/>
          <w:lang w:val="es-ES_tradnl"/>
        </w:rPr>
        <w:t>.</w:t>
      </w:r>
    </w:p>
    <w:p w14:paraId="48384697" w14:textId="77777777" w:rsidR="003663BC" w:rsidRPr="00EC18F1" w:rsidRDefault="003663BC" w:rsidP="003663BC">
      <w:pPr>
        <w:pStyle w:val="Prrafodelista"/>
        <w:tabs>
          <w:tab w:val="left" w:pos="426"/>
        </w:tabs>
        <w:spacing w:line="360" w:lineRule="auto"/>
        <w:ind w:left="0"/>
        <w:jc w:val="both"/>
        <w:rPr>
          <w:rFonts w:ascii="Palatino Linotype" w:hAnsi="Palatino Linotype"/>
          <w:lang w:val="es-ES_tradnl"/>
        </w:rPr>
      </w:pPr>
    </w:p>
    <w:p w14:paraId="31F8F762" w14:textId="173A68C5" w:rsidR="003663BC" w:rsidRPr="00EC18F1" w:rsidRDefault="002D6977" w:rsidP="003663BC">
      <w:pPr>
        <w:pStyle w:val="Prrafodelista"/>
        <w:tabs>
          <w:tab w:val="left" w:pos="426"/>
        </w:tabs>
        <w:spacing w:line="360" w:lineRule="auto"/>
        <w:ind w:left="0"/>
        <w:jc w:val="both"/>
        <w:outlineLvl w:val="2"/>
        <w:rPr>
          <w:rFonts w:ascii="Palatino Linotype" w:hAnsi="Palatino Linotype"/>
          <w:b/>
        </w:rPr>
      </w:pPr>
      <w:r w:rsidRPr="00EC18F1">
        <w:rPr>
          <w:rFonts w:ascii="Palatino Linotype" w:hAnsi="Palatino Linotype"/>
          <w:b/>
          <w:lang w:val="es-ES_tradnl"/>
        </w:rPr>
        <w:t>V</w:t>
      </w:r>
      <w:r w:rsidR="00126B68" w:rsidRPr="00EC18F1">
        <w:rPr>
          <w:rFonts w:ascii="Palatino Linotype" w:hAnsi="Palatino Linotype"/>
          <w:b/>
          <w:lang w:val="es-ES_tradnl"/>
        </w:rPr>
        <w:t>I</w:t>
      </w:r>
      <w:r w:rsidR="00365485" w:rsidRPr="00EC18F1">
        <w:rPr>
          <w:rFonts w:ascii="Palatino Linotype" w:hAnsi="Palatino Linotype"/>
          <w:b/>
          <w:lang w:val="es-ES_tradnl"/>
        </w:rPr>
        <w:t>I</w:t>
      </w:r>
      <w:r w:rsidR="00126B68" w:rsidRPr="00EC18F1">
        <w:rPr>
          <w:rFonts w:ascii="Palatino Linotype" w:hAnsi="Palatino Linotype"/>
          <w:b/>
          <w:lang w:val="es-ES_tradnl"/>
        </w:rPr>
        <w:t>I</w:t>
      </w:r>
      <w:r w:rsidRPr="00EC18F1">
        <w:rPr>
          <w:rFonts w:ascii="Palatino Linotype" w:hAnsi="Palatino Linotype"/>
          <w:b/>
          <w:lang w:val="es-ES_tradnl"/>
        </w:rPr>
        <w:t>.</w:t>
      </w:r>
      <w:r w:rsidR="003663BC" w:rsidRPr="00EC18F1">
        <w:rPr>
          <w:rFonts w:ascii="Palatino Linotype" w:hAnsi="Palatino Linotype"/>
          <w:b/>
          <w:lang w:val="es-ES_tradnl"/>
        </w:rPr>
        <w:t>I.I. Del procedimiento de responsabilidades administrativas.</w:t>
      </w:r>
    </w:p>
    <w:p w14:paraId="5AC5BD33"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Al respecto, </w:t>
      </w:r>
      <w:r w:rsidRPr="00EC18F1">
        <w:rPr>
          <w:rFonts w:ascii="Palatino Linotype" w:hAnsi="Palatino Linotype"/>
          <w:lang w:val="es-ES_tradnl"/>
        </w:rPr>
        <w:t>la Ley de Responsabilidades Administrativas del Estado de México y Municipios establece y diferencia, en sus artículos 50, 51 y 52, las faltas administrativas no graves y graves, respectivamente, en que pueden incurrir los servidores públicos, a saber:</w:t>
      </w:r>
    </w:p>
    <w:p w14:paraId="448ECA57"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w:t>
      </w:r>
      <w:r w:rsidRPr="00EC18F1">
        <w:rPr>
          <w:rFonts w:ascii="Palatino Linotype" w:hAnsi="Palatino Linotype"/>
          <w:b/>
          <w:i/>
          <w:sz w:val="22"/>
        </w:rPr>
        <w:t>Artículo 50</w:t>
      </w:r>
      <w:r w:rsidRPr="00EC18F1">
        <w:rPr>
          <w:rFonts w:ascii="Palatino Linotype" w:hAnsi="Palatino Linotype"/>
          <w:bCs/>
          <w:i/>
          <w:sz w:val="22"/>
        </w:rPr>
        <w:t xml:space="preserve">. Incurre en falta administrativa no grave, el servidor público que con sus actos u omisiones, incumpla o transgreda las obligaciones siguientes: </w:t>
      </w:r>
    </w:p>
    <w:p w14:paraId="34F55388"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I.</w:t>
      </w:r>
      <w:r w:rsidRPr="00EC18F1">
        <w:rPr>
          <w:rFonts w:ascii="Palatino Linotype" w:hAnsi="Palatino Linotype"/>
          <w:bCs/>
          <w:i/>
          <w:sz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42925FC6"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II.</w:t>
      </w:r>
      <w:r w:rsidRPr="00EC18F1">
        <w:rPr>
          <w:rFonts w:ascii="Palatino Linotype" w:hAnsi="Palatino Linotype"/>
          <w:bCs/>
          <w:i/>
          <w:sz w:val="22"/>
        </w:rPr>
        <w:t xml:space="preserve"> Denunciar los actos u omisiones que en ejercicio de sus funciones llegare a advertir, que puedan constituir faltas administrativas en términos del artículo 95 de la presente Ley. </w:t>
      </w:r>
    </w:p>
    <w:p w14:paraId="047100D5"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III.</w:t>
      </w:r>
      <w:r w:rsidRPr="00EC18F1">
        <w:rPr>
          <w:rFonts w:ascii="Palatino Linotype" w:hAnsi="Palatino Linotype"/>
          <w:bCs/>
          <w:i/>
          <w:sz w:val="22"/>
        </w:rPr>
        <w:t xml:space="preserve"> Atender las instrucciones de sus superiores, siempre que éstas sean acordes con las disposiciones relacionadas con el servicio público. </w:t>
      </w:r>
    </w:p>
    <w:p w14:paraId="7E398CF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En caso de recibir instrucción o encomienda contraria a dichas disposiciones, deberá denunciar esta circunstancia en términos del artículo 95 de la presente Ley.</w:t>
      </w:r>
    </w:p>
    <w:p w14:paraId="00E10825"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IV.</w:t>
      </w:r>
      <w:r w:rsidRPr="00EC18F1">
        <w:rPr>
          <w:rFonts w:ascii="Palatino Linotype" w:hAnsi="Palatino Linotype"/>
          <w:bCs/>
          <w:i/>
          <w:sz w:val="22"/>
        </w:rPr>
        <w:t xml:space="preserve"> Presentar en tiempo y forma la declaración de situación patrimonial y la de intereses que, en su caso, considere se actualice, en los términos establecidos por esta Ley. </w:t>
      </w:r>
    </w:p>
    <w:p w14:paraId="54021A07"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V.</w:t>
      </w:r>
      <w:r w:rsidRPr="00EC18F1">
        <w:rPr>
          <w:rFonts w:ascii="Palatino Linotype" w:hAnsi="Palatino Linotype"/>
          <w:bCs/>
          <w:i/>
          <w:sz w:val="22"/>
        </w:rPr>
        <w:t xml:space="preserve"> Rendir cuentas sobre el ejercicio de las funciones, en términos de las normas aplicables. </w:t>
      </w:r>
    </w:p>
    <w:p w14:paraId="6FAD6D4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VI.</w:t>
      </w:r>
      <w:r w:rsidRPr="00EC18F1">
        <w:rPr>
          <w:rFonts w:ascii="Palatino Linotype" w:hAnsi="Palatino Linotype"/>
          <w:bCs/>
          <w:i/>
          <w:sz w:val="22"/>
        </w:rPr>
        <w:t xml:space="preserve"> Colaborar en los procedimientos judiciales y administrativos en los que sea parte. </w:t>
      </w:r>
    </w:p>
    <w:p w14:paraId="6B4680A7"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lastRenderedPageBreak/>
        <w:t>VII.</w:t>
      </w:r>
      <w:r w:rsidRPr="00EC18F1">
        <w:rPr>
          <w:rFonts w:ascii="Palatino Linotype" w:hAnsi="Palatino Linotype"/>
          <w:bCs/>
          <w:i/>
          <w:sz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0AC27FAE"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62A8F72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071F3F56"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VIII.</w:t>
      </w:r>
      <w:r w:rsidRPr="00EC18F1">
        <w:rPr>
          <w:rFonts w:ascii="Palatino Linotype" w:hAnsi="Palatino Linotype"/>
          <w:bCs/>
          <w:i/>
          <w:sz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54CD6C6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IX.</w:t>
      </w:r>
      <w:r w:rsidRPr="00EC18F1">
        <w:rPr>
          <w:rFonts w:ascii="Palatino Linotype" w:hAnsi="Palatino Linotype"/>
          <w:bCs/>
          <w:i/>
          <w:sz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67C3B08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w:t>
      </w:r>
      <w:r w:rsidRPr="00EC18F1">
        <w:rPr>
          <w:rFonts w:ascii="Palatino Linotype" w:hAnsi="Palatino Linotype"/>
          <w:bCs/>
          <w:i/>
          <w:sz w:val="22"/>
        </w:rPr>
        <w:t xml:space="preserve"> Observar buena conducta en su empleo, cargo o comisión tratando con respeto, diligencia, imparcialidad y rectitud a las personas y servidores públicos con los que tenga relación con motivo de éste. </w:t>
      </w:r>
    </w:p>
    <w:p w14:paraId="595855CE"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XI.</w:t>
      </w:r>
      <w:r w:rsidRPr="00EC18F1">
        <w:rPr>
          <w:rFonts w:ascii="Palatino Linotype" w:hAnsi="Palatino Linotype"/>
          <w:bCs/>
          <w:i/>
          <w:sz w:val="22"/>
        </w:rPr>
        <w:t xml:space="preserve"> Observar un trato respetuoso con sus subalternos. </w:t>
      </w:r>
    </w:p>
    <w:p w14:paraId="2CE0981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XII.</w:t>
      </w:r>
      <w:r w:rsidRPr="00EC18F1">
        <w:rPr>
          <w:rFonts w:ascii="Palatino Linotype" w:hAnsi="Palatino Linotype"/>
          <w:bCs/>
          <w:i/>
          <w:sz w:val="22"/>
        </w:rPr>
        <w:t xml:space="preserve"> Supervisar que los servidores públicos sujetos a su dirección, cumplan con las disposiciones de esta Ley. </w:t>
      </w:r>
    </w:p>
    <w:p w14:paraId="3F37F63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XIII.</w:t>
      </w:r>
      <w:r w:rsidRPr="00EC18F1">
        <w:rPr>
          <w:rFonts w:ascii="Palatino Linotype" w:hAnsi="Palatino Linotype"/>
          <w:bCs/>
          <w:i/>
          <w:sz w:val="22"/>
        </w:rPr>
        <w:t xml:space="preserve"> Cumplir con la entrega de índole administrativo del despacho y de toda aquella documentación inherente a su cargo, en los términos que establezcan las disposiciones legales o administrativas que al efecto se señalen. </w:t>
      </w:r>
    </w:p>
    <w:p w14:paraId="60EE3F00"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XIV.</w:t>
      </w:r>
      <w:r w:rsidRPr="00EC18F1">
        <w:rPr>
          <w:rFonts w:ascii="Palatino Linotype" w:hAnsi="Palatino Linotype"/>
          <w:bCs/>
          <w:i/>
          <w:sz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2EF3CFB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lastRenderedPageBreak/>
        <w:t>XV.</w:t>
      </w:r>
      <w:r w:rsidRPr="00EC18F1">
        <w:rPr>
          <w:rFonts w:ascii="Palatino Linotype" w:hAnsi="Palatino Linotype"/>
          <w:bCs/>
          <w:i/>
          <w:sz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5A74B530"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XVI.</w:t>
      </w:r>
      <w:r w:rsidRPr="00EC18F1">
        <w:rPr>
          <w:rFonts w:ascii="Palatino Linotype" w:hAnsi="Palatino Linotype"/>
          <w:bCs/>
          <w:i/>
          <w:sz w:val="22"/>
        </w:rPr>
        <w:t xml:space="preserve"> Cumplir con las disposiciones en materia de Gobierno Digital que impongan la Ley de la materia, su reglamento y demás disposiciones aplicables. </w:t>
      </w:r>
    </w:p>
    <w:p w14:paraId="4A57C92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XVII.</w:t>
      </w:r>
      <w:r w:rsidRPr="00EC18F1">
        <w:rPr>
          <w:rFonts w:ascii="Palatino Linotype" w:hAnsi="Palatino Linotype"/>
          <w:bCs/>
          <w:i/>
          <w:sz w:val="22"/>
        </w:rPr>
        <w:t xml:space="preserve"> Utilizar las medidas de seguridad informática y protección de datos e información personal recomendada por las instancias competentes. </w:t>
      </w:r>
    </w:p>
    <w:p w14:paraId="24CBD6E6"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XVIII.</w:t>
      </w:r>
      <w:r w:rsidRPr="00EC18F1">
        <w:rPr>
          <w:rFonts w:ascii="Palatino Linotype" w:hAnsi="Palatino Linotype"/>
          <w:bCs/>
          <w:i/>
          <w:sz w:val="22"/>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3AFFFC36"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XIX.</w:t>
      </w:r>
      <w:r w:rsidRPr="00EC18F1">
        <w:rPr>
          <w:rFonts w:ascii="Palatino Linotype" w:hAnsi="Palatino Linotype"/>
          <w:bCs/>
          <w:i/>
          <w:sz w:val="22"/>
        </w:rPr>
        <w:t xml:space="preserve"> Las demás que le impongan las leyes, reglamentos o disposiciones administrativas aplicables. </w:t>
      </w:r>
    </w:p>
    <w:p w14:paraId="097B887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p>
    <w:p w14:paraId="632F502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
          <w:i/>
          <w:sz w:val="22"/>
        </w:rPr>
        <w:t>Artículo 51.</w:t>
      </w:r>
      <w:r w:rsidRPr="00EC18F1">
        <w:rPr>
          <w:rFonts w:ascii="Palatino Linotype" w:hAnsi="Palatino Linotype"/>
          <w:bCs/>
          <w:i/>
          <w:sz w:val="22"/>
        </w:rPr>
        <w:t xml:space="preserve"> También se considerará falta administrativa no grave, los daños y perjuicios que, de manera culposa o negligente y sin incurrir en alguna de las faltas administrativas graves señaladas en el Capítulo siguiente, cause un servidor público a la Hacienda Pública o al patrimonio de un ente público. </w:t>
      </w:r>
    </w:p>
    <w:p w14:paraId="29233CAB"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47DB24B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3D1B7976"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Cs/>
          <w:i/>
          <w:sz w:val="22"/>
        </w:rPr>
      </w:pPr>
      <w:r w:rsidRPr="00EC18F1">
        <w:rPr>
          <w:rFonts w:ascii="Palatino Linotype" w:hAnsi="Palatino Linotype"/>
          <w:bCs/>
          <w:i/>
          <w:sz w:val="22"/>
        </w:rPr>
        <w:t>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620F719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b/>
          <w:i/>
          <w:sz w:val="22"/>
        </w:rPr>
      </w:pPr>
    </w:p>
    <w:p w14:paraId="0584AF6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Artículo 52.</w:t>
      </w:r>
      <w:r w:rsidRPr="00EC18F1">
        <w:rPr>
          <w:rFonts w:ascii="Palatino Linotype" w:hAnsi="Palatino Linotype"/>
          <w:i/>
          <w:sz w:val="22"/>
        </w:rPr>
        <w:t xml:space="preserve"> Para efectos de la presente Ley, se consideran faltas administrativas graves de los servidores públicos, mediante cualquier acto u omisión, las siguientes: </w:t>
      </w:r>
    </w:p>
    <w:p w14:paraId="4E48DEB3"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w:t>
      </w:r>
      <w:r w:rsidRPr="00EC18F1">
        <w:rPr>
          <w:rFonts w:ascii="Palatino Linotype" w:hAnsi="Palatino Linotype"/>
          <w:i/>
          <w:sz w:val="22"/>
        </w:rPr>
        <w:t xml:space="preserve"> El cohecho. </w:t>
      </w:r>
    </w:p>
    <w:p w14:paraId="5C94574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w:t>
      </w:r>
      <w:r w:rsidRPr="00EC18F1">
        <w:rPr>
          <w:rFonts w:ascii="Palatino Linotype" w:hAnsi="Palatino Linotype"/>
          <w:i/>
          <w:sz w:val="22"/>
        </w:rPr>
        <w:t xml:space="preserve"> El peculado. </w:t>
      </w:r>
    </w:p>
    <w:p w14:paraId="41E578B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III.</w:t>
      </w:r>
      <w:r w:rsidRPr="00EC18F1">
        <w:rPr>
          <w:rFonts w:ascii="Palatino Linotype" w:hAnsi="Palatino Linotype"/>
          <w:i/>
          <w:sz w:val="22"/>
        </w:rPr>
        <w:t xml:space="preserve"> El desvío de recursos públicos. </w:t>
      </w:r>
    </w:p>
    <w:p w14:paraId="1B53EABB"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lastRenderedPageBreak/>
        <w:t>IV.</w:t>
      </w:r>
      <w:r w:rsidRPr="00EC18F1">
        <w:rPr>
          <w:rFonts w:ascii="Palatino Linotype" w:hAnsi="Palatino Linotype"/>
          <w:i/>
          <w:sz w:val="22"/>
        </w:rPr>
        <w:t xml:space="preserve"> La utilización indebida de información. </w:t>
      </w:r>
    </w:p>
    <w:p w14:paraId="7D60C5E5"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w:t>
      </w:r>
      <w:r w:rsidRPr="00EC18F1">
        <w:rPr>
          <w:rFonts w:ascii="Palatino Linotype" w:hAnsi="Palatino Linotype"/>
          <w:i/>
          <w:sz w:val="22"/>
        </w:rPr>
        <w:t xml:space="preserve"> El abuso de funciones. </w:t>
      </w:r>
    </w:p>
    <w:p w14:paraId="0494EAB7"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w:t>
      </w:r>
      <w:r w:rsidRPr="00EC18F1">
        <w:rPr>
          <w:rFonts w:ascii="Palatino Linotype" w:hAnsi="Palatino Linotype"/>
          <w:i/>
          <w:sz w:val="22"/>
        </w:rPr>
        <w:t xml:space="preserve"> Cometer o tolerar conductas de hostigamiento y acoso sexual. </w:t>
      </w:r>
    </w:p>
    <w:p w14:paraId="5FFD2028"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VII.</w:t>
      </w:r>
      <w:r w:rsidRPr="00EC18F1">
        <w:rPr>
          <w:rFonts w:ascii="Palatino Linotype" w:hAnsi="Palatino Linotype"/>
          <w:i/>
          <w:sz w:val="22"/>
        </w:rPr>
        <w:t xml:space="preserve"> El actuar bajo conflicto de interés. </w:t>
      </w:r>
    </w:p>
    <w:p w14:paraId="0CC788C8"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VIII.</w:t>
      </w:r>
      <w:r w:rsidRPr="00EC18F1">
        <w:rPr>
          <w:rFonts w:ascii="Palatino Linotype" w:hAnsi="Palatino Linotype"/>
          <w:i/>
          <w:sz w:val="22"/>
        </w:rPr>
        <w:t xml:space="preserve"> La contratación indebida. </w:t>
      </w:r>
    </w:p>
    <w:p w14:paraId="5DD729D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IX.</w:t>
      </w:r>
      <w:r w:rsidRPr="00EC18F1">
        <w:rPr>
          <w:rFonts w:ascii="Palatino Linotype" w:hAnsi="Palatino Linotype"/>
          <w:i/>
          <w:sz w:val="22"/>
        </w:rPr>
        <w:t xml:space="preserve"> El enriquecimiento oculto u ocultamiento de conflicto de interés. </w:t>
      </w:r>
    </w:p>
    <w:p w14:paraId="226DC885"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X.</w:t>
      </w:r>
      <w:r w:rsidRPr="00EC18F1">
        <w:rPr>
          <w:rFonts w:ascii="Palatino Linotype" w:hAnsi="Palatino Linotype"/>
          <w:i/>
          <w:sz w:val="22"/>
        </w:rPr>
        <w:t xml:space="preserve"> El tráfico de influencias. </w:t>
      </w:r>
    </w:p>
    <w:p w14:paraId="68B269D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XI.</w:t>
      </w:r>
      <w:r w:rsidRPr="00EC18F1">
        <w:rPr>
          <w:rFonts w:ascii="Palatino Linotype" w:hAnsi="Palatino Linotype"/>
          <w:i/>
          <w:sz w:val="22"/>
        </w:rPr>
        <w:t xml:space="preserve"> El encubrimiento. </w:t>
      </w:r>
    </w:p>
    <w:p w14:paraId="1F940B12"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XII.</w:t>
      </w:r>
      <w:r w:rsidRPr="00EC18F1">
        <w:rPr>
          <w:rFonts w:ascii="Palatino Linotype" w:hAnsi="Palatino Linotype"/>
          <w:i/>
          <w:sz w:val="22"/>
        </w:rPr>
        <w:t xml:space="preserve"> El desacato. </w:t>
      </w:r>
    </w:p>
    <w:p w14:paraId="0D796578"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eastAsia="Calibri" w:hAnsi="Palatino Linotype" w:cs="Arial"/>
          <w:i/>
          <w:sz w:val="22"/>
        </w:rPr>
      </w:pPr>
      <w:r w:rsidRPr="00EC18F1">
        <w:rPr>
          <w:rFonts w:ascii="Palatino Linotype" w:hAnsi="Palatino Linotype"/>
          <w:b/>
          <w:i/>
          <w:sz w:val="22"/>
        </w:rPr>
        <w:t>XIII.</w:t>
      </w:r>
      <w:r w:rsidRPr="00EC18F1">
        <w:rPr>
          <w:rFonts w:ascii="Palatino Linotype" w:hAnsi="Palatino Linotype"/>
          <w:i/>
          <w:sz w:val="22"/>
        </w:rPr>
        <w:t xml:space="preserve"> La obstrucción de la Justicia.”</w:t>
      </w:r>
    </w:p>
    <w:p w14:paraId="05365B5A"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115B4C5D"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Dentro </w:t>
      </w:r>
      <w:r w:rsidRPr="00EC18F1">
        <w:rPr>
          <w:rFonts w:ascii="Palatino Linotype" w:hAnsi="Palatino Linotype"/>
          <w:lang w:val="es-ES_tradnl"/>
        </w:rPr>
        <w:t>de la etapa de investigación, las autoridades investigadoras deberán observar los principios de legalidad, imparcialidad, objetividad, congruencia, verdad material y respeto a los derechos humanos. Serán responsables de realizar con oportunidad, exhaustividad y eficiencia la investigación, la integralidad de los datos y documentos, así como el resguardo del expediente en su conjunto</w:t>
      </w:r>
      <w:r w:rsidRPr="00EC18F1">
        <w:rPr>
          <w:rFonts w:ascii="Palatino Linotype" w:hAnsi="Palatino Linotype"/>
          <w:vertAlign w:val="superscript"/>
          <w:lang w:val="es-ES_tradnl"/>
        </w:rPr>
        <w:footnoteReference w:id="23"/>
      </w:r>
      <w:r w:rsidRPr="00EC18F1">
        <w:rPr>
          <w:rFonts w:ascii="Palatino Linotype" w:hAnsi="Palatino Linotype"/>
          <w:lang w:val="es-ES_tradnl"/>
        </w:rPr>
        <w:t>.  En concordancia con lo anterior, llevarán de oficio las auditorías o investigaciones debidamente fundadas y motivadas respecto de las conductas de los servidores públicos y particulares que puedan constituir responsabilidades administrativas en el ámbito de su competencia</w:t>
      </w:r>
      <w:r w:rsidRPr="00EC18F1">
        <w:rPr>
          <w:rFonts w:ascii="Palatino Linotype" w:hAnsi="Palatino Linotype"/>
          <w:vertAlign w:val="superscript"/>
          <w:lang w:val="es-ES_tradnl"/>
        </w:rPr>
        <w:footnoteReference w:id="24"/>
      </w:r>
      <w:r w:rsidRPr="00EC18F1">
        <w:rPr>
          <w:rFonts w:ascii="Palatino Linotype" w:hAnsi="Palatino Linotype"/>
          <w:lang w:val="es-ES_tradnl"/>
        </w:rPr>
        <w:t>. Para ello, tendrán acceso a toda la información necesaria para el esclarecimiento de los hechos, incluyendo aquélla que las disposiciones legales en la materia consideren con carácter de reservada o confidencial, siempre que esté relacionada con la comisión de infracciones a que se refiere la Ley de Responsabilidades Administrativas del Estado de México y Municipios, con la obligación de mantener la misma reserva o secrecía, conforme a lo que determinen las leyes; inclusive, podrán ordenar la práctica de visitas de verificación.</w:t>
      </w:r>
      <w:r w:rsidRPr="00EC18F1">
        <w:rPr>
          <w:rFonts w:ascii="Palatino Linotype" w:hAnsi="Palatino Linotype"/>
          <w:vertAlign w:val="superscript"/>
          <w:lang w:val="es-ES_tradnl"/>
        </w:rPr>
        <w:footnoteReference w:id="25"/>
      </w:r>
      <w:r w:rsidRPr="00EC18F1">
        <w:rPr>
          <w:rFonts w:ascii="Palatino Linotype" w:hAnsi="Palatino Linotype"/>
          <w:lang w:val="es-ES_tradnl"/>
        </w:rPr>
        <w:t xml:space="preserve"> La autoridad </w:t>
      </w:r>
      <w:r w:rsidRPr="00EC18F1">
        <w:rPr>
          <w:rFonts w:ascii="Palatino Linotype" w:hAnsi="Palatino Linotype"/>
          <w:lang w:val="es-ES_tradnl"/>
        </w:rPr>
        <w:lastRenderedPageBreak/>
        <w:t>investigadora podrá hacer uso de las siguientes medidas para hacer cumplir sus determinaciones</w:t>
      </w:r>
      <w:r w:rsidRPr="00EC18F1">
        <w:rPr>
          <w:rFonts w:ascii="Palatino Linotype" w:hAnsi="Palatino Linotype"/>
          <w:vertAlign w:val="superscript"/>
          <w:lang w:val="es-ES_tradnl"/>
        </w:rPr>
        <w:footnoteReference w:id="26"/>
      </w:r>
      <w:r w:rsidRPr="00EC18F1">
        <w:rPr>
          <w:rFonts w:ascii="Palatino Linotype" w:hAnsi="Palatino Linotype"/>
          <w:lang w:val="es-ES_tradnl"/>
        </w:rPr>
        <w:t>:</w:t>
      </w:r>
    </w:p>
    <w:p w14:paraId="768D35E4" w14:textId="77777777" w:rsidR="003663BC" w:rsidRPr="00EC18F1" w:rsidRDefault="003663BC" w:rsidP="003663BC">
      <w:pPr>
        <w:pStyle w:val="Prrafodelista"/>
        <w:numPr>
          <w:ilvl w:val="1"/>
          <w:numId w:val="1"/>
        </w:numPr>
        <w:tabs>
          <w:tab w:val="left" w:pos="426"/>
        </w:tabs>
        <w:spacing w:line="360" w:lineRule="auto"/>
        <w:ind w:left="1134" w:hanging="480"/>
        <w:jc w:val="both"/>
        <w:rPr>
          <w:rFonts w:ascii="Palatino Linotype" w:hAnsi="Palatino Linotype"/>
          <w:sz w:val="22"/>
          <w:lang w:val="es-ES_tradnl"/>
        </w:rPr>
      </w:pPr>
      <w:r w:rsidRPr="00EC18F1">
        <w:rPr>
          <w:rFonts w:ascii="Palatino Linotype" w:hAnsi="Palatino Linotype"/>
          <w:sz w:val="22"/>
          <w:lang w:val="es-ES_tradnl"/>
        </w:rPr>
        <w:t xml:space="preserve">Multa hasta por la cantidad equivalente de cien a ciento cincuenta veces el valor diario de la Unidad de Medida y Actualización, la cual podrá duplicarse o triplicarse en cada ocasión, hasta alcanzar dos mil veces el valor diario de la Unidad de Medida y Actualización, en caso de renuencia al cumplimiento del mandato respectivo; </w:t>
      </w:r>
    </w:p>
    <w:p w14:paraId="22596F2E" w14:textId="77777777" w:rsidR="003663BC" w:rsidRPr="00EC18F1" w:rsidRDefault="003663BC" w:rsidP="003663BC">
      <w:pPr>
        <w:pStyle w:val="Prrafodelista"/>
        <w:numPr>
          <w:ilvl w:val="1"/>
          <w:numId w:val="1"/>
        </w:numPr>
        <w:tabs>
          <w:tab w:val="left" w:pos="426"/>
        </w:tabs>
        <w:spacing w:line="360" w:lineRule="auto"/>
        <w:ind w:left="1134" w:hanging="480"/>
        <w:jc w:val="both"/>
        <w:rPr>
          <w:rFonts w:ascii="Palatino Linotype" w:hAnsi="Palatino Linotype"/>
          <w:sz w:val="22"/>
          <w:lang w:val="es-ES_tradnl"/>
        </w:rPr>
      </w:pPr>
      <w:r w:rsidRPr="00EC18F1">
        <w:rPr>
          <w:rFonts w:ascii="Palatino Linotype" w:hAnsi="Palatino Linotype"/>
          <w:sz w:val="22"/>
          <w:lang w:val="es-ES_tradnl"/>
        </w:rPr>
        <w:t xml:space="preserve">Solicitar el auxilio de la fuerza pública de cualquier orden de gobierno estatal o municipal, los que deberán de atender de inmediato el requerimiento de la autoridad, o </w:t>
      </w:r>
    </w:p>
    <w:p w14:paraId="5C0AFB38" w14:textId="77777777" w:rsidR="003663BC" w:rsidRPr="00EC18F1" w:rsidRDefault="003663BC" w:rsidP="003663BC">
      <w:pPr>
        <w:pStyle w:val="Prrafodelista"/>
        <w:numPr>
          <w:ilvl w:val="1"/>
          <w:numId w:val="1"/>
        </w:numPr>
        <w:tabs>
          <w:tab w:val="left" w:pos="426"/>
        </w:tabs>
        <w:spacing w:line="360" w:lineRule="auto"/>
        <w:ind w:left="1134" w:hanging="480"/>
        <w:jc w:val="both"/>
        <w:rPr>
          <w:rFonts w:ascii="Palatino Linotype" w:hAnsi="Palatino Linotype"/>
          <w:sz w:val="22"/>
          <w:lang w:val="es-ES_tradnl"/>
        </w:rPr>
      </w:pPr>
      <w:r w:rsidRPr="00EC18F1">
        <w:rPr>
          <w:rFonts w:ascii="Palatino Linotype" w:hAnsi="Palatino Linotype"/>
          <w:sz w:val="22"/>
          <w:lang w:val="es-ES_tradnl"/>
        </w:rPr>
        <w:t>Arresto hasta por treinta y seis horas.</w:t>
      </w:r>
    </w:p>
    <w:p w14:paraId="2C54866F"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41B62A2A"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Una </w:t>
      </w:r>
      <w:r w:rsidRPr="00EC18F1">
        <w:rPr>
          <w:rFonts w:ascii="Palatino Linotype" w:hAnsi="Palatino Linotype"/>
          <w:lang w:val="es-ES_tradnl"/>
        </w:rPr>
        <w:t>vez concluidas las diligencias de investigación, las autoridades investigadoras procederán al análisis de los hechos, así como de la información recabada, a efecto de determinar la existencia o inexistencia de actos u omisiones que la Ley señale como falta administrativa</w:t>
      </w:r>
      <w:r w:rsidRPr="00EC18F1">
        <w:rPr>
          <w:rFonts w:ascii="Palatino Linotype" w:hAnsi="Palatino Linotype"/>
          <w:vertAlign w:val="superscript"/>
          <w:lang w:val="es-ES_tradnl"/>
        </w:rPr>
        <w:footnoteReference w:id="27"/>
      </w:r>
      <w:r w:rsidRPr="00EC18F1">
        <w:rPr>
          <w:rFonts w:ascii="Palatino Linotype" w:hAnsi="Palatino Linotype"/>
          <w:lang w:val="es-ES_tradnl"/>
        </w:rPr>
        <w:t>. De no encontrarse elementos suficientes para demostrar la existencia de la infracción y acreditar la presunta responsabilidad del infractor, se emitirá un acuerdo de conclusión y archivo del expediente debidamente fundado y motivado, ello sin perjuicio de poder reabrir la investigación en el supuesto de presentarse nuevos indicios o pruebas y no hubiere prescrito la facultad para sancionar</w:t>
      </w:r>
      <w:r w:rsidRPr="00EC18F1">
        <w:rPr>
          <w:rFonts w:ascii="Palatino Linotype" w:hAnsi="Palatino Linotype"/>
          <w:vertAlign w:val="superscript"/>
          <w:lang w:val="es-ES_tradnl"/>
        </w:rPr>
        <w:footnoteReference w:id="28"/>
      </w:r>
      <w:r w:rsidRPr="00EC18F1">
        <w:rPr>
          <w:rFonts w:ascii="Palatino Linotype" w:hAnsi="Palatino Linotype"/>
          <w:lang w:val="es-ES_tradnl"/>
        </w:rPr>
        <w:t>.</w:t>
      </w:r>
    </w:p>
    <w:p w14:paraId="00D4285F" w14:textId="77777777" w:rsidR="00BB27C1" w:rsidRPr="00EC18F1" w:rsidRDefault="00BB27C1" w:rsidP="00BB27C1">
      <w:pPr>
        <w:pStyle w:val="Prrafodelista"/>
        <w:tabs>
          <w:tab w:val="left" w:pos="426"/>
        </w:tabs>
        <w:spacing w:line="360" w:lineRule="auto"/>
        <w:ind w:left="0"/>
        <w:jc w:val="both"/>
        <w:rPr>
          <w:rFonts w:ascii="Palatino Linotype" w:hAnsi="Palatino Linotype"/>
        </w:rPr>
      </w:pPr>
    </w:p>
    <w:p w14:paraId="47AAC025" w14:textId="529AEC65" w:rsidR="00BB27C1" w:rsidRPr="00EC18F1" w:rsidRDefault="00BB27C1"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No es ocioso mencionar que, en el caso </w:t>
      </w:r>
      <w:r w:rsidRPr="00EC18F1">
        <w:rPr>
          <w:rFonts w:ascii="Palatino Linotype" w:hAnsi="Palatino Linotype"/>
        </w:rPr>
        <w:t xml:space="preserve">de la </w:t>
      </w:r>
      <w:r w:rsidRPr="00EC18F1">
        <w:rPr>
          <w:rFonts w:ascii="Palatino Linotype" w:hAnsi="Palatino Linotype"/>
          <w:b/>
        </w:rPr>
        <w:t>Contraloría del Poder Legislativo</w:t>
      </w:r>
      <w:r w:rsidRPr="00EC18F1">
        <w:rPr>
          <w:rFonts w:ascii="Palatino Linotype" w:hAnsi="Palatino Linotype"/>
        </w:rPr>
        <w:t xml:space="preserve">, será competente respecto de los </w:t>
      </w:r>
      <w:r w:rsidRPr="00EC18F1">
        <w:rPr>
          <w:rFonts w:ascii="Palatino Linotype" w:hAnsi="Palatino Linotype"/>
          <w:b/>
        </w:rPr>
        <w:t>servidores públicos de elección popular municipal</w:t>
      </w:r>
      <w:r w:rsidRPr="00EC18F1">
        <w:rPr>
          <w:rFonts w:ascii="Palatino Linotype" w:hAnsi="Palatino Linotype"/>
        </w:rPr>
        <w:t xml:space="preserve"> y de los mismos servidores públicos del Poder Legislativo</w:t>
      </w:r>
      <w:r w:rsidRPr="00EC18F1">
        <w:rPr>
          <w:rStyle w:val="Refdenotaalpie"/>
          <w:rFonts w:ascii="Palatino Linotype" w:hAnsi="Palatino Linotype"/>
        </w:rPr>
        <w:footnoteReference w:id="29"/>
      </w:r>
      <w:r w:rsidRPr="00EC18F1">
        <w:rPr>
          <w:rFonts w:ascii="Palatino Linotype" w:hAnsi="Palatino Linotype"/>
        </w:rPr>
        <w:t>.</w:t>
      </w:r>
    </w:p>
    <w:p w14:paraId="3252A9DA"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lastRenderedPageBreak/>
        <w:t>Empero</w:t>
      </w:r>
      <w:r w:rsidRPr="00EC18F1">
        <w:rPr>
          <w:rFonts w:ascii="Palatino Linotype" w:hAnsi="Palatino Linotype"/>
          <w:lang w:val="es-ES_tradnl"/>
        </w:rPr>
        <w:t xml:space="preserve">, si como resultado de la investigación y el análisis de los hechos y la información recabada, las autoridades investigadoras determinen calificar la conducta como una falta grave o no grave, ésta se incluirá en un documento denominado </w:t>
      </w:r>
      <w:r w:rsidRPr="00EC18F1">
        <w:rPr>
          <w:rFonts w:ascii="Palatino Linotype" w:hAnsi="Palatino Linotype"/>
          <w:b/>
          <w:lang w:val="es-ES_tradnl"/>
        </w:rPr>
        <w:t>Informe de Presunta Responsabilidad Administrativa</w:t>
      </w:r>
      <w:r w:rsidRPr="00EC18F1">
        <w:rPr>
          <w:rFonts w:ascii="Palatino Linotype" w:hAnsi="Palatino Linotype"/>
          <w:lang w:val="es-ES_tradnl"/>
        </w:rPr>
        <w:t>, que se presentará ante la autoridad sustanciadora a efecto de iniciar el procedimiento de responsabilidad administrativa correspondiente</w:t>
      </w:r>
      <w:r w:rsidRPr="00EC18F1">
        <w:rPr>
          <w:rFonts w:ascii="Palatino Linotype" w:hAnsi="Palatino Linotype"/>
          <w:vertAlign w:val="superscript"/>
          <w:lang w:val="es-ES_tradnl"/>
        </w:rPr>
        <w:footnoteReference w:id="30"/>
      </w:r>
      <w:r w:rsidRPr="00EC18F1">
        <w:rPr>
          <w:rFonts w:ascii="Palatino Linotype" w:hAnsi="Palatino Linotype"/>
          <w:lang w:val="es-ES_tradnl"/>
        </w:rPr>
        <w:t>.</w:t>
      </w:r>
    </w:p>
    <w:p w14:paraId="284ADE6C"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5B43A0FC"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El </w:t>
      </w:r>
      <w:r w:rsidRPr="00EC18F1">
        <w:rPr>
          <w:rFonts w:ascii="Palatino Linotype" w:hAnsi="Palatino Linotype"/>
          <w:lang w:val="es-ES_tradnl"/>
        </w:rPr>
        <w:t>procedimiento de responsabilidad administrativa dará inicio cuando las autoridades substanciadoras, en el ámbito de su competencia, admitan el informe de presunta responsabilidad administrativa</w:t>
      </w:r>
      <w:r w:rsidRPr="00EC18F1">
        <w:rPr>
          <w:rFonts w:ascii="Palatino Linotype" w:hAnsi="Palatino Linotype"/>
          <w:vertAlign w:val="superscript"/>
          <w:lang w:val="es-ES_tradnl"/>
        </w:rPr>
        <w:footnoteReference w:id="31"/>
      </w:r>
      <w:r w:rsidRPr="00EC18F1">
        <w:rPr>
          <w:rFonts w:ascii="Palatino Linotype" w:hAnsi="Palatino Linotype"/>
          <w:lang w:val="es-ES_tradnl"/>
        </w:rPr>
        <w:t xml:space="preserve">, el cual, implica que la autoridad investigadora concluyó la existencia de elementos de prueba consolidados y suficientes para determinar la existencia de una conducta orientada en contra del buen gobierno, misma que ha sido calificada como grave o no grave de acuerdo con los elementos y naturaleza de la conducta. Se insiste, la autoridad a quien se encomiende la substanciación y, en su caso, la resolución del procedimiento de responsabilidad administrativa deberá ser distinto de aquél o aquellos encargados de la investigación. Para tal efecto, </w:t>
      </w:r>
      <w:r w:rsidRPr="00EC18F1">
        <w:rPr>
          <w:rFonts w:ascii="Palatino Linotype" w:hAnsi="Palatino Linotype"/>
          <w:b/>
          <w:lang w:val="es-ES_tradnl"/>
        </w:rPr>
        <w:t>el Órgano Interno de Control contará con la estructura orgánica necesaria para realizar las funciones correspondientes a las autoridades investigadoras y substanciadoras y garantizará la independencia entre ambas en el ejercicio de sus funciones</w:t>
      </w:r>
      <w:r w:rsidRPr="00EC18F1">
        <w:rPr>
          <w:rFonts w:ascii="Palatino Linotype" w:hAnsi="Palatino Linotype"/>
          <w:vertAlign w:val="superscript"/>
          <w:lang w:val="es-ES_tradnl"/>
        </w:rPr>
        <w:footnoteReference w:id="32"/>
      </w:r>
      <w:r w:rsidRPr="00EC18F1">
        <w:rPr>
          <w:rFonts w:ascii="Palatino Linotype" w:hAnsi="Palatino Linotype"/>
          <w:lang w:val="es-ES_tradnl"/>
        </w:rPr>
        <w:t>.</w:t>
      </w:r>
    </w:p>
    <w:p w14:paraId="4C83D5E3"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78B14658"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Ahora </w:t>
      </w:r>
      <w:r w:rsidRPr="00EC18F1">
        <w:rPr>
          <w:rFonts w:ascii="Palatino Linotype" w:hAnsi="Palatino Linotype"/>
          <w:lang w:val="es-ES_tradnl"/>
        </w:rPr>
        <w:t>bien, por cuanto hace al procedimiento administrativo relacionado con las faltas administrativas no graves, el artículo 194 de la Ley de Responsabilidades Administrativas del Estado de México y Municipios expone que se desarrollará de la siguiente manera:</w:t>
      </w:r>
    </w:p>
    <w:p w14:paraId="33C8B8D7"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lastRenderedPageBreak/>
        <w:t>“I</w:t>
      </w:r>
      <w:r w:rsidRPr="00EC18F1">
        <w:rPr>
          <w:rFonts w:ascii="Palatino Linotype" w:hAnsi="Palatino Linotype"/>
          <w:i/>
          <w:sz w:val="22"/>
        </w:rPr>
        <w:t xml:space="preserve">. La autoridad investigadora deberá presentar ante la autoridad substanciadora el informe de presunta responsabilidad administrativa, la cual, dentro de los tres días hábiles siguientes, se pronunciará sobre su admisión, pudiendo prevenir a la autoridad investigadora para que subsane las omisiones que advierta, o que aclare los hechos narrados en dicho informe. </w:t>
      </w:r>
    </w:p>
    <w:p w14:paraId="3667DB2F"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w:t>
      </w:r>
      <w:r w:rsidRPr="00EC18F1">
        <w:rPr>
          <w:rFonts w:ascii="Palatino Linotype" w:hAnsi="Palatino Linotype"/>
          <w:i/>
          <w:sz w:val="22"/>
        </w:rPr>
        <w:t xml:space="preserve"> En el caso de que la autoridad substanciadora admita el Informe de Presunta Responsabilidad Administrativa, ordenará el emplazamiento del presunto responsable, debiendo citarlo para que comparezca personalmente a la celebración de la audiencia inicial, señalando con precisión el día, lugar y hora en que tendrá verificativo, así como la autoridad ante la que deberá comparecer. </w:t>
      </w:r>
    </w:p>
    <w:p w14:paraId="49507410"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Del mismo modo, le hará saber el derecho que tiene de no declarar en contra de sí mismo, ni a declararse culpable, de defenderse personalmente o ser asistido por un defensor perito en la materia y de no contar con uno, le será designado un defensor de oficio.</w:t>
      </w:r>
    </w:p>
    <w:p w14:paraId="2E81696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III.</w:t>
      </w:r>
      <w:r w:rsidRPr="00EC18F1">
        <w:rPr>
          <w:rFonts w:ascii="Palatino Linotype" w:hAnsi="Palatino Linotype"/>
          <w:i/>
          <w:sz w:val="22"/>
        </w:rPr>
        <w:t xml:space="preserve"> Entre la fecha del emplazamiento y la del desahogo de la audiencia inicial, deberá mediar un plazo no menor de diez ni mayor de quince días hábiles. </w:t>
      </w:r>
    </w:p>
    <w:p w14:paraId="35B62562"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El diferimiento de la audiencia sólo podrá otorgarse por causas de caso fortuito o de fuerza mayor debidamente justificadas o en aquellos casos en que se señale. </w:t>
      </w:r>
    </w:p>
    <w:p w14:paraId="27C4EF94"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IV.</w:t>
      </w:r>
      <w:r w:rsidRPr="00EC18F1">
        <w:rPr>
          <w:rFonts w:ascii="Palatino Linotype" w:hAnsi="Palatino Linotype"/>
          <w:i/>
          <w:sz w:val="22"/>
        </w:rPr>
        <w:t xml:space="preserve"> Previo a la celebración de la audiencia inicial, la autoridad substanciadora deberá citar a las demás partes que deban concurrir al procedimiento, cuando menos con setenta y dos horas de anticipación. </w:t>
      </w:r>
    </w:p>
    <w:p w14:paraId="4927C57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w:t>
      </w:r>
      <w:r w:rsidRPr="00EC18F1">
        <w:rPr>
          <w:rFonts w:ascii="Palatino Linotype" w:hAnsi="Palatino Linotype"/>
          <w:i/>
          <w:sz w:val="22"/>
        </w:rPr>
        <w:t xml:space="preserve"> El día y hora señalado para la audiencia inicial el presunto responsable rendirá su declaración por escrito o verbalmente y deberá ofrecer las pruebas que considere pertinentes. </w:t>
      </w:r>
    </w:p>
    <w:p w14:paraId="15CFA274"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En caso de tratarse de pruebas documentales, deberá exhibir todas las que tenga en su poder, o las que no estándolo, conste que las solicitó a través del acuse de recibo correspondiente debidamente sellado por la autoridad competente.</w:t>
      </w:r>
    </w:p>
    <w:p w14:paraId="5997FA68"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Tratándose de documentos que obren en poder de terceros y que no pudo conseguirlos por obrar en archivos privados, deberá señalar el archivo donde se encuentren o la persona que los tenga a su cuidado para que, en su caso, le sean requeridos en los términos previstos en la presente Ley. </w:t>
      </w:r>
    </w:p>
    <w:p w14:paraId="366E3F73"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w:t>
      </w:r>
      <w:r w:rsidRPr="00EC18F1">
        <w:rPr>
          <w:rFonts w:ascii="Palatino Linotype" w:hAnsi="Palatino Linotype"/>
          <w:i/>
          <w:sz w:val="22"/>
        </w:rPr>
        <w:t xml:space="preserve"> Los terceros llamados al procedimiento de responsabilidad administrativa, a más tardar durante la audiencia inicial, podrán manifestar por escrito o verbalmente lo que a su derecho convenga y ofrecer las pruebas que estimen conducentes, debiendo exhibir las documentales que obren en su poder, o las que no estándolo, conste que las solicitaron por el acuse de recibo correspondiente.</w:t>
      </w:r>
    </w:p>
    <w:p w14:paraId="3E84E62F"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Tratándose de documentos que obren en poder de terceros y que no pudieron conseguirlos por obrar en archivos privados, deberán señalar el archivo donde se encuentren o la persona que los tenga a su cuidado para que, en su caso, le sean requeridos. </w:t>
      </w:r>
    </w:p>
    <w:p w14:paraId="0B7F76E3"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VII.</w:t>
      </w:r>
      <w:r w:rsidRPr="00EC18F1">
        <w:rPr>
          <w:rFonts w:ascii="Palatino Linotype" w:hAnsi="Palatino Linotype"/>
          <w:i/>
          <w:sz w:val="22"/>
        </w:rPr>
        <w:t xml:space="preserve"> Una vez que las partes hayan manifestado durante la audiencia inicial lo que a su derecho convenga y ofrecido sus respectivas pruebas, la autoridad substanciadora declarará cerrada </w:t>
      </w:r>
      <w:r w:rsidRPr="00EC18F1">
        <w:rPr>
          <w:rFonts w:ascii="Palatino Linotype" w:hAnsi="Palatino Linotype"/>
          <w:i/>
          <w:sz w:val="22"/>
        </w:rPr>
        <w:lastRenderedPageBreak/>
        <w:t xml:space="preserve">dicha audiencia inicial, posteriormente las partes no podrán ofrecer más pruebas, salvo las que sean supervenientes. </w:t>
      </w:r>
    </w:p>
    <w:p w14:paraId="3400A5D4"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VIII.</w:t>
      </w:r>
      <w:r w:rsidRPr="00EC18F1">
        <w:rPr>
          <w:rFonts w:ascii="Palatino Linotype" w:hAnsi="Palatino Linotype"/>
          <w:i/>
          <w:sz w:val="22"/>
        </w:rPr>
        <w:t xml:space="preserve"> Dentro de los quince días hábiles siguientes al cierre de la audiencia inicial, la autoridad substanciadora deberá emitir el acuerdo de admisión de pruebas que corresponda, donde deberá ordenar las diligencias necesarias para su preparación y desahogo. </w:t>
      </w:r>
    </w:p>
    <w:p w14:paraId="17E674CF"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IX.</w:t>
      </w:r>
      <w:r w:rsidRPr="00EC18F1">
        <w:rPr>
          <w:rFonts w:ascii="Palatino Linotype" w:hAnsi="Palatino Linotype"/>
          <w:i/>
          <w:sz w:val="22"/>
        </w:rPr>
        <w:t xml:space="preserve"> 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 </w:t>
      </w:r>
    </w:p>
    <w:p w14:paraId="7F1BE4E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X</w:t>
      </w:r>
      <w:r w:rsidRPr="00EC18F1">
        <w:rPr>
          <w:rFonts w:ascii="Palatino Linotype" w:hAnsi="Palatino Linotype"/>
          <w:i/>
          <w:sz w:val="22"/>
        </w:rPr>
        <w:t xml:space="preserve">. Una vez trascurrido el periodo de alegatos, la autoridad resolutora, de oficio, declarará cerrada la instrucción y citará a las partes para oír la resolución que corresponda, la cual deberá dictarse en un plazo no mayor a treinta días hábiles, el cual podrá ampliarse por una sola vez por un término igual cuando la complejidad del asunto así lo requiera, debiendo fundar y motivar las causas para ello. </w:t>
      </w:r>
    </w:p>
    <w:p w14:paraId="6C29DC4B"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eastAsia="Calibri" w:hAnsi="Palatino Linotype" w:cs="Arial"/>
          <w:i/>
          <w:sz w:val="22"/>
        </w:rPr>
      </w:pPr>
      <w:r w:rsidRPr="00EC18F1">
        <w:rPr>
          <w:rFonts w:ascii="Palatino Linotype" w:hAnsi="Palatino Linotype"/>
          <w:b/>
          <w:i/>
          <w:sz w:val="22"/>
        </w:rPr>
        <w:t>XI.</w:t>
      </w:r>
      <w:r w:rsidRPr="00EC18F1">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1CF509AE"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7F81295B"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rPr>
        <w:t xml:space="preserve">Para </w:t>
      </w:r>
      <w:r w:rsidRPr="00EC18F1">
        <w:rPr>
          <w:rFonts w:ascii="Palatino Linotype" w:hAnsi="Palatino Linotype"/>
          <w:lang w:val="es-ES_tradnl"/>
        </w:rPr>
        <w:t>el caso de las faltas administrativas graves o faltas de particulares, el procedimiento de responsabilidad administrativa se llevará ante el Tribunal de Justicia Administrativa del Estado de México y Municipios; y, de acuerdo con el numeral 195 de la Ley de Responsabilidades Administrativas del Estado de México y Municipios, el proceso se llevará a cabo de la siguiente forma:</w:t>
      </w:r>
    </w:p>
    <w:p w14:paraId="750376E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“Las autoridades substanciadoras deberán observar lo dispuesto en las fracciones I a la VII del artículo anterior, posteriormente procederán en los siguientes términos: </w:t>
      </w:r>
    </w:p>
    <w:p w14:paraId="20F5C614"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w:t>
      </w:r>
      <w:r w:rsidRPr="00EC18F1">
        <w:rPr>
          <w:rFonts w:ascii="Palatino Linotype" w:hAnsi="Palatino Linotype"/>
          <w:i/>
          <w:sz w:val="22"/>
        </w:rPr>
        <w:t xml:space="preserve"> Dentro de los tres días hábiles siguientes de haber concluido la audiencia inicial, la autoridad substanciadora deberá, bajo su responsabilidad, enviar al Tribunal, los autos originales del expediente, así como notificar a las partes la fecha de su envío, indicando el domicilio del Tribunal encargado de la resolución del asunto.</w:t>
      </w:r>
    </w:p>
    <w:p w14:paraId="0FBCA371"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w:t>
      </w:r>
      <w:r w:rsidRPr="00EC18F1">
        <w:rPr>
          <w:rFonts w:ascii="Palatino Linotype" w:hAnsi="Palatino Linotype"/>
          <w:i/>
          <w:sz w:val="22"/>
        </w:rPr>
        <w:t xml:space="preserve"> Cuando el Tribunal reciba el expediente, bajo su más estricta responsabilidad, deberá verificar que la falta descrita en el informe de presunta responsabilidad administrativa sea de las consideradas como graves. </w:t>
      </w:r>
    </w:p>
    <w:p w14:paraId="52D6E60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lastRenderedPageBreak/>
        <w:t xml:space="preserve">En caso de no serlo, fundando y motivando debidamente su resolución, enviará el expediente respectivo a la autoridad substanciadora que corresponda para que continúe el procedimiento en términos de lo dispuesto en el artículo anterior. De igual forma, de advertir el Tribunal que los hechos descritos por la autoridad investigadora en el informe de presunta responsabilidad administrativa corresponden a la descripción de una falta grave diversa, le ordenará a ésta realice la reclasificación que corresponda, pudiendo señalar las directrices que considere pertinentes para su debida presentación, para lo cual le concederá un plazo de tres días hábiles. </w:t>
      </w:r>
    </w:p>
    <w:p w14:paraId="1943EC1F"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En caso de que la autoridad investigadora se niegue a hacer la reclasificación, bajo su más estricta responsabilidad así lo hará del conocimiento del Tribunal fundando y motivando su proceder. En este caso, dicho Tribunal continuará con el procedimiento de responsabilidad administrativa. </w:t>
      </w:r>
    </w:p>
    <w:p w14:paraId="5DC6169C"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Una vez que el Tribunal haya determinado su competencia y en su caso, se haya solventado la reclasificación, deberá notificar personalmente a las partes sobre la recepción del expediente. </w:t>
      </w:r>
    </w:p>
    <w:p w14:paraId="135E451A"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i/>
          <w:sz w:val="22"/>
        </w:rPr>
        <w:t xml:space="preserve">Cuando conste en autos que las partes han sido debidamente notificadas, dictará dentro de los quince días hábiles siguientes el acuerdo de admisión de pruebas que corresponda, donde deberá ordenar las diligencias necesarias para su preparación y desahogo. </w:t>
      </w:r>
    </w:p>
    <w:p w14:paraId="228DB58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III.</w:t>
      </w:r>
      <w:r w:rsidRPr="00EC18F1">
        <w:rPr>
          <w:rFonts w:ascii="Palatino Linotype" w:hAnsi="Palatino Linotype"/>
          <w:i/>
          <w:sz w:val="22"/>
        </w:rPr>
        <w:t xml:space="preserve"> Concluido el desahogo de las pruebas ofrecidas por las partes y si no existieran diligencias pendientes para mejor proveer o más pruebas que desahogar, el Tribunal declarará abierto el periodo de alegatos por un término de cinco días hábiles comunes para las partes. </w:t>
      </w:r>
    </w:p>
    <w:p w14:paraId="317A205D"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IV.</w:t>
      </w:r>
      <w:r w:rsidRPr="00EC18F1">
        <w:rPr>
          <w:rFonts w:ascii="Palatino Linotype" w:hAnsi="Palatino Linotype"/>
          <w:i/>
          <w:sz w:val="22"/>
        </w:rPr>
        <w:t xml:space="preserve"> Una vez trascurrido el periodo de alegatos, el Tribunal, de oficio, declarará cerrada la instrucción y citará a las partes para oír la resolución que corresponda, la cual deberá dictarse en un plazo no mayor a treinta días hábiles, el cual podrá ampliarse por un término igual, cuando la complejidad del asunto así lo requiera debiendo fundar y motivar las causas para ello. </w:t>
      </w:r>
    </w:p>
    <w:p w14:paraId="35385039" w14:textId="77777777" w:rsidR="003663BC" w:rsidRPr="00EC18F1" w:rsidRDefault="003663BC" w:rsidP="003663BC">
      <w:pPr>
        <w:pStyle w:val="Prrafodelista"/>
        <w:spacing w:before="100" w:beforeAutospacing="1" w:after="100" w:afterAutospacing="1" w:line="276" w:lineRule="auto"/>
        <w:ind w:left="567" w:right="567"/>
        <w:jc w:val="both"/>
        <w:rPr>
          <w:rFonts w:ascii="Palatino Linotype" w:hAnsi="Palatino Linotype"/>
          <w:i/>
          <w:sz w:val="22"/>
        </w:rPr>
      </w:pPr>
      <w:r w:rsidRPr="00EC18F1">
        <w:rPr>
          <w:rFonts w:ascii="Palatino Linotype" w:hAnsi="Palatino Linotype"/>
          <w:b/>
          <w:i/>
          <w:sz w:val="22"/>
        </w:rPr>
        <w:t>V.</w:t>
      </w:r>
      <w:r w:rsidRPr="00EC18F1">
        <w:rPr>
          <w:rFonts w:ascii="Palatino Linotype" w:hAnsi="Palatino Linotype"/>
          <w:i/>
          <w:sz w:val="22"/>
        </w:rPr>
        <w:t xml:space="preserve"> La resolución, deberá notificarse personalmente al servidor público o particular, según corresponda. En su caso, se notificará a los denunciantes únicamente para su conocimiento y al jefe inmediato o al titular de la dependencia, municipio u organismo auxiliar, para los efectos de su ejecución, en un término que no exceda de diez días hábiles.”</w:t>
      </w:r>
    </w:p>
    <w:p w14:paraId="4C6A7CA3"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2C3C6291" w14:textId="77777777" w:rsidR="003663BC" w:rsidRPr="00EC18F1" w:rsidRDefault="003663BC" w:rsidP="003663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De </w:t>
      </w:r>
      <w:r w:rsidRPr="00EC18F1">
        <w:rPr>
          <w:rFonts w:ascii="Palatino Linotype" w:hAnsi="Palatino Linotype"/>
          <w:lang w:val="es-ES_tradnl"/>
        </w:rPr>
        <w:t>lo anterior expuesto podemos concluir que, por cuanto hace a los expedientes generados por responsabilidades administrativas no graves, la actuación del Órgano Interno de Control trasciende hasta la resolución del conflicto; mientras que en las responsabilidades administrativas graves, una vez desahogada la audiencia inicial, deberá remitir el expediente al Juzgador Administrativo Estatal, quien será el encargado de emitir la resolución.</w:t>
      </w:r>
    </w:p>
    <w:p w14:paraId="02E4B83D"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color w:val="000000" w:themeColor="text1"/>
        </w:rPr>
        <w:lastRenderedPageBreak/>
        <w:t xml:space="preserve">Por </w:t>
      </w:r>
      <w:r w:rsidRPr="00EC18F1">
        <w:rPr>
          <w:rFonts w:ascii="Palatino Linotype" w:hAnsi="Palatino Linotype"/>
        </w:rPr>
        <w:t xml:space="preserve">lo que una vez </w:t>
      </w:r>
      <w:r w:rsidRPr="00EC18F1">
        <w:rPr>
          <w:rFonts w:ascii="Palatino Linotype" w:hAnsi="Palatino Linotype"/>
          <w:lang w:val="es-ES_tradnl"/>
        </w:rPr>
        <w:t xml:space="preserve">analizado la línea procesal que presupone un procedimiento por responsabilidades administrativas, podemos apreciar la complejidad de su propia naturaleza, ello en el tenor de que no todos los expedientes existen, necesariamente, bajo las mismas circunstancias procesales y gravosas. Ello es así, ya que, por un lado, la calificación de la conducta que realice la autoridad investigadora derivado de la presentación de una queja o denuncia será determinada como una </w:t>
      </w:r>
      <w:r w:rsidRPr="00EC18F1">
        <w:rPr>
          <w:rFonts w:ascii="Palatino Linotype" w:hAnsi="Palatino Linotype"/>
          <w:b/>
          <w:lang w:val="es-ES_tradnl"/>
        </w:rPr>
        <w:t xml:space="preserve">falta administrativa grave </w:t>
      </w:r>
      <w:r w:rsidRPr="00EC18F1">
        <w:rPr>
          <w:rFonts w:ascii="Palatino Linotype" w:hAnsi="Palatino Linotype"/>
          <w:lang w:val="es-ES_tradnl"/>
        </w:rPr>
        <w:t>o</w:t>
      </w:r>
      <w:r w:rsidRPr="00EC18F1">
        <w:rPr>
          <w:rFonts w:ascii="Palatino Linotype" w:hAnsi="Palatino Linotype"/>
          <w:b/>
          <w:lang w:val="es-ES_tradnl"/>
        </w:rPr>
        <w:t xml:space="preserve"> no grave</w:t>
      </w:r>
      <w:r w:rsidRPr="00EC18F1">
        <w:rPr>
          <w:rFonts w:ascii="Palatino Linotype" w:hAnsi="Palatino Linotype"/>
          <w:lang w:val="es-ES_tradnl"/>
        </w:rPr>
        <w:t xml:space="preserve">; y, por otro lado, los expedientes podrán encontrarse en las siguientes condiciones: </w:t>
      </w:r>
      <w:r w:rsidRPr="00EC18F1">
        <w:rPr>
          <w:rFonts w:ascii="Palatino Linotype" w:hAnsi="Palatino Linotype"/>
          <w:b/>
          <w:lang w:val="es-ES_tradnl"/>
        </w:rPr>
        <w:t>a)</w:t>
      </w:r>
      <w:r w:rsidRPr="00EC18F1">
        <w:rPr>
          <w:rFonts w:ascii="Palatino Linotype" w:hAnsi="Palatino Linotype"/>
          <w:lang w:val="es-ES_tradnl"/>
        </w:rPr>
        <w:t xml:space="preserve"> en etapa de investigación; </w:t>
      </w:r>
      <w:r w:rsidRPr="00EC18F1">
        <w:rPr>
          <w:rFonts w:ascii="Palatino Linotype" w:hAnsi="Palatino Linotype"/>
          <w:b/>
          <w:lang w:val="es-ES_tradnl"/>
        </w:rPr>
        <w:t>b)</w:t>
      </w:r>
      <w:r w:rsidRPr="00EC18F1">
        <w:rPr>
          <w:rFonts w:ascii="Palatino Linotype" w:hAnsi="Palatino Linotype"/>
          <w:lang w:val="es-ES_tradnl"/>
        </w:rPr>
        <w:t xml:space="preserve"> que estuvieron en etapa de investigación y se concluyera que no hay razones o motivos suficientes para iniciar un procedimiento de responsabilidades administrativas; y, </w:t>
      </w:r>
      <w:r w:rsidRPr="00EC18F1">
        <w:rPr>
          <w:rFonts w:ascii="Palatino Linotype" w:hAnsi="Palatino Linotype"/>
          <w:b/>
          <w:lang w:val="es-ES_tradnl"/>
        </w:rPr>
        <w:t>c)</w:t>
      </w:r>
      <w:r w:rsidRPr="00EC18F1">
        <w:rPr>
          <w:rFonts w:ascii="Palatino Linotype" w:hAnsi="Palatino Linotype"/>
          <w:lang w:val="es-ES_tradnl"/>
        </w:rPr>
        <w:t xml:space="preserve"> que ya superaron la etapa de notificación, por lo que se ha generado el respectivo Informe de Presunta Responsabilidad Administrativa y, se ha emplazado formalmente al presunto responsable dentro de un procedimiento de responsabilidades administrativas.</w:t>
      </w:r>
    </w:p>
    <w:p w14:paraId="1B7CA4D9"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17CCE484" w14:textId="77777777" w:rsidR="003663BC" w:rsidRPr="00EC18F1" w:rsidRDefault="003663BC" w:rsidP="003663B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Por cuanto hace a las faltas administrativas no graves, el artículo 53 de la Ley del Sistema Anticorrupción del Estado de México y Municipios determina que los registros de este tipo de sanciones quedarán registrados para efectos de eventual reincidencia, </w:t>
      </w:r>
      <w:r w:rsidRPr="00EC18F1">
        <w:rPr>
          <w:rFonts w:ascii="Palatino Linotype" w:hAnsi="Palatino Linotype"/>
          <w:b/>
          <w:bCs/>
          <w:u w:val="single"/>
          <w:lang w:val="es-ES_tradnl"/>
        </w:rPr>
        <w:t>pero no serán públicas</w:t>
      </w:r>
      <w:r w:rsidRPr="00EC18F1">
        <w:rPr>
          <w:rFonts w:ascii="Palatino Linotype" w:hAnsi="Palatino Linotype"/>
          <w:lang w:val="es-ES_tradnl"/>
        </w:rPr>
        <w:t>.</w:t>
      </w:r>
    </w:p>
    <w:p w14:paraId="2A67519A" w14:textId="77777777" w:rsidR="003663BC" w:rsidRPr="00EC18F1" w:rsidRDefault="003663BC" w:rsidP="003663BC">
      <w:pPr>
        <w:pStyle w:val="Prrafodelista"/>
        <w:tabs>
          <w:tab w:val="left" w:pos="426"/>
        </w:tabs>
        <w:spacing w:line="360" w:lineRule="auto"/>
        <w:ind w:left="0"/>
        <w:jc w:val="both"/>
        <w:rPr>
          <w:rFonts w:ascii="Palatino Linotype" w:hAnsi="Palatino Linotype"/>
        </w:rPr>
      </w:pPr>
    </w:p>
    <w:p w14:paraId="58B25CE2" w14:textId="77777777" w:rsidR="003663BC" w:rsidRPr="00EC18F1" w:rsidRDefault="003663BC"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rPr>
        <w:t xml:space="preserve">En ese tenor, </w:t>
      </w:r>
      <w:r w:rsidRPr="00EC18F1">
        <w:rPr>
          <w:rFonts w:ascii="Palatino Linotype" w:hAnsi="Palatino Linotype"/>
          <w:lang w:val="es-ES_tradnl"/>
        </w:rPr>
        <w:t>podemos concluir que la Ley determina que no se podrán dar a conocer las sanciones no graves, es decir, no es posible dar a conocer el nombre del servidor público sancionado ni el registro de incidencias de éste; por lo tanto, se deberá entregar la información en versión pública, testando los nombres de los servidores públicos responsables, así como cualquier dato que pudiera individualizarlos, como su cargo, empleo o comisión.</w:t>
      </w:r>
    </w:p>
    <w:p w14:paraId="10158A2D" w14:textId="3C4D4155" w:rsidR="00361B9B" w:rsidRPr="00EC18F1" w:rsidRDefault="00361B9B" w:rsidP="00361B9B">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iCs/>
        </w:rPr>
        <w:lastRenderedPageBreak/>
        <w:t>V</w:t>
      </w:r>
      <w:r w:rsidR="00126B68" w:rsidRPr="00EC18F1">
        <w:rPr>
          <w:rFonts w:ascii="Palatino Linotype" w:hAnsi="Palatino Linotype" w:cs="Tahoma"/>
          <w:b/>
          <w:iCs/>
        </w:rPr>
        <w:t>I</w:t>
      </w:r>
      <w:r w:rsidR="00365485" w:rsidRPr="00EC18F1">
        <w:rPr>
          <w:rFonts w:ascii="Palatino Linotype" w:hAnsi="Palatino Linotype" w:cs="Tahoma"/>
          <w:b/>
          <w:iCs/>
        </w:rPr>
        <w:t>I</w:t>
      </w:r>
      <w:r w:rsidR="00126B68" w:rsidRPr="00EC18F1">
        <w:rPr>
          <w:rFonts w:ascii="Palatino Linotype" w:hAnsi="Palatino Linotype" w:cs="Tahoma"/>
          <w:b/>
          <w:iCs/>
        </w:rPr>
        <w:t>I</w:t>
      </w:r>
      <w:r w:rsidRPr="00EC18F1">
        <w:rPr>
          <w:rFonts w:ascii="Palatino Linotype" w:hAnsi="Palatino Linotype" w:cs="Tahoma"/>
          <w:b/>
          <w:iCs/>
        </w:rPr>
        <w:t>.I</w:t>
      </w:r>
      <w:r w:rsidR="003663BC" w:rsidRPr="00EC18F1">
        <w:rPr>
          <w:rFonts w:ascii="Palatino Linotype" w:hAnsi="Palatino Linotype" w:cs="Tahoma"/>
          <w:b/>
          <w:iCs/>
        </w:rPr>
        <w:t>I</w:t>
      </w:r>
      <w:r w:rsidRPr="00EC18F1">
        <w:rPr>
          <w:rFonts w:ascii="Palatino Linotype" w:hAnsi="Palatino Linotype" w:cs="Tahoma"/>
          <w:b/>
          <w:iCs/>
        </w:rPr>
        <w:t xml:space="preserve"> De la Dirección Jurídica</w:t>
      </w:r>
      <w:r w:rsidR="00126B68" w:rsidRPr="00EC18F1">
        <w:rPr>
          <w:rFonts w:ascii="Palatino Linotype" w:hAnsi="Palatino Linotype" w:cs="Tahoma"/>
          <w:b/>
          <w:iCs/>
        </w:rPr>
        <w:t xml:space="preserve"> o equivalente</w:t>
      </w:r>
      <w:r w:rsidRPr="00EC18F1">
        <w:rPr>
          <w:rFonts w:ascii="Palatino Linotype" w:hAnsi="Palatino Linotype" w:cs="Tahoma"/>
          <w:b/>
          <w:iCs/>
        </w:rPr>
        <w:t>.</w:t>
      </w:r>
    </w:p>
    <w:p w14:paraId="1DAD9305" w14:textId="1E58C211" w:rsidR="00EF5FD8" w:rsidRPr="00EC18F1" w:rsidRDefault="00185364"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La </w:t>
      </w:r>
      <w:r w:rsidRPr="00EC18F1">
        <w:rPr>
          <w:rFonts w:ascii="Palatino Linotype" w:hAnsi="Palatino Linotype" w:cs="Tahoma"/>
          <w:b/>
          <w:iCs/>
        </w:rPr>
        <w:t xml:space="preserve">Dirección </w:t>
      </w:r>
      <w:r w:rsidR="00DF0B02" w:rsidRPr="00EC18F1">
        <w:rPr>
          <w:rFonts w:ascii="Palatino Linotype" w:hAnsi="Palatino Linotype" w:cs="Tahoma"/>
          <w:b/>
          <w:iCs/>
        </w:rPr>
        <w:t>Jurídica</w:t>
      </w:r>
      <w:r w:rsidR="00126B68" w:rsidRPr="00EC18F1">
        <w:rPr>
          <w:rFonts w:ascii="Palatino Linotype" w:hAnsi="Palatino Linotype" w:cs="Tahoma"/>
          <w:b/>
          <w:iCs/>
        </w:rPr>
        <w:t xml:space="preserve"> </w:t>
      </w:r>
      <w:r w:rsidR="00126B68" w:rsidRPr="00EC18F1">
        <w:rPr>
          <w:rFonts w:ascii="Palatino Linotype" w:hAnsi="Palatino Linotype" w:cs="Tahoma"/>
          <w:iCs/>
        </w:rPr>
        <w:t>(o equivalente) de un ayuntamiento,</w:t>
      </w:r>
      <w:r w:rsidR="00DF0B02" w:rsidRPr="00EC18F1">
        <w:rPr>
          <w:rFonts w:ascii="Palatino Linotype" w:hAnsi="Palatino Linotype" w:cs="Tahoma"/>
          <w:b/>
          <w:iCs/>
        </w:rPr>
        <w:t xml:space="preserve"> </w:t>
      </w:r>
      <w:r w:rsidR="00DC134B" w:rsidRPr="00EC18F1">
        <w:rPr>
          <w:rFonts w:ascii="Palatino Linotype" w:hAnsi="Palatino Linotype" w:cs="Tahoma"/>
          <w:b/>
          <w:iCs/>
        </w:rPr>
        <w:t xml:space="preserve">será el área </w:t>
      </w:r>
      <w:r w:rsidR="00126B68" w:rsidRPr="00EC18F1">
        <w:rPr>
          <w:rFonts w:ascii="Palatino Linotype" w:hAnsi="Palatino Linotype" w:cs="Tahoma"/>
          <w:b/>
          <w:iCs/>
        </w:rPr>
        <w:t>administrativa</w:t>
      </w:r>
      <w:r w:rsidR="00DC134B" w:rsidRPr="00EC18F1">
        <w:rPr>
          <w:rFonts w:ascii="Palatino Linotype" w:hAnsi="Palatino Linotype" w:cs="Tahoma"/>
          <w:b/>
          <w:iCs/>
        </w:rPr>
        <w:t xml:space="preserve"> responsable </w:t>
      </w:r>
      <w:r w:rsidR="00DF1E41" w:rsidRPr="00EC18F1">
        <w:rPr>
          <w:rFonts w:ascii="Palatino Linotype" w:hAnsi="Palatino Linotype" w:cs="Tahoma"/>
          <w:b/>
          <w:iCs/>
        </w:rPr>
        <w:t>de los actos jurídicos y m</w:t>
      </w:r>
      <w:r w:rsidR="00126B68" w:rsidRPr="00EC18F1">
        <w:rPr>
          <w:rFonts w:ascii="Palatino Linotype" w:hAnsi="Palatino Linotype" w:cs="Tahoma"/>
          <w:b/>
          <w:iCs/>
        </w:rPr>
        <w:t>edios de defensa en los que el Ayuntamiento de Timilpan</w:t>
      </w:r>
      <w:r w:rsidR="00DF1E41" w:rsidRPr="00EC18F1">
        <w:rPr>
          <w:rFonts w:ascii="Palatino Linotype" w:hAnsi="Palatino Linotype" w:cs="Tahoma"/>
          <w:b/>
          <w:iCs/>
        </w:rPr>
        <w:t xml:space="preserve"> forme parte, promoviendo los litigios penales, civiles, mercantiles, administrativos, laborales, fiscales, de amparo y los recursos que en estas materias se le encomienden</w:t>
      </w:r>
      <w:r w:rsidR="00126B68" w:rsidRPr="00EC18F1">
        <w:rPr>
          <w:rFonts w:ascii="Palatino Linotype" w:hAnsi="Palatino Linotype" w:cs="Tahoma"/>
          <w:bCs/>
          <w:iCs/>
        </w:rPr>
        <w:t xml:space="preserve"> por el a</w:t>
      </w:r>
      <w:r w:rsidR="00DF1E41" w:rsidRPr="00EC18F1">
        <w:rPr>
          <w:rFonts w:ascii="Palatino Linotype" w:hAnsi="Palatino Linotype" w:cs="Tahoma"/>
          <w:bCs/>
          <w:iCs/>
        </w:rPr>
        <w:t>yuntamiento o el Presidente Municipal.</w:t>
      </w:r>
    </w:p>
    <w:p w14:paraId="7972B36A"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40EA99A8" w14:textId="36D21559" w:rsidR="002D6977" w:rsidRPr="00EC18F1" w:rsidRDefault="002D6977" w:rsidP="002D6977">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V</w:t>
      </w:r>
      <w:r w:rsidR="00126B68" w:rsidRPr="00EC18F1">
        <w:rPr>
          <w:rFonts w:ascii="Palatino Linotype" w:hAnsi="Palatino Linotype" w:cs="Tahoma"/>
          <w:b/>
          <w:bCs/>
          <w:iCs/>
        </w:rPr>
        <w:t>I</w:t>
      </w:r>
      <w:r w:rsidR="00365485" w:rsidRPr="00EC18F1">
        <w:rPr>
          <w:rFonts w:ascii="Palatino Linotype" w:hAnsi="Palatino Linotype" w:cs="Tahoma"/>
          <w:b/>
          <w:bCs/>
          <w:iCs/>
        </w:rPr>
        <w:t>I</w:t>
      </w:r>
      <w:r w:rsidR="00126B68" w:rsidRPr="00EC18F1">
        <w:rPr>
          <w:rFonts w:ascii="Palatino Linotype" w:hAnsi="Palatino Linotype" w:cs="Tahoma"/>
          <w:b/>
          <w:bCs/>
          <w:iCs/>
        </w:rPr>
        <w:t>I</w:t>
      </w:r>
      <w:r w:rsidRPr="00EC18F1">
        <w:rPr>
          <w:rFonts w:ascii="Palatino Linotype" w:hAnsi="Palatino Linotype" w:cs="Tahoma"/>
          <w:b/>
          <w:bCs/>
          <w:iCs/>
        </w:rPr>
        <w:t>.II.I. Del proceso penal.</w:t>
      </w:r>
    </w:p>
    <w:p w14:paraId="47CC331F" w14:textId="765D70F0" w:rsidR="00F9794A" w:rsidRPr="00EC18F1" w:rsidRDefault="003663BC" w:rsidP="00F9794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Al respecto</w:t>
      </w:r>
      <w:r w:rsidR="00F9794A" w:rsidRPr="00EC18F1">
        <w:rPr>
          <w:rFonts w:ascii="Palatino Linotype" w:hAnsi="Palatino Linotype" w:cs="Tahoma"/>
          <w:bCs/>
          <w:iCs/>
        </w:rPr>
        <w:t>, el artículo 211 del Código Nacional de Procedimientos Penales establece que el procedimiento penal ordinario comprenderá las siguientes fases:</w:t>
      </w:r>
    </w:p>
    <w:p w14:paraId="35DF5506" w14:textId="77777777" w:rsidR="00F9794A" w:rsidRPr="00EC18F1" w:rsidRDefault="00F9794A" w:rsidP="00F9794A">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Cs/>
          <w:i/>
          <w:sz w:val="22"/>
        </w:rPr>
        <w:t>“</w:t>
      </w:r>
      <w:r w:rsidRPr="00EC18F1">
        <w:rPr>
          <w:rFonts w:ascii="Palatino Linotype" w:hAnsi="Palatino Linotype" w:cs="Tahoma"/>
          <w:b/>
          <w:i/>
          <w:sz w:val="22"/>
        </w:rPr>
        <w:t>I.</w:t>
      </w:r>
      <w:r w:rsidRPr="00EC18F1">
        <w:rPr>
          <w:rFonts w:ascii="Palatino Linotype" w:hAnsi="Palatino Linotype" w:cs="Tahoma"/>
          <w:bCs/>
          <w:i/>
          <w:sz w:val="22"/>
        </w:rPr>
        <w:t xml:space="preserve"> La de investigación, que comprende las siguientes fases: </w:t>
      </w:r>
    </w:p>
    <w:p w14:paraId="53CDA8CF" w14:textId="77777777" w:rsidR="00F9794A" w:rsidRPr="00EC18F1" w:rsidRDefault="00F9794A" w:rsidP="00F9794A">
      <w:pPr>
        <w:pStyle w:val="Prrafodelista"/>
        <w:tabs>
          <w:tab w:val="left" w:pos="426"/>
        </w:tabs>
        <w:spacing w:before="240" w:after="240" w:line="276" w:lineRule="auto"/>
        <w:ind w:left="851" w:right="567"/>
        <w:jc w:val="both"/>
        <w:rPr>
          <w:rFonts w:ascii="Palatino Linotype" w:hAnsi="Palatino Linotype" w:cs="Tahoma"/>
          <w:bCs/>
          <w:i/>
          <w:sz w:val="22"/>
        </w:rPr>
      </w:pPr>
      <w:r w:rsidRPr="00EC18F1">
        <w:rPr>
          <w:rFonts w:ascii="Palatino Linotype" w:hAnsi="Palatino Linotype" w:cs="Tahoma"/>
          <w:b/>
          <w:i/>
          <w:sz w:val="22"/>
        </w:rPr>
        <w:t>a)</w:t>
      </w:r>
      <w:r w:rsidRPr="00EC18F1">
        <w:rPr>
          <w:rFonts w:ascii="Palatino Linotype" w:hAnsi="Palatino Linotype" w:cs="Tahoma"/>
          <w:bCs/>
          <w:i/>
          <w:sz w:val="22"/>
        </w:rPr>
        <w:t xml:space="preserve"> Investigación inicial, que </w:t>
      </w:r>
      <w:r w:rsidRPr="00EC18F1">
        <w:rPr>
          <w:rFonts w:ascii="Palatino Linotype" w:hAnsi="Palatino Linotype" w:cs="Tahoma"/>
          <w:b/>
          <w:i/>
          <w:sz w:val="22"/>
        </w:rPr>
        <w:t>comienza con la presentación de la denuncia, querella u otro requisito equivalente</w:t>
      </w:r>
      <w:r w:rsidRPr="00EC18F1">
        <w:rPr>
          <w:rFonts w:ascii="Palatino Linotype" w:hAnsi="Palatino Linotype" w:cs="Tahoma"/>
          <w:bCs/>
          <w:i/>
          <w:sz w:val="22"/>
        </w:rPr>
        <w:t xml:space="preserve"> y concluye cuando el imputado queda a disposición del Juez de control para que se le formule imputación, e </w:t>
      </w:r>
    </w:p>
    <w:p w14:paraId="13D2010B" w14:textId="77777777" w:rsidR="00F9794A" w:rsidRPr="00EC18F1" w:rsidRDefault="00F9794A" w:rsidP="00F9794A">
      <w:pPr>
        <w:pStyle w:val="Prrafodelista"/>
        <w:tabs>
          <w:tab w:val="left" w:pos="426"/>
        </w:tabs>
        <w:spacing w:before="240" w:after="240" w:line="276" w:lineRule="auto"/>
        <w:ind w:left="851" w:right="567"/>
        <w:jc w:val="both"/>
        <w:rPr>
          <w:rFonts w:ascii="Palatino Linotype" w:hAnsi="Palatino Linotype" w:cs="Tahoma"/>
          <w:bCs/>
          <w:i/>
          <w:sz w:val="22"/>
        </w:rPr>
      </w:pPr>
      <w:r w:rsidRPr="00EC18F1">
        <w:rPr>
          <w:rFonts w:ascii="Palatino Linotype" w:hAnsi="Palatino Linotype" w:cs="Tahoma"/>
          <w:b/>
          <w:i/>
          <w:sz w:val="22"/>
        </w:rPr>
        <w:t>b)</w:t>
      </w:r>
      <w:r w:rsidRPr="00EC18F1">
        <w:rPr>
          <w:rFonts w:ascii="Palatino Linotype" w:hAnsi="Palatino Linotype" w:cs="Tahoma"/>
          <w:bCs/>
          <w:i/>
          <w:sz w:val="22"/>
        </w:rPr>
        <w:t xml:space="preserve"> Investigación complementaria, que comprende desde la formulación de la imputación y se agota una vez que se haya cerrado la investigación; </w:t>
      </w:r>
    </w:p>
    <w:p w14:paraId="7A7EAF6D" w14:textId="77777777" w:rsidR="00F9794A" w:rsidRPr="00EC18F1" w:rsidRDefault="00F9794A" w:rsidP="00F9794A">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
          <w:i/>
          <w:sz w:val="22"/>
        </w:rPr>
        <w:t>II.</w:t>
      </w:r>
      <w:r w:rsidRPr="00EC18F1">
        <w:rPr>
          <w:rFonts w:ascii="Palatino Linotype" w:hAnsi="Palatino Linotype" w:cs="Tahoma"/>
          <w:bCs/>
          <w:i/>
          <w:sz w:val="22"/>
        </w:rPr>
        <w:t xml:space="preserve"> La intermedia o de preparación del juicio, que comprende desde la formulación de la acusación hasta el auto de apertura del juicio, y</w:t>
      </w:r>
    </w:p>
    <w:p w14:paraId="691CDDC9" w14:textId="77777777" w:rsidR="00F9794A" w:rsidRPr="00EC18F1" w:rsidRDefault="00F9794A" w:rsidP="00F9794A">
      <w:pPr>
        <w:pStyle w:val="Prrafodelista"/>
        <w:tabs>
          <w:tab w:val="left" w:pos="426"/>
        </w:tabs>
        <w:spacing w:before="240" w:after="240" w:line="276" w:lineRule="auto"/>
        <w:ind w:left="567" w:right="567"/>
        <w:jc w:val="both"/>
        <w:rPr>
          <w:rFonts w:ascii="Palatino Linotype" w:hAnsi="Palatino Linotype" w:cs="Tahoma"/>
          <w:bCs/>
          <w:i/>
          <w:sz w:val="22"/>
        </w:rPr>
      </w:pPr>
      <w:r w:rsidRPr="00EC18F1">
        <w:rPr>
          <w:rFonts w:ascii="Palatino Linotype" w:hAnsi="Palatino Linotype" w:cs="Tahoma"/>
          <w:b/>
          <w:i/>
          <w:sz w:val="22"/>
        </w:rPr>
        <w:t xml:space="preserve">III. </w:t>
      </w:r>
      <w:r w:rsidRPr="00EC18F1">
        <w:rPr>
          <w:rFonts w:ascii="Palatino Linotype" w:hAnsi="Palatino Linotype" w:cs="Tahoma"/>
          <w:bCs/>
          <w:i/>
          <w:sz w:val="22"/>
        </w:rPr>
        <w:t>La de juicio, que comprende desde que se recibe el auto de apertura a juicio hasta la sentencia emitida por el Tribunal de enjuiciamiento.”</w:t>
      </w:r>
    </w:p>
    <w:p w14:paraId="13754529" w14:textId="77777777" w:rsidR="00F9794A" w:rsidRPr="00EC18F1" w:rsidRDefault="00F9794A" w:rsidP="00F9794A">
      <w:pPr>
        <w:pStyle w:val="Prrafodelista"/>
        <w:tabs>
          <w:tab w:val="left" w:pos="426"/>
        </w:tabs>
        <w:spacing w:before="240" w:after="240" w:line="276" w:lineRule="auto"/>
        <w:ind w:left="567" w:right="567"/>
        <w:jc w:val="both"/>
        <w:rPr>
          <w:rFonts w:ascii="Palatino Linotype" w:hAnsi="Palatino Linotype" w:cs="Tahoma"/>
          <w:bCs/>
          <w:iCs/>
          <w:sz w:val="22"/>
        </w:rPr>
      </w:pPr>
      <w:r w:rsidRPr="00EC18F1">
        <w:rPr>
          <w:rFonts w:ascii="Palatino Linotype" w:hAnsi="Palatino Linotype" w:cs="Tahoma"/>
          <w:bCs/>
          <w:iCs/>
          <w:sz w:val="22"/>
        </w:rPr>
        <w:t>(Énfasis añadido)</w:t>
      </w:r>
    </w:p>
    <w:p w14:paraId="14EAE0E8"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11C2E1CD" w14:textId="77777777" w:rsidR="00F9794A" w:rsidRPr="00EC18F1" w:rsidRDefault="00F9794A" w:rsidP="00F9794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La investigación de los hechos que revistan características de un delito podrá iniciarse por denuncia, por querella o por su equivalente cuando la ley lo exija. El Ministerio Público y la Policía están obligados a proceder sin mayores requisitos a la investigación de los hechos de los que tengan noticia</w:t>
      </w:r>
      <w:r w:rsidRPr="00EC18F1">
        <w:rPr>
          <w:rStyle w:val="Refdenotaalpie"/>
          <w:rFonts w:ascii="Palatino Linotype" w:hAnsi="Palatino Linotype" w:cs="Tahoma"/>
          <w:bCs/>
          <w:iCs/>
        </w:rPr>
        <w:footnoteReference w:id="33"/>
      </w:r>
      <w:r w:rsidRPr="00EC18F1">
        <w:rPr>
          <w:rFonts w:ascii="Palatino Linotype" w:hAnsi="Palatino Linotype" w:cs="Tahoma"/>
          <w:bCs/>
          <w:iCs/>
        </w:rPr>
        <w:t xml:space="preserve">. </w:t>
      </w:r>
    </w:p>
    <w:p w14:paraId="7C5D2DD1"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1DB39B8C" w14:textId="77777777" w:rsidR="00F9794A" w:rsidRPr="00EC18F1" w:rsidRDefault="00F9794A" w:rsidP="00F9794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Tratándose de delitos que deban perseguirse de oficio, bastará para el inicio de la investigación la comunicación que haga cualquier persona, en la que se haga del conocimiento de la autoridad investigadora los hechos que pudieran ser constitutivos de un delito.</w:t>
      </w:r>
    </w:p>
    <w:p w14:paraId="0E62FDA3"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06A91D67" w14:textId="77777777" w:rsidR="00F9794A" w:rsidRPr="00EC18F1" w:rsidRDefault="00F9794A" w:rsidP="00F9794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 </w:t>
      </w:r>
      <w:r w:rsidRPr="00EC18F1">
        <w:rPr>
          <w:rFonts w:ascii="Palatino Linotype" w:hAnsi="Palatino Linotype" w:cs="Tahoma"/>
          <w:b/>
          <w:iCs/>
        </w:rPr>
        <w:t>Cuando el Ministerio Público tenga conocimiento de la probable comisión de un hecho delictivo cuya persecución dependa de</w:t>
      </w:r>
      <w:r w:rsidRPr="00EC18F1">
        <w:rPr>
          <w:rFonts w:ascii="Palatino Linotype" w:hAnsi="Palatino Linotype" w:cs="Tahoma"/>
          <w:bCs/>
          <w:iCs/>
        </w:rPr>
        <w:t xml:space="preserve"> querella o de </w:t>
      </w:r>
      <w:r w:rsidRPr="00EC18F1">
        <w:rPr>
          <w:rFonts w:ascii="Palatino Linotype" w:hAnsi="Palatino Linotype" w:cs="Tahoma"/>
          <w:b/>
          <w:iCs/>
        </w:rPr>
        <w:t>cualquier</w:t>
      </w:r>
      <w:r w:rsidRPr="00EC18F1">
        <w:rPr>
          <w:rFonts w:ascii="Palatino Linotype" w:hAnsi="Palatino Linotype" w:cs="Tahoma"/>
          <w:bCs/>
          <w:iCs/>
        </w:rPr>
        <w:t xml:space="preserve"> otro </w:t>
      </w:r>
      <w:r w:rsidRPr="00EC18F1">
        <w:rPr>
          <w:rFonts w:ascii="Palatino Linotype" w:hAnsi="Palatino Linotype" w:cs="Tahoma"/>
          <w:b/>
          <w:iCs/>
        </w:rPr>
        <w:t>requisito</w:t>
      </w:r>
      <w:r w:rsidRPr="00EC18F1">
        <w:rPr>
          <w:rFonts w:ascii="Palatino Linotype" w:hAnsi="Palatino Linotype" w:cs="Tahoma"/>
          <w:bCs/>
          <w:iCs/>
        </w:rPr>
        <w:t xml:space="preserve"> equivalente </w:t>
      </w:r>
      <w:r w:rsidRPr="00EC18F1">
        <w:rPr>
          <w:rFonts w:ascii="Palatino Linotype" w:hAnsi="Palatino Linotype" w:cs="Tahoma"/>
          <w:b/>
          <w:iCs/>
        </w:rPr>
        <w:t>que deba formular alguna autoridad, lo comunicará por escrito y de inmediato a ésta, a fin de que resuelva lo que a sus facultades o atribuciones corresponda</w:t>
      </w:r>
      <w:r w:rsidRPr="00EC18F1">
        <w:rPr>
          <w:rFonts w:ascii="Palatino Linotype" w:hAnsi="Palatino Linotype" w:cs="Tahoma"/>
          <w:bCs/>
          <w:iCs/>
        </w:rPr>
        <w:t>. Las autoridades harán saber por escrito al Ministerio Público la determinación que adopten</w:t>
      </w:r>
      <w:r w:rsidRPr="00EC18F1">
        <w:rPr>
          <w:rStyle w:val="Refdenotaalpie"/>
          <w:rFonts w:ascii="Palatino Linotype" w:hAnsi="Palatino Linotype" w:cs="Tahoma"/>
          <w:bCs/>
          <w:iCs/>
        </w:rPr>
        <w:footnoteReference w:id="34"/>
      </w:r>
      <w:r w:rsidRPr="00EC18F1">
        <w:rPr>
          <w:rFonts w:ascii="Palatino Linotype" w:hAnsi="Palatino Linotype" w:cs="Tahoma"/>
          <w:bCs/>
          <w:iCs/>
        </w:rPr>
        <w:t>.</w:t>
      </w:r>
    </w:p>
    <w:p w14:paraId="20D99AF6"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409BFD1D" w14:textId="089DED06" w:rsidR="00361B9B" w:rsidRPr="00EC18F1" w:rsidRDefault="00F9794A"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Cuando la denuncia sea presentada directamente ante el Ministerio Público, éste iniciará la investigación conforme a las reglas previstas en el Código Nacional de Procedimientos Penales</w:t>
      </w:r>
      <w:r w:rsidRPr="00EC18F1">
        <w:rPr>
          <w:rStyle w:val="Refdenotaalpie"/>
          <w:rFonts w:ascii="Palatino Linotype" w:hAnsi="Palatino Linotype" w:cs="Tahoma"/>
          <w:bCs/>
          <w:iCs/>
        </w:rPr>
        <w:footnoteReference w:id="35"/>
      </w:r>
      <w:r w:rsidRPr="00EC18F1">
        <w:rPr>
          <w:rFonts w:ascii="Palatino Linotype" w:hAnsi="Palatino Linotype" w:cs="Tahoma"/>
          <w:bCs/>
          <w:iCs/>
        </w:rPr>
        <w:t>. Por otro lado, si la denuncia se presenta ante la Policía, ésta informará de dicha circunstancia al Ministerio Público en forma inmediata y por cualquier medio, sin perjuicio de realizar las diligencias urgentes que se requieran dando cuenta de ello en forma posterior al Ministerio Público</w:t>
      </w:r>
      <w:r w:rsidRPr="00EC18F1">
        <w:rPr>
          <w:rStyle w:val="Refdenotaalpie"/>
          <w:rFonts w:ascii="Palatino Linotype" w:hAnsi="Palatino Linotype" w:cs="Tahoma"/>
          <w:bCs/>
          <w:iCs/>
        </w:rPr>
        <w:footnoteReference w:id="36"/>
      </w:r>
      <w:r w:rsidRPr="00EC18F1">
        <w:rPr>
          <w:rFonts w:ascii="Palatino Linotype" w:hAnsi="Palatino Linotype" w:cs="Tahoma"/>
          <w:bCs/>
          <w:iCs/>
        </w:rPr>
        <w:t>.</w:t>
      </w:r>
    </w:p>
    <w:p w14:paraId="2EF3C4CB"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1BD29CD5" w14:textId="799FD4DA" w:rsidR="008B1AC6" w:rsidRPr="00EC18F1" w:rsidRDefault="00BA5188"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Por otro lado, existen dos formas de iniciar la investigación: de oficio y por querella. La primera, implica que el Ministerio Público inicie inmediatamente la investigación derivado de la </w:t>
      </w:r>
      <w:r w:rsidRPr="00EC18F1">
        <w:rPr>
          <w:rFonts w:ascii="Palatino Linotype" w:hAnsi="Palatino Linotype" w:cs="Tahoma"/>
          <w:bCs/>
          <w:i/>
          <w:iCs/>
        </w:rPr>
        <w:t>notitia criminis</w:t>
      </w:r>
      <w:r w:rsidRPr="00EC18F1">
        <w:rPr>
          <w:rFonts w:ascii="Palatino Linotype" w:hAnsi="Palatino Linotype" w:cs="Tahoma"/>
          <w:bCs/>
          <w:iCs/>
        </w:rPr>
        <w:t xml:space="preserve"> en razón de su impacto y tipicidad; esto usualmente con la comisión de delitos graves.</w:t>
      </w:r>
    </w:p>
    <w:p w14:paraId="79D74FB9" w14:textId="2C3CC75D" w:rsidR="008B1AC6" w:rsidRPr="00EC18F1" w:rsidRDefault="00BA5188"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 xml:space="preserve">Por su parte, la </w:t>
      </w:r>
      <w:r w:rsidRPr="00EC18F1">
        <w:rPr>
          <w:rFonts w:ascii="Palatino Linotype" w:hAnsi="Palatino Linotype" w:cs="Tahoma"/>
          <w:b/>
          <w:bCs/>
          <w:iCs/>
        </w:rPr>
        <w:t>querella</w:t>
      </w:r>
      <w:r w:rsidRPr="00EC18F1">
        <w:rPr>
          <w:rFonts w:ascii="Palatino Linotype" w:hAnsi="Palatino Linotype" w:cs="Tahoma"/>
          <w:bCs/>
          <w:iCs/>
        </w:rPr>
        <w:t xml:space="preserve"> es la expresión de la voluntad de la víctima u ofendido o de quien legalmente se encuentre facultado para ello, mediante la cual manifiesta expresamente ante el Ministerio Público su pretensión de que se inicie la investigación de uno o varios hechos que la ley señale como delitos y que requieran de este requisito de procedibilidad para ser investigados y, en su caso, se ejerza la acción penal correspondiente</w:t>
      </w:r>
      <w:r w:rsidRPr="00EC18F1">
        <w:rPr>
          <w:rStyle w:val="Refdenotaalpie"/>
          <w:rFonts w:ascii="Palatino Linotype" w:hAnsi="Palatino Linotype" w:cs="Tahoma"/>
          <w:bCs/>
          <w:iCs/>
        </w:rPr>
        <w:footnoteReference w:id="37"/>
      </w:r>
      <w:r w:rsidRPr="00EC18F1">
        <w:rPr>
          <w:rFonts w:ascii="Palatino Linotype" w:hAnsi="Palatino Linotype" w:cs="Tahoma"/>
          <w:bCs/>
          <w:iCs/>
        </w:rPr>
        <w:t>.</w:t>
      </w:r>
    </w:p>
    <w:p w14:paraId="77EFF8A0"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2633A15E" w14:textId="7847665B" w:rsidR="008B1AC6" w:rsidRPr="00EC18F1" w:rsidRDefault="0036609F"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Ahora bien, la </w:t>
      </w:r>
      <w:r w:rsidRPr="00EC18F1">
        <w:rPr>
          <w:rFonts w:ascii="Palatino Linotype" w:hAnsi="Palatino Linotype" w:cs="Tahoma"/>
          <w:b/>
          <w:bCs/>
          <w:iCs/>
        </w:rPr>
        <w:t>cadena de custodia</w:t>
      </w:r>
      <w:r w:rsidRPr="00EC18F1">
        <w:rPr>
          <w:rFonts w:ascii="Palatino Linotype" w:hAnsi="Palatino Linotype" w:cs="Tahoma"/>
          <w:bCs/>
          <w:iCs/>
        </w:rPr>
        <w:t xml:space="preserve"> es el sistema de control y registro que se aplica al indicio, evidencia, objeto, instrumento o producto del hecho delictivo, desde su localización, descubrimiento o aportación, en el lugar de los hechos o del hallazgo, hasta que la autoridad competente ordene su conclusión</w:t>
      </w:r>
      <w:r w:rsidRPr="00EC18F1">
        <w:rPr>
          <w:rStyle w:val="Refdenotaalpie"/>
          <w:rFonts w:ascii="Palatino Linotype" w:hAnsi="Palatino Linotype" w:cs="Tahoma"/>
          <w:bCs/>
          <w:iCs/>
        </w:rPr>
        <w:footnoteReference w:id="38"/>
      </w:r>
      <w:r w:rsidRPr="00EC18F1">
        <w:rPr>
          <w:rFonts w:ascii="Palatino Linotype" w:hAnsi="Palatino Linotype" w:cs="Tahoma"/>
          <w:bCs/>
          <w:iCs/>
        </w:rPr>
        <w:t>.</w:t>
      </w:r>
    </w:p>
    <w:p w14:paraId="4C220E6E"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6B67B92A" w14:textId="4C85B406" w:rsidR="008B1AC6" w:rsidRPr="00EC18F1" w:rsidRDefault="0036609F"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Existirán tres formas de terminación de la investigación ajenos al ejercicio de la acción penal, a saber:</w:t>
      </w:r>
    </w:p>
    <w:p w14:paraId="40581C14" w14:textId="75E7921E" w:rsidR="0036609F" w:rsidRPr="00EC18F1" w:rsidRDefault="0036609F" w:rsidP="0036609F">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Facultad del Ministerio Público de abstenerse a investigar</w:t>
      </w:r>
      <w:r w:rsidRPr="00EC18F1">
        <w:rPr>
          <w:rStyle w:val="Refdenotaalpie"/>
          <w:rFonts w:ascii="Palatino Linotype" w:hAnsi="Palatino Linotype" w:cs="Tahoma"/>
          <w:bCs/>
          <w:iCs/>
          <w:sz w:val="22"/>
        </w:rPr>
        <w:footnoteReference w:id="39"/>
      </w:r>
      <w:r w:rsidRPr="00EC18F1">
        <w:rPr>
          <w:rFonts w:ascii="Palatino Linotype" w:hAnsi="Palatino Linotype" w:cs="Tahoma"/>
          <w:bCs/>
          <w:iCs/>
          <w:sz w:val="22"/>
        </w:rPr>
        <w:t xml:space="preserve">: Cuando los hechos relatados en la denuncia, querella o acto equivalente, no fueren constitutivos de delito o cuando los antecedentes y datos suministrados permitan establecer que se encuentra extinguida la acción penal o la responsabilidad penal del imputado. </w:t>
      </w:r>
    </w:p>
    <w:p w14:paraId="53BCB13C" w14:textId="7937F349" w:rsidR="0036609F" w:rsidRPr="00EC18F1" w:rsidRDefault="0036609F" w:rsidP="0036609F">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Archivo temporal</w:t>
      </w:r>
      <w:r w:rsidRPr="00EC18F1">
        <w:rPr>
          <w:rStyle w:val="Refdenotaalpie"/>
          <w:rFonts w:ascii="Palatino Linotype" w:hAnsi="Palatino Linotype" w:cs="Tahoma"/>
          <w:bCs/>
          <w:iCs/>
          <w:sz w:val="22"/>
        </w:rPr>
        <w:footnoteReference w:id="40"/>
      </w:r>
      <w:r w:rsidRPr="00EC18F1">
        <w:rPr>
          <w:rFonts w:ascii="Palatino Linotype" w:hAnsi="Palatino Linotype" w:cs="Tahoma"/>
          <w:bCs/>
          <w:iCs/>
          <w:sz w:val="22"/>
        </w:rPr>
        <w:t xml:space="preserve">. El Ministerio Público podrá archivar temporalmente aquellas investigaciones en fase inicial en las que no se encuentren antecedentes, datos suficientes o elementos de los que se puedan establecer líneas de investigación que permitan realizar diligencias tendentes a esclarecer los hechos que dieron origen a la </w:t>
      </w:r>
      <w:r w:rsidRPr="00EC18F1">
        <w:rPr>
          <w:rFonts w:ascii="Palatino Linotype" w:hAnsi="Palatino Linotype" w:cs="Tahoma"/>
          <w:bCs/>
          <w:iCs/>
          <w:sz w:val="22"/>
        </w:rPr>
        <w:lastRenderedPageBreak/>
        <w:t>investigación. El archivo subsistirá en tanto se obtengan datos que permitan continuarla a fin de ejercitar la acción penal.</w:t>
      </w:r>
    </w:p>
    <w:p w14:paraId="4F808BEF" w14:textId="5CA0E406" w:rsidR="0036609F" w:rsidRPr="00EC18F1" w:rsidRDefault="0036609F" w:rsidP="0036609F">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No ejercicio de la acción penal</w:t>
      </w:r>
      <w:r w:rsidRPr="00EC18F1">
        <w:rPr>
          <w:rStyle w:val="Refdenotaalpie"/>
          <w:rFonts w:ascii="Palatino Linotype" w:hAnsi="Palatino Linotype" w:cs="Tahoma"/>
          <w:bCs/>
          <w:iCs/>
          <w:sz w:val="22"/>
        </w:rPr>
        <w:footnoteReference w:id="41"/>
      </w:r>
      <w:r w:rsidRPr="00EC18F1">
        <w:rPr>
          <w:rFonts w:ascii="Palatino Linotype" w:hAnsi="Palatino Linotype" w:cs="Tahoma"/>
          <w:bCs/>
          <w:iCs/>
          <w:sz w:val="22"/>
        </w:rPr>
        <w:t>: Previo a la audiencia inicial, el Ministerio Público, previa autorización del Procurador o del servidor público en quien se delegue la facultad, podrá decretar el no ejercicio de la acción penal cuando de los antecedentes del caso le permitan concluir que en el caso concreto se actualiza alguna de las causales de sobreseimiento previstas en el Código Nacional de Procedimientos Penales.</w:t>
      </w:r>
    </w:p>
    <w:p w14:paraId="519078FD"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60C1008A" w14:textId="2CE8B41F" w:rsidR="008B1AC6" w:rsidRPr="00EC18F1" w:rsidRDefault="0036609F"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Por cuanto hace a los datos de prueba, cualquier hecho podrá ser probado por cualquier medio, siempre y cuando sea lícito. Las pruebas serán valoradas por el Órgano jurisdiccional de manera libre y lógica</w:t>
      </w:r>
      <w:r w:rsidR="00AE551A" w:rsidRPr="00EC18F1">
        <w:rPr>
          <w:rStyle w:val="Refdenotaalpie"/>
          <w:rFonts w:ascii="Palatino Linotype" w:hAnsi="Palatino Linotype" w:cs="Tahoma"/>
          <w:bCs/>
          <w:iCs/>
        </w:rPr>
        <w:footnoteReference w:id="42"/>
      </w:r>
      <w:r w:rsidRPr="00EC18F1">
        <w:rPr>
          <w:rFonts w:ascii="Palatino Linotype" w:hAnsi="Palatino Linotype" w:cs="Tahoma"/>
          <w:bCs/>
          <w:iCs/>
        </w:rPr>
        <w:t xml:space="preserve">. </w:t>
      </w:r>
    </w:p>
    <w:p w14:paraId="2E7E5262"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58EDE916" w14:textId="1C08CA1B" w:rsidR="008B1AC6" w:rsidRPr="00EC18F1" w:rsidRDefault="00AE551A"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Ahora bien, para la </w:t>
      </w:r>
      <w:r w:rsidRPr="00EC18F1">
        <w:rPr>
          <w:rFonts w:ascii="Palatino Linotype" w:hAnsi="Palatino Linotype" w:cs="Tahoma"/>
          <w:b/>
          <w:bCs/>
          <w:iCs/>
        </w:rPr>
        <w:t>audiencia inicial</w:t>
      </w:r>
      <w:r w:rsidRPr="00EC18F1">
        <w:rPr>
          <w:rFonts w:ascii="Palatino Linotype" w:hAnsi="Palatino Linotype" w:cs="Tahoma"/>
          <w:bCs/>
          <w:iCs/>
        </w:rPr>
        <w:t xml:space="preserve"> del procedimiento penal, se informarán al imputado sus derechos constitucionales y legales, si no se le hubiese informado de los mismos con anterioridad, se realizará el control de legalidad de la detención si correspondiere, se formulará la </w:t>
      </w:r>
      <w:r w:rsidRPr="00EC18F1">
        <w:rPr>
          <w:rFonts w:ascii="Palatino Linotype" w:hAnsi="Palatino Linotype" w:cs="Tahoma"/>
          <w:b/>
          <w:bCs/>
          <w:iCs/>
        </w:rPr>
        <w:t>imputación</w:t>
      </w:r>
      <w:r w:rsidRPr="00EC18F1">
        <w:rPr>
          <w:rFonts w:ascii="Palatino Linotype" w:hAnsi="Palatino Linotype" w:cs="Tahoma"/>
          <w:bCs/>
          <w:iCs/>
        </w:rPr>
        <w:t>, se dará la oportunidad de declarar al imputado, se resolverá sobre las solicitudes de vinculación a proceso y medidas cautelares y se definirá el plazo para el cierre de la investigación</w:t>
      </w:r>
      <w:r w:rsidRPr="00EC18F1">
        <w:rPr>
          <w:rStyle w:val="Refdenotaalpie"/>
          <w:rFonts w:ascii="Palatino Linotype" w:hAnsi="Palatino Linotype" w:cs="Tahoma"/>
          <w:bCs/>
          <w:iCs/>
        </w:rPr>
        <w:footnoteReference w:id="43"/>
      </w:r>
      <w:r w:rsidRPr="00EC18F1">
        <w:rPr>
          <w:rFonts w:ascii="Palatino Linotype" w:hAnsi="Palatino Linotype" w:cs="Tahoma"/>
          <w:bCs/>
          <w:iCs/>
        </w:rPr>
        <w:t>.</w:t>
      </w:r>
    </w:p>
    <w:p w14:paraId="3F2B5697"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744E2787" w14:textId="376DB028" w:rsidR="008B1AC6" w:rsidRPr="00EC18F1" w:rsidRDefault="00AE551A"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A fin de formular la imputación conforme a derecho, una vez que el imputado esté presente en la audiencia inicial, por haberse ordenado su comparecencia, por haberse ejecutado en su contra una orden de aprehensión o ratificado de legal la detención y después de haber verificado el Juez de control que el imputado conoce sus derechos fundamentales dentro del procedimiento penal o, en su caso, después de habérselos dado </w:t>
      </w:r>
      <w:r w:rsidRPr="00EC18F1">
        <w:rPr>
          <w:rFonts w:ascii="Palatino Linotype" w:hAnsi="Palatino Linotype" w:cs="Tahoma"/>
          <w:bCs/>
          <w:iCs/>
        </w:rPr>
        <w:lastRenderedPageBreak/>
        <w:t>a conocer, se ofrecerá la palabra al agente del Ministerio Público para que éste exponga al imputado el hecho que se le atribuye, la calificación jurídica preliminar, la fecha, lugar y modo de su comisión, la forma de intervención que haya tenido en el mismo, así como el nombre de su acusador, salvo que, a consideración del Juez de control sea necesario reservar su identidad en los supuestos autorizados por la Constitución y por la ley</w:t>
      </w:r>
      <w:r w:rsidRPr="00EC18F1">
        <w:rPr>
          <w:rStyle w:val="Refdenotaalpie"/>
          <w:rFonts w:ascii="Palatino Linotype" w:hAnsi="Palatino Linotype" w:cs="Tahoma"/>
          <w:bCs/>
          <w:iCs/>
        </w:rPr>
        <w:footnoteReference w:id="44"/>
      </w:r>
      <w:r w:rsidRPr="00EC18F1">
        <w:rPr>
          <w:rFonts w:ascii="Palatino Linotype" w:hAnsi="Palatino Linotype" w:cs="Tahoma"/>
          <w:bCs/>
          <w:iCs/>
        </w:rPr>
        <w:t>.</w:t>
      </w:r>
    </w:p>
    <w:p w14:paraId="794FDD00"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06FDFD9A" w14:textId="1958A424" w:rsidR="008B1AC6" w:rsidRPr="00EC18F1" w:rsidRDefault="004D0B92"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La continuación de la audiencia inicial comenzará con la presentación de los datos de prueba aportados por las partes o, en su caso, con el desahogo de los medios de prueba que hubiese ofrecido y justificado el imputado o su defensor. Para tal efecto, se seguirán en lo conducente las reglas previstas para el desahogo de pruebas en la audiencia de debate de juicio oral. Desahogada la prueba, si la hubo, se le concederá la palabra en primer término al Ministerio Público, al asesor jurídico de la víctima y luego al imputado. Agotado el debate, el Juez resolverá sobre la vinculación o no del imputado a proceso</w:t>
      </w:r>
      <w:r w:rsidRPr="00EC18F1">
        <w:rPr>
          <w:rStyle w:val="Refdenotaalpie"/>
          <w:rFonts w:ascii="Palatino Linotype" w:hAnsi="Palatino Linotype" w:cs="Tahoma"/>
          <w:bCs/>
          <w:iCs/>
        </w:rPr>
        <w:footnoteReference w:id="45"/>
      </w:r>
      <w:r w:rsidRPr="00EC18F1">
        <w:rPr>
          <w:rFonts w:ascii="Palatino Linotype" w:hAnsi="Palatino Linotype" w:cs="Tahoma"/>
          <w:bCs/>
          <w:iCs/>
        </w:rPr>
        <w:t>.</w:t>
      </w:r>
    </w:p>
    <w:p w14:paraId="13893F04"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32D89D11" w14:textId="07ECED01" w:rsidR="008B1AC6" w:rsidRPr="00EC18F1" w:rsidRDefault="004D0B92"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El Juez de control, a petición del agente del Ministerio Público, dictará el auto de vinculación del imputado a proceso, siempre que</w:t>
      </w:r>
      <w:r w:rsidRPr="00EC18F1">
        <w:rPr>
          <w:rStyle w:val="Refdenotaalpie"/>
          <w:rFonts w:ascii="Palatino Linotype" w:hAnsi="Palatino Linotype" w:cs="Tahoma"/>
          <w:bCs/>
          <w:iCs/>
        </w:rPr>
        <w:footnoteReference w:id="46"/>
      </w:r>
      <w:r w:rsidRPr="00EC18F1">
        <w:rPr>
          <w:rFonts w:ascii="Palatino Linotype" w:hAnsi="Palatino Linotype" w:cs="Tahoma"/>
          <w:bCs/>
          <w:iCs/>
        </w:rPr>
        <w:t>:</w:t>
      </w:r>
    </w:p>
    <w:p w14:paraId="6A8CCE52" w14:textId="7777777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Se haya formulado la imputación; </w:t>
      </w:r>
    </w:p>
    <w:p w14:paraId="3BAF808A" w14:textId="7777777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Se haya otorgado al imputado la oportunidad para declarar; </w:t>
      </w:r>
    </w:p>
    <w:p w14:paraId="65959D76" w14:textId="7777777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De los antecedentes de la investigación expuestos por el Ministerio Público, se desprendan datos de prueba que establezcan que se ha cometido un hecho que la ley señala como delito y que exista la probabilidad de que el imputado lo cometió o participó en su comisión. Se entenderá que obran datos que establecen que se ha cometido un hecho que la ley señale como delito cuando existan indicios razonables que así permitan suponerlo, y </w:t>
      </w:r>
    </w:p>
    <w:p w14:paraId="7341B446" w14:textId="37C6958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lastRenderedPageBreak/>
        <w:t>Que no se actualice una causa de extinción de la acción penal o excluyente del delito.</w:t>
      </w:r>
    </w:p>
    <w:p w14:paraId="13432AC3" w14:textId="77777777" w:rsidR="008B1AC6" w:rsidRPr="00EC18F1" w:rsidRDefault="008B1AC6" w:rsidP="008B1AC6">
      <w:pPr>
        <w:pStyle w:val="Prrafodelista"/>
        <w:tabs>
          <w:tab w:val="left" w:pos="426"/>
        </w:tabs>
        <w:spacing w:before="240" w:after="240" w:line="360" w:lineRule="auto"/>
        <w:ind w:left="0" w:right="51"/>
        <w:jc w:val="both"/>
        <w:rPr>
          <w:rFonts w:ascii="Palatino Linotype" w:hAnsi="Palatino Linotype" w:cs="Tahoma"/>
          <w:bCs/>
          <w:iCs/>
        </w:rPr>
      </w:pPr>
    </w:p>
    <w:p w14:paraId="13C239A6" w14:textId="3D7110DD" w:rsidR="008B1AC6" w:rsidRPr="00EC18F1" w:rsidRDefault="004D0B92"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El auto de vinculación a proceso establecerá el hecho o los hechos delictivos sobre los que se continuará el proceso o se determinarán las formas anticipadas de terminación del proceso, la apertura a juicio o el sobreseimiento</w:t>
      </w:r>
      <w:r w:rsidRPr="00EC18F1">
        <w:rPr>
          <w:rStyle w:val="Refdenotaalpie"/>
          <w:rFonts w:ascii="Palatino Linotype" w:hAnsi="Palatino Linotype" w:cs="Tahoma"/>
          <w:bCs/>
          <w:iCs/>
        </w:rPr>
        <w:footnoteReference w:id="47"/>
      </w:r>
      <w:r w:rsidRPr="00EC18F1">
        <w:rPr>
          <w:rFonts w:ascii="Palatino Linotype" w:hAnsi="Palatino Linotype" w:cs="Tahoma"/>
          <w:bCs/>
          <w:iCs/>
        </w:rPr>
        <w:t>.</w:t>
      </w:r>
      <w:r w:rsidRPr="00EC18F1">
        <w:t xml:space="preserve"> </w:t>
      </w:r>
      <w:r w:rsidRPr="00EC18F1">
        <w:rPr>
          <w:rFonts w:ascii="Palatino Linotype" w:hAnsi="Palatino Linotype" w:cs="Tahoma"/>
          <w:bCs/>
          <w:iCs/>
        </w:rPr>
        <w:t>Antes de finalizar la audiencia inicial, el Juez de control determinará, previa propuesta de las partes, el plazo para el cierre de la investigación complementaria</w:t>
      </w:r>
      <w:r w:rsidRPr="00EC18F1">
        <w:rPr>
          <w:rStyle w:val="Refdenotaalpie"/>
          <w:rFonts w:ascii="Palatino Linotype" w:hAnsi="Palatino Linotype" w:cs="Tahoma"/>
          <w:bCs/>
          <w:iCs/>
        </w:rPr>
        <w:footnoteReference w:id="48"/>
      </w:r>
      <w:r w:rsidRPr="00EC18F1">
        <w:rPr>
          <w:rFonts w:ascii="Palatino Linotype" w:hAnsi="Palatino Linotype" w:cs="Tahoma"/>
          <w:bCs/>
          <w:iCs/>
        </w:rPr>
        <w:t>.</w:t>
      </w:r>
    </w:p>
    <w:p w14:paraId="5821D4FB"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3929927A" w14:textId="10E27915" w:rsidR="004D0B92" w:rsidRPr="00EC18F1" w:rsidRDefault="004D0B92"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Una vez cerrada la investigación complementaria, el Ministerio Público dentro de los quince días siguientes deberá</w:t>
      </w:r>
      <w:r w:rsidRPr="00EC18F1">
        <w:rPr>
          <w:rStyle w:val="Refdenotaalpie"/>
          <w:rFonts w:ascii="Palatino Linotype" w:hAnsi="Palatino Linotype" w:cs="Tahoma"/>
          <w:bCs/>
          <w:iCs/>
        </w:rPr>
        <w:footnoteReference w:id="49"/>
      </w:r>
      <w:r w:rsidRPr="00EC18F1">
        <w:rPr>
          <w:rFonts w:ascii="Palatino Linotype" w:hAnsi="Palatino Linotype" w:cs="Tahoma"/>
          <w:bCs/>
          <w:iCs/>
        </w:rPr>
        <w:t>:</w:t>
      </w:r>
    </w:p>
    <w:p w14:paraId="569D651D" w14:textId="7777777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Solicitar el sobreseimiento parcial o total; </w:t>
      </w:r>
    </w:p>
    <w:p w14:paraId="5BB82549" w14:textId="77777777"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Solicitar la suspensión del proceso, o </w:t>
      </w:r>
    </w:p>
    <w:p w14:paraId="72B2B651" w14:textId="427B57C2" w:rsidR="004D0B92" w:rsidRPr="00EC18F1" w:rsidRDefault="004D0B92" w:rsidP="004D0B92">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Formular acusación.</w:t>
      </w:r>
    </w:p>
    <w:p w14:paraId="24F48E35"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sz w:val="22"/>
        </w:rPr>
      </w:pPr>
    </w:p>
    <w:p w14:paraId="0AE5292A" w14:textId="37043647" w:rsidR="004D0B92" w:rsidRPr="00EC18F1" w:rsidRDefault="004D0B92"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La formal acusación por parte del Ministerio Público, iniciará la etapa intermedia del proceso, el cual tendrá por objeto el ofrecimiento y admisión de los medios de prueba, así como la depuración de los hechos controvertidos que serán materia del juicio. Se compondrá de dos fases, una escrita y otra oral. La fase escrita iniciará con el escrito de acusación que formule el Ministerio Público y comprenderá todos los actos previos a la celebración de la audiencia intermedia. La segunda fase dará inicio con la celebración de la audiencia intermedia y culminará con el dictado del auto de apertura a juicio</w:t>
      </w:r>
      <w:r w:rsidRPr="00EC18F1">
        <w:rPr>
          <w:rStyle w:val="Refdenotaalpie"/>
          <w:rFonts w:ascii="Palatino Linotype" w:hAnsi="Palatino Linotype" w:cs="Tahoma"/>
          <w:bCs/>
          <w:iCs/>
        </w:rPr>
        <w:footnoteReference w:id="50"/>
      </w:r>
      <w:r w:rsidRPr="00EC18F1">
        <w:rPr>
          <w:rFonts w:ascii="Palatino Linotype" w:hAnsi="Palatino Linotype" w:cs="Tahoma"/>
          <w:bCs/>
          <w:iCs/>
        </w:rPr>
        <w:t>.</w:t>
      </w:r>
    </w:p>
    <w:p w14:paraId="550045BE"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22B0346A" w14:textId="3629F1CA"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De conformidad con lo establecido por el numeral 335 del Código Nacional de Procedimientos Penales, la acusación deberá considerar los siguientes elementos:</w:t>
      </w:r>
    </w:p>
    <w:p w14:paraId="4486EB32"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w:t>
      </w:r>
      <w:r w:rsidRPr="00EC18F1">
        <w:rPr>
          <w:rFonts w:ascii="Palatino Linotype" w:hAnsi="Palatino Linotype" w:cs="Tahoma"/>
          <w:b/>
          <w:bCs/>
          <w:i/>
          <w:iCs/>
          <w:sz w:val="22"/>
        </w:rPr>
        <w:t>Artículo 335</w:t>
      </w:r>
      <w:r w:rsidRPr="00EC18F1">
        <w:rPr>
          <w:rFonts w:ascii="Palatino Linotype" w:hAnsi="Palatino Linotype" w:cs="Tahoma"/>
          <w:bCs/>
          <w:i/>
          <w:iCs/>
          <w:sz w:val="22"/>
        </w:rPr>
        <w:t xml:space="preserve">. Contenido de la acusación Una vez concluida la fase de investigación complementaria, si el Ministerio Público estima que la investigación aporta elementos para ejercer la acción penal contra el imputado, presentará la acusación. La acusación del Ministerio Público, deberá contener en forma clara y precisa: </w:t>
      </w:r>
    </w:p>
    <w:p w14:paraId="3267B022"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w:t>
      </w:r>
      <w:r w:rsidRPr="00EC18F1">
        <w:rPr>
          <w:rFonts w:ascii="Palatino Linotype" w:hAnsi="Palatino Linotype" w:cs="Tahoma"/>
          <w:bCs/>
          <w:i/>
          <w:iCs/>
          <w:sz w:val="22"/>
        </w:rPr>
        <w:t xml:space="preserve"> La individualización del o los acusados y de su Defensor; </w:t>
      </w:r>
    </w:p>
    <w:p w14:paraId="0BC71900"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w:t>
      </w:r>
      <w:r w:rsidRPr="00EC18F1">
        <w:rPr>
          <w:rFonts w:ascii="Palatino Linotype" w:hAnsi="Palatino Linotype" w:cs="Tahoma"/>
          <w:bCs/>
          <w:i/>
          <w:iCs/>
          <w:sz w:val="22"/>
        </w:rPr>
        <w:t xml:space="preserve"> La identificación de la víctima u ofendido y su Asesor jurídico; </w:t>
      </w:r>
    </w:p>
    <w:p w14:paraId="2CA163A9"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III.</w:t>
      </w:r>
      <w:r w:rsidRPr="00EC18F1">
        <w:rPr>
          <w:rFonts w:ascii="Palatino Linotype" w:hAnsi="Palatino Linotype" w:cs="Tahoma"/>
          <w:bCs/>
          <w:i/>
          <w:iCs/>
          <w:sz w:val="22"/>
        </w:rPr>
        <w:t xml:space="preserve"> La relación clara, precisa, circunstanciada y específica de los hechos atribuidos en modo, tiempo y lugar, así como su clasificación jurídica; </w:t>
      </w:r>
    </w:p>
    <w:p w14:paraId="36BC4EFB" w14:textId="4679256F"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IV.</w:t>
      </w:r>
      <w:r w:rsidRPr="00EC18F1">
        <w:rPr>
          <w:rFonts w:ascii="Palatino Linotype" w:hAnsi="Palatino Linotype" w:cs="Tahoma"/>
          <w:bCs/>
          <w:i/>
          <w:iCs/>
          <w:sz w:val="22"/>
        </w:rPr>
        <w:t xml:space="preserve"> La relación de las modalidades del delito que concurrieren; </w:t>
      </w:r>
    </w:p>
    <w:p w14:paraId="022DABDA" w14:textId="712ED4AA"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w:t>
      </w:r>
      <w:r w:rsidRPr="00EC18F1">
        <w:rPr>
          <w:rFonts w:ascii="Palatino Linotype" w:hAnsi="Palatino Linotype" w:cs="Tahoma"/>
          <w:bCs/>
          <w:i/>
          <w:iCs/>
          <w:sz w:val="22"/>
        </w:rPr>
        <w:t xml:space="preserve"> La autoría o participación concreta que se atribuye al acusado;</w:t>
      </w:r>
    </w:p>
    <w:p w14:paraId="309DE167"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w:t>
      </w:r>
      <w:r w:rsidRPr="00EC18F1">
        <w:rPr>
          <w:rFonts w:ascii="Palatino Linotype" w:hAnsi="Palatino Linotype" w:cs="Tahoma"/>
          <w:bCs/>
          <w:i/>
          <w:iCs/>
          <w:sz w:val="22"/>
        </w:rPr>
        <w:t xml:space="preserve"> La expresión de los preceptos legales aplicables; </w:t>
      </w:r>
    </w:p>
    <w:p w14:paraId="3D12D404"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VII.</w:t>
      </w:r>
      <w:r w:rsidRPr="00EC18F1">
        <w:rPr>
          <w:rFonts w:ascii="Palatino Linotype" w:hAnsi="Palatino Linotype" w:cs="Tahoma"/>
          <w:bCs/>
          <w:i/>
          <w:iCs/>
          <w:sz w:val="22"/>
        </w:rPr>
        <w:t xml:space="preserve"> El señalamiento de los medios de prueba que pretenda ofrecer, así como la prueba anticipada que se hubiere desahogado en la etapa de investigación; </w:t>
      </w:r>
    </w:p>
    <w:p w14:paraId="754ABF0D"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VIII.</w:t>
      </w:r>
      <w:r w:rsidRPr="00EC18F1">
        <w:rPr>
          <w:rFonts w:ascii="Palatino Linotype" w:hAnsi="Palatino Linotype" w:cs="Tahoma"/>
          <w:bCs/>
          <w:i/>
          <w:iCs/>
          <w:sz w:val="22"/>
        </w:rPr>
        <w:t xml:space="preserve"> El monto de la reparación del daño y los medios de prueba que ofrece para probarlo; </w:t>
      </w:r>
    </w:p>
    <w:p w14:paraId="6F09792B"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IX.</w:t>
      </w:r>
      <w:r w:rsidRPr="00EC18F1">
        <w:rPr>
          <w:rFonts w:ascii="Palatino Linotype" w:hAnsi="Palatino Linotype" w:cs="Tahoma"/>
          <w:bCs/>
          <w:i/>
          <w:iCs/>
          <w:sz w:val="22"/>
        </w:rPr>
        <w:t xml:space="preserve"> La pena o medida de seguridad cuya aplicación se solicita incluyendo en su caso la correspondiente al concurso de delitos; </w:t>
      </w:r>
    </w:p>
    <w:p w14:paraId="485FD778"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X.</w:t>
      </w:r>
      <w:r w:rsidRPr="00EC18F1">
        <w:rPr>
          <w:rFonts w:ascii="Palatino Linotype" w:hAnsi="Palatino Linotype" w:cs="Tahoma"/>
          <w:bCs/>
          <w:i/>
          <w:iCs/>
          <w:sz w:val="22"/>
        </w:rPr>
        <w:t xml:space="preserve"> Los medios de prueba que el Ministerio Público pretenda presentar para la individualización de la pena y en su caso, para la procedencia de sustitutivos de la pena de prisión o suspensión de la misma; </w:t>
      </w:r>
    </w:p>
    <w:p w14:paraId="089BB079"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XI.</w:t>
      </w:r>
      <w:r w:rsidRPr="00EC18F1">
        <w:rPr>
          <w:rFonts w:ascii="Palatino Linotype" w:hAnsi="Palatino Linotype" w:cs="Tahoma"/>
          <w:bCs/>
          <w:i/>
          <w:iCs/>
          <w:sz w:val="22"/>
        </w:rPr>
        <w:t xml:space="preserve"> La solicitud de decomiso de los bienes asegurados; </w:t>
      </w:r>
    </w:p>
    <w:p w14:paraId="0AC5F464" w14:textId="77777777"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XII.</w:t>
      </w:r>
      <w:r w:rsidRPr="00EC18F1">
        <w:rPr>
          <w:rFonts w:ascii="Palatino Linotype" w:hAnsi="Palatino Linotype" w:cs="Tahoma"/>
          <w:bCs/>
          <w:i/>
          <w:iCs/>
          <w:sz w:val="22"/>
        </w:rPr>
        <w:t xml:space="preserve"> La propuesta de acuerdos probatorios, en su caso, y </w:t>
      </w:r>
    </w:p>
    <w:p w14:paraId="72C31936" w14:textId="673D4B09" w:rsidR="0071449E" w:rsidRPr="00EC18F1" w:rsidRDefault="0071449E" w:rsidP="0071449E">
      <w:pPr>
        <w:pStyle w:val="Prrafodelista"/>
        <w:tabs>
          <w:tab w:val="left" w:pos="426"/>
        </w:tabs>
        <w:spacing w:before="240" w:after="240" w:line="276" w:lineRule="auto"/>
        <w:ind w:left="567" w:right="567"/>
        <w:jc w:val="both"/>
        <w:rPr>
          <w:rFonts w:ascii="Palatino Linotype" w:hAnsi="Palatino Linotype" w:cs="Tahoma"/>
          <w:bCs/>
          <w:i/>
          <w:iCs/>
        </w:rPr>
      </w:pPr>
      <w:r w:rsidRPr="00EC18F1">
        <w:rPr>
          <w:rFonts w:ascii="Palatino Linotype" w:hAnsi="Palatino Linotype" w:cs="Tahoma"/>
          <w:b/>
          <w:bCs/>
          <w:i/>
          <w:iCs/>
          <w:sz w:val="22"/>
        </w:rPr>
        <w:t>XIII.</w:t>
      </w:r>
      <w:r w:rsidRPr="00EC18F1">
        <w:rPr>
          <w:rFonts w:ascii="Palatino Linotype" w:hAnsi="Palatino Linotype" w:cs="Tahoma"/>
          <w:bCs/>
          <w:i/>
          <w:iCs/>
          <w:sz w:val="22"/>
        </w:rPr>
        <w:t xml:space="preserve"> La solicitud de que se aplique alguna forma de terminación anticipada del proceso cuando ésta proceda.”</w:t>
      </w:r>
    </w:p>
    <w:p w14:paraId="2D267907" w14:textId="77777777" w:rsidR="0071449E" w:rsidRPr="00EC18F1" w:rsidRDefault="0071449E" w:rsidP="004D0B92">
      <w:pPr>
        <w:pStyle w:val="Prrafodelista"/>
        <w:tabs>
          <w:tab w:val="left" w:pos="426"/>
        </w:tabs>
        <w:spacing w:before="240" w:after="240" w:line="360" w:lineRule="auto"/>
        <w:ind w:left="0" w:right="51"/>
        <w:jc w:val="both"/>
        <w:rPr>
          <w:rFonts w:ascii="Palatino Linotype" w:hAnsi="Palatino Linotype" w:cs="Tahoma"/>
          <w:bCs/>
          <w:iCs/>
        </w:rPr>
      </w:pPr>
    </w:p>
    <w:p w14:paraId="24011158" w14:textId="7A812E3D" w:rsidR="0071449E"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Al inicio de la audiencia el Ministerio Público realizará una exposición resumida de su acusación, seguida de las exposiciones de la víctima u ofendido y el acusado por sí o por conducto de su Defensor; acto seguido las partes podrán deducir cualquier incidencia que consideren relevante presentar. La Defensa podrá promover las excepciones que procedan</w:t>
      </w:r>
      <w:r w:rsidRPr="00EC18F1">
        <w:rPr>
          <w:rStyle w:val="Refdenotaalpie"/>
          <w:rFonts w:ascii="Palatino Linotype" w:hAnsi="Palatino Linotype" w:cs="Tahoma"/>
          <w:bCs/>
          <w:iCs/>
        </w:rPr>
        <w:footnoteReference w:id="51"/>
      </w:r>
      <w:r w:rsidRPr="00EC18F1">
        <w:rPr>
          <w:rFonts w:ascii="Palatino Linotype" w:hAnsi="Palatino Linotype" w:cs="Tahoma"/>
          <w:bCs/>
          <w:iCs/>
        </w:rPr>
        <w:t>.</w:t>
      </w:r>
    </w:p>
    <w:p w14:paraId="282B3A4C" w14:textId="43972A9A"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Posteriormente, y una vez establecidos los acuerdos probatorios, el Juez se cerciorará de que se haya cumplido con el descubrimiento probatorio a cargo de las partes y, en caso de controversia abrirá debate entre las mismas y resolverá lo procedente</w:t>
      </w:r>
      <w:r w:rsidRPr="00EC18F1">
        <w:rPr>
          <w:rStyle w:val="Refdenotaalpie"/>
          <w:rFonts w:ascii="Palatino Linotype" w:hAnsi="Palatino Linotype" w:cs="Tahoma"/>
          <w:bCs/>
          <w:iCs/>
        </w:rPr>
        <w:footnoteReference w:id="52"/>
      </w:r>
      <w:r w:rsidRPr="00EC18F1">
        <w:rPr>
          <w:rFonts w:ascii="Palatino Linotype" w:hAnsi="Palatino Linotype" w:cs="Tahoma"/>
          <w:bCs/>
          <w:iCs/>
        </w:rPr>
        <w:t xml:space="preserve">. </w:t>
      </w:r>
    </w:p>
    <w:p w14:paraId="095286A1"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491D813C" w14:textId="639C271F"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Finalizada la audiencia, el Juez de control dictará el auto de apertura de juicio que deberá indicar</w:t>
      </w:r>
      <w:r w:rsidRPr="00EC18F1">
        <w:rPr>
          <w:rStyle w:val="Refdenotaalpie"/>
          <w:rFonts w:ascii="Palatino Linotype" w:hAnsi="Palatino Linotype" w:cs="Tahoma"/>
          <w:bCs/>
          <w:iCs/>
        </w:rPr>
        <w:footnoteReference w:id="53"/>
      </w:r>
      <w:r w:rsidRPr="00EC18F1">
        <w:rPr>
          <w:rFonts w:ascii="Palatino Linotype" w:hAnsi="Palatino Linotype" w:cs="Tahoma"/>
          <w:bCs/>
          <w:iCs/>
        </w:rPr>
        <w:t>:</w:t>
      </w:r>
    </w:p>
    <w:p w14:paraId="43913956" w14:textId="5B2BF105"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El Tribunal de enjuiciamiento competente para celebrar la audiencia de juicio;</w:t>
      </w:r>
    </w:p>
    <w:p w14:paraId="68951C39"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La individualización de los acusados; </w:t>
      </w:r>
    </w:p>
    <w:p w14:paraId="168E35E6"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Las acusaciones que deberán ser objeto del juicio y las correcciones formales que se hubieren realizado en ellas, así como los hechos materia de la acusación; </w:t>
      </w:r>
    </w:p>
    <w:p w14:paraId="519B6D93"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Los acuerdos probatorios a los que hubieren llegado las partes; </w:t>
      </w:r>
    </w:p>
    <w:p w14:paraId="7441B89D"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Los medios de prueba admitidos que deberán ser desahogados en la audiencia de juicio, así como la prueba anticipada; </w:t>
      </w:r>
    </w:p>
    <w:p w14:paraId="66C25705"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Los medios de pruebas que, en su caso, deban de desahogarse en la audiencia de individualización de las sanciones y de reparación del daño; </w:t>
      </w:r>
    </w:p>
    <w:p w14:paraId="0094A6DD" w14:textId="53F13AD5"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Las medidas de resguardo de identidad y datos personales que procedan; </w:t>
      </w:r>
    </w:p>
    <w:p w14:paraId="67D4B9BC" w14:textId="77777777"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Las personas que deban ser citadas a la audiencia de debate, y </w:t>
      </w:r>
    </w:p>
    <w:p w14:paraId="4DF9B5FF" w14:textId="66E65429" w:rsidR="0071449E" w:rsidRPr="00EC18F1" w:rsidRDefault="0071449E" w:rsidP="0071449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Las medidas cautelares que hayan sido impuestas al acusado.</w:t>
      </w:r>
    </w:p>
    <w:p w14:paraId="3E03870F"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sz w:val="22"/>
        </w:rPr>
      </w:pPr>
    </w:p>
    <w:p w14:paraId="04CC2BC4" w14:textId="41C36D19"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Finalmente, la etapa de </w:t>
      </w:r>
      <w:r w:rsidRPr="00EC18F1">
        <w:rPr>
          <w:rFonts w:ascii="Palatino Linotype" w:hAnsi="Palatino Linotype" w:cs="Tahoma"/>
          <w:b/>
          <w:bCs/>
          <w:iCs/>
        </w:rPr>
        <w:t>juicio</w:t>
      </w:r>
      <w:r w:rsidRPr="00EC18F1">
        <w:rPr>
          <w:rFonts w:ascii="Palatino Linotype" w:hAnsi="Palatino Linotype" w:cs="Tahoma"/>
          <w:bCs/>
          <w:iCs/>
        </w:rPr>
        <w:t xml:space="preserve"> será el periodo de </w:t>
      </w:r>
      <w:r w:rsidRPr="00EC18F1">
        <w:rPr>
          <w:rFonts w:ascii="Palatino Linotype" w:hAnsi="Palatino Linotype" w:cs="Tahoma"/>
          <w:b/>
          <w:bCs/>
          <w:iCs/>
        </w:rPr>
        <w:t>decisión</w:t>
      </w:r>
      <w:r w:rsidRPr="00EC18F1">
        <w:rPr>
          <w:rFonts w:ascii="Palatino Linotype" w:hAnsi="Palatino Linotype" w:cs="Tahoma"/>
          <w:bCs/>
          <w:iCs/>
        </w:rPr>
        <w:t xml:space="preserve"> de las cuestiones esenciales del proceso. Se realizará sobre la base de la acusación en el que se deberá asegurar la efectiva vigencia de los principios de inmediación, publicidad, concentración, igualdad, contradicción y continuidad</w:t>
      </w:r>
      <w:r w:rsidRPr="00EC18F1">
        <w:rPr>
          <w:rStyle w:val="Refdenotaalpie"/>
          <w:rFonts w:ascii="Palatino Linotype" w:hAnsi="Palatino Linotype" w:cs="Tahoma"/>
          <w:bCs/>
          <w:iCs/>
        </w:rPr>
        <w:footnoteReference w:id="54"/>
      </w:r>
      <w:r w:rsidRPr="00EC18F1">
        <w:rPr>
          <w:rFonts w:ascii="Palatino Linotype" w:hAnsi="Palatino Linotype" w:cs="Tahoma"/>
          <w:bCs/>
          <w:iCs/>
        </w:rPr>
        <w:t>.</w:t>
      </w:r>
    </w:p>
    <w:p w14:paraId="2861299C"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19CDF28B" w14:textId="5A9FFE89"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Una vez recibido el auto de apertura a juicio oral, el Tribunal de enjuiciamiento deberá establecer la fecha para la celebración de la audiencia de debate, la que deberá tener lugar no antes de veinte ni después de sesenta días naturales contados a partir de la emisión del auto de apertura a juicio. Se citará oportunamente a todas las partes para asistir al debate. El acusado deberá ser citado, por lo menos con siete días de anticipación al comienzo de la audiencia</w:t>
      </w:r>
      <w:r w:rsidRPr="00EC18F1">
        <w:rPr>
          <w:rStyle w:val="Refdenotaalpie"/>
          <w:rFonts w:ascii="Palatino Linotype" w:hAnsi="Palatino Linotype" w:cs="Tahoma"/>
          <w:bCs/>
          <w:iCs/>
        </w:rPr>
        <w:footnoteReference w:id="55"/>
      </w:r>
      <w:r w:rsidRPr="00EC18F1">
        <w:rPr>
          <w:rFonts w:ascii="Palatino Linotype" w:hAnsi="Palatino Linotype" w:cs="Tahoma"/>
          <w:bCs/>
          <w:iCs/>
        </w:rPr>
        <w:t>.</w:t>
      </w:r>
    </w:p>
    <w:p w14:paraId="32861360"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1FBBFE5F" w14:textId="6DB65447"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En el día y la hora fijados, el Tribunal de enjuiciamiento se constituirá en el lugar señalado para la audiencia. Quien la presida, verificará la presencia de los demás jueces, de las partes, de los testigos, peritos o intérpretes que deban participar en el debate y de la existencia de las cosas que deban exhibirse en él, y la declarará abierta. Advertirá al acusado y al público sobre la importancia y el significado de lo que acontecerá en la audiencia e indicará al acusado que esté atento a ella</w:t>
      </w:r>
      <w:r w:rsidRPr="00EC18F1">
        <w:rPr>
          <w:rStyle w:val="Refdenotaalpie"/>
          <w:rFonts w:ascii="Palatino Linotype" w:hAnsi="Palatino Linotype" w:cs="Tahoma"/>
          <w:bCs/>
          <w:iCs/>
        </w:rPr>
        <w:footnoteReference w:id="56"/>
      </w:r>
      <w:r w:rsidRPr="00EC18F1">
        <w:rPr>
          <w:rFonts w:ascii="Palatino Linotype" w:hAnsi="Palatino Linotype" w:cs="Tahoma"/>
          <w:bCs/>
          <w:iCs/>
        </w:rPr>
        <w:t>.</w:t>
      </w:r>
    </w:p>
    <w:p w14:paraId="5CA20B36" w14:textId="77777777" w:rsidR="004D0B92" w:rsidRPr="00EC18F1" w:rsidRDefault="004D0B92" w:rsidP="004D0B92">
      <w:pPr>
        <w:pStyle w:val="Prrafodelista"/>
        <w:tabs>
          <w:tab w:val="left" w:pos="426"/>
        </w:tabs>
        <w:spacing w:before="240" w:after="240" w:line="360" w:lineRule="auto"/>
        <w:ind w:left="0" w:right="51"/>
        <w:jc w:val="both"/>
        <w:rPr>
          <w:rFonts w:ascii="Palatino Linotype" w:hAnsi="Palatino Linotype" w:cs="Tahoma"/>
          <w:bCs/>
          <w:iCs/>
        </w:rPr>
      </w:pPr>
    </w:p>
    <w:p w14:paraId="6B96325A" w14:textId="5A9BB049"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 Abierto el debate, el juzgador que presida la audiencia de juicio concederá la palabra al Ministerio Público para que exponga de manera concreta y oral la acusación y una descripción sumaria de las pruebas que utilizará para demostrarla. Acto seguido se concederá la palabra al Asesor jurídico de la víctima u ofendido, si lo hubiere, para los mismos efectos. Posteriormente se ofrecerá la palabra al Defensor, quien podrá expresar lo que al interés del imputado convenga en forma concreta y oral</w:t>
      </w:r>
      <w:r w:rsidRPr="00EC18F1">
        <w:rPr>
          <w:rStyle w:val="Refdenotaalpie"/>
          <w:rFonts w:ascii="Palatino Linotype" w:hAnsi="Palatino Linotype" w:cs="Tahoma"/>
          <w:bCs/>
          <w:iCs/>
        </w:rPr>
        <w:footnoteReference w:id="57"/>
      </w:r>
      <w:r w:rsidRPr="00EC18F1">
        <w:rPr>
          <w:rFonts w:ascii="Palatino Linotype" w:hAnsi="Palatino Linotype" w:cs="Tahoma"/>
          <w:bCs/>
          <w:iCs/>
        </w:rPr>
        <w:t>.</w:t>
      </w:r>
    </w:p>
    <w:p w14:paraId="7318BB46"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62C7AB9D" w14:textId="62B2CEA3" w:rsidR="004D0B92" w:rsidRPr="00EC18F1" w:rsidRDefault="0071449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Cada parte determinará el orden en que desahogará sus medios de prueba. Corresponderá recibir primero los medios de prueba admitidos al Ministerio Público, posteriormente los de la víctima u ofendido del delito y finalmente los de la defensa</w:t>
      </w:r>
      <w:r w:rsidRPr="00EC18F1">
        <w:rPr>
          <w:rStyle w:val="Refdenotaalpie"/>
          <w:rFonts w:ascii="Palatino Linotype" w:hAnsi="Palatino Linotype" w:cs="Tahoma"/>
          <w:bCs/>
          <w:iCs/>
        </w:rPr>
        <w:footnoteReference w:id="58"/>
      </w:r>
      <w:r w:rsidRPr="00EC18F1">
        <w:rPr>
          <w:rFonts w:ascii="Palatino Linotype" w:hAnsi="Palatino Linotype" w:cs="Tahoma"/>
          <w:bCs/>
          <w:iCs/>
        </w:rPr>
        <w:t>.</w:t>
      </w:r>
    </w:p>
    <w:p w14:paraId="16D55EC6"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4EE71218" w14:textId="5AA131D0" w:rsidR="004D0B92" w:rsidRPr="00EC18F1" w:rsidRDefault="00D6238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Concluido el desahogo de las pruebas, el juzgador que preside la audiencia de juicio otorgará sucesivamente la palabra al Ministerio Público, al Asesor jurídico de la víctima u ofendido del delito y al Defensor, para que expongan sus alegatos de clausura. Acto seguido, se otorgará al Ministerio Público y al Defensor la posibilidad de replicar y duplicar. La réplica sólo podrá referirse a lo expresado por el Defensor en su alegato de clausura y la dúplica a lo expresado por el Ministerio Público o a la víctima u ofendido del delito en la réplica. Se otorgará la palabra por último al acusado y al final se declarará cerrado el debate</w:t>
      </w:r>
      <w:r w:rsidRPr="00EC18F1">
        <w:rPr>
          <w:rStyle w:val="Refdenotaalpie"/>
          <w:rFonts w:ascii="Palatino Linotype" w:hAnsi="Palatino Linotype" w:cs="Tahoma"/>
          <w:bCs/>
          <w:iCs/>
        </w:rPr>
        <w:footnoteReference w:id="59"/>
      </w:r>
      <w:r w:rsidRPr="00EC18F1">
        <w:rPr>
          <w:rFonts w:ascii="Palatino Linotype" w:hAnsi="Palatino Linotype" w:cs="Tahoma"/>
          <w:bCs/>
          <w:iCs/>
        </w:rPr>
        <w:t>.</w:t>
      </w:r>
    </w:p>
    <w:p w14:paraId="6D3FF447"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5A9BAC09" w14:textId="67BB9741" w:rsidR="0071449E" w:rsidRPr="00EC18F1" w:rsidRDefault="00D6238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Inmediatamente después de concluido el debate, el Tribunal de enjuiciamiento ordenará un receso para deliberar en forma privada, continua y aislada, hasta emitir el fallo correspondiente. La deliberación no podrá exceder de veinticuatro horas ni suspenderse, salvo en caso de enfermedad grave del Juez o miembro del Tribunal</w:t>
      </w:r>
      <w:r w:rsidRPr="00EC18F1">
        <w:rPr>
          <w:rStyle w:val="Refdenotaalpie"/>
          <w:rFonts w:ascii="Palatino Linotype" w:hAnsi="Palatino Linotype" w:cs="Tahoma"/>
          <w:bCs/>
          <w:iCs/>
        </w:rPr>
        <w:footnoteReference w:id="60"/>
      </w:r>
      <w:r w:rsidRPr="00EC18F1">
        <w:rPr>
          <w:rFonts w:ascii="Palatino Linotype" w:hAnsi="Palatino Linotype" w:cs="Tahoma"/>
          <w:bCs/>
          <w:iCs/>
        </w:rPr>
        <w:t>.</w:t>
      </w:r>
    </w:p>
    <w:p w14:paraId="498B4812"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702FD406" w14:textId="6DB714D0" w:rsidR="0071449E" w:rsidRPr="00EC18F1" w:rsidRDefault="00D6238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Concluida la deliberación, el Tribunal de enjuiciamiento se constituirá nuevamente en la sala de audiencias, después de ser convocadas oralmente o por cualquier medio todas las partes, con el propósito de que el Juez relator comunique el fallo respectivo</w:t>
      </w:r>
      <w:r w:rsidRPr="00EC18F1">
        <w:rPr>
          <w:rStyle w:val="Refdenotaalpie"/>
          <w:rFonts w:ascii="Palatino Linotype" w:hAnsi="Palatino Linotype" w:cs="Tahoma"/>
          <w:bCs/>
          <w:iCs/>
        </w:rPr>
        <w:footnoteReference w:id="61"/>
      </w:r>
      <w:r w:rsidRPr="00EC18F1">
        <w:rPr>
          <w:rFonts w:ascii="Palatino Linotype" w:hAnsi="Palatino Linotype" w:cs="Tahoma"/>
          <w:bCs/>
          <w:iCs/>
        </w:rPr>
        <w:t>.</w:t>
      </w:r>
    </w:p>
    <w:p w14:paraId="7F58B32D"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7BC33162" w14:textId="3D9625C7" w:rsidR="0071449E" w:rsidRPr="00EC18F1" w:rsidRDefault="00D6238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De acuerdo con lo establecido por el artículo 401 del Código Nacional de Procedimientos Penales, el fallo que emita el Tribunal de enjuiciamiento deberá señalar:</w:t>
      </w:r>
    </w:p>
    <w:p w14:paraId="478A5419" w14:textId="77777777" w:rsidR="00D6238E" w:rsidRPr="00EC18F1" w:rsidRDefault="00D6238E" w:rsidP="00D6238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EC18F1">
        <w:rPr>
          <w:rFonts w:ascii="Palatino Linotype" w:hAnsi="Palatino Linotype" w:cs="Tahoma"/>
          <w:bCs/>
          <w:iCs/>
        </w:rPr>
        <w:t xml:space="preserve">La decisión de absolución o de condena; </w:t>
      </w:r>
    </w:p>
    <w:p w14:paraId="679090CB" w14:textId="77777777" w:rsidR="00D6238E" w:rsidRPr="00EC18F1" w:rsidRDefault="00D6238E" w:rsidP="00D6238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EC18F1">
        <w:rPr>
          <w:rFonts w:ascii="Palatino Linotype" w:hAnsi="Palatino Linotype" w:cs="Tahoma"/>
          <w:bCs/>
          <w:iCs/>
        </w:rPr>
        <w:t xml:space="preserve">Si la decisión se tomó por unanimidad o por mayoría de miembros del Tribunal, y </w:t>
      </w:r>
    </w:p>
    <w:p w14:paraId="44340BE7" w14:textId="300FA758" w:rsidR="00D6238E" w:rsidRPr="00EC18F1" w:rsidRDefault="00D6238E" w:rsidP="00D6238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EC18F1">
        <w:rPr>
          <w:rFonts w:ascii="Palatino Linotype" w:hAnsi="Palatino Linotype" w:cs="Tahoma"/>
          <w:bCs/>
          <w:iCs/>
        </w:rPr>
        <w:t>La relación sucinta de los fundamentos y motivos que lo sustentan</w:t>
      </w:r>
    </w:p>
    <w:p w14:paraId="08DEC0FC" w14:textId="77777777" w:rsidR="0071449E" w:rsidRPr="00EC18F1" w:rsidRDefault="0071449E" w:rsidP="0071449E">
      <w:pPr>
        <w:pStyle w:val="Prrafodelista"/>
        <w:tabs>
          <w:tab w:val="left" w:pos="426"/>
        </w:tabs>
        <w:spacing w:before="240" w:after="240" w:line="360" w:lineRule="auto"/>
        <w:ind w:left="0" w:right="51"/>
        <w:jc w:val="both"/>
        <w:rPr>
          <w:rFonts w:ascii="Palatino Linotype" w:hAnsi="Palatino Linotype" w:cs="Tahoma"/>
          <w:bCs/>
          <w:iCs/>
        </w:rPr>
      </w:pPr>
    </w:p>
    <w:p w14:paraId="48551752" w14:textId="45F3973B" w:rsidR="0071449E" w:rsidRPr="00EC18F1" w:rsidRDefault="00D6238E" w:rsidP="003663B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Por cuanto hace a la redacción de las sentencias absolutorias y condenatorias, deberán atender lo establecido en los diversos 405 y 406 del Código Nacional Procesal de mérito, mismos que establecen lo siguiente:</w:t>
      </w:r>
    </w:p>
    <w:p w14:paraId="20DBACAB"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w:t>
      </w:r>
      <w:r w:rsidRPr="00EC18F1">
        <w:rPr>
          <w:rFonts w:ascii="Palatino Linotype" w:hAnsi="Palatino Linotype" w:cs="Tahoma"/>
          <w:b/>
          <w:bCs/>
          <w:i/>
          <w:iCs/>
          <w:sz w:val="22"/>
        </w:rPr>
        <w:t>Artículo 405. Sentencia absolutoria</w:t>
      </w:r>
      <w:r w:rsidRPr="00EC18F1">
        <w:rPr>
          <w:rFonts w:ascii="Palatino Linotype" w:hAnsi="Palatino Linotype" w:cs="Tahoma"/>
          <w:bCs/>
          <w:i/>
          <w:iCs/>
          <w:sz w:val="22"/>
        </w:rPr>
        <w:t xml:space="preserve"> </w:t>
      </w:r>
    </w:p>
    <w:p w14:paraId="76DDB1FE"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En la sentencia absolutoria, el Tribunal de enjuiciamiento ordenará que se tome nota del levantamiento de las medidas cautelares, en todo índice o registro público y policial en el que figuren, y será ejecutable inmediatamente. </w:t>
      </w:r>
    </w:p>
    <w:p w14:paraId="1E7B7212"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En su sentencia absolutoria el Tribunal de enjuiciamiento determinará la causa de exclusión del delito, para lo cual podrá tomar como referencia, en su caso, las causas de atipicidad, de justificación o inculpabilidad, bajo los rubros siguientes: </w:t>
      </w:r>
    </w:p>
    <w:p w14:paraId="5C80715A"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w:t>
      </w:r>
      <w:r w:rsidRPr="00EC18F1">
        <w:rPr>
          <w:rFonts w:ascii="Palatino Linotype" w:hAnsi="Palatino Linotype" w:cs="Tahoma"/>
          <w:bCs/>
          <w:i/>
          <w:iCs/>
          <w:sz w:val="22"/>
        </w:rPr>
        <w:t xml:space="preserve"> Son causas de atipicidad: la ausencia de voluntad o de conducta, la falta de alguno de los elementos del tipo penal, el consentimiento de la víctima que recaiga sobre algún bien jurídico disponible, el error de tipo vencible que recaiga sobre algún elemento del tipo penal que no admita, de acuerdo con el catálogo de delitos susceptibles de configurarse de forma culposa previsto en la legislación penal aplicable, así como el error de tipo invencible; </w:t>
      </w:r>
    </w:p>
    <w:p w14:paraId="2168A8A3"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w:t>
      </w:r>
      <w:r w:rsidRPr="00EC18F1">
        <w:rPr>
          <w:rFonts w:ascii="Palatino Linotype" w:hAnsi="Palatino Linotype" w:cs="Tahoma"/>
          <w:bCs/>
          <w:i/>
          <w:iCs/>
          <w:sz w:val="22"/>
        </w:rPr>
        <w:t xml:space="preserve"> Son causas de justificación: el consentimiento presunto, la legítima defensa, el estado de necesidad justificante, el ejercicio de un derecho y el cumplimiento de un deber, o </w:t>
      </w:r>
    </w:p>
    <w:p w14:paraId="0F4114E3" w14:textId="71E02801"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III.</w:t>
      </w:r>
      <w:r w:rsidRPr="00EC18F1">
        <w:rPr>
          <w:rFonts w:ascii="Palatino Linotype" w:hAnsi="Palatino Linotype" w:cs="Tahoma"/>
          <w:bCs/>
          <w:i/>
          <w:iCs/>
          <w:sz w:val="22"/>
        </w:rPr>
        <w:t xml:space="preserve"> Son causas de inculpabilidad: el error de prohibición invencible, el estado de necesidad disculpante, la inimputabilidad, y la inexigibilidad de otra conducta. De ser el caso, el Tribunal de enjuiciamiento también podrá tomar como referencia que el error de prohibición vencible solamente atenúa la culpabilidad y con ello atenúa también la pena, dejando subsistente la presencia del dolo, igual como ocurre en los casos de exceso de legítima defensa e imputabilidad disminuida. </w:t>
      </w:r>
    </w:p>
    <w:p w14:paraId="5BC8A2E1"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p>
    <w:p w14:paraId="3F6BAC2B"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
          <w:bCs/>
          <w:i/>
          <w:iCs/>
          <w:sz w:val="22"/>
        </w:rPr>
      </w:pPr>
      <w:r w:rsidRPr="00EC18F1">
        <w:rPr>
          <w:rFonts w:ascii="Palatino Linotype" w:hAnsi="Palatino Linotype" w:cs="Tahoma"/>
          <w:b/>
          <w:bCs/>
          <w:i/>
          <w:iCs/>
          <w:sz w:val="22"/>
        </w:rPr>
        <w:t xml:space="preserve">Artículo 406. Sentencia condenatoria </w:t>
      </w:r>
    </w:p>
    <w:p w14:paraId="6BA64D17"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lastRenderedPageBreak/>
        <w:t xml:space="preserve">La sentencia condenatoria fijará las penas, o en su caso la medida de seguridad, y se pronunciará sobre la suspensión de las mismas y la eventual aplicación de alguna de las medidas alternativas a la privación o restricción de libertad previstas en la ley. </w:t>
      </w:r>
    </w:p>
    <w:p w14:paraId="1C4B8E8D"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La sentencia que condenare a una pena privativa de la libertad, deberá expresar con toda precisión el día desde el cual empezará a contarse y fijará el tiempo de detención o prisión preventiva que deberá servir de base para su cumplimiento. </w:t>
      </w:r>
    </w:p>
    <w:p w14:paraId="6C968C42"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La sentencia condenatoria dispondrá también el decomiso de los instrumentos o efectos del delito o su restitución, cuando fuere procedente. </w:t>
      </w:r>
    </w:p>
    <w:p w14:paraId="318AB087"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El Tribunal de enjuiciamiento condenará a la reparación del daño. </w:t>
      </w:r>
    </w:p>
    <w:p w14:paraId="78ABC785"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Cuando la prueba producida no permita establecer con certeza el monto de los daños y perjuicios, o de las indemnizaciones correspondientes, el Tribunal de enjuiciamiento podrá condenar genéricamente a reparar los daños y los perjuicios y ordenar que se liquiden en ejecución de sentencia por vía incidental, siempre que éstos se hayan demostrado, así como su deber de repararlos. </w:t>
      </w:r>
    </w:p>
    <w:p w14:paraId="63CDCE22"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El Tribunal de enjuiciamiento solamente dictará sentencia condenatoria cuando exista convicción de la culpabilidad del sentenciado, bajo el principio general de que la carga de la prueba para demostrar la culpabilidad corresponde a la parte acusadora, conforme lo establezca el tipo penal de que se trate. </w:t>
      </w:r>
    </w:p>
    <w:p w14:paraId="1BE6BDD1"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Al dictar sentencia condenatoria se indicarán los márgenes de la punibilidad del delito y quedarán plenamente acreditados los elementos de la clasificación jurídica; es decir, el tipo penal que se atribuye, el grado de la ejecución del hecho, la forma de intervención y la naturaleza dolosa o culposa de la conducta, así como el grado de lesión o puesta en riesgo del bien jurídico. </w:t>
      </w:r>
    </w:p>
    <w:p w14:paraId="4B570B61" w14:textId="77777777"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 xml:space="preserve">La sentencia condenatoria hará referencia a los elementos objetivos, subjetivos y normativos del tipo penal correspondiente, precisando si el tipo penal se consumó o se realizó en grado de tentativa, así como la forma en que el sujeto activo haya intervenido para la realización del tipo, según se trate de alguna forma de autoría o de participación, y la naturaleza dolosa o culposa de la conducta típica. </w:t>
      </w:r>
    </w:p>
    <w:p w14:paraId="560A2CC2" w14:textId="273364BD" w:rsidR="00D6238E" w:rsidRPr="00EC18F1" w:rsidRDefault="00D6238E" w:rsidP="00D6238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En toda sentencia condenatoria se argumentará por qué el sentenciado no está favorecido por ninguna de las causas de la atipicidad, justificación o inculpabilidad; igualmente, se hará referencia a las agravantes o atenuantes que hayan concurrido y a la clase de concurso de delitos si fuera el caso.”</w:t>
      </w:r>
    </w:p>
    <w:p w14:paraId="4059D3C2"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sz w:val="22"/>
        </w:rPr>
      </w:pPr>
    </w:p>
    <w:p w14:paraId="3D7D1982" w14:textId="68FE46F1" w:rsidR="00361B9B" w:rsidRPr="00EC18F1" w:rsidRDefault="001A6688"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Establecido lo anterior, el Código Penal del Estado de México reconoce y enlista, dentro de su Título Sexto, los </w:t>
      </w:r>
      <w:r w:rsidRPr="00EC18F1">
        <w:rPr>
          <w:rFonts w:ascii="Palatino Linotype" w:hAnsi="Palatino Linotype" w:cs="Tahoma"/>
          <w:b/>
          <w:bCs/>
          <w:iCs/>
        </w:rPr>
        <w:t>Delitos por Hechos de Corrupción</w:t>
      </w:r>
      <w:r w:rsidRPr="00EC18F1">
        <w:rPr>
          <w:rFonts w:ascii="Palatino Linotype" w:hAnsi="Palatino Linotype" w:cs="Tahoma"/>
          <w:bCs/>
          <w:iCs/>
        </w:rPr>
        <w:t xml:space="preserve"> que cometan los </w:t>
      </w:r>
      <w:r w:rsidRPr="00EC18F1">
        <w:rPr>
          <w:rFonts w:ascii="Palatino Linotype" w:hAnsi="Palatino Linotype" w:cs="Tahoma"/>
          <w:bCs/>
          <w:iCs/>
        </w:rPr>
        <w:lastRenderedPageBreak/>
        <w:t>servidores públicos o particulares que hagan un mal uso de sus facultades, potestades o atribuciones conferidas por el Estado.</w:t>
      </w:r>
    </w:p>
    <w:p w14:paraId="511D82D5"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26524C81" w14:textId="1FA3C939" w:rsidR="00361B9B" w:rsidRPr="00EC18F1" w:rsidRDefault="001A6688"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Al respecto, cabe referir que será reconocido como </w:t>
      </w:r>
      <w:r w:rsidRPr="00EC18F1">
        <w:rPr>
          <w:rFonts w:ascii="Palatino Linotype" w:hAnsi="Palatino Linotype" w:cs="Tahoma"/>
          <w:bCs/>
          <w:i/>
          <w:iCs/>
        </w:rPr>
        <w:t>servidor público</w:t>
      </w:r>
      <w:r w:rsidRPr="00EC18F1">
        <w:rPr>
          <w:rFonts w:ascii="Palatino Linotype" w:hAnsi="Palatino Linotype" w:cs="Tahoma"/>
          <w:bCs/>
          <w:iCs/>
        </w:rPr>
        <w:t xml:space="preserve"> a toda persona que desempeñe un empleo, cargo o comisión en alguno de los poderes del Estado, órganos constitucionales autónomos, en los municipios y organismos auxiliares, así como los titulares o quienes hagan sus veces en empresas de participación estatal o municipal, sociedades o asociaciones asimiladas a éstas y en los fideicomisos públicos</w:t>
      </w:r>
      <w:r w:rsidR="002A5A66" w:rsidRPr="00EC18F1">
        <w:rPr>
          <w:rStyle w:val="Refdenotaalpie"/>
          <w:rFonts w:ascii="Palatino Linotype" w:hAnsi="Palatino Linotype" w:cs="Tahoma"/>
          <w:bCs/>
          <w:iCs/>
        </w:rPr>
        <w:footnoteReference w:id="62"/>
      </w:r>
      <w:r w:rsidRPr="00EC18F1">
        <w:rPr>
          <w:rFonts w:ascii="Palatino Linotype" w:hAnsi="Palatino Linotype" w:cs="Tahoma"/>
          <w:bCs/>
          <w:iCs/>
        </w:rPr>
        <w:t xml:space="preserve">. </w:t>
      </w:r>
    </w:p>
    <w:p w14:paraId="7430F88C" w14:textId="77777777" w:rsidR="00F9794A" w:rsidRPr="00EC18F1" w:rsidRDefault="00F9794A" w:rsidP="00F9794A">
      <w:pPr>
        <w:pStyle w:val="Prrafodelista"/>
        <w:tabs>
          <w:tab w:val="left" w:pos="426"/>
        </w:tabs>
        <w:spacing w:before="240" w:after="240" w:line="360" w:lineRule="auto"/>
        <w:ind w:left="0" w:right="51"/>
        <w:jc w:val="both"/>
        <w:rPr>
          <w:rFonts w:ascii="Palatino Linotype" w:hAnsi="Palatino Linotype" w:cs="Tahoma"/>
          <w:bCs/>
          <w:iCs/>
        </w:rPr>
      </w:pPr>
    </w:p>
    <w:p w14:paraId="209096B9" w14:textId="5A8FF7E3" w:rsidR="00361B9B" w:rsidRPr="00EC18F1" w:rsidRDefault="002A5A66"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Dicho lo anterior, los artículos</w:t>
      </w:r>
      <w:r w:rsidR="005E3B98" w:rsidRPr="00EC18F1">
        <w:rPr>
          <w:rFonts w:ascii="Palatino Linotype" w:hAnsi="Palatino Linotype" w:cs="Tahoma"/>
          <w:bCs/>
          <w:iCs/>
        </w:rPr>
        <w:t xml:space="preserve"> del 331 al</w:t>
      </w:r>
      <w:r w:rsidRPr="00EC18F1">
        <w:rPr>
          <w:rFonts w:ascii="Palatino Linotype" w:hAnsi="Palatino Linotype" w:cs="Tahoma"/>
          <w:bCs/>
          <w:iCs/>
        </w:rPr>
        <w:t xml:space="preserve"> </w:t>
      </w:r>
      <w:r w:rsidR="005E3B98" w:rsidRPr="00EC18F1">
        <w:rPr>
          <w:rFonts w:ascii="Palatino Linotype" w:hAnsi="Palatino Linotype" w:cs="Tahoma"/>
          <w:bCs/>
          <w:iCs/>
        </w:rPr>
        <w:t>353</w:t>
      </w:r>
      <w:r w:rsidRPr="00EC18F1">
        <w:rPr>
          <w:rFonts w:ascii="Palatino Linotype" w:hAnsi="Palatino Linotype" w:cs="Tahoma"/>
          <w:bCs/>
          <w:iCs/>
        </w:rPr>
        <w:t xml:space="preserve"> tipifican y reconocen los </w:t>
      </w:r>
      <w:r w:rsidRPr="00EC18F1">
        <w:rPr>
          <w:rFonts w:ascii="Palatino Linotype" w:hAnsi="Palatino Linotype" w:cs="Tahoma"/>
          <w:b/>
          <w:bCs/>
          <w:iCs/>
        </w:rPr>
        <w:t>delitos por hechos de corrupción</w:t>
      </w:r>
      <w:r w:rsidRPr="00EC18F1">
        <w:rPr>
          <w:rFonts w:ascii="Palatino Linotype" w:hAnsi="Palatino Linotype" w:cs="Tahoma"/>
          <w:bCs/>
          <w:iCs/>
        </w:rPr>
        <w:t xml:space="preserve"> que pueden cometer los servidores públicos del Estado de México, a saber:</w:t>
      </w:r>
    </w:p>
    <w:p w14:paraId="46D4A27D" w14:textId="2F999A5D"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Incumplimiento, ejercicio indebido y abandono de funciones públicas;</w:t>
      </w:r>
    </w:p>
    <w:p w14:paraId="1DE8FA1D" w14:textId="2FA68BB7"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Coalición;</w:t>
      </w:r>
    </w:p>
    <w:p w14:paraId="234ACAA4" w14:textId="558B6499"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Abuso de autoridad;</w:t>
      </w:r>
    </w:p>
    <w:p w14:paraId="5F9F1FD7" w14:textId="7AC5139E"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Uso ilícito de atribuciones y facultades;</w:t>
      </w:r>
    </w:p>
    <w:p w14:paraId="758E7EB8" w14:textId="29E588B8"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Concusión;</w:t>
      </w:r>
    </w:p>
    <w:p w14:paraId="65BAC03A" w14:textId="2CAE38C1"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Intimidación;</w:t>
      </w:r>
    </w:p>
    <w:p w14:paraId="08680590" w14:textId="014CB8F1"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Ejercicio abusivo de funciones;</w:t>
      </w:r>
    </w:p>
    <w:p w14:paraId="775FA607" w14:textId="2C092AD1"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Tráfico de influencia;</w:t>
      </w:r>
    </w:p>
    <w:p w14:paraId="76BC5F73" w14:textId="103B8993"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Cohecho;</w:t>
      </w:r>
    </w:p>
    <w:p w14:paraId="57198220" w14:textId="22D45D8F"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Peculado;</w:t>
      </w:r>
    </w:p>
    <w:p w14:paraId="4815F6DD" w14:textId="08F3A5CD"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Enriquecimiento ilícito;</w:t>
      </w:r>
      <w:r w:rsidR="005E3B98" w:rsidRPr="00EC18F1">
        <w:rPr>
          <w:rFonts w:ascii="Palatino Linotype" w:hAnsi="Palatino Linotype" w:cs="Tahoma"/>
          <w:bCs/>
          <w:iCs/>
          <w:sz w:val="22"/>
        </w:rPr>
        <w:t xml:space="preserve"> y</w:t>
      </w:r>
    </w:p>
    <w:p w14:paraId="27336A63" w14:textId="7F8ABFF9" w:rsidR="002A5A66" w:rsidRPr="00EC18F1" w:rsidRDefault="002A5A66" w:rsidP="002A5A66">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EC18F1">
        <w:rPr>
          <w:rFonts w:ascii="Palatino Linotype" w:hAnsi="Palatino Linotype" w:cs="Tahoma"/>
          <w:bCs/>
          <w:iCs/>
          <w:sz w:val="22"/>
        </w:rPr>
        <w:t>Delitos</w:t>
      </w:r>
      <w:r w:rsidR="005E3B98" w:rsidRPr="00EC18F1">
        <w:rPr>
          <w:rFonts w:ascii="Palatino Linotype" w:hAnsi="Palatino Linotype" w:cs="Tahoma"/>
          <w:bCs/>
          <w:iCs/>
          <w:sz w:val="22"/>
        </w:rPr>
        <w:t xml:space="preserve"> cometidos por servidor</w:t>
      </w:r>
      <w:r w:rsidR="005E3B98" w:rsidRPr="00EC18F1">
        <w:rPr>
          <w:rFonts w:ascii="Palatino Linotype" w:hAnsi="Palatino Linotype" w:cs="Tahoma"/>
          <w:bCs/>
          <w:iCs/>
        </w:rPr>
        <w:t>es públicos de la procuración y administración de justicia.</w:t>
      </w:r>
    </w:p>
    <w:p w14:paraId="343CD052" w14:textId="1A4B5FAF" w:rsidR="00361B9B" w:rsidRPr="00EC18F1" w:rsidRDefault="005E3B98"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lastRenderedPageBreak/>
        <w:t xml:space="preserve">Como puede advertirse, los </w:t>
      </w:r>
      <w:r w:rsidRPr="00EC18F1">
        <w:rPr>
          <w:rFonts w:ascii="Palatino Linotype" w:hAnsi="Palatino Linotype" w:cs="Tahoma"/>
          <w:b/>
          <w:bCs/>
          <w:iCs/>
        </w:rPr>
        <w:t>delitos por hechos de corrupción</w:t>
      </w:r>
      <w:r w:rsidRPr="00EC18F1">
        <w:rPr>
          <w:rFonts w:ascii="Palatino Linotype" w:hAnsi="Palatino Linotype" w:cs="Tahoma"/>
          <w:bCs/>
          <w:iCs/>
        </w:rPr>
        <w:t xml:space="preserve"> se relacionan de forma intrínseca con las </w:t>
      </w:r>
      <w:r w:rsidRPr="00EC18F1">
        <w:rPr>
          <w:rFonts w:ascii="Palatino Linotype" w:hAnsi="Palatino Linotype" w:cs="Tahoma"/>
          <w:b/>
          <w:bCs/>
          <w:iCs/>
        </w:rPr>
        <w:t>faltas administrativas graves</w:t>
      </w:r>
      <w:r w:rsidRPr="00EC18F1">
        <w:rPr>
          <w:rFonts w:ascii="Palatino Linotype" w:hAnsi="Palatino Linotype" w:cs="Tahoma"/>
          <w:bCs/>
          <w:iCs/>
        </w:rPr>
        <w:t xml:space="preserve"> establecidas en la Ley de Responsabilidades Administrativas de los Servidores Públicos del Estado de México y Municipios; por lo tanto, resultaría de interés público que se diera a conocer el nombre del o los servidores públicos quienes estuvieran involucrados en este tipo de delitos.</w:t>
      </w:r>
    </w:p>
    <w:p w14:paraId="28D3F37B" w14:textId="77777777" w:rsidR="00EF5FD8" w:rsidRPr="00EC18F1" w:rsidRDefault="00EF5FD8" w:rsidP="00EF5FD8">
      <w:pPr>
        <w:pStyle w:val="Prrafodelista"/>
        <w:tabs>
          <w:tab w:val="left" w:pos="426"/>
        </w:tabs>
        <w:spacing w:before="240" w:after="240" w:line="360" w:lineRule="auto"/>
        <w:ind w:left="0" w:right="51"/>
        <w:jc w:val="both"/>
        <w:rPr>
          <w:rFonts w:ascii="Palatino Linotype" w:hAnsi="Palatino Linotype" w:cs="Tahoma"/>
          <w:bCs/>
          <w:iCs/>
        </w:rPr>
      </w:pPr>
    </w:p>
    <w:p w14:paraId="3135E8C8" w14:textId="7AD01EA9" w:rsidR="00F9794A" w:rsidRPr="00EC18F1" w:rsidRDefault="00F9794A" w:rsidP="00F9794A">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V</w:t>
      </w:r>
      <w:r w:rsidR="00126B68" w:rsidRPr="00EC18F1">
        <w:rPr>
          <w:rFonts w:ascii="Palatino Linotype" w:hAnsi="Palatino Linotype" w:cs="Tahoma"/>
          <w:b/>
          <w:bCs/>
          <w:iCs/>
        </w:rPr>
        <w:t>I</w:t>
      </w:r>
      <w:r w:rsidR="00365485" w:rsidRPr="00EC18F1">
        <w:rPr>
          <w:rFonts w:ascii="Palatino Linotype" w:hAnsi="Palatino Linotype" w:cs="Tahoma"/>
          <w:b/>
          <w:bCs/>
          <w:iCs/>
        </w:rPr>
        <w:t>I</w:t>
      </w:r>
      <w:r w:rsidR="00126B68" w:rsidRPr="00EC18F1">
        <w:rPr>
          <w:rFonts w:ascii="Palatino Linotype" w:hAnsi="Palatino Linotype" w:cs="Tahoma"/>
          <w:b/>
          <w:bCs/>
          <w:iCs/>
        </w:rPr>
        <w:t>I</w:t>
      </w:r>
      <w:r w:rsidRPr="00EC18F1">
        <w:rPr>
          <w:rFonts w:ascii="Palatino Linotype" w:hAnsi="Palatino Linotype" w:cs="Tahoma"/>
          <w:b/>
          <w:bCs/>
          <w:iCs/>
        </w:rPr>
        <w:t>.III. Conclusiones</w:t>
      </w:r>
    </w:p>
    <w:p w14:paraId="3ADD5C69" w14:textId="359F050C" w:rsidR="00D16BD7" w:rsidRPr="00EC18F1" w:rsidRDefault="00D6238E"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Una vez analizada la naturaleza y línea procesal del procedimiento de responsabilidad administrativa, así como el procedimiento penal</w:t>
      </w:r>
      <w:r w:rsidR="00F9794A" w:rsidRPr="00EC18F1">
        <w:rPr>
          <w:rFonts w:ascii="Palatino Linotype" w:hAnsi="Palatino Linotype" w:cs="Tahoma"/>
          <w:bCs/>
          <w:iCs/>
        </w:rPr>
        <w:t>,</w:t>
      </w:r>
      <w:r w:rsidR="00CB627C" w:rsidRPr="00EC18F1">
        <w:rPr>
          <w:rFonts w:ascii="Palatino Linotype" w:hAnsi="Palatino Linotype" w:cs="Tahoma"/>
          <w:bCs/>
          <w:iCs/>
        </w:rPr>
        <w:t xml:space="preserve"> podemos </w:t>
      </w:r>
      <w:r w:rsidR="0066311A" w:rsidRPr="00EC18F1">
        <w:rPr>
          <w:rFonts w:ascii="Palatino Linotype" w:hAnsi="Palatino Linotype" w:cs="Tahoma"/>
          <w:bCs/>
          <w:iCs/>
        </w:rPr>
        <w:t xml:space="preserve">separar la participación del </w:t>
      </w:r>
      <w:r w:rsidR="0066311A" w:rsidRPr="00EC18F1">
        <w:rPr>
          <w:rFonts w:ascii="Palatino Linotype" w:hAnsi="Palatino Linotype" w:cs="Tahoma"/>
          <w:b/>
          <w:iCs/>
        </w:rPr>
        <w:t>SUJETO OBLIGADO</w:t>
      </w:r>
      <w:r w:rsidR="0066311A" w:rsidRPr="00EC18F1">
        <w:rPr>
          <w:rFonts w:ascii="Palatino Linotype" w:hAnsi="Palatino Linotype" w:cs="Tahoma"/>
          <w:bCs/>
          <w:iCs/>
        </w:rPr>
        <w:t xml:space="preserve"> en </w:t>
      </w:r>
      <w:r w:rsidR="00126B68" w:rsidRPr="00EC18F1">
        <w:rPr>
          <w:rFonts w:ascii="Palatino Linotype" w:hAnsi="Palatino Linotype" w:cs="Tahoma"/>
          <w:bCs/>
          <w:iCs/>
        </w:rPr>
        <w:t>procedimientos sustanciados</w:t>
      </w:r>
      <w:r w:rsidR="0066311A" w:rsidRPr="00EC18F1">
        <w:rPr>
          <w:rFonts w:ascii="Palatino Linotype" w:hAnsi="Palatino Linotype" w:cs="Tahoma"/>
          <w:bCs/>
          <w:iCs/>
        </w:rPr>
        <w:t xml:space="preserve"> ante el Órgano Interno de Control</w:t>
      </w:r>
      <w:r w:rsidR="00126B68" w:rsidRPr="00EC18F1">
        <w:rPr>
          <w:rFonts w:ascii="Palatino Linotype" w:hAnsi="Palatino Linotype" w:cs="Tahoma"/>
          <w:bCs/>
          <w:iCs/>
        </w:rPr>
        <w:t>,</w:t>
      </w:r>
      <w:r w:rsidR="00F9794A" w:rsidRPr="00EC18F1">
        <w:rPr>
          <w:rFonts w:ascii="Palatino Linotype" w:hAnsi="Palatino Linotype" w:cs="Tahoma"/>
          <w:bCs/>
          <w:iCs/>
        </w:rPr>
        <w:t xml:space="preserve"> y</w:t>
      </w:r>
      <w:r w:rsidR="002D0CAE" w:rsidRPr="00EC18F1">
        <w:rPr>
          <w:rFonts w:ascii="Palatino Linotype" w:hAnsi="Palatino Linotype" w:cs="Tahoma"/>
          <w:bCs/>
          <w:iCs/>
        </w:rPr>
        <w:t xml:space="preserve"> la Fiscalía General de Justicia del Estado de México, de la siguiente forma:</w:t>
      </w:r>
    </w:p>
    <w:p w14:paraId="0A7F065C" w14:textId="621685F2" w:rsidR="002D0CAE" w:rsidRPr="00EC18F1" w:rsidRDefault="002D0CAE" w:rsidP="002D0CA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Al ser </w:t>
      </w:r>
      <w:r w:rsidR="005407F2" w:rsidRPr="00EC18F1">
        <w:rPr>
          <w:rFonts w:ascii="Palatino Linotype" w:hAnsi="Palatino Linotype" w:cs="Tahoma"/>
          <w:bCs/>
          <w:iCs/>
          <w:sz w:val="22"/>
        </w:rPr>
        <w:t xml:space="preserve">un área administrativa del propio </w:t>
      </w:r>
      <w:r w:rsidR="005407F2" w:rsidRPr="00EC18F1">
        <w:rPr>
          <w:rFonts w:ascii="Palatino Linotype" w:hAnsi="Palatino Linotype" w:cs="Tahoma"/>
          <w:b/>
          <w:iCs/>
          <w:sz w:val="22"/>
        </w:rPr>
        <w:t>SUJETO OBLIGADO</w:t>
      </w:r>
      <w:r w:rsidR="005407F2" w:rsidRPr="00EC18F1">
        <w:rPr>
          <w:rFonts w:ascii="Palatino Linotype" w:hAnsi="Palatino Linotype" w:cs="Tahoma"/>
          <w:bCs/>
          <w:iCs/>
          <w:sz w:val="22"/>
        </w:rPr>
        <w:t xml:space="preserve">, </w:t>
      </w:r>
      <w:r w:rsidR="00126B68" w:rsidRPr="00EC18F1">
        <w:rPr>
          <w:rFonts w:ascii="Palatino Linotype" w:hAnsi="Palatino Linotype" w:cs="Tahoma"/>
          <w:bCs/>
          <w:iCs/>
          <w:sz w:val="22"/>
        </w:rPr>
        <w:t>los procedimientos llevados a cabo</w:t>
      </w:r>
      <w:r w:rsidR="005407F2" w:rsidRPr="00EC18F1">
        <w:rPr>
          <w:rFonts w:ascii="Palatino Linotype" w:hAnsi="Palatino Linotype" w:cs="Tahoma"/>
          <w:bCs/>
          <w:iCs/>
          <w:sz w:val="22"/>
        </w:rPr>
        <w:t xml:space="preserve"> ante el Órgano Interno de Control </w:t>
      </w:r>
      <w:r w:rsidR="005D0939" w:rsidRPr="00EC18F1">
        <w:rPr>
          <w:rFonts w:ascii="Palatino Linotype" w:hAnsi="Palatino Linotype" w:cs="Tahoma"/>
          <w:bCs/>
          <w:iCs/>
          <w:sz w:val="22"/>
        </w:rPr>
        <w:t>serán sustanciadas por la autoridad investigadora y sustanciadora de</w:t>
      </w:r>
      <w:r w:rsidR="007B2C2A" w:rsidRPr="00EC18F1">
        <w:rPr>
          <w:rFonts w:ascii="Palatino Linotype" w:hAnsi="Palatino Linotype" w:cs="Tahoma"/>
          <w:bCs/>
          <w:iCs/>
          <w:sz w:val="22"/>
        </w:rPr>
        <w:t xml:space="preserve"> la propia Contraloría, salvo los casos de responsabilidades administrativas graves, cuya sustanciación se realizará por el Tribunal de Justicia Administrativa del Estado de México.</w:t>
      </w:r>
    </w:p>
    <w:p w14:paraId="1317ADE2" w14:textId="29C66A5B" w:rsidR="007B2C2A" w:rsidRPr="00EC18F1" w:rsidRDefault="007B2C2A" w:rsidP="002D0CAE">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EC18F1">
        <w:rPr>
          <w:rFonts w:ascii="Palatino Linotype" w:hAnsi="Palatino Linotype" w:cs="Tahoma"/>
          <w:bCs/>
          <w:iCs/>
          <w:sz w:val="22"/>
        </w:rPr>
        <w:t xml:space="preserve">Por su parte, en lo que respecta a </w:t>
      </w:r>
      <w:r w:rsidR="00126B68" w:rsidRPr="00EC18F1">
        <w:rPr>
          <w:rFonts w:ascii="Palatino Linotype" w:hAnsi="Palatino Linotype" w:cs="Tahoma"/>
          <w:bCs/>
          <w:iCs/>
          <w:sz w:val="22"/>
        </w:rPr>
        <w:t>los procedimientos llevados a cabo por</w:t>
      </w:r>
      <w:r w:rsidRPr="00EC18F1">
        <w:rPr>
          <w:rFonts w:ascii="Palatino Linotype" w:hAnsi="Palatino Linotype" w:cs="Tahoma"/>
          <w:bCs/>
          <w:iCs/>
          <w:sz w:val="22"/>
        </w:rPr>
        <w:t xml:space="preserve"> la Fiscalía Ge</w:t>
      </w:r>
      <w:r w:rsidR="00986DCC" w:rsidRPr="00EC18F1">
        <w:rPr>
          <w:rFonts w:ascii="Palatino Linotype" w:hAnsi="Palatino Linotype" w:cs="Tahoma"/>
          <w:bCs/>
          <w:iCs/>
          <w:sz w:val="22"/>
        </w:rPr>
        <w:t xml:space="preserve">neral de Justicia del Estado de México, la participación del </w:t>
      </w:r>
      <w:r w:rsidR="00986DCC" w:rsidRPr="00EC18F1">
        <w:rPr>
          <w:rFonts w:ascii="Palatino Linotype" w:hAnsi="Palatino Linotype" w:cs="Tahoma"/>
          <w:b/>
          <w:iCs/>
          <w:sz w:val="22"/>
        </w:rPr>
        <w:t>SUJETO OBLIGADO</w:t>
      </w:r>
      <w:r w:rsidR="00986DCC" w:rsidRPr="00EC18F1">
        <w:rPr>
          <w:rFonts w:ascii="Palatino Linotype" w:hAnsi="Palatino Linotype" w:cs="Tahoma"/>
          <w:bCs/>
          <w:iCs/>
          <w:sz w:val="22"/>
        </w:rPr>
        <w:t xml:space="preserve"> quedará meramente en la presentación de una denuncia, pues el deber de investigación quedará a cargo del Ministerio Público, y la posterior sustanciación a cargo de un Juez.</w:t>
      </w:r>
    </w:p>
    <w:p w14:paraId="3ADE2B7A" w14:textId="77777777" w:rsidR="00D16BD7" w:rsidRPr="00EC18F1" w:rsidRDefault="00D16BD7" w:rsidP="00D16BD7">
      <w:pPr>
        <w:pStyle w:val="Prrafodelista"/>
        <w:tabs>
          <w:tab w:val="left" w:pos="426"/>
        </w:tabs>
        <w:spacing w:before="240" w:after="240" w:line="360" w:lineRule="auto"/>
        <w:ind w:left="0" w:right="51"/>
        <w:jc w:val="both"/>
        <w:rPr>
          <w:rFonts w:ascii="Palatino Linotype" w:hAnsi="Palatino Linotype" w:cs="Tahoma"/>
          <w:bCs/>
          <w:iCs/>
        </w:rPr>
      </w:pPr>
    </w:p>
    <w:p w14:paraId="068E49BC" w14:textId="38B945D7" w:rsidR="00D16BD7" w:rsidRPr="00EC18F1" w:rsidRDefault="007A3D27"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Así las cosas, podemos concluir que, sin importar la autoridad ante la que se haya presentado </w:t>
      </w:r>
      <w:r w:rsidR="005E23CD" w:rsidRPr="00EC18F1">
        <w:rPr>
          <w:rFonts w:ascii="Palatino Linotype" w:hAnsi="Palatino Linotype" w:cs="Tahoma"/>
          <w:bCs/>
          <w:iCs/>
        </w:rPr>
        <w:t>un procedimiento</w:t>
      </w:r>
      <w:r w:rsidRPr="00EC18F1">
        <w:rPr>
          <w:rFonts w:ascii="Palatino Linotype" w:hAnsi="Palatino Linotype" w:cs="Tahoma"/>
          <w:bCs/>
          <w:iCs/>
        </w:rPr>
        <w:t xml:space="preserve"> en contra de </w:t>
      </w:r>
      <w:r w:rsidR="005E23CD" w:rsidRPr="00EC18F1">
        <w:rPr>
          <w:rFonts w:ascii="Palatino Linotype" w:hAnsi="Palatino Linotype" w:cs="Tahoma"/>
          <w:bCs/>
          <w:iCs/>
        </w:rPr>
        <w:t>ex servidores públicos</w:t>
      </w:r>
      <w:r w:rsidRPr="00EC18F1">
        <w:rPr>
          <w:rFonts w:ascii="Palatino Linotype" w:hAnsi="Palatino Linotype" w:cs="Tahoma"/>
          <w:bCs/>
          <w:iCs/>
        </w:rPr>
        <w:t>, si ést</w:t>
      </w:r>
      <w:r w:rsidR="005E23CD" w:rsidRPr="00EC18F1">
        <w:rPr>
          <w:rFonts w:ascii="Palatino Linotype" w:hAnsi="Palatino Linotype" w:cs="Tahoma"/>
          <w:bCs/>
          <w:iCs/>
        </w:rPr>
        <w:t>e</w:t>
      </w:r>
      <w:r w:rsidRPr="00EC18F1">
        <w:rPr>
          <w:rFonts w:ascii="Palatino Linotype" w:hAnsi="Palatino Linotype" w:cs="Tahoma"/>
          <w:bCs/>
          <w:iCs/>
        </w:rPr>
        <w:t xml:space="preserve"> </w:t>
      </w:r>
      <w:r w:rsidR="00531E28" w:rsidRPr="00EC18F1">
        <w:rPr>
          <w:rFonts w:ascii="Palatino Linotype" w:hAnsi="Palatino Linotype" w:cs="Tahoma"/>
          <w:bCs/>
          <w:iCs/>
        </w:rPr>
        <w:t>fue promovid</w:t>
      </w:r>
      <w:r w:rsidR="005E23CD" w:rsidRPr="00EC18F1">
        <w:rPr>
          <w:rFonts w:ascii="Palatino Linotype" w:hAnsi="Palatino Linotype" w:cs="Tahoma"/>
          <w:bCs/>
          <w:iCs/>
        </w:rPr>
        <w:t>o</w:t>
      </w:r>
      <w:r w:rsidR="00531E28" w:rsidRPr="00EC18F1">
        <w:rPr>
          <w:rFonts w:ascii="Palatino Linotype" w:hAnsi="Palatino Linotype" w:cs="Tahoma"/>
          <w:bCs/>
          <w:iCs/>
        </w:rPr>
        <w:t xml:space="preserve"> por el </w:t>
      </w:r>
      <w:r w:rsidR="006073A5" w:rsidRPr="00EC18F1">
        <w:rPr>
          <w:rFonts w:ascii="Palatino Linotype" w:hAnsi="Palatino Linotype" w:cs="Tahoma"/>
          <w:bCs/>
          <w:iCs/>
        </w:rPr>
        <w:t>Ayuntamiento de Timilpan</w:t>
      </w:r>
      <w:r w:rsidR="00531E28" w:rsidRPr="00EC18F1">
        <w:rPr>
          <w:rFonts w:ascii="Palatino Linotype" w:hAnsi="Palatino Linotype" w:cs="Tahoma"/>
          <w:bCs/>
          <w:iCs/>
        </w:rPr>
        <w:t xml:space="preserve"> a través de su President</w:t>
      </w:r>
      <w:r w:rsidR="005E23CD" w:rsidRPr="00EC18F1">
        <w:rPr>
          <w:rFonts w:ascii="Palatino Linotype" w:hAnsi="Palatino Linotype" w:cs="Tahoma"/>
          <w:bCs/>
          <w:iCs/>
        </w:rPr>
        <w:t>e</w:t>
      </w:r>
      <w:r w:rsidR="00531E28" w:rsidRPr="00EC18F1">
        <w:rPr>
          <w:rFonts w:ascii="Palatino Linotype" w:hAnsi="Palatino Linotype" w:cs="Tahoma"/>
          <w:bCs/>
          <w:iCs/>
        </w:rPr>
        <w:t xml:space="preserve"> Municipal, o alguno de sus </w:t>
      </w:r>
      <w:r w:rsidR="00531E28" w:rsidRPr="00EC18F1">
        <w:rPr>
          <w:rFonts w:ascii="Palatino Linotype" w:hAnsi="Palatino Linotype" w:cs="Tahoma"/>
          <w:bCs/>
          <w:iCs/>
        </w:rPr>
        <w:lastRenderedPageBreak/>
        <w:t xml:space="preserve">servidores públicos en ejercicio de sus funciones, el </w:t>
      </w:r>
      <w:r w:rsidR="00531E28" w:rsidRPr="00EC18F1">
        <w:rPr>
          <w:rFonts w:ascii="Palatino Linotype" w:hAnsi="Palatino Linotype" w:cs="Tahoma"/>
          <w:b/>
          <w:iCs/>
        </w:rPr>
        <w:t>SUJETO OBLIGADO</w:t>
      </w:r>
      <w:r w:rsidR="00531E28" w:rsidRPr="00EC18F1">
        <w:rPr>
          <w:rFonts w:ascii="Palatino Linotype" w:hAnsi="Palatino Linotype" w:cs="Tahoma"/>
          <w:bCs/>
          <w:iCs/>
        </w:rPr>
        <w:t xml:space="preserve"> debe poseerla</w:t>
      </w:r>
      <w:r w:rsidR="005C0D5A" w:rsidRPr="00EC18F1">
        <w:rPr>
          <w:rFonts w:ascii="Palatino Linotype" w:hAnsi="Palatino Linotype" w:cs="Tahoma"/>
          <w:bCs/>
          <w:iCs/>
        </w:rPr>
        <w:t xml:space="preserve"> y administrarla en sus archivos.</w:t>
      </w:r>
    </w:p>
    <w:p w14:paraId="44508944" w14:textId="77777777" w:rsidR="005F106E" w:rsidRPr="00EC18F1" w:rsidRDefault="005F106E" w:rsidP="005F106E">
      <w:pPr>
        <w:pStyle w:val="Prrafodelista"/>
        <w:tabs>
          <w:tab w:val="left" w:pos="426"/>
        </w:tabs>
        <w:spacing w:before="240" w:after="240" w:line="360" w:lineRule="auto"/>
        <w:ind w:left="0" w:right="51"/>
        <w:jc w:val="both"/>
        <w:rPr>
          <w:rFonts w:ascii="Palatino Linotype" w:hAnsi="Palatino Linotype" w:cs="Tahoma"/>
          <w:bCs/>
          <w:iCs/>
        </w:rPr>
      </w:pPr>
    </w:p>
    <w:p w14:paraId="0D525402" w14:textId="36F0E4A5" w:rsidR="005F106E" w:rsidRPr="00EC18F1" w:rsidRDefault="005F106E"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Resulta imperativo mencionar que </w:t>
      </w:r>
      <w:r w:rsidRPr="00EC18F1">
        <w:rPr>
          <w:rFonts w:ascii="Palatino Linotype" w:hAnsi="Palatino Linotype" w:cs="Tahoma"/>
          <w:b/>
          <w:bCs/>
          <w:iCs/>
        </w:rPr>
        <w:t>el</w:t>
      </w:r>
      <w:r w:rsidRPr="00EC18F1">
        <w:rPr>
          <w:rFonts w:ascii="Palatino Linotype" w:hAnsi="Palatino Linotype" w:cs="Tahoma"/>
          <w:bCs/>
          <w:iCs/>
        </w:rPr>
        <w:t xml:space="preserve"> </w:t>
      </w:r>
      <w:r w:rsidRPr="00EC18F1">
        <w:rPr>
          <w:rFonts w:ascii="Palatino Linotype" w:hAnsi="Palatino Linotype" w:cs="Tahoma"/>
          <w:b/>
          <w:bCs/>
          <w:iCs/>
        </w:rPr>
        <w:t>RECURRENTE no desea acceder a ningún documento, constancia o actuación propia de los procedimientos</w:t>
      </w:r>
      <w:r w:rsidRPr="00EC18F1">
        <w:rPr>
          <w:rFonts w:ascii="Palatino Linotype" w:hAnsi="Palatino Linotype" w:cs="Tahoma"/>
          <w:bCs/>
          <w:iCs/>
        </w:rPr>
        <w:t>, sino que únicamente desea saber el estatus o, lo que es lo mismo, la etapa procesal en la que se encuentra cada uno, esto es, información meramente estadística.</w:t>
      </w:r>
    </w:p>
    <w:p w14:paraId="0E060D5D" w14:textId="77777777" w:rsidR="005F106E" w:rsidRPr="00EC18F1" w:rsidRDefault="005F106E" w:rsidP="005F106E">
      <w:pPr>
        <w:pStyle w:val="Prrafodelista"/>
        <w:tabs>
          <w:tab w:val="left" w:pos="426"/>
        </w:tabs>
        <w:spacing w:before="240" w:after="240" w:line="360" w:lineRule="auto"/>
        <w:ind w:left="0" w:right="51"/>
        <w:jc w:val="both"/>
        <w:rPr>
          <w:rFonts w:ascii="Palatino Linotype" w:hAnsi="Palatino Linotype" w:cs="Tahoma"/>
          <w:bCs/>
          <w:iCs/>
        </w:rPr>
      </w:pPr>
    </w:p>
    <w:p w14:paraId="626D79AC" w14:textId="6E688196" w:rsidR="005F106E" w:rsidRPr="00EC18F1" w:rsidRDefault="005F106E" w:rsidP="00DC4DA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En ese sentido, el </w:t>
      </w:r>
      <w:r w:rsidRPr="00EC18F1">
        <w:rPr>
          <w:rFonts w:ascii="Palatino Linotype" w:hAnsi="Palatino Linotype" w:cs="Tahoma"/>
          <w:b/>
          <w:bCs/>
          <w:iCs/>
        </w:rPr>
        <w:t>SUJET OBLIGADO</w:t>
      </w:r>
      <w:r w:rsidRPr="00EC18F1">
        <w:rPr>
          <w:rFonts w:ascii="Palatino Linotype" w:hAnsi="Palatino Linotype" w:cs="Tahoma"/>
          <w:bCs/>
          <w:iCs/>
        </w:rPr>
        <w:t xml:space="preserve"> deberá hacer entrega de los documentos donde conste lo solicitado, pues la información de carácter estadístico no es susceptible de ser reservada, tal como lo establece el Criterio de Interpretación 011/2009, emitido por el Órgano Garante Nacional, cuyo rubro y texto establece lo siguiente:</w:t>
      </w:r>
    </w:p>
    <w:p w14:paraId="3A40396D" w14:textId="1748847C" w:rsidR="005F106E" w:rsidRPr="00EC18F1" w:rsidRDefault="005F106E" w:rsidP="005F106E">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
          <w:bCs/>
          <w:i/>
          <w:iCs/>
          <w:sz w:val="22"/>
        </w:rPr>
        <w:t>LA INFORMACIÓN ESTADÍSTICA ES DE NATURALEZA PÚBLICA, INDEPENDIENTEMENTE DE LA MATERIA CON LA QUE SE ENCUENTRE VINCULADA.</w:t>
      </w:r>
      <w:r w:rsidRPr="00EC18F1">
        <w:rPr>
          <w:rFonts w:ascii="Palatino Linotype" w:hAnsi="Palatino Linotype" w:cs="Tahoma"/>
          <w:bCs/>
          <w:i/>
          <w:iCs/>
          <w:sz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4CE7CDA8" w14:textId="77777777" w:rsidR="005F106E" w:rsidRPr="00EC18F1" w:rsidRDefault="005F106E" w:rsidP="00FC17A8">
      <w:pPr>
        <w:pStyle w:val="Prrafodelista"/>
        <w:tabs>
          <w:tab w:val="left" w:pos="426"/>
        </w:tabs>
        <w:spacing w:before="240" w:after="240" w:line="360" w:lineRule="auto"/>
        <w:ind w:left="0" w:right="51"/>
        <w:jc w:val="both"/>
        <w:rPr>
          <w:rFonts w:ascii="Palatino Linotype" w:hAnsi="Palatino Linotype" w:cs="Tahoma"/>
          <w:bCs/>
          <w:iCs/>
        </w:rPr>
      </w:pPr>
    </w:p>
    <w:p w14:paraId="4B08F0BE" w14:textId="666D2A8E" w:rsidR="001E1963" w:rsidRPr="00EC18F1" w:rsidRDefault="001E1963" w:rsidP="005B331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No se omite mencionar que, de los documentos entregados en respuesta a la solicitud </w:t>
      </w:r>
      <w:r w:rsidRPr="00EC18F1">
        <w:rPr>
          <w:rFonts w:ascii="Palatino Linotype" w:hAnsi="Palatino Linotype" w:cs="Tahoma"/>
          <w:b/>
          <w:bCs/>
          <w:iCs/>
        </w:rPr>
        <w:t>00073/TIMILPAN/IP/2023</w:t>
      </w:r>
      <w:r w:rsidRPr="00EC18F1">
        <w:rPr>
          <w:rFonts w:ascii="Palatino Linotype" w:hAnsi="Palatino Linotype" w:cs="Tahoma"/>
          <w:bCs/>
          <w:iCs/>
        </w:rPr>
        <w:t xml:space="preserve">, se advierte que el </w:t>
      </w:r>
      <w:r w:rsidRPr="00EC18F1">
        <w:rPr>
          <w:rFonts w:ascii="Palatino Linotype" w:hAnsi="Palatino Linotype" w:cs="Tahoma"/>
          <w:b/>
          <w:bCs/>
          <w:iCs/>
        </w:rPr>
        <w:t>SUJETO OBLIGADO</w:t>
      </w:r>
      <w:r w:rsidRPr="00EC18F1">
        <w:rPr>
          <w:rFonts w:ascii="Palatino Linotype" w:hAnsi="Palatino Linotype" w:cs="Tahoma"/>
          <w:bCs/>
          <w:iCs/>
        </w:rPr>
        <w:t xml:space="preserve"> entregó un oficio de veintidós (22) de diciembre de dos mil veintidós, firmado por el Tesorero Honorífico, del </w:t>
      </w:r>
      <w:r w:rsidRPr="00EC18F1">
        <w:rPr>
          <w:rFonts w:ascii="Palatino Linotype" w:hAnsi="Palatino Linotype" w:cs="Tahoma"/>
          <w:bCs/>
          <w:iCs/>
        </w:rPr>
        <w:lastRenderedPageBreak/>
        <w:t>Sistema Municipal para el Desarrollo Integral de la Familia de Timilpan, a través del cual, manifestó lo siguiente:</w:t>
      </w:r>
    </w:p>
    <w:p w14:paraId="05066993" w14:textId="2958985B" w:rsidR="001E1963" w:rsidRPr="00EC18F1" w:rsidRDefault="001E1963" w:rsidP="001E1963">
      <w:pPr>
        <w:pStyle w:val="Prrafodelista"/>
        <w:tabs>
          <w:tab w:val="left" w:pos="426"/>
        </w:tabs>
        <w:spacing w:before="240" w:after="240" w:line="276" w:lineRule="auto"/>
        <w:ind w:left="567" w:right="567"/>
        <w:jc w:val="both"/>
        <w:rPr>
          <w:rFonts w:ascii="Palatino Linotype" w:hAnsi="Palatino Linotype" w:cs="Tahoma"/>
          <w:bCs/>
          <w:i/>
          <w:iCs/>
          <w:sz w:val="22"/>
        </w:rPr>
      </w:pPr>
      <w:r w:rsidRPr="00EC18F1">
        <w:rPr>
          <w:rFonts w:ascii="Palatino Linotype" w:hAnsi="Palatino Linotype" w:cs="Tahoma"/>
          <w:bCs/>
          <w:i/>
          <w:iCs/>
          <w:sz w:val="22"/>
        </w:rPr>
        <w:t>“</w:t>
      </w:r>
      <w:r w:rsidR="00006D92" w:rsidRPr="00EC18F1">
        <w:rPr>
          <w:rFonts w:ascii="Palatino Linotype" w:hAnsi="Palatino Linotype" w:cs="Tahoma"/>
          <w:bCs/>
          <w:i/>
          <w:iCs/>
          <w:sz w:val="22"/>
        </w:rPr>
        <w:t xml:space="preserve">(…) </w:t>
      </w:r>
      <w:r w:rsidR="00006D92" w:rsidRPr="00EC18F1">
        <w:rPr>
          <w:rFonts w:ascii="Palatino Linotype" w:hAnsi="Palatino Linotype" w:cs="Tahoma"/>
          <w:b/>
          <w:bCs/>
          <w:i/>
          <w:iCs/>
          <w:sz w:val="22"/>
        </w:rPr>
        <w:t>a la fecha en esta dependencia no existe procedimiento resarcitorio</w:t>
      </w:r>
      <w:r w:rsidR="00006D92" w:rsidRPr="00EC18F1">
        <w:rPr>
          <w:rFonts w:ascii="Palatino Linotype" w:hAnsi="Palatino Linotype" w:cs="Tahoma"/>
          <w:bCs/>
          <w:i/>
          <w:iCs/>
          <w:sz w:val="22"/>
        </w:rPr>
        <w:t>, fiscal, administrativo, penal, civil en contra de ningún ex servidor público.”</w:t>
      </w:r>
    </w:p>
    <w:p w14:paraId="46D9B0DA" w14:textId="49AC1A8C" w:rsidR="00006D92" w:rsidRPr="00EC18F1" w:rsidRDefault="00006D92" w:rsidP="001E1963">
      <w:pPr>
        <w:pStyle w:val="Prrafodelista"/>
        <w:tabs>
          <w:tab w:val="left" w:pos="426"/>
        </w:tabs>
        <w:spacing w:before="240" w:after="240" w:line="276" w:lineRule="auto"/>
        <w:ind w:left="567" w:right="567"/>
        <w:jc w:val="both"/>
        <w:rPr>
          <w:rFonts w:ascii="Palatino Linotype" w:hAnsi="Palatino Linotype" w:cs="Tahoma"/>
          <w:bCs/>
          <w:iCs/>
          <w:sz w:val="22"/>
        </w:rPr>
      </w:pPr>
      <w:r w:rsidRPr="00EC18F1">
        <w:rPr>
          <w:rFonts w:ascii="Palatino Linotype" w:hAnsi="Palatino Linotype" w:cs="Tahoma"/>
          <w:bCs/>
          <w:iCs/>
          <w:sz w:val="22"/>
        </w:rPr>
        <w:t>(Énfasis añadido)</w:t>
      </w:r>
    </w:p>
    <w:p w14:paraId="620CD3AA" w14:textId="77777777" w:rsidR="001E1963" w:rsidRPr="00EC18F1" w:rsidRDefault="001E1963" w:rsidP="001E1963">
      <w:pPr>
        <w:pStyle w:val="Prrafodelista"/>
        <w:tabs>
          <w:tab w:val="left" w:pos="426"/>
        </w:tabs>
        <w:spacing w:before="240" w:after="240" w:line="360" w:lineRule="auto"/>
        <w:ind w:left="0" w:right="51"/>
        <w:jc w:val="both"/>
        <w:rPr>
          <w:rFonts w:ascii="Palatino Linotype" w:hAnsi="Palatino Linotype" w:cs="Tahoma"/>
          <w:bCs/>
          <w:iCs/>
        </w:rPr>
      </w:pPr>
    </w:p>
    <w:p w14:paraId="417B8B88" w14:textId="622CDA10" w:rsidR="001E1963" w:rsidRPr="00EC18F1" w:rsidRDefault="00006D92" w:rsidP="005B331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Así las cosas, toda vez que la Tesorería refirió que no existían procedimientos resarcitorios, debe tenerse por colmado el requerimiento, ya que el área administrativa de mérito es la encargada de sustancia el procedimiento.</w:t>
      </w:r>
    </w:p>
    <w:p w14:paraId="52E816A3" w14:textId="77777777" w:rsidR="001E1963" w:rsidRPr="00EC18F1" w:rsidRDefault="001E1963" w:rsidP="001E1963">
      <w:pPr>
        <w:pStyle w:val="Prrafodelista"/>
        <w:tabs>
          <w:tab w:val="left" w:pos="426"/>
        </w:tabs>
        <w:spacing w:before="240" w:after="240" w:line="360" w:lineRule="auto"/>
        <w:ind w:left="0" w:right="51"/>
        <w:jc w:val="both"/>
        <w:rPr>
          <w:rFonts w:ascii="Palatino Linotype" w:hAnsi="Palatino Linotype" w:cs="Tahoma"/>
          <w:bCs/>
          <w:iCs/>
        </w:rPr>
      </w:pPr>
    </w:p>
    <w:p w14:paraId="30E52E7B" w14:textId="77777777" w:rsidR="001E1963" w:rsidRPr="00EC18F1" w:rsidRDefault="001E1963" w:rsidP="001E196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 xml:space="preserve">Por lo anterior, el </w:t>
      </w:r>
      <w:r w:rsidRPr="00EC18F1">
        <w:rPr>
          <w:rFonts w:ascii="Palatino Linotype" w:hAnsi="Palatino Linotype" w:cs="Tahoma"/>
          <w:b/>
          <w:iCs/>
        </w:rPr>
        <w:t>SUJETO OBLIGADO</w:t>
      </w:r>
      <w:r w:rsidRPr="00EC18F1">
        <w:rPr>
          <w:rFonts w:ascii="Palatino Linotype" w:hAnsi="Palatino Linotype" w:cs="Tahoma"/>
          <w:bCs/>
          <w:iCs/>
        </w:rPr>
        <w:t xml:space="preserve"> deberá realizar una búsqueda en sus archivos, donde no podrá omitir a su </w:t>
      </w:r>
      <w:r w:rsidRPr="00EC18F1">
        <w:rPr>
          <w:rFonts w:ascii="Palatino Linotype" w:hAnsi="Palatino Linotype" w:cs="Tahoma"/>
          <w:b/>
          <w:iCs/>
        </w:rPr>
        <w:t xml:space="preserve">Dirección Jurídica </w:t>
      </w:r>
      <w:r w:rsidRPr="00EC18F1">
        <w:rPr>
          <w:rFonts w:ascii="Palatino Linotype" w:hAnsi="Palatino Linotype" w:cs="Tahoma"/>
          <w:iCs/>
        </w:rPr>
        <w:t xml:space="preserve">(o equivalente) </w:t>
      </w:r>
      <w:r w:rsidRPr="00EC18F1">
        <w:rPr>
          <w:rFonts w:ascii="Palatino Linotype" w:hAnsi="Palatino Linotype" w:cs="Tahoma"/>
          <w:bCs/>
          <w:iCs/>
        </w:rPr>
        <w:t xml:space="preserve">y </w:t>
      </w:r>
      <w:r w:rsidRPr="00EC18F1">
        <w:rPr>
          <w:rFonts w:ascii="Palatino Linotype" w:hAnsi="Palatino Linotype" w:cs="Tahoma"/>
          <w:b/>
          <w:iCs/>
        </w:rPr>
        <w:t>Órgano Interno de Control</w:t>
      </w:r>
      <w:r w:rsidRPr="00EC18F1">
        <w:rPr>
          <w:rFonts w:ascii="Palatino Linotype" w:hAnsi="Palatino Linotype" w:cs="Tahoma"/>
          <w:bCs/>
          <w:iCs/>
        </w:rPr>
        <w:t xml:space="preserve">, a fin de entregar la información referente al </w:t>
      </w:r>
      <w:r w:rsidRPr="00EC18F1">
        <w:rPr>
          <w:rFonts w:ascii="Palatino Linotype" w:hAnsi="Palatino Linotype" w:cs="Tahoma"/>
          <w:b/>
          <w:bCs/>
          <w:iCs/>
        </w:rPr>
        <w:t>status de los procedimientos fiscales, administrativos, penales o civiles promovidos en contra de ex servidores públicos</w:t>
      </w:r>
      <w:r w:rsidRPr="00EC18F1">
        <w:rPr>
          <w:rFonts w:ascii="Palatino Linotype" w:hAnsi="Palatino Linotype" w:cs="Tahoma"/>
          <w:bCs/>
          <w:iCs/>
        </w:rPr>
        <w:t>, desde el uno (01) de enero de dos mil diecinueve al quince (15) de noviembre de dos mil veintidós, en versión pública de ser procedente.</w:t>
      </w:r>
    </w:p>
    <w:p w14:paraId="2CB9480D" w14:textId="77777777" w:rsidR="001E1963" w:rsidRPr="00EC18F1" w:rsidRDefault="001E1963" w:rsidP="001E1963">
      <w:pPr>
        <w:pStyle w:val="Prrafodelista"/>
        <w:tabs>
          <w:tab w:val="left" w:pos="426"/>
        </w:tabs>
        <w:spacing w:before="240" w:after="240" w:line="360" w:lineRule="auto"/>
        <w:ind w:left="0" w:right="51"/>
        <w:jc w:val="both"/>
        <w:rPr>
          <w:rFonts w:ascii="Palatino Linotype" w:hAnsi="Palatino Linotype" w:cs="Tahoma"/>
          <w:bCs/>
          <w:iCs/>
        </w:rPr>
      </w:pPr>
    </w:p>
    <w:p w14:paraId="7F0289D1" w14:textId="2D521850" w:rsidR="00D6238E" w:rsidRPr="00EC18F1" w:rsidRDefault="001E1963" w:rsidP="005B331D">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P</w:t>
      </w:r>
      <w:r w:rsidR="005E23CD" w:rsidRPr="00EC18F1">
        <w:rPr>
          <w:rFonts w:ascii="Palatino Linotype" w:hAnsi="Palatino Linotype" w:cs="Tahoma"/>
          <w:bCs/>
          <w:iCs/>
        </w:rPr>
        <w:t xml:space="preserve">or otro lado, para el caso de que el </w:t>
      </w:r>
      <w:r w:rsidR="005E23CD" w:rsidRPr="00EC18F1">
        <w:rPr>
          <w:rFonts w:ascii="Palatino Linotype" w:hAnsi="Palatino Linotype" w:cs="Tahoma"/>
          <w:b/>
          <w:bCs/>
          <w:iCs/>
        </w:rPr>
        <w:t>SUJETO OBLIGADO</w:t>
      </w:r>
      <w:r w:rsidR="005E23CD" w:rsidRPr="00EC18F1">
        <w:rPr>
          <w:rFonts w:ascii="Palatino Linotype" w:hAnsi="Palatino Linotype" w:cs="Tahoma"/>
          <w:bCs/>
          <w:iCs/>
        </w:rPr>
        <w:t xml:space="preserve"> concluya que no se sustanció ningún procedimiento en contra de ex servidores públicos durante el periodo solicitado, lo deberá hacer del conocimiento del </w:t>
      </w:r>
      <w:r w:rsidR="005E23CD" w:rsidRPr="00EC18F1">
        <w:rPr>
          <w:rFonts w:ascii="Palatino Linotype" w:hAnsi="Palatino Linotype" w:cs="Tahoma"/>
          <w:b/>
          <w:bCs/>
          <w:iCs/>
        </w:rPr>
        <w:t>RECURRENTE</w:t>
      </w:r>
      <w:r w:rsidR="005E23CD" w:rsidRPr="00EC18F1">
        <w:rPr>
          <w:rFonts w:ascii="Palatino Linotype" w:hAnsi="Palatino Linotype" w:cs="Tahoma"/>
          <w:bCs/>
          <w:iCs/>
        </w:rPr>
        <w:t>.</w:t>
      </w:r>
    </w:p>
    <w:p w14:paraId="7FBEAFFA" w14:textId="77777777" w:rsidR="005B331D" w:rsidRPr="00EC18F1" w:rsidRDefault="005B331D" w:rsidP="005B331D">
      <w:pPr>
        <w:pStyle w:val="Prrafodelista"/>
        <w:tabs>
          <w:tab w:val="left" w:pos="426"/>
        </w:tabs>
        <w:spacing w:before="240" w:after="240" w:line="360" w:lineRule="auto"/>
        <w:ind w:left="0" w:right="51"/>
        <w:jc w:val="both"/>
        <w:rPr>
          <w:rFonts w:ascii="Palatino Linotype" w:hAnsi="Palatino Linotype" w:cs="Tahoma"/>
          <w:bCs/>
          <w:iCs/>
        </w:rPr>
      </w:pPr>
    </w:p>
    <w:p w14:paraId="1EE33AC2" w14:textId="006AB381" w:rsidR="005B331D" w:rsidRPr="00EC18F1" w:rsidRDefault="005B331D" w:rsidP="005B331D">
      <w:pPr>
        <w:pStyle w:val="Prrafodelista"/>
        <w:tabs>
          <w:tab w:val="left" w:pos="426"/>
        </w:tabs>
        <w:spacing w:before="240" w:after="240" w:line="360" w:lineRule="auto"/>
        <w:ind w:left="0" w:right="51"/>
        <w:jc w:val="both"/>
        <w:outlineLvl w:val="1"/>
        <w:rPr>
          <w:rFonts w:ascii="Palatino Linotype" w:hAnsi="Palatino Linotype" w:cs="Tahoma"/>
          <w:b/>
          <w:iCs/>
        </w:rPr>
      </w:pPr>
      <w:r w:rsidRPr="00EC18F1">
        <w:rPr>
          <w:rFonts w:ascii="Palatino Linotype" w:hAnsi="Palatino Linotype" w:cs="Tahoma"/>
          <w:b/>
          <w:iCs/>
        </w:rPr>
        <w:t>QUINTO. De la versión pública.</w:t>
      </w:r>
    </w:p>
    <w:p w14:paraId="4E408660" w14:textId="77777777" w:rsidR="00B24071" w:rsidRPr="00EC18F1" w:rsidRDefault="00722D3A"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cs="Tahoma"/>
          <w:bCs/>
          <w:iCs/>
        </w:rPr>
        <w:t xml:space="preserve">Debe </w:t>
      </w:r>
      <w:r w:rsidR="00B24071" w:rsidRPr="00EC18F1">
        <w:rPr>
          <w:rFonts w:ascii="Palatino Linotype" w:hAnsi="Palatino Linotype"/>
        </w:rPr>
        <w:t>destacarse que, debido a la naturaleza de la información solicitada</w:t>
      </w:r>
      <w:r w:rsidR="00B24071" w:rsidRPr="00EC18F1">
        <w:rPr>
          <w:rFonts w:ascii="Palatino Linotype" w:hAnsi="Palatino Linotype"/>
          <w:b/>
        </w:rPr>
        <w:t xml:space="preserve"> </w:t>
      </w:r>
      <w:r w:rsidR="00B24071" w:rsidRPr="00EC18F1">
        <w:rPr>
          <w:rFonts w:ascii="Palatino Linotype" w:hAnsi="Palatino Linotype"/>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r w:rsidR="00B24071" w:rsidRPr="00EC18F1">
        <w:rPr>
          <w:rFonts w:ascii="Palatino Linotype" w:hAnsi="Palatino Linotype"/>
        </w:rPr>
        <w:lastRenderedPageBreak/>
        <w:t>personales aun tratándose de servidores públicos y en su caso generar la versión pública de los documentos por las consideraciones que se estimen pertinentes.</w:t>
      </w:r>
    </w:p>
    <w:p w14:paraId="1C6FEEC3"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0D27792C" w14:textId="77777777" w:rsidR="00B24071" w:rsidRPr="00EC18F1" w:rsidRDefault="00B24071" w:rsidP="00B240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lang w:val="es-ES_tradnl"/>
        </w:rPr>
        <w:t xml:space="preserve">La </w:t>
      </w:r>
      <w:r w:rsidRPr="00EC18F1">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E6047A7" w14:textId="77777777" w:rsidR="00B24071" w:rsidRPr="00EC18F1" w:rsidRDefault="00B24071" w:rsidP="00B24071">
      <w:pPr>
        <w:pStyle w:val="Prrafodelista"/>
        <w:tabs>
          <w:tab w:val="left" w:pos="426"/>
        </w:tabs>
        <w:spacing w:before="240" w:after="240" w:line="360" w:lineRule="auto"/>
        <w:ind w:left="0" w:right="51"/>
        <w:jc w:val="both"/>
        <w:rPr>
          <w:rFonts w:ascii="Palatino Linotype" w:hAnsi="Palatino Linotype"/>
          <w:color w:val="000000" w:themeColor="text1"/>
        </w:rPr>
      </w:pPr>
    </w:p>
    <w:p w14:paraId="0EA9B421"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color w:val="000000" w:themeColor="text1"/>
        </w:rPr>
        <w:t xml:space="preserve">El </w:t>
      </w:r>
      <w:r w:rsidRPr="00EC18F1">
        <w:rPr>
          <w:rFonts w:ascii="Palatino Linotype"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F6FFD07"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264AC15F" w14:textId="77777777" w:rsidR="00B24071" w:rsidRPr="00EC18F1" w:rsidRDefault="00B24071" w:rsidP="00B24071">
      <w:pPr>
        <w:pStyle w:val="Prrafodelista"/>
        <w:tabs>
          <w:tab w:val="left" w:pos="426"/>
        </w:tabs>
        <w:spacing w:line="360" w:lineRule="auto"/>
        <w:ind w:left="0"/>
        <w:jc w:val="both"/>
        <w:outlineLvl w:val="2"/>
        <w:rPr>
          <w:rFonts w:ascii="Palatino Linotype" w:hAnsi="Palatino Linotype"/>
          <w:b/>
        </w:rPr>
      </w:pPr>
      <w:bookmarkStart w:id="23" w:name="_Toc92875116"/>
      <w:r w:rsidRPr="00EC18F1">
        <w:rPr>
          <w:rFonts w:ascii="Palatino Linotype" w:hAnsi="Palatino Linotype"/>
          <w:b/>
        </w:rPr>
        <w:t>I. Requisitos previos.</w:t>
      </w:r>
      <w:bookmarkEnd w:id="23"/>
    </w:p>
    <w:p w14:paraId="385B6144"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Los </w:t>
      </w:r>
      <w:r w:rsidRPr="00EC18F1">
        <w:rPr>
          <w:rFonts w:ascii="Palatino Linotype" w:hAnsi="Palatino Linotype"/>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w:t>
      </w:r>
      <w:r w:rsidRPr="00EC18F1">
        <w:rPr>
          <w:rFonts w:ascii="Palatino Linotype" w:hAnsi="Palatino Linotype"/>
        </w:rPr>
        <w:lastRenderedPageBreak/>
        <w:t>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4AF4299"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729AB9B3"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Además, </w:t>
      </w:r>
      <w:r w:rsidRPr="00EC18F1">
        <w:rPr>
          <w:rFonts w:ascii="Palatino Linotype" w:hAnsi="Palatino Linotype"/>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4D30B3A"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1F628C02" w14:textId="66C13836"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El </w:t>
      </w:r>
      <w:r w:rsidRPr="00EC18F1">
        <w:rPr>
          <w:rFonts w:ascii="Palatino Linotype" w:hAnsi="Palatino Linotype"/>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w:t>
      </w:r>
      <w:r w:rsidR="00D041AD" w:rsidRPr="00EC18F1">
        <w:rPr>
          <w:rFonts w:ascii="Palatino Linotype" w:hAnsi="Palatino Linotype"/>
        </w:rPr>
        <w:t>10</w:t>
      </w:r>
      <w:r w:rsidRPr="00EC18F1">
        <w:rPr>
          <w:rFonts w:ascii="Palatino Linotype" w:hAnsi="Palatino Linotype"/>
        </w:rPr>
        <w:t xml:space="preserve"> datos, por ejemplo, susceptibles de ser clasificados.</w:t>
      </w:r>
    </w:p>
    <w:p w14:paraId="22A1FDB3"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3B8E6EC1" w14:textId="77777777" w:rsidR="00B24071" w:rsidRPr="00EC18F1" w:rsidRDefault="00B24071" w:rsidP="00B24071">
      <w:pPr>
        <w:pStyle w:val="Prrafodelista"/>
        <w:tabs>
          <w:tab w:val="left" w:pos="426"/>
        </w:tabs>
        <w:spacing w:line="360" w:lineRule="auto"/>
        <w:ind w:left="0"/>
        <w:jc w:val="both"/>
        <w:outlineLvl w:val="2"/>
        <w:rPr>
          <w:rFonts w:ascii="Palatino Linotype" w:hAnsi="Palatino Linotype"/>
          <w:b/>
        </w:rPr>
      </w:pPr>
      <w:bookmarkStart w:id="24" w:name="_Toc92875117"/>
      <w:r w:rsidRPr="00EC18F1">
        <w:rPr>
          <w:rFonts w:ascii="Palatino Linotype" w:hAnsi="Palatino Linotype"/>
          <w:b/>
        </w:rPr>
        <w:t>II. Supuestos de clasificación.</w:t>
      </w:r>
      <w:bookmarkEnd w:id="24"/>
    </w:p>
    <w:p w14:paraId="287B3341"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Las </w:t>
      </w:r>
      <w:r w:rsidRPr="00EC18F1">
        <w:rPr>
          <w:rFonts w:ascii="Palatino Linotype" w:hAnsi="Palatino Linotype"/>
        </w:rPr>
        <w:t>disposiciones constitucionales y legales en la materia establecen los dos supuestos generales para clasificar la información: por reserva y por confidencialidad.</w:t>
      </w:r>
    </w:p>
    <w:p w14:paraId="196A0F18"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14D1D454"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Los </w:t>
      </w:r>
      <w:r w:rsidRPr="00EC18F1">
        <w:rPr>
          <w:rFonts w:ascii="Palatino Linotype" w:hAnsi="Palatino Linotype"/>
        </w:rPr>
        <w:t>artículos 143 y 116 de la Ley Estatal y de la Ley General, respectivamente, señalan los supuestos para que la información pueda ser clasificada como confidencial:</w:t>
      </w:r>
    </w:p>
    <w:p w14:paraId="228A3A4D" w14:textId="77777777" w:rsidR="00B24071" w:rsidRPr="00EC18F1" w:rsidRDefault="00B24071" w:rsidP="00B240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EC18F1">
        <w:rPr>
          <w:rFonts w:ascii="Palatino Linotype" w:hAnsi="Palatino Linotype" w:cs="Bookman Old Style"/>
          <w:bCs/>
          <w:i/>
          <w:color w:val="000000"/>
          <w:sz w:val="22"/>
        </w:rPr>
        <w:lastRenderedPageBreak/>
        <w:t>“</w:t>
      </w:r>
      <w:r w:rsidRPr="00EC18F1">
        <w:rPr>
          <w:rFonts w:ascii="Palatino Linotype" w:hAnsi="Palatino Linotype" w:cs="Bookman Old Style"/>
          <w:b/>
          <w:bCs/>
          <w:i/>
          <w:color w:val="000000"/>
          <w:sz w:val="22"/>
        </w:rPr>
        <w:t>I.</w:t>
      </w:r>
      <w:r w:rsidRPr="00EC18F1">
        <w:rPr>
          <w:rFonts w:ascii="Palatino Linotype" w:hAnsi="Palatino Linotype" w:cs="Bookman Old Style"/>
          <w:bCs/>
          <w:i/>
          <w:color w:val="000000"/>
          <w:sz w:val="22"/>
        </w:rPr>
        <w:t xml:space="preserve"> </w:t>
      </w:r>
      <w:r w:rsidRPr="00EC18F1">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2BEB60C2" w14:textId="77777777" w:rsidR="00B24071" w:rsidRPr="00EC18F1" w:rsidRDefault="00B24071" w:rsidP="00B240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EC18F1">
        <w:rPr>
          <w:rFonts w:ascii="Palatino Linotype" w:hAnsi="Palatino Linotype" w:cs="Bookman Old Style"/>
          <w:b/>
          <w:bCs/>
          <w:i/>
          <w:color w:val="000000"/>
          <w:sz w:val="22"/>
        </w:rPr>
        <w:t>II.</w:t>
      </w:r>
      <w:r w:rsidRPr="00EC18F1">
        <w:rPr>
          <w:rFonts w:ascii="Palatino Linotype" w:hAnsi="Palatino Linotype" w:cs="Bookman Old Style"/>
          <w:bCs/>
          <w:i/>
          <w:color w:val="000000"/>
          <w:sz w:val="22"/>
        </w:rPr>
        <w:t xml:space="preserve"> </w:t>
      </w:r>
      <w:r w:rsidRPr="00EC18F1">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FEBC292" w14:textId="77777777" w:rsidR="00B24071" w:rsidRPr="00EC18F1" w:rsidRDefault="00B24071" w:rsidP="00B240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EC18F1">
        <w:rPr>
          <w:rFonts w:ascii="Palatino Linotype" w:hAnsi="Palatino Linotype" w:cs="Bookman Old Style"/>
          <w:b/>
          <w:bCs/>
          <w:i/>
          <w:color w:val="000000"/>
          <w:sz w:val="22"/>
        </w:rPr>
        <w:t>III.</w:t>
      </w:r>
      <w:r w:rsidRPr="00EC18F1">
        <w:rPr>
          <w:rFonts w:ascii="Palatino Linotype" w:hAnsi="Palatino Linotype" w:cs="Bookman Old Style"/>
          <w:bCs/>
          <w:i/>
          <w:color w:val="000000"/>
          <w:sz w:val="22"/>
        </w:rPr>
        <w:t xml:space="preserve"> </w:t>
      </w:r>
      <w:r w:rsidRPr="00EC18F1">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129461EA" w14:textId="77777777" w:rsidR="00B24071" w:rsidRPr="00EC18F1" w:rsidRDefault="00B24071" w:rsidP="00B240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EC18F1">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617CFFAF" w14:textId="77777777" w:rsidR="00B24071" w:rsidRPr="00EC18F1" w:rsidRDefault="00B24071" w:rsidP="00B24071">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rPr>
      </w:pPr>
      <w:r w:rsidRPr="00EC18F1">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1369C6D3" w14:textId="77777777" w:rsidR="00B24071" w:rsidRPr="00EC18F1" w:rsidRDefault="00B24071" w:rsidP="00B24071">
      <w:pPr>
        <w:pStyle w:val="Prrafodelista"/>
        <w:tabs>
          <w:tab w:val="left" w:pos="426"/>
        </w:tabs>
        <w:spacing w:line="360" w:lineRule="auto"/>
        <w:ind w:left="0"/>
        <w:jc w:val="both"/>
        <w:rPr>
          <w:rFonts w:ascii="Palatino Linotype" w:hAnsi="Palatino Linotype"/>
          <w:sz w:val="22"/>
        </w:rPr>
      </w:pPr>
    </w:p>
    <w:p w14:paraId="5BFD55DB"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Mientras </w:t>
      </w:r>
      <w:r w:rsidRPr="00EC18F1">
        <w:rPr>
          <w:rFonts w:ascii="Palatino Linotype" w:hAnsi="Palatino Linotype"/>
        </w:rPr>
        <w:t>que los artículos 140 y 113 respectivamente, establecen los supuestos que podrán actualizar la necesidad de reservar información:</w:t>
      </w:r>
    </w:p>
    <w:p w14:paraId="71673813"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i/>
          <w:sz w:val="22"/>
        </w:rPr>
        <w:t>“</w:t>
      </w:r>
      <w:r w:rsidRPr="00EC18F1">
        <w:rPr>
          <w:rFonts w:ascii="Palatino Linotype" w:hAnsi="Palatino Linotype"/>
          <w:b/>
          <w:i/>
          <w:sz w:val="22"/>
        </w:rPr>
        <w:t>Artículo 140.</w:t>
      </w:r>
      <w:r w:rsidRPr="00EC18F1">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1FDF1F0D"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I.</w:t>
      </w:r>
      <w:r w:rsidRPr="00EC18F1">
        <w:rPr>
          <w:rFonts w:ascii="Palatino Linotype" w:hAnsi="Palatino Linotype"/>
          <w:i/>
          <w:sz w:val="22"/>
        </w:rPr>
        <w:t xml:space="preserve"> Comprometa la seguridad pública y cuente con un propósito genuino y un efecto demostrable; </w:t>
      </w:r>
    </w:p>
    <w:p w14:paraId="4DB6E9CC"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II.</w:t>
      </w:r>
      <w:r w:rsidRPr="00EC18F1">
        <w:rPr>
          <w:rFonts w:ascii="Palatino Linotype" w:hAnsi="Palatino Linotype"/>
          <w:i/>
          <w:sz w:val="22"/>
        </w:rPr>
        <w:t xml:space="preserve"> Pueda menoscabar la conducción de las negociaciones y relaciones internacionales; </w:t>
      </w:r>
    </w:p>
    <w:p w14:paraId="7D341A29"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III.</w:t>
      </w:r>
      <w:r w:rsidRPr="00EC18F1">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2DC9C0B"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IV.</w:t>
      </w:r>
      <w:r w:rsidRPr="00EC18F1">
        <w:rPr>
          <w:rFonts w:ascii="Palatino Linotype" w:hAnsi="Palatino Linotype"/>
          <w:i/>
          <w:sz w:val="22"/>
        </w:rPr>
        <w:t xml:space="preserve"> Ponga en riesgo la vida, la seguridad o la salud de una persona física; </w:t>
      </w:r>
    </w:p>
    <w:p w14:paraId="745B234A"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V.</w:t>
      </w:r>
      <w:r w:rsidRPr="00EC18F1">
        <w:rPr>
          <w:rFonts w:ascii="Palatino Linotype" w:hAnsi="Palatino Linotype"/>
          <w:i/>
          <w:sz w:val="22"/>
        </w:rPr>
        <w:t xml:space="preserve"> Aquella cuya divulgación obstruya o pueda causar un serio perjuicio a: </w:t>
      </w:r>
    </w:p>
    <w:p w14:paraId="6765D128" w14:textId="77777777" w:rsidR="00B24071" w:rsidRPr="00EC18F1" w:rsidRDefault="00B24071" w:rsidP="00B24071">
      <w:pPr>
        <w:pStyle w:val="Prrafodelista"/>
        <w:tabs>
          <w:tab w:val="left" w:pos="426"/>
        </w:tabs>
        <w:spacing w:before="240" w:after="240" w:line="276" w:lineRule="auto"/>
        <w:ind w:left="851" w:right="567"/>
        <w:jc w:val="both"/>
        <w:rPr>
          <w:rFonts w:ascii="Palatino Linotype" w:hAnsi="Palatino Linotype"/>
          <w:i/>
          <w:sz w:val="22"/>
        </w:rPr>
      </w:pPr>
      <w:r w:rsidRPr="00EC18F1">
        <w:rPr>
          <w:rFonts w:ascii="Palatino Linotype" w:hAnsi="Palatino Linotype"/>
          <w:b/>
          <w:i/>
          <w:sz w:val="22"/>
        </w:rPr>
        <w:t>1.</w:t>
      </w:r>
      <w:r w:rsidRPr="00EC18F1">
        <w:rPr>
          <w:rFonts w:ascii="Palatino Linotype" w:hAnsi="Palatino Linotype"/>
          <w:i/>
          <w:sz w:val="22"/>
        </w:rPr>
        <w:t xml:space="preserve"> Las actividades de fiscalización, verificación, inspección, comprobación y auditoría sobre el cumplimiento de las Leyes; o </w:t>
      </w:r>
    </w:p>
    <w:p w14:paraId="4815CE5D" w14:textId="77777777" w:rsidR="00B24071" w:rsidRPr="00EC18F1" w:rsidRDefault="00B24071" w:rsidP="00B24071">
      <w:pPr>
        <w:pStyle w:val="Prrafodelista"/>
        <w:tabs>
          <w:tab w:val="left" w:pos="426"/>
        </w:tabs>
        <w:spacing w:before="240" w:after="240" w:line="276" w:lineRule="auto"/>
        <w:ind w:left="851" w:right="567"/>
        <w:jc w:val="both"/>
        <w:rPr>
          <w:rFonts w:ascii="Palatino Linotype" w:hAnsi="Palatino Linotype"/>
          <w:i/>
          <w:sz w:val="22"/>
        </w:rPr>
      </w:pPr>
      <w:r w:rsidRPr="00EC18F1">
        <w:rPr>
          <w:rFonts w:ascii="Palatino Linotype" w:hAnsi="Palatino Linotype"/>
          <w:b/>
          <w:i/>
          <w:sz w:val="22"/>
        </w:rPr>
        <w:t>2.</w:t>
      </w:r>
      <w:r w:rsidRPr="00EC18F1">
        <w:rPr>
          <w:rFonts w:ascii="Palatino Linotype" w:hAnsi="Palatino Linotype"/>
          <w:i/>
          <w:sz w:val="22"/>
        </w:rPr>
        <w:t xml:space="preserve"> La recaudación de las contribuciones. </w:t>
      </w:r>
    </w:p>
    <w:p w14:paraId="079A8FAB"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VI.</w:t>
      </w:r>
      <w:r w:rsidRPr="00EC18F1">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F864A58"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lastRenderedPageBreak/>
        <w:t>VII.</w:t>
      </w:r>
      <w:r w:rsidRPr="00EC18F1">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6DDEE6C9"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VIII.</w:t>
      </w:r>
      <w:r w:rsidRPr="00EC18F1">
        <w:rPr>
          <w:rFonts w:ascii="Palatino Linotype" w:hAnsi="Palatino Linotype"/>
          <w:i/>
          <w:sz w:val="22"/>
        </w:rPr>
        <w:t xml:space="preserve"> Vulnere la conducción de los expedientes judiciales o de los procedimientos administrativos seguidos en forma de juicio, en tanto no hayan quedado firmes;</w:t>
      </w:r>
    </w:p>
    <w:p w14:paraId="1B489E8A"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IX.</w:t>
      </w:r>
      <w:r w:rsidRPr="00EC18F1">
        <w:rPr>
          <w:rFonts w:ascii="Palatino Linotype" w:hAnsi="Palatino Linotype"/>
          <w:i/>
          <w:sz w:val="22"/>
        </w:rPr>
        <w:t xml:space="preserve"> Se encuentre contenida dentro de las investigaciones de hechos que la Ley señale como delitos y se tramiten ante el Ministerio Público; </w:t>
      </w:r>
    </w:p>
    <w:p w14:paraId="4BF6CECD"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sz w:val="22"/>
        </w:rPr>
      </w:pPr>
      <w:r w:rsidRPr="00EC18F1">
        <w:rPr>
          <w:rFonts w:ascii="Palatino Linotype" w:hAnsi="Palatino Linotype"/>
          <w:b/>
          <w:i/>
          <w:sz w:val="22"/>
        </w:rPr>
        <w:t>X.</w:t>
      </w:r>
      <w:r w:rsidRPr="00EC18F1">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66870ED" w14:textId="77777777" w:rsidR="00B24071" w:rsidRPr="00EC18F1" w:rsidRDefault="00B24071" w:rsidP="00B2407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EC18F1">
        <w:rPr>
          <w:rFonts w:ascii="Palatino Linotype" w:hAnsi="Palatino Linotype"/>
          <w:b/>
          <w:i/>
          <w:sz w:val="22"/>
        </w:rPr>
        <w:t>XI.</w:t>
      </w:r>
      <w:r w:rsidRPr="00EC18F1">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FC127DC"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3023151D"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Por </w:t>
      </w:r>
      <w:r w:rsidRPr="00EC18F1">
        <w:rPr>
          <w:rFonts w:ascii="Palatino Linotype" w:hAnsi="Palatino Linotype"/>
        </w:rPr>
        <w:t>su parte, los numerales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EDCC7B"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59CA6772"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Como </w:t>
      </w:r>
      <w:r w:rsidRPr="00EC18F1">
        <w:rPr>
          <w:rFonts w:ascii="Palatino Linotype" w:hAnsi="Palatino Linotype"/>
        </w:rPr>
        <w:t xml:space="preserve">consecuencia de lo anterior, el </w:t>
      </w:r>
      <w:r w:rsidRPr="00EC18F1">
        <w:rPr>
          <w:rFonts w:ascii="Palatino Linotype" w:hAnsi="Palatino Linotype"/>
          <w:b/>
          <w:bCs/>
        </w:rPr>
        <w:t>SUJETO OBLIGADO</w:t>
      </w:r>
      <w:r w:rsidRPr="00EC18F1">
        <w:rPr>
          <w:rFonts w:ascii="Palatino Linotype" w:hAnsi="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44EF554F"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2CA889D2"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lastRenderedPageBreak/>
        <w:t xml:space="preserve">Al </w:t>
      </w:r>
      <w:r w:rsidRPr="00EC18F1">
        <w:rPr>
          <w:rFonts w:ascii="Palatino Linotype"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4343197D"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w:t>
      </w:r>
      <w:r w:rsidRPr="00EC18F1">
        <w:rPr>
          <w:rFonts w:ascii="Palatino Linotype" w:hAnsi="Palatino Linotype" w:cs="Arial"/>
          <w:b/>
          <w:i/>
        </w:rPr>
        <w:t>Quincuagésimo.</w:t>
      </w:r>
      <w:r w:rsidRPr="00EC18F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0359E6A"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p>
    <w:p w14:paraId="240AFF5B"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b/>
          <w:i/>
        </w:rPr>
        <w:t>Quincuagésimo primero.</w:t>
      </w:r>
      <w:r w:rsidRPr="00EC18F1">
        <w:rPr>
          <w:rFonts w:ascii="Palatino Linotype" w:hAnsi="Palatino Linotype" w:cs="Arial"/>
          <w:i/>
        </w:rPr>
        <w:t xml:space="preserve"> La leyenda en los documentos clasificados indicará:</w:t>
      </w:r>
    </w:p>
    <w:p w14:paraId="54F31E66"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I. La fecha de sesión del Comité de Transparencia en donde se confirmó la clasificación, en su caso;</w:t>
      </w:r>
    </w:p>
    <w:p w14:paraId="0DE21D34"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II. El nombre del área;</w:t>
      </w:r>
    </w:p>
    <w:p w14:paraId="368707D1"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III. La palabra reservado o confidencial;</w:t>
      </w:r>
    </w:p>
    <w:p w14:paraId="7543B20B"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IV. Las partes o secciones reservadas o confidenciales, en su caso;</w:t>
      </w:r>
    </w:p>
    <w:p w14:paraId="41123706"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V. El fundamento legal;</w:t>
      </w:r>
    </w:p>
    <w:p w14:paraId="72D5B1BA"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VI. El periodo de reserva, y</w:t>
      </w:r>
    </w:p>
    <w:p w14:paraId="0B101087"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VII. La rúbrica del titular del área.</w:t>
      </w:r>
    </w:p>
    <w:p w14:paraId="0256CA83"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p>
    <w:p w14:paraId="56A3B14C"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b/>
          <w:i/>
        </w:rPr>
        <w:t>Quincuagésimo segundo.</w:t>
      </w:r>
      <w:r w:rsidRPr="00EC18F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60D582CE"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A0813A4"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p>
    <w:p w14:paraId="22E66F9E" w14:textId="77777777" w:rsidR="00B24071" w:rsidRPr="00EC18F1" w:rsidRDefault="00B24071" w:rsidP="00B24071">
      <w:pPr>
        <w:pStyle w:val="Prrafodelista"/>
        <w:tabs>
          <w:tab w:val="left" w:pos="142"/>
          <w:tab w:val="left" w:pos="284"/>
          <w:tab w:val="left" w:pos="426"/>
        </w:tabs>
        <w:spacing w:line="276" w:lineRule="auto"/>
        <w:ind w:left="567" w:right="567"/>
        <w:jc w:val="both"/>
        <w:rPr>
          <w:rFonts w:ascii="Palatino Linotype" w:hAnsi="Palatino Linotype" w:cs="Arial"/>
          <w:i/>
        </w:rPr>
      </w:pPr>
      <w:r w:rsidRPr="00EC18F1">
        <w:rPr>
          <w:rFonts w:ascii="Palatino Linotype" w:hAnsi="Palatino Linotype" w:cs="Arial"/>
          <w:b/>
          <w:i/>
        </w:rPr>
        <w:t>Quincuagésimo tercero.</w:t>
      </w:r>
      <w:r w:rsidRPr="00EC18F1">
        <w:rPr>
          <w:rFonts w:ascii="Palatino Linotype" w:hAnsi="Palatino Linotype" w:cs="Arial"/>
          <w:i/>
        </w:rPr>
        <w:t xml:space="preserve"> El formato para señalar la clasificación parcial de un documento, es el siguiente:</w:t>
      </w:r>
    </w:p>
    <w:p w14:paraId="386DE280" w14:textId="77777777" w:rsidR="003A0145" w:rsidRPr="00EC18F1" w:rsidRDefault="003A0145" w:rsidP="00B24071">
      <w:pPr>
        <w:pStyle w:val="Prrafodelista"/>
        <w:tabs>
          <w:tab w:val="left" w:pos="142"/>
          <w:tab w:val="left" w:pos="284"/>
          <w:tab w:val="left" w:pos="426"/>
        </w:tabs>
        <w:spacing w:line="276" w:lineRule="auto"/>
        <w:ind w:left="567" w:right="567"/>
        <w:jc w:val="both"/>
        <w:rPr>
          <w:rFonts w:ascii="Palatino Linotype" w:hAnsi="Palatino Linotype" w:cs="Arial"/>
          <w:i/>
        </w:rPr>
      </w:pPr>
    </w:p>
    <w:p w14:paraId="7D54CFBE" w14:textId="77777777" w:rsidR="00B24071" w:rsidRPr="00EC18F1" w:rsidRDefault="00B24071" w:rsidP="00B24071">
      <w:pPr>
        <w:pStyle w:val="Prrafodelista"/>
        <w:tabs>
          <w:tab w:val="left" w:pos="142"/>
          <w:tab w:val="left" w:pos="284"/>
          <w:tab w:val="left" w:pos="426"/>
        </w:tabs>
        <w:spacing w:line="276" w:lineRule="auto"/>
        <w:ind w:left="567" w:right="567"/>
        <w:jc w:val="center"/>
        <w:rPr>
          <w:rFonts w:ascii="Palatino Linotype" w:hAnsi="Palatino Linotype" w:cs="Arial"/>
          <w:i/>
        </w:rPr>
      </w:pPr>
      <w:r w:rsidRPr="00EC18F1">
        <w:rPr>
          <w:rFonts w:ascii="Palatino Linotype" w:hAnsi="Palatino Linotype" w:cs="Arial"/>
          <w:i/>
          <w:noProof/>
          <w:lang w:eastAsia="es-MX"/>
        </w:rPr>
        <w:lastRenderedPageBreak/>
        <w:drawing>
          <wp:inline distT="0" distB="0" distL="0" distR="0" wp14:anchorId="45828C18" wp14:editId="7D8F6336">
            <wp:extent cx="3566011" cy="2927050"/>
            <wp:effectExtent l="57150" t="57150" r="111125" b="1212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7132" cy="29608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B2B9F0" w14:textId="77777777" w:rsidR="00B24071" w:rsidRPr="00EC18F1" w:rsidRDefault="00B24071" w:rsidP="00B24071">
      <w:pPr>
        <w:pStyle w:val="Prrafodelista"/>
        <w:tabs>
          <w:tab w:val="left" w:pos="426"/>
        </w:tabs>
        <w:spacing w:line="360" w:lineRule="auto"/>
        <w:ind w:left="0"/>
        <w:jc w:val="both"/>
        <w:rPr>
          <w:rFonts w:ascii="Palatino Linotype" w:hAnsi="Palatino Linotype"/>
        </w:rPr>
      </w:pPr>
    </w:p>
    <w:p w14:paraId="1894073A" w14:textId="77777777" w:rsidR="00B24071" w:rsidRPr="00EC18F1" w:rsidRDefault="00B24071" w:rsidP="00B24071">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Una </w:t>
      </w:r>
      <w:r w:rsidRPr="00EC18F1">
        <w:rPr>
          <w:rFonts w:ascii="Palatino Linotype" w:hAnsi="Palatino Linotype"/>
        </w:rPr>
        <w:t>vez hecho lo anterior, se remite la información al Titular de la Unidad de Transparencia, con el acuerdo de clasificación correspondiente, para que sea sometido al conocimiento del Comité de Transparencia.</w:t>
      </w:r>
    </w:p>
    <w:p w14:paraId="18C03B17" w14:textId="77777777" w:rsidR="00D041AD" w:rsidRPr="00EC18F1" w:rsidRDefault="00D041AD" w:rsidP="00D041AD">
      <w:pPr>
        <w:pStyle w:val="Prrafodelista"/>
        <w:tabs>
          <w:tab w:val="left" w:pos="426"/>
        </w:tabs>
        <w:spacing w:before="240" w:after="240" w:line="360" w:lineRule="auto"/>
        <w:ind w:left="0" w:right="51"/>
        <w:jc w:val="both"/>
        <w:rPr>
          <w:rFonts w:ascii="Palatino Linotype" w:hAnsi="Palatino Linotype"/>
        </w:rPr>
      </w:pPr>
    </w:p>
    <w:p w14:paraId="21A7AC23" w14:textId="41719B72" w:rsidR="00D041AD" w:rsidRPr="00EC18F1" w:rsidRDefault="005F106E" w:rsidP="007D703F">
      <w:pPr>
        <w:pStyle w:val="Prrafodelista"/>
        <w:tabs>
          <w:tab w:val="left" w:pos="426"/>
        </w:tabs>
        <w:spacing w:before="240" w:after="240" w:line="360" w:lineRule="auto"/>
        <w:ind w:left="0" w:right="51"/>
        <w:outlineLvl w:val="2"/>
        <w:rPr>
          <w:rFonts w:ascii="Palatino Linotype" w:hAnsi="Palatino Linotype"/>
          <w:b/>
        </w:rPr>
      </w:pPr>
      <w:r w:rsidRPr="00EC18F1">
        <w:rPr>
          <w:rFonts w:ascii="Palatino Linotype" w:hAnsi="Palatino Linotype"/>
          <w:b/>
        </w:rPr>
        <w:t>III</w:t>
      </w:r>
      <w:r w:rsidR="003369D2" w:rsidRPr="00EC18F1">
        <w:rPr>
          <w:rFonts w:ascii="Palatino Linotype" w:hAnsi="Palatino Linotype"/>
          <w:b/>
        </w:rPr>
        <w:t>.</w:t>
      </w:r>
      <w:r w:rsidR="007D703F" w:rsidRPr="00EC18F1">
        <w:rPr>
          <w:rFonts w:ascii="Palatino Linotype" w:hAnsi="Palatino Linotype"/>
          <w:b/>
        </w:rPr>
        <w:t xml:space="preserve"> Del </w:t>
      </w:r>
      <w:r w:rsidR="007D703F" w:rsidRPr="00EC18F1">
        <w:rPr>
          <w:rFonts w:ascii="Palatino Linotype" w:hAnsi="Palatino Linotype"/>
          <w:b/>
          <w:bCs/>
          <w:color w:val="000000" w:themeColor="text1"/>
        </w:rPr>
        <w:t>análisis de los datos relacionados con las remuneraciones del personal susceptibles de ser protegidos.</w:t>
      </w:r>
    </w:p>
    <w:p w14:paraId="46ABA733" w14:textId="0A7B8766"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rPr>
        <w:t xml:space="preserve">Es </w:t>
      </w:r>
      <w:r w:rsidRPr="00EC18F1">
        <w:rPr>
          <w:rFonts w:ascii="Palatino Linotype" w:eastAsia="Times New Roman" w:hAnsi="Palatino Linotype" w:cs="Arial"/>
          <w:color w:val="000000"/>
        </w:rPr>
        <w:t xml:space="preserve">importante analizar los datos personales susceptibles de ser protegidos, que pudieran estar contenidos en las </w:t>
      </w:r>
      <w:r w:rsidRPr="00EC18F1">
        <w:rPr>
          <w:rFonts w:ascii="Palatino Linotype" w:eastAsia="Times New Roman" w:hAnsi="Palatino Linotype" w:cs="Arial"/>
          <w:b/>
          <w:bCs/>
          <w:color w:val="000000"/>
        </w:rPr>
        <w:t xml:space="preserve">percepciones extraordinarias </w:t>
      </w:r>
      <w:r w:rsidRPr="00EC18F1">
        <w:rPr>
          <w:rFonts w:ascii="Palatino Linotype" w:eastAsia="Times New Roman" w:hAnsi="Palatino Linotype" w:cs="Arial"/>
          <w:color w:val="000000"/>
        </w:rPr>
        <w:t xml:space="preserve">de los servidores públicos referidos en la solicitud de información, tales como </w:t>
      </w:r>
      <w:r w:rsidRPr="00EC18F1">
        <w:rPr>
          <w:rFonts w:ascii="Palatino Linotype" w:eastAsia="Times New Roman" w:hAnsi="Palatino Linotype" w:cs="Arial"/>
          <w:b/>
          <w:bCs/>
          <w:color w:val="000000"/>
        </w:rPr>
        <w:t xml:space="preserve">Registro Federal de Contribuyentes (RFC), </w:t>
      </w:r>
      <w:r w:rsidRPr="00EC18F1">
        <w:rPr>
          <w:rFonts w:ascii="Palatino Linotype" w:eastAsia="Times New Roman" w:hAnsi="Palatino Linotype" w:cs="Arial"/>
          <w:color w:val="000000"/>
        </w:rPr>
        <w:t xml:space="preserve">la </w:t>
      </w:r>
      <w:r w:rsidRPr="00EC18F1">
        <w:rPr>
          <w:rFonts w:ascii="Palatino Linotype" w:eastAsia="Times New Roman" w:hAnsi="Palatino Linotype" w:cs="Arial"/>
          <w:b/>
          <w:bCs/>
          <w:color w:val="000000"/>
        </w:rPr>
        <w:t>Clave Única de Registro de Población (CURP)</w:t>
      </w:r>
      <w:r w:rsidRPr="00EC18F1">
        <w:rPr>
          <w:rFonts w:ascii="Palatino Linotype" w:eastAsia="Times New Roman" w:hAnsi="Palatino Linotype" w:cs="Arial"/>
          <w:color w:val="000000"/>
        </w:rPr>
        <w:t xml:space="preserve">, la </w:t>
      </w:r>
      <w:r w:rsidRPr="00EC18F1">
        <w:rPr>
          <w:rFonts w:ascii="Palatino Linotype" w:eastAsia="Times New Roman" w:hAnsi="Palatino Linotype" w:cs="Arial"/>
          <w:b/>
          <w:bCs/>
          <w:color w:val="000000"/>
        </w:rPr>
        <w:t xml:space="preserve">Clave de ISSEMyM </w:t>
      </w:r>
      <w:r w:rsidRPr="00EC18F1">
        <w:rPr>
          <w:rFonts w:ascii="Palatino Linotype" w:eastAsia="Times New Roman" w:hAnsi="Palatino Linotype" w:cs="Arial"/>
          <w:color w:val="000000"/>
        </w:rPr>
        <w:t xml:space="preserve">u análogos, </w:t>
      </w:r>
      <w:r w:rsidRPr="00EC18F1">
        <w:rPr>
          <w:rFonts w:ascii="Palatino Linotype" w:eastAsia="Times New Roman" w:hAnsi="Palatino Linotype" w:cs="Arial"/>
          <w:b/>
          <w:bCs/>
          <w:color w:val="000000"/>
        </w:rPr>
        <w:t xml:space="preserve">préstamos o descuentos </w:t>
      </w:r>
      <w:r w:rsidRPr="00EC18F1">
        <w:rPr>
          <w:rFonts w:ascii="Palatino Linotype" w:eastAsia="Times New Roman" w:hAnsi="Palatino Linotype" w:cs="Arial"/>
          <w:color w:val="000000"/>
        </w:rPr>
        <w:t xml:space="preserve">realizados al servidor público y la </w:t>
      </w:r>
      <w:r w:rsidRPr="00EC18F1">
        <w:rPr>
          <w:rFonts w:ascii="Palatino Linotype" w:eastAsia="Times New Roman" w:hAnsi="Palatino Linotype" w:cs="Arial"/>
          <w:b/>
          <w:bCs/>
          <w:color w:val="000000"/>
        </w:rPr>
        <w:t>clave interbancaria de depósito.</w:t>
      </w:r>
    </w:p>
    <w:p w14:paraId="423A2578"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380BE2A1" w14:textId="77777777" w:rsidR="00B14D96" w:rsidRPr="00EC18F1" w:rsidRDefault="00B14D96"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4BBC538B" w14:textId="084B00CF" w:rsidR="007D703F" w:rsidRPr="00EC18F1" w:rsidRDefault="007D703F" w:rsidP="007D703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C18F1">
        <w:rPr>
          <w:rFonts w:ascii="Palatino Linotype" w:hAnsi="Palatino Linotype"/>
          <w:b/>
          <w:bCs/>
          <w:color w:val="000000" w:themeColor="text1"/>
        </w:rPr>
        <w:lastRenderedPageBreak/>
        <w:t>III.I Del Registro Federal de Contribuyentes.</w:t>
      </w:r>
    </w:p>
    <w:p w14:paraId="669B2FE4"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El </w:t>
      </w:r>
      <w:r w:rsidRPr="00EC18F1">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6A892740"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2AB3B1E5"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Las </w:t>
      </w:r>
      <w:r w:rsidRPr="00EC18F1">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ABC6A65"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394A741E"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Del </w:t>
      </w:r>
      <w:r w:rsidRPr="00EC18F1">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8556B0D"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7FF8CED9"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De </w:t>
      </w:r>
      <w:r w:rsidRPr="00EC18F1">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0724683A"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1ABF2342"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En </w:t>
      </w:r>
      <w:r w:rsidRPr="00EC18F1">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082A985B" w14:textId="77777777" w:rsidR="007D703F" w:rsidRPr="00EC18F1" w:rsidRDefault="007D703F" w:rsidP="007D703F">
      <w:pPr>
        <w:shd w:val="clear" w:color="auto" w:fill="FFFFFF" w:themeFill="background1"/>
        <w:spacing w:line="276" w:lineRule="auto"/>
        <w:ind w:left="567" w:right="567"/>
        <w:jc w:val="both"/>
        <w:rPr>
          <w:rFonts w:ascii="Palatino Linotype" w:eastAsia="Calibri" w:hAnsi="Palatino Linotype" w:cs="Tahoma"/>
          <w:bCs/>
          <w:i/>
          <w:sz w:val="22"/>
        </w:rPr>
      </w:pPr>
      <w:r w:rsidRPr="00EC18F1">
        <w:rPr>
          <w:rFonts w:ascii="Palatino Linotype" w:eastAsia="Calibri" w:hAnsi="Palatino Linotype" w:cs="Tahoma"/>
          <w:b/>
          <w:bCs/>
          <w:i/>
          <w:sz w:val="22"/>
        </w:rPr>
        <w:t>REGISTRO FEDERAL DE CONTRIBUYENTES (RFC) DE PERSONAS FÍSICAS.</w:t>
      </w:r>
      <w:r w:rsidRPr="00EC18F1">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6523A131"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22EBAF3E" w14:textId="5AF6429A" w:rsidR="007D703F" w:rsidRPr="00EC18F1" w:rsidRDefault="007D703F" w:rsidP="007D703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C18F1">
        <w:rPr>
          <w:rFonts w:ascii="Palatino Linotype" w:hAnsi="Palatino Linotype"/>
          <w:b/>
          <w:bCs/>
          <w:color w:val="000000" w:themeColor="text1"/>
        </w:rPr>
        <w:t>III.II De la Clave Única de Registro de Población.</w:t>
      </w:r>
    </w:p>
    <w:p w14:paraId="335F0EC4"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La </w:t>
      </w:r>
      <w:r w:rsidRPr="00EC18F1">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0C6466C" w14:textId="77777777" w:rsidR="007D703F" w:rsidRPr="00EC18F1" w:rsidRDefault="007D703F" w:rsidP="007D703F">
      <w:pPr>
        <w:pStyle w:val="Prrafodelista"/>
        <w:tabs>
          <w:tab w:val="left" w:pos="426"/>
        </w:tabs>
        <w:spacing w:before="240" w:after="240" w:line="360" w:lineRule="auto"/>
        <w:ind w:left="0" w:right="51"/>
        <w:jc w:val="center"/>
        <w:rPr>
          <w:rFonts w:ascii="Palatino Linotype" w:hAnsi="Palatino Linotype"/>
          <w:color w:val="000000" w:themeColor="text1"/>
        </w:rPr>
      </w:pPr>
      <w:r w:rsidRPr="00EC18F1">
        <w:rPr>
          <w:noProof/>
          <w:lang w:eastAsia="es-MX"/>
        </w:rPr>
        <w:drawing>
          <wp:inline distT="0" distB="0" distL="0" distR="0" wp14:anchorId="7BDA4045" wp14:editId="7EE09E9C">
            <wp:extent cx="4160548" cy="3434697"/>
            <wp:effectExtent l="0" t="0" r="5080" b="0"/>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8"/>
                    <a:srcRect l="25748" t="8269" r="41254" b="18082"/>
                    <a:stretch/>
                  </pic:blipFill>
                  <pic:spPr bwMode="auto">
                    <a:xfrm>
                      <a:off x="0" y="0"/>
                      <a:ext cx="4184995" cy="3454879"/>
                    </a:xfrm>
                    <a:prstGeom prst="rect">
                      <a:avLst/>
                    </a:prstGeom>
                    <a:ln>
                      <a:noFill/>
                    </a:ln>
                    <a:extLst>
                      <a:ext uri="{53640926-AAD7-44D8-BBD7-CCE9431645EC}">
                        <a14:shadowObscured xmlns:a14="http://schemas.microsoft.com/office/drawing/2010/main"/>
                      </a:ext>
                    </a:extLst>
                  </pic:spPr>
                </pic:pic>
              </a:graphicData>
            </a:graphic>
          </wp:inline>
        </w:drawing>
      </w:r>
    </w:p>
    <w:p w14:paraId="3188998B"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60772A15"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Es </w:t>
      </w:r>
      <w:r w:rsidRPr="00EC18F1">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5696577F"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60A7843E"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Entre </w:t>
      </w:r>
      <w:r w:rsidRPr="00EC18F1">
        <w:rPr>
          <w:rFonts w:ascii="Palatino Linotype" w:eastAsia="MS Mincho" w:hAnsi="Palatino Linotype" w:cs="Arial"/>
          <w:iCs/>
        </w:rPr>
        <w:t>las características de la CURP, se encuentra:</w:t>
      </w:r>
    </w:p>
    <w:p w14:paraId="49CE5E8F" w14:textId="77777777" w:rsidR="007D703F" w:rsidRPr="00EC18F1" w:rsidRDefault="007D703F" w:rsidP="007D703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C18F1">
        <w:rPr>
          <w:rFonts w:ascii="Palatino Linotype" w:eastAsia="MS Mincho" w:hAnsi="Palatino Linotype" w:cs="Arial"/>
          <w:b/>
          <w:bCs/>
          <w:i/>
          <w:iCs/>
          <w:sz w:val="22"/>
        </w:rPr>
        <w:t xml:space="preserve">Composición. </w:t>
      </w:r>
      <w:r w:rsidRPr="00EC18F1">
        <w:rPr>
          <w:rFonts w:ascii="Palatino Linotype" w:eastAsia="MS Mincho" w:hAnsi="Palatino Linotype" w:cs="Arial"/>
          <w:i/>
          <w:iCs/>
          <w:sz w:val="22"/>
        </w:rPr>
        <w:t>Alfanumérica.</w:t>
      </w:r>
    </w:p>
    <w:p w14:paraId="0D0E6028" w14:textId="77777777" w:rsidR="007D703F" w:rsidRPr="00EC18F1" w:rsidRDefault="007D703F" w:rsidP="007D703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C18F1">
        <w:rPr>
          <w:rFonts w:ascii="Palatino Linotype" w:eastAsia="MS Mincho" w:hAnsi="Palatino Linotype" w:cs="Arial"/>
          <w:b/>
          <w:bCs/>
          <w:i/>
          <w:iCs/>
          <w:sz w:val="22"/>
        </w:rPr>
        <w:t xml:space="preserve">Longitud. </w:t>
      </w:r>
      <w:r w:rsidRPr="00EC18F1">
        <w:rPr>
          <w:rFonts w:ascii="Palatino Linotype" w:eastAsia="MS Mincho" w:hAnsi="Palatino Linotype" w:cs="Arial"/>
          <w:i/>
          <w:iCs/>
          <w:sz w:val="22"/>
        </w:rPr>
        <w:t xml:space="preserve"> 18 caracteres.</w:t>
      </w:r>
    </w:p>
    <w:p w14:paraId="7B8B8797" w14:textId="77777777" w:rsidR="007D703F" w:rsidRPr="00EC18F1" w:rsidRDefault="007D703F" w:rsidP="007D703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C18F1">
        <w:rPr>
          <w:rFonts w:ascii="Palatino Linotype" w:eastAsia="MS Mincho" w:hAnsi="Palatino Linotype" w:cs="Arial"/>
          <w:b/>
          <w:bCs/>
          <w:i/>
          <w:iCs/>
          <w:sz w:val="22"/>
        </w:rPr>
        <w:t xml:space="preserve">Naturaleza. </w:t>
      </w:r>
      <w:r w:rsidRPr="00EC18F1">
        <w:rPr>
          <w:rFonts w:ascii="Palatino Linotype" w:eastAsia="MS Mincho" w:hAnsi="Palatino Linotype" w:cs="Arial"/>
          <w:i/>
          <w:iCs/>
          <w:sz w:val="22"/>
        </w:rPr>
        <w:t>Biunívoca.</w:t>
      </w:r>
    </w:p>
    <w:p w14:paraId="32DD9A60" w14:textId="77777777" w:rsidR="007D703F" w:rsidRPr="00EC18F1" w:rsidRDefault="007D703F" w:rsidP="007D703F">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EC18F1">
        <w:rPr>
          <w:rFonts w:ascii="Palatino Linotype" w:eastAsia="MS Mincho" w:hAnsi="Palatino Linotype" w:cs="Arial"/>
          <w:b/>
          <w:bCs/>
          <w:i/>
          <w:iCs/>
          <w:sz w:val="22"/>
        </w:rPr>
        <w:t xml:space="preserve">Universalidad. </w:t>
      </w:r>
      <w:r w:rsidRPr="00EC18F1">
        <w:rPr>
          <w:rFonts w:ascii="Palatino Linotype" w:eastAsia="MS Mincho" w:hAnsi="Palatino Linotype" w:cs="Arial"/>
          <w:i/>
          <w:iCs/>
          <w:sz w:val="22"/>
        </w:rPr>
        <w:t>Se asigna a todas las personas que conforman la población.</w:t>
      </w:r>
    </w:p>
    <w:p w14:paraId="7A782BB7" w14:textId="77777777" w:rsidR="007D703F" w:rsidRPr="00EC18F1" w:rsidRDefault="007D703F" w:rsidP="007D703F">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EC18F1">
        <w:rPr>
          <w:rFonts w:ascii="Palatino Linotype" w:eastAsia="MS Mincho" w:hAnsi="Palatino Linotype" w:cs="Arial"/>
          <w:b/>
          <w:bCs/>
          <w:i/>
          <w:iCs/>
          <w:sz w:val="22"/>
        </w:rPr>
        <w:t xml:space="preserve">Verificabilidad. </w:t>
      </w:r>
      <w:r w:rsidRPr="00EC18F1">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6F31F953"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6B36CA14"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Del </w:t>
      </w:r>
      <w:r w:rsidRPr="00EC18F1">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2FF354E2"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250C2012"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Es </w:t>
      </w:r>
      <w:r w:rsidRPr="00EC18F1">
        <w:rPr>
          <w:rFonts w:ascii="Palatino Linotype" w:eastAsia="MS Mincho" w:hAnsi="Palatino Linotype" w:cs="Arial"/>
          <w:iCs/>
        </w:rPr>
        <w:t xml:space="preserve">entonces que, de lo anterior, se desprende que la Clave Única de Registro de Población es un dato personal confidencial, ya que por sí releva información personal de su titular, y su exposición únicamente vulneraría la esfera privada del mismo, aunado a </w:t>
      </w:r>
      <w:r w:rsidRPr="00EC18F1">
        <w:rPr>
          <w:rFonts w:ascii="Palatino Linotype" w:eastAsia="MS Mincho" w:hAnsi="Palatino Linotype" w:cs="Arial"/>
          <w:iCs/>
        </w:rPr>
        <w:lastRenderedPageBreak/>
        <w:t>que no guarda relación con el desempeño profesional o laboral de un individuo ni con el ejercicio de recursos públicos.</w:t>
      </w:r>
    </w:p>
    <w:p w14:paraId="5D370E55"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242DAAC6"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Ante </w:t>
      </w:r>
      <w:r w:rsidRPr="00EC18F1">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38564030" w14:textId="77777777" w:rsidR="007D703F" w:rsidRPr="00EC18F1" w:rsidRDefault="007D703F" w:rsidP="007D703F">
      <w:pPr>
        <w:shd w:val="clear" w:color="auto" w:fill="FFFFFF" w:themeFill="background1"/>
        <w:spacing w:line="276" w:lineRule="auto"/>
        <w:ind w:left="567" w:right="567"/>
        <w:jc w:val="both"/>
        <w:rPr>
          <w:rFonts w:ascii="Palatino Linotype" w:eastAsia="Calibri" w:hAnsi="Palatino Linotype" w:cs="Tahoma"/>
          <w:bCs/>
          <w:i/>
          <w:sz w:val="22"/>
        </w:rPr>
      </w:pPr>
      <w:r w:rsidRPr="00EC18F1">
        <w:rPr>
          <w:rFonts w:ascii="Palatino Linotype" w:eastAsia="Calibri" w:hAnsi="Palatino Linotype" w:cs="Tahoma"/>
          <w:b/>
          <w:bCs/>
          <w:i/>
          <w:sz w:val="22"/>
        </w:rPr>
        <w:t>CLAVE ÚNICA DE REGISTRO DE POBLACIÓN (CURP). “</w:t>
      </w:r>
      <w:r w:rsidRPr="00EC18F1">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FE935EC"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10C67953" w14:textId="47093E34" w:rsidR="007D703F" w:rsidRPr="00EC18F1" w:rsidRDefault="007D703F" w:rsidP="007D703F">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EC18F1">
        <w:rPr>
          <w:rFonts w:ascii="Palatino Linotype" w:hAnsi="Palatino Linotype"/>
          <w:b/>
          <w:bCs/>
          <w:color w:val="000000" w:themeColor="text1"/>
        </w:rPr>
        <w:t>III.III De la clave de identificación del Instituto de Seguridad Social del Estado de México y Municipios.</w:t>
      </w:r>
    </w:p>
    <w:p w14:paraId="2C1AE233"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El </w:t>
      </w:r>
      <w:r w:rsidRPr="00EC18F1">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E649080"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13084D67"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El </w:t>
      </w:r>
      <w:r w:rsidRPr="00EC18F1">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08E2629"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285AC026"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lastRenderedPageBreak/>
        <w:t xml:space="preserve">Entre </w:t>
      </w:r>
      <w:r w:rsidRPr="00EC18F1">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3C8A2FB2"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1C549ADB"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Como </w:t>
      </w:r>
      <w:r w:rsidRPr="00EC18F1">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74C57934"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56C7C231" w14:textId="5FE238C1" w:rsidR="007D703F" w:rsidRPr="00EC18F1" w:rsidRDefault="007D703F" w:rsidP="007D703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EC18F1">
        <w:rPr>
          <w:rFonts w:ascii="Palatino Linotype" w:hAnsi="Palatino Linotype"/>
          <w:b/>
          <w:bCs/>
          <w:color w:val="000000" w:themeColor="text1"/>
        </w:rPr>
        <w:t>III.IV Préstamos o descuentos de carácter personal.</w:t>
      </w:r>
    </w:p>
    <w:p w14:paraId="4B1A8C87" w14:textId="77777777" w:rsidR="007D703F"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rPr>
        <w:t xml:space="preserve">Para </w:t>
      </w:r>
      <w:r w:rsidRPr="00EC18F1">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395A8D3" w14:textId="77777777" w:rsidR="007D703F" w:rsidRPr="00EC18F1" w:rsidRDefault="007D703F" w:rsidP="007D703F">
      <w:pPr>
        <w:tabs>
          <w:tab w:val="left" w:pos="426"/>
        </w:tabs>
        <w:spacing w:line="276" w:lineRule="auto"/>
        <w:ind w:left="567" w:right="567"/>
        <w:contextualSpacing/>
        <w:jc w:val="both"/>
        <w:rPr>
          <w:rFonts w:ascii="Palatino Linotype" w:hAnsi="Palatino Linotype"/>
          <w:i/>
          <w:sz w:val="22"/>
        </w:rPr>
      </w:pPr>
      <w:r w:rsidRPr="00EC18F1">
        <w:rPr>
          <w:rFonts w:ascii="Palatino Linotype" w:hAnsi="Palatino Linotype"/>
          <w:b/>
          <w:bCs/>
          <w:i/>
          <w:sz w:val="22"/>
        </w:rPr>
        <w:t>“ARTÍCULO 84.</w:t>
      </w:r>
      <w:r w:rsidRPr="00EC18F1">
        <w:rPr>
          <w:rFonts w:ascii="Palatino Linotype" w:hAnsi="Palatino Linotype"/>
          <w:i/>
          <w:sz w:val="22"/>
        </w:rPr>
        <w:t xml:space="preserve"> Sólo podrán hacerse retenciones, descuentos o deducciones al sueldo de los servidores públicos por concepto de: </w:t>
      </w:r>
    </w:p>
    <w:p w14:paraId="7F7A93F8" w14:textId="77777777" w:rsidR="007D703F" w:rsidRPr="00EC18F1" w:rsidRDefault="007D703F" w:rsidP="007D703F">
      <w:pPr>
        <w:tabs>
          <w:tab w:val="left" w:pos="426"/>
        </w:tabs>
        <w:spacing w:line="276" w:lineRule="auto"/>
        <w:ind w:left="567" w:right="567"/>
        <w:jc w:val="both"/>
        <w:rPr>
          <w:rFonts w:ascii="Palatino Linotype" w:hAnsi="Palatino Linotype"/>
          <w:i/>
          <w:sz w:val="22"/>
        </w:rPr>
      </w:pPr>
      <w:r w:rsidRPr="00EC18F1">
        <w:rPr>
          <w:rFonts w:ascii="Palatino Linotype" w:hAnsi="Palatino Linotype"/>
          <w:b/>
          <w:i/>
          <w:sz w:val="22"/>
        </w:rPr>
        <w:t>I.</w:t>
      </w:r>
      <w:r w:rsidRPr="00EC18F1">
        <w:rPr>
          <w:rFonts w:ascii="Palatino Linotype" w:hAnsi="Palatino Linotype"/>
          <w:i/>
          <w:sz w:val="22"/>
        </w:rPr>
        <w:t xml:space="preserve"> Gravámenes fiscales relacionados con el sueldo; </w:t>
      </w:r>
    </w:p>
    <w:p w14:paraId="1C8B91D3"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II.</w:t>
      </w:r>
      <w:r w:rsidRPr="00EC18F1">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1660187"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III.</w:t>
      </w:r>
      <w:r w:rsidRPr="00EC18F1">
        <w:rPr>
          <w:rFonts w:ascii="Palatino Linotype" w:hAnsi="Palatino Linotype"/>
          <w:i/>
          <w:sz w:val="22"/>
        </w:rPr>
        <w:t xml:space="preserve"> Cuotas sindicales; </w:t>
      </w:r>
    </w:p>
    <w:p w14:paraId="31556286"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IV.</w:t>
      </w:r>
      <w:r w:rsidRPr="00EC18F1">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33B17749"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lastRenderedPageBreak/>
        <w:t>V.</w:t>
      </w:r>
      <w:r w:rsidRPr="00EC18F1">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3A3A05BC"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VI.</w:t>
      </w:r>
      <w:r w:rsidRPr="00EC18F1">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5EFACB72"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VII.</w:t>
      </w:r>
      <w:r w:rsidRPr="00EC18F1">
        <w:rPr>
          <w:rFonts w:ascii="Palatino Linotype" w:hAnsi="Palatino Linotype"/>
          <w:i/>
          <w:sz w:val="22"/>
        </w:rPr>
        <w:t xml:space="preserve"> Faltas de puntualidad o de asistencia injustificadas; </w:t>
      </w:r>
    </w:p>
    <w:p w14:paraId="565BBF8F"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VIII.</w:t>
      </w:r>
      <w:r w:rsidRPr="00EC18F1">
        <w:rPr>
          <w:rFonts w:ascii="Palatino Linotype" w:hAnsi="Palatino Linotype"/>
          <w:i/>
          <w:sz w:val="22"/>
        </w:rPr>
        <w:t xml:space="preserve"> Pensiones alimenticias ordenadas por la autoridad judicial; o </w:t>
      </w:r>
    </w:p>
    <w:p w14:paraId="18D0C76A" w14:textId="77777777" w:rsidR="007D703F" w:rsidRPr="00EC18F1" w:rsidRDefault="007D703F" w:rsidP="007D703F">
      <w:pPr>
        <w:spacing w:line="276" w:lineRule="auto"/>
        <w:ind w:left="567" w:right="567"/>
        <w:jc w:val="both"/>
        <w:rPr>
          <w:rFonts w:ascii="Palatino Linotype" w:hAnsi="Palatino Linotype"/>
          <w:i/>
          <w:sz w:val="22"/>
        </w:rPr>
      </w:pPr>
      <w:r w:rsidRPr="00EC18F1">
        <w:rPr>
          <w:rFonts w:ascii="Palatino Linotype" w:hAnsi="Palatino Linotype"/>
          <w:b/>
          <w:i/>
          <w:sz w:val="22"/>
        </w:rPr>
        <w:t>IX.</w:t>
      </w:r>
      <w:r w:rsidRPr="00EC18F1">
        <w:rPr>
          <w:rFonts w:ascii="Palatino Linotype" w:hAnsi="Palatino Linotype"/>
          <w:i/>
          <w:sz w:val="22"/>
        </w:rPr>
        <w:t xml:space="preserve"> Cualquier otro convenido con instituciones de servicios y aceptado por el servidor público. </w:t>
      </w:r>
    </w:p>
    <w:p w14:paraId="1C7EE7A8" w14:textId="77777777" w:rsidR="007D703F" w:rsidRPr="00EC18F1" w:rsidRDefault="007D703F" w:rsidP="007D703F">
      <w:pPr>
        <w:spacing w:line="276" w:lineRule="auto"/>
        <w:ind w:left="567" w:right="567"/>
        <w:jc w:val="both"/>
        <w:rPr>
          <w:rFonts w:ascii="Palatino Linotype" w:hAnsi="Palatino Linotype"/>
          <w:sz w:val="22"/>
        </w:rPr>
      </w:pPr>
    </w:p>
    <w:p w14:paraId="4B89C9B5" w14:textId="77777777" w:rsidR="007D703F" w:rsidRPr="00EC18F1" w:rsidRDefault="007D703F" w:rsidP="007D703F">
      <w:pPr>
        <w:spacing w:line="276" w:lineRule="auto"/>
        <w:ind w:left="567" w:right="567"/>
        <w:jc w:val="both"/>
        <w:rPr>
          <w:rFonts w:ascii="Palatino Linotype" w:eastAsia="MS Mincho" w:hAnsi="Palatino Linotype" w:cs="Arial"/>
          <w:i/>
          <w:sz w:val="22"/>
        </w:rPr>
      </w:pPr>
      <w:r w:rsidRPr="00EC18F1">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00C0F02" w14:textId="77777777" w:rsidR="007D703F" w:rsidRPr="00EC18F1" w:rsidRDefault="007D703F" w:rsidP="007D703F">
      <w:pPr>
        <w:pStyle w:val="Prrafodelista"/>
        <w:tabs>
          <w:tab w:val="left" w:pos="426"/>
        </w:tabs>
        <w:spacing w:before="240" w:after="240" w:line="360" w:lineRule="auto"/>
        <w:ind w:left="0" w:right="51"/>
        <w:jc w:val="both"/>
        <w:rPr>
          <w:rFonts w:ascii="Palatino Linotype" w:hAnsi="Palatino Linotype"/>
          <w:color w:val="000000" w:themeColor="text1"/>
        </w:rPr>
      </w:pPr>
    </w:p>
    <w:p w14:paraId="40591AF2" w14:textId="69A86291" w:rsidR="00D041AD" w:rsidRPr="00EC18F1" w:rsidRDefault="007D703F"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6ABCAF7C"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3E653DF4" w14:textId="2958E3C0" w:rsidR="003369D2" w:rsidRPr="00EC18F1" w:rsidRDefault="003369D2" w:rsidP="003369D2">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III.V. Del domicilio particular.</w:t>
      </w:r>
    </w:p>
    <w:p w14:paraId="42490B3E" w14:textId="69CDD778" w:rsidR="00006D92" w:rsidRPr="00EC18F1" w:rsidRDefault="003369D2"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El Instituto Nacional de Transparencia, Acceso a la Información y Protección de Datos Personales (INAI), mediante las resoluciones </w:t>
      </w:r>
      <w:r w:rsidRPr="00EC18F1">
        <w:rPr>
          <w:rFonts w:ascii="Palatino Linotype" w:eastAsia="MS Mincho" w:hAnsi="Palatino Linotype" w:cs="Arial"/>
          <w:b/>
        </w:rPr>
        <w:t xml:space="preserve">RRA 1774/18, RRA 1780/18 </w:t>
      </w:r>
      <w:r w:rsidRPr="00EC18F1">
        <w:rPr>
          <w:rFonts w:ascii="Palatino Linotype" w:eastAsia="MS Mincho" w:hAnsi="Palatino Linotype" w:cs="Arial"/>
        </w:rPr>
        <w:t>y</w:t>
      </w:r>
      <w:r w:rsidRPr="00EC18F1">
        <w:rPr>
          <w:rFonts w:ascii="Palatino Linotype" w:eastAsia="MS Mincho" w:hAnsi="Palatino Linotype" w:cs="Arial"/>
          <w:b/>
        </w:rPr>
        <w:t xml:space="preserve"> RRA 5279/19</w:t>
      </w:r>
      <w:r w:rsidRPr="00EC18F1">
        <w:rPr>
          <w:rFonts w:ascii="Palatino Linotype" w:eastAsia="MS Mincho" w:hAnsi="Palatino Linotype" w:cs="Arial"/>
        </w:rPr>
        <w:t xml:space="preserve"> ha reconocido que el domicilio de particulares, al ser el lugar en donde reside habitualmente una persona física, constituye un dato personal y, por ende confidencial, ya que su difusión podría afectar la esfera privada de la misma. Por lo tanto, el domicilio de particulares se considera confidencial, y sólo podrá otorgarse mediante el consentimiento expreso de su titular, en virtud de tratarse de datos personales que reflejan </w:t>
      </w:r>
      <w:r w:rsidRPr="00EC18F1">
        <w:rPr>
          <w:rFonts w:ascii="Palatino Linotype" w:eastAsia="MS Mincho" w:hAnsi="Palatino Linotype" w:cs="Arial"/>
        </w:rPr>
        <w:lastRenderedPageBreak/>
        <w:t>cuestiones de la vida privada de las personas, en términos del artículo 113, fracción I, de la Ley Federal de Transparencia y Acceso a la Información Pública.</w:t>
      </w:r>
    </w:p>
    <w:p w14:paraId="13DE2C51"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63A520D4" w14:textId="0D458106" w:rsidR="00006D92" w:rsidRPr="00EC18F1" w:rsidRDefault="003369D2"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Además, el mismo Órgano Garante Nacional </w:t>
      </w:r>
      <w:r w:rsidRPr="00EC18F1">
        <w:rPr>
          <w:rFonts w:ascii="Palatino Linotype" w:eastAsia="Palatino Linotype" w:hAnsi="Palatino Linotype" w:cs="Palatino Linotype"/>
        </w:rPr>
        <w:t>precisa en otra resolución diversa con número RRA</w:t>
      </w:r>
      <w:r w:rsidRPr="00EC18F1">
        <w:rPr>
          <w:rFonts w:ascii="Palatino Linotype" w:eastAsia="Palatino Linotype" w:hAnsi="Palatino Linotype" w:cs="Palatino Linotype"/>
          <w:b/>
        </w:rPr>
        <w:t xml:space="preserve"> 09673/20</w:t>
      </w:r>
      <w:r w:rsidRPr="00EC18F1">
        <w:rPr>
          <w:rFonts w:ascii="Palatino Linotype" w:eastAsia="Palatino Linotype" w:hAnsi="Palatino Linotype" w:cs="Palatino Linotype"/>
        </w:rPr>
        <w:t xml:space="preserve">, que el Domicilio particular de persona física, en términos del artículo 29 del Código Civil Federal 19, </w:t>
      </w:r>
      <w:r w:rsidRPr="00EC18F1">
        <w:rPr>
          <w:rFonts w:ascii="Palatino Linotype" w:eastAsia="Palatino Linotype" w:hAnsi="Palatino Linotype" w:cs="Palatino Linotype"/>
          <w:b/>
        </w:rPr>
        <w:t>el domicilio es el lugar en donde reside habitualmente una persona física. En este sentido, constituye un dato personal y, por ende, confidencial, ya que incide directamente en la privacidad de personas físicas identificadas, y su difusión podría afectar la esfera privada de las mismas. Por consiguiente, dicha información es confidencial y sólo podrá otorgarse mediante el consentimiento expreso del titular de los datos personales; por ello, la calle y número exterior, colonia, delegación o municipio, entidad federativa y el código postal, que se traduce en el domicilio particular, se considera clasificado</w:t>
      </w:r>
      <w:r w:rsidRPr="00EC18F1">
        <w:rPr>
          <w:rFonts w:ascii="Palatino Linotype" w:eastAsia="Palatino Linotype" w:hAnsi="Palatino Linotype" w:cs="Palatino Linotype"/>
        </w:rPr>
        <w:t>, con fundamento en el artículo 113 fracción I de la Ley Federal de Transparencia y Acceso a la Información Pública.</w:t>
      </w:r>
    </w:p>
    <w:p w14:paraId="4D56DED1"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361600C7" w14:textId="45035521" w:rsidR="00006D92" w:rsidRPr="00EC18F1" w:rsidRDefault="003369D2"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Con base en lo anterior, este Organismo Garante reconoce al </w:t>
      </w:r>
      <w:r w:rsidRPr="00EC18F1">
        <w:rPr>
          <w:rFonts w:ascii="Palatino Linotype" w:eastAsia="MS Mincho" w:hAnsi="Palatino Linotype" w:cs="Arial"/>
          <w:b/>
        </w:rPr>
        <w:t>domicilio</w:t>
      </w:r>
      <w:r w:rsidRPr="00EC18F1">
        <w:rPr>
          <w:rFonts w:ascii="Palatino Linotype" w:eastAsia="MS Mincho" w:hAnsi="Palatino Linotype" w:cs="Arial"/>
        </w:rPr>
        <w:t xml:space="preserve"> como información de carácter confidencial.</w:t>
      </w:r>
    </w:p>
    <w:p w14:paraId="18AEC508"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2BE5B49F" w14:textId="6BB77644" w:rsidR="003369D2" w:rsidRPr="00EC18F1" w:rsidRDefault="003369D2" w:rsidP="00006D92">
      <w:pPr>
        <w:pStyle w:val="Prrafodelista"/>
        <w:tabs>
          <w:tab w:val="left" w:pos="426"/>
        </w:tabs>
        <w:spacing w:before="240" w:after="240" w:line="360" w:lineRule="auto"/>
        <w:ind w:left="0" w:right="51"/>
        <w:jc w:val="both"/>
        <w:rPr>
          <w:rFonts w:ascii="Palatino Linotype" w:hAnsi="Palatino Linotype" w:cs="Tahoma"/>
          <w:b/>
          <w:bCs/>
          <w:iCs/>
        </w:rPr>
      </w:pPr>
      <w:r w:rsidRPr="00EC18F1">
        <w:rPr>
          <w:rFonts w:ascii="Palatino Linotype" w:hAnsi="Palatino Linotype" w:cs="Tahoma"/>
          <w:b/>
          <w:bCs/>
          <w:iCs/>
        </w:rPr>
        <w:t xml:space="preserve">III.VI. </w:t>
      </w:r>
      <w:r w:rsidR="00F64F56" w:rsidRPr="00EC18F1">
        <w:rPr>
          <w:rFonts w:ascii="Palatino Linotype" w:hAnsi="Palatino Linotype" w:cs="Tahoma"/>
          <w:b/>
          <w:bCs/>
          <w:iCs/>
        </w:rPr>
        <w:t>Del estado civil de las personas.</w:t>
      </w:r>
    </w:p>
    <w:p w14:paraId="56D85B45" w14:textId="1CCA1946" w:rsidR="00006D92"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El artículo 2.3 del Código Civil del Estado de México reconoce, como atributos de la personalidad, el nombre, domicilio, </w:t>
      </w:r>
      <w:r w:rsidRPr="00EC18F1">
        <w:rPr>
          <w:rFonts w:ascii="Palatino Linotype" w:eastAsia="MS Mincho" w:hAnsi="Palatino Linotype" w:cs="Arial"/>
          <w:b/>
        </w:rPr>
        <w:t>estado civil</w:t>
      </w:r>
      <w:r w:rsidRPr="00EC18F1">
        <w:rPr>
          <w:rFonts w:ascii="Palatino Linotype" w:eastAsia="MS Mincho" w:hAnsi="Palatino Linotype" w:cs="Arial"/>
        </w:rPr>
        <w:t xml:space="preserve"> y patrimonio.</w:t>
      </w:r>
    </w:p>
    <w:p w14:paraId="4FCEE240" w14:textId="77777777" w:rsidR="00F64F56" w:rsidRPr="00EC18F1" w:rsidRDefault="00F64F56" w:rsidP="00F64F56">
      <w:pPr>
        <w:pStyle w:val="Prrafodelista"/>
        <w:tabs>
          <w:tab w:val="left" w:pos="426"/>
        </w:tabs>
        <w:spacing w:before="240" w:after="240" w:line="360" w:lineRule="auto"/>
        <w:ind w:left="0" w:right="51"/>
        <w:jc w:val="both"/>
        <w:rPr>
          <w:rFonts w:ascii="Palatino Linotype" w:hAnsi="Palatino Linotype" w:cs="Tahoma"/>
          <w:bCs/>
          <w:iCs/>
        </w:rPr>
      </w:pPr>
    </w:p>
    <w:p w14:paraId="6D861B90" w14:textId="350DC58B" w:rsidR="00F64F56"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Al respecto, se reconoce al Registro Civil como la institución de carácter público y de interés social, mediante la cual el Estado, a través del titular y sus oficiales investidos de </w:t>
      </w:r>
      <w:r w:rsidRPr="00EC18F1">
        <w:rPr>
          <w:rFonts w:ascii="Palatino Linotype" w:eastAsia="MS Mincho" w:hAnsi="Palatino Linotype" w:cs="Arial"/>
        </w:rPr>
        <w:lastRenderedPageBreak/>
        <w:t xml:space="preserve">fe pública, inscribe, registra, autoriza, certifica, da publicidad y solemnidad a los actos y hechos relativos al estado civil de las personas y expide las actas relativas al nacimiento, reconocimiento de hijos, adopción, </w:t>
      </w:r>
      <w:r w:rsidRPr="00EC18F1">
        <w:rPr>
          <w:rFonts w:ascii="Palatino Linotype" w:eastAsia="MS Mincho" w:hAnsi="Palatino Linotype" w:cs="Arial"/>
          <w:b/>
        </w:rPr>
        <w:t>matrimonio</w:t>
      </w:r>
      <w:r w:rsidRPr="00EC18F1">
        <w:rPr>
          <w:rFonts w:ascii="Palatino Linotype" w:eastAsia="MS Mincho" w:hAnsi="Palatino Linotype" w:cs="Arial"/>
        </w:rPr>
        <w:t>, divorcio, defunción, y expedición de acta por rectificación para el reconocimiento de identidad de género, previa anotación correspondiente al acta de nacimiento primigenia, asimismo, inscribe las resoluciones que la Ley autoriza, en la forma y términos que establezca su Reglamento</w:t>
      </w:r>
      <w:r w:rsidRPr="00EC18F1">
        <w:rPr>
          <w:rStyle w:val="Refdenotaalpie"/>
          <w:rFonts w:ascii="Palatino Linotype" w:eastAsia="MS Mincho" w:hAnsi="Palatino Linotype" w:cs="Arial"/>
        </w:rPr>
        <w:footnoteReference w:id="63"/>
      </w:r>
      <w:r w:rsidRPr="00EC18F1">
        <w:rPr>
          <w:rFonts w:ascii="Palatino Linotype" w:eastAsia="MS Mincho" w:hAnsi="Palatino Linotype" w:cs="Arial"/>
        </w:rPr>
        <w:t>.</w:t>
      </w:r>
    </w:p>
    <w:p w14:paraId="4ECA8D43" w14:textId="77777777" w:rsidR="00F64F56" w:rsidRPr="00EC18F1" w:rsidRDefault="00F64F56" w:rsidP="00F64F56">
      <w:pPr>
        <w:pStyle w:val="Prrafodelista"/>
        <w:tabs>
          <w:tab w:val="left" w:pos="426"/>
        </w:tabs>
        <w:spacing w:before="240" w:after="240" w:line="360" w:lineRule="auto"/>
        <w:ind w:left="0" w:right="51"/>
        <w:jc w:val="both"/>
        <w:rPr>
          <w:rFonts w:ascii="Palatino Linotype" w:hAnsi="Palatino Linotype" w:cs="Tahoma"/>
          <w:bCs/>
          <w:iCs/>
        </w:rPr>
      </w:pPr>
    </w:p>
    <w:p w14:paraId="4CDC4BD6" w14:textId="06215F52" w:rsidR="00F64F56"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Ahora bien, el estado civil de las personas sólo podrá ser comprobado con las constancias relativas del Registro Civil. Ningún otro documento ni medio de prueba será admisible para comprobar el estado civil, salvo los casos expresamente exceptuados en la ley</w:t>
      </w:r>
      <w:r w:rsidRPr="00EC18F1">
        <w:rPr>
          <w:rStyle w:val="Refdenotaalpie"/>
          <w:rFonts w:ascii="Palatino Linotype" w:eastAsia="MS Mincho" w:hAnsi="Palatino Linotype" w:cs="Arial"/>
        </w:rPr>
        <w:footnoteReference w:id="64"/>
      </w:r>
      <w:r w:rsidRPr="00EC18F1">
        <w:rPr>
          <w:rFonts w:ascii="Palatino Linotype" w:eastAsia="MS Mincho" w:hAnsi="Palatino Linotype" w:cs="Arial"/>
        </w:rPr>
        <w:t>.</w:t>
      </w:r>
    </w:p>
    <w:p w14:paraId="03C973DD"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5D276070" w14:textId="20D5A64D" w:rsidR="00006D92"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cs="Tahoma"/>
          <w:bCs/>
          <w:iCs/>
        </w:rPr>
        <w:t>Se considera un dato personal confidencial en virtud de que refleja el estatus civil que tiene determinada persona, lo cual forma parte de su vida privada y por lo consiguiente se considera un dato personal confidencial.</w:t>
      </w:r>
    </w:p>
    <w:p w14:paraId="626EA25A"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38688310" w14:textId="68D164A0" w:rsidR="00F64F56" w:rsidRPr="00EC18F1" w:rsidRDefault="00F64F56" w:rsidP="00F64F56">
      <w:pPr>
        <w:pStyle w:val="Prrafodelista"/>
        <w:tabs>
          <w:tab w:val="left" w:pos="426"/>
        </w:tabs>
        <w:spacing w:before="240" w:after="240" w:line="360" w:lineRule="auto"/>
        <w:ind w:left="0" w:right="51"/>
        <w:jc w:val="both"/>
        <w:outlineLvl w:val="2"/>
        <w:rPr>
          <w:rFonts w:ascii="Palatino Linotype" w:hAnsi="Palatino Linotype" w:cs="Tahoma"/>
          <w:b/>
          <w:bCs/>
          <w:iCs/>
        </w:rPr>
      </w:pPr>
      <w:r w:rsidRPr="00EC18F1">
        <w:rPr>
          <w:rFonts w:ascii="Palatino Linotype" w:hAnsi="Palatino Linotype" w:cs="Tahoma"/>
          <w:b/>
          <w:bCs/>
          <w:iCs/>
        </w:rPr>
        <w:t>III.VI. Del lugar de nacimiento.</w:t>
      </w:r>
    </w:p>
    <w:p w14:paraId="180C4D4A" w14:textId="0F9BBE6D" w:rsidR="00006D92"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El Código Civil del Estado de México reconoce a la figura de </w:t>
      </w:r>
      <w:r w:rsidRPr="00EC18F1">
        <w:rPr>
          <w:rFonts w:ascii="Palatino Linotype" w:eastAsia="MS Mincho" w:hAnsi="Palatino Linotype" w:cs="Arial"/>
          <w:i/>
        </w:rPr>
        <w:t>persona física</w:t>
      </w:r>
      <w:r w:rsidRPr="00EC18F1">
        <w:rPr>
          <w:rFonts w:ascii="Palatino Linotype" w:eastAsia="MS Mincho" w:hAnsi="Palatino Linotype" w:cs="Arial"/>
        </w:rPr>
        <w:t>, como el ser humano desde que nace y es viable, hasta que muere; a quien se le atribuye capacidad de goce y de ejercicio; y que desde que es concebido se le tiene por persona para los efectos declarados por la ley</w:t>
      </w:r>
      <w:r w:rsidRPr="00EC18F1">
        <w:rPr>
          <w:rStyle w:val="Refdenotaalpie"/>
          <w:rFonts w:ascii="Palatino Linotype" w:eastAsia="MS Mincho" w:hAnsi="Palatino Linotype" w:cs="Arial"/>
        </w:rPr>
        <w:footnoteReference w:id="65"/>
      </w:r>
      <w:r w:rsidRPr="00EC18F1">
        <w:rPr>
          <w:rFonts w:ascii="Palatino Linotype" w:eastAsia="MS Mincho" w:hAnsi="Palatino Linotype" w:cs="Arial"/>
        </w:rPr>
        <w:t>; al respecto, será viable el ser humano que ha vivido 24 horas posteriores a su nacimiento o es presentado vivo ante el Oficial del Registro Civil</w:t>
      </w:r>
      <w:r w:rsidRPr="00EC18F1">
        <w:rPr>
          <w:rStyle w:val="Refdenotaalpie"/>
          <w:rFonts w:ascii="Palatino Linotype" w:eastAsia="MS Mincho" w:hAnsi="Palatino Linotype" w:cs="Arial"/>
        </w:rPr>
        <w:footnoteReference w:id="66"/>
      </w:r>
      <w:r w:rsidRPr="00EC18F1">
        <w:rPr>
          <w:rFonts w:ascii="Palatino Linotype" w:eastAsia="MS Mincho" w:hAnsi="Palatino Linotype" w:cs="Arial"/>
        </w:rPr>
        <w:t>.</w:t>
      </w:r>
    </w:p>
    <w:p w14:paraId="495731F5"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350E3A43" w14:textId="277F6823" w:rsidR="00006D92"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lastRenderedPageBreak/>
        <w:t>Tendrán obligación de declarar el nacimiento, la madre, el padre, ambos o quienes ejerzan la patria potestad dentro de los primeros 60 días de vida. A falta de los anteriores, persona distinta que tenga conocimiento de este, cumpliendo con los requisitos previstos en el Código Civil del Estado de México y su normatividad reglamentaria. Asimismo, tienen la obligación de declarar el nacimiento quienes ejerzan la tutela o guarda y custodia, y las demás personas que por razón de sus funciones o actividades tengan bajo su cuidado niñas, niños o adolescentes, o personas que los tengan bajo su responsabilidad, y cuando sean instituciones públicas, conforme a su ámbito de competencia</w:t>
      </w:r>
      <w:r w:rsidRPr="00EC18F1">
        <w:rPr>
          <w:rStyle w:val="Refdenotaalpie"/>
          <w:rFonts w:ascii="Palatino Linotype" w:eastAsia="MS Mincho" w:hAnsi="Palatino Linotype" w:cs="Arial"/>
        </w:rPr>
        <w:footnoteReference w:id="67"/>
      </w:r>
      <w:r w:rsidRPr="00EC18F1">
        <w:rPr>
          <w:rFonts w:ascii="Palatino Linotype" w:eastAsia="MS Mincho" w:hAnsi="Palatino Linotype" w:cs="Arial"/>
        </w:rPr>
        <w:t>.</w:t>
      </w:r>
    </w:p>
    <w:p w14:paraId="312466FC"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3193BA2B" w14:textId="21DE3BF8" w:rsidR="00006D92" w:rsidRPr="00EC18F1" w:rsidRDefault="00F64F56"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 xml:space="preserve">El acta de nacimiento contendrá lugar y fecha de registro, fecha, hora y </w:t>
      </w:r>
      <w:r w:rsidRPr="00EC18F1">
        <w:rPr>
          <w:rFonts w:ascii="Palatino Linotype" w:eastAsia="MS Mincho" w:hAnsi="Palatino Linotype" w:cs="Arial"/>
          <w:b/>
        </w:rPr>
        <w:t>lugar del nacimiento</w:t>
      </w:r>
      <w:r w:rsidRPr="00EC18F1">
        <w:rPr>
          <w:rFonts w:ascii="Palatino Linotype" w:eastAsia="MS Mincho" w:hAnsi="Palatino Linotype" w:cs="Arial"/>
        </w:rPr>
        <w:t xml:space="preserve">, el sexo del presentado, el nombre del registrado, de conformidad con las reglas establecidas en </w:t>
      </w:r>
      <w:r w:rsidR="005D7E35" w:rsidRPr="00EC18F1">
        <w:rPr>
          <w:rFonts w:ascii="Palatino Linotype" w:eastAsia="MS Mincho" w:hAnsi="Palatino Linotype" w:cs="Arial"/>
        </w:rPr>
        <w:t xml:space="preserve">el </w:t>
      </w:r>
      <w:r w:rsidRPr="00EC18F1">
        <w:rPr>
          <w:rFonts w:ascii="Palatino Linotype" w:eastAsia="MS Mincho" w:hAnsi="Palatino Linotype" w:cs="Arial"/>
        </w:rPr>
        <w:t>Código</w:t>
      </w:r>
      <w:r w:rsidR="005D7E35" w:rsidRPr="00EC18F1">
        <w:rPr>
          <w:rFonts w:ascii="Palatino Linotype" w:eastAsia="MS Mincho" w:hAnsi="Palatino Linotype" w:cs="Arial"/>
        </w:rPr>
        <w:t xml:space="preserve"> Civil de la entidad</w:t>
      </w:r>
      <w:r w:rsidRPr="00EC18F1">
        <w:rPr>
          <w:rFonts w:ascii="Palatino Linotype" w:eastAsia="MS Mincho" w:hAnsi="Palatino Linotype" w:cs="Arial"/>
        </w:rPr>
        <w:t>, la razón de si es presentado vivo o muerto, la impresión de la huella digital si está vivo y la Clave Única de Registro de Población</w:t>
      </w:r>
      <w:r w:rsidR="005D7E35" w:rsidRPr="00EC18F1">
        <w:rPr>
          <w:rStyle w:val="Refdenotaalpie"/>
          <w:rFonts w:ascii="Palatino Linotype" w:eastAsia="MS Mincho" w:hAnsi="Palatino Linotype" w:cs="Arial"/>
        </w:rPr>
        <w:footnoteReference w:id="68"/>
      </w:r>
      <w:r w:rsidRPr="00EC18F1">
        <w:rPr>
          <w:rFonts w:ascii="Palatino Linotype" w:eastAsia="MS Mincho" w:hAnsi="Palatino Linotype" w:cs="Arial"/>
        </w:rPr>
        <w:t>.</w:t>
      </w:r>
    </w:p>
    <w:p w14:paraId="5C8FA95D"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112943B3" w14:textId="30DDB4DB" w:rsidR="00006D92" w:rsidRPr="00EC18F1" w:rsidRDefault="005D7E35"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Por su parte, el artículo 3.16 del Código establece que, para el lugar de nacimiento, se podrá registrar donde ocurra o en el domicilio de los padres.</w:t>
      </w:r>
    </w:p>
    <w:p w14:paraId="0E612A22" w14:textId="77777777" w:rsidR="00006D92" w:rsidRPr="00EC18F1" w:rsidRDefault="00006D92" w:rsidP="00006D92">
      <w:pPr>
        <w:pStyle w:val="Prrafodelista"/>
        <w:tabs>
          <w:tab w:val="left" w:pos="426"/>
        </w:tabs>
        <w:spacing w:before="240" w:after="240" w:line="360" w:lineRule="auto"/>
        <w:ind w:left="0" w:right="51"/>
        <w:jc w:val="both"/>
        <w:rPr>
          <w:rFonts w:ascii="Palatino Linotype" w:hAnsi="Palatino Linotype" w:cs="Tahoma"/>
          <w:bCs/>
          <w:iCs/>
        </w:rPr>
      </w:pPr>
    </w:p>
    <w:p w14:paraId="06CB4449" w14:textId="088D3597" w:rsidR="00006D92" w:rsidRPr="00EC18F1" w:rsidRDefault="005D7E35" w:rsidP="007D703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eastAsia="MS Mincho" w:hAnsi="Palatino Linotype" w:cs="Arial"/>
        </w:rPr>
        <w:t>Razón de lo anterior, el lugar de nacimiento se identifica como un dato personal que debe ser clasificado como confidencial, al ser parte de la esfera de intimidad de las personas.</w:t>
      </w:r>
    </w:p>
    <w:p w14:paraId="23DB74DE" w14:textId="77777777" w:rsidR="005D60AA" w:rsidRPr="00EC18F1" w:rsidRDefault="005D60AA" w:rsidP="005D60AA">
      <w:pPr>
        <w:pStyle w:val="Prrafodelista"/>
        <w:tabs>
          <w:tab w:val="left" w:pos="426"/>
        </w:tabs>
        <w:spacing w:line="360" w:lineRule="auto"/>
        <w:ind w:left="0"/>
        <w:jc w:val="both"/>
        <w:rPr>
          <w:rFonts w:ascii="Palatino Linotype" w:hAnsi="Palatino Linotype"/>
        </w:rPr>
      </w:pPr>
    </w:p>
    <w:p w14:paraId="3B021C58" w14:textId="77777777" w:rsidR="00B14D96" w:rsidRPr="00EC18F1" w:rsidRDefault="00B14D96" w:rsidP="005D60AA">
      <w:pPr>
        <w:pStyle w:val="Prrafodelista"/>
        <w:tabs>
          <w:tab w:val="left" w:pos="426"/>
        </w:tabs>
        <w:spacing w:line="360" w:lineRule="auto"/>
        <w:ind w:left="0"/>
        <w:jc w:val="both"/>
        <w:rPr>
          <w:rFonts w:ascii="Palatino Linotype" w:hAnsi="Palatino Linotype"/>
        </w:rPr>
      </w:pPr>
    </w:p>
    <w:p w14:paraId="2964F8F8" w14:textId="6AE4B517" w:rsidR="002413EC" w:rsidRPr="00EC18F1" w:rsidRDefault="005D60AA" w:rsidP="002413EC">
      <w:pPr>
        <w:pStyle w:val="Prrafodelista"/>
        <w:tabs>
          <w:tab w:val="left" w:pos="426"/>
        </w:tabs>
        <w:spacing w:line="360" w:lineRule="auto"/>
        <w:ind w:left="0"/>
        <w:jc w:val="both"/>
        <w:outlineLvl w:val="2"/>
        <w:rPr>
          <w:rFonts w:ascii="Palatino Linotype" w:hAnsi="Palatino Linotype"/>
          <w:b/>
        </w:rPr>
      </w:pPr>
      <w:bookmarkStart w:id="25" w:name="_Toc92875126"/>
      <w:r w:rsidRPr="00EC18F1">
        <w:rPr>
          <w:rFonts w:ascii="Palatino Linotype" w:hAnsi="Palatino Linotype"/>
          <w:b/>
        </w:rPr>
        <w:lastRenderedPageBreak/>
        <w:t>IV</w:t>
      </w:r>
      <w:r w:rsidR="002413EC" w:rsidRPr="00EC18F1">
        <w:rPr>
          <w:rFonts w:ascii="Palatino Linotype" w:hAnsi="Palatino Linotype"/>
          <w:b/>
        </w:rPr>
        <w:t>. La intervención del Comité de Transparencia.</w:t>
      </w:r>
      <w:bookmarkEnd w:id="25"/>
    </w:p>
    <w:p w14:paraId="21B01B43" w14:textId="7A230031" w:rsidR="002413EC" w:rsidRPr="00EC18F1" w:rsidRDefault="007D703F" w:rsidP="002413EC">
      <w:pPr>
        <w:pStyle w:val="Prrafodelista"/>
        <w:tabs>
          <w:tab w:val="left" w:pos="426"/>
        </w:tabs>
        <w:spacing w:line="360" w:lineRule="auto"/>
        <w:ind w:left="0"/>
        <w:jc w:val="both"/>
        <w:rPr>
          <w:rFonts w:ascii="Palatino Linotype" w:hAnsi="Palatino Linotype"/>
          <w:b/>
        </w:rPr>
      </w:pPr>
      <w:r w:rsidRPr="00EC18F1">
        <w:rPr>
          <w:rFonts w:ascii="Palatino Linotype" w:hAnsi="Palatino Linotype"/>
          <w:b/>
        </w:rPr>
        <w:t>IV.I</w:t>
      </w:r>
      <w:r w:rsidR="002413EC" w:rsidRPr="00EC18F1">
        <w:rPr>
          <w:rFonts w:ascii="Palatino Linotype" w:hAnsi="Palatino Linotype"/>
          <w:b/>
        </w:rPr>
        <w:t xml:space="preserve"> Formalidades para emitir el Acuerdo de Clasificación.</w:t>
      </w:r>
    </w:p>
    <w:p w14:paraId="6F913582"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El </w:t>
      </w:r>
      <w:r w:rsidRPr="00EC18F1">
        <w:rPr>
          <w:rFonts w:ascii="Palatino Linotype" w:hAnsi="Palatino Linotype"/>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0BEAD72"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1E10B393"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Evidentemente, </w:t>
      </w:r>
      <w:r w:rsidRPr="00EC18F1">
        <w:rPr>
          <w:rFonts w:ascii="Palatino Linotype" w:hAnsi="Palatino Linotype"/>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1C5DAFC"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1E6E9B17"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La </w:t>
      </w:r>
      <w:r w:rsidRPr="00EC18F1">
        <w:rPr>
          <w:rFonts w:ascii="Palatino Linotype" w:hAnsi="Palatino Linotype"/>
        </w:rPr>
        <w:t xml:space="preserve">decisión de confirmar, modificar o revocar la clasificación deberá de asentarse en un documento que registre la determinación a la que se llegue después de un análisis </w:t>
      </w:r>
      <w:r w:rsidRPr="00EC18F1">
        <w:rPr>
          <w:rFonts w:ascii="Palatino Linotype" w:hAnsi="Palatino Linotype"/>
        </w:rPr>
        <w:lastRenderedPageBreak/>
        <w:t>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4074E9"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07D1D7EE" w14:textId="54F96CED" w:rsidR="002413EC" w:rsidRPr="00EC18F1" w:rsidRDefault="007D703F" w:rsidP="002413EC">
      <w:pPr>
        <w:pStyle w:val="Prrafodelista"/>
        <w:tabs>
          <w:tab w:val="left" w:pos="426"/>
        </w:tabs>
        <w:spacing w:line="360" w:lineRule="auto"/>
        <w:ind w:left="0"/>
        <w:jc w:val="both"/>
        <w:rPr>
          <w:rFonts w:ascii="Palatino Linotype" w:hAnsi="Palatino Linotype"/>
          <w:b/>
        </w:rPr>
      </w:pPr>
      <w:r w:rsidRPr="00EC18F1">
        <w:rPr>
          <w:rFonts w:ascii="Palatino Linotype" w:hAnsi="Palatino Linotype"/>
          <w:b/>
        </w:rPr>
        <w:t>IV.II</w:t>
      </w:r>
      <w:r w:rsidR="002413EC" w:rsidRPr="00EC18F1">
        <w:rPr>
          <w:rFonts w:ascii="Palatino Linotype" w:hAnsi="Palatino Linotype"/>
          <w:b/>
        </w:rPr>
        <w:t xml:space="preserve"> Requisitos de fondo del Acuerdo de Clasificación.</w:t>
      </w:r>
    </w:p>
    <w:p w14:paraId="20023866"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Como </w:t>
      </w:r>
      <w:r w:rsidRPr="00EC18F1">
        <w:rPr>
          <w:rFonts w:ascii="Palatino Linotype"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03A6937"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2BE31363"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De </w:t>
      </w:r>
      <w:r w:rsidRPr="00EC18F1">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16B7D7A"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53B99A38"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Han </w:t>
      </w:r>
      <w:r w:rsidRPr="00EC18F1">
        <w:rPr>
          <w:rFonts w:ascii="Palatino Linotype" w:hAnsi="Palatino Linotype"/>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EC18F1">
        <w:rPr>
          <w:rFonts w:ascii="Palatino Linotype" w:hAnsi="Palatino Linotype"/>
          <w:i/>
          <w:iCs/>
        </w:rPr>
        <w:t xml:space="preserve">“(...) la garantía de fundamentación impone a las autoridades el deber de precisar las disposiciones jurídicas que aplican </w:t>
      </w:r>
      <w:r w:rsidRPr="00EC18F1">
        <w:rPr>
          <w:rFonts w:ascii="Palatino Linotype" w:hAnsi="Palatino Linotype"/>
          <w:i/>
          <w:iCs/>
        </w:rPr>
        <w:lastRenderedPageBreak/>
        <w:t>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EC18F1">
        <w:rPr>
          <w:rFonts w:ascii="Palatino Linotype" w:hAnsi="Palatino Linotype"/>
        </w:rPr>
        <w:t>.</w:t>
      </w:r>
    </w:p>
    <w:p w14:paraId="125E3B93"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44203917"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Por </w:t>
      </w:r>
      <w:r w:rsidRPr="00EC18F1">
        <w:rPr>
          <w:rFonts w:ascii="Palatino Linotype" w:hAnsi="Palatino Linotype"/>
        </w:rPr>
        <w:t>su parte, el intérprete judicial del país ha establecido una jurisprudencia</w:t>
      </w:r>
      <w:r w:rsidRPr="00EC18F1">
        <w:rPr>
          <w:rFonts w:ascii="Palatino Linotype" w:hAnsi="Palatino Linotype"/>
          <w:vertAlign w:val="superscript"/>
        </w:rPr>
        <w:footnoteReference w:id="69"/>
      </w:r>
      <w:r w:rsidRPr="00EC18F1">
        <w:rPr>
          <w:rFonts w:ascii="Palatino Linotype" w:hAnsi="Palatino Linotype"/>
        </w:rPr>
        <w:t xml:space="preserve"> respecto a qué debe entenderse por fundamentación y motivación, en los siguientes términos:</w:t>
      </w:r>
    </w:p>
    <w:p w14:paraId="27B58357" w14:textId="77777777" w:rsidR="002413EC" w:rsidRPr="00EC18F1" w:rsidRDefault="002413EC" w:rsidP="002413EC">
      <w:pPr>
        <w:spacing w:line="276" w:lineRule="auto"/>
        <w:ind w:left="567" w:right="567"/>
        <w:contextualSpacing/>
        <w:jc w:val="both"/>
        <w:rPr>
          <w:rFonts w:ascii="Palatino Linotype" w:hAnsi="Palatino Linotype" w:cs="Arial"/>
          <w:i/>
          <w:color w:val="000000"/>
          <w:sz w:val="22"/>
        </w:rPr>
      </w:pPr>
      <w:r w:rsidRPr="00EC18F1">
        <w:rPr>
          <w:rFonts w:ascii="Palatino Linotype" w:hAnsi="Palatino Linotype" w:cs="Arial"/>
          <w:b/>
          <w:i/>
          <w:color w:val="000000"/>
          <w:sz w:val="22"/>
        </w:rPr>
        <w:t>FUNDAMENTACIÓN Y MOTIVACIÓN.</w:t>
      </w:r>
      <w:r w:rsidRPr="00EC18F1">
        <w:rPr>
          <w:rFonts w:ascii="Palatino Linotype" w:hAnsi="Palatino Linotype" w:cs="Arial"/>
          <w:i/>
          <w:color w:val="000000"/>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97C6E27"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359ACE4C"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Así, </w:t>
      </w:r>
      <w:r w:rsidRPr="00EC18F1">
        <w:rPr>
          <w:rFonts w:ascii="Palatino Linotype"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E90477"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1C5D0E51"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t xml:space="preserve">En </w:t>
      </w:r>
      <w:r w:rsidRPr="00EC18F1">
        <w:rPr>
          <w:rFonts w:ascii="Palatino Linotype"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8FAFF09"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1016CC4C" w14:textId="77777777" w:rsidR="002413EC" w:rsidRPr="00EC18F1" w:rsidRDefault="002413EC" w:rsidP="002413EC">
      <w:pPr>
        <w:pStyle w:val="Prrafodelista"/>
        <w:numPr>
          <w:ilvl w:val="0"/>
          <w:numId w:val="1"/>
        </w:numPr>
        <w:tabs>
          <w:tab w:val="left" w:pos="426"/>
        </w:tabs>
        <w:spacing w:line="360" w:lineRule="auto"/>
        <w:jc w:val="both"/>
        <w:rPr>
          <w:rFonts w:ascii="Palatino Linotype" w:hAnsi="Palatino Linotype"/>
        </w:rPr>
      </w:pPr>
      <w:r w:rsidRPr="00EC18F1">
        <w:rPr>
          <w:rFonts w:ascii="Palatino Linotype" w:hAnsi="Palatino Linotype"/>
          <w:lang w:val="es-ES_tradnl"/>
        </w:rPr>
        <w:lastRenderedPageBreak/>
        <w:t xml:space="preserve">En </w:t>
      </w:r>
      <w:r w:rsidRPr="00EC18F1">
        <w:rPr>
          <w:rFonts w:ascii="Palatino Linotype" w:hAnsi="Palatino Linotype"/>
        </w:rPr>
        <w:t>ese mismo sentido, el numeral trigésimo tercero fracción V de los Lineamientos Generales, precisa que para motivar la clasificación se deben acreditar las circunstancias de tiempo, modo y lugar.</w:t>
      </w:r>
    </w:p>
    <w:p w14:paraId="55A832C9" w14:textId="77777777" w:rsidR="002413EC" w:rsidRPr="00EC18F1" w:rsidRDefault="002413EC" w:rsidP="002413EC">
      <w:pPr>
        <w:pStyle w:val="Prrafodelista"/>
        <w:tabs>
          <w:tab w:val="left" w:pos="426"/>
        </w:tabs>
        <w:spacing w:line="360" w:lineRule="auto"/>
        <w:ind w:left="0"/>
        <w:jc w:val="both"/>
        <w:rPr>
          <w:rFonts w:ascii="Palatino Linotype" w:hAnsi="Palatino Linotype"/>
        </w:rPr>
      </w:pPr>
    </w:p>
    <w:p w14:paraId="7E735FCC" w14:textId="30B1252F" w:rsidR="00B24071" w:rsidRPr="00EC18F1" w:rsidRDefault="002413EC" w:rsidP="002413E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EC18F1">
        <w:rPr>
          <w:rFonts w:ascii="Palatino Linotype" w:hAnsi="Palatino Linotype"/>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C79358A" w14:textId="77777777" w:rsidR="00A82C13" w:rsidRPr="00EC18F1" w:rsidRDefault="00A82C13" w:rsidP="00EA2E5E">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3DB8870A" w:rsidR="00C65875" w:rsidRPr="00EC18F1" w:rsidRDefault="005B331D"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EC18F1">
        <w:rPr>
          <w:rFonts w:ascii="Palatino Linotype" w:hAnsi="Palatino Linotype" w:cs="Arial"/>
          <w:b/>
          <w:bCs/>
          <w:lang w:eastAsia="es-MX"/>
        </w:rPr>
        <w:t>SEXTO</w:t>
      </w:r>
      <w:r w:rsidR="00C65875" w:rsidRPr="00EC18F1">
        <w:rPr>
          <w:rFonts w:ascii="Palatino Linotype" w:hAnsi="Palatino Linotype" w:cs="Arial"/>
          <w:b/>
          <w:bCs/>
          <w:lang w:eastAsia="es-MX"/>
        </w:rPr>
        <w:t>. Decisión.</w:t>
      </w:r>
    </w:p>
    <w:p w14:paraId="7FEC9199" w14:textId="720E1E9A" w:rsidR="00444D5D" w:rsidRPr="00EC18F1" w:rsidRDefault="007D703F" w:rsidP="00CE47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eastAsia="MS Mincho" w:hAnsi="Palatino Linotype" w:cstheme="majorBidi"/>
          <w:lang w:val="es-ES"/>
        </w:rPr>
        <w:t>En</w:t>
      </w:r>
      <w:r w:rsidR="00D56736" w:rsidRPr="00EC18F1">
        <w:rPr>
          <w:rFonts w:ascii="Palatino Linotype" w:eastAsia="MS Mincho" w:hAnsi="Palatino Linotype" w:cstheme="majorBidi"/>
          <w:lang w:val="es-ES"/>
        </w:rPr>
        <w:t xml:space="preserve"> consecuencia y en mérito de lo expuesto en líneas anteriores, resultan fundadas las razones o motivos de inconformidad hechos valer por </w:t>
      </w:r>
      <w:r w:rsidRPr="00EC18F1">
        <w:rPr>
          <w:rFonts w:ascii="Palatino Linotype" w:eastAsia="MS Mincho" w:hAnsi="Palatino Linotype" w:cstheme="majorBidi"/>
          <w:lang w:val="es-ES"/>
        </w:rPr>
        <w:t>el</w:t>
      </w:r>
      <w:r w:rsidR="00D56736" w:rsidRPr="00EC18F1">
        <w:rPr>
          <w:rFonts w:ascii="Palatino Linotype" w:eastAsia="MS Mincho" w:hAnsi="Palatino Linotype" w:cstheme="majorBidi"/>
          <w:lang w:val="es-ES"/>
        </w:rPr>
        <w:t xml:space="preserve"> </w:t>
      </w:r>
      <w:r w:rsidR="00D56736" w:rsidRPr="00EC18F1">
        <w:rPr>
          <w:rFonts w:ascii="Palatino Linotype" w:eastAsia="MS Mincho" w:hAnsi="Palatino Linotype" w:cstheme="majorBidi"/>
          <w:b/>
          <w:lang w:val="es-ES"/>
        </w:rPr>
        <w:t>RECURRENTE</w:t>
      </w:r>
      <w:r w:rsidR="00D56736" w:rsidRPr="00EC18F1">
        <w:rPr>
          <w:rFonts w:ascii="Palatino Linotype" w:eastAsia="MS Mincho" w:hAnsi="Palatino Linotype" w:cstheme="majorBidi"/>
          <w:lang w:val="es-ES"/>
        </w:rPr>
        <w:t xml:space="preserve"> dentro del recurso de revisión </w:t>
      </w:r>
      <w:r w:rsidR="006073A5" w:rsidRPr="00EC18F1">
        <w:rPr>
          <w:rFonts w:ascii="Palatino Linotype" w:eastAsia="MS Mincho" w:hAnsi="Palatino Linotype" w:cstheme="majorBidi"/>
          <w:b/>
          <w:bCs/>
          <w:lang w:val="es-ES"/>
        </w:rPr>
        <w:t>17243/INFOEM/IP/RR/2022</w:t>
      </w:r>
      <w:r w:rsidR="00D56736" w:rsidRPr="00EC18F1">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D56736" w:rsidRPr="00EC18F1">
        <w:rPr>
          <w:rFonts w:ascii="Palatino Linotype" w:eastAsia="MS Mincho" w:hAnsi="Palatino Linotype" w:cstheme="majorBidi"/>
          <w:b/>
          <w:lang w:val="es-ES"/>
        </w:rPr>
        <w:t>MODIFICA</w:t>
      </w:r>
      <w:r w:rsidR="00D56736" w:rsidRPr="00EC18F1">
        <w:rPr>
          <w:rFonts w:ascii="Palatino Linotype" w:eastAsia="MS Mincho" w:hAnsi="Palatino Linotype" w:cstheme="majorBidi"/>
          <w:lang w:val="es-ES"/>
        </w:rPr>
        <w:t xml:space="preserve"> la respuesta a la solicitud de información número </w:t>
      </w:r>
      <w:r w:rsidR="006073A5" w:rsidRPr="00EC18F1">
        <w:rPr>
          <w:rFonts w:ascii="Palatino Linotype" w:eastAsia="MS Mincho" w:hAnsi="Palatino Linotype" w:cstheme="majorBidi"/>
          <w:b/>
          <w:lang w:val="es-ES"/>
        </w:rPr>
        <w:t>00073/TIMILPAN/IP/2022</w:t>
      </w:r>
      <w:r w:rsidR="00D56736" w:rsidRPr="00EC18F1">
        <w:rPr>
          <w:rFonts w:ascii="Palatino Linotype" w:eastAsia="MS Mincho" w:hAnsi="Palatino Linotype" w:cstheme="majorBidi"/>
          <w:b/>
          <w:lang w:val="es-ES"/>
        </w:rPr>
        <w:t>.</w:t>
      </w:r>
    </w:p>
    <w:p w14:paraId="370E910A" w14:textId="77777777" w:rsidR="00F01443" w:rsidRPr="00EC18F1" w:rsidRDefault="00F01443" w:rsidP="00CE47BE">
      <w:pPr>
        <w:pStyle w:val="Prrafodelista"/>
        <w:tabs>
          <w:tab w:val="left" w:pos="426"/>
        </w:tabs>
        <w:spacing w:before="240" w:after="240" w:line="360" w:lineRule="auto"/>
        <w:ind w:left="0" w:right="51"/>
        <w:jc w:val="right"/>
        <w:rPr>
          <w:rFonts w:ascii="Palatino Linotype" w:hAnsi="Palatino Linotype"/>
          <w:color w:val="000000" w:themeColor="text1"/>
        </w:rPr>
      </w:pPr>
    </w:p>
    <w:p w14:paraId="04A838EE" w14:textId="140CB886" w:rsidR="005F106E" w:rsidRPr="00EC18F1" w:rsidRDefault="00F01801" w:rsidP="003A7CE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18F1">
        <w:rPr>
          <w:rFonts w:ascii="Palatino Linotype" w:hAnsi="Palatino Linotype"/>
          <w:color w:val="000000" w:themeColor="text1"/>
          <w:lang w:val="es-ES"/>
        </w:rPr>
        <w:t xml:space="preserve">Por </w:t>
      </w:r>
      <w:r w:rsidR="00B41516" w:rsidRPr="00EC18F1">
        <w:rPr>
          <w:rFonts w:ascii="Palatino Linotype" w:hAnsi="Palatino Linotype"/>
          <w:color w:val="000000" w:themeColor="text1"/>
        </w:rPr>
        <w:t xml:space="preserve">lo anteriormente expuesto y fundado, </w:t>
      </w:r>
      <w:r w:rsidR="003E6079" w:rsidRPr="00EC18F1">
        <w:rPr>
          <w:rFonts w:ascii="Palatino Linotype" w:hAnsi="Palatino Linotype"/>
          <w:color w:val="000000" w:themeColor="text1"/>
        </w:rPr>
        <w:t>e</w:t>
      </w:r>
      <w:r w:rsidR="00B41516" w:rsidRPr="00EC18F1">
        <w:rPr>
          <w:rFonts w:ascii="Palatino Linotype" w:hAnsi="Palatino Linotype"/>
          <w:color w:val="000000" w:themeColor="text1"/>
        </w:rPr>
        <w:t xml:space="preserve">ste </w:t>
      </w:r>
      <w:r w:rsidR="00B41516" w:rsidRPr="00EC18F1">
        <w:rPr>
          <w:rFonts w:ascii="Palatino Linotype" w:hAnsi="Palatino Linotype"/>
          <w:b/>
          <w:color w:val="000000" w:themeColor="text1"/>
        </w:rPr>
        <w:t>ÓRGANO GARANTE</w:t>
      </w:r>
      <w:r w:rsidR="00B41516" w:rsidRPr="00EC18F1">
        <w:rPr>
          <w:rFonts w:ascii="Palatino Linotype" w:hAnsi="Palatino Linotype"/>
          <w:color w:val="000000" w:themeColor="text1"/>
        </w:rPr>
        <w:t xml:space="preserve"> emite los siguientes:</w:t>
      </w:r>
      <w:r w:rsidR="003E6079" w:rsidRPr="00EC18F1">
        <w:rPr>
          <w:rFonts w:ascii="Palatino Linotype" w:hAnsi="Palatino Linotype"/>
          <w:color w:val="000000" w:themeColor="text1"/>
        </w:rPr>
        <w:t xml:space="preserve"> </w:t>
      </w:r>
      <w:r w:rsidR="00D71057" w:rsidRPr="00EC18F1">
        <w:rPr>
          <w:rFonts w:ascii="Palatino Linotype" w:hAnsi="Palatino Linotype"/>
          <w:color w:val="000000" w:themeColor="text1"/>
        </w:rPr>
        <w:t>--------------------------------------------------------------------------</w:t>
      </w:r>
      <w:r w:rsidR="00E10AC3" w:rsidRPr="00EC18F1">
        <w:rPr>
          <w:rFonts w:ascii="Palatino Linotype" w:hAnsi="Palatino Linotype"/>
          <w:color w:val="000000" w:themeColor="text1"/>
        </w:rPr>
        <w:t>-----------------</w:t>
      </w:r>
      <w:r w:rsidR="00895335" w:rsidRPr="00EC18F1">
        <w:rPr>
          <w:rFonts w:ascii="Palatino Linotype" w:hAnsi="Palatino Linotype"/>
          <w:color w:val="000000" w:themeColor="text1"/>
        </w:rPr>
        <w:t>--</w:t>
      </w:r>
      <w:r w:rsidR="003E6079" w:rsidRPr="00EC18F1">
        <w:rPr>
          <w:rFonts w:ascii="Palatino Linotype" w:hAnsi="Palatino Linotype"/>
          <w:color w:val="000000" w:themeColor="text1"/>
        </w:rPr>
        <w:t>--</w:t>
      </w:r>
      <w:r w:rsidR="007D703F" w:rsidRPr="00EC18F1">
        <w:rPr>
          <w:rFonts w:ascii="Palatino Linotype" w:hAnsi="Palatino Linotype"/>
          <w:color w:val="000000" w:themeColor="text1"/>
        </w:rPr>
        <w:t>--------</w:t>
      </w:r>
    </w:p>
    <w:p w14:paraId="18C7D92B" w14:textId="2E6B88EF" w:rsidR="009959DB" w:rsidRPr="00EC18F1" w:rsidRDefault="009959DB" w:rsidP="009959DB">
      <w:pPr>
        <w:pStyle w:val="Ttulo1"/>
        <w:spacing w:line="360" w:lineRule="auto"/>
        <w:jc w:val="center"/>
        <w:rPr>
          <w:b/>
          <w:color w:val="000000" w:themeColor="text1"/>
          <w:szCs w:val="24"/>
        </w:rPr>
      </w:pPr>
      <w:bookmarkStart w:id="26" w:name="_Toc495427547"/>
      <w:bookmarkStart w:id="27" w:name="_Toc497905366"/>
      <w:bookmarkStart w:id="28" w:name="_Toc88071791"/>
      <w:r w:rsidRPr="00EC18F1">
        <w:rPr>
          <w:b/>
          <w:color w:val="000000" w:themeColor="text1"/>
          <w:szCs w:val="24"/>
        </w:rPr>
        <w:t>R E S O L U T I V O S</w:t>
      </w:r>
      <w:bookmarkEnd w:id="20"/>
      <w:bookmarkEnd w:id="21"/>
      <w:bookmarkEnd w:id="26"/>
      <w:bookmarkEnd w:id="27"/>
      <w:bookmarkEnd w:id="28"/>
    </w:p>
    <w:p w14:paraId="2EF2AC2D" w14:textId="77777777" w:rsidR="00A73C04" w:rsidRPr="00EC18F1" w:rsidRDefault="00A73C04" w:rsidP="002578EE">
      <w:pPr>
        <w:spacing w:line="360" w:lineRule="auto"/>
        <w:jc w:val="both"/>
        <w:rPr>
          <w:rFonts w:ascii="Palatino Linotype" w:eastAsia="Times New Roman" w:hAnsi="Palatino Linotype" w:cs="Arial"/>
          <w:b/>
        </w:rPr>
      </w:pPr>
    </w:p>
    <w:p w14:paraId="1E60723D" w14:textId="72DF918C" w:rsidR="00D364ED" w:rsidRPr="00EC18F1" w:rsidRDefault="00D364ED" w:rsidP="00D364ED">
      <w:pPr>
        <w:spacing w:line="360" w:lineRule="auto"/>
        <w:jc w:val="both"/>
        <w:rPr>
          <w:rFonts w:ascii="Palatino Linotype" w:eastAsia="Times New Roman" w:hAnsi="Palatino Linotype" w:cs="Times New Roman"/>
        </w:rPr>
      </w:pPr>
      <w:r w:rsidRPr="00EC18F1">
        <w:rPr>
          <w:rFonts w:ascii="Palatino Linotype" w:eastAsia="Times New Roman" w:hAnsi="Palatino Linotype" w:cs="Arial"/>
          <w:b/>
        </w:rPr>
        <w:t xml:space="preserve">PRIMERO. </w:t>
      </w:r>
      <w:r w:rsidRPr="00EC18F1">
        <w:rPr>
          <w:rFonts w:ascii="Palatino Linotype" w:eastAsia="Times New Roman" w:hAnsi="Palatino Linotype" w:cs="Arial"/>
        </w:rPr>
        <w:t>Resultan fundadas las</w:t>
      </w:r>
      <w:r w:rsidRPr="00EC18F1">
        <w:rPr>
          <w:rFonts w:ascii="Palatino Linotype" w:eastAsia="Times New Roman" w:hAnsi="Palatino Linotype" w:cs="Arial"/>
          <w:b/>
        </w:rPr>
        <w:t xml:space="preserve"> </w:t>
      </w:r>
      <w:r w:rsidRPr="00EC18F1">
        <w:rPr>
          <w:rFonts w:ascii="Palatino Linotype" w:eastAsia="Times New Roman" w:hAnsi="Palatino Linotype" w:cs="Arial"/>
          <w:lang w:val="es-ES"/>
        </w:rPr>
        <w:t xml:space="preserve">razones o motivos de inconformidad hechos valer </w:t>
      </w:r>
      <w:r w:rsidRPr="00EC18F1">
        <w:rPr>
          <w:rFonts w:ascii="Palatino Linotype" w:eastAsia="Calibri" w:hAnsi="Palatino Linotype" w:cs="Arial"/>
          <w:lang w:val="es-ES"/>
        </w:rPr>
        <w:t xml:space="preserve">en el recurso de revisión </w:t>
      </w:r>
      <w:r w:rsidR="006073A5" w:rsidRPr="00EC18F1">
        <w:rPr>
          <w:rFonts w:ascii="Palatino Linotype" w:eastAsia="Times New Roman" w:hAnsi="Palatino Linotype" w:cs="Times New Roman"/>
          <w:b/>
        </w:rPr>
        <w:t>17243/INFOEM/IP/RR/2022</w:t>
      </w:r>
      <w:r w:rsidR="00B14D96" w:rsidRPr="00EC18F1">
        <w:rPr>
          <w:rFonts w:ascii="Palatino Linotype" w:eastAsia="Times New Roman" w:hAnsi="Palatino Linotype" w:cs="Times New Roman"/>
          <w:b/>
        </w:rPr>
        <w:t>,</w:t>
      </w:r>
      <w:r w:rsidRPr="00EC18F1">
        <w:rPr>
          <w:rFonts w:ascii="Palatino Linotype" w:eastAsia="Times New Roman" w:hAnsi="Palatino Linotype" w:cs="Times New Roman"/>
          <w:b/>
        </w:rPr>
        <w:t xml:space="preserve"> </w:t>
      </w:r>
      <w:r w:rsidRPr="00EC18F1">
        <w:rPr>
          <w:rFonts w:ascii="Palatino Linotype" w:eastAsia="Times New Roman" w:hAnsi="Palatino Linotype" w:cs="Times New Roman"/>
        </w:rPr>
        <w:t>en términos de los</w:t>
      </w:r>
      <w:r w:rsidR="00B14D96" w:rsidRPr="00EC18F1">
        <w:rPr>
          <w:rFonts w:ascii="Palatino Linotype" w:eastAsia="Times New Roman" w:hAnsi="Palatino Linotype" w:cs="Times New Roman"/>
          <w:b/>
          <w:bCs/>
        </w:rPr>
        <w:t xml:space="preserve"> c</w:t>
      </w:r>
      <w:r w:rsidRPr="00EC18F1">
        <w:rPr>
          <w:rFonts w:ascii="Palatino Linotype" w:eastAsia="Times New Roman" w:hAnsi="Palatino Linotype" w:cs="Times New Roman"/>
          <w:b/>
          <w:bCs/>
        </w:rPr>
        <w:t>onsiderandos</w:t>
      </w:r>
      <w:r w:rsidRPr="00EC18F1">
        <w:rPr>
          <w:rFonts w:ascii="Palatino Linotype" w:eastAsia="Times New Roman" w:hAnsi="Palatino Linotype" w:cs="Times New Roman"/>
        </w:rPr>
        <w:t xml:space="preserve"> </w:t>
      </w:r>
      <w:r w:rsidRPr="00EC18F1">
        <w:rPr>
          <w:rFonts w:ascii="Palatino Linotype" w:eastAsia="Times New Roman" w:hAnsi="Palatino Linotype" w:cs="Times New Roman"/>
          <w:b/>
        </w:rPr>
        <w:t>CUARTO</w:t>
      </w:r>
      <w:r w:rsidRPr="00EC18F1">
        <w:rPr>
          <w:rFonts w:ascii="Palatino Linotype" w:eastAsia="Times New Roman" w:hAnsi="Palatino Linotype" w:cs="Times New Roman"/>
        </w:rPr>
        <w:t xml:space="preserve"> y </w:t>
      </w:r>
      <w:r w:rsidRPr="00EC18F1">
        <w:rPr>
          <w:rFonts w:ascii="Palatino Linotype" w:eastAsia="Times New Roman" w:hAnsi="Palatino Linotype" w:cs="Times New Roman"/>
          <w:b/>
        </w:rPr>
        <w:t>QUINTO</w:t>
      </w:r>
      <w:r w:rsidRPr="00EC18F1">
        <w:rPr>
          <w:rFonts w:ascii="Palatino Linotype" w:eastAsia="Times New Roman" w:hAnsi="Palatino Linotype" w:cs="Times New Roman"/>
        </w:rPr>
        <w:t xml:space="preserve"> de la presente resolución.</w:t>
      </w:r>
    </w:p>
    <w:p w14:paraId="750B568A" w14:textId="77777777" w:rsidR="00D364ED" w:rsidRPr="00EC18F1" w:rsidRDefault="00D364ED" w:rsidP="00D364ED">
      <w:pPr>
        <w:spacing w:line="360" w:lineRule="auto"/>
        <w:contextualSpacing/>
        <w:jc w:val="both"/>
        <w:rPr>
          <w:rFonts w:ascii="Palatino Linotype" w:eastAsia="Calibri" w:hAnsi="Palatino Linotype" w:cs="Arial"/>
          <w:b/>
          <w:bCs/>
          <w:lang w:val="es-ES"/>
        </w:rPr>
      </w:pPr>
    </w:p>
    <w:p w14:paraId="4F03D7CE" w14:textId="5BC5774E" w:rsidR="00D364ED" w:rsidRPr="00EC18F1" w:rsidRDefault="00D364ED" w:rsidP="00D364ED">
      <w:pPr>
        <w:spacing w:line="360" w:lineRule="auto"/>
        <w:contextualSpacing/>
        <w:jc w:val="both"/>
        <w:rPr>
          <w:rFonts w:ascii="Palatino Linotype" w:eastAsia="Times New Roman" w:hAnsi="Palatino Linotype" w:cs="Arial"/>
          <w:color w:val="000000"/>
        </w:rPr>
      </w:pPr>
      <w:r w:rsidRPr="00EC18F1">
        <w:rPr>
          <w:rFonts w:ascii="Palatino Linotype" w:eastAsia="Calibri" w:hAnsi="Palatino Linotype" w:cs="Arial"/>
          <w:b/>
          <w:bCs/>
          <w:lang w:val="es-ES"/>
        </w:rPr>
        <w:lastRenderedPageBreak/>
        <w:t xml:space="preserve">SEGUNDO. </w:t>
      </w:r>
      <w:r w:rsidRPr="00EC18F1">
        <w:rPr>
          <w:rFonts w:ascii="Palatino Linotype" w:eastAsia="Calibri" w:hAnsi="Palatino Linotype" w:cs="Arial"/>
          <w:lang w:val="es-ES"/>
        </w:rPr>
        <w:t xml:space="preserve">Se </w:t>
      </w:r>
      <w:r w:rsidRPr="00EC18F1">
        <w:rPr>
          <w:rFonts w:ascii="Palatino Linotype" w:eastAsia="Calibri" w:hAnsi="Palatino Linotype" w:cs="Arial"/>
          <w:b/>
          <w:lang w:val="es-ES"/>
        </w:rPr>
        <w:t>MODIFICA</w:t>
      </w:r>
      <w:r w:rsidRPr="00EC18F1">
        <w:rPr>
          <w:rFonts w:ascii="Palatino Linotype" w:eastAsia="Calibri" w:hAnsi="Palatino Linotype" w:cs="Arial"/>
          <w:lang w:val="es-ES"/>
        </w:rPr>
        <w:t xml:space="preserve"> la respuesta emitida por el </w:t>
      </w:r>
      <w:r w:rsidR="006073A5" w:rsidRPr="00EC18F1">
        <w:rPr>
          <w:rFonts w:ascii="Palatino Linotype" w:eastAsia="Calibri" w:hAnsi="Palatino Linotype" w:cs="Arial"/>
          <w:b/>
        </w:rPr>
        <w:t>Ayuntamiento de Timilpan</w:t>
      </w:r>
      <w:r w:rsidRPr="00EC18F1">
        <w:rPr>
          <w:rFonts w:ascii="Palatino Linotype" w:eastAsia="Calibri" w:hAnsi="Palatino Linotype" w:cs="Arial"/>
          <w:bCs/>
        </w:rPr>
        <w:t xml:space="preserve"> a la solicitud </w:t>
      </w:r>
      <w:r w:rsidR="006073A5" w:rsidRPr="00EC18F1">
        <w:rPr>
          <w:rFonts w:ascii="Palatino Linotype" w:eastAsia="MS Mincho" w:hAnsi="Palatino Linotype" w:cstheme="majorBidi"/>
          <w:b/>
          <w:lang w:val="es-ES"/>
        </w:rPr>
        <w:t>00073/TIMILPAN/IP/2022</w:t>
      </w:r>
      <w:r w:rsidRPr="00EC18F1">
        <w:rPr>
          <w:rFonts w:ascii="Palatino Linotype" w:eastAsia="MS Mincho" w:hAnsi="Palatino Linotype" w:cstheme="majorBidi"/>
          <w:b/>
          <w:lang w:val="es-ES"/>
        </w:rPr>
        <w:t xml:space="preserve"> </w:t>
      </w:r>
      <w:r w:rsidRPr="00EC18F1">
        <w:rPr>
          <w:rFonts w:ascii="Palatino Linotype" w:eastAsia="Calibri" w:hAnsi="Palatino Linotype" w:cs="Arial"/>
        </w:rPr>
        <w:t xml:space="preserve">y se </w:t>
      </w:r>
      <w:r w:rsidRPr="00EC18F1">
        <w:rPr>
          <w:rFonts w:ascii="Palatino Linotype" w:eastAsia="Calibri" w:hAnsi="Palatino Linotype" w:cs="Arial"/>
          <w:b/>
        </w:rPr>
        <w:t>ORDENA</w:t>
      </w:r>
      <w:r w:rsidRPr="00EC18F1">
        <w:rPr>
          <w:rFonts w:ascii="Palatino Linotype" w:eastAsia="Calibri" w:hAnsi="Palatino Linotype" w:cs="Arial"/>
          <w:b/>
          <w:lang w:val="es-ES"/>
        </w:rPr>
        <w:t xml:space="preserve"> </w:t>
      </w:r>
      <w:r w:rsidRPr="00EC18F1">
        <w:rPr>
          <w:rFonts w:ascii="Palatino Linotype" w:eastAsia="Calibri" w:hAnsi="Palatino Linotype" w:cs="Arial"/>
          <w:lang w:val="es-ES"/>
        </w:rPr>
        <w:t xml:space="preserve">entregar, </w:t>
      </w:r>
      <w:bookmarkStart w:id="29" w:name="_Toc460947013"/>
      <w:r w:rsidRPr="00EC18F1">
        <w:rPr>
          <w:rFonts w:ascii="Palatino Linotype" w:eastAsia="Calibri" w:hAnsi="Palatino Linotype" w:cs="Arial"/>
          <w:lang w:val="es-ES"/>
        </w:rPr>
        <w:t>vía Sistema de Acceso a la Información Pública Mexiquense (SAIMEX)</w:t>
      </w:r>
      <w:r w:rsidRPr="00EC18F1">
        <w:rPr>
          <w:rFonts w:ascii="Palatino Linotype" w:eastAsia="Times New Roman" w:hAnsi="Palatino Linotype" w:cs="Arial"/>
          <w:color w:val="000000"/>
        </w:rPr>
        <w:t xml:space="preserve">, </w:t>
      </w:r>
      <w:r w:rsidR="007D703F" w:rsidRPr="00EC18F1">
        <w:rPr>
          <w:rFonts w:ascii="Palatino Linotype" w:eastAsia="Times New Roman" w:hAnsi="Palatino Linotype" w:cs="Arial"/>
          <w:color w:val="000000"/>
          <w:lang w:val="es-ES"/>
        </w:rPr>
        <w:t>en versión pública de ser procedente, los documentos donde conste la siguiente información</w:t>
      </w:r>
      <w:r w:rsidR="00FF3044" w:rsidRPr="00EC18F1">
        <w:rPr>
          <w:rFonts w:ascii="Palatino Linotype" w:eastAsia="Times New Roman" w:hAnsi="Palatino Linotype" w:cs="Arial"/>
          <w:color w:val="000000"/>
          <w:lang w:val="es-ES"/>
        </w:rPr>
        <w:t xml:space="preserve"> comprendida del uno (01) de enero de dos mil diecinueve al ocho (08) de noviembre de dos mil veintidós</w:t>
      </w:r>
      <w:r w:rsidR="007D703F" w:rsidRPr="00EC18F1">
        <w:rPr>
          <w:rFonts w:ascii="Palatino Linotype" w:eastAsia="Times New Roman" w:hAnsi="Palatino Linotype" w:cs="Arial"/>
          <w:color w:val="000000"/>
          <w:lang w:val="es-ES"/>
        </w:rPr>
        <w:t>:</w:t>
      </w:r>
      <w:r w:rsidRPr="00EC18F1">
        <w:rPr>
          <w:rFonts w:ascii="Palatino Linotype" w:eastAsia="Times New Roman" w:hAnsi="Palatino Linotype" w:cs="Arial"/>
          <w:color w:val="000000"/>
        </w:rPr>
        <w:t xml:space="preserve"> </w:t>
      </w:r>
    </w:p>
    <w:p w14:paraId="51CC14E6" w14:textId="0A6B1D27" w:rsidR="00FF3044"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Del personal adscrito al Sistema Municipal para el Desarrollo Integral de la Familia:</w:t>
      </w:r>
    </w:p>
    <w:p w14:paraId="2FCB8837" w14:textId="5717CFD6" w:rsidR="007D703F" w:rsidRPr="00EC18F1" w:rsidRDefault="007D703F" w:rsidP="00FF3044">
      <w:pPr>
        <w:pStyle w:val="Prrafodelista"/>
        <w:numPr>
          <w:ilvl w:val="1"/>
          <w:numId w:val="25"/>
        </w:numPr>
        <w:tabs>
          <w:tab w:val="left" w:pos="426"/>
        </w:tabs>
        <w:spacing w:before="240" w:after="240" w:line="360" w:lineRule="auto"/>
        <w:ind w:left="1701" w:right="51"/>
        <w:jc w:val="both"/>
        <w:rPr>
          <w:rFonts w:ascii="Palatino Linotype" w:hAnsi="Palatino Linotype"/>
          <w:b/>
          <w:color w:val="000000" w:themeColor="text1"/>
        </w:rPr>
      </w:pPr>
      <w:r w:rsidRPr="00EC18F1">
        <w:rPr>
          <w:rFonts w:ascii="Palatino Linotype" w:hAnsi="Palatino Linotype"/>
          <w:b/>
          <w:color w:val="000000" w:themeColor="text1"/>
        </w:rPr>
        <w:t>Percepciones extraordinarias, compensaciones, bonificaciones y agu</w:t>
      </w:r>
      <w:r w:rsidR="00FF3044" w:rsidRPr="00EC18F1">
        <w:rPr>
          <w:rFonts w:ascii="Palatino Linotype" w:hAnsi="Palatino Linotype"/>
          <w:b/>
          <w:color w:val="000000" w:themeColor="text1"/>
        </w:rPr>
        <w:t>inaldos; y</w:t>
      </w:r>
    </w:p>
    <w:p w14:paraId="667950A6" w14:textId="6F369DD0" w:rsidR="00FF3044" w:rsidRPr="00EC18F1" w:rsidRDefault="00FF3044" w:rsidP="00FF3044">
      <w:pPr>
        <w:pStyle w:val="Prrafodelista"/>
        <w:numPr>
          <w:ilvl w:val="1"/>
          <w:numId w:val="25"/>
        </w:numPr>
        <w:tabs>
          <w:tab w:val="left" w:pos="426"/>
        </w:tabs>
        <w:spacing w:before="240" w:after="240" w:line="360" w:lineRule="auto"/>
        <w:ind w:left="1701" w:right="51"/>
        <w:jc w:val="both"/>
        <w:rPr>
          <w:rFonts w:ascii="Palatino Linotype" w:hAnsi="Palatino Linotype"/>
          <w:b/>
          <w:color w:val="000000" w:themeColor="text1"/>
        </w:rPr>
      </w:pPr>
      <w:r w:rsidRPr="00EC18F1">
        <w:rPr>
          <w:rFonts w:ascii="Palatino Linotype" w:hAnsi="Palatino Linotype"/>
          <w:b/>
          <w:color w:val="000000" w:themeColor="text1"/>
        </w:rPr>
        <w:t>Fichas curriculares.</w:t>
      </w:r>
    </w:p>
    <w:p w14:paraId="2FCE1E67" w14:textId="4D31883B" w:rsidR="00FF3044"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Apoyos económicos otorgados por el Sistema Municipal para el Desarrollo Integral de la Familia;</w:t>
      </w:r>
    </w:p>
    <w:p w14:paraId="66A2DCD9" w14:textId="3CF576BF" w:rsidR="007D703F"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Listas de raya faltantes, del personal adscrito al Ayuntamiento de Timilpan;</w:t>
      </w:r>
    </w:p>
    <w:p w14:paraId="6D73B558" w14:textId="7B94FCD8" w:rsidR="00FF3044"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Listado de proveedores, donde conste su razón social y monto asignado.</w:t>
      </w:r>
    </w:p>
    <w:p w14:paraId="554385BE" w14:textId="39BB4853" w:rsidR="007D703F"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Detalle y montos de la deuda pública;</w:t>
      </w:r>
      <w:r w:rsidR="00006D92" w:rsidRPr="00EC18F1">
        <w:rPr>
          <w:rFonts w:ascii="Palatino Linotype" w:hAnsi="Palatino Linotype"/>
          <w:b/>
          <w:color w:val="000000" w:themeColor="text1"/>
        </w:rPr>
        <w:t xml:space="preserve"> y</w:t>
      </w:r>
    </w:p>
    <w:p w14:paraId="64EE867E" w14:textId="00867BD3" w:rsidR="00FF3044" w:rsidRPr="00EC18F1" w:rsidRDefault="00FF3044" w:rsidP="00D364ED">
      <w:pPr>
        <w:pStyle w:val="Prrafodelista"/>
        <w:numPr>
          <w:ilvl w:val="0"/>
          <w:numId w:val="20"/>
        </w:numPr>
        <w:tabs>
          <w:tab w:val="left" w:pos="426"/>
        </w:tabs>
        <w:spacing w:before="240" w:after="240" w:line="360" w:lineRule="auto"/>
        <w:ind w:left="1134" w:right="51"/>
        <w:jc w:val="both"/>
        <w:rPr>
          <w:rFonts w:ascii="Palatino Linotype" w:hAnsi="Palatino Linotype"/>
          <w:b/>
          <w:color w:val="000000" w:themeColor="text1"/>
        </w:rPr>
      </w:pPr>
      <w:r w:rsidRPr="00EC18F1">
        <w:rPr>
          <w:rFonts w:ascii="Palatino Linotype" w:hAnsi="Palatino Linotype"/>
          <w:b/>
          <w:color w:val="000000" w:themeColor="text1"/>
        </w:rPr>
        <w:t>Status de</w:t>
      </w:r>
      <w:r w:rsidR="007D703F" w:rsidRPr="00EC18F1">
        <w:rPr>
          <w:rFonts w:ascii="Palatino Linotype" w:hAnsi="Palatino Linotype"/>
          <w:b/>
          <w:color w:val="000000" w:themeColor="text1"/>
        </w:rPr>
        <w:t xml:space="preserve"> los procedimientos </w:t>
      </w:r>
      <w:r w:rsidRPr="00EC18F1">
        <w:rPr>
          <w:rFonts w:ascii="Palatino Linotype" w:hAnsi="Palatino Linotype"/>
          <w:b/>
          <w:color w:val="000000" w:themeColor="text1"/>
        </w:rPr>
        <w:t>fiscales, administrativos, penales y/o civiles, donde el Ayuntamiento de Timilpan sea parte, sustanciados en contra de ex servidores públicos</w:t>
      </w:r>
      <w:r w:rsidR="00006D92" w:rsidRPr="00EC18F1">
        <w:rPr>
          <w:rFonts w:ascii="Palatino Linotype" w:hAnsi="Palatino Linotype"/>
          <w:b/>
          <w:color w:val="000000" w:themeColor="text1"/>
        </w:rPr>
        <w:t>.</w:t>
      </w:r>
    </w:p>
    <w:p w14:paraId="7019953A" w14:textId="497FD1D4" w:rsidR="00D364ED" w:rsidRPr="00EC18F1" w:rsidRDefault="00365485" w:rsidP="00D364ED">
      <w:pPr>
        <w:spacing w:line="360" w:lineRule="auto"/>
        <w:jc w:val="both"/>
        <w:rPr>
          <w:rFonts w:ascii="Palatino Linotype" w:eastAsia="Calibri" w:hAnsi="Palatino Linotype" w:cs="Arial"/>
          <w:lang w:val="es-ES_tradnl"/>
        </w:rPr>
      </w:pPr>
      <w:r w:rsidRPr="00EC18F1">
        <w:rPr>
          <w:rFonts w:ascii="Palatino Linotype" w:eastAsia="Calibri" w:hAnsi="Palatino Linotype" w:cs="Arial"/>
          <w:lang w:val="es-ES_tradnl"/>
        </w:rPr>
        <w:t>Para efectos de lo anterior,</w:t>
      </w:r>
      <w:r w:rsidR="00D364ED" w:rsidRPr="00EC18F1">
        <w:rPr>
          <w:rFonts w:ascii="Palatino Linotype" w:eastAsia="Calibri" w:hAnsi="Palatino Linotype" w:cs="Arial"/>
          <w:lang w:val="es-ES_tradn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07EC5B0" w14:textId="77777777" w:rsidR="00D364ED" w:rsidRPr="00EC18F1" w:rsidRDefault="00D364ED" w:rsidP="00D364ED">
      <w:pPr>
        <w:spacing w:line="360" w:lineRule="auto"/>
        <w:jc w:val="both"/>
        <w:rPr>
          <w:rFonts w:ascii="Palatino Linotype" w:eastAsia="Calibri" w:hAnsi="Palatino Linotype" w:cs="Arial"/>
          <w:lang w:val="es-ES_tradnl"/>
        </w:rPr>
      </w:pPr>
    </w:p>
    <w:p w14:paraId="2AF3C408" w14:textId="5BC92ABB" w:rsidR="00874A6C" w:rsidRPr="00EC18F1" w:rsidRDefault="00874A6C" w:rsidP="00874A6C">
      <w:pPr>
        <w:spacing w:line="360" w:lineRule="auto"/>
        <w:jc w:val="both"/>
        <w:rPr>
          <w:rFonts w:ascii="Palatino Linotype" w:hAnsi="Palatino Linotype"/>
        </w:rPr>
      </w:pPr>
      <w:r w:rsidRPr="00EC18F1">
        <w:rPr>
          <w:rFonts w:ascii="Palatino Linotype" w:eastAsia="Calibri" w:hAnsi="Palatino Linotype" w:cs="Arial"/>
          <w:bCs/>
        </w:rPr>
        <w:lastRenderedPageBreak/>
        <w:t xml:space="preserve">Finalmente, </w:t>
      </w:r>
      <w:r w:rsidRPr="00EC18F1">
        <w:rPr>
          <w:rFonts w:ascii="Palatino Linotype" w:hAnsi="Palatino Linotype"/>
          <w:iCs/>
          <w:lang w:val="es-ES_tradnl"/>
        </w:rPr>
        <w:t>en caso de que no se hayan ejercido las facultades, competencias o funciones que propiciaran la generación de la información que se ordena entregar</w:t>
      </w:r>
      <w:r w:rsidR="00365485" w:rsidRPr="00EC18F1">
        <w:rPr>
          <w:rFonts w:ascii="Palatino Linotype" w:hAnsi="Palatino Linotype"/>
          <w:iCs/>
          <w:lang w:val="es-ES_tradnl"/>
        </w:rPr>
        <w:t xml:space="preserve"> en los </w:t>
      </w:r>
      <w:r w:rsidR="008B24F7" w:rsidRPr="00EC18F1">
        <w:rPr>
          <w:rFonts w:ascii="Palatino Linotype" w:hAnsi="Palatino Linotype"/>
          <w:b/>
          <w:iCs/>
          <w:lang w:val="es-ES_tradnl"/>
        </w:rPr>
        <w:t>puntos II o</w:t>
      </w:r>
      <w:r w:rsidR="00365485" w:rsidRPr="00EC18F1">
        <w:rPr>
          <w:rFonts w:ascii="Palatino Linotype" w:hAnsi="Palatino Linotype"/>
          <w:b/>
          <w:iCs/>
          <w:lang w:val="es-ES_tradnl"/>
        </w:rPr>
        <w:t xml:space="preserve"> VI</w:t>
      </w:r>
      <w:r w:rsidRPr="00EC18F1">
        <w:rPr>
          <w:rFonts w:ascii="Palatino Linotype" w:hAnsi="Palatino Linotype"/>
          <w:iCs/>
          <w:lang w:val="es-ES_tradnl"/>
        </w:rPr>
        <w:t xml:space="preserve">, el </w:t>
      </w:r>
      <w:r w:rsidRPr="00EC18F1">
        <w:rPr>
          <w:rFonts w:ascii="Palatino Linotype" w:hAnsi="Palatino Linotype"/>
          <w:b/>
          <w:iCs/>
          <w:lang w:val="es-ES_tradnl"/>
        </w:rPr>
        <w:t>SUJETO OBLIGADO</w:t>
      </w:r>
      <w:r w:rsidRPr="00EC18F1">
        <w:rPr>
          <w:rFonts w:ascii="Palatino Linotype" w:hAnsi="Palatino Linotype"/>
          <w:iCs/>
          <w:lang w:val="es-ES_tradnl"/>
        </w:rPr>
        <w:t xml:space="preserve"> deberá motivar su respuesta en función de las causas que motiven tal circunstancia</w:t>
      </w:r>
      <w:r w:rsidRPr="00EC18F1">
        <w:rPr>
          <w:rFonts w:ascii="Palatino Linotype" w:hAnsi="Palatino Linotype"/>
          <w:bCs/>
          <w:iCs/>
          <w:lang w:val="es-ES_tradnl"/>
        </w:rPr>
        <w:t>.</w:t>
      </w:r>
    </w:p>
    <w:p w14:paraId="5CACB613" w14:textId="77777777" w:rsidR="00D364ED" w:rsidRPr="00EC18F1" w:rsidRDefault="00D364ED" w:rsidP="00D364ED">
      <w:pPr>
        <w:tabs>
          <w:tab w:val="left" w:pos="993"/>
        </w:tabs>
        <w:spacing w:line="360" w:lineRule="auto"/>
        <w:jc w:val="both"/>
        <w:rPr>
          <w:rFonts w:ascii="Palatino Linotype" w:eastAsia="Calibri" w:hAnsi="Palatino Linotype" w:cs="Arial"/>
          <w:bCs/>
        </w:rPr>
      </w:pPr>
    </w:p>
    <w:p w14:paraId="4A48F6E5" w14:textId="1A12B316" w:rsidR="00D364ED" w:rsidRPr="00EC18F1" w:rsidRDefault="00D364ED" w:rsidP="00D364ED">
      <w:pPr>
        <w:spacing w:line="360" w:lineRule="auto"/>
        <w:jc w:val="both"/>
        <w:rPr>
          <w:rFonts w:ascii="Palatino Linotype" w:eastAsia="MS Mincho" w:hAnsi="Palatino Linotype" w:cs="Times New Roman"/>
          <w:color w:val="000000"/>
        </w:rPr>
      </w:pPr>
      <w:r w:rsidRPr="00EC18F1">
        <w:rPr>
          <w:rFonts w:ascii="Palatino Linotype" w:eastAsia="MS Mincho" w:hAnsi="Palatino Linotype" w:cs="Times New Roman"/>
          <w:b/>
          <w:color w:val="000000"/>
        </w:rPr>
        <w:t>TERCERO.</w:t>
      </w:r>
      <w:r w:rsidRPr="00EC18F1">
        <w:rPr>
          <w:rFonts w:ascii="Palatino Linotype" w:eastAsia="MS Mincho" w:hAnsi="Palatino Linotype" w:cs="Times New Roman"/>
          <w:color w:val="000000"/>
        </w:rPr>
        <w:t xml:space="preserve"> Notifíquese al </w:t>
      </w:r>
      <w:r w:rsidR="002D6977" w:rsidRPr="00EC18F1">
        <w:rPr>
          <w:rFonts w:ascii="Palatino Linotype" w:hAnsi="Palatino Linotype" w:cs="Arial"/>
          <w:color w:val="222222"/>
          <w:lang w:eastAsia="es-MX"/>
        </w:rPr>
        <w:t xml:space="preserve">Titular de la Unidad de Transparencia del </w:t>
      </w:r>
      <w:r w:rsidR="002D6977" w:rsidRPr="00EC18F1">
        <w:rPr>
          <w:rFonts w:ascii="Palatino Linotype" w:hAnsi="Palatino Linotype" w:cs="Arial"/>
          <w:b/>
          <w:bCs/>
          <w:color w:val="222222"/>
          <w:lang w:eastAsia="es-MX"/>
        </w:rPr>
        <w:t>SUJETO OBLIGADO</w:t>
      </w:r>
      <w:r w:rsidR="002D6977" w:rsidRPr="00EC18F1">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w:t>
      </w:r>
      <w:r w:rsidR="002D6977" w:rsidRPr="00EC18F1">
        <w:rPr>
          <w:rFonts w:ascii="Palatino Linotype" w:hAnsi="Palatino Linotype" w:cs="Arial"/>
          <w:b/>
          <w:color w:val="222222"/>
          <w:lang w:eastAsia="es-MX"/>
        </w:rPr>
        <w:t>dé cumplimiento a lo ordenado dentro del plazo de diez días hábiles,</w:t>
      </w:r>
      <w:r w:rsidR="002D6977" w:rsidRPr="00EC18F1">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EE3CDA" w:rsidRPr="00EC18F1">
        <w:rPr>
          <w:rFonts w:ascii="Palatino Linotype" w:hAnsi="Palatino Linotype" w:cs="Arial"/>
          <w:color w:val="222222"/>
          <w:lang w:val="es-ES_tradnl" w:eastAsia="es-MX"/>
        </w:rPr>
        <w:t>.</w:t>
      </w:r>
    </w:p>
    <w:p w14:paraId="6C349A09" w14:textId="77777777" w:rsidR="00D364ED" w:rsidRPr="00EC18F1" w:rsidRDefault="00D364ED" w:rsidP="00D364ED">
      <w:pPr>
        <w:spacing w:line="360" w:lineRule="auto"/>
        <w:jc w:val="both"/>
        <w:rPr>
          <w:rFonts w:ascii="Palatino Linotype" w:eastAsia="MS Mincho" w:hAnsi="Palatino Linotype" w:cs="Times New Roman"/>
          <w:color w:val="000000"/>
        </w:rPr>
      </w:pPr>
    </w:p>
    <w:p w14:paraId="39064C39" w14:textId="77777777" w:rsidR="00D364ED" w:rsidRPr="00EC18F1" w:rsidRDefault="00D364ED" w:rsidP="00D364ED">
      <w:pPr>
        <w:spacing w:line="360" w:lineRule="auto"/>
        <w:jc w:val="both"/>
        <w:rPr>
          <w:rFonts w:ascii="Palatino Linotype" w:eastAsia="MS Mincho" w:hAnsi="Palatino Linotype" w:cs="Times New Roman"/>
          <w:color w:val="000000"/>
        </w:rPr>
      </w:pPr>
      <w:r w:rsidRPr="00EC18F1">
        <w:rPr>
          <w:rFonts w:ascii="Palatino Linotype" w:eastAsia="MS Mincho" w:hAnsi="Palatino Linotype" w:cs="Times New Roman"/>
          <w:b/>
          <w:bCs/>
          <w:color w:val="000000"/>
        </w:rPr>
        <w:t>CUARTO.</w:t>
      </w:r>
      <w:r w:rsidRPr="00EC18F1">
        <w:rPr>
          <w:rFonts w:ascii="Palatino Linotype" w:eastAsia="MS Mincho" w:hAnsi="Palatino Linotype" w:cs="Times New Roman"/>
          <w:color w:val="000000"/>
        </w:rPr>
        <w:t xml:space="preserve"> De </w:t>
      </w:r>
      <w:r w:rsidRPr="00EC18F1">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EC18F1">
        <w:rPr>
          <w:rFonts w:ascii="Palatino Linotype" w:eastAsia="MS Mincho" w:hAnsi="Palatino Linotype" w:cs="Times New Roman"/>
          <w:b/>
          <w:color w:val="000000"/>
        </w:rPr>
        <w:t>SUJETO OBLIGADO,</w:t>
      </w:r>
      <w:r w:rsidRPr="00EC18F1">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41A6F169" w14:textId="77777777" w:rsidR="00D364ED" w:rsidRPr="00EC18F1" w:rsidRDefault="00D364ED" w:rsidP="00D364ED">
      <w:pPr>
        <w:spacing w:line="360" w:lineRule="auto"/>
        <w:jc w:val="both"/>
        <w:rPr>
          <w:rFonts w:ascii="Palatino Linotype" w:eastAsia="MS Mincho" w:hAnsi="Palatino Linotype" w:cs="Times New Roman"/>
          <w:color w:val="000000"/>
        </w:rPr>
      </w:pPr>
    </w:p>
    <w:p w14:paraId="3C8826A8" w14:textId="31946ED7" w:rsidR="00D364ED" w:rsidRPr="00EC18F1" w:rsidRDefault="00D364ED" w:rsidP="00D364ED">
      <w:pPr>
        <w:spacing w:line="360" w:lineRule="auto"/>
        <w:jc w:val="both"/>
        <w:rPr>
          <w:rFonts w:ascii="Palatino Linotype" w:eastAsia="MS Mincho" w:hAnsi="Palatino Linotype" w:cs="Times New Roman"/>
          <w:color w:val="000000"/>
        </w:rPr>
      </w:pPr>
      <w:r w:rsidRPr="00EC18F1">
        <w:rPr>
          <w:rFonts w:ascii="Palatino Linotype" w:eastAsia="MS Mincho" w:hAnsi="Palatino Linotype" w:cs="Times New Roman"/>
          <w:b/>
          <w:color w:val="000000"/>
        </w:rPr>
        <w:t xml:space="preserve">QUINTO. </w:t>
      </w:r>
      <w:r w:rsidRPr="00EC18F1">
        <w:rPr>
          <w:rFonts w:ascii="Palatino Linotype" w:eastAsia="MS Mincho" w:hAnsi="Palatino Linotype" w:cs="Times New Roman"/>
          <w:color w:val="000000"/>
        </w:rPr>
        <w:t xml:space="preserve">Notifíquese al </w:t>
      </w:r>
      <w:r w:rsidRPr="00EC18F1">
        <w:rPr>
          <w:rFonts w:ascii="Palatino Linotype" w:eastAsia="MS Mincho" w:hAnsi="Palatino Linotype" w:cs="Times New Roman"/>
          <w:b/>
          <w:bCs/>
          <w:color w:val="000000"/>
        </w:rPr>
        <w:t>RECURRENTE</w:t>
      </w:r>
      <w:r w:rsidRPr="00EC18F1">
        <w:rPr>
          <w:rFonts w:ascii="Palatino Linotype" w:eastAsia="MS Mincho" w:hAnsi="Palatino Linotype" w:cs="Times New Roman"/>
          <w:color w:val="000000"/>
        </w:rPr>
        <w:t xml:space="preserve"> la presente resolución vía Sistema de Acceso a la Información Mexiquense (SAIMEX).</w:t>
      </w:r>
    </w:p>
    <w:p w14:paraId="4E3FC8E2" w14:textId="77777777" w:rsidR="00D364ED" w:rsidRPr="00EC18F1" w:rsidRDefault="00D364ED" w:rsidP="00D364ED">
      <w:pPr>
        <w:spacing w:line="360" w:lineRule="auto"/>
        <w:jc w:val="both"/>
        <w:rPr>
          <w:rFonts w:ascii="Palatino Linotype" w:hAnsi="Palatino Linotype"/>
          <w:b/>
        </w:rPr>
      </w:pPr>
    </w:p>
    <w:p w14:paraId="000A5561" w14:textId="4BA48D39" w:rsidR="00D364ED" w:rsidRPr="00EC18F1" w:rsidRDefault="00D364ED" w:rsidP="00D364ED">
      <w:pPr>
        <w:spacing w:line="360" w:lineRule="auto"/>
        <w:jc w:val="both"/>
        <w:rPr>
          <w:rFonts w:ascii="Palatino Linotype" w:eastAsia="MS Mincho" w:hAnsi="Palatino Linotype" w:cs="Times New Roman"/>
          <w:color w:val="000000"/>
        </w:rPr>
      </w:pPr>
      <w:r w:rsidRPr="00EC18F1">
        <w:rPr>
          <w:rFonts w:ascii="Palatino Linotype" w:eastAsia="MS Mincho" w:hAnsi="Palatino Linotype" w:cs="Times New Roman"/>
          <w:b/>
        </w:rPr>
        <w:lastRenderedPageBreak/>
        <w:t>SEXTO</w:t>
      </w:r>
      <w:r w:rsidRPr="00EC18F1">
        <w:rPr>
          <w:rFonts w:ascii="Palatino Linotype" w:eastAsia="MS Mincho" w:hAnsi="Palatino Linotype" w:cs="Times New Roman"/>
          <w:b/>
          <w:color w:val="000000"/>
        </w:rPr>
        <w:t xml:space="preserve">. </w:t>
      </w:r>
      <w:r w:rsidRPr="00EC18F1">
        <w:rPr>
          <w:rFonts w:ascii="Palatino Linotype" w:eastAsia="MS Mincho" w:hAnsi="Palatino Linotype" w:cs="Times New Roman"/>
          <w:color w:val="000000"/>
        </w:rPr>
        <w:t xml:space="preserve">Se </w:t>
      </w:r>
      <w:bookmarkEnd w:id="29"/>
      <w:r w:rsidR="00B26C88" w:rsidRPr="00EC18F1">
        <w:rPr>
          <w:rFonts w:ascii="Palatino Linotype" w:eastAsia="MS Mincho" w:hAnsi="Palatino Linotype" w:cs="Times New Roman"/>
          <w:color w:val="000000" w:themeColor="text1"/>
        </w:rPr>
        <w:t xml:space="preserve">hace del conocimiento del </w:t>
      </w:r>
      <w:r w:rsidR="00B26C88" w:rsidRPr="00EC18F1">
        <w:rPr>
          <w:rFonts w:ascii="Palatino Linotype" w:eastAsia="MS Mincho" w:hAnsi="Palatino Linotype" w:cs="Times New Roman"/>
          <w:b/>
          <w:bCs/>
          <w:color w:val="000000" w:themeColor="text1"/>
        </w:rPr>
        <w:t>RECURRENTE</w:t>
      </w:r>
      <w:r w:rsidR="00B26C88" w:rsidRPr="00EC18F1">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w:t>
      </w:r>
      <w:r w:rsidR="002852FE" w:rsidRPr="00EC18F1">
        <w:rPr>
          <w:rFonts w:ascii="Palatino Linotype" w:eastAsia="MS Mincho" w:hAnsi="Palatino Linotype" w:cs="Times New Roman"/>
          <w:color w:val="000000" w:themeColor="text1"/>
        </w:rPr>
        <w:t xml:space="preserve">; </w:t>
      </w:r>
      <w:r w:rsidR="00B26C88" w:rsidRPr="00EC18F1">
        <w:rPr>
          <w:rFonts w:ascii="Palatino Linotype" w:eastAsia="MS Mincho" w:hAnsi="Palatino Linotype" w:cs="Times New Roman"/>
          <w:color w:val="000000" w:themeColor="text1"/>
        </w:rPr>
        <w:t>o bien</w:t>
      </w:r>
      <w:r w:rsidR="002852FE" w:rsidRPr="00EC18F1">
        <w:rPr>
          <w:rFonts w:ascii="Palatino Linotype" w:eastAsia="MS Mincho" w:hAnsi="Palatino Linotype" w:cs="Times New Roman"/>
          <w:color w:val="000000" w:themeColor="text1"/>
        </w:rPr>
        <w:t>,</w:t>
      </w:r>
      <w:r w:rsidR="00B26C88" w:rsidRPr="00EC18F1">
        <w:rPr>
          <w:rFonts w:ascii="Palatino Linotype" w:eastAsia="MS Mincho" w:hAnsi="Palatino Linotype" w:cs="Times New Roman"/>
          <w:color w:val="000000" w:themeColor="text1"/>
        </w:rPr>
        <w:t xml:space="preserve"> vía juicio de amparo en los términos de las leyes aplicables.</w:t>
      </w:r>
    </w:p>
    <w:p w14:paraId="35177F2C" w14:textId="77777777" w:rsidR="002578EE" w:rsidRPr="00EC18F1" w:rsidRDefault="002578EE" w:rsidP="002578EE">
      <w:pPr>
        <w:spacing w:line="360" w:lineRule="auto"/>
        <w:jc w:val="both"/>
        <w:rPr>
          <w:rFonts w:ascii="Palatino Linotype" w:eastAsia="MS Mincho" w:hAnsi="Palatino Linotype" w:cs="Times New Roman"/>
          <w:color w:val="000000"/>
        </w:rPr>
      </w:pPr>
    </w:p>
    <w:p w14:paraId="6F9E46CD" w14:textId="77777777" w:rsidR="00B14D96" w:rsidRPr="00B14D96" w:rsidRDefault="00B14D96" w:rsidP="00B14D96">
      <w:pPr>
        <w:spacing w:before="240" w:after="240" w:line="360" w:lineRule="auto"/>
        <w:ind w:firstLine="1"/>
        <w:jc w:val="both"/>
        <w:rPr>
          <w:rStyle w:val="Referenciasutil"/>
          <w:rFonts w:ascii="Palatino Linotype" w:hAnsi="Palatino Linotype"/>
          <w:color w:val="auto"/>
        </w:rPr>
      </w:pPr>
      <w:bookmarkStart w:id="30" w:name="_Hlk129792997"/>
      <w:r w:rsidRPr="00EC18F1">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VEINTIOCHO (28) DE FEBRERO DE DOS MIL VEINTICUATRO, ANTE EL SECRETARIO TÉCNICO DEL PLENO ALEXIS TAPIA RAMÍREZ.</w:t>
      </w:r>
      <w:r w:rsidRPr="00B14D96">
        <w:rPr>
          <w:rStyle w:val="Referenciasutil"/>
          <w:rFonts w:ascii="Palatino Linotype" w:hAnsi="Palatino Linotype"/>
          <w:color w:val="auto"/>
        </w:rPr>
        <w:t xml:space="preserve"> </w:t>
      </w:r>
      <w:bookmarkEnd w:id="30"/>
    </w:p>
    <w:p w14:paraId="7EFA4F21" w14:textId="77777777" w:rsidR="00895335" w:rsidRPr="001A0F59" w:rsidRDefault="00895335">
      <w:pPr>
        <w:rPr>
          <w:rFonts w:ascii="Palatino Linotype" w:hAnsi="Palatino Linotype" w:cs="Arial"/>
          <w:color w:val="000000" w:themeColor="text1"/>
        </w:rPr>
      </w:pPr>
      <w:r w:rsidRPr="001A0F59">
        <w:rPr>
          <w:rFonts w:ascii="Palatino Linotype" w:hAnsi="Palatino Linotype" w:cs="Arial"/>
          <w:color w:val="000000" w:themeColor="text1"/>
        </w:rPr>
        <w:br w:type="page"/>
      </w:r>
    </w:p>
    <w:sectPr w:rsidR="00895335" w:rsidRPr="001A0F59" w:rsidSect="001A0F59">
      <w:headerReference w:type="default" r:id="rId29"/>
      <w:footerReference w:type="default" r:id="rId30"/>
      <w:headerReference w:type="first" r:id="rId31"/>
      <w:footerReference w:type="first" r:id="rId32"/>
      <w:pgSz w:w="12240" w:h="15840"/>
      <w:pgMar w:top="2021" w:right="104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B2C9C" w14:textId="77777777" w:rsidR="00E51DA9" w:rsidRDefault="00E51DA9" w:rsidP="00587366">
      <w:r>
        <w:separator/>
      </w:r>
    </w:p>
  </w:endnote>
  <w:endnote w:type="continuationSeparator" w:id="0">
    <w:p w14:paraId="23C803DF" w14:textId="77777777" w:rsidR="00E51DA9" w:rsidRDefault="00E51DA9" w:rsidP="00587366">
      <w:r>
        <w:continuationSeparator/>
      </w:r>
    </w:p>
  </w:endnote>
  <w:endnote w:type="continuationNotice" w:id="1">
    <w:p w14:paraId="54369B54" w14:textId="77777777" w:rsidR="00E51DA9" w:rsidRDefault="00E51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A0F59" w:rsidRPr="00883450" w:rsidRDefault="001A0F5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14D96">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14D96">
              <w:rPr>
                <w:rFonts w:ascii="Palatino Linotype" w:hAnsi="Palatino Linotype"/>
                <w:b/>
                <w:bCs/>
                <w:noProof/>
                <w:sz w:val="22"/>
                <w:szCs w:val="20"/>
              </w:rPr>
              <w:t>106</w:t>
            </w:r>
            <w:r w:rsidRPr="00883450">
              <w:rPr>
                <w:rFonts w:ascii="Palatino Linotype" w:hAnsi="Palatino Linotype"/>
                <w:b/>
                <w:bCs/>
                <w:sz w:val="22"/>
                <w:szCs w:val="20"/>
              </w:rPr>
              <w:fldChar w:fldCharType="end"/>
            </w:r>
          </w:p>
        </w:sdtContent>
      </w:sdt>
    </w:sdtContent>
  </w:sdt>
  <w:p w14:paraId="6243EC1B" w14:textId="0E7C8B1E" w:rsidR="001A0F59" w:rsidRDefault="001A0F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1A0F59" w:rsidRPr="00883450" w:rsidRDefault="001A0F5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4D96" w:rsidRPr="00B14D9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4D96" w:rsidRPr="00B14D96">
      <w:rPr>
        <w:rFonts w:ascii="Palatino Linotype" w:hAnsi="Palatino Linotype"/>
        <w:noProof/>
        <w:sz w:val="22"/>
        <w:szCs w:val="22"/>
        <w:lang w:val="es-ES"/>
      </w:rPr>
      <w:t>81</w:t>
    </w:r>
    <w:r w:rsidRPr="00883450">
      <w:rPr>
        <w:rFonts w:ascii="Palatino Linotype" w:hAnsi="Palatino Linotype"/>
        <w:sz w:val="22"/>
        <w:szCs w:val="22"/>
      </w:rPr>
      <w:fldChar w:fldCharType="end"/>
    </w:r>
  </w:p>
  <w:p w14:paraId="5F5C4865" w14:textId="6B993D8B" w:rsidR="001A0F59" w:rsidRPr="00883450" w:rsidRDefault="001A0F5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48E6B" w14:textId="77777777" w:rsidR="00E51DA9" w:rsidRDefault="00E51DA9" w:rsidP="00587366">
      <w:r>
        <w:separator/>
      </w:r>
    </w:p>
  </w:footnote>
  <w:footnote w:type="continuationSeparator" w:id="0">
    <w:p w14:paraId="1D31AB99" w14:textId="77777777" w:rsidR="00E51DA9" w:rsidRDefault="00E51DA9" w:rsidP="00587366">
      <w:r>
        <w:continuationSeparator/>
      </w:r>
    </w:p>
  </w:footnote>
  <w:footnote w:type="continuationNotice" w:id="1">
    <w:p w14:paraId="6DA06B8F" w14:textId="77777777" w:rsidR="00E51DA9" w:rsidRDefault="00E51DA9"/>
  </w:footnote>
  <w:footnote w:id="2">
    <w:p w14:paraId="66736101" w14:textId="77777777" w:rsidR="001A0F59" w:rsidRPr="00C7183E" w:rsidRDefault="001A0F59" w:rsidP="000E0AF9">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735D5148" w14:textId="77777777" w:rsidR="001A0F59" w:rsidRDefault="001A0F59" w:rsidP="000E0AF9">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5E0422E7" w14:textId="77777777" w:rsidR="001A0F59" w:rsidRDefault="001A0F59" w:rsidP="000E0AF9">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3EE0AB35" w14:textId="77777777" w:rsidR="001A0F59" w:rsidRDefault="001A0F59" w:rsidP="00F735CC">
      <w:pPr>
        <w:pStyle w:val="Textonotapie"/>
      </w:pPr>
      <w:r>
        <w:rPr>
          <w:rStyle w:val="Refdenotaalpie"/>
        </w:rPr>
        <w:footnoteRef/>
      </w:r>
      <w:r>
        <w:t xml:space="preserve"> Artículo 50, Ley de Transparencia y Acceso a la Información Pública del Estado de México y Municipios.</w:t>
      </w:r>
    </w:p>
  </w:footnote>
  <w:footnote w:id="6">
    <w:p w14:paraId="4C14E572" w14:textId="77777777" w:rsidR="001A0F59" w:rsidRDefault="001A0F59" w:rsidP="00F735CC">
      <w:pPr>
        <w:pStyle w:val="Textonotapie"/>
      </w:pPr>
      <w:r>
        <w:rPr>
          <w:rStyle w:val="Refdenotaalpie"/>
        </w:rPr>
        <w:footnoteRef/>
      </w:r>
      <w:r>
        <w:t xml:space="preserve"> Artículo 51, Ídem.</w:t>
      </w:r>
    </w:p>
  </w:footnote>
  <w:footnote w:id="7">
    <w:p w14:paraId="58B33468" w14:textId="77777777" w:rsidR="001A0F59" w:rsidRDefault="001A0F59" w:rsidP="00F735CC">
      <w:pPr>
        <w:pStyle w:val="Textonotapie"/>
      </w:pPr>
      <w:r>
        <w:rPr>
          <w:rStyle w:val="Refdenotaalpie"/>
        </w:rPr>
        <w:footnoteRef/>
      </w:r>
      <w:r>
        <w:t xml:space="preserve"> Artículo 58, Ley de Transparencia y Acceso a la Información Pública del Estado de México y Municipios.</w:t>
      </w:r>
    </w:p>
  </w:footnote>
  <w:footnote w:id="8">
    <w:p w14:paraId="6DEE6C7E" w14:textId="77777777" w:rsidR="001A0F59" w:rsidRDefault="001A0F59" w:rsidP="00F735CC">
      <w:pPr>
        <w:pStyle w:val="Textonotapie"/>
      </w:pPr>
      <w:r>
        <w:rPr>
          <w:rStyle w:val="Refdenotaalpie"/>
        </w:rPr>
        <w:footnoteRef/>
      </w:r>
      <w:r>
        <w:t xml:space="preserve"> Artículo 59, Ídem.</w:t>
      </w:r>
    </w:p>
  </w:footnote>
  <w:footnote w:id="9">
    <w:p w14:paraId="34F660ED" w14:textId="77777777" w:rsidR="001A0F59" w:rsidRDefault="001A0F59" w:rsidP="00507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6AF121D6" w14:textId="77777777" w:rsidR="001A0F59" w:rsidRDefault="001A0F59" w:rsidP="00507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3FAC025B" w14:textId="77777777" w:rsidR="001A0F59" w:rsidRDefault="001A0F59" w:rsidP="0050769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4E34163" w14:textId="77777777" w:rsidR="001A0F59" w:rsidRDefault="001A0F59" w:rsidP="0050769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5D50551F" w14:textId="77777777" w:rsidR="001A0F59" w:rsidRDefault="001A0F59" w:rsidP="0050769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DDE5E26" w14:textId="77777777" w:rsidR="001A0F59" w:rsidRDefault="001A0F59" w:rsidP="0050769D">
      <w:pPr>
        <w:pBdr>
          <w:top w:val="nil"/>
          <w:left w:val="nil"/>
          <w:bottom w:val="nil"/>
          <w:right w:val="nil"/>
          <w:between w:val="nil"/>
        </w:pBdr>
        <w:rPr>
          <w:color w:val="000000"/>
          <w:sz w:val="20"/>
          <w:szCs w:val="20"/>
        </w:rPr>
      </w:pPr>
      <w:r>
        <w:rPr>
          <w:color w:val="000000"/>
          <w:sz w:val="20"/>
          <w:szCs w:val="20"/>
        </w:rPr>
        <w:t>(…)”</w:t>
      </w:r>
    </w:p>
  </w:footnote>
  <w:footnote w:id="12">
    <w:p w14:paraId="28175EDC" w14:textId="77777777" w:rsidR="001A0F59" w:rsidRDefault="001A0F59" w:rsidP="003C1CB7">
      <w:pPr>
        <w:pStyle w:val="Textonotapie"/>
      </w:pPr>
      <w:r>
        <w:rPr>
          <w:rStyle w:val="Refdenotaalpie"/>
        </w:rPr>
        <w:footnoteRef/>
      </w:r>
      <w:r>
        <w:t xml:space="preserve"> Políticas para la Integración del Informe Trimestral de los Sujetos de Fiscalización Municipales, OSFEM.</w:t>
      </w:r>
    </w:p>
  </w:footnote>
  <w:footnote w:id="13">
    <w:p w14:paraId="36EA3ADD" w14:textId="1EE3E909" w:rsidR="001A0F59" w:rsidRDefault="001A0F59" w:rsidP="003359E2">
      <w:pPr>
        <w:pStyle w:val="Textonotapie"/>
        <w:jc w:val="both"/>
      </w:pPr>
      <w:r>
        <w:rPr>
          <w:rStyle w:val="Refdenotaalpie"/>
        </w:rPr>
        <w:footnoteRef/>
      </w:r>
      <w:r>
        <w:t xml:space="preserve"> Artículo 2, </w:t>
      </w:r>
      <w:r>
        <w:rPr>
          <w:rFonts w:ascii="Palatino Linotype" w:eastAsia="MS Gothic" w:hAnsi="Palatino Linotype" w:cs="Times New Roman"/>
          <w:szCs w:val="26"/>
        </w:rPr>
        <w:t>Ley que Crea los Organismos Públicos Descentralizados de Asistencia Social, de Carácter Municipal, de nominados “Sistemas Municipales para el Desarrollo Integral de la Familia”</w:t>
      </w:r>
    </w:p>
  </w:footnote>
  <w:footnote w:id="14">
    <w:p w14:paraId="7D251F48" w14:textId="50E8907E" w:rsidR="001A0F59" w:rsidRDefault="001A0F59">
      <w:pPr>
        <w:pStyle w:val="Textonotapie"/>
      </w:pPr>
      <w:r>
        <w:rPr>
          <w:rStyle w:val="Refdenotaalpie"/>
        </w:rPr>
        <w:footnoteRef/>
      </w:r>
      <w:r>
        <w:t xml:space="preserve"> Artículo 288, Bando Municipal 2022 del Ayuntamiento de Timilpan.</w:t>
      </w:r>
    </w:p>
  </w:footnote>
  <w:footnote w:id="15">
    <w:p w14:paraId="2894AF8B" w14:textId="65122BD6" w:rsidR="001A0F59" w:rsidRDefault="001A0F59">
      <w:pPr>
        <w:pStyle w:val="Textonotapie"/>
      </w:pPr>
      <w:r>
        <w:rPr>
          <w:rStyle w:val="Refdenotaalpie"/>
        </w:rPr>
        <w:footnoteRef/>
      </w:r>
      <w:r>
        <w:t xml:space="preserve"> Artículo 256, Código Financiero del Estado de México y Municipios.</w:t>
      </w:r>
    </w:p>
  </w:footnote>
  <w:footnote w:id="16">
    <w:p w14:paraId="78FF79B0" w14:textId="6BD7E413" w:rsidR="001A0F59" w:rsidRDefault="001A0F59">
      <w:pPr>
        <w:pStyle w:val="Textonotapie"/>
      </w:pPr>
      <w:r>
        <w:rPr>
          <w:rStyle w:val="Refdenotaalpie"/>
        </w:rPr>
        <w:footnoteRef/>
      </w:r>
      <w:r>
        <w:t xml:space="preserve"> Artículo 257, Ídem.</w:t>
      </w:r>
    </w:p>
  </w:footnote>
  <w:footnote w:id="17">
    <w:p w14:paraId="25119572" w14:textId="1B85C2F9" w:rsidR="001A0F59" w:rsidRDefault="001A0F59">
      <w:pPr>
        <w:pStyle w:val="Textonotapie"/>
      </w:pPr>
      <w:r>
        <w:rPr>
          <w:rStyle w:val="Refdenotaalpie"/>
        </w:rPr>
        <w:footnoteRef/>
      </w:r>
      <w:r>
        <w:t xml:space="preserve"> Consultable en: </w:t>
      </w:r>
      <w:r w:rsidRPr="00093AD6">
        <w:t>https://www.disciplinafinanciera.hacienda.gob.mx/es/DISCIPLINA_FINANCIERA/Registro_Publico_Unico</w:t>
      </w:r>
    </w:p>
  </w:footnote>
  <w:footnote w:id="18">
    <w:p w14:paraId="692113C8" w14:textId="77777777" w:rsidR="001A0F59" w:rsidRPr="008E2D9F" w:rsidRDefault="001A0F59" w:rsidP="00365485">
      <w:pPr>
        <w:pStyle w:val="Textonotapie"/>
      </w:pPr>
      <w:r>
        <w:rPr>
          <w:rStyle w:val="Refdenotaalpie"/>
        </w:rPr>
        <w:footnoteRef/>
      </w:r>
      <w:r>
        <w:t xml:space="preserve"> Artículo 1, Ley de contratación Pública del Estado de México y Municipios.</w:t>
      </w:r>
    </w:p>
  </w:footnote>
  <w:footnote w:id="19">
    <w:p w14:paraId="3500D080" w14:textId="77777777" w:rsidR="001A0F59" w:rsidRPr="008E2D9F" w:rsidRDefault="001A0F59" w:rsidP="00365485">
      <w:pPr>
        <w:pStyle w:val="Textonotapie"/>
      </w:pPr>
      <w:r>
        <w:rPr>
          <w:rStyle w:val="Refdenotaalpie"/>
        </w:rPr>
        <w:footnoteRef/>
      </w:r>
      <w:r>
        <w:t xml:space="preserve"> Artículo 9, Ley de Contratación Pública del Estado de México y Municipios.</w:t>
      </w:r>
    </w:p>
  </w:footnote>
  <w:footnote w:id="20">
    <w:p w14:paraId="3ABFC13F" w14:textId="49BB0D74" w:rsidR="001A0F59" w:rsidRDefault="001A0F59">
      <w:pPr>
        <w:pStyle w:val="Textonotapie"/>
      </w:pPr>
      <w:r>
        <w:rPr>
          <w:rStyle w:val="Refdenotaalpie"/>
        </w:rPr>
        <w:footnoteRef/>
      </w:r>
      <w:r>
        <w:t xml:space="preserve"> Artículo 86, Ley Orgánica Municipal del Estado de México.</w:t>
      </w:r>
    </w:p>
  </w:footnote>
  <w:footnote w:id="21">
    <w:p w14:paraId="3B67FE19" w14:textId="23D49B35" w:rsidR="001A0F59" w:rsidRDefault="001A0F59">
      <w:pPr>
        <w:pStyle w:val="Textonotapie"/>
      </w:pPr>
      <w:r>
        <w:rPr>
          <w:rStyle w:val="Refdenotaalpie"/>
        </w:rPr>
        <w:footnoteRef/>
      </w:r>
      <w:r>
        <w:t xml:space="preserve"> Artículo 87, Ley Orgánica Municipal del Estado de México.</w:t>
      </w:r>
    </w:p>
  </w:footnote>
  <w:footnote w:id="22">
    <w:p w14:paraId="0499CF35" w14:textId="77777777" w:rsidR="001A0F59" w:rsidRDefault="001A0F59" w:rsidP="003663BC">
      <w:pPr>
        <w:pStyle w:val="Textonotapie"/>
      </w:pPr>
      <w:r>
        <w:rPr>
          <w:rStyle w:val="Refdenotaalpie"/>
        </w:rPr>
        <w:footnoteRef/>
      </w:r>
      <w:r>
        <w:t xml:space="preserve"> Artículo 95 de la Ley de Responsabilidades Administrativas del Estado de México y Municipios.</w:t>
      </w:r>
    </w:p>
  </w:footnote>
  <w:footnote w:id="23">
    <w:p w14:paraId="1BAEDA21" w14:textId="77777777" w:rsidR="001A0F59" w:rsidRDefault="001A0F59" w:rsidP="003663BC">
      <w:pPr>
        <w:pStyle w:val="Textonotapie"/>
      </w:pPr>
      <w:r>
        <w:rPr>
          <w:rStyle w:val="Refdenotaalpie"/>
        </w:rPr>
        <w:footnoteRef/>
      </w:r>
      <w:r>
        <w:t xml:space="preserve"> Artículo 94, Ley de Responsabilidades Administrativas del Estado de México y Municipios.</w:t>
      </w:r>
    </w:p>
  </w:footnote>
  <w:footnote w:id="24">
    <w:p w14:paraId="1DF2EE78" w14:textId="77777777" w:rsidR="001A0F59" w:rsidRDefault="001A0F59" w:rsidP="003663BC">
      <w:pPr>
        <w:pStyle w:val="Textonotapie"/>
      </w:pPr>
      <w:r>
        <w:rPr>
          <w:rStyle w:val="Refdenotaalpie"/>
        </w:rPr>
        <w:footnoteRef/>
      </w:r>
      <w:r>
        <w:t xml:space="preserve"> Artículo 96, Ley de Responsabilidades Administrativas del Estado de México y Municipios.</w:t>
      </w:r>
    </w:p>
  </w:footnote>
  <w:footnote w:id="25">
    <w:p w14:paraId="0BB33A34" w14:textId="77777777" w:rsidR="001A0F59" w:rsidRDefault="001A0F59" w:rsidP="003663BC">
      <w:pPr>
        <w:pStyle w:val="Textonotapie"/>
      </w:pPr>
      <w:r>
        <w:rPr>
          <w:rStyle w:val="Refdenotaalpie"/>
        </w:rPr>
        <w:footnoteRef/>
      </w:r>
      <w:r>
        <w:t xml:space="preserve"> Artículos 99, Ídem.</w:t>
      </w:r>
    </w:p>
  </w:footnote>
  <w:footnote w:id="26">
    <w:p w14:paraId="75CC90BD" w14:textId="77777777" w:rsidR="001A0F59" w:rsidRDefault="001A0F59" w:rsidP="003663BC">
      <w:pPr>
        <w:pStyle w:val="Textonotapie"/>
      </w:pPr>
      <w:r>
        <w:rPr>
          <w:rStyle w:val="Refdenotaalpie"/>
        </w:rPr>
        <w:footnoteRef/>
      </w:r>
      <w:r>
        <w:t xml:space="preserve"> Artículo 101, Ídem.</w:t>
      </w:r>
    </w:p>
  </w:footnote>
  <w:footnote w:id="27">
    <w:p w14:paraId="43D9972C" w14:textId="2A7E96F7" w:rsidR="001A0F59" w:rsidRDefault="001A0F59" w:rsidP="003663BC">
      <w:pPr>
        <w:pStyle w:val="Textonotapie"/>
      </w:pPr>
      <w:r>
        <w:rPr>
          <w:rStyle w:val="Refdenotaalpie"/>
        </w:rPr>
        <w:footnoteRef/>
      </w:r>
      <w:r>
        <w:t xml:space="preserve"> Artículo 104 de la Ley de Responsabilidades Administrativas del Estado de México y Municipios.</w:t>
      </w:r>
    </w:p>
  </w:footnote>
  <w:footnote w:id="28">
    <w:p w14:paraId="0D895E36" w14:textId="392F5DDD" w:rsidR="001A0F59" w:rsidRDefault="001A0F59" w:rsidP="003663BC">
      <w:pPr>
        <w:pStyle w:val="Textonotapie"/>
      </w:pPr>
      <w:r>
        <w:rPr>
          <w:rStyle w:val="Refdenotaalpie"/>
        </w:rPr>
        <w:footnoteRef/>
      </w:r>
      <w:r>
        <w:t xml:space="preserve"> Ibídem.</w:t>
      </w:r>
    </w:p>
  </w:footnote>
  <w:footnote w:id="29">
    <w:p w14:paraId="31FE6618" w14:textId="03E7F5EA" w:rsidR="001A0F59" w:rsidRDefault="001A0F59">
      <w:pPr>
        <w:pStyle w:val="Textonotapie"/>
      </w:pPr>
      <w:r>
        <w:rPr>
          <w:rStyle w:val="Refdenotaalpie"/>
        </w:rPr>
        <w:footnoteRef/>
      </w:r>
      <w:r>
        <w:t xml:space="preserve"> Artículo 10, Ley de Responsabilidades Administrativas del Estado de México y Municipios.</w:t>
      </w:r>
    </w:p>
  </w:footnote>
  <w:footnote w:id="30">
    <w:p w14:paraId="69EFEE51" w14:textId="77777777" w:rsidR="001A0F59" w:rsidRDefault="001A0F59" w:rsidP="003663BC">
      <w:pPr>
        <w:pStyle w:val="Textonotapie"/>
      </w:pPr>
      <w:r>
        <w:rPr>
          <w:rStyle w:val="Refdenotaalpie"/>
        </w:rPr>
        <w:footnoteRef/>
      </w:r>
      <w:r>
        <w:t xml:space="preserve"> Ídem.</w:t>
      </w:r>
    </w:p>
  </w:footnote>
  <w:footnote w:id="31">
    <w:p w14:paraId="34969C2D" w14:textId="594F87B5" w:rsidR="001A0F59" w:rsidRDefault="001A0F59" w:rsidP="003663BC">
      <w:pPr>
        <w:pStyle w:val="Textonotapie"/>
      </w:pPr>
      <w:r>
        <w:rPr>
          <w:rStyle w:val="Refdenotaalpie"/>
        </w:rPr>
        <w:footnoteRef/>
      </w:r>
      <w:r>
        <w:t xml:space="preserve"> Artículo 116 de la Ley de Responsabilidades Administrativas</w:t>
      </w:r>
      <w:r w:rsidRPr="003663BC">
        <w:t xml:space="preserve"> </w:t>
      </w:r>
      <w:r>
        <w:t>del Estado de México y Municipios.</w:t>
      </w:r>
    </w:p>
  </w:footnote>
  <w:footnote w:id="32">
    <w:p w14:paraId="10F242C4" w14:textId="38F73CC9" w:rsidR="001A0F59" w:rsidRDefault="001A0F59" w:rsidP="003663BC">
      <w:pPr>
        <w:pStyle w:val="Textonotapie"/>
      </w:pPr>
      <w:r>
        <w:rPr>
          <w:rStyle w:val="Refdenotaalpie"/>
        </w:rPr>
        <w:footnoteRef/>
      </w:r>
      <w:r>
        <w:t xml:space="preserve"> Artículo 119, Ídem.</w:t>
      </w:r>
    </w:p>
  </w:footnote>
  <w:footnote w:id="33">
    <w:p w14:paraId="33561963" w14:textId="77777777" w:rsidR="001A0F59" w:rsidRPr="007F69AF" w:rsidRDefault="001A0F59" w:rsidP="00F9794A">
      <w:pPr>
        <w:pStyle w:val="Textonotapie"/>
        <w:rPr>
          <w:lang w:val="es-ES_tradnl"/>
        </w:rPr>
      </w:pPr>
      <w:r>
        <w:rPr>
          <w:rStyle w:val="Refdenotaalpie"/>
        </w:rPr>
        <w:footnoteRef/>
      </w:r>
      <w:r>
        <w:t xml:space="preserve"> </w:t>
      </w:r>
      <w:r>
        <w:rPr>
          <w:lang w:val="es-ES_tradnl"/>
        </w:rPr>
        <w:t>Artículo 221, Código Nacional de Procedimientos Penales.</w:t>
      </w:r>
    </w:p>
  </w:footnote>
  <w:footnote w:id="34">
    <w:p w14:paraId="0918B140" w14:textId="4476C78F" w:rsidR="001A0F59" w:rsidRPr="009168C5" w:rsidRDefault="001A0F59" w:rsidP="00F9794A">
      <w:pPr>
        <w:pStyle w:val="Textonotapie"/>
        <w:rPr>
          <w:lang w:val="es-ES_tradnl"/>
        </w:rPr>
      </w:pPr>
      <w:r>
        <w:rPr>
          <w:rStyle w:val="Refdenotaalpie"/>
        </w:rPr>
        <w:footnoteRef/>
      </w:r>
      <w:r>
        <w:t xml:space="preserve"> </w:t>
      </w:r>
      <w:r>
        <w:rPr>
          <w:lang w:val="es-ES_tradnl"/>
        </w:rPr>
        <w:t>Artículo 221, Ídem.</w:t>
      </w:r>
    </w:p>
  </w:footnote>
  <w:footnote w:id="35">
    <w:p w14:paraId="1354A644" w14:textId="77777777" w:rsidR="001A0F59" w:rsidRPr="00464EA2" w:rsidRDefault="001A0F59" w:rsidP="00F9794A">
      <w:pPr>
        <w:pStyle w:val="Textonotapie"/>
        <w:rPr>
          <w:lang w:val="es-ES_tradnl"/>
        </w:rPr>
      </w:pPr>
      <w:r>
        <w:rPr>
          <w:rStyle w:val="Refdenotaalpie"/>
        </w:rPr>
        <w:footnoteRef/>
      </w:r>
      <w:r>
        <w:t xml:space="preserve"> </w:t>
      </w:r>
      <w:r>
        <w:rPr>
          <w:lang w:val="es-ES_tradnl"/>
        </w:rPr>
        <w:t>Artículo 224, Ídem.</w:t>
      </w:r>
    </w:p>
  </w:footnote>
  <w:footnote w:id="36">
    <w:p w14:paraId="317B3327" w14:textId="2C60F2D9" w:rsidR="001A0F59" w:rsidRPr="00464EA2" w:rsidRDefault="001A0F59" w:rsidP="00F9794A">
      <w:pPr>
        <w:pStyle w:val="Textonotapie"/>
        <w:rPr>
          <w:lang w:val="es-ES_tradnl"/>
        </w:rPr>
      </w:pPr>
      <w:r>
        <w:rPr>
          <w:rStyle w:val="Refdenotaalpie"/>
        </w:rPr>
        <w:footnoteRef/>
      </w:r>
      <w:r>
        <w:t xml:space="preserve"> </w:t>
      </w:r>
      <w:r>
        <w:rPr>
          <w:lang w:val="es-ES_tradnl"/>
        </w:rPr>
        <w:t>Artículo 224, Código Nacional de Procedimientos Penales.</w:t>
      </w:r>
    </w:p>
  </w:footnote>
  <w:footnote w:id="37">
    <w:p w14:paraId="32B8F561" w14:textId="4BF39199" w:rsidR="001A0F59" w:rsidRDefault="001A0F59">
      <w:pPr>
        <w:pStyle w:val="Textonotapie"/>
      </w:pPr>
      <w:r>
        <w:rPr>
          <w:rStyle w:val="Refdenotaalpie"/>
        </w:rPr>
        <w:footnoteRef/>
      </w:r>
      <w:r>
        <w:t xml:space="preserve"> Artículo 225, Ídem.</w:t>
      </w:r>
    </w:p>
  </w:footnote>
  <w:footnote w:id="38">
    <w:p w14:paraId="662EB1EF" w14:textId="3628B31D" w:rsidR="001A0F59" w:rsidRDefault="001A0F59">
      <w:pPr>
        <w:pStyle w:val="Textonotapie"/>
      </w:pPr>
      <w:r>
        <w:rPr>
          <w:rStyle w:val="Refdenotaalpie"/>
        </w:rPr>
        <w:footnoteRef/>
      </w:r>
      <w:r>
        <w:t xml:space="preserve"> Artículo 227, Ídem.</w:t>
      </w:r>
    </w:p>
  </w:footnote>
  <w:footnote w:id="39">
    <w:p w14:paraId="4FC5F4FD" w14:textId="777B211C" w:rsidR="001A0F59" w:rsidRDefault="001A0F59">
      <w:pPr>
        <w:pStyle w:val="Textonotapie"/>
      </w:pPr>
      <w:r>
        <w:rPr>
          <w:rStyle w:val="Refdenotaalpie"/>
        </w:rPr>
        <w:footnoteRef/>
      </w:r>
      <w:r>
        <w:t xml:space="preserve"> Artículo 253, Código Nacional de Procedimientos Penales.</w:t>
      </w:r>
    </w:p>
  </w:footnote>
  <w:footnote w:id="40">
    <w:p w14:paraId="727D3E63" w14:textId="40C137A5" w:rsidR="001A0F59" w:rsidRDefault="001A0F59">
      <w:pPr>
        <w:pStyle w:val="Textonotapie"/>
      </w:pPr>
      <w:r>
        <w:rPr>
          <w:rStyle w:val="Refdenotaalpie"/>
        </w:rPr>
        <w:footnoteRef/>
      </w:r>
      <w:r>
        <w:t xml:space="preserve"> Artículo 254, Ídem.</w:t>
      </w:r>
    </w:p>
  </w:footnote>
  <w:footnote w:id="41">
    <w:p w14:paraId="2358AA20" w14:textId="64722121" w:rsidR="001A0F59" w:rsidRDefault="001A0F59">
      <w:pPr>
        <w:pStyle w:val="Textonotapie"/>
      </w:pPr>
      <w:r>
        <w:rPr>
          <w:rStyle w:val="Refdenotaalpie"/>
        </w:rPr>
        <w:footnoteRef/>
      </w:r>
      <w:r>
        <w:t xml:space="preserve"> Artículo 255, Ídem.</w:t>
      </w:r>
    </w:p>
  </w:footnote>
  <w:footnote w:id="42">
    <w:p w14:paraId="7652C8A6" w14:textId="4E7CC250" w:rsidR="001A0F59" w:rsidRDefault="001A0F59">
      <w:pPr>
        <w:pStyle w:val="Textonotapie"/>
      </w:pPr>
      <w:r>
        <w:rPr>
          <w:rStyle w:val="Refdenotaalpie"/>
        </w:rPr>
        <w:footnoteRef/>
      </w:r>
      <w:r>
        <w:t xml:space="preserve"> Artículo 259, Código Nacional de Procedimientos Penales.</w:t>
      </w:r>
    </w:p>
  </w:footnote>
  <w:footnote w:id="43">
    <w:p w14:paraId="183E3BBD" w14:textId="596BE166" w:rsidR="001A0F59" w:rsidRDefault="001A0F59">
      <w:pPr>
        <w:pStyle w:val="Textonotapie"/>
      </w:pPr>
      <w:r>
        <w:rPr>
          <w:rStyle w:val="Refdenotaalpie"/>
        </w:rPr>
        <w:footnoteRef/>
      </w:r>
      <w:r>
        <w:t xml:space="preserve"> Artículo 307, Ídem.</w:t>
      </w:r>
    </w:p>
  </w:footnote>
  <w:footnote w:id="44">
    <w:p w14:paraId="060BB80A" w14:textId="652A16DA" w:rsidR="001A0F59" w:rsidRDefault="001A0F59">
      <w:pPr>
        <w:pStyle w:val="Textonotapie"/>
      </w:pPr>
      <w:r>
        <w:rPr>
          <w:rStyle w:val="Refdenotaalpie"/>
        </w:rPr>
        <w:footnoteRef/>
      </w:r>
      <w:r>
        <w:t xml:space="preserve"> Artículo 311, Ídem.</w:t>
      </w:r>
    </w:p>
  </w:footnote>
  <w:footnote w:id="45">
    <w:p w14:paraId="789DB611" w14:textId="57714DD3" w:rsidR="001A0F59" w:rsidRDefault="001A0F59">
      <w:pPr>
        <w:pStyle w:val="Textonotapie"/>
      </w:pPr>
      <w:r>
        <w:rPr>
          <w:rStyle w:val="Refdenotaalpie"/>
        </w:rPr>
        <w:footnoteRef/>
      </w:r>
      <w:r>
        <w:t xml:space="preserve"> Artículo 315, Código Nacional de Procedimientos Penales.</w:t>
      </w:r>
    </w:p>
  </w:footnote>
  <w:footnote w:id="46">
    <w:p w14:paraId="274CE880" w14:textId="3CD5DB0F" w:rsidR="001A0F59" w:rsidRDefault="001A0F59">
      <w:pPr>
        <w:pStyle w:val="Textonotapie"/>
      </w:pPr>
      <w:r>
        <w:rPr>
          <w:rStyle w:val="Refdenotaalpie"/>
        </w:rPr>
        <w:footnoteRef/>
      </w:r>
      <w:r>
        <w:t xml:space="preserve"> Artículo 316, Ídem.</w:t>
      </w:r>
    </w:p>
  </w:footnote>
  <w:footnote w:id="47">
    <w:p w14:paraId="590B630B" w14:textId="37725B69" w:rsidR="001A0F59" w:rsidRDefault="001A0F59">
      <w:pPr>
        <w:pStyle w:val="Textonotapie"/>
      </w:pPr>
      <w:r>
        <w:rPr>
          <w:rStyle w:val="Refdenotaalpie"/>
        </w:rPr>
        <w:footnoteRef/>
      </w:r>
      <w:r>
        <w:t xml:space="preserve"> Artículo 318, Código Nacional de Procedimientos Penales.</w:t>
      </w:r>
    </w:p>
  </w:footnote>
  <w:footnote w:id="48">
    <w:p w14:paraId="35A0CD98" w14:textId="029C7629" w:rsidR="001A0F59" w:rsidRDefault="001A0F59">
      <w:pPr>
        <w:pStyle w:val="Textonotapie"/>
      </w:pPr>
      <w:r>
        <w:rPr>
          <w:rStyle w:val="Refdenotaalpie"/>
        </w:rPr>
        <w:footnoteRef/>
      </w:r>
      <w:r>
        <w:t xml:space="preserve"> Artículo 321, Ídem.</w:t>
      </w:r>
    </w:p>
  </w:footnote>
  <w:footnote w:id="49">
    <w:p w14:paraId="73E4A8C7" w14:textId="07AE7AC8" w:rsidR="001A0F59" w:rsidRDefault="001A0F59">
      <w:pPr>
        <w:pStyle w:val="Textonotapie"/>
      </w:pPr>
      <w:r>
        <w:rPr>
          <w:rStyle w:val="Refdenotaalpie"/>
        </w:rPr>
        <w:footnoteRef/>
      </w:r>
      <w:r>
        <w:t xml:space="preserve"> Artículo 324, Ídem.</w:t>
      </w:r>
    </w:p>
  </w:footnote>
  <w:footnote w:id="50">
    <w:p w14:paraId="37A31C3B" w14:textId="5B55D714" w:rsidR="001A0F59" w:rsidRDefault="001A0F59">
      <w:pPr>
        <w:pStyle w:val="Textonotapie"/>
      </w:pPr>
      <w:r>
        <w:rPr>
          <w:rStyle w:val="Refdenotaalpie"/>
        </w:rPr>
        <w:footnoteRef/>
      </w:r>
      <w:r>
        <w:t xml:space="preserve"> Artículo 335, Idem.</w:t>
      </w:r>
    </w:p>
  </w:footnote>
  <w:footnote w:id="51">
    <w:p w14:paraId="48D7D365" w14:textId="1938F93E" w:rsidR="001A0F59" w:rsidRDefault="001A0F59">
      <w:pPr>
        <w:pStyle w:val="Textonotapie"/>
      </w:pPr>
      <w:r>
        <w:rPr>
          <w:rStyle w:val="Refdenotaalpie"/>
        </w:rPr>
        <w:footnoteRef/>
      </w:r>
      <w:r>
        <w:t xml:space="preserve"> Artículo 344, Código Nacional de Procedimientos Penales.</w:t>
      </w:r>
    </w:p>
  </w:footnote>
  <w:footnote w:id="52">
    <w:p w14:paraId="194A375B" w14:textId="6223BDC7" w:rsidR="001A0F59" w:rsidRDefault="001A0F59">
      <w:pPr>
        <w:pStyle w:val="Textonotapie"/>
      </w:pPr>
      <w:r>
        <w:rPr>
          <w:rStyle w:val="Refdenotaalpie"/>
        </w:rPr>
        <w:footnoteRef/>
      </w:r>
      <w:r>
        <w:t xml:space="preserve"> Ibídem.</w:t>
      </w:r>
    </w:p>
  </w:footnote>
  <w:footnote w:id="53">
    <w:p w14:paraId="7895AF31" w14:textId="25AB9C20" w:rsidR="001A0F59" w:rsidRDefault="001A0F59">
      <w:pPr>
        <w:pStyle w:val="Textonotapie"/>
      </w:pPr>
      <w:r>
        <w:rPr>
          <w:rStyle w:val="Refdenotaalpie"/>
        </w:rPr>
        <w:footnoteRef/>
      </w:r>
      <w:r>
        <w:t xml:space="preserve"> Artículo 347, Ídem.</w:t>
      </w:r>
    </w:p>
  </w:footnote>
  <w:footnote w:id="54">
    <w:p w14:paraId="013D3034" w14:textId="351C871C" w:rsidR="001A0F59" w:rsidRDefault="001A0F59">
      <w:pPr>
        <w:pStyle w:val="Textonotapie"/>
      </w:pPr>
      <w:r>
        <w:rPr>
          <w:rStyle w:val="Refdenotaalpie"/>
        </w:rPr>
        <w:footnoteRef/>
      </w:r>
      <w:r>
        <w:t xml:space="preserve"> Artículo 348, Código Nacional de Procedimientos Penales.</w:t>
      </w:r>
    </w:p>
  </w:footnote>
  <w:footnote w:id="55">
    <w:p w14:paraId="46F4B638" w14:textId="643138D8" w:rsidR="001A0F59" w:rsidRDefault="001A0F59">
      <w:pPr>
        <w:pStyle w:val="Textonotapie"/>
      </w:pPr>
      <w:r>
        <w:rPr>
          <w:rStyle w:val="Refdenotaalpie"/>
        </w:rPr>
        <w:footnoteRef/>
      </w:r>
      <w:r>
        <w:t xml:space="preserve"> Artículo 349, Código Nacional de Procedimientos Penales.</w:t>
      </w:r>
    </w:p>
  </w:footnote>
  <w:footnote w:id="56">
    <w:p w14:paraId="06CC06CE" w14:textId="5B66E963" w:rsidR="001A0F59" w:rsidRDefault="001A0F59">
      <w:pPr>
        <w:pStyle w:val="Textonotapie"/>
      </w:pPr>
      <w:r>
        <w:rPr>
          <w:rStyle w:val="Refdenotaalpie"/>
        </w:rPr>
        <w:footnoteRef/>
      </w:r>
      <w:r>
        <w:t xml:space="preserve"> Artículo 391,Ídem.</w:t>
      </w:r>
    </w:p>
  </w:footnote>
  <w:footnote w:id="57">
    <w:p w14:paraId="21C6BC9C" w14:textId="7DA44C66" w:rsidR="001A0F59" w:rsidRDefault="001A0F59">
      <w:pPr>
        <w:pStyle w:val="Textonotapie"/>
      </w:pPr>
      <w:r>
        <w:rPr>
          <w:rStyle w:val="Refdenotaalpie"/>
        </w:rPr>
        <w:footnoteRef/>
      </w:r>
      <w:r>
        <w:t xml:space="preserve"> Artículo 394,</w:t>
      </w:r>
      <w:r w:rsidRPr="00126B68">
        <w:t xml:space="preserve"> </w:t>
      </w:r>
      <w:r>
        <w:t>Ídem.</w:t>
      </w:r>
    </w:p>
  </w:footnote>
  <w:footnote w:id="58">
    <w:p w14:paraId="00AE3E2D" w14:textId="77612905" w:rsidR="001A0F59" w:rsidRDefault="001A0F59">
      <w:pPr>
        <w:pStyle w:val="Textonotapie"/>
      </w:pPr>
      <w:r>
        <w:rPr>
          <w:rStyle w:val="Refdenotaalpie"/>
        </w:rPr>
        <w:footnoteRef/>
      </w:r>
      <w:r>
        <w:t xml:space="preserve"> Artículo 395, Ídem.</w:t>
      </w:r>
    </w:p>
  </w:footnote>
  <w:footnote w:id="59">
    <w:p w14:paraId="7500D6F8" w14:textId="1191B013" w:rsidR="001A0F59" w:rsidRDefault="001A0F59">
      <w:pPr>
        <w:pStyle w:val="Textonotapie"/>
      </w:pPr>
      <w:r>
        <w:rPr>
          <w:rStyle w:val="Refdenotaalpie"/>
        </w:rPr>
        <w:footnoteRef/>
      </w:r>
      <w:r>
        <w:t xml:space="preserve"> Artículo 399, Ídem.</w:t>
      </w:r>
    </w:p>
  </w:footnote>
  <w:footnote w:id="60">
    <w:p w14:paraId="22A68D81" w14:textId="1C91BE80" w:rsidR="001A0F59" w:rsidRDefault="001A0F59">
      <w:pPr>
        <w:pStyle w:val="Textonotapie"/>
      </w:pPr>
      <w:r>
        <w:rPr>
          <w:rStyle w:val="Refdenotaalpie"/>
        </w:rPr>
        <w:footnoteRef/>
      </w:r>
      <w:r>
        <w:t xml:space="preserve"> Artículo 400, Código Nacional de Procedimientos Penales.</w:t>
      </w:r>
    </w:p>
  </w:footnote>
  <w:footnote w:id="61">
    <w:p w14:paraId="23A66880" w14:textId="6E50AF32" w:rsidR="001A0F59" w:rsidRDefault="001A0F59">
      <w:pPr>
        <w:pStyle w:val="Textonotapie"/>
      </w:pPr>
      <w:r>
        <w:rPr>
          <w:rStyle w:val="Refdenotaalpie"/>
        </w:rPr>
        <w:footnoteRef/>
      </w:r>
      <w:r>
        <w:t xml:space="preserve"> Artículo 401, Ídem.</w:t>
      </w:r>
    </w:p>
  </w:footnote>
  <w:footnote w:id="62">
    <w:p w14:paraId="696B4474" w14:textId="1FCD3357" w:rsidR="001A0F59" w:rsidRDefault="001A0F59">
      <w:pPr>
        <w:pStyle w:val="Textonotapie"/>
      </w:pPr>
      <w:r>
        <w:rPr>
          <w:rStyle w:val="Refdenotaalpie"/>
        </w:rPr>
        <w:footnoteRef/>
      </w:r>
      <w:r>
        <w:t xml:space="preserve"> Artículo 328, Código Penal del Estado de México.</w:t>
      </w:r>
    </w:p>
  </w:footnote>
  <w:footnote w:id="63">
    <w:p w14:paraId="6C6030B9" w14:textId="0264573C" w:rsidR="001A0F59" w:rsidRDefault="001A0F59">
      <w:pPr>
        <w:pStyle w:val="Textonotapie"/>
      </w:pPr>
      <w:r>
        <w:rPr>
          <w:rStyle w:val="Refdenotaalpie"/>
        </w:rPr>
        <w:footnoteRef/>
      </w:r>
      <w:r>
        <w:t xml:space="preserve"> Artículo 3.1, Código Civil del Estado de México.</w:t>
      </w:r>
    </w:p>
  </w:footnote>
  <w:footnote w:id="64">
    <w:p w14:paraId="49527759" w14:textId="0241FBE0" w:rsidR="001A0F59" w:rsidRDefault="001A0F59">
      <w:pPr>
        <w:pStyle w:val="Textonotapie"/>
      </w:pPr>
      <w:r>
        <w:rPr>
          <w:rStyle w:val="Refdenotaalpie"/>
        </w:rPr>
        <w:footnoteRef/>
      </w:r>
      <w:r>
        <w:t xml:space="preserve"> Artículo 3.5, Ídem.</w:t>
      </w:r>
    </w:p>
  </w:footnote>
  <w:footnote w:id="65">
    <w:p w14:paraId="6ACE3B8D" w14:textId="125CAE86" w:rsidR="001A0F59" w:rsidRDefault="001A0F59">
      <w:pPr>
        <w:pStyle w:val="Textonotapie"/>
      </w:pPr>
      <w:r>
        <w:rPr>
          <w:rStyle w:val="Refdenotaalpie"/>
        </w:rPr>
        <w:footnoteRef/>
      </w:r>
      <w:r>
        <w:t xml:space="preserve"> Artículo 2.1, Código Civil del Estado de México.</w:t>
      </w:r>
    </w:p>
  </w:footnote>
  <w:footnote w:id="66">
    <w:p w14:paraId="64E507CE" w14:textId="1FAA638B" w:rsidR="001A0F59" w:rsidRDefault="001A0F59">
      <w:pPr>
        <w:pStyle w:val="Textonotapie"/>
      </w:pPr>
      <w:r>
        <w:rPr>
          <w:rStyle w:val="Refdenotaalpie"/>
        </w:rPr>
        <w:footnoteRef/>
      </w:r>
      <w:r>
        <w:t xml:space="preserve"> Ibídem.</w:t>
      </w:r>
    </w:p>
  </w:footnote>
  <w:footnote w:id="67">
    <w:p w14:paraId="5DCAD84F" w14:textId="596A8767" w:rsidR="001A0F59" w:rsidRDefault="001A0F59">
      <w:pPr>
        <w:pStyle w:val="Textonotapie"/>
      </w:pPr>
      <w:r>
        <w:rPr>
          <w:rStyle w:val="Refdenotaalpie"/>
        </w:rPr>
        <w:footnoteRef/>
      </w:r>
      <w:r>
        <w:t xml:space="preserve"> Artículo 3.9, Ídem.</w:t>
      </w:r>
    </w:p>
  </w:footnote>
  <w:footnote w:id="68">
    <w:p w14:paraId="65AF5F00" w14:textId="07732EAE" w:rsidR="001A0F59" w:rsidRDefault="001A0F59">
      <w:pPr>
        <w:pStyle w:val="Textonotapie"/>
      </w:pPr>
      <w:r>
        <w:rPr>
          <w:rStyle w:val="Refdenotaalpie"/>
        </w:rPr>
        <w:footnoteRef/>
      </w:r>
      <w:r>
        <w:t xml:space="preserve"> Artículo 3.10, Ídem.</w:t>
      </w:r>
    </w:p>
  </w:footnote>
  <w:footnote w:id="69">
    <w:p w14:paraId="2F695BB0" w14:textId="77777777" w:rsidR="001A0F59" w:rsidRDefault="001A0F59" w:rsidP="002413EC">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tblInd w:w="2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1A0F59" w:rsidRPr="00025127" w14:paraId="07F2896E" w14:textId="77777777" w:rsidTr="001A0F59">
      <w:trPr>
        <w:trHeight w:val="138"/>
      </w:trPr>
      <w:tc>
        <w:tcPr>
          <w:tcW w:w="3828" w:type="dxa"/>
          <w:vAlign w:val="center"/>
        </w:tcPr>
        <w:p w14:paraId="4A5B1974" w14:textId="172F35BB" w:rsidR="001A0F59" w:rsidRPr="00025127" w:rsidRDefault="001A0F5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146A8C93" w:rsidR="001A0F59" w:rsidRPr="001A0F59" w:rsidRDefault="001A0F59" w:rsidP="001A0F59">
          <w:pPr>
            <w:pStyle w:val="Encabezado"/>
            <w:rPr>
              <w:rFonts w:ascii="Palatino Linotype" w:hAnsi="Palatino Linotype"/>
              <w:sz w:val="22"/>
              <w:szCs w:val="22"/>
            </w:rPr>
          </w:pPr>
          <w:r w:rsidRPr="001A0F59">
            <w:rPr>
              <w:rFonts w:ascii="Palatino Linotype" w:hAnsi="Palatino Linotype"/>
              <w:sz w:val="22"/>
              <w:szCs w:val="22"/>
            </w:rPr>
            <w:t>17243/INFOEM/IP/RR/2022</w:t>
          </w:r>
        </w:p>
      </w:tc>
    </w:tr>
    <w:tr w:rsidR="001A0F59" w:rsidRPr="00025127" w14:paraId="1B5D8690" w14:textId="77777777" w:rsidTr="001A0F59">
      <w:trPr>
        <w:trHeight w:val="233"/>
      </w:trPr>
      <w:tc>
        <w:tcPr>
          <w:tcW w:w="3828" w:type="dxa"/>
          <w:vAlign w:val="center"/>
        </w:tcPr>
        <w:p w14:paraId="3903F2C6" w14:textId="22D569F8" w:rsidR="001A0F59" w:rsidRPr="00025127" w:rsidRDefault="001A0F59" w:rsidP="006073A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236B7398" w:rsidR="001A0F59" w:rsidRPr="001A0F59" w:rsidRDefault="001A0F59" w:rsidP="001A0F59">
          <w:pPr>
            <w:pStyle w:val="Encabezado"/>
            <w:rPr>
              <w:rFonts w:ascii="Palatino Linotype" w:hAnsi="Palatino Linotype"/>
              <w:sz w:val="22"/>
              <w:szCs w:val="22"/>
            </w:rPr>
          </w:pPr>
          <w:r w:rsidRPr="001A0F59">
            <w:rPr>
              <w:rFonts w:ascii="Palatino Linotype" w:hAnsi="Palatino Linotype"/>
              <w:bCs/>
              <w:color w:val="000000"/>
              <w:sz w:val="22"/>
              <w:szCs w:val="22"/>
            </w:rPr>
            <w:t>Ayuntamiento de Timilpan</w:t>
          </w:r>
        </w:p>
      </w:tc>
    </w:tr>
    <w:tr w:rsidR="001A0F59" w:rsidRPr="00025127" w14:paraId="095EB01B" w14:textId="77777777" w:rsidTr="001A0F59">
      <w:trPr>
        <w:trHeight w:val="321"/>
      </w:trPr>
      <w:tc>
        <w:tcPr>
          <w:tcW w:w="3828" w:type="dxa"/>
          <w:vAlign w:val="center"/>
        </w:tcPr>
        <w:p w14:paraId="6E000A51" w14:textId="05E1861A" w:rsidR="001A0F59" w:rsidRPr="00025127" w:rsidRDefault="001A0F5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1A0F59" w:rsidRPr="001A0F59" w:rsidRDefault="001A0F59" w:rsidP="001A0F59">
          <w:pPr>
            <w:pStyle w:val="Encabezado"/>
            <w:rPr>
              <w:rFonts w:ascii="Palatino Linotype" w:hAnsi="Palatino Linotype"/>
              <w:sz w:val="22"/>
              <w:szCs w:val="22"/>
            </w:rPr>
          </w:pPr>
          <w:r w:rsidRPr="001A0F59">
            <w:rPr>
              <w:rFonts w:ascii="Palatino Linotype" w:hAnsi="Palatino Linotype"/>
              <w:sz w:val="22"/>
              <w:szCs w:val="22"/>
            </w:rPr>
            <w:t>María del Rosario Mejía Ayala</w:t>
          </w:r>
        </w:p>
      </w:tc>
    </w:tr>
  </w:tbl>
  <w:p w14:paraId="1096C1B8" w14:textId="5AF1B173" w:rsidR="001A0F59" w:rsidRDefault="001A0F59" w:rsidP="00472C41">
    <w:pPr>
      <w:pStyle w:val="Encabezado"/>
    </w:pPr>
    <w:r>
      <w:rPr>
        <w:noProof/>
        <w:lang w:eastAsia="es-MX"/>
      </w:rPr>
      <w:drawing>
        <wp:anchor distT="0" distB="0" distL="114300" distR="114300" simplePos="0" relativeHeight="251657216" behindDoc="1" locked="0" layoutInCell="0" allowOverlap="1" wp14:anchorId="1A29E15A" wp14:editId="6766AF0D">
          <wp:simplePos x="0" y="0"/>
          <wp:positionH relativeFrom="page">
            <wp:posOffset>34290</wp:posOffset>
          </wp:positionH>
          <wp:positionV relativeFrom="page">
            <wp:posOffset>20955</wp:posOffset>
          </wp:positionV>
          <wp:extent cx="7696543" cy="10022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543" cy="1002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tblInd w:w="2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1A0F59" w:rsidRPr="00025127" w14:paraId="0A3256F2" w14:textId="77777777" w:rsidTr="001A0F59">
      <w:trPr>
        <w:trHeight w:val="138"/>
      </w:trPr>
      <w:tc>
        <w:tcPr>
          <w:tcW w:w="3828" w:type="dxa"/>
          <w:vAlign w:val="center"/>
        </w:tcPr>
        <w:p w14:paraId="3D80769D" w14:textId="44A35B8D" w:rsidR="001A0F59" w:rsidRPr="00025127" w:rsidRDefault="001A0F59"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056584FE" w:rsidR="001A0F59" w:rsidRPr="001A0F59" w:rsidRDefault="001A0F59" w:rsidP="001A0F59">
          <w:pPr>
            <w:pStyle w:val="Encabezado"/>
            <w:tabs>
              <w:tab w:val="clear" w:pos="4252"/>
            </w:tabs>
            <w:jc w:val="both"/>
            <w:rPr>
              <w:rFonts w:ascii="Palatino Linotype" w:hAnsi="Palatino Linotype"/>
              <w:sz w:val="22"/>
              <w:szCs w:val="22"/>
            </w:rPr>
          </w:pPr>
          <w:r w:rsidRPr="001A0F59">
            <w:rPr>
              <w:rFonts w:ascii="Palatino Linotype" w:hAnsi="Palatino Linotype"/>
              <w:sz w:val="22"/>
              <w:szCs w:val="22"/>
            </w:rPr>
            <w:t>17243/INFOEM/IP/RR/2022</w:t>
          </w:r>
        </w:p>
      </w:tc>
    </w:tr>
    <w:tr w:rsidR="001A0F59" w:rsidRPr="00025127" w14:paraId="128C8B3C" w14:textId="77777777" w:rsidTr="001A0F59">
      <w:trPr>
        <w:trHeight w:val="233"/>
      </w:trPr>
      <w:tc>
        <w:tcPr>
          <w:tcW w:w="3828" w:type="dxa"/>
          <w:vAlign w:val="center"/>
        </w:tcPr>
        <w:p w14:paraId="483E3371" w14:textId="66B1BC74" w:rsidR="001A0F59" w:rsidRPr="00025127" w:rsidRDefault="001A0F5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2F563F38" w:rsidR="001A0F59" w:rsidRPr="001A0F59" w:rsidRDefault="00A32CFC" w:rsidP="001A0F59">
          <w:pPr>
            <w:pStyle w:val="Encabezado"/>
            <w:tabs>
              <w:tab w:val="clear" w:pos="4252"/>
            </w:tabs>
            <w:jc w:val="both"/>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1A0F59" w:rsidRPr="00025127" w14:paraId="41BE0704" w14:textId="77777777" w:rsidTr="001A0F59">
      <w:trPr>
        <w:trHeight w:val="321"/>
      </w:trPr>
      <w:tc>
        <w:tcPr>
          <w:tcW w:w="3828" w:type="dxa"/>
          <w:vAlign w:val="center"/>
        </w:tcPr>
        <w:p w14:paraId="34C64148" w14:textId="10C6C8A9" w:rsidR="001A0F59" w:rsidRPr="00025127" w:rsidRDefault="001A0F5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4FD9FB2A" w:rsidR="001A0F59" w:rsidRPr="001A0F59" w:rsidRDefault="001A0F59" w:rsidP="001A0F59">
          <w:pPr>
            <w:pStyle w:val="Encabezado"/>
            <w:tabs>
              <w:tab w:val="clear" w:pos="4252"/>
            </w:tabs>
            <w:jc w:val="both"/>
            <w:rPr>
              <w:rFonts w:ascii="Palatino Linotype" w:hAnsi="Palatino Linotype"/>
              <w:sz w:val="22"/>
              <w:szCs w:val="22"/>
            </w:rPr>
          </w:pPr>
          <w:r w:rsidRPr="001A0F59">
            <w:rPr>
              <w:rFonts w:ascii="Palatino Linotype" w:hAnsi="Palatino Linotype"/>
              <w:bCs/>
              <w:color w:val="000000"/>
              <w:sz w:val="22"/>
              <w:szCs w:val="22"/>
            </w:rPr>
            <w:t>Ayuntamiento de Timilpan</w:t>
          </w:r>
        </w:p>
      </w:tc>
    </w:tr>
    <w:tr w:rsidR="001A0F59" w:rsidRPr="00025127" w14:paraId="0C8B6193" w14:textId="77777777" w:rsidTr="001A0F59">
      <w:trPr>
        <w:trHeight w:val="321"/>
      </w:trPr>
      <w:tc>
        <w:tcPr>
          <w:tcW w:w="3828" w:type="dxa"/>
          <w:vAlign w:val="center"/>
        </w:tcPr>
        <w:p w14:paraId="321FFAFF" w14:textId="0E8C2CE7" w:rsidR="001A0F59" w:rsidRPr="00025127" w:rsidRDefault="001A0F5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1A0F59" w:rsidRPr="001A0F59" w:rsidRDefault="001A0F59" w:rsidP="001A0F59">
          <w:pPr>
            <w:pStyle w:val="Encabezado"/>
            <w:tabs>
              <w:tab w:val="clear" w:pos="4252"/>
            </w:tabs>
            <w:ind w:left="33"/>
            <w:jc w:val="both"/>
            <w:rPr>
              <w:rFonts w:ascii="Palatino Linotype" w:hAnsi="Palatino Linotype"/>
              <w:sz w:val="22"/>
              <w:szCs w:val="22"/>
            </w:rPr>
          </w:pPr>
          <w:r w:rsidRPr="001A0F59">
            <w:rPr>
              <w:rFonts w:ascii="Palatino Linotype" w:hAnsi="Palatino Linotype"/>
              <w:sz w:val="22"/>
              <w:szCs w:val="22"/>
            </w:rPr>
            <w:t>María del Rosario Mejía Ayala</w:t>
          </w:r>
        </w:p>
      </w:tc>
    </w:tr>
  </w:tbl>
  <w:p w14:paraId="156B5574" w14:textId="2FDF06EB" w:rsidR="001A0F59" w:rsidRDefault="00EC18F1" w:rsidP="00472C41">
    <w:pPr>
      <w:pStyle w:val="Encabezado"/>
      <w:tabs>
        <w:tab w:val="clear" w:pos="4252"/>
        <w:tab w:val="clear" w:pos="8504"/>
        <w:tab w:val="left" w:pos="3103"/>
      </w:tabs>
    </w:pPr>
    <w:r>
      <w:rPr>
        <w:noProof/>
      </w:rPr>
      <w:pict w14:anchorId="7D62F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3A6C75"/>
    <w:multiLevelType w:val="hybridMultilevel"/>
    <w:tmpl w:val="BFC2E948"/>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440631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EB40C6"/>
    <w:multiLevelType w:val="hybridMultilevel"/>
    <w:tmpl w:val="F43ADCC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521EC1CA">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F931AE"/>
    <w:multiLevelType w:val="hybridMultilevel"/>
    <w:tmpl w:val="D7A0C33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21F07DE0">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8F71DD5"/>
    <w:multiLevelType w:val="hybridMultilevel"/>
    <w:tmpl w:val="BDC0F498"/>
    <w:lvl w:ilvl="0" w:tplc="FFFFFFFF">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A43FD2"/>
    <w:multiLevelType w:val="hybridMultilevel"/>
    <w:tmpl w:val="1756882E"/>
    <w:lvl w:ilvl="0" w:tplc="629EAEB2">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690164"/>
    <w:multiLevelType w:val="hybridMultilevel"/>
    <w:tmpl w:val="BCEAEDF8"/>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A92D736">
      <w:start w:val="1"/>
      <w:numFmt w:val="lowerRoman"/>
      <w:lvlText w:val="%4."/>
      <w:lvlJc w:val="righ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701362"/>
    <w:multiLevelType w:val="hybridMultilevel"/>
    <w:tmpl w:val="B360FC2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28262B"/>
    <w:multiLevelType w:val="hybridMultilevel"/>
    <w:tmpl w:val="DA52034C"/>
    <w:lvl w:ilvl="0" w:tplc="629EAEB2">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0258688">
    <w:abstractNumId w:val="9"/>
  </w:num>
  <w:num w:numId="2" w16cid:durableId="757675818">
    <w:abstractNumId w:val="11"/>
  </w:num>
  <w:num w:numId="3" w16cid:durableId="918364582">
    <w:abstractNumId w:val="0"/>
  </w:num>
  <w:num w:numId="4" w16cid:durableId="153642120">
    <w:abstractNumId w:val="8"/>
  </w:num>
  <w:num w:numId="5" w16cid:durableId="2037730090">
    <w:abstractNumId w:val="5"/>
  </w:num>
  <w:num w:numId="6" w16cid:durableId="1899389733">
    <w:abstractNumId w:val="17"/>
  </w:num>
  <w:num w:numId="7" w16cid:durableId="1089695419">
    <w:abstractNumId w:val="15"/>
  </w:num>
  <w:num w:numId="8" w16cid:durableId="1510414210">
    <w:abstractNumId w:val="10"/>
  </w:num>
  <w:num w:numId="9" w16cid:durableId="2131896688">
    <w:abstractNumId w:val="13"/>
  </w:num>
  <w:num w:numId="10" w16cid:durableId="1518034591">
    <w:abstractNumId w:val="21"/>
  </w:num>
  <w:num w:numId="11" w16cid:durableId="406658744">
    <w:abstractNumId w:val="7"/>
  </w:num>
  <w:num w:numId="12" w16cid:durableId="1207446122">
    <w:abstractNumId w:val="18"/>
  </w:num>
  <w:num w:numId="13" w16cid:durableId="69041929">
    <w:abstractNumId w:val="16"/>
  </w:num>
  <w:num w:numId="14" w16cid:durableId="11760191">
    <w:abstractNumId w:val="22"/>
  </w:num>
  <w:num w:numId="15" w16cid:durableId="1302425861">
    <w:abstractNumId w:val="20"/>
  </w:num>
  <w:num w:numId="16" w16cid:durableId="538783744">
    <w:abstractNumId w:val="4"/>
  </w:num>
  <w:num w:numId="17" w16cid:durableId="1975476227">
    <w:abstractNumId w:val="3"/>
  </w:num>
  <w:num w:numId="18" w16cid:durableId="2075157217">
    <w:abstractNumId w:val="6"/>
  </w:num>
  <w:num w:numId="19" w16cid:durableId="1567032824">
    <w:abstractNumId w:val="25"/>
  </w:num>
  <w:num w:numId="20" w16cid:durableId="608127279">
    <w:abstractNumId w:val="1"/>
  </w:num>
  <w:num w:numId="21" w16cid:durableId="2042435842">
    <w:abstractNumId w:val="12"/>
  </w:num>
  <w:num w:numId="22" w16cid:durableId="2113891262">
    <w:abstractNumId w:val="23"/>
  </w:num>
  <w:num w:numId="23" w16cid:durableId="2051219459">
    <w:abstractNumId w:val="19"/>
  </w:num>
  <w:num w:numId="24" w16cid:durableId="1031807476">
    <w:abstractNumId w:val="2"/>
  </w:num>
  <w:num w:numId="25" w16cid:durableId="1754550796">
    <w:abstractNumId w:val="24"/>
  </w:num>
  <w:num w:numId="26" w16cid:durableId="171573659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61A2"/>
    <w:rsid w:val="00006D92"/>
    <w:rsid w:val="0000797D"/>
    <w:rsid w:val="00007E8A"/>
    <w:rsid w:val="000100D7"/>
    <w:rsid w:val="0001106B"/>
    <w:rsid w:val="00011317"/>
    <w:rsid w:val="00012472"/>
    <w:rsid w:val="0001398B"/>
    <w:rsid w:val="00014F51"/>
    <w:rsid w:val="00015A16"/>
    <w:rsid w:val="00015A51"/>
    <w:rsid w:val="00016250"/>
    <w:rsid w:val="0001689A"/>
    <w:rsid w:val="000174A0"/>
    <w:rsid w:val="000203D3"/>
    <w:rsid w:val="000204A6"/>
    <w:rsid w:val="000211F8"/>
    <w:rsid w:val="0002146F"/>
    <w:rsid w:val="000218C3"/>
    <w:rsid w:val="00022D89"/>
    <w:rsid w:val="000236A3"/>
    <w:rsid w:val="00024A8D"/>
    <w:rsid w:val="00024F35"/>
    <w:rsid w:val="00025127"/>
    <w:rsid w:val="00025266"/>
    <w:rsid w:val="0002699D"/>
    <w:rsid w:val="00027A36"/>
    <w:rsid w:val="0003063D"/>
    <w:rsid w:val="00031D37"/>
    <w:rsid w:val="00031E68"/>
    <w:rsid w:val="00031F10"/>
    <w:rsid w:val="00031F98"/>
    <w:rsid w:val="00032493"/>
    <w:rsid w:val="00032EC5"/>
    <w:rsid w:val="00032ED4"/>
    <w:rsid w:val="00037657"/>
    <w:rsid w:val="0004072A"/>
    <w:rsid w:val="00040E10"/>
    <w:rsid w:val="00040E2D"/>
    <w:rsid w:val="000411E2"/>
    <w:rsid w:val="0004193F"/>
    <w:rsid w:val="00042380"/>
    <w:rsid w:val="000435A5"/>
    <w:rsid w:val="00043775"/>
    <w:rsid w:val="000444BD"/>
    <w:rsid w:val="00044DB9"/>
    <w:rsid w:val="000463B6"/>
    <w:rsid w:val="0004686A"/>
    <w:rsid w:val="000468E2"/>
    <w:rsid w:val="00046CEE"/>
    <w:rsid w:val="000478BA"/>
    <w:rsid w:val="0005237C"/>
    <w:rsid w:val="00052A3C"/>
    <w:rsid w:val="00054A03"/>
    <w:rsid w:val="000557BC"/>
    <w:rsid w:val="00055DD8"/>
    <w:rsid w:val="00056317"/>
    <w:rsid w:val="00056A79"/>
    <w:rsid w:val="0005777B"/>
    <w:rsid w:val="00057F32"/>
    <w:rsid w:val="00061344"/>
    <w:rsid w:val="00061567"/>
    <w:rsid w:val="000622ED"/>
    <w:rsid w:val="0006247F"/>
    <w:rsid w:val="00062648"/>
    <w:rsid w:val="000631D9"/>
    <w:rsid w:val="0006381D"/>
    <w:rsid w:val="00063D06"/>
    <w:rsid w:val="00063E42"/>
    <w:rsid w:val="0006407E"/>
    <w:rsid w:val="00064577"/>
    <w:rsid w:val="00064A37"/>
    <w:rsid w:val="00064B95"/>
    <w:rsid w:val="000659BE"/>
    <w:rsid w:val="00065A78"/>
    <w:rsid w:val="000664BF"/>
    <w:rsid w:val="00066B68"/>
    <w:rsid w:val="00070361"/>
    <w:rsid w:val="000718C5"/>
    <w:rsid w:val="0007221E"/>
    <w:rsid w:val="000728AD"/>
    <w:rsid w:val="00072AC0"/>
    <w:rsid w:val="00074573"/>
    <w:rsid w:val="0007462E"/>
    <w:rsid w:val="00076A3F"/>
    <w:rsid w:val="00076E15"/>
    <w:rsid w:val="000770CE"/>
    <w:rsid w:val="000800AC"/>
    <w:rsid w:val="0008230A"/>
    <w:rsid w:val="00082D11"/>
    <w:rsid w:val="00082E28"/>
    <w:rsid w:val="000834FE"/>
    <w:rsid w:val="0008465D"/>
    <w:rsid w:val="00084E31"/>
    <w:rsid w:val="0008542A"/>
    <w:rsid w:val="000866D9"/>
    <w:rsid w:val="000908CC"/>
    <w:rsid w:val="00090D6F"/>
    <w:rsid w:val="00091C2C"/>
    <w:rsid w:val="00093A7F"/>
    <w:rsid w:val="00093AD6"/>
    <w:rsid w:val="00093FB4"/>
    <w:rsid w:val="00093FC7"/>
    <w:rsid w:val="00094B41"/>
    <w:rsid w:val="000953E2"/>
    <w:rsid w:val="00095806"/>
    <w:rsid w:val="00095BB9"/>
    <w:rsid w:val="0009700A"/>
    <w:rsid w:val="0009728E"/>
    <w:rsid w:val="000A0678"/>
    <w:rsid w:val="000A1CCA"/>
    <w:rsid w:val="000A26B8"/>
    <w:rsid w:val="000A3F90"/>
    <w:rsid w:val="000A44DE"/>
    <w:rsid w:val="000A4554"/>
    <w:rsid w:val="000A45FD"/>
    <w:rsid w:val="000A4E44"/>
    <w:rsid w:val="000A556A"/>
    <w:rsid w:val="000A77ED"/>
    <w:rsid w:val="000B0370"/>
    <w:rsid w:val="000B2BA0"/>
    <w:rsid w:val="000B405C"/>
    <w:rsid w:val="000B4DDD"/>
    <w:rsid w:val="000B5AB1"/>
    <w:rsid w:val="000B5D79"/>
    <w:rsid w:val="000B6D31"/>
    <w:rsid w:val="000B750B"/>
    <w:rsid w:val="000B7C4F"/>
    <w:rsid w:val="000B7DA2"/>
    <w:rsid w:val="000C0061"/>
    <w:rsid w:val="000C0663"/>
    <w:rsid w:val="000C0BBB"/>
    <w:rsid w:val="000C10B9"/>
    <w:rsid w:val="000C1D19"/>
    <w:rsid w:val="000C2E5F"/>
    <w:rsid w:val="000C3423"/>
    <w:rsid w:val="000C3861"/>
    <w:rsid w:val="000C4111"/>
    <w:rsid w:val="000C48CA"/>
    <w:rsid w:val="000C4A8E"/>
    <w:rsid w:val="000C5458"/>
    <w:rsid w:val="000C5A04"/>
    <w:rsid w:val="000C5AF7"/>
    <w:rsid w:val="000C6B73"/>
    <w:rsid w:val="000C6CE3"/>
    <w:rsid w:val="000C6E97"/>
    <w:rsid w:val="000D001E"/>
    <w:rsid w:val="000D0855"/>
    <w:rsid w:val="000D11CC"/>
    <w:rsid w:val="000D1E0F"/>
    <w:rsid w:val="000D2DC2"/>
    <w:rsid w:val="000D3275"/>
    <w:rsid w:val="000D3993"/>
    <w:rsid w:val="000D447F"/>
    <w:rsid w:val="000D45E8"/>
    <w:rsid w:val="000D5A1D"/>
    <w:rsid w:val="000D62FF"/>
    <w:rsid w:val="000D69DF"/>
    <w:rsid w:val="000D72C9"/>
    <w:rsid w:val="000D7369"/>
    <w:rsid w:val="000D7394"/>
    <w:rsid w:val="000D7CBE"/>
    <w:rsid w:val="000E0366"/>
    <w:rsid w:val="000E07DC"/>
    <w:rsid w:val="000E096F"/>
    <w:rsid w:val="000E0AF9"/>
    <w:rsid w:val="000E1389"/>
    <w:rsid w:val="000E2665"/>
    <w:rsid w:val="000E2A46"/>
    <w:rsid w:val="000E5176"/>
    <w:rsid w:val="000E67FC"/>
    <w:rsid w:val="000E77B8"/>
    <w:rsid w:val="000F1731"/>
    <w:rsid w:val="000F1B9F"/>
    <w:rsid w:val="000F1BF0"/>
    <w:rsid w:val="000F2739"/>
    <w:rsid w:val="000F2ED1"/>
    <w:rsid w:val="000F2EDD"/>
    <w:rsid w:val="000F3457"/>
    <w:rsid w:val="000F37A8"/>
    <w:rsid w:val="000F3FE5"/>
    <w:rsid w:val="000F6D7E"/>
    <w:rsid w:val="00100187"/>
    <w:rsid w:val="00100C6D"/>
    <w:rsid w:val="00100DDD"/>
    <w:rsid w:val="001015CE"/>
    <w:rsid w:val="001019F7"/>
    <w:rsid w:val="0010205D"/>
    <w:rsid w:val="001025C6"/>
    <w:rsid w:val="00102D65"/>
    <w:rsid w:val="00103662"/>
    <w:rsid w:val="00103888"/>
    <w:rsid w:val="0010409E"/>
    <w:rsid w:val="00106847"/>
    <w:rsid w:val="00107499"/>
    <w:rsid w:val="00107557"/>
    <w:rsid w:val="0011167C"/>
    <w:rsid w:val="00111F02"/>
    <w:rsid w:val="0011279B"/>
    <w:rsid w:val="0011295E"/>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B68"/>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40206"/>
    <w:rsid w:val="00140D44"/>
    <w:rsid w:val="00141B60"/>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3780"/>
    <w:rsid w:val="00163B1F"/>
    <w:rsid w:val="001648EE"/>
    <w:rsid w:val="00164B65"/>
    <w:rsid w:val="001656C0"/>
    <w:rsid w:val="001656F2"/>
    <w:rsid w:val="00165DC8"/>
    <w:rsid w:val="00166794"/>
    <w:rsid w:val="00167813"/>
    <w:rsid w:val="0017212C"/>
    <w:rsid w:val="00172471"/>
    <w:rsid w:val="0017273C"/>
    <w:rsid w:val="001732E3"/>
    <w:rsid w:val="00174E02"/>
    <w:rsid w:val="00174E1B"/>
    <w:rsid w:val="0017653A"/>
    <w:rsid w:val="0017745D"/>
    <w:rsid w:val="001775DF"/>
    <w:rsid w:val="001809A7"/>
    <w:rsid w:val="00181C60"/>
    <w:rsid w:val="00181E2A"/>
    <w:rsid w:val="00183B72"/>
    <w:rsid w:val="001848C0"/>
    <w:rsid w:val="00185364"/>
    <w:rsid w:val="00185460"/>
    <w:rsid w:val="001862A3"/>
    <w:rsid w:val="001921FD"/>
    <w:rsid w:val="001925E3"/>
    <w:rsid w:val="00192E4B"/>
    <w:rsid w:val="00194D62"/>
    <w:rsid w:val="00196407"/>
    <w:rsid w:val="00197091"/>
    <w:rsid w:val="001970D6"/>
    <w:rsid w:val="001972CC"/>
    <w:rsid w:val="001A032D"/>
    <w:rsid w:val="001A0F59"/>
    <w:rsid w:val="001A138D"/>
    <w:rsid w:val="001A2857"/>
    <w:rsid w:val="001A2A89"/>
    <w:rsid w:val="001A2C62"/>
    <w:rsid w:val="001A3634"/>
    <w:rsid w:val="001A4167"/>
    <w:rsid w:val="001A4D5D"/>
    <w:rsid w:val="001A5150"/>
    <w:rsid w:val="001A58B9"/>
    <w:rsid w:val="001A61E1"/>
    <w:rsid w:val="001A6688"/>
    <w:rsid w:val="001A6C1E"/>
    <w:rsid w:val="001B2AB9"/>
    <w:rsid w:val="001B30F9"/>
    <w:rsid w:val="001B3659"/>
    <w:rsid w:val="001B370C"/>
    <w:rsid w:val="001B40F3"/>
    <w:rsid w:val="001B508E"/>
    <w:rsid w:val="001B53A0"/>
    <w:rsid w:val="001B5F70"/>
    <w:rsid w:val="001B6088"/>
    <w:rsid w:val="001B6845"/>
    <w:rsid w:val="001B6D4E"/>
    <w:rsid w:val="001B70AD"/>
    <w:rsid w:val="001C09E0"/>
    <w:rsid w:val="001C0AED"/>
    <w:rsid w:val="001C0BEA"/>
    <w:rsid w:val="001C13A8"/>
    <w:rsid w:val="001C13B1"/>
    <w:rsid w:val="001C1C2A"/>
    <w:rsid w:val="001C1CDE"/>
    <w:rsid w:val="001C20E8"/>
    <w:rsid w:val="001C263B"/>
    <w:rsid w:val="001C2713"/>
    <w:rsid w:val="001C2EF3"/>
    <w:rsid w:val="001C34D6"/>
    <w:rsid w:val="001C3732"/>
    <w:rsid w:val="001C54A9"/>
    <w:rsid w:val="001C6012"/>
    <w:rsid w:val="001C67B0"/>
    <w:rsid w:val="001C7276"/>
    <w:rsid w:val="001C7733"/>
    <w:rsid w:val="001C77F5"/>
    <w:rsid w:val="001C79FA"/>
    <w:rsid w:val="001D07C9"/>
    <w:rsid w:val="001D3AB5"/>
    <w:rsid w:val="001D4A81"/>
    <w:rsid w:val="001D4DDB"/>
    <w:rsid w:val="001D545E"/>
    <w:rsid w:val="001D7365"/>
    <w:rsid w:val="001D7961"/>
    <w:rsid w:val="001D7D8F"/>
    <w:rsid w:val="001D7DF0"/>
    <w:rsid w:val="001D7E82"/>
    <w:rsid w:val="001E018C"/>
    <w:rsid w:val="001E036B"/>
    <w:rsid w:val="001E0672"/>
    <w:rsid w:val="001E0AD2"/>
    <w:rsid w:val="001E11C8"/>
    <w:rsid w:val="001E1963"/>
    <w:rsid w:val="001E2702"/>
    <w:rsid w:val="001E3596"/>
    <w:rsid w:val="001E38ED"/>
    <w:rsid w:val="001E3B25"/>
    <w:rsid w:val="001E3F91"/>
    <w:rsid w:val="001E4152"/>
    <w:rsid w:val="001E489D"/>
    <w:rsid w:val="001E5C94"/>
    <w:rsid w:val="001E6822"/>
    <w:rsid w:val="001E74A5"/>
    <w:rsid w:val="001E7B9E"/>
    <w:rsid w:val="001F025B"/>
    <w:rsid w:val="001F0379"/>
    <w:rsid w:val="001F094C"/>
    <w:rsid w:val="001F1C5C"/>
    <w:rsid w:val="001F2B8C"/>
    <w:rsid w:val="001F394F"/>
    <w:rsid w:val="001F783F"/>
    <w:rsid w:val="001F7AFD"/>
    <w:rsid w:val="001F7DE2"/>
    <w:rsid w:val="002001BE"/>
    <w:rsid w:val="002031F3"/>
    <w:rsid w:val="002058A7"/>
    <w:rsid w:val="00205A1A"/>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60"/>
    <w:rsid w:val="00226ED6"/>
    <w:rsid w:val="002275DE"/>
    <w:rsid w:val="00230170"/>
    <w:rsid w:val="002305CF"/>
    <w:rsid w:val="002310B5"/>
    <w:rsid w:val="00232110"/>
    <w:rsid w:val="00233E08"/>
    <w:rsid w:val="002345FF"/>
    <w:rsid w:val="00235DF2"/>
    <w:rsid w:val="00237611"/>
    <w:rsid w:val="002408D7"/>
    <w:rsid w:val="002413EC"/>
    <w:rsid w:val="002417FB"/>
    <w:rsid w:val="002426EA"/>
    <w:rsid w:val="00244476"/>
    <w:rsid w:val="0024579C"/>
    <w:rsid w:val="002457CF"/>
    <w:rsid w:val="00245B8E"/>
    <w:rsid w:val="00246318"/>
    <w:rsid w:val="002507D8"/>
    <w:rsid w:val="002510FA"/>
    <w:rsid w:val="00252A20"/>
    <w:rsid w:val="00252B41"/>
    <w:rsid w:val="00254239"/>
    <w:rsid w:val="0025524F"/>
    <w:rsid w:val="002578EE"/>
    <w:rsid w:val="00257E5F"/>
    <w:rsid w:val="00260C1D"/>
    <w:rsid w:val="00261001"/>
    <w:rsid w:val="002617DC"/>
    <w:rsid w:val="00261A42"/>
    <w:rsid w:val="00261D84"/>
    <w:rsid w:val="002629A6"/>
    <w:rsid w:val="002630E4"/>
    <w:rsid w:val="00263F23"/>
    <w:rsid w:val="00264329"/>
    <w:rsid w:val="00264D02"/>
    <w:rsid w:val="00264DA7"/>
    <w:rsid w:val="0026500D"/>
    <w:rsid w:val="00265CD7"/>
    <w:rsid w:val="00266588"/>
    <w:rsid w:val="002665BD"/>
    <w:rsid w:val="00266E54"/>
    <w:rsid w:val="00270264"/>
    <w:rsid w:val="00271342"/>
    <w:rsid w:val="00271B06"/>
    <w:rsid w:val="0027298D"/>
    <w:rsid w:val="00272BB4"/>
    <w:rsid w:val="00272FEC"/>
    <w:rsid w:val="00273013"/>
    <w:rsid w:val="00273C37"/>
    <w:rsid w:val="00273F6D"/>
    <w:rsid w:val="0027430D"/>
    <w:rsid w:val="0027463A"/>
    <w:rsid w:val="002746D9"/>
    <w:rsid w:val="00274ED2"/>
    <w:rsid w:val="002754FC"/>
    <w:rsid w:val="002765F2"/>
    <w:rsid w:val="00277A35"/>
    <w:rsid w:val="00280278"/>
    <w:rsid w:val="00280994"/>
    <w:rsid w:val="00280E3F"/>
    <w:rsid w:val="00280F05"/>
    <w:rsid w:val="0028248C"/>
    <w:rsid w:val="00282B05"/>
    <w:rsid w:val="00282D4D"/>
    <w:rsid w:val="0028323A"/>
    <w:rsid w:val="00283861"/>
    <w:rsid w:val="00283CBA"/>
    <w:rsid w:val="002852FE"/>
    <w:rsid w:val="002856F3"/>
    <w:rsid w:val="00286DDB"/>
    <w:rsid w:val="002871EB"/>
    <w:rsid w:val="0028741E"/>
    <w:rsid w:val="00290DBD"/>
    <w:rsid w:val="00291D91"/>
    <w:rsid w:val="002948C4"/>
    <w:rsid w:val="00294D2D"/>
    <w:rsid w:val="002960D6"/>
    <w:rsid w:val="00297E45"/>
    <w:rsid w:val="002A1525"/>
    <w:rsid w:val="002A2099"/>
    <w:rsid w:val="002A229B"/>
    <w:rsid w:val="002A26D9"/>
    <w:rsid w:val="002A35B6"/>
    <w:rsid w:val="002A3796"/>
    <w:rsid w:val="002A4172"/>
    <w:rsid w:val="002A4516"/>
    <w:rsid w:val="002A4755"/>
    <w:rsid w:val="002A54DE"/>
    <w:rsid w:val="002A5A66"/>
    <w:rsid w:val="002A670D"/>
    <w:rsid w:val="002A70E6"/>
    <w:rsid w:val="002A7FAB"/>
    <w:rsid w:val="002B0692"/>
    <w:rsid w:val="002B085C"/>
    <w:rsid w:val="002B1252"/>
    <w:rsid w:val="002B1AE9"/>
    <w:rsid w:val="002B2278"/>
    <w:rsid w:val="002B284F"/>
    <w:rsid w:val="002B2A2E"/>
    <w:rsid w:val="002B2F59"/>
    <w:rsid w:val="002B309C"/>
    <w:rsid w:val="002B4B23"/>
    <w:rsid w:val="002B4D21"/>
    <w:rsid w:val="002B6781"/>
    <w:rsid w:val="002B6AC2"/>
    <w:rsid w:val="002B6D5B"/>
    <w:rsid w:val="002C0074"/>
    <w:rsid w:val="002C0159"/>
    <w:rsid w:val="002C0804"/>
    <w:rsid w:val="002C0D97"/>
    <w:rsid w:val="002C0DC5"/>
    <w:rsid w:val="002C1007"/>
    <w:rsid w:val="002C1142"/>
    <w:rsid w:val="002C23FB"/>
    <w:rsid w:val="002C2A97"/>
    <w:rsid w:val="002C2D44"/>
    <w:rsid w:val="002C3634"/>
    <w:rsid w:val="002C3A22"/>
    <w:rsid w:val="002C42F4"/>
    <w:rsid w:val="002C4715"/>
    <w:rsid w:val="002C4780"/>
    <w:rsid w:val="002C47ED"/>
    <w:rsid w:val="002C484A"/>
    <w:rsid w:val="002C5692"/>
    <w:rsid w:val="002C570D"/>
    <w:rsid w:val="002C618A"/>
    <w:rsid w:val="002C6561"/>
    <w:rsid w:val="002C69D4"/>
    <w:rsid w:val="002C6DB3"/>
    <w:rsid w:val="002C76A0"/>
    <w:rsid w:val="002D0CAE"/>
    <w:rsid w:val="002D0E3D"/>
    <w:rsid w:val="002D10C8"/>
    <w:rsid w:val="002D1A38"/>
    <w:rsid w:val="002D1AA7"/>
    <w:rsid w:val="002D1C2C"/>
    <w:rsid w:val="002D1EEE"/>
    <w:rsid w:val="002D266B"/>
    <w:rsid w:val="002D28CB"/>
    <w:rsid w:val="002D2E16"/>
    <w:rsid w:val="002D35AE"/>
    <w:rsid w:val="002D373C"/>
    <w:rsid w:val="002D57AA"/>
    <w:rsid w:val="002D6977"/>
    <w:rsid w:val="002D7417"/>
    <w:rsid w:val="002D7AE2"/>
    <w:rsid w:val="002E0348"/>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3C7"/>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711F"/>
    <w:rsid w:val="00317883"/>
    <w:rsid w:val="00317EFF"/>
    <w:rsid w:val="00320597"/>
    <w:rsid w:val="00321181"/>
    <w:rsid w:val="00321AA3"/>
    <w:rsid w:val="00321AE9"/>
    <w:rsid w:val="00321EEE"/>
    <w:rsid w:val="00322473"/>
    <w:rsid w:val="0032264B"/>
    <w:rsid w:val="00323895"/>
    <w:rsid w:val="00324AAB"/>
    <w:rsid w:val="0032586C"/>
    <w:rsid w:val="00325B05"/>
    <w:rsid w:val="00326579"/>
    <w:rsid w:val="00327D27"/>
    <w:rsid w:val="00327D79"/>
    <w:rsid w:val="003304E2"/>
    <w:rsid w:val="00330CBC"/>
    <w:rsid w:val="00330E47"/>
    <w:rsid w:val="00332E6B"/>
    <w:rsid w:val="003337F3"/>
    <w:rsid w:val="00333BE8"/>
    <w:rsid w:val="00333F73"/>
    <w:rsid w:val="003344DB"/>
    <w:rsid w:val="00335866"/>
    <w:rsid w:val="00335898"/>
    <w:rsid w:val="003359E2"/>
    <w:rsid w:val="00335BFE"/>
    <w:rsid w:val="00335DD4"/>
    <w:rsid w:val="00335E9C"/>
    <w:rsid w:val="0033608B"/>
    <w:rsid w:val="0033675D"/>
    <w:rsid w:val="003369D2"/>
    <w:rsid w:val="00337941"/>
    <w:rsid w:val="003401F8"/>
    <w:rsid w:val="003407D0"/>
    <w:rsid w:val="0034181B"/>
    <w:rsid w:val="00341B17"/>
    <w:rsid w:val="00342C51"/>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6073F"/>
    <w:rsid w:val="00360789"/>
    <w:rsid w:val="003615A3"/>
    <w:rsid w:val="00361B9B"/>
    <w:rsid w:val="003629EE"/>
    <w:rsid w:val="00363DCB"/>
    <w:rsid w:val="003643B3"/>
    <w:rsid w:val="00365485"/>
    <w:rsid w:val="0036609F"/>
    <w:rsid w:val="003663BC"/>
    <w:rsid w:val="003708DD"/>
    <w:rsid w:val="00370B8E"/>
    <w:rsid w:val="00370BB1"/>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63E3"/>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145"/>
    <w:rsid w:val="003A03D0"/>
    <w:rsid w:val="003A04FF"/>
    <w:rsid w:val="003A1B01"/>
    <w:rsid w:val="003A2029"/>
    <w:rsid w:val="003A2676"/>
    <w:rsid w:val="003A2CF7"/>
    <w:rsid w:val="003A5E73"/>
    <w:rsid w:val="003A63D9"/>
    <w:rsid w:val="003A6417"/>
    <w:rsid w:val="003A65FE"/>
    <w:rsid w:val="003A6A5A"/>
    <w:rsid w:val="003A6C11"/>
    <w:rsid w:val="003A7221"/>
    <w:rsid w:val="003A730E"/>
    <w:rsid w:val="003B123F"/>
    <w:rsid w:val="003B1857"/>
    <w:rsid w:val="003B1CEE"/>
    <w:rsid w:val="003B2199"/>
    <w:rsid w:val="003B2856"/>
    <w:rsid w:val="003B2A0D"/>
    <w:rsid w:val="003B31FA"/>
    <w:rsid w:val="003B470A"/>
    <w:rsid w:val="003B55AD"/>
    <w:rsid w:val="003B790C"/>
    <w:rsid w:val="003B7EC4"/>
    <w:rsid w:val="003C0425"/>
    <w:rsid w:val="003C183D"/>
    <w:rsid w:val="003C19CA"/>
    <w:rsid w:val="003C1CB7"/>
    <w:rsid w:val="003C4ECE"/>
    <w:rsid w:val="003C64C3"/>
    <w:rsid w:val="003C7282"/>
    <w:rsid w:val="003C74CA"/>
    <w:rsid w:val="003D00D5"/>
    <w:rsid w:val="003D0A29"/>
    <w:rsid w:val="003D0BC7"/>
    <w:rsid w:val="003D181D"/>
    <w:rsid w:val="003D187D"/>
    <w:rsid w:val="003D20C4"/>
    <w:rsid w:val="003D29E0"/>
    <w:rsid w:val="003D4163"/>
    <w:rsid w:val="003D46D0"/>
    <w:rsid w:val="003D5051"/>
    <w:rsid w:val="003D5661"/>
    <w:rsid w:val="003D65BF"/>
    <w:rsid w:val="003D792A"/>
    <w:rsid w:val="003E1680"/>
    <w:rsid w:val="003E1870"/>
    <w:rsid w:val="003E2E98"/>
    <w:rsid w:val="003E2ED8"/>
    <w:rsid w:val="003E4701"/>
    <w:rsid w:val="003E4C96"/>
    <w:rsid w:val="003E6079"/>
    <w:rsid w:val="003E6128"/>
    <w:rsid w:val="003E6679"/>
    <w:rsid w:val="003E6D0F"/>
    <w:rsid w:val="003E6D1E"/>
    <w:rsid w:val="003E712E"/>
    <w:rsid w:val="003F0769"/>
    <w:rsid w:val="003F0DDA"/>
    <w:rsid w:val="003F140F"/>
    <w:rsid w:val="003F1552"/>
    <w:rsid w:val="003F15DB"/>
    <w:rsid w:val="003F2702"/>
    <w:rsid w:val="003F2778"/>
    <w:rsid w:val="003F36A4"/>
    <w:rsid w:val="003F3757"/>
    <w:rsid w:val="003F4900"/>
    <w:rsid w:val="003F55F9"/>
    <w:rsid w:val="003F70CA"/>
    <w:rsid w:val="003F7823"/>
    <w:rsid w:val="003F7CCB"/>
    <w:rsid w:val="00400DCA"/>
    <w:rsid w:val="00400E76"/>
    <w:rsid w:val="0040137F"/>
    <w:rsid w:val="00402179"/>
    <w:rsid w:val="0040278D"/>
    <w:rsid w:val="00402932"/>
    <w:rsid w:val="00402C84"/>
    <w:rsid w:val="00403249"/>
    <w:rsid w:val="00403781"/>
    <w:rsid w:val="0040471A"/>
    <w:rsid w:val="004078C8"/>
    <w:rsid w:val="004102DE"/>
    <w:rsid w:val="004107D7"/>
    <w:rsid w:val="00412696"/>
    <w:rsid w:val="00412E24"/>
    <w:rsid w:val="00413DF7"/>
    <w:rsid w:val="00414335"/>
    <w:rsid w:val="004147B1"/>
    <w:rsid w:val="00416727"/>
    <w:rsid w:val="00416F66"/>
    <w:rsid w:val="004170BE"/>
    <w:rsid w:val="004171E4"/>
    <w:rsid w:val="00417A0E"/>
    <w:rsid w:val="0042068A"/>
    <w:rsid w:val="00422378"/>
    <w:rsid w:val="0042267F"/>
    <w:rsid w:val="00422B32"/>
    <w:rsid w:val="0042437A"/>
    <w:rsid w:val="00424992"/>
    <w:rsid w:val="00424E72"/>
    <w:rsid w:val="00425F0D"/>
    <w:rsid w:val="00426D7C"/>
    <w:rsid w:val="00427621"/>
    <w:rsid w:val="004277BC"/>
    <w:rsid w:val="004300ED"/>
    <w:rsid w:val="0043125B"/>
    <w:rsid w:val="00431687"/>
    <w:rsid w:val="00432B72"/>
    <w:rsid w:val="00433016"/>
    <w:rsid w:val="0043405B"/>
    <w:rsid w:val="0043412E"/>
    <w:rsid w:val="004341B3"/>
    <w:rsid w:val="004342F1"/>
    <w:rsid w:val="004349C0"/>
    <w:rsid w:val="00434ECD"/>
    <w:rsid w:val="00435075"/>
    <w:rsid w:val="00435DF1"/>
    <w:rsid w:val="00437702"/>
    <w:rsid w:val="00437909"/>
    <w:rsid w:val="004401B5"/>
    <w:rsid w:val="004404F8"/>
    <w:rsid w:val="00440800"/>
    <w:rsid w:val="004409D4"/>
    <w:rsid w:val="004413DD"/>
    <w:rsid w:val="00442393"/>
    <w:rsid w:val="004436D7"/>
    <w:rsid w:val="00443DCB"/>
    <w:rsid w:val="00443DEB"/>
    <w:rsid w:val="00444D5D"/>
    <w:rsid w:val="0044535B"/>
    <w:rsid w:val="00445FDA"/>
    <w:rsid w:val="004461C7"/>
    <w:rsid w:val="004466B2"/>
    <w:rsid w:val="004473B2"/>
    <w:rsid w:val="00447F0D"/>
    <w:rsid w:val="00450686"/>
    <w:rsid w:val="00450A5F"/>
    <w:rsid w:val="00451514"/>
    <w:rsid w:val="00453BB4"/>
    <w:rsid w:val="004543B3"/>
    <w:rsid w:val="00454B9D"/>
    <w:rsid w:val="00456190"/>
    <w:rsid w:val="00456317"/>
    <w:rsid w:val="00456348"/>
    <w:rsid w:val="004572A1"/>
    <w:rsid w:val="00457F74"/>
    <w:rsid w:val="00460DD5"/>
    <w:rsid w:val="00460F4B"/>
    <w:rsid w:val="004613B1"/>
    <w:rsid w:val="00461F2A"/>
    <w:rsid w:val="0046231E"/>
    <w:rsid w:val="0046340E"/>
    <w:rsid w:val="004635E2"/>
    <w:rsid w:val="004638FA"/>
    <w:rsid w:val="00464CB6"/>
    <w:rsid w:val="00464EA2"/>
    <w:rsid w:val="0046532D"/>
    <w:rsid w:val="0046566E"/>
    <w:rsid w:val="00466C6C"/>
    <w:rsid w:val="00470027"/>
    <w:rsid w:val="0047025A"/>
    <w:rsid w:val="004724EC"/>
    <w:rsid w:val="00472A17"/>
    <w:rsid w:val="00472C41"/>
    <w:rsid w:val="00472CB5"/>
    <w:rsid w:val="00473115"/>
    <w:rsid w:val="004738D8"/>
    <w:rsid w:val="00473BD2"/>
    <w:rsid w:val="00473F11"/>
    <w:rsid w:val="00474477"/>
    <w:rsid w:val="004749E8"/>
    <w:rsid w:val="00475E37"/>
    <w:rsid w:val="004764CB"/>
    <w:rsid w:val="00476730"/>
    <w:rsid w:val="004769A5"/>
    <w:rsid w:val="00476A2D"/>
    <w:rsid w:val="004773A3"/>
    <w:rsid w:val="004773E6"/>
    <w:rsid w:val="00477710"/>
    <w:rsid w:val="00477AAB"/>
    <w:rsid w:val="00477B66"/>
    <w:rsid w:val="00481A7B"/>
    <w:rsid w:val="004821C5"/>
    <w:rsid w:val="00483042"/>
    <w:rsid w:val="0048386B"/>
    <w:rsid w:val="00483C14"/>
    <w:rsid w:val="00483F86"/>
    <w:rsid w:val="00484EDE"/>
    <w:rsid w:val="004858CD"/>
    <w:rsid w:val="00485DB6"/>
    <w:rsid w:val="0048628A"/>
    <w:rsid w:val="0048658E"/>
    <w:rsid w:val="00487D6A"/>
    <w:rsid w:val="00490303"/>
    <w:rsid w:val="004911B6"/>
    <w:rsid w:val="00491C96"/>
    <w:rsid w:val="004923B6"/>
    <w:rsid w:val="00494294"/>
    <w:rsid w:val="00495611"/>
    <w:rsid w:val="004961DA"/>
    <w:rsid w:val="00496359"/>
    <w:rsid w:val="00497926"/>
    <w:rsid w:val="004A115C"/>
    <w:rsid w:val="004A14AE"/>
    <w:rsid w:val="004A14BE"/>
    <w:rsid w:val="004A2A62"/>
    <w:rsid w:val="004A2BF5"/>
    <w:rsid w:val="004A3085"/>
    <w:rsid w:val="004A3C58"/>
    <w:rsid w:val="004A4178"/>
    <w:rsid w:val="004A4BD5"/>
    <w:rsid w:val="004A4CFD"/>
    <w:rsid w:val="004A4FB5"/>
    <w:rsid w:val="004A677C"/>
    <w:rsid w:val="004A6C04"/>
    <w:rsid w:val="004A7D4A"/>
    <w:rsid w:val="004B05A5"/>
    <w:rsid w:val="004B0EB6"/>
    <w:rsid w:val="004B176B"/>
    <w:rsid w:val="004B182C"/>
    <w:rsid w:val="004B20FF"/>
    <w:rsid w:val="004B293C"/>
    <w:rsid w:val="004B35A4"/>
    <w:rsid w:val="004B3A2A"/>
    <w:rsid w:val="004B3D59"/>
    <w:rsid w:val="004B4713"/>
    <w:rsid w:val="004B4BE7"/>
    <w:rsid w:val="004B50F8"/>
    <w:rsid w:val="004B58EA"/>
    <w:rsid w:val="004B66DE"/>
    <w:rsid w:val="004B6CB0"/>
    <w:rsid w:val="004B73EF"/>
    <w:rsid w:val="004B7992"/>
    <w:rsid w:val="004C0200"/>
    <w:rsid w:val="004C09B4"/>
    <w:rsid w:val="004C2082"/>
    <w:rsid w:val="004C20F2"/>
    <w:rsid w:val="004C251E"/>
    <w:rsid w:val="004C3F25"/>
    <w:rsid w:val="004C46B7"/>
    <w:rsid w:val="004C4E77"/>
    <w:rsid w:val="004C525E"/>
    <w:rsid w:val="004C5EF2"/>
    <w:rsid w:val="004C6796"/>
    <w:rsid w:val="004C67E2"/>
    <w:rsid w:val="004C6BD8"/>
    <w:rsid w:val="004C7263"/>
    <w:rsid w:val="004C7A27"/>
    <w:rsid w:val="004D0490"/>
    <w:rsid w:val="004D0B92"/>
    <w:rsid w:val="004D10C7"/>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28E"/>
    <w:rsid w:val="004E11D8"/>
    <w:rsid w:val="004E37C3"/>
    <w:rsid w:val="004E6E3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6A11"/>
    <w:rsid w:val="00507043"/>
    <w:rsid w:val="0050769D"/>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6CC7"/>
    <w:rsid w:val="00527495"/>
    <w:rsid w:val="00527E7A"/>
    <w:rsid w:val="00531594"/>
    <w:rsid w:val="00531E28"/>
    <w:rsid w:val="00531EF4"/>
    <w:rsid w:val="00532EAC"/>
    <w:rsid w:val="00537E2C"/>
    <w:rsid w:val="00540208"/>
    <w:rsid w:val="005407F2"/>
    <w:rsid w:val="00541B1E"/>
    <w:rsid w:val="00542797"/>
    <w:rsid w:val="00542B3A"/>
    <w:rsid w:val="0054356D"/>
    <w:rsid w:val="00544ADC"/>
    <w:rsid w:val="00544B9C"/>
    <w:rsid w:val="00544E13"/>
    <w:rsid w:val="00544EC9"/>
    <w:rsid w:val="00546CE8"/>
    <w:rsid w:val="00546FBD"/>
    <w:rsid w:val="00547330"/>
    <w:rsid w:val="00550671"/>
    <w:rsid w:val="00551425"/>
    <w:rsid w:val="0055159A"/>
    <w:rsid w:val="005516E0"/>
    <w:rsid w:val="00551A9B"/>
    <w:rsid w:val="005520BF"/>
    <w:rsid w:val="00552213"/>
    <w:rsid w:val="005526F4"/>
    <w:rsid w:val="0055544F"/>
    <w:rsid w:val="00556533"/>
    <w:rsid w:val="00556B04"/>
    <w:rsid w:val="00556F72"/>
    <w:rsid w:val="00556F82"/>
    <w:rsid w:val="0055710D"/>
    <w:rsid w:val="00560A81"/>
    <w:rsid w:val="00560C00"/>
    <w:rsid w:val="00561ED1"/>
    <w:rsid w:val="00562B0A"/>
    <w:rsid w:val="00562CCE"/>
    <w:rsid w:val="00563FC3"/>
    <w:rsid w:val="00564AE2"/>
    <w:rsid w:val="00564F73"/>
    <w:rsid w:val="0056555A"/>
    <w:rsid w:val="00565D5E"/>
    <w:rsid w:val="005669D6"/>
    <w:rsid w:val="00566BC5"/>
    <w:rsid w:val="0056788F"/>
    <w:rsid w:val="00567998"/>
    <w:rsid w:val="00570911"/>
    <w:rsid w:val="005716F3"/>
    <w:rsid w:val="00573BC6"/>
    <w:rsid w:val="005759CD"/>
    <w:rsid w:val="00575D39"/>
    <w:rsid w:val="00575F2C"/>
    <w:rsid w:val="005773AC"/>
    <w:rsid w:val="00577884"/>
    <w:rsid w:val="00577C3F"/>
    <w:rsid w:val="00581C0F"/>
    <w:rsid w:val="00582919"/>
    <w:rsid w:val="00583749"/>
    <w:rsid w:val="005849B2"/>
    <w:rsid w:val="00585172"/>
    <w:rsid w:val="00586719"/>
    <w:rsid w:val="00587366"/>
    <w:rsid w:val="0058757A"/>
    <w:rsid w:val="00590037"/>
    <w:rsid w:val="00590579"/>
    <w:rsid w:val="00590892"/>
    <w:rsid w:val="00591931"/>
    <w:rsid w:val="005928AA"/>
    <w:rsid w:val="00593476"/>
    <w:rsid w:val="005937BC"/>
    <w:rsid w:val="00594C52"/>
    <w:rsid w:val="00595511"/>
    <w:rsid w:val="00596238"/>
    <w:rsid w:val="00596514"/>
    <w:rsid w:val="0059679B"/>
    <w:rsid w:val="00597B2E"/>
    <w:rsid w:val="00597B44"/>
    <w:rsid w:val="00597D18"/>
    <w:rsid w:val="005A1FAB"/>
    <w:rsid w:val="005A20DC"/>
    <w:rsid w:val="005A228F"/>
    <w:rsid w:val="005A22CB"/>
    <w:rsid w:val="005A2A65"/>
    <w:rsid w:val="005A2F65"/>
    <w:rsid w:val="005A3513"/>
    <w:rsid w:val="005A3581"/>
    <w:rsid w:val="005A3BD7"/>
    <w:rsid w:val="005A60E1"/>
    <w:rsid w:val="005A6788"/>
    <w:rsid w:val="005A786F"/>
    <w:rsid w:val="005B13E4"/>
    <w:rsid w:val="005B1698"/>
    <w:rsid w:val="005B169C"/>
    <w:rsid w:val="005B289B"/>
    <w:rsid w:val="005B2D8D"/>
    <w:rsid w:val="005B2DD1"/>
    <w:rsid w:val="005B331D"/>
    <w:rsid w:val="005B3A49"/>
    <w:rsid w:val="005B3F0D"/>
    <w:rsid w:val="005B4B08"/>
    <w:rsid w:val="005B4DBC"/>
    <w:rsid w:val="005B5703"/>
    <w:rsid w:val="005B6ADF"/>
    <w:rsid w:val="005B773D"/>
    <w:rsid w:val="005B7C5D"/>
    <w:rsid w:val="005C02B5"/>
    <w:rsid w:val="005C0821"/>
    <w:rsid w:val="005C0D5A"/>
    <w:rsid w:val="005C1A74"/>
    <w:rsid w:val="005C3294"/>
    <w:rsid w:val="005C347F"/>
    <w:rsid w:val="005C380A"/>
    <w:rsid w:val="005C3B63"/>
    <w:rsid w:val="005C450C"/>
    <w:rsid w:val="005C4B63"/>
    <w:rsid w:val="005C6961"/>
    <w:rsid w:val="005C6F55"/>
    <w:rsid w:val="005C7898"/>
    <w:rsid w:val="005C7CA9"/>
    <w:rsid w:val="005D0939"/>
    <w:rsid w:val="005D0EB4"/>
    <w:rsid w:val="005D18A6"/>
    <w:rsid w:val="005D27DD"/>
    <w:rsid w:val="005D3493"/>
    <w:rsid w:val="005D42F5"/>
    <w:rsid w:val="005D487C"/>
    <w:rsid w:val="005D60AA"/>
    <w:rsid w:val="005D622E"/>
    <w:rsid w:val="005D6617"/>
    <w:rsid w:val="005D6FF0"/>
    <w:rsid w:val="005D7E35"/>
    <w:rsid w:val="005E11D5"/>
    <w:rsid w:val="005E2084"/>
    <w:rsid w:val="005E23CD"/>
    <w:rsid w:val="005E2486"/>
    <w:rsid w:val="005E2E8F"/>
    <w:rsid w:val="005E34D4"/>
    <w:rsid w:val="005E3716"/>
    <w:rsid w:val="005E3AE2"/>
    <w:rsid w:val="005E3B98"/>
    <w:rsid w:val="005E3FDE"/>
    <w:rsid w:val="005E55F2"/>
    <w:rsid w:val="005E68FC"/>
    <w:rsid w:val="005E7271"/>
    <w:rsid w:val="005E76A0"/>
    <w:rsid w:val="005E7CC9"/>
    <w:rsid w:val="005F0007"/>
    <w:rsid w:val="005F0E6C"/>
    <w:rsid w:val="005F106E"/>
    <w:rsid w:val="005F1213"/>
    <w:rsid w:val="005F1362"/>
    <w:rsid w:val="005F1BAD"/>
    <w:rsid w:val="005F2EB0"/>
    <w:rsid w:val="005F3685"/>
    <w:rsid w:val="005F487C"/>
    <w:rsid w:val="005F53A4"/>
    <w:rsid w:val="005F5FE1"/>
    <w:rsid w:val="005F62B2"/>
    <w:rsid w:val="005F692C"/>
    <w:rsid w:val="005F715E"/>
    <w:rsid w:val="006010DA"/>
    <w:rsid w:val="006015F0"/>
    <w:rsid w:val="006017AB"/>
    <w:rsid w:val="00604AC3"/>
    <w:rsid w:val="00605865"/>
    <w:rsid w:val="006073A5"/>
    <w:rsid w:val="00610B2D"/>
    <w:rsid w:val="00611B02"/>
    <w:rsid w:val="00611DC1"/>
    <w:rsid w:val="00613655"/>
    <w:rsid w:val="006144EE"/>
    <w:rsid w:val="00614C0C"/>
    <w:rsid w:val="00616236"/>
    <w:rsid w:val="00617125"/>
    <w:rsid w:val="00617813"/>
    <w:rsid w:val="006206CC"/>
    <w:rsid w:val="00620C1F"/>
    <w:rsid w:val="0062118E"/>
    <w:rsid w:val="00622B06"/>
    <w:rsid w:val="00623C15"/>
    <w:rsid w:val="00624425"/>
    <w:rsid w:val="00624B37"/>
    <w:rsid w:val="006257C2"/>
    <w:rsid w:val="00625CD0"/>
    <w:rsid w:val="00627163"/>
    <w:rsid w:val="00627CA9"/>
    <w:rsid w:val="0063034E"/>
    <w:rsid w:val="00632E24"/>
    <w:rsid w:val="00632E7E"/>
    <w:rsid w:val="00634476"/>
    <w:rsid w:val="00635424"/>
    <w:rsid w:val="00637049"/>
    <w:rsid w:val="00637475"/>
    <w:rsid w:val="00640B8E"/>
    <w:rsid w:val="00642240"/>
    <w:rsid w:val="0064393B"/>
    <w:rsid w:val="006439A1"/>
    <w:rsid w:val="00644375"/>
    <w:rsid w:val="00644A5C"/>
    <w:rsid w:val="00644F20"/>
    <w:rsid w:val="00645E03"/>
    <w:rsid w:val="00646A08"/>
    <w:rsid w:val="00646E43"/>
    <w:rsid w:val="00650392"/>
    <w:rsid w:val="0065061D"/>
    <w:rsid w:val="00651701"/>
    <w:rsid w:val="00652854"/>
    <w:rsid w:val="006545C5"/>
    <w:rsid w:val="00655146"/>
    <w:rsid w:val="006563A8"/>
    <w:rsid w:val="0065715E"/>
    <w:rsid w:val="00657670"/>
    <w:rsid w:val="00657DBF"/>
    <w:rsid w:val="00657DE0"/>
    <w:rsid w:val="00662C69"/>
    <w:rsid w:val="0066311A"/>
    <w:rsid w:val="00663214"/>
    <w:rsid w:val="006633C0"/>
    <w:rsid w:val="00663470"/>
    <w:rsid w:val="00663CC7"/>
    <w:rsid w:val="00663D3F"/>
    <w:rsid w:val="006642CA"/>
    <w:rsid w:val="0066458B"/>
    <w:rsid w:val="00664805"/>
    <w:rsid w:val="00664FB5"/>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80F25"/>
    <w:rsid w:val="00682297"/>
    <w:rsid w:val="006842C0"/>
    <w:rsid w:val="00685689"/>
    <w:rsid w:val="0068594B"/>
    <w:rsid w:val="00686B04"/>
    <w:rsid w:val="00687CAD"/>
    <w:rsid w:val="006901FA"/>
    <w:rsid w:val="006904D3"/>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15A0"/>
    <w:rsid w:val="006C26B3"/>
    <w:rsid w:val="006C2FEE"/>
    <w:rsid w:val="006C50B1"/>
    <w:rsid w:val="006C50C2"/>
    <w:rsid w:val="006C563A"/>
    <w:rsid w:val="006C6C8C"/>
    <w:rsid w:val="006C6E1A"/>
    <w:rsid w:val="006D1B6D"/>
    <w:rsid w:val="006D24C4"/>
    <w:rsid w:val="006D27EF"/>
    <w:rsid w:val="006D3FB4"/>
    <w:rsid w:val="006D425C"/>
    <w:rsid w:val="006D52D1"/>
    <w:rsid w:val="006D57BE"/>
    <w:rsid w:val="006D5800"/>
    <w:rsid w:val="006D65D4"/>
    <w:rsid w:val="006D6D3D"/>
    <w:rsid w:val="006D77A2"/>
    <w:rsid w:val="006E013D"/>
    <w:rsid w:val="006E1056"/>
    <w:rsid w:val="006E3A2A"/>
    <w:rsid w:val="006E3C4C"/>
    <w:rsid w:val="006E4692"/>
    <w:rsid w:val="006E4BD4"/>
    <w:rsid w:val="006E4E2A"/>
    <w:rsid w:val="006E5715"/>
    <w:rsid w:val="006E5950"/>
    <w:rsid w:val="006E5AC6"/>
    <w:rsid w:val="006E682E"/>
    <w:rsid w:val="006E6B65"/>
    <w:rsid w:val="006E6C14"/>
    <w:rsid w:val="006E73D4"/>
    <w:rsid w:val="006E7CC5"/>
    <w:rsid w:val="006F0AE3"/>
    <w:rsid w:val="006F1E31"/>
    <w:rsid w:val="006F2724"/>
    <w:rsid w:val="006F2C12"/>
    <w:rsid w:val="006F2F92"/>
    <w:rsid w:val="006F3266"/>
    <w:rsid w:val="006F51AA"/>
    <w:rsid w:val="006F5231"/>
    <w:rsid w:val="006F5F55"/>
    <w:rsid w:val="006F69E5"/>
    <w:rsid w:val="00700553"/>
    <w:rsid w:val="0070102E"/>
    <w:rsid w:val="00701218"/>
    <w:rsid w:val="00702D2E"/>
    <w:rsid w:val="007050B1"/>
    <w:rsid w:val="00705527"/>
    <w:rsid w:val="00705B80"/>
    <w:rsid w:val="007060B5"/>
    <w:rsid w:val="00707096"/>
    <w:rsid w:val="00710B50"/>
    <w:rsid w:val="007127BB"/>
    <w:rsid w:val="00712B96"/>
    <w:rsid w:val="007136BC"/>
    <w:rsid w:val="007137B5"/>
    <w:rsid w:val="0071449E"/>
    <w:rsid w:val="00714576"/>
    <w:rsid w:val="00714FEC"/>
    <w:rsid w:val="00715A04"/>
    <w:rsid w:val="00715B7D"/>
    <w:rsid w:val="00721335"/>
    <w:rsid w:val="0072136F"/>
    <w:rsid w:val="00721924"/>
    <w:rsid w:val="00721F66"/>
    <w:rsid w:val="00722B93"/>
    <w:rsid w:val="00722D3A"/>
    <w:rsid w:val="0072384A"/>
    <w:rsid w:val="0072445A"/>
    <w:rsid w:val="007263AA"/>
    <w:rsid w:val="00730DF4"/>
    <w:rsid w:val="00730FBC"/>
    <w:rsid w:val="00731F1F"/>
    <w:rsid w:val="00732319"/>
    <w:rsid w:val="007324F5"/>
    <w:rsid w:val="00732F98"/>
    <w:rsid w:val="0073324B"/>
    <w:rsid w:val="007337E6"/>
    <w:rsid w:val="00735A75"/>
    <w:rsid w:val="00736115"/>
    <w:rsid w:val="007365AD"/>
    <w:rsid w:val="00736C54"/>
    <w:rsid w:val="007409D8"/>
    <w:rsid w:val="00740BA4"/>
    <w:rsid w:val="007411E3"/>
    <w:rsid w:val="007417CD"/>
    <w:rsid w:val="00742486"/>
    <w:rsid w:val="00743CAC"/>
    <w:rsid w:val="0074433B"/>
    <w:rsid w:val="007446C2"/>
    <w:rsid w:val="0074573F"/>
    <w:rsid w:val="0074628D"/>
    <w:rsid w:val="007473D2"/>
    <w:rsid w:val="007474B7"/>
    <w:rsid w:val="007479C2"/>
    <w:rsid w:val="00750A80"/>
    <w:rsid w:val="00750FC0"/>
    <w:rsid w:val="00751061"/>
    <w:rsid w:val="0075151E"/>
    <w:rsid w:val="0075265E"/>
    <w:rsid w:val="0075440D"/>
    <w:rsid w:val="00754EF8"/>
    <w:rsid w:val="007550FA"/>
    <w:rsid w:val="00755369"/>
    <w:rsid w:val="0075604A"/>
    <w:rsid w:val="0075650E"/>
    <w:rsid w:val="00757995"/>
    <w:rsid w:val="00760BAE"/>
    <w:rsid w:val="00762511"/>
    <w:rsid w:val="00762697"/>
    <w:rsid w:val="007644E6"/>
    <w:rsid w:val="007652EA"/>
    <w:rsid w:val="00766CDD"/>
    <w:rsid w:val="007674F3"/>
    <w:rsid w:val="00767CD2"/>
    <w:rsid w:val="00770859"/>
    <w:rsid w:val="00771B73"/>
    <w:rsid w:val="00772245"/>
    <w:rsid w:val="0077236C"/>
    <w:rsid w:val="0077277D"/>
    <w:rsid w:val="00774A5F"/>
    <w:rsid w:val="00774AB3"/>
    <w:rsid w:val="00774DFD"/>
    <w:rsid w:val="00775193"/>
    <w:rsid w:val="007753FA"/>
    <w:rsid w:val="0077544D"/>
    <w:rsid w:val="007758D3"/>
    <w:rsid w:val="00775D67"/>
    <w:rsid w:val="00776C78"/>
    <w:rsid w:val="007774E7"/>
    <w:rsid w:val="0078079A"/>
    <w:rsid w:val="007814A7"/>
    <w:rsid w:val="0078249C"/>
    <w:rsid w:val="00782761"/>
    <w:rsid w:val="00784AA0"/>
    <w:rsid w:val="00784F3D"/>
    <w:rsid w:val="00785321"/>
    <w:rsid w:val="00785E63"/>
    <w:rsid w:val="007860B9"/>
    <w:rsid w:val="007861AF"/>
    <w:rsid w:val="00786A0B"/>
    <w:rsid w:val="00786DD5"/>
    <w:rsid w:val="00787184"/>
    <w:rsid w:val="00790613"/>
    <w:rsid w:val="007914E4"/>
    <w:rsid w:val="0079183F"/>
    <w:rsid w:val="00791CA9"/>
    <w:rsid w:val="00791E58"/>
    <w:rsid w:val="00794C2B"/>
    <w:rsid w:val="00795FC5"/>
    <w:rsid w:val="00797D59"/>
    <w:rsid w:val="007A0692"/>
    <w:rsid w:val="007A082B"/>
    <w:rsid w:val="007A0A0E"/>
    <w:rsid w:val="007A1303"/>
    <w:rsid w:val="007A28D5"/>
    <w:rsid w:val="007A2C90"/>
    <w:rsid w:val="007A3D27"/>
    <w:rsid w:val="007A4419"/>
    <w:rsid w:val="007A4D93"/>
    <w:rsid w:val="007A5823"/>
    <w:rsid w:val="007A638B"/>
    <w:rsid w:val="007A65E0"/>
    <w:rsid w:val="007A70B9"/>
    <w:rsid w:val="007A729D"/>
    <w:rsid w:val="007A7602"/>
    <w:rsid w:val="007A7A58"/>
    <w:rsid w:val="007A7E06"/>
    <w:rsid w:val="007B02B9"/>
    <w:rsid w:val="007B08F5"/>
    <w:rsid w:val="007B1AED"/>
    <w:rsid w:val="007B233D"/>
    <w:rsid w:val="007B2587"/>
    <w:rsid w:val="007B26B2"/>
    <w:rsid w:val="007B2C2A"/>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245"/>
    <w:rsid w:val="007C78C4"/>
    <w:rsid w:val="007C7CA2"/>
    <w:rsid w:val="007D08F9"/>
    <w:rsid w:val="007D0C01"/>
    <w:rsid w:val="007D26D2"/>
    <w:rsid w:val="007D27D5"/>
    <w:rsid w:val="007D2E26"/>
    <w:rsid w:val="007D3356"/>
    <w:rsid w:val="007D3FBD"/>
    <w:rsid w:val="007D49A0"/>
    <w:rsid w:val="007D703F"/>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9AF"/>
    <w:rsid w:val="007F6F57"/>
    <w:rsid w:val="007F729E"/>
    <w:rsid w:val="007F7734"/>
    <w:rsid w:val="00800E69"/>
    <w:rsid w:val="00800EFF"/>
    <w:rsid w:val="008027FA"/>
    <w:rsid w:val="008029C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B29"/>
    <w:rsid w:val="00815FC2"/>
    <w:rsid w:val="008167F5"/>
    <w:rsid w:val="00816B09"/>
    <w:rsid w:val="0081717F"/>
    <w:rsid w:val="0081794B"/>
    <w:rsid w:val="00817D8E"/>
    <w:rsid w:val="008200A3"/>
    <w:rsid w:val="00820222"/>
    <w:rsid w:val="00820BF2"/>
    <w:rsid w:val="00821A8A"/>
    <w:rsid w:val="00822481"/>
    <w:rsid w:val="00824749"/>
    <w:rsid w:val="00824C4E"/>
    <w:rsid w:val="00824D97"/>
    <w:rsid w:val="00826125"/>
    <w:rsid w:val="00826F38"/>
    <w:rsid w:val="008271CD"/>
    <w:rsid w:val="0082737F"/>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37EE6"/>
    <w:rsid w:val="00840559"/>
    <w:rsid w:val="00842534"/>
    <w:rsid w:val="00843153"/>
    <w:rsid w:val="008433C1"/>
    <w:rsid w:val="00843908"/>
    <w:rsid w:val="008443E1"/>
    <w:rsid w:val="008444D4"/>
    <w:rsid w:val="00845D12"/>
    <w:rsid w:val="00846713"/>
    <w:rsid w:val="00846C5D"/>
    <w:rsid w:val="00846D48"/>
    <w:rsid w:val="008472A9"/>
    <w:rsid w:val="008473E4"/>
    <w:rsid w:val="008473FA"/>
    <w:rsid w:val="00847830"/>
    <w:rsid w:val="00851A81"/>
    <w:rsid w:val="00851F4C"/>
    <w:rsid w:val="0085224B"/>
    <w:rsid w:val="008523BA"/>
    <w:rsid w:val="00852B26"/>
    <w:rsid w:val="0085480B"/>
    <w:rsid w:val="00854AED"/>
    <w:rsid w:val="00855021"/>
    <w:rsid w:val="00855985"/>
    <w:rsid w:val="00855A70"/>
    <w:rsid w:val="008560F4"/>
    <w:rsid w:val="008568B1"/>
    <w:rsid w:val="008570EB"/>
    <w:rsid w:val="00860A1E"/>
    <w:rsid w:val="00861622"/>
    <w:rsid w:val="008624DD"/>
    <w:rsid w:val="00863125"/>
    <w:rsid w:val="00863180"/>
    <w:rsid w:val="00864325"/>
    <w:rsid w:val="008645F1"/>
    <w:rsid w:val="00864EBB"/>
    <w:rsid w:val="008662C0"/>
    <w:rsid w:val="0086644C"/>
    <w:rsid w:val="008701F3"/>
    <w:rsid w:val="0087030B"/>
    <w:rsid w:val="008705E1"/>
    <w:rsid w:val="0087153F"/>
    <w:rsid w:val="00872938"/>
    <w:rsid w:val="00873ABF"/>
    <w:rsid w:val="00873AC0"/>
    <w:rsid w:val="0087411A"/>
    <w:rsid w:val="0087459A"/>
    <w:rsid w:val="00874A6C"/>
    <w:rsid w:val="00875167"/>
    <w:rsid w:val="00875A88"/>
    <w:rsid w:val="00875DF8"/>
    <w:rsid w:val="008765E3"/>
    <w:rsid w:val="00876DCE"/>
    <w:rsid w:val="00876F0A"/>
    <w:rsid w:val="00876FBF"/>
    <w:rsid w:val="00881572"/>
    <w:rsid w:val="00882FEA"/>
    <w:rsid w:val="0088320F"/>
    <w:rsid w:val="00883450"/>
    <w:rsid w:val="008834D1"/>
    <w:rsid w:val="0088398C"/>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617"/>
    <w:rsid w:val="008A3DB4"/>
    <w:rsid w:val="008A3F4A"/>
    <w:rsid w:val="008A3FC8"/>
    <w:rsid w:val="008A52F3"/>
    <w:rsid w:val="008A5456"/>
    <w:rsid w:val="008A56DD"/>
    <w:rsid w:val="008A5A34"/>
    <w:rsid w:val="008A74F2"/>
    <w:rsid w:val="008A7536"/>
    <w:rsid w:val="008A7F1F"/>
    <w:rsid w:val="008A7F7D"/>
    <w:rsid w:val="008B1A0C"/>
    <w:rsid w:val="008B1A5A"/>
    <w:rsid w:val="008B1AC6"/>
    <w:rsid w:val="008B24F7"/>
    <w:rsid w:val="008B382F"/>
    <w:rsid w:val="008B38BC"/>
    <w:rsid w:val="008B3CBF"/>
    <w:rsid w:val="008B4590"/>
    <w:rsid w:val="008B5AB4"/>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5C3"/>
    <w:rsid w:val="008D4E99"/>
    <w:rsid w:val="008D5066"/>
    <w:rsid w:val="008D5A97"/>
    <w:rsid w:val="008D6697"/>
    <w:rsid w:val="008D728C"/>
    <w:rsid w:val="008E0674"/>
    <w:rsid w:val="008E11CC"/>
    <w:rsid w:val="008E1B8F"/>
    <w:rsid w:val="008E1E1A"/>
    <w:rsid w:val="008E2154"/>
    <w:rsid w:val="008E234C"/>
    <w:rsid w:val="008E26D5"/>
    <w:rsid w:val="008E29BB"/>
    <w:rsid w:val="008E2B17"/>
    <w:rsid w:val="008E3E12"/>
    <w:rsid w:val="008E402B"/>
    <w:rsid w:val="008E4DCD"/>
    <w:rsid w:val="008E5767"/>
    <w:rsid w:val="008E580D"/>
    <w:rsid w:val="008E63C7"/>
    <w:rsid w:val="008E7DFD"/>
    <w:rsid w:val="008F12E6"/>
    <w:rsid w:val="008F1558"/>
    <w:rsid w:val="008F2263"/>
    <w:rsid w:val="008F2B44"/>
    <w:rsid w:val="008F330B"/>
    <w:rsid w:val="008F3A6B"/>
    <w:rsid w:val="008F5927"/>
    <w:rsid w:val="008F5D4C"/>
    <w:rsid w:val="008F5F96"/>
    <w:rsid w:val="008F7752"/>
    <w:rsid w:val="009006C5"/>
    <w:rsid w:val="0090174A"/>
    <w:rsid w:val="00902E52"/>
    <w:rsid w:val="009036B3"/>
    <w:rsid w:val="009052C1"/>
    <w:rsid w:val="0090620F"/>
    <w:rsid w:val="009071FE"/>
    <w:rsid w:val="00907761"/>
    <w:rsid w:val="00907A46"/>
    <w:rsid w:val="00910076"/>
    <w:rsid w:val="0091242A"/>
    <w:rsid w:val="00912E53"/>
    <w:rsid w:val="00912F01"/>
    <w:rsid w:val="0091395C"/>
    <w:rsid w:val="00913AA4"/>
    <w:rsid w:val="00913C4C"/>
    <w:rsid w:val="00915778"/>
    <w:rsid w:val="009164DD"/>
    <w:rsid w:val="009168C5"/>
    <w:rsid w:val="009210C9"/>
    <w:rsid w:val="00921CF4"/>
    <w:rsid w:val="00921D8F"/>
    <w:rsid w:val="00922166"/>
    <w:rsid w:val="00923604"/>
    <w:rsid w:val="00925C68"/>
    <w:rsid w:val="009315B0"/>
    <w:rsid w:val="009316E9"/>
    <w:rsid w:val="00931C93"/>
    <w:rsid w:val="00931EE2"/>
    <w:rsid w:val="00931FD8"/>
    <w:rsid w:val="0093282F"/>
    <w:rsid w:val="0093343D"/>
    <w:rsid w:val="0093416D"/>
    <w:rsid w:val="009341A4"/>
    <w:rsid w:val="00934799"/>
    <w:rsid w:val="0093652D"/>
    <w:rsid w:val="00936999"/>
    <w:rsid w:val="0093714F"/>
    <w:rsid w:val="00937309"/>
    <w:rsid w:val="00937D66"/>
    <w:rsid w:val="009405CB"/>
    <w:rsid w:val="0094065A"/>
    <w:rsid w:val="00940FE2"/>
    <w:rsid w:val="009412C2"/>
    <w:rsid w:val="009420B5"/>
    <w:rsid w:val="00943E62"/>
    <w:rsid w:val="00945A61"/>
    <w:rsid w:val="009467D2"/>
    <w:rsid w:val="00950154"/>
    <w:rsid w:val="00950C6E"/>
    <w:rsid w:val="00951ECA"/>
    <w:rsid w:val="0095218D"/>
    <w:rsid w:val="00953054"/>
    <w:rsid w:val="009531D6"/>
    <w:rsid w:val="00953610"/>
    <w:rsid w:val="0095382C"/>
    <w:rsid w:val="00953B03"/>
    <w:rsid w:val="009548C1"/>
    <w:rsid w:val="00956219"/>
    <w:rsid w:val="009563A5"/>
    <w:rsid w:val="009565E4"/>
    <w:rsid w:val="00956868"/>
    <w:rsid w:val="0095723E"/>
    <w:rsid w:val="009572EE"/>
    <w:rsid w:val="0095765F"/>
    <w:rsid w:val="00957753"/>
    <w:rsid w:val="00957BE5"/>
    <w:rsid w:val="009606E6"/>
    <w:rsid w:val="009609D2"/>
    <w:rsid w:val="00960CFA"/>
    <w:rsid w:val="00960E89"/>
    <w:rsid w:val="0096234B"/>
    <w:rsid w:val="00962F40"/>
    <w:rsid w:val="00963968"/>
    <w:rsid w:val="00965470"/>
    <w:rsid w:val="009654DE"/>
    <w:rsid w:val="009670E9"/>
    <w:rsid w:val="00970F70"/>
    <w:rsid w:val="00971056"/>
    <w:rsid w:val="0097210F"/>
    <w:rsid w:val="0097252B"/>
    <w:rsid w:val="00972668"/>
    <w:rsid w:val="009727B4"/>
    <w:rsid w:val="00972C36"/>
    <w:rsid w:val="00972DF8"/>
    <w:rsid w:val="009747E8"/>
    <w:rsid w:val="009750AA"/>
    <w:rsid w:val="00975852"/>
    <w:rsid w:val="009767EB"/>
    <w:rsid w:val="00977D37"/>
    <w:rsid w:val="009813EA"/>
    <w:rsid w:val="009830D3"/>
    <w:rsid w:val="00983535"/>
    <w:rsid w:val="00983B8F"/>
    <w:rsid w:val="00984D47"/>
    <w:rsid w:val="0098595E"/>
    <w:rsid w:val="00986073"/>
    <w:rsid w:val="00986505"/>
    <w:rsid w:val="00986DCC"/>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7F61"/>
    <w:rsid w:val="009B0E35"/>
    <w:rsid w:val="009B0F5C"/>
    <w:rsid w:val="009B11D6"/>
    <w:rsid w:val="009B1B37"/>
    <w:rsid w:val="009B2550"/>
    <w:rsid w:val="009B2EE9"/>
    <w:rsid w:val="009B35C8"/>
    <w:rsid w:val="009B3771"/>
    <w:rsid w:val="009B4864"/>
    <w:rsid w:val="009B5504"/>
    <w:rsid w:val="009B5B41"/>
    <w:rsid w:val="009B5BDC"/>
    <w:rsid w:val="009B5D1A"/>
    <w:rsid w:val="009B649B"/>
    <w:rsid w:val="009B6F16"/>
    <w:rsid w:val="009C0940"/>
    <w:rsid w:val="009C0950"/>
    <w:rsid w:val="009C1D99"/>
    <w:rsid w:val="009C1F8B"/>
    <w:rsid w:val="009C20A8"/>
    <w:rsid w:val="009C5057"/>
    <w:rsid w:val="009C6069"/>
    <w:rsid w:val="009D1378"/>
    <w:rsid w:val="009D1780"/>
    <w:rsid w:val="009D2384"/>
    <w:rsid w:val="009D3240"/>
    <w:rsid w:val="009D3A6E"/>
    <w:rsid w:val="009D3E9A"/>
    <w:rsid w:val="009D55C6"/>
    <w:rsid w:val="009D563E"/>
    <w:rsid w:val="009D61D9"/>
    <w:rsid w:val="009D624D"/>
    <w:rsid w:val="009D6AD5"/>
    <w:rsid w:val="009E09BF"/>
    <w:rsid w:val="009E0AB4"/>
    <w:rsid w:val="009E10C7"/>
    <w:rsid w:val="009E2174"/>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2969"/>
    <w:rsid w:val="00A0343A"/>
    <w:rsid w:val="00A036C5"/>
    <w:rsid w:val="00A03AD2"/>
    <w:rsid w:val="00A04662"/>
    <w:rsid w:val="00A05A67"/>
    <w:rsid w:val="00A05DA0"/>
    <w:rsid w:val="00A073A0"/>
    <w:rsid w:val="00A07D84"/>
    <w:rsid w:val="00A10336"/>
    <w:rsid w:val="00A10CE2"/>
    <w:rsid w:val="00A13400"/>
    <w:rsid w:val="00A13703"/>
    <w:rsid w:val="00A13811"/>
    <w:rsid w:val="00A13838"/>
    <w:rsid w:val="00A13D7D"/>
    <w:rsid w:val="00A15C42"/>
    <w:rsid w:val="00A166B8"/>
    <w:rsid w:val="00A16DF1"/>
    <w:rsid w:val="00A17302"/>
    <w:rsid w:val="00A17A17"/>
    <w:rsid w:val="00A2069D"/>
    <w:rsid w:val="00A20B1F"/>
    <w:rsid w:val="00A21050"/>
    <w:rsid w:val="00A235D0"/>
    <w:rsid w:val="00A24131"/>
    <w:rsid w:val="00A255AD"/>
    <w:rsid w:val="00A27A7F"/>
    <w:rsid w:val="00A3276A"/>
    <w:rsid w:val="00A32CFC"/>
    <w:rsid w:val="00A349D2"/>
    <w:rsid w:val="00A34C05"/>
    <w:rsid w:val="00A35492"/>
    <w:rsid w:val="00A35FCF"/>
    <w:rsid w:val="00A37327"/>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72BC"/>
    <w:rsid w:val="00A57A82"/>
    <w:rsid w:val="00A62B7B"/>
    <w:rsid w:val="00A638EE"/>
    <w:rsid w:val="00A65B37"/>
    <w:rsid w:val="00A66AE9"/>
    <w:rsid w:val="00A67428"/>
    <w:rsid w:val="00A679BF"/>
    <w:rsid w:val="00A7081B"/>
    <w:rsid w:val="00A70CF3"/>
    <w:rsid w:val="00A7155E"/>
    <w:rsid w:val="00A71FE7"/>
    <w:rsid w:val="00A73C04"/>
    <w:rsid w:val="00A73E14"/>
    <w:rsid w:val="00A73EFE"/>
    <w:rsid w:val="00A74EDE"/>
    <w:rsid w:val="00A763AE"/>
    <w:rsid w:val="00A76619"/>
    <w:rsid w:val="00A766D5"/>
    <w:rsid w:val="00A76B0D"/>
    <w:rsid w:val="00A80223"/>
    <w:rsid w:val="00A8031C"/>
    <w:rsid w:val="00A8114B"/>
    <w:rsid w:val="00A816EE"/>
    <w:rsid w:val="00A81AB5"/>
    <w:rsid w:val="00A822C6"/>
    <w:rsid w:val="00A82724"/>
    <w:rsid w:val="00A82C13"/>
    <w:rsid w:val="00A82C5A"/>
    <w:rsid w:val="00A83FF6"/>
    <w:rsid w:val="00A84187"/>
    <w:rsid w:val="00A84F8B"/>
    <w:rsid w:val="00A85CB7"/>
    <w:rsid w:val="00A8620F"/>
    <w:rsid w:val="00A8652F"/>
    <w:rsid w:val="00A86AAB"/>
    <w:rsid w:val="00A86D49"/>
    <w:rsid w:val="00A8769A"/>
    <w:rsid w:val="00A877B4"/>
    <w:rsid w:val="00A87B22"/>
    <w:rsid w:val="00A90FF4"/>
    <w:rsid w:val="00A917E3"/>
    <w:rsid w:val="00A918B0"/>
    <w:rsid w:val="00A92E9F"/>
    <w:rsid w:val="00A92EC0"/>
    <w:rsid w:val="00A92EED"/>
    <w:rsid w:val="00A94252"/>
    <w:rsid w:val="00A94F2F"/>
    <w:rsid w:val="00A95848"/>
    <w:rsid w:val="00A975D5"/>
    <w:rsid w:val="00A9772B"/>
    <w:rsid w:val="00AA0660"/>
    <w:rsid w:val="00AA1409"/>
    <w:rsid w:val="00AA29D8"/>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61E4"/>
    <w:rsid w:val="00AB6BE3"/>
    <w:rsid w:val="00AB7AAA"/>
    <w:rsid w:val="00AC1694"/>
    <w:rsid w:val="00AC2197"/>
    <w:rsid w:val="00AC37C3"/>
    <w:rsid w:val="00AC3E08"/>
    <w:rsid w:val="00AC3E65"/>
    <w:rsid w:val="00AC535B"/>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426"/>
    <w:rsid w:val="00AD76A1"/>
    <w:rsid w:val="00AE1CCB"/>
    <w:rsid w:val="00AE21CC"/>
    <w:rsid w:val="00AE48E8"/>
    <w:rsid w:val="00AE551A"/>
    <w:rsid w:val="00AE5DE7"/>
    <w:rsid w:val="00AE6F39"/>
    <w:rsid w:val="00AE7F20"/>
    <w:rsid w:val="00AF0E7C"/>
    <w:rsid w:val="00AF1F04"/>
    <w:rsid w:val="00AF3B55"/>
    <w:rsid w:val="00AF3D59"/>
    <w:rsid w:val="00AF5337"/>
    <w:rsid w:val="00AF5C58"/>
    <w:rsid w:val="00AF615F"/>
    <w:rsid w:val="00AF6794"/>
    <w:rsid w:val="00AF6F48"/>
    <w:rsid w:val="00AF717E"/>
    <w:rsid w:val="00AF77A6"/>
    <w:rsid w:val="00AF7E53"/>
    <w:rsid w:val="00B016F7"/>
    <w:rsid w:val="00B024B9"/>
    <w:rsid w:val="00B02BDD"/>
    <w:rsid w:val="00B04A9B"/>
    <w:rsid w:val="00B04E10"/>
    <w:rsid w:val="00B055B9"/>
    <w:rsid w:val="00B07194"/>
    <w:rsid w:val="00B10AFF"/>
    <w:rsid w:val="00B12CE1"/>
    <w:rsid w:val="00B12E08"/>
    <w:rsid w:val="00B13243"/>
    <w:rsid w:val="00B13511"/>
    <w:rsid w:val="00B13AEF"/>
    <w:rsid w:val="00B13D85"/>
    <w:rsid w:val="00B14D96"/>
    <w:rsid w:val="00B14ED7"/>
    <w:rsid w:val="00B16296"/>
    <w:rsid w:val="00B16CC7"/>
    <w:rsid w:val="00B1786A"/>
    <w:rsid w:val="00B17C1A"/>
    <w:rsid w:val="00B206D8"/>
    <w:rsid w:val="00B20AD8"/>
    <w:rsid w:val="00B20C75"/>
    <w:rsid w:val="00B230E5"/>
    <w:rsid w:val="00B23E88"/>
    <w:rsid w:val="00B24071"/>
    <w:rsid w:val="00B246C8"/>
    <w:rsid w:val="00B25AD2"/>
    <w:rsid w:val="00B267A4"/>
    <w:rsid w:val="00B26C88"/>
    <w:rsid w:val="00B31001"/>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6AC0"/>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1C53"/>
    <w:rsid w:val="00B62FF7"/>
    <w:rsid w:val="00B64099"/>
    <w:rsid w:val="00B643D6"/>
    <w:rsid w:val="00B64919"/>
    <w:rsid w:val="00B6571D"/>
    <w:rsid w:val="00B667C6"/>
    <w:rsid w:val="00B66BC8"/>
    <w:rsid w:val="00B6723D"/>
    <w:rsid w:val="00B67B60"/>
    <w:rsid w:val="00B67BD4"/>
    <w:rsid w:val="00B70D2B"/>
    <w:rsid w:val="00B71F08"/>
    <w:rsid w:val="00B73838"/>
    <w:rsid w:val="00B7421A"/>
    <w:rsid w:val="00B74366"/>
    <w:rsid w:val="00B74D4D"/>
    <w:rsid w:val="00B7561B"/>
    <w:rsid w:val="00B75F20"/>
    <w:rsid w:val="00B762FD"/>
    <w:rsid w:val="00B76BC1"/>
    <w:rsid w:val="00B76C73"/>
    <w:rsid w:val="00B808A4"/>
    <w:rsid w:val="00B81371"/>
    <w:rsid w:val="00B818B8"/>
    <w:rsid w:val="00B8225B"/>
    <w:rsid w:val="00B83B1F"/>
    <w:rsid w:val="00B83E2E"/>
    <w:rsid w:val="00B84739"/>
    <w:rsid w:val="00B855AA"/>
    <w:rsid w:val="00B864B3"/>
    <w:rsid w:val="00B87678"/>
    <w:rsid w:val="00B8780A"/>
    <w:rsid w:val="00B902E7"/>
    <w:rsid w:val="00B90B4F"/>
    <w:rsid w:val="00B91245"/>
    <w:rsid w:val="00B922D9"/>
    <w:rsid w:val="00B926D6"/>
    <w:rsid w:val="00B93351"/>
    <w:rsid w:val="00B945F2"/>
    <w:rsid w:val="00B95670"/>
    <w:rsid w:val="00B959FD"/>
    <w:rsid w:val="00B966BF"/>
    <w:rsid w:val="00B96FBD"/>
    <w:rsid w:val="00B974B4"/>
    <w:rsid w:val="00BA0012"/>
    <w:rsid w:val="00BA0458"/>
    <w:rsid w:val="00BA200D"/>
    <w:rsid w:val="00BA4BD7"/>
    <w:rsid w:val="00BA4F66"/>
    <w:rsid w:val="00BA5188"/>
    <w:rsid w:val="00BA54A2"/>
    <w:rsid w:val="00BA6D15"/>
    <w:rsid w:val="00BA7987"/>
    <w:rsid w:val="00BA7CFA"/>
    <w:rsid w:val="00BB1309"/>
    <w:rsid w:val="00BB2592"/>
    <w:rsid w:val="00BB27C1"/>
    <w:rsid w:val="00BB3156"/>
    <w:rsid w:val="00BB4F26"/>
    <w:rsid w:val="00BB5CA9"/>
    <w:rsid w:val="00BB6662"/>
    <w:rsid w:val="00BB7E0C"/>
    <w:rsid w:val="00BC0CE4"/>
    <w:rsid w:val="00BC1CB0"/>
    <w:rsid w:val="00BC2139"/>
    <w:rsid w:val="00BC22CD"/>
    <w:rsid w:val="00BC260A"/>
    <w:rsid w:val="00BC30BF"/>
    <w:rsid w:val="00BC3150"/>
    <w:rsid w:val="00BC3609"/>
    <w:rsid w:val="00BC428C"/>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3A7"/>
    <w:rsid w:val="00BD4ADB"/>
    <w:rsid w:val="00BD4DD2"/>
    <w:rsid w:val="00BD4E41"/>
    <w:rsid w:val="00BD4F95"/>
    <w:rsid w:val="00BD517B"/>
    <w:rsid w:val="00BD540C"/>
    <w:rsid w:val="00BD64CA"/>
    <w:rsid w:val="00BD650E"/>
    <w:rsid w:val="00BD6560"/>
    <w:rsid w:val="00BD687D"/>
    <w:rsid w:val="00BD76B4"/>
    <w:rsid w:val="00BD7AEB"/>
    <w:rsid w:val="00BE00FA"/>
    <w:rsid w:val="00BE0C95"/>
    <w:rsid w:val="00BE31BD"/>
    <w:rsid w:val="00BE462E"/>
    <w:rsid w:val="00BE545A"/>
    <w:rsid w:val="00BE57A2"/>
    <w:rsid w:val="00BE5E11"/>
    <w:rsid w:val="00BE6C95"/>
    <w:rsid w:val="00BE74FA"/>
    <w:rsid w:val="00BE7E61"/>
    <w:rsid w:val="00BF086E"/>
    <w:rsid w:val="00BF0A54"/>
    <w:rsid w:val="00BF0F1C"/>
    <w:rsid w:val="00BF1278"/>
    <w:rsid w:val="00BF1B7F"/>
    <w:rsid w:val="00BF20A0"/>
    <w:rsid w:val="00BF22B8"/>
    <w:rsid w:val="00BF2346"/>
    <w:rsid w:val="00BF3B85"/>
    <w:rsid w:val="00BF485E"/>
    <w:rsid w:val="00BF6B5B"/>
    <w:rsid w:val="00BF6D83"/>
    <w:rsid w:val="00BF704D"/>
    <w:rsid w:val="00BF7365"/>
    <w:rsid w:val="00BF7585"/>
    <w:rsid w:val="00BF7596"/>
    <w:rsid w:val="00BF7824"/>
    <w:rsid w:val="00C020F8"/>
    <w:rsid w:val="00C0234A"/>
    <w:rsid w:val="00C02535"/>
    <w:rsid w:val="00C04666"/>
    <w:rsid w:val="00C04D22"/>
    <w:rsid w:val="00C06C02"/>
    <w:rsid w:val="00C102C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4C"/>
    <w:rsid w:val="00C20EB1"/>
    <w:rsid w:val="00C2139F"/>
    <w:rsid w:val="00C21EE9"/>
    <w:rsid w:val="00C24101"/>
    <w:rsid w:val="00C24B25"/>
    <w:rsid w:val="00C24FF3"/>
    <w:rsid w:val="00C2575E"/>
    <w:rsid w:val="00C25C57"/>
    <w:rsid w:val="00C26121"/>
    <w:rsid w:val="00C2793D"/>
    <w:rsid w:val="00C27ABF"/>
    <w:rsid w:val="00C3086E"/>
    <w:rsid w:val="00C315FB"/>
    <w:rsid w:val="00C31713"/>
    <w:rsid w:val="00C317BD"/>
    <w:rsid w:val="00C3198E"/>
    <w:rsid w:val="00C31C1C"/>
    <w:rsid w:val="00C33279"/>
    <w:rsid w:val="00C34B8F"/>
    <w:rsid w:val="00C35332"/>
    <w:rsid w:val="00C37421"/>
    <w:rsid w:val="00C37D4F"/>
    <w:rsid w:val="00C40A57"/>
    <w:rsid w:val="00C41015"/>
    <w:rsid w:val="00C41131"/>
    <w:rsid w:val="00C411C1"/>
    <w:rsid w:val="00C422BD"/>
    <w:rsid w:val="00C423E1"/>
    <w:rsid w:val="00C42996"/>
    <w:rsid w:val="00C42ED3"/>
    <w:rsid w:val="00C43233"/>
    <w:rsid w:val="00C43A3B"/>
    <w:rsid w:val="00C454F4"/>
    <w:rsid w:val="00C45581"/>
    <w:rsid w:val="00C4591B"/>
    <w:rsid w:val="00C45BF0"/>
    <w:rsid w:val="00C46213"/>
    <w:rsid w:val="00C465BE"/>
    <w:rsid w:val="00C4712A"/>
    <w:rsid w:val="00C47468"/>
    <w:rsid w:val="00C47CDC"/>
    <w:rsid w:val="00C50A2B"/>
    <w:rsid w:val="00C50C65"/>
    <w:rsid w:val="00C5125B"/>
    <w:rsid w:val="00C51671"/>
    <w:rsid w:val="00C5280A"/>
    <w:rsid w:val="00C533C6"/>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1C5F"/>
    <w:rsid w:val="00C928FD"/>
    <w:rsid w:val="00C95593"/>
    <w:rsid w:val="00C9667A"/>
    <w:rsid w:val="00C96A1F"/>
    <w:rsid w:val="00C9707E"/>
    <w:rsid w:val="00C9759C"/>
    <w:rsid w:val="00CA03B7"/>
    <w:rsid w:val="00CA0640"/>
    <w:rsid w:val="00CA2022"/>
    <w:rsid w:val="00CA4741"/>
    <w:rsid w:val="00CA4CF0"/>
    <w:rsid w:val="00CA543E"/>
    <w:rsid w:val="00CA5465"/>
    <w:rsid w:val="00CA5FEE"/>
    <w:rsid w:val="00CA62D4"/>
    <w:rsid w:val="00CA7A78"/>
    <w:rsid w:val="00CA7F49"/>
    <w:rsid w:val="00CB25AE"/>
    <w:rsid w:val="00CB2FC0"/>
    <w:rsid w:val="00CB3C69"/>
    <w:rsid w:val="00CB57AD"/>
    <w:rsid w:val="00CB57BF"/>
    <w:rsid w:val="00CB58C6"/>
    <w:rsid w:val="00CB5AEC"/>
    <w:rsid w:val="00CB627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6866"/>
    <w:rsid w:val="00CD76D4"/>
    <w:rsid w:val="00CD7893"/>
    <w:rsid w:val="00CD7911"/>
    <w:rsid w:val="00CE03CC"/>
    <w:rsid w:val="00CE0779"/>
    <w:rsid w:val="00CE2808"/>
    <w:rsid w:val="00CE47BE"/>
    <w:rsid w:val="00CE5758"/>
    <w:rsid w:val="00CE6EC5"/>
    <w:rsid w:val="00CE7E6A"/>
    <w:rsid w:val="00CF030B"/>
    <w:rsid w:val="00CF15AD"/>
    <w:rsid w:val="00CF1F73"/>
    <w:rsid w:val="00CF23A2"/>
    <w:rsid w:val="00CF2665"/>
    <w:rsid w:val="00CF5D77"/>
    <w:rsid w:val="00CF6247"/>
    <w:rsid w:val="00CF6EB2"/>
    <w:rsid w:val="00D00269"/>
    <w:rsid w:val="00D02F72"/>
    <w:rsid w:val="00D041AD"/>
    <w:rsid w:val="00D04655"/>
    <w:rsid w:val="00D056B5"/>
    <w:rsid w:val="00D07CFB"/>
    <w:rsid w:val="00D10AB0"/>
    <w:rsid w:val="00D12402"/>
    <w:rsid w:val="00D12927"/>
    <w:rsid w:val="00D12E45"/>
    <w:rsid w:val="00D12EE7"/>
    <w:rsid w:val="00D1373C"/>
    <w:rsid w:val="00D13936"/>
    <w:rsid w:val="00D14673"/>
    <w:rsid w:val="00D15617"/>
    <w:rsid w:val="00D16177"/>
    <w:rsid w:val="00D16B19"/>
    <w:rsid w:val="00D16BAD"/>
    <w:rsid w:val="00D16BD7"/>
    <w:rsid w:val="00D172B8"/>
    <w:rsid w:val="00D1735B"/>
    <w:rsid w:val="00D17702"/>
    <w:rsid w:val="00D17C3D"/>
    <w:rsid w:val="00D17E10"/>
    <w:rsid w:val="00D20E91"/>
    <w:rsid w:val="00D2181D"/>
    <w:rsid w:val="00D225CB"/>
    <w:rsid w:val="00D23A4A"/>
    <w:rsid w:val="00D23CD2"/>
    <w:rsid w:val="00D25A9F"/>
    <w:rsid w:val="00D266ED"/>
    <w:rsid w:val="00D26C47"/>
    <w:rsid w:val="00D2734A"/>
    <w:rsid w:val="00D276CF"/>
    <w:rsid w:val="00D27F25"/>
    <w:rsid w:val="00D30003"/>
    <w:rsid w:val="00D306AB"/>
    <w:rsid w:val="00D31B6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4ED"/>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25E2"/>
    <w:rsid w:val="00D528C9"/>
    <w:rsid w:val="00D53E76"/>
    <w:rsid w:val="00D56736"/>
    <w:rsid w:val="00D5750C"/>
    <w:rsid w:val="00D60582"/>
    <w:rsid w:val="00D61222"/>
    <w:rsid w:val="00D6172D"/>
    <w:rsid w:val="00D6172F"/>
    <w:rsid w:val="00D6238E"/>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8F0"/>
    <w:rsid w:val="00D74685"/>
    <w:rsid w:val="00D75E6C"/>
    <w:rsid w:val="00D80F7C"/>
    <w:rsid w:val="00D82CB3"/>
    <w:rsid w:val="00D82FC0"/>
    <w:rsid w:val="00D8322A"/>
    <w:rsid w:val="00D83C17"/>
    <w:rsid w:val="00D847AB"/>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226D"/>
    <w:rsid w:val="00DA22D8"/>
    <w:rsid w:val="00DA2D95"/>
    <w:rsid w:val="00DA3A4F"/>
    <w:rsid w:val="00DA42C0"/>
    <w:rsid w:val="00DA52A2"/>
    <w:rsid w:val="00DA5647"/>
    <w:rsid w:val="00DA57B0"/>
    <w:rsid w:val="00DA7146"/>
    <w:rsid w:val="00DA7E2F"/>
    <w:rsid w:val="00DB0C0B"/>
    <w:rsid w:val="00DB2446"/>
    <w:rsid w:val="00DB31E7"/>
    <w:rsid w:val="00DB3A66"/>
    <w:rsid w:val="00DB4BEF"/>
    <w:rsid w:val="00DB546B"/>
    <w:rsid w:val="00DB68FB"/>
    <w:rsid w:val="00DB71AB"/>
    <w:rsid w:val="00DB74A4"/>
    <w:rsid w:val="00DB78B2"/>
    <w:rsid w:val="00DC073A"/>
    <w:rsid w:val="00DC0A7B"/>
    <w:rsid w:val="00DC134B"/>
    <w:rsid w:val="00DC1539"/>
    <w:rsid w:val="00DC2022"/>
    <w:rsid w:val="00DC230C"/>
    <w:rsid w:val="00DC27E7"/>
    <w:rsid w:val="00DC2CE7"/>
    <w:rsid w:val="00DC301A"/>
    <w:rsid w:val="00DC4DAD"/>
    <w:rsid w:val="00DC5188"/>
    <w:rsid w:val="00DC5999"/>
    <w:rsid w:val="00DC5A97"/>
    <w:rsid w:val="00DC6294"/>
    <w:rsid w:val="00DC6AEA"/>
    <w:rsid w:val="00DC7377"/>
    <w:rsid w:val="00DD0282"/>
    <w:rsid w:val="00DD20AC"/>
    <w:rsid w:val="00DD2912"/>
    <w:rsid w:val="00DD2A39"/>
    <w:rsid w:val="00DD353B"/>
    <w:rsid w:val="00DD3902"/>
    <w:rsid w:val="00DD417A"/>
    <w:rsid w:val="00DD45C1"/>
    <w:rsid w:val="00DD4849"/>
    <w:rsid w:val="00DD5361"/>
    <w:rsid w:val="00DD54CB"/>
    <w:rsid w:val="00DD7305"/>
    <w:rsid w:val="00DE0FC0"/>
    <w:rsid w:val="00DE190A"/>
    <w:rsid w:val="00DE1A76"/>
    <w:rsid w:val="00DE31D8"/>
    <w:rsid w:val="00DE3949"/>
    <w:rsid w:val="00DE3A31"/>
    <w:rsid w:val="00DE4F75"/>
    <w:rsid w:val="00DE5F76"/>
    <w:rsid w:val="00DF09A4"/>
    <w:rsid w:val="00DF0B02"/>
    <w:rsid w:val="00DF0DF7"/>
    <w:rsid w:val="00DF13A5"/>
    <w:rsid w:val="00DF1C93"/>
    <w:rsid w:val="00DF1E41"/>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1E6"/>
    <w:rsid w:val="00E227C3"/>
    <w:rsid w:val="00E22843"/>
    <w:rsid w:val="00E22B8E"/>
    <w:rsid w:val="00E23111"/>
    <w:rsid w:val="00E23556"/>
    <w:rsid w:val="00E23CC6"/>
    <w:rsid w:val="00E24C79"/>
    <w:rsid w:val="00E25A78"/>
    <w:rsid w:val="00E25EB2"/>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47F04"/>
    <w:rsid w:val="00E50385"/>
    <w:rsid w:val="00E506E7"/>
    <w:rsid w:val="00E507A5"/>
    <w:rsid w:val="00E51A57"/>
    <w:rsid w:val="00E51DA9"/>
    <w:rsid w:val="00E528D2"/>
    <w:rsid w:val="00E54E89"/>
    <w:rsid w:val="00E56DBA"/>
    <w:rsid w:val="00E57714"/>
    <w:rsid w:val="00E57E0F"/>
    <w:rsid w:val="00E601CE"/>
    <w:rsid w:val="00E602CF"/>
    <w:rsid w:val="00E609D1"/>
    <w:rsid w:val="00E60B1D"/>
    <w:rsid w:val="00E6196C"/>
    <w:rsid w:val="00E61EE8"/>
    <w:rsid w:val="00E62061"/>
    <w:rsid w:val="00E62441"/>
    <w:rsid w:val="00E62DCB"/>
    <w:rsid w:val="00E63879"/>
    <w:rsid w:val="00E63CDC"/>
    <w:rsid w:val="00E647FF"/>
    <w:rsid w:val="00E650C6"/>
    <w:rsid w:val="00E6520A"/>
    <w:rsid w:val="00E6662D"/>
    <w:rsid w:val="00E66A80"/>
    <w:rsid w:val="00E66EE6"/>
    <w:rsid w:val="00E70490"/>
    <w:rsid w:val="00E7063D"/>
    <w:rsid w:val="00E71329"/>
    <w:rsid w:val="00E71633"/>
    <w:rsid w:val="00E7218C"/>
    <w:rsid w:val="00E72689"/>
    <w:rsid w:val="00E730AA"/>
    <w:rsid w:val="00E73BDF"/>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6326"/>
    <w:rsid w:val="00E969D2"/>
    <w:rsid w:val="00E96F22"/>
    <w:rsid w:val="00E96FC5"/>
    <w:rsid w:val="00E97D83"/>
    <w:rsid w:val="00EA006C"/>
    <w:rsid w:val="00EA07A5"/>
    <w:rsid w:val="00EA0CA1"/>
    <w:rsid w:val="00EA1D8B"/>
    <w:rsid w:val="00EA289E"/>
    <w:rsid w:val="00EA2E5E"/>
    <w:rsid w:val="00EA3249"/>
    <w:rsid w:val="00EA37A0"/>
    <w:rsid w:val="00EA3C59"/>
    <w:rsid w:val="00EA4CEB"/>
    <w:rsid w:val="00EA5061"/>
    <w:rsid w:val="00EA5118"/>
    <w:rsid w:val="00EA53CF"/>
    <w:rsid w:val="00EA6C56"/>
    <w:rsid w:val="00EB02F9"/>
    <w:rsid w:val="00EB07CE"/>
    <w:rsid w:val="00EB0C63"/>
    <w:rsid w:val="00EB0DF0"/>
    <w:rsid w:val="00EB1A2C"/>
    <w:rsid w:val="00EB2513"/>
    <w:rsid w:val="00EB3DF7"/>
    <w:rsid w:val="00EB3F5C"/>
    <w:rsid w:val="00EB40DC"/>
    <w:rsid w:val="00EB46F5"/>
    <w:rsid w:val="00EB4A53"/>
    <w:rsid w:val="00EB5616"/>
    <w:rsid w:val="00EB6084"/>
    <w:rsid w:val="00EB743F"/>
    <w:rsid w:val="00EC064C"/>
    <w:rsid w:val="00EC0BFA"/>
    <w:rsid w:val="00EC0D38"/>
    <w:rsid w:val="00EC115D"/>
    <w:rsid w:val="00EC152A"/>
    <w:rsid w:val="00EC18F1"/>
    <w:rsid w:val="00EC23AC"/>
    <w:rsid w:val="00EC3328"/>
    <w:rsid w:val="00EC34A9"/>
    <w:rsid w:val="00EC3934"/>
    <w:rsid w:val="00EC3BA1"/>
    <w:rsid w:val="00EC61C5"/>
    <w:rsid w:val="00EC6F0E"/>
    <w:rsid w:val="00EC7352"/>
    <w:rsid w:val="00ED0F20"/>
    <w:rsid w:val="00ED2270"/>
    <w:rsid w:val="00ED26C0"/>
    <w:rsid w:val="00ED3818"/>
    <w:rsid w:val="00ED3B1D"/>
    <w:rsid w:val="00ED512E"/>
    <w:rsid w:val="00ED5912"/>
    <w:rsid w:val="00ED5EFD"/>
    <w:rsid w:val="00EE0293"/>
    <w:rsid w:val="00EE03EC"/>
    <w:rsid w:val="00EE048D"/>
    <w:rsid w:val="00EE04E0"/>
    <w:rsid w:val="00EE0ACB"/>
    <w:rsid w:val="00EE107C"/>
    <w:rsid w:val="00EE123D"/>
    <w:rsid w:val="00EE221F"/>
    <w:rsid w:val="00EE2263"/>
    <w:rsid w:val="00EE2591"/>
    <w:rsid w:val="00EE280E"/>
    <w:rsid w:val="00EE3CDA"/>
    <w:rsid w:val="00EE3E9C"/>
    <w:rsid w:val="00EE4D4C"/>
    <w:rsid w:val="00EE4FBE"/>
    <w:rsid w:val="00EE5395"/>
    <w:rsid w:val="00EE696E"/>
    <w:rsid w:val="00EF014A"/>
    <w:rsid w:val="00EF01CE"/>
    <w:rsid w:val="00EF0558"/>
    <w:rsid w:val="00EF193A"/>
    <w:rsid w:val="00EF1D84"/>
    <w:rsid w:val="00EF1DC8"/>
    <w:rsid w:val="00EF1F30"/>
    <w:rsid w:val="00EF26CB"/>
    <w:rsid w:val="00EF2E2B"/>
    <w:rsid w:val="00EF34D2"/>
    <w:rsid w:val="00EF4C26"/>
    <w:rsid w:val="00EF5CC0"/>
    <w:rsid w:val="00EF5FD8"/>
    <w:rsid w:val="00EF6A20"/>
    <w:rsid w:val="00EF7540"/>
    <w:rsid w:val="00EF75DE"/>
    <w:rsid w:val="00F00649"/>
    <w:rsid w:val="00F01443"/>
    <w:rsid w:val="00F01801"/>
    <w:rsid w:val="00F01881"/>
    <w:rsid w:val="00F02412"/>
    <w:rsid w:val="00F026B4"/>
    <w:rsid w:val="00F0292D"/>
    <w:rsid w:val="00F02E9D"/>
    <w:rsid w:val="00F03565"/>
    <w:rsid w:val="00F039B2"/>
    <w:rsid w:val="00F04044"/>
    <w:rsid w:val="00F046C8"/>
    <w:rsid w:val="00F047AB"/>
    <w:rsid w:val="00F055DB"/>
    <w:rsid w:val="00F05DE1"/>
    <w:rsid w:val="00F05EBB"/>
    <w:rsid w:val="00F06D58"/>
    <w:rsid w:val="00F07353"/>
    <w:rsid w:val="00F104AB"/>
    <w:rsid w:val="00F10D6B"/>
    <w:rsid w:val="00F11FA0"/>
    <w:rsid w:val="00F12C08"/>
    <w:rsid w:val="00F12CDC"/>
    <w:rsid w:val="00F13E45"/>
    <w:rsid w:val="00F147C6"/>
    <w:rsid w:val="00F15794"/>
    <w:rsid w:val="00F17EFA"/>
    <w:rsid w:val="00F204FE"/>
    <w:rsid w:val="00F2093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39F6"/>
    <w:rsid w:val="00F3400B"/>
    <w:rsid w:val="00F34793"/>
    <w:rsid w:val="00F35C44"/>
    <w:rsid w:val="00F37B6F"/>
    <w:rsid w:val="00F408DD"/>
    <w:rsid w:val="00F40C05"/>
    <w:rsid w:val="00F40E86"/>
    <w:rsid w:val="00F42168"/>
    <w:rsid w:val="00F425B3"/>
    <w:rsid w:val="00F4327E"/>
    <w:rsid w:val="00F44C78"/>
    <w:rsid w:val="00F44F38"/>
    <w:rsid w:val="00F452C0"/>
    <w:rsid w:val="00F45502"/>
    <w:rsid w:val="00F455A6"/>
    <w:rsid w:val="00F459E6"/>
    <w:rsid w:val="00F460CC"/>
    <w:rsid w:val="00F473DE"/>
    <w:rsid w:val="00F47818"/>
    <w:rsid w:val="00F53104"/>
    <w:rsid w:val="00F5372F"/>
    <w:rsid w:val="00F53C70"/>
    <w:rsid w:val="00F550F8"/>
    <w:rsid w:val="00F55309"/>
    <w:rsid w:val="00F562A9"/>
    <w:rsid w:val="00F56E0D"/>
    <w:rsid w:val="00F606BE"/>
    <w:rsid w:val="00F60C62"/>
    <w:rsid w:val="00F6300E"/>
    <w:rsid w:val="00F6301A"/>
    <w:rsid w:val="00F638B9"/>
    <w:rsid w:val="00F63940"/>
    <w:rsid w:val="00F645AF"/>
    <w:rsid w:val="00F64F56"/>
    <w:rsid w:val="00F65D41"/>
    <w:rsid w:val="00F664F8"/>
    <w:rsid w:val="00F66BC9"/>
    <w:rsid w:val="00F67057"/>
    <w:rsid w:val="00F67946"/>
    <w:rsid w:val="00F7271E"/>
    <w:rsid w:val="00F72B99"/>
    <w:rsid w:val="00F72CCD"/>
    <w:rsid w:val="00F72E9F"/>
    <w:rsid w:val="00F73166"/>
    <w:rsid w:val="00F735CC"/>
    <w:rsid w:val="00F736F9"/>
    <w:rsid w:val="00F739E9"/>
    <w:rsid w:val="00F75114"/>
    <w:rsid w:val="00F75285"/>
    <w:rsid w:val="00F77C12"/>
    <w:rsid w:val="00F8110A"/>
    <w:rsid w:val="00F81620"/>
    <w:rsid w:val="00F81B52"/>
    <w:rsid w:val="00F829AC"/>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7916"/>
    <w:rsid w:val="00F9794A"/>
    <w:rsid w:val="00F97AFE"/>
    <w:rsid w:val="00F97E65"/>
    <w:rsid w:val="00FA0128"/>
    <w:rsid w:val="00FA0F09"/>
    <w:rsid w:val="00FA1786"/>
    <w:rsid w:val="00FA17C2"/>
    <w:rsid w:val="00FA215F"/>
    <w:rsid w:val="00FA2406"/>
    <w:rsid w:val="00FA3191"/>
    <w:rsid w:val="00FA3808"/>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ACF"/>
    <w:rsid w:val="00FB5B03"/>
    <w:rsid w:val="00FB65DD"/>
    <w:rsid w:val="00FB68A4"/>
    <w:rsid w:val="00FB720D"/>
    <w:rsid w:val="00FB76C5"/>
    <w:rsid w:val="00FB7FBE"/>
    <w:rsid w:val="00FC0824"/>
    <w:rsid w:val="00FC0C57"/>
    <w:rsid w:val="00FC16B9"/>
    <w:rsid w:val="00FC17A8"/>
    <w:rsid w:val="00FC1DA7"/>
    <w:rsid w:val="00FC2414"/>
    <w:rsid w:val="00FC2C4D"/>
    <w:rsid w:val="00FC2E20"/>
    <w:rsid w:val="00FC44A1"/>
    <w:rsid w:val="00FC4DEB"/>
    <w:rsid w:val="00FC50CE"/>
    <w:rsid w:val="00FC62AC"/>
    <w:rsid w:val="00FC66A8"/>
    <w:rsid w:val="00FC6AC7"/>
    <w:rsid w:val="00FC6C3D"/>
    <w:rsid w:val="00FC77FF"/>
    <w:rsid w:val="00FC7E40"/>
    <w:rsid w:val="00FD01C5"/>
    <w:rsid w:val="00FD078F"/>
    <w:rsid w:val="00FD0B5A"/>
    <w:rsid w:val="00FD1351"/>
    <w:rsid w:val="00FD27EA"/>
    <w:rsid w:val="00FD33CC"/>
    <w:rsid w:val="00FD4B65"/>
    <w:rsid w:val="00FD600C"/>
    <w:rsid w:val="00FD62D7"/>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044"/>
    <w:rsid w:val="00FF3233"/>
    <w:rsid w:val="00FF335C"/>
    <w:rsid w:val="00FF3373"/>
    <w:rsid w:val="00FF35F5"/>
    <w:rsid w:val="00FF3B7B"/>
    <w:rsid w:val="00FF3EA0"/>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93AD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eop">
    <w:name w:val="eop"/>
    <w:basedOn w:val="Fuentedeprrafopredeter"/>
    <w:rsid w:val="00873AC0"/>
  </w:style>
  <w:style w:type="character" w:customStyle="1" w:styleId="Ttulo3Car">
    <w:name w:val="Título 3 Car"/>
    <w:basedOn w:val="Fuentedeprrafopredeter"/>
    <w:link w:val="Ttulo3"/>
    <w:uiPriority w:val="9"/>
    <w:semiHidden/>
    <w:rsid w:val="00093AD6"/>
    <w:rPr>
      <w:rFonts w:asciiTheme="majorHAnsi" w:eastAsiaTheme="majorEastAsia" w:hAnsiTheme="majorHAnsi" w:cstheme="majorBidi"/>
      <w:color w:val="243F60" w:themeColor="accent1" w:themeShade="7F"/>
      <w:lang w:val="es-MX"/>
    </w:rPr>
  </w:style>
  <w:style w:type="character" w:styleId="Referenciasutil">
    <w:name w:val="Subtle Reference"/>
    <w:basedOn w:val="Fuentedeprrafopredeter"/>
    <w:uiPriority w:val="31"/>
    <w:qFormat/>
    <w:rsid w:val="00B14D9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163695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264896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78161299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1449834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7366511">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18359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0277032">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972678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3126">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2FAE-6BD0-48E6-BE65-D311296B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106</Pages>
  <Words>26753</Words>
  <Characters>147146</Characters>
  <Application>Microsoft Office Word</Application>
  <DocSecurity>0</DocSecurity>
  <Lines>1226</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Thaylis Suarez</cp:lastModifiedBy>
  <cp:revision>5</cp:revision>
  <cp:lastPrinted>2019-12-11T01:19:00Z</cp:lastPrinted>
  <dcterms:created xsi:type="dcterms:W3CDTF">2024-02-27T17:38:00Z</dcterms:created>
  <dcterms:modified xsi:type="dcterms:W3CDTF">2024-03-13T01:44:00Z</dcterms:modified>
</cp:coreProperties>
</file>