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10" w:rsidRDefault="00E46210">
      <w:pPr>
        <w:widowControl w:val="0"/>
        <w:pBdr>
          <w:top w:val="nil"/>
          <w:left w:val="nil"/>
          <w:bottom w:val="nil"/>
          <w:right w:val="nil"/>
          <w:between w:val="nil"/>
        </w:pBdr>
        <w:spacing w:after="0" w:line="276" w:lineRule="auto"/>
        <w:jc w:val="left"/>
      </w:pPr>
      <w:bookmarkStart w:id="0" w:name="_GoBack"/>
      <w:bookmarkEnd w:id="0"/>
    </w:p>
    <w:p w:rsidR="00E46210" w:rsidRDefault="00E46210">
      <w:pPr>
        <w:widowControl w:val="0"/>
        <w:pBdr>
          <w:top w:val="nil"/>
          <w:left w:val="nil"/>
          <w:bottom w:val="nil"/>
          <w:right w:val="nil"/>
          <w:between w:val="nil"/>
        </w:pBdr>
        <w:spacing w:after="0" w:line="276" w:lineRule="auto"/>
        <w:jc w:val="left"/>
      </w:pPr>
    </w:p>
    <w:p w:rsidR="00E46210" w:rsidRPr="00664E4F" w:rsidRDefault="00F44B13">
      <w:pPr>
        <w:keepNext/>
        <w:keepLines/>
        <w:pBdr>
          <w:top w:val="nil"/>
          <w:left w:val="nil"/>
          <w:bottom w:val="nil"/>
          <w:right w:val="nil"/>
          <w:between w:val="nil"/>
        </w:pBdr>
        <w:spacing w:after="0" w:line="360" w:lineRule="auto"/>
        <w:jc w:val="left"/>
        <w:rPr>
          <w:color w:val="2F5496"/>
        </w:rPr>
      </w:pPr>
      <w:r w:rsidRPr="00664E4F">
        <w:rPr>
          <w:color w:val="2F5496"/>
        </w:rPr>
        <w:t>Contenido</w:t>
      </w:r>
    </w:p>
    <w:sdt>
      <w:sdtPr>
        <w:id w:val="426783122"/>
        <w:docPartObj>
          <w:docPartGallery w:val="Table of Contents"/>
          <w:docPartUnique/>
        </w:docPartObj>
      </w:sdtPr>
      <w:sdtEndPr/>
      <w:sdtContent>
        <w:p w:rsidR="00E46210" w:rsidRPr="00664E4F" w:rsidRDefault="00F44B13">
          <w:pPr>
            <w:pBdr>
              <w:top w:val="nil"/>
              <w:left w:val="nil"/>
              <w:bottom w:val="nil"/>
              <w:right w:val="nil"/>
              <w:between w:val="nil"/>
            </w:pBdr>
            <w:tabs>
              <w:tab w:val="right" w:pos="9204"/>
            </w:tabs>
            <w:spacing w:after="0" w:line="360" w:lineRule="auto"/>
            <w:rPr>
              <w:rFonts w:ascii="Calibri" w:eastAsia="Calibri" w:hAnsi="Calibri" w:cs="Calibri"/>
              <w:color w:val="000000"/>
            </w:rPr>
          </w:pPr>
          <w:r w:rsidRPr="00664E4F">
            <w:fldChar w:fldCharType="begin"/>
          </w:r>
          <w:r w:rsidRPr="00664E4F">
            <w:instrText xml:space="preserve"> TOC \h \u \z \t "Heading 1,1,Heading 2,2,Heading 3,3,"</w:instrText>
          </w:r>
          <w:r w:rsidRPr="00664E4F">
            <w:fldChar w:fldCharType="separate"/>
          </w:r>
          <w:hyperlink w:anchor="_heading=h.gjdgxs">
            <w:r w:rsidRPr="00664E4F">
              <w:rPr>
                <w:color w:val="000000"/>
              </w:rPr>
              <w:t>A N T E C E D E N T E S</w:t>
            </w:r>
            <w:r w:rsidRPr="00664E4F">
              <w:rPr>
                <w:color w:val="000000"/>
              </w:rPr>
              <w:tab/>
              <w:t>2</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0j0zll">
            <w:r w:rsidR="00F44B13" w:rsidRPr="00664E4F">
              <w:rPr>
                <w:color w:val="000000"/>
              </w:rPr>
              <w:t>I. Presentación de la solicitud de información</w:t>
            </w:r>
            <w:r w:rsidR="00F44B13" w:rsidRPr="00664E4F">
              <w:rPr>
                <w:color w:val="000000"/>
              </w:rPr>
              <w:tab/>
              <w:t>2</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fob9te">
            <w:r w:rsidR="00F44B13" w:rsidRPr="00664E4F">
              <w:rPr>
                <w:color w:val="000000"/>
              </w:rPr>
              <w:t>II. Respuesta del Sujeto Obligado</w:t>
            </w:r>
            <w:r w:rsidR="00F44B13" w:rsidRPr="00664E4F">
              <w:rPr>
                <w:color w:val="000000"/>
              </w:rPr>
              <w:tab/>
              <w:t>3</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znysh7">
            <w:r w:rsidR="00F44B13" w:rsidRPr="00664E4F">
              <w:rPr>
                <w:color w:val="000000"/>
              </w:rPr>
              <w:t>III. Interposición del Recurso de Revisión</w:t>
            </w:r>
            <w:r w:rsidR="00F44B13" w:rsidRPr="00664E4F">
              <w:rPr>
                <w:color w:val="000000"/>
              </w:rPr>
              <w:tab/>
              <w:t>4</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tyjcwt">
            <w:r w:rsidR="00F44B13" w:rsidRPr="00664E4F">
              <w:rPr>
                <w:color w:val="000000"/>
              </w:rPr>
              <w:t>IV. Trámite del Recurso de Revisión ante este Instituto</w:t>
            </w:r>
            <w:r w:rsidR="00F44B13" w:rsidRPr="00664E4F">
              <w:rPr>
                <w:color w:val="000000"/>
              </w:rPr>
              <w:tab/>
              <w:t>5</w:t>
            </w:r>
          </w:hyperlink>
        </w:p>
        <w:p w:rsidR="00E46210" w:rsidRPr="00664E4F" w:rsidRDefault="002B3CD2">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3dy6vkm">
            <w:r w:rsidR="00F44B13" w:rsidRPr="00664E4F">
              <w:rPr>
                <w:color w:val="000000"/>
              </w:rPr>
              <w:t>C O N S I D E R A N D O S</w:t>
            </w:r>
            <w:r w:rsidR="00F44B13" w:rsidRPr="00664E4F">
              <w:rPr>
                <w:color w:val="000000"/>
              </w:rPr>
              <w:tab/>
              <w:t>7</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t3h5sf">
            <w:r w:rsidR="00F44B13" w:rsidRPr="00664E4F">
              <w:rPr>
                <w:color w:val="000000"/>
              </w:rPr>
              <w:t>PRIMERO. Competencia</w:t>
            </w:r>
            <w:r w:rsidR="00F44B13" w:rsidRPr="00664E4F">
              <w:rPr>
                <w:color w:val="000000"/>
              </w:rPr>
              <w:tab/>
              <w:t>7</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d34og8">
            <w:r w:rsidR="00F44B13" w:rsidRPr="00664E4F">
              <w:rPr>
                <w:color w:val="000000"/>
              </w:rPr>
              <w:t>SEGUNDO. Causales de improcedencia y sobreseimiento</w:t>
            </w:r>
            <w:r w:rsidR="00F44B13" w:rsidRPr="00664E4F">
              <w:rPr>
                <w:color w:val="000000"/>
              </w:rPr>
              <w:tab/>
              <w:t>7</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s8eyo1">
            <w:r w:rsidR="00F44B13" w:rsidRPr="00664E4F">
              <w:rPr>
                <w:color w:val="000000"/>
              </w:rPr>
              <w:t>TERCERO. Determinación de la Controversia.</w:t>
            </w:r>
            <w:r w:rsidR="00F44B13" w:rsidRPr="00664E4F">
              <w:rPr>
                <w:color w:val="000000"/>
              </w:rPr>
              <w:tab/>
              <w:t>9</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7dp8vu">
            <w:r w:rsidR="00F44B13" w:rsidRPr="00664E4F">
              <w:rPr>
                <w:color w:val="000000"/>
              </w:rPr>
              <w:t>CUARTO. Marco normativo aplicable en materia de transparencia y acceso a la información pública</w:t>
            </w:r>
            <w:r w:rsidR="00F44B13" w:rsidRPr="00664E4F">
              <w:rPr>
                <w:color w:val="000000"/>
              </w:rPr>
              <w:tab/>
              <w:t>10</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rdcrjn">
            <w:r w:rsidR="00F44B13" w:rsidRPr="00664E4F">
              <w:rPr>
                <w:smallCaps/>
                <w:color w:val="000000"/>
              </w:rPr>
              <w:t>QUINTO.</w:t>
            </w:r>
          </w:hyperlink>
          <w:hyperlink w:anchor="_heading=h.3rdcrjn">
            <w:r w:rsidR="00F44B13" w:rsidRPr="00664E4F">
              <w:rPr>
                <w:color w:val="000000"/>
              </w:rPr>
              <w:t xml:space="preserve"> Estudio de Fondo</w:t>
            </w:r>
            <w:r w:rsidR="00F44B13" w:rsidRPr="00664E4F">
              <w:rPr>
                <w:color w:val="000000"/>
              </w:rPr>
              <w:tab/>
              <w:t>11</w:t>
            </w:r>
          </w:hyperlink>
        </w:p>
        <w:p w:rsidR="00E46210" w:rsidRPr="00664E4F" w:rsidRDefault="002B3CD2">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6in1rg">
            <w:r w:rsidR="00F44B13" w:rsidRPr="00664E4F">
              <w:rPr>
                <w:color w:val="000000"/>
              </w:rPr>
              <w:t>SEXTO. Decisión</w:t>
            </w:r>
            <w:r w:rsidR="00F44B13" w:rsidRPr="00664E4F">
              <w:rPr>
                <w:color w:val="000000"/>
              </w:rPr>
              <w:tab/>
              <w:t>19</w:t>
            </w:r>
          </w:hyperlink>
        </w:p>
        <w:p w:rsidR="00E46210" w:rsidRPr="00664E4F" w:rsidRDefault="002B3CD2">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lnxbz9">
            <w:r w:rsidR="00F44B13" w:rsidRPr="00664E4F">
              <w:rPr>
                <w:color w:val="000000"/>
              </w:rPr>
              <w:t>R E S U E L V E</w:t>
            </w:r>
            <w:r w:rsidR="00F44B13" w:rsidRPr="00664E4F">
              <w:rPr>
                <w:color w:val="000000"/>
              </w:rPr>
              <w:tab/>
              <w:t>20</w:t>
            </w:r>
          </w:hyperlink>
        </w:p>
        <w:p w:rsidR="00E46210" w:rsidRPr="00664E4F" w:rsidRDefault="00F44B13">
          <w:pPr>
            <w:spacing w:after="0" w:line="360" w:lineRule="auto"/>
          </w:pPr>
          <w:r w:rsidRPr="00664E4F">
            <w:fldChar w:fldCharType="end"/>
          </w:r>
        </w:p>
      </w:sdtContent>
    </w:sdt>
    <w:p w:rsidR="00E46210" w:rsidRPr="00664E4F" w:rsidRDefault="00E46210">
      <w:pPr>
        <w:spacing w:after="0" w:line="360" w:lineRule="auto"/>
      </w:pPr>
    </w:p>
    <w:p w:rsidR="00E46210" w:rsidRPr="00664E4F" w:rsidRDefault="00F44B13">
      <w:pPr>
        <w:spacing w:after="0" w:line="360" w:lineRule="auto"/>
      </w:pPr>
      <w:r w:rsidRPr="00664E4F">
        <w:br w:type="page"/>
      </w:r>
    </w:p>
    <w:p w:rsidR="00E46210" w:rsidRPr="00664E4F" w:rsidRDefault="00E46210">
      <w:pPr>
        <w:widowControl w:val="0"/>
        <w:pBdr>
          <w:top w:val="nil"/>
          <w:left w:val="nil"/>
          <w:bottom w:val="nil"/>
          <w:right w:val="nil"/>
          <w:between w:val="nil"/>
        </w:pBdr>
        <w:spacing w:after="0" w:line="360" w:lineRule="auto"/>
        <w:jc w:val="left"/>
      </w:pPr>
    </w:p>
    <w:p w:rsidR="00E46210" w:rsidRPr="00664E4F" w:rsidRDefault="00F44B13">
      <w:pPr>
        <w:spacing w:after="0" w:line="360" w:lineRule="auto"/>
      </w:pPr>
      <w:r w:rsidRPr="00664E4F">
        <w:t>Resolución del Pleno del Instituto de Transparencia, Acceso a la Información Pública y Protección de Datos Personales del Estado de México y Municipios, con domicilio en Metepec, Estado de México, de fecha seis de noviembre de dos mil veinticuatro.</w:t>
      </w:r>
    </w:p>
    <w:p w:rsidR="00E46210" w:rsidRPr="00664E4F" w:rsidRDefault="00E46210">
      <w:pPr>
        <w:spacing w:after="0" w:line="360" w:lineRule="auto"/>
        <w:rPr>
          <w:b/>
        </w:rPr>
      </w:pPr>
    </w:p>
    <w:p w:rsidR="00E46210" w:rsidRPr="00664E4F" w:rsidRDefault="00F44B13">
      <w:pPr>
        <w:spacing w:after="0" w:line="360" w:lineRule="auto"/>
      </w:pPr>
      <w:r w:rsidRPr="00664E4F">
        <w:rPr>
          <w:b/>
        </w:rPr>
        <w:t>VISTO</w:t>
      </w:r>
      <w:r w:rsidRPr="00664E4F">
        <w:t xml:space="preserve"> el expediente conformado con motivo del Recurso de Revisión </w:t>
      </w:r>
      <w:r w:rsidRPr="00664E4F">
        <w:rPr>
          <w:b/>
        </w:rPr>
        <w:t>05576/INFOEM/IP/RR/2024</w:t>
      </w:r>
      <w:r w:rsidRPr="00664E4F">
        <w:t xml:space="preserve">, interpuesto por </w:t>
      </w:r>
      <w:r w:rsidRPr="00664E4F">
        <w:rPr>
          <w:b/>
        </w:rPr>
        <w:t>un Particular</w:t>
      </w:r>
      <w:r w:rsidRPr="00664E4F">
        <w:t>, en adelante, la persona Recurrente o Particular, en contra de la respuesta del Sujeto Obligado, Poder Judicial, se emite la presente Resolución, con base en los antecedentes y considerandos que se exponen a continuación:</w:t>
      </w:r>
    </w:p>
    <w:p w:rsidR="00E46210" w:rsidRPr="00664E4F" w:rsidRDefault="00E46210">
      <w:pPr>
        <w:spacing w:after="0" w:line="360" w:lineRule="auto"/>
      </w:pPr>
    </w:p>
    <w:p w:rsidR="00E46210" w:rsidRPr="00664E4F" w:rsidRDefault="00F44B13">
      <w:pPr>
        <w:pStyle w:val="Ttulo1"/>
        <w:spacing w:before="0" w:after="0"/>
        <w:rPr>
          <w:sz w:val="22"/>
          <w:szCs w:val="22"/>
        </w:rPr>
      </w:pPr>
      <w:bookmarkStart w:id="1" w:name="_heading=h.gjdgxs" w:colFirst="0" w:colLast="0"/>
      <w:bookmarkEnd w:id="1"/>
      <w:r w:rsidRPr="00664E4F">
        <w:rPr>
          <w:sz w:val="22"/>
          <w:szCs w:val="22"/>
        </w:rPr>
        <w:t>A N T E C E D E N T E S</w:t>
      </w:r>
    </w:p>
    <w:p w:rsidR="00E46210" w:rsidRPr="00664E4F" w:rsidRDefault="00E46210">
      <w:pPr>
        <w:spacing w:after="0" w:line="360" w:lineRule="auto"/>
      </w:pPr>
    </w:p>
    <w:p w:rsidR="00E46210" w:rsidRPr="00664E4F" w:rsidRDefault="00F44B13">
      <w:pPr>
        <w:pStyle w:val="Ttulo2"/>
        <w:spacing w:before="0" w:after="0"/>
      </w:pPr>
      <w:bookmarkStart w:id="2" w:name="_heading=h.30j0zll" w:colFirst="0" w:colLast="0"/>
      <w:bookmarkEnd w:id="2"/>
      <w:r w:rsidRPr="00664E4F">
        <w:t>I. Presentación de la solicitud de información</w:t>
      </w:r>
    </w:p>
    <w:p w:rsidR="00E46210" w:rsidRPr="00664E4F" w:rsidRDefault="00E46210">
      <w:pPr>
        <w:tabs>
          <w:tab w:val="left" w:pos="567"/>
        </w:tabs>
        <w:spacing w:after="0" w:line="360" w:lineRule="auto"/>
      </w:pPr>
    </w:p>
    <w:p w:rsidR="00E46210" w:rsidRPr="00664E4F" w:rsidRDefault="00F44B13">
      <w:pPr>
        <w:spacing w:after="0" w:line="360" w:lineRule="auto"/>
        <w:rPr>
          <w:color w:val="000000"/>
        </w:rPr>
      </w:pPr>
      <w:r w:rsidRPr="00664E4F">
        <w:t xml:space="preserve">Con fecha veintiocho de agosto de dos mil veinticuatro, </w:t>
      </w:r>
      <w:r w:rsidRPr="00664E4F">
        <w:rPr>
          <w:color w:val="000000"/>
        </w:rPr>
        <w:t xml:space="preserve">la persona Particular presentó una solicitud de acceso a la información pública, </w:t>
      </w:r>
      <w:r w:rsidRPr="00664E4F">
        <w:t>a través de la Plataforma Nacional de Transparencia (PNT), la cual se radicó en el</w:t>
      </w:r>
      <w:r w:rsidRPr="00664E4F">
        <w:rPr>
          <w:color w:val="000000"/>
        </w:rPr>
        <w:t xml:space="preserve"> Sistema de Acceso a la Información Mexiquense, en lo sucesivo el SAIMEX, en fecha ante el </w:t>
      </w:r>
      <w:r w:rsidRPr="00664E4F">
        <w:rPr>
          <w:b/>
        </w:rPr>
        <w:t>Poder Judicial</w:t>
      </w:r>
      <w:r w:rsidRPr="00664E4F">
        <w:rPr>
          <w:color w:val="000000"/>
        </w:rPr>
        <w:t>, la cual fue radicada el veintinueve de agosto del mismo año, por tratarse del siguiente día hábil de conformidad con el calendario oficial de este Organismo Garante, mediante la que requirió lo siguiente:</w:t>
      </w:r>
    </w:p>
    <w:p w:rsidR="00E46210" w:rsidRPr="00664E4F" w:rsidRDefault="00E46210">
      <w:pPr>
        <w:spacing w:after="0" w:line="360" w:lineRule="auto"/>
        <w:rPr>
          <w:color w:val="000000"/>
        </w:rPr>
      </w:pPr>
    </w:p>
    <w:p w:rsidR="00E46210" w:rsidRPr="00664E4F" w:rsidRDefault="00F44B13">
      <w:pPr>
        <w:tabs>
          <w:tab w:val="left" w:pos="567"/>
        </w:tabs>
        <w:spacing w:after="0" w:line="360" w:lineRule="auto"/>
        <w:ind w:left="567" w:right="539"/>
        <w:rPr>
          <w:b/>
          <w:sz w:val="20"/>
          <w:szCs w:val="20"/>
        </w:rPr>
      </w:pPr>
      <w:r w:rsidRPr="00664E4F">
        <w:rPr>
          <w:b/>
          <w:sz w:val="20"/>
          <w:szCs w:val="20"/>
        </w:rPr>
        <w:t>Folio de la solicitud: 00690/PJUDICI/IP/2024</w:t>
      </w:r>
    </w:p>
    <w:p w:rsidR="00E46210" w:rsidRPr="00664E4F" w:rsidRDefault="00F44B13">
      <w:pPr>
        <w:tabs>
          <w:tab w:val="left" w:pos="567"/>
        </w:tabs>
        <w:spacing w:after="0" w:line="360" w:lineRule="auto"/>
        <w:ind w:left="567" w:right="539"/>
        <w:rPr>
          <w:b/>
          <w:sz w:val="20"/>
          <w:szCs w:val="20"/>
        </w:rPr>
      </w:pPr>
      <w:r w:rsidRPr="00664E4F">
        <w:rPr>
          <w:b/>
          <w:sz w:val="20"/>
          <w:szCs w:val="20"/>
        </w:rPr>
        <w:t>DESCRIPCIÓN CLARA Y PRECISA DE LA INFORMACIÓN SOLICITADA</w:t>
      </w:r>
    </w:p>
    <w:p w:rsidR="00E46210" w:rsidRPr="00664E4F" w:rsidRDefault="00F44B13">
      <w:pPr>
        <w:tabs>
          <w:tab w:val="left" w:pos="4667"/>
        </w:tabs>
        <w:spacing w:after="0" w:line="360" w:lineRule="auto"/>
        <w:ind w:left="567" w:right="567"/>
        <w:rPr>
          <w:i/>
          <w:sz w:val="20"/>
          <w:szCs w:val="20"/>
        </w:rPr>
      </w:pPr>
      <w:r w:rsidRPr="00664E4F">
        <w:rPr>
          <w:i/>
          <w:sz w:val="20"/>
          <w:szCs w:val="20"/>
        </w:rPr>
        <w:t>“Estimados</w:t>
      </w:r>
    </w:p>
    <w:p w:rsidR="00E46210" w:rsidRPr="00664E4F" w:rsidRDefault="00F44B13">
      <w:pPr>
        <w:tabs>
          <w:tab w:val="left" w:pos="4667"/>
        </w:tabs>
        <w:spacing w:after="0" w:line="360" w:lineRule="auto"/>
        <w:ind w:left="567" w:right="567"/>
        <w:rPr>
          <w:i/>
          <w:sz w:val="20"/>
          <w:szCs w:val="20"/>
        </w:rPr>
      </w:pPr>
      <w:r w:rsidRPr="00664E4F">
        <w:rPr>
          <w:i/>
          <w:sz w:val="20"/>
          <w:szCs w:val="20"/>
        </w:rPr>
        <w:t>Por medio de la presente, de conformidad con lo establecido en la Ley de Transparencia y Acceso a la Información Pública, me dirijo a ustedes respetuosamente para solicitar el acceso a la siguiente información:</w:t>
      </w:r>
    </w:p>
    <w:p w:rsidR="00E46210" w:rsidRPr="00664E4F" w:rsidRDefault="00F44B13">
      <w:pPr>
        <w:tabs>
          <w:tab w:val="left" w:pos="4667"/>
        </w:tabs>
        <w:spacing w:after="0" w:line="360" w:lineRule="auto"/>
        <w:ind w:left="567" w:right="567"/>
        <w:rPr>
          <w:i/>
          <w:sz w:val="20"/>
          <w:szCs w:val="20"/>
        </w:rPr>
      </w:pPr>
      <w:r w:rsidRPr="00664E4F">
        <w:rPr>
          <w:i/>
          <w:sz w:val="20"/>
          <w:szCs w:val="20"/>
        </w:rPr>
        <w:t xml:space="preserve">1. </w:t>
      </w:r>
      <w:r w:rsidRPr="00664E4F">
        <w:rPr>
          <w:b/>
          <w:i/>
          <w:sz w:val="20"/>
          <w:szCs w:val="20"/>
        </w:rPr>
        <w:t>Padrón de abogados registrados en el Estado de México</w:t>
      </w:r>
      <w:r w:rsidRPr="00664E4F">
        <w:rPr>
          <w:i/>
          <w:sz w:val="20"/>
          <w:szCs w:val="20"/>
        </w:rPr>
        <w:t>.</w:t>
      </w:r>
    </w:p>
    <w:p w:rsidR="00E46210" w:rsidRPr="00664E4F" w:rsidRDefault="00F44B13">
      <w:pPr>
        <w:tabs>
          <w:tab w:val="left" w:pos="4667"/>
        </w:tabs>
        <w:spacing w:after="0" w:line="360" w:lineRule="auto"/>
        <w:ind w:left="567" w:right="567"/>
        <w:rPr>
          <w:i/>
          <w:sz w:val="20"/>
          <w:szCs w:val="20"/>
        </w:rPr>
      </w:pPr>
      <w:r w:rsidRPr="00664E4F">
        <w:rPr>
          <w:i/>
          <w:sz w:val="20"/>
          <w:szCs w:val="20"/>
        </w:rPr>
        <w:lastRenderedPageBreak/>
        <w:t>Solicito que la información mencionada sea proporcionada en formato, y que se incluya la siguiente información, en caso de estar disponible:</w:t>
      </w:r>
    </w:p>
    <w:p w:rsidR="00E46210" w:rsidRPr="00664E4F" w:rsidRDefault="00F44B13">
      <w:pPr>
        <w:tabs>
          <w:tab w:val="left" w:pos="4667"/>
        </w:tabs>
        <w:spacing w:after="0" w:line="360" w:lineRule="auto"/>
        <w:ind w:left="567" w:right="567"/>
        <w:rPr>
          <w:i/>
          <w:sz w:val="20"/>
          <w:szCs w:val="20"/>
        </w:rPr>
      </w:pPr>
      <w:r w:rsidRPr="00664E4F">
        <w:rPr>
          <w:i/>
          <w:sz w:val="20"/>
          <w:szCs w:val="20"/>
        </w:rPr>
        <w:t>•</w:t>
      </w:r>
      <w:r w:rsidRPr="00664E4F">
        <w:rPr>
          <w:b/>
          <w:i/>
          <w:sz w:val="20"/>
          <w:szCs w:val="20"/>
        </w:rPr>
        <w:t>Nombre completo del abogado</w:t>
      </w:r>
      <w:r w:rsidRPr="00664E4F">
        <w:rPr>
          <w:i/>
          <w:sz w:val="20"/>
          <w:szCs w:val="20"/>
        </w:rPr>
        <w:t>.</w:t>
      </w:r>
    </w:p>
    <w:p w:rsidR="00E46210" w:rsidRPr="00664E4F" w:rsidRDefault="00F44B13">
      <w:pPr>
        <w:tabs>
          <w:tab w:val="left" w:pos="4667"/>
        </w:tabs>
        <w:spacing w:after="0" w:line="360" w:lineRule="auto"/>
        <w:ind w:left="567" w:right="567"/>
        <w:rPr>
          <w:b/>
          <w:i/>
          <w:sz w:val="20"/>
          <w:szCs w:val="20"/>
        </w:rPr>
      </w:pPr>
      <w:r w:rsidRPr="00664E4F">
        <w:rPr>
          <w:i/>
          <w:sz w:val="20"/>
          <w:szCs w:val="20"/>
        </w:rPr>
        <w:t>•</w:t>
      </w:r>
      <w:r w:rsidRPr="00664E4F">
        <w:rPr>
          <w:b/>
          <w:i/>
          <w:sz w:val="20"/>
          <w:szCs w:val="20"/>
        </w:rPr>
        <w:t>Número de cédula profesional.</w:t>
      </w:r>
    </w:p>
    <w:p w:rsidR="00E46210" w:rsidRPr="00664E4F" w:rsidRDefault="00F44B13">
      <w:pPr>
        <w:tabs>
          <w:tab w:val="left" w:pos="4667"/>
        </w:tabs>
        <w:spacing w:after="0" w:line="360" w:lineRule="auto"/>
        <w:ind w:left="567" w:right="567"/>
        <w:rPr>
          <w:i/>
          <w:sz w:val="20"/>
          <w:szCs w:val="20"/>
        </w:rPr>
      </w:pPr>
      <w:r w:rsidRPr="00664E4F">
        <w:rPr>
          <w:i/>
          <w:sz w:val="20"/>
          <w:szCs w:val="20"/>
        </w:rPr>
        <w:t>•</w:t>
      </w:r>
      <w:r w:rsidRPr="00664E4F">
        <w:rPr>
          <w:b/>
          <w:i/>
          <w:sz w:val="20"/>
          <w:szCs w:val="20"/>
        </w:rPr>
        <w:t>Fecha de registro.</w:t>
      </w:r>
    </w:p>
    <w:p w:rsidR="00E46210" w:rsidRPr="00664E4F" w:rsidRDefault="00F44B13">
      <w:pPr>
        <w:tabs>
          <w:tab w:val="left" w:pos="4667"/>
        </w:tabs>
        <w:spacing w:after="0" w:line="360" w:lineRule="auto"/>
        <w:ind w:left="567" w:right="567"/>
        <w:rPr>
          <w:i/>
          <w:sz w:val="20"/>
          <w:szCs w:val="20"/>
        </w:rPr>
      </w:pPr>
      <w:r w:rsidRPr="00664E4F">
        <w:rPr>
          <w:i/>
          <w:sz w:val="20"/>
          <w:szCs w:val="20"/>
        </w:rPr>
        <w:t>Agradezco de antemano su atención y quedo a la espera de su respuesta.”</w:t>
      </w:r>
      <w:r w:rsidRPr="00664E4F">
        <w:rPr>
          <w:i/>
          <w:sz w:val="20"/>
          <w:szCs w:val="20"/>
        </w:rPr>
        <w:br/>
        <w:t xml:space="preserve"> </w:t>
      </w:r>
    </w:p>
    <w:p w:rsidR="00E46210" w:rsidRPr="00664E4F" w:rsidRDefault="00F44B13">
      <w:pPr>
        <w:pBdr>
          <w:top w:val="nil"/>
          <w:left w:val="nil"/>
          <w:bottom w:val="nil"/>
          <w:right w:val="nil"/>
          <w:between w:val="nil"/>
        </w:pBdr>
        <w:tabs>
          <w:tab w:val="left" w:pos="567"/>
        </w:tabs>
        <w:spacing w:after="0" w:line="360" w:lineRule="auto"/>
        <w:ind w:left="567" w:right="539"/>
        <w:rPr>
          <w:b/>
          <w:color w:val="000000"/>
          <w:sz w:val="20"/>
          <w:szCs w:val="20"/>
        </w:rPr>
      </w:pPr>
      <w:r w:rsidRPr="00664E4F">
        <w:rPr>
          <w:b/>
          <w:color w:val="000000"/>
          <w:sz w:val="20"/>
          <w:szCs w:val="20"/>
        </w:rPr>
        <w:t>MODALIDAD DE ENTREGA</w:t>
      </w:r>
    </w:p>
    <w:p w:rsidR="00E46210" w:rsidRPr="00664E4F" w:rsidRDefault="00F44B13">
      <w:pPr>
        <w:pBdr>
          <w:top w:val="nil"/>
          <w:left w:val="nil"/>
          <w:bottom w:val="nil"/>
          <w:right w:val="nil"/>
          <w:between w:val="nil"/>
        </w:pBdr>
        <w:tabs>
          <w:tab w:val="left" w:pos="567"/>
        </w:tabs>
        <w:spacing w:after="0" w:line="360" w:lineRule="auto"/>
        <w:ind w:left="567" w:right="539"/>
        <w:rPr>
          <w:i/>
          <w:color w:val="000000"/>
          <w:sz w:val="20"/>
          <w:szCs w:val="20"/>
        </w:rPr>
      </w:pPr>
      <w:r w:rsidRPr="00664E4F">
        <w:rPr>
          <w:i/>
          <w:color w:val="000000"/>
          <w:sz w:val="20"/>
          <w:szCs w:val="20"/>
        </w:rPr>
        <w:t>“Correo electrónico”</w:t>
      </w:r>
    </w:p>
    <w:p w:rsidR="00E46210" w:rsidRPr="00664E4F" w:rsidRDefault="00F44B13">
      <w:pPr>
        <w:pBdr>
          <w:top w:val="nil"/>
          <w:left w:val="nil"/>
          <w:bottom w:val="nil"/>
          <w:right w:val="nil"/>
          <w:between w:val="nil"/>
        </w:pBdr>
        <w:tabs>
          <w:tab w:val="left" w:pos="567"/>
        </w:tabs>
        <w:spacing w:after="0" w:line="360" w:lineRule="auto"/>
        <w:ind w:left="567" w:right="539"/>
        <w:rPr>
          <w:b/>
          <w:color w:val="000000"/>
          <w:sz w:val="20"/>
          <w:szCs w:val="20"/>
        </w:rPr>
      </w:pPr>
      <w:r w:rsidRPr="00664E4F">
        <w:rPr>
          <w:b/>
          <w:color w:val="000000"/>
          <w:sz w:val="20"/>
          <w:szCs w:val="20"/>
        </w:rPr>
        <w:t>Indique cómo desea recibir la información</w:t>
      </w:r>
    </w:p>
    <w:p w:rsidR="00E46210" w:rsidRPr="00664E4F" w:rsidRDefault="00F44B13">
      <w:pPr>
        <w:pBdr>
          <w:top w:val="nil"/>
          <w:left w:val="nil"/>
          <w:bottom w:val="nil"/>
          <w:right w:val="nil"/>
          <w:between w:val="nil"/>
        </w:pBdr>
        <w:tabs>
          <w:tab w:val="left" w:pos="567"/>
        </w:tabs>
        <w:spacing w:after="0" w:line="360" w:lineRule="auto"/>
        <w:ind w:left="567" w:right="539"/>
        <w:rPr>
          <w:b/>
          <w:i/>
          <w:color w:val="000000"/>
          <w:sz w:val="20"/>
          <w:szCs w:val="20"/>
        </w:rPr>
      </w:pPr>
      <w:r w:rsidRPr="00664E4F">
        <w:rPr>
          <w:i/>
          <w:color w:val="000000"/>
          <w:sz w:val="20"/>
          <w:szCs w:val="20"/>
        </w:rPr>
        <w:t>“Cualquier otro medio incluido los electrónicos (USB, SD, Disco”</w:t>
      </w:r>
    </w:p>
    <w:p w:rsidR="00E46210" w:rsidRPr="00664E4F" w:rsidRDefault="00E46210">
      <w:pPr>
        <w:spacing w:after="0" w:line="360" w:lineRule="auto"/>
        <w:rPr>
          <w:b/>
        </w:rPr>
      </w:pPr>
    </w:p>
    <w:p w:rsidR="00E46210" w:rsidRPr="00664E4F" w:rsidRDefault="00F44B13">
      <w:pPr>
        <w:pStyle w:val="Ttulo2"/>
        <w:spacing w:before="0" w:after="0"/>
      </w:pPr>
      <w:bookmarkStart w:id="3" w:name="_heading=h.1fob9te" w:colFirst="0" w:colLast="0"/>
      <w:bookmarkEnd w:id="3"/>
      <w:r w:rsidRPr="00664E4F">
        <w:t>II. Respuesta del Sujeto Obligado</w:t>
      </w:r>
    </w:p>
    <w:p w:rsidR="00E46210" w:rsidRPr="00664E4F" w:rsidRDefault="00E46210">
      <w:pPr>
        <w:spacing w:after="0" w:line="360" w:lineRule="auto"/>
      </w:pPr>
    </w:p>
    <w:p w:rsidR="00E46210" w:rsidRPr="00664E4F" w:rsidRDefault="00F44B13">
      <w:pPr>
        <w:spacing w:after="0" w:line="360" w:lineRule="auto"/>
      </w:pPr>
      <w:r w:rsidRPr="00664E4F">
        <w:t xml:space="preserve">El nueve de septiembre de dos mil veinticuatro, el Sujeto Obligado otorgó respuesta a través de SAIMEX, mediante cuatro archivos en formato </w:t>
      </w:r>
      <w:proofErr w:type="spellStart"/>
      <w:r w:rsidRPr="00664E4F">
        <w:rPr>
          <w:i/>
        </w:rPr>
        <w:t>pdf</w:t>
      </w:r>
      <w:proofErr w:type="spellEnd"/>
      <w:r w:rsidRPr="00664E4F">
        <w:rPr>
          <w:i/>
        </w:rPr>
        <w:t xml:space="preserve">, </w:t>
      </w:r>
      <w:r w:rsidRPr="00664E4F">
        <w:t>de los que se desprenden los siguientes:</w:t>
      </w:r>
    </w:p>
    <w:p w:rsidR="00E46210" w:rsidRPr="00664E4F" w:rsidRDefault="00E46210">
      <w:pPr>
        <w:spacing w:after="0" w:line="360" w:lineRule="auto"/>
      </w:pPr>
    </w:p>
    <w:p w:rsidR="00E46210" w:rsidRPr="00664E4F" w:rsidRDefault="00F44B13">
      <w:pPr>
        <w:numPr>
          <w:ilvl w:val="0"/>
          <w:numId w:val="3"/>
        </w:numPr>
        <w:pBdr>
          <w:top w:val="nil"/>
          <w:left w:val="nil"/>
          <w:bottom w:val="nil"/>
          <w:right w:val="nil"/>
          <w:between w:val="nil"/>
        </w:pBdr>
        <w:spacing w:after="0" w:line="360" w:lineRule="auto"/>
        <w:rPr>
          <w:b/>
          <w:i/>
          <w:color w:val="000000"/>
        </w:rPr>
      </w:pPr>
      <w:r w:rsidRPr="00664E4F">
        <w:rPr>
          <w:b/>
          <w:color w:val="000000"/>
        </w:rPr>
        <w:t>Acta de la sesión extraordinaria del Comité de Transparencia y Acceso a la Información Pública del Poder Judicial del Estado de México, Número 20/2018, mediante</w:t>
      </w:r>
      <w:r w:rsidRPr="00664E4F">
        <w:rPr>
          <w:color w:val="000000"/>
        </w:rPr>
        <w:t xml:space="preserve"> el cual se emitió el acuerdo para la creación, modificación y suspensión de los Sistemas de Datos Personales del Poder Judicial del Estado de México, en el que se clasificó como confidencial los datos personales y datos personales sensibles contenidos en diversos documentos, entre ellos el sistema de cédulas; en el que se clasificó como información confidencial diversa información, entre ella el nombre completo y la cédula profesional. </w:t>
      </w:r>
    </w:p>
    <w:p w:rsidR="00E46210" w:rsidRPr="00664E4F" w:rsidRDefault="00E46210">
      <w:pPr>
        <w:pBdr>
          <w:top w:val="nil"/>
          <w:left w:val="nil"/>
          <w:bottom w:val="nil"/>
          <w:right w:val="nil"/>
          <w:between w:val="nil"/>
        </w:pBdr>
        <w:spacing w:after="0" w:line="360" w:lineRule="auto"/>
        <w:ind w:left="720"/>
        <w:rPr>
          <w:b/>
          <w:i/>
          <w:color w:val="000000"/>
        </w:rPr>
      </w:pPr>
    </w:p>
    <w:p w:rsidR="00E46210" w:rsidRPr="00664E4F" w:rsidRDefault="00F44B13">
      <w:pPr>
        <w:numPr>
          <w:ilvl w:val="0"/>
          <w:numId w:val="3"/>
        </w:numPr>
        <w:pBdr>
          <w:top w:val="nil"/>
          <w:left w:val="nil"/>
          <w:bottom w:val="nil"/>
          <w:right w:val="nil"/>
          <w:between w:val="nil"/>
        </w:pBdr>
        <w:spacing w:after="0" w:line="360" w:lineRule="auto"/>
        <w:rPr>
          <w:b/>
          <w:i/>
          <w:color w:val="000000"/>
        </w:rPr>
      </w:pPr>
      <w:r w:rsidRPr="00664E4F">
        <w:rPr>
          <w:color w:val="000000"/>
        </w:rPr>
        <w:lastRenderedPageBreak/>
        <w:t xml:space="preserve">Impresión de pantalla de un correo electrónico, dirigido a la persona Particular y remitido por la Unidad de Transparencia del Sujeto Obligado, en el que se aprecia que se le notificó la respuesta proporcionada por el Sujeto Obligado. </w:t>
      </w:r>
    </w:p>
    <w:p w:rsidR="00E46210" w:rsidRPr="00664E4F" w:rsidRDefault="00E46210">
      <w:pPr>
        <w:pBdr>
          <w:top w:val="nil"/>
          <w:left w:val="nil"/>
          <w:bottom w:val="nil"/>
          <w:right w:val="nil"/>
          <w:between w:val="nil"/>
        </w:pBdr>
        <w:spacing w:after="0" w:line="360" w:lineRule="auto"/>
        <w:ind w:left="720"/>
        <w:rPr>
          <w:b/>
          <w:i/>
          <w:color w:val="000000"/>
        </w:rPr>
      </w:pPr>
    </w:p>
    <w:p w:rsidR="00E46210" w:rsidRPr="00664E4F" w:rsidRDefault="00F44B13">
      <w:pPr>
        <w:numPr>
          <w:ilvl w:val="0"/>
          <w:numId w:val="3"/>
        </w:numPr>
        <w:pBdr>
          <w:top w:val="nil"/>
          <w:left w:val="nil"/>
          <w:bottom w:val="nil"/>
          <w:right w:val="nil"/>
          <w:between w:val="nil"/>
        </w:pBdr>
        <w:spacing w:after="0" w:line="360" w:lineRule="auto"/>
        <w:rPr>
          <w:b/>
          <w:i/>
          <w:color w:val="000000"/>
        </w:rPr>
      </w:pPr>
      <w:r w:rsidRPr="00664E4F">
        <w:rPr>
          <w:color w:val="000000"/>
        </w:rPr>
        <w:t xml:space="preserve">Oficio suscrito por el Titular del Titular de la Unidad de Transparencia del Sujeto Obligado, en el que señaló que sí existe un registro en Bases de Datos de sistemas informáticos institucional denominado </w:t>
      </w:r>
      <w:r w:rsidRPr="00664E4F">
        <w:rPr>
          <w:b/>
          <w:color w:val="000000"/>
        </w:rPr>
        <w:t xml:space="preserve">“Sistema de Cédulas”, </w:t>
      </w:r>
      <w:r w:rsidRPr="00664E4F">
        <w:rPr>
          <w:color w:val="000000"/>
        </w:rPr>
        <w:t>pero que no realiza la transferencia de datos personales salvo que sean necesarios para atender requerimiento de una autoridad competente; de igual forma, remitió la liga para consultar el aviso de privacidad de dicho sistema y que los datos personales que tiene, fueron clasificados como información confidencial por el Comité de Transparencia en la Sesión Extraordinaria SE/20/2018/12.</w:t>
      </w:r>
    </w:p>
    <w:p w:rsidR="00E46210" w:rsidRPr="00664E4F" w:rsidRDefault="00E46210">
      <w:pPr>
        <w:pBdr>
          <w:top w:val="nil"/>
          <w:left w:val="nil"/>
          <w:bottom w:val="nil"/>
          <w:right w:val="nil"/>
          <w:between w:val="nil"/>
        </w:pBdr>
        <w:spacing w:after="0" w:line="360" w:lineRule="auto"/>
        <w:ind w:left="720"/>
        <w:rPr>
          <w:b/>
          <w:i/>
          <w:color w:val="000000"/>
        </w:rPr>
      </w:pPr>
    </w:p>
    <w:p w:rsidR="00E46210" w:rsidRPr="00664E4F" w:rsidRDefault="00F44B13">
      <w:pPr>
        <w:numPr>
          <w:ilvl w:val="0"/>
          <w:numId w:val="3"/>
        </w:numPr>
        <w:pBdr>
          <w:top w:val="nil"/>
          <w:left w:val="nil"/>
          <w:bottom w:val="nil"/>
          <w:right w:val="nil"/>
          <w:between w:val="nil"/>
        </w:pBdr>
        <w:spacing w:after="0" w:line="360" w:lineRule="auto"/>
        <w:rPr>
          <w:b/>
          <w:i/>
          <w:color w:val="000000"/>
        </w:rPr>
      </w:pPr>
      <w:r w:rsidRPr="00664E4F">
        <w:rPr>
          <w:color w:val="000000"/>
        </w:rPr>
        <w:t xml:space="preserve">Aviso de privacidad para el uso de Sistema de Cédulas </w:t>
      </w:r>
    </w:p>
    <w:p w:rsidR="00E46210" w:rsidRPr="00664E4F" w:rsidRDefault="00E46210">
      <w:pPr>
        <w:spacing w:after="0" w:line="360" w:lineRule="auto"/>
        <w:ind w:right="567"/>
      </w:pPr>
    </w:p>
    <w:p w:rsidR="00E46210" w:rsidRPr="00664E4F" w:rsidRDefault="00F44B13">
      <w:pPr>
        <w:pStyle w:val="Ttulo2"/>
        <w:spacing w:before="0" w:after="0"/>
      </w:pPr>
      <w:bookmarkStart w:id="4" w:name="_heading=h.3znysh7" w:colFirst="0" w:colLast="0"/>
      <w:bookmarkEnd w:id="4"/>
      <w:r w:rsidRPr="00664E4F">
        <w:t>III. Interposición del Recurso de Revisión</w:t>
      </w:r>
    </w:p>
    <w:p w:rsidR="00E46210" w:rsidRPr="00664E4F" w:rsidRDefault="00E46210">
      <w:pPr>
        <w:spacing w:after="0" w:line="360" w:lineRule="auto"/>
        <w:rPr>
          <w:b/>
        </w:rPr>
      </w:pPr>
    </w:p>
    <w:p w:rsidR="00E46210" w:rsidRPr="00664E4F" w:rsidRDefault="00F44B13">
      <w:pPr>
        <w:spacing w:after="0" w:line="360" w:lineRule="auto"/>
      </w:pPr>
      <w:bookmarkStart w:id="5" w:name="_heading=h.2et92p0" w:colFirst="0" w:colLast="0"/>
      <w:bookmarkEnd w:id="5"/>
      <w:r w:rsidRPr="00664E4F">
        <w:t>Con fecha diez de septiembre de dos mil veinticuatro, se recibió en este Instituto, a través del SAIMEX, el Recurso de Revisión interpuesto por la persona Particular, en los siguientes términos:</w:t>
      </w:r>
    </w:p>
    <w:p w:rsidR="00E46210" w:rsidRPr="00664E4F" w:rsidRDefault="00E46210">
      <w:pPr>
        <w:spacing w:after="0" w:line="360" w:lineRule="auto"/>
      </w:pPr>
    </w:p>
    <w:p w:rsidR="00E46210" w:rsidRPr="00664E4F" w:rsidRDefault="00F44B13">
      <w:pPr>
        <w:spacing w:after="0" w:line="360" w:lineRule="auto"/>
        <w:ind w:left="567" w:right="537"/>
        <w:rPr>
          <w:b/>
          <w:sz w:val="20"/>
          <w:szCs w:val="20"/>
        </w:rPr>
      </w:pPr>
      <w:r w:rsidRPr="00664E4F">
        <w:rPr>
          <w:b/>
          <w:sz w:val="20"/>
          <w:szCs w:val="20"/>
        </w:rPr>
        <w:t>ACTO IMPUGNADO</w:t>
      </w:r>
      <w:r w:rsidRPr="00664E4F">
        <w:rPr>
          <w:b/>
          <w:sz w:val="20"/>
          <w:szCs w:val="20"/>
        </w:rPr>
        <w:tab/>
      </w:r>
    </w:p>
    <w:p w:rsidR="00E46210" w:rsidRPr="00664E4F" w:rsidRDefault="00F44B13">
      <w:pPr>
        <w:spacing w:after="0" w:line="360" w:lineRule="auto"/>
        <w:ind w:left="567" w:right="537"/>
        <w:rPr>
          <w:i/>
          <w:sz w:val="20"/>
          <w:szCs w:val="20"/>
        </w:rPr>
      </w:pPr>
      <w:r w:rsidRPr="00664E4F">
        <w:rPr>
          <w:i/>
          <w:sz w:val="20"/>
          <w:szCs w:val="20"/>
        </w:rPr>
        <w:t xml:space="preserve">“Mi solicitud es para acceder a la </w:t>
      </w:r>
      <w:proofErr w:type="spellStart"/>
      <w:r w:rsidRPr="00664E4F">
        <w:rPr>
          <w:i/>
          <w:sz w:val="20"/>
          <w:szCs w:val="20"/>
        </w:rPr>
        <w:t>informacion</w:t>
      </w:r>
      <w:proofErr w:type="spellEnd"/>
      <w:r w:rsidRPr="00664E4F">
        <w:rPr>
          <w:i/>
          <w:sz w:val="20"/>
          <w:szCs w:val="20"/>
        </w:rPr>
        <w:t xml:space="preserve"> publica del padrón de abogados registrados en el Estado de México, solicitando </w:t>
      </w:r>
      <w:proofErr w:type="spellStart"/>
      <w:r w:rsidRPr="00664E4F">
        <w:rPr>
          <w:i/>
          <w:sz w:val="20"/>
          <w:szCs w:val="20"/>
        </w:rPr>
        <w:t>unicamente</w:t>
      </w:r>
      <w:proofErr w:type="spellEnd"/>
      <w:r w:rsidRPr="00664E4F">
        <w:rPr>
          <w:i/>
          <w:sz w:val="20"/>
          <w:szCs w:val="20"/>
        </w:rPr>
        <w:t xml:space="preserve"> el nombre completo del abogado, </w:t>
      </w:r>
      <w:proofErr w:type="spellStart"/>
      <w:r w:rsidRPr="00664E4F">
        <w:rPr>
          <w:i/>
          <w:sz w:val="20"/>
          <w:szCs w:val="20"/>
        </w:rPr>
        <w:t>numero</w:t>
      </w:r>
      <w:proofErr w:type="spellEnd"/>
      <w:r w:rsidRPr="00664E4F">
        <w:rPr>
          <w:i/>
          <w:sz w:val="20"/>
          <w:szCs w:val="20"/>
        </w:rPr>
        <w:t xml:space="preserve"> de cédula y fecha de registro, los cuales, no es necesario el consentimiento ya que son datos que figuran en </w:t>
      </w:r>
      <w:proofErr w:type="spellStart"/>
      <w:r w:rsidRPr="00664E4F">
        <w:rPr>
          <w:i/>
          <w:sz w:val="20"/>
          <w:szCs w:val="20"/>
        </w:rPr>
        <w:t>en</w:t>
      </w:r>
      <w:proofErr w:type="spellEnd"/>
      <w:r w:rsidRPr="00664E4F">
        <w:rPr>
          <w:i/>
          <w:sz w:val="20"/>
          <w:szCs w:val="20"/>
        </w:rPr>
        <w:t xml:space="preserve"> fuentes de acceso público (Art. 10 Frac. II de la LFPDPPP) y el acceso a esta </w:t>
      </w:r>
      <w:proofErr w:type="spellStart"/>
      <w:r w:rsidRPr="00664E4F">
        <w:rPr>
          <w:i/>
          <w:sz w:val="20"/>
          <w:szCs w:val="20"/>
        </w:rPr>
        <w:t>informacion</w:t>
      </w:r>
      <w:proofErr w:type="spellEnd"/>
      <w:r w:rsidRPr="00664E4F">
        <w:rPr>
          <w:i/>
          <w:sz w:val="20"/>
          <w:szCs w:val="20"/>
        </w:rPr>
        <w:t xml:space="preserve"> es meramente informativo sin fines de lucro.” (</w:t>
      </w:r>
      <w:proofErr w:type="gramStart"/>
      <w:r w:rsidRPr="00664E4F">
        <w:rPr>
          <w:i/>
          <w:sz w:val="20"/>
          <w:szCs w:val="20"/>
        </w:rPr>
        <w:t>sic</w:t>
      </w:r>
      <w:proofErr w:type="gramEnd"/>
      <w:r w:rsidRPr="00664E4F">
        <w:rPr>
          <w:i/>
          <w:sz w:val="20"/>
          <w:szCs w:val="20"/>
        </w:rPr>
        <w:t>.)</w:t>
      </w:r>
    </w:p>
    <w:p w:rsidR="00E46210" w:rsidRPr="00664E4F" w:rsidRDefault="00E46210">
      <w:pPr>
        <w:spacing w:after="0" w:line="360" w:lineRule="auto"/>
        <w:ind w:left="567" w:right="537"/>
        <w:rPr>
          <w:sz w:val="20"/>
          <w:szCs w:val="20"/>
        </w:rPr>
      </w:pPr>
    </w:p>
    <w:p w:rsidR="00E46210" w:rsidRPr="00664E4F" w:rsidRDefault="00F44B13">
      <w:pPr>
        <w:spacing w:after="0" w:line="360" w:lineRule="auto"/>
        <w:ind w:left="567" w:right="537"/>
        <w:rPr>
          <w:b/>
          <w:sz w:val="20"/>
          <w:szCs w:val="20"/>
        </w:rPr>
      </w:pPr>
      <w:r w:rsidRPr="00664E4F">
        <w:rPr>
          <w:b/>
          <w:sz w:val="20"/>
          <w:szCs w:val="20"/>
        </w:rPr>
        <w:lastRenderedPageBreak/>
        <w:t>RAZONES O MOTIVOS DE LA INCONFORMIDAD</w:t>
      </w:r>
      <w:r w:rsidRPr="00664E4F">
        <w:rPr>
          <w:b/>
          <w:sz w:val="20"/>
          <w:szCs w:val="20"/>
        </w:rPr>
        <w:tab/>
      </w:r>
    </w:p>
    <w:p w:rsidR="00E46210" w:rsidRPr="00664E4F" w:rsidRDefault="00F44B13">
      <w:pPr>
        <w:tabs>
          <w:tab w:val="left" w:pos="4667"/>
        </w:tabs>
        <w:spacing w:after="0" w:line="360" w:lineRule="auto"/>
        <w:ind w:left="567" w:right="537"/>
        <w:rPr>
          <w:sz w:val="20"/>
          <w:szCs w:val="20"/>
        </w:rPr>
      </w:pPr>
      <w:r w:rsidRPr="00664E4F">
        <w:rPr>
          <w:sz w:val="20"/>
          <w:szCs w:val="20"/>
        </w:rPr>
        <w:t>No señaló manifestaciones de informalidad</w:t>
      </w:r>
    </w:p>
    <w:p w:rsidR="00E46210" w:rsidRPr="00664E4F" w:rsidRDefault="00E46210">
      <w:pPr>
        <w:tabs>
          <w:tab w:val="left" w:pos="4667"/>
        </w:tabs>
        <w:spacing w:after="0" w:line="360" w:lineRule="auto"/>
        <w:ind w:right="537"/>
      </w:pPr>
    </w:p>
    <w:p w:rsidR="00E46210" w:rsidRPr="00664E4F" w:rsidRDefault="00F44B13">
      <w:pPr>
        <w:tabs>
          <w:tab w:val="left" w:pos="4667"/>
        </w:tabs>
        <w:spacing w:after="0" w:line="360" w:lineRule="auto"/>
        <w:ind w:right="537"/>
      </w:pPr>
      <w:r w:rsidRPr="00664E4F">
        <w:t xml:space="preserve">La persona Particular adjuntó al Recurso de Revisión, la respuesta proporcionada por el Titular de la Unidad de Transparencia en los términos en los que fueron descritos en el apartado anterior. </w:t>
      </w:r>
    </w:p>
    <w:p w:rsidR="00E46210" w:rsidRPr="00664E4F" w:rsidRDefault="00E46210">
      <w:pPr>
        <w:tabs>
          <w:tab w:val="left" w:pos="4667"/>
        </w:tabs>
        <w:spacing w:after="0" w:line="360" w:lineRule="auto"/>
        <w:ind w:right="537"/>
      </w:pPr>
    </w:p>
    <w:p w:rsidR="00E46210" w:rsidRPr="00664E4F" w:rsidRDefault="00F44B13">
      <w:pPr>
        <w:pStyle w:val="Ttulo2"/>
        <w:spacing w:before="0" w:after="0"/>
      </w:pPr>
      <w:bookmarkStart w:id="6" w:name="_heading=h.tyjcwt" w:colFirst="0" w:colLast="0"/>
      <w:bookmarkEnd w:id="6"/>
      <w:r w:rsidRPr="00664E4F">
        <w:t>IV. Trámite del Recurso de Revisión ante este Instituto</w:t>
      </w:r>
    </w:p>
    <w:p w:rsidR="00E46210" w:rsidRPr="00664E4F" w:rsidRDefault="00E46210">
      <w:pPr>
        <w:spacing w:after="0" w:line="360" w:lineRule="auto"/>
        <w:rPr>
          <w:b/>
        </w:rPr>
      </w:pPr>
    </w:p>
    <w:p w:rsidR="00E46210" w:rsidRPr="00664E4F" w:rsidRDefault="00F44B13">
      <w:pPr>
        <w:spacing w:after="0" w:line="360" w:lineRule="auto"/>
        <w:rPr>
          <w:color w:val="000000"/>
        </w:rPr>
      </w:pPr>
      <w:r w:rsidRPr="00664E4F">
        <w:rPr>
          <w:b/>
        </w:rPr>
        <w:t>a) Turno del Medio de Impugnación.</w:t>
      </w:r>
      <w:r w:rsidRPr="00664E4F">
        <w:t xml:space="preserve"> </w:t>
      </w:r>
      <w:r w:rsidRPr="00664E4F">
        <w:rPr>
          <w:color w:val="000000"/>
        </w:rPr>
        <w:t xml:space="preserve">El diez de septiembre de dos mil veinticuatro, el SAIMEX, asignó el número de expediente </w:t>
      </w:r>
      <w:r w:rsidRPr="00664E4F">
        <w:rPr>
          <w:b/>
          <w:color w:val="000000"/>
        </w:rPr>
        <w:t xml:space="preserve">05576/INFOEM/IP/RR/2024, </w:t>
      </w:r>
      <w:r w:rsidRPr="00664E4F">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E46210" w:rsidRPr="00664E4F" w:rsidRDefault="00E46210">
      <w:pPr>
        <w:spacing w:after="0" w:line="360" w:lineRule="auto"/>
      </w:pPr>
    </w:p>
    <w:p w:rsidR="00E46210" w:rsidRPr="00664E4F" w:rsidRDefault="00F44B13">
      <w:pPr>
        <w:spacing w:after="0" w:line="360" w:lineRule="auto"/>
        <w:rPr>
          <w:color w:val="000000"/>
        </w:rPr>
      </w:pPr>
      <w:r w:rsidRPr="00664E4F">
        <w:rPr>
          <w:b/>
        </w:rPr>
        <w:t>b) Admisión del Recurso de Revisión.</w:t>
      </w:r>
      <w:r w:rsidRPr="00664E4F">
        <w:t xml:space="preserve"> </w:t>
      </w:r>
      <w:r w:rsidRPr="00664E4F">
        <w:rPr>
          <w:color w:val="000000"/>
        </w:rPr>
        <w:t>El trece de septiembre de dos mil veinticuatro,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E46210" w:rsidRPr="00664E4F" w:rsidRDefault="00E46210">
      <w:pPr>
        <w:spacing w:after="0" w:line="360" w:lineRule="auto"/>
        <w:rPr>
          <w:color w:val="000000"/>
        </w:rPr>
      </w:pPr>
    </w:p>
    <w:p w:rsidR="00E46210" w:rsidRPr="00664E4F" w:rsidRDefault="00F44B13">
      <w:pPr>
        <w:spacing w:after="0" w:line="360" w:lineRule="auto"/>
        <w:rPr>
          <w:color w:val="000000"/>
        </w:rPr>
      </w:pPr>
      <w:r w:rsidRPr="00664E4F">
        <w:rPr>
          <w:b/>
        </w:rPr>
        <w:t xml:space="preserve">c) </w:t>
      </w:r>
      <w:r w:rsidRPr="00664E4F">
        <w:rPr>
          <w:b/>
          <w:color w:val="000000"/>
        </w:rPr>
        <w:t xml:space="preserve">Informe Justificado. </w:t>
      </w:r>
      <w:r w:rsidRPr="00664E4F">
        <w:rPr>
          <w:color w:val="000000"/>
        </w:rPr>
        <w:t xml:space="preserve">En fecha veinticinco de septiembre de dos mil veinticuatro el Sujeto Obligado rindió informe justificado a través de un oficio emitido por el Titular de la Unidad de Transparencia del Sujeto Obligado, en el que ratificó </w:t>
      </w:r>
      <w:r w:rsidRPr="00664E4F">
        <w:t>la respuesta</w:t>
      </w:r>
      <w:r w:rsidRPr="00664E4F">
        <w:rPr>
          <w:color w:val="000000"/>
        </w:rPr>
        <w:t xml:space="preserve"> inicial.</w:t>
      </w:r>
    </w:p>
    <w:p w:rsidR="00E46210" w:rsidRPr="00664E4F" w:rsidRDefault="00E46210">
      <w:pPr>
        <w:spacing w:after="0" w:line="360" w:lineRule="auto"/>
        <w:rPr>
          <w:color w:val="000000"/>
        </w:rPr>
      </w:pPr>
    </w:p>
    <w:p w:rsidR="00E46210" w:rsidRPr="00664E4F" w:rsidRDefault="00F44B13">
      <w:pPr>
        <w:spacing w:after="0" w:line="360" w:lineRule="auto"/>
      </w:pPr>
      <w:r w:rsidRPr="00664E4F">
        <w:rPr>
          <w:b/>
        </w:rPr>
        <w:t xml:space="preserve">d) Vista del informe justificado. </w:t>
      </w:r>
      <w:r w:rsidRPr="00664E4F">
        <w:t xml:space="preserve">El veintidós de octubre de dos mil veinticuatro, se dictó acuerdo mediante el cual se puso a la vista de la persona Particular el informe justificado emitido por el Sujeto Obligado, mismo que fue notificado a las partes el veintitrés de octubre del mismo año a través del SAIMEX y por correo </w:t>
      </w:r>
      <w:proofErr w:type="gramStart"/>
      <w:r w:rsidRPr="00664E4F">
        <w:t>electrónico .</w:t>
      </w:r>
      <w:proofErr w:type="gramEnd"/>
    </w:p>
    <w:p w:rsidR="00E46210" w:rsidRPr="00664E4F" w:rsidRDefault="00E46210">
      <w:pPr>
        <w:spacing w:after="0" w:line="360" w:lineRule="auto"/>
      </w:pPr>
    </w:p>
    <w:p w:rsidR="00E46210" w:rsidRPr="00664E4F" w:rsidRDefault="00F44B13">
      <w:pPr>
        <w:spacing w:after="0" w:line="360" w:lineRule="auto"/>
        <w:rPr>
          <w:color w:val="000000"/>
        </w:rPr>
      </w:pPr>
      <w:r w:rsidRPr="00664E4F">
        <w:rPr>
          <w:b/>
        </w:rPr>
        <w:t>e) Manifestaciones del Recurrente.</w:t>
      </w:r>
      <w:r w:rsidRPr="00664E4F">
        <w:t xml:space="preserve"> </w:t>
      </w:r>
      <w:r w:rsidRPr="00664E4F">
        <w:rPr>
          <w:color w:val="000000"/>
        </w:rPr>
        <w:t>De las constancias que integran el SAIMEX y correo electrónico se advierte que la persona Particular fue omisa en añadir manifestaciones.</w:t>
      </w:r>
    </w:p>
    <w:p w:rsidR="00E46210" w:rsidRPr="00664E4F" w:rsidRDefault="00E46210">
      <w:pPr>
        <w:spacing w:after="0" w:line="360" w:lineRule="auto"/>
        <w:rPr>
          <w:b/>
        </w:rPr>
      </w:pPr>
    </w:p>
    <w:p w:rsidR="00E46210" w:rsidRPr="00664E4F" w:rsidRDefault="00F44B13">
      <w:pPr>
        <w:widowControl w:val="0"/>
        <w:spacing w:after="0" w:line="360" w:lineRule="auto"/>
        <w:rPr>
          <w:color w:val="000000"/>
        </w:rPr>
      </w:pPr>
      <w:r w:rsidRPr="00664E4F">
        <w:rPr>
          <w:b/>
        </w:rPr>
        <w:t xml:space="preserve">f) </w:t>
      </w:r>
      <w:r w:rsidRPr="00664E4F">
        <w:rPr>
          <w:b/>
          <w:color w:val="000000"/>
        </w:rPr>
        <w:t xml:space="preserve">Ampliación de plazo para resolver. </w:t>
      </w:r>
      <w:r w:rsidRPr="00664E4F">
        <w:rPr>
          <w:color w:val="000000"/>
        </w:rPr>
        <w:t>El veintinueve de octubre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mismo día, mediante el SAIMEX y por correo electrónico.</w:t>
      </w:r>
    </w:p>
    <w:p w:rsidR="00E46210" w:rsidRPr="00664E4F" w:rsidRDefault="00E46210">
      <w:pPr>
        <w:widowControl w:val="0"/>
        <w:spacing w:after="0" w:line="360" w:lineRule="auto"/>
        <w:rPr>
          <w:b/>
        </w:rPr>
      </w:pPr>
    </w:p>
    <w:p w:rsidR="00E46210" w:rsidRPr="00664E4F" w:rsidRDefault="00F44B13">
      <w:pPr>
        <w:spacing w:after="0" w:line="360" w:lineRule="auto"/>
        <w:rPr>
          <w:b/>
        </w:rPr>
      </w:pPr>
      <w:r w:rsidRPr="00664E4F">
        <w:rPr>
          <w:b/>
        </w:rPr>
        <w:t>g) Cierre de instrucción.</w:t>
      </w:r>
      <w:r w:rsidRPr="00664E4F">
        <w:t xml:space="preserve"> El veintinueve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y por correo electrónico, el mismo día.</w:t>
      </w:r>
    </w:p>
    <w:p w:rsidR="00E46210" w:rsidRPr="00664E4F" w:rsidRDefault="00E46210">
      <w:pPr>
        <w:spacing w:after="0" w:line="360" w:lineRule="auto"/>
      </w:pPr>
    </w:p>
    <w:p w:rsidR="00E46210" w:rsidRPr="00664E4F" w:rsidRDefault="00F44B13">
      <w:pPr>
        <w:spacing w:after="0" w:line="360" w:lineRule="auto"/>
      </w:pPr>
      <w:r w:rsidRPr="00664E4F">
        <w:t xml:space="preserve">En razón de que fue debidamente sustanciado e integrado el expediente electrónico y no existe diligencia pendiente de desahogo, se emite la resolución que conforme a Derecho proceda, de acuerdo a los siguientes: </w:t>
      </w:r>
    </w:p>
    <w:p w:rsidR="00E46210" w:rsidRPr="00664E4F" w:rsidRDefault="00E46210">
      <w:pPr>
        <w:spacing w:after="0" w:line="360" w:lineRule="auto"/>
      </w:pPr>
    </w:p>
    <w:p w:rsidR="00E46210" w:rsidRPr="00664E4F" w:rsidRDefault="00F44B13">
      <w:pPr>
        <w:pStyle w:val="Ttulo1"/>
        <w:spacing w:before="0" w:after="0"/>
        <w:rPr>
          <w:sz w:val="22"/>
          <w:szCs w:val="22"/>
        </w:rPr>
      </w:pPr>
      <w:bookmarkStart w:id="7" w:name="_heading=h.3dy6vkm" w:colFirst="0" w:colLast="0"/>
      <w:bookmarkEnd w:id="7"/>
      <w:r w:rsidRPr="00664E4F">
        <w:rPr>
          <w:sz w:val="22"/>
          <w:szCs w:val="22"/>
        </w:rPr>
        <w:t>C O N S I D E R A N D O S</w:t>
      </w:r>
    </w:p>
    <w:p w:rsidR="00E46210" w:rsidRPr="00664E4F" w:rsidRDefault="00E46210">
      <w:pPr>
        <w:spacing w:after="0" w:line="360" w:lineRule="auto"/>
        <w:rPr>
          <w:b/>
        </w:rPr>
      </w:pPr>
    </w:p>
    <w:p w:rsidR="00E46210" w:rsidRPr="00664E4F" w:rsidRDefault="00F44B13">
      <w:pPr>
        <w:pStyle w:val="Ttulo2"/>
        <w:spacing w:before="0" w:after="0"/>
      </w:pPr>
      <w:bookmarkStart w:id="8" w:name="_heading=h.1t3h5sf" w:colFirst="0" w:colLast="0"/>
      <w:bookmarkEnd w:id="8"/>
      <w:r w:rsidRPr="00664E4F">
        <w:t>PRIMERO. Competencia</w:t>
      </w:r>
    </w:p>
    <w:p w:rsidR="00E46210" w:rsidRPr="00664E4F" w:rsidRDefault="00E46210">
      <w:pPr>
        <w:spacing w:after="0" w:line="360" w:lineRule="auto"/>
        <w:rPr>
          <w:b/>
        </w:rPr>
      </w:pPr>
    </w:p>
    <w:p w:rsidR="00E46210" w:rsidRPr="00664E4F" w:rsidRDefault="00F44B13">
      <w:pPr>
        <w:spacing w:after="0" w:line="360" w:lineRule="auto"/>
      </w:pPr>
      <w:r w:rsidRPr="00664E4F">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664E4F">
        <w:rPr>
          <w:color w:val="000000"/>
        </w:rPr>
        <w:t>trigésimo segundo, trigésimo tercero y trigésimo cuarto</w:t>
      </w:r>
      <w:r w:rsidRPr="00664E4F">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E46210" w:rsidRPr="00664E4F" w:rsidRDefault="00E46210">
      <w:pPr>
        <w:spacing w:after="0" w:line="360" w:lineRule="auto"/>
      </w:pPr>
    </w:p>
    <w:p w:rsidR="00E46210" w:rsidRPr="00664E4F" w:rsidRDefault="00F44B13">
      <w:pPr>
        <w:pStyle w:val="Ttulo2"/>
        <w:spacing w:before="0" w:after="0"/>
      </w:pPr>
      <w:bookmarkStart w:id="9" w:name="_heading=h.4d34og8" w:colFirst="0" w:colLast="0"/>
      <w:bookmarkEnd w:id="9"/>
      <w:r w:rsidRPr="00664E4F">
        <w:t>SEGUNDO. Causales de improcedencia y sobreseimiento</w:t>
      </w:r>
    </w:p>
    <w:p w:rsidR="00E46210" w:rsidRPr="00664E4F" w:rsidRDefault="00E46210">
      <w:pPr>
        <w:spacing w:after="0" w:line="360" w:lineRule="auto"/>
      </w:pPr>
    </w:p>
    <w:p w:rsidR="00E46210" w:rsidRPr="00664E4F" w:rsidRDefault="00F44B13">
      <w:pPr>
        <w:spacing w:after="0" w:line="360" w:lineRule="auto"/>
      </w:pPr>
      <w:r w:rsidRPr="00664E4F">
        <w:t xml:space="preserve">De las constancias que forma parte del Recurso de Revisión que se analiza, se advierte que previo al estudio del fondo de la </w:t>
      </w:r>
      <w:proofErr w:type="spellStart"/>
      <w:r w:rsidRPr="00664E4F">
        <w:rPr>
          <w:i/>
        </w:rPr>
        <w:t>litis</w:t>
      </w:r>
      <w:proofErr w:type="spellEnd"/>
      <w:r w:rsidRPr="00664E4F">
        <w:t>, es necesario estudiar las causales de improcedencia y sobreseimiento que se adviertan, para determinar lo que en Derecho proceda.</w:t>
      </w:r>
    </w:p>
    <w:p w:rsidR="00E46210" w:rsidRPr="00664E4F" w:rsidRDefault="00E46210">
      <w:pPr>
        <w:spacing w:after="0" w:line="360" w:lineRule="auto"/>
      </w:pPr>
    </w:p>
    <w:p w:rsidR="00E46210" w:rsidRPr="00664E4F" w:rsidRDefault="00F44B13">
      <w:pPr>
        <w:spacing w:after="0" w:line="360" w:lineRule="auto"/>
        <w:rPr>
          <w:b/>
        </w:rPr>
      </w:pPr>
      <w:r w:rsidRPr="00664E4F">
        <w:rPr>
          <w:b/>
        </w:rPr>
        <w:t>Causales de improcedencia</w:t>
      </w:r>
    </w:p>
    <w:p w:rsidR="00E46210" w:rsidRPr="00664E4F" w:rsidRDefault="00E46210">
      <w:pPr>
        <w:spacing w:after="0" w:line="360" w:lineRule="auto"/>
      </w:pPr>
    </w:p>
    <w:p w:rsidR="00E46210" w:rsidRPr="00664E4F" w:rsidRDefault="00F44B13">
      <w:pPr>
        <w:spacing w:after="0" w:line="360" w:lineRule="auto"/>
      </w:pPr>
      <w:r w:rsidRPr="00664E4F">
        <w:t xml:space="preserve">Este Instituto realiza el estudio oficioso de las causales de improcedencia, ya que estas deben estudiarse, aunque no las hagan valer las partes, por ser una cuestión de orden público y de </w:t>
      </w:r>
      <w:r w:rsidRPr="00664E4F">
        <w:lastRenderedPageBreak/>
        <w:t>estudio preferente al fondo del asunto. Lo anterior se robustece en la Tesis de Jurisprudencia: 1a</w:t>
      </w:r>
      <w:proofErr w:type="gramStart"/>
      <w:r w:rsidRPr="00664E4F">
        <w:t>./</w:t>
      </w:r>
      <w:proofErr w:type="gramEnd"/>
      <w:r w:rsidRPr="00664E4F">
        <w:t>J. 163/2005</w:t>
      </w:r>
      <w:r w:rsidRPr="00664E4F">
        <w:rPr>
          <w:b/>
        </w:rPr>
        <w:t xml:space="preserve"> </w:t>
      </w:r>
      <w:r w:rsidRPr="00664E4F">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E46210" w:rsidRPr="00664E4F" w:rsidRDefault="00E46210">
      <w:pPr>
        <w:spacing w:after="0" w:line="360" w:lineRule="auto"/>
      </w:pPr>
    </w:p>
    <w:p w:rsidR="00E46210" w:rsidRPr="00664E4F" w:rsidRDefault="00F44B13">
      <w:pPr>
        <w:spacing w:after="0" w:line="360" w:lineRule="auto"/>
      </w:pPr>
      <w:r w:rsidRPr="00664E4F">
        <w:t xml:space="preserve">En el presente caso, </w:t>
      </w:r>
      <w:r w:rsidRPr="00664E4F">
        <w:rPr>
          <w:b/>
        </w:rPr>
        <w:t>no se actualiza ninguna de las causales de improcedencia</w:t>
      </w:r>
      <w:r w:rsidRPr="00664E4F">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E46210" w:rsidRPr="00664E4F" w:rsidRDefault="00E46210">
      <w:pPr>
        <w:spacing w:after="0" w:line="360" w:lineRule="auto"/>
        <w:rPr>
          <w:b/>
        </w:rPr>
      </w:pPr>
    </w:p>
    <w:p w:rsidR="00E46210" w:rsidRPr="00664E4F" w:rsidRDefault="00F44B13">
      <w:pPr>
        <w:spacing w:after="0" w:line="360" w:lineRule="auto"/>
        <w:ind w:right="-28"/>
        <w:rPr>
          <w:b/>
          <w:color w:val="000000"/>
        </w:rPr>
      </w:pPr>
      <w:r w:rsidRPr="00664E4F">
        <w:rPr>
          <w:b/>
          <w:color w:val="000000"/>
        </w:rPr>
        <w:t>Causales de sobreseimiento</w:t>
      </w:r>
    </w:p>
    <w:p w:rsidR="00E46210" w:rsidRPr="00664E4F" w:rsidRDefault="00E46210">
      <w:pPr>
        <w:spacing w:after="0" w:line="360" w:lineRule="auto"/>
        <w:ind w:right="-28"/>
        <w:rPr>
          <w:color w:val="000000"/>
        </w:rPr>
      </w:pPr>
    </w:p>
    <w:p w:rsidR="00E46210" w:rsidRPr="00664E4F" w:rsidRDefault="00F44B13">
      <w:pPr>
        <w:spacing w:after="0" w:line="360" w:lineRule="auto"/>
        <w:rPr>
          <w:color w:val="000000"/>
        </w:rPr>
      </w:pPr>
      <w:r w:rsidRPr="00664E4F">
        <w:rPr>
          <w:color w:val="000000"/>
        </w:rPr>
        <w:t>Por ser de previo y especial pronunciamiento, este Instituto analiza si se actualiza alguna causal de sobreseimiento.</w:t>
      </w:r>
    </w:p>
    <w:p w:rsidR="00E46210" w:rsidRPr="00664E4F" w:rsidRDefault="00E46210">
      <w:pPr>
        <w:spacing w:after="0" w:line="360" w:lineRule="auto"/>
        <w:rPr>
          <w:color w:val="000000"/>
        </w:rPr>
      </w:pPr>
    </w:p>
    <w:p w:rsidR="00E46210" w:rsidRPr="00664E4F" w:rsidRDefault="00F44B13">
      <w:pPr>
        <w:spacing w:after="0" w:line="360" w:lineRule="auto"/>
        <w:rPr>
          <w:color w:val="0D0D0D"/>
        </w:rPr>
      </w:pPr>
      <w:r w:rsidRPr="00664E4F">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664E4F">
        <w:rPr>
          <w:b/>
          <w:color w:val="0D0D0D"/>
        </w:rPr>
        <w:t xml:space="preserve"> </w:t>
      </w:r>
      <w:r w:rsidRPr="00664E4F">
        <w:rPr>
          <w:color w:val="0D0D0D"/>
        </w:rPr>
        <w:t>toda vez que no hay constancias en el expediente en que se actúa, de que la persona Recurrente se haya desistido, fallecido, que el Sujeto Obligado hubiese modificado o revocado el acto impugnado o bien,</w:t>
      </w:r>
      <w:r w:rsidRPr="00664E4F">
        <w:t xml:space="preserve"> </w:t>
      </w:r>
      <w:r w:rsidRPr="00664E4F">
        <w:rPr>
          <w:color w:val="0D0D0D"/>
        </w:rPr>
        <w:t>que admitido una vez admitido el Recurso de Revisión, aparezca alguna causal de improcedencia o haya quedado sin materia.</w:t>
      </w:r>
    </w:p>
    <w:p w:rsidR="00E46210" w:rsidRPr="00664E4F" w:rsidRDefault="00E46210">
      <w:pPr>
        <w:spacing w:after="0" w:line="360" w:lineRule="auto"/>
        <w:rPr>
          <w:color w:val="000000"/>
        </w:rPr>
      </w:pPr>
    </w:p>
    <w:p w:rsidR="00E46210" w:rsidRPr="00664E4F" w:rsidRDefault="00F44B13">
      <w:pPr>
        <w:pStyle w:val="Ttulo2"/>
        <w:spacing w:before="0" w:after="0"/>
      </w:pPr>
      <w:bookmarkStart w:id="10" w:name="_heading=h.2s8eyo1" w:colFirst="0" w:colLast="0"/>
      <w:bookmarkEnd w:id="10"/>
      <w:r w:rsidRPr="00664E4F">
        <w:t xml:space="preserve">TERCERO. Determinación de la Controversia </w:t>
      </w:r>
    </w:p>
    <w:p w:rsidR="00E46210" w:rsidRPr="00664E4F" w:rsidRDefault="00E46210">
      <w:pPr>
        <w:spacing w:after="0" w:line="360" w:lineRule="auto"/>
        <w:rPr>
          <w:b/>
        </w:rPr>
      </w:pPr>
    </w:p>
    <w:p w:rsidR="00E46210" w:rsidRPr="00664E4F" w:rsidRDefault="00F44B13">
      <w:pPr>
        <w:tabs>
          <w:tab w:val="left" w:pos="4962"/>
        </w:tabs>
        <w:spacing w:after="0" w:line="360" w:lineRule="auto"/>
      </w:pPr>
      <w:r w:rsidRPr="00664E4F">
        <w:t xml:space="preserve">La persona Solicitante requirió la entrega del padrón de abogados registrados en el Estado de México, en el que se observen el nombre completo, cédula profesional y fecha de registro; en respuesta, el Sujeto Obligado informó que sí existe un registro en bases de datos, denominado Sistema de Cédulas, sin embargo, que no realiza la transferencia de datos personales y que además, los datos personales que se encuentran en dicho sistema fueron clasificados como información confidencial por el Comité de Transparencia del Sujeto Obligado y remitió el acta correspondiente. </w:t>
      </w:r>
    </w:p>
    <w:p w:rsidR="00E46210" w:rsidRPr="00664E4F" w:rsidRDefault="00E46210">
      <w:pPr>
        <w:tabs>
          <w:tab w:val="left" w:pos="4962"/>
        </w:tabs>
        <w:spacing w:after="0" w:line="360" w:lineRule="auto"/>
      </w:pPr>
    </w:p>
    <w:p w:rsidR="00E46210" w:rsidRPr="00664E4F" w:rsidRDefault="00F44B13">
      <w:pPr>
        <w:tabs>
          <w:tab w:val="left" w:pos="4962"/>
        </w:tabs>
        <w:spacing w:after="0" w:line="360" w:lineRule="auto"/>
      </w:pPr>
      <w:r w:rsidRPr="00664E4F">
        <w:t xml:space="preserve">Derivado de la respuesta, la persona Particular interpuso el Recurso de Revisión que nos ocupa, en el que se señaló que la información solicitada consta en fuentes de acceso público y que, por tanto, no es necesario el consentimiento para acceder a ella, además de que, la información no se requiere con fines de lucro. Durante la sustanciación del Recurso de Revisión, el Sujeto Obligado rindió informe justificado en el que ratificó la respuesta inicial; por su parte, la persona Recurrente no añadió manifestaciones adicionales. </w:t>
      </w:r>
    </w:p>
    <w:p w:rsidR="00E46210" w:rsidRPr="00664E4F" w:rsidRDefault="00E46210">
      <w:pPr>
        <w:tabs>
          <w:tab w:val="left" w:pos="4962"/>
        </w:tabs>
        <w:spacing w:after="0" w:line="360" w:lineRule="auto"/>
        <w:rPr>
          <w:b/>
        </w:rPr>
      </w:pPr>
    </w:p>
    <w:p w:rsidR="00E46210" w:rsidRPr="00664E4F" w:rsidRDefault="00F44B13">
      <w:pPr>
        <w:tabs>
          <w:tab w:val="left" w:pos="4962"/>
        </w:tabs>
        <w:spacing w:after="0" w:line="360" w:lineRule="auto"/>
      </w:pPr>
      <w:r w:rsidRPr="00664E4F">
        <w:t xml:space="preserve">Así pues, de las constancias que integran el expediente, se advierte que </w:t>
      </w:r>
      <w:r w:rsidRPr="00664E4F">
        <w:rPr>
          <w:color w:val="000000"/>
        </w:rPr>
        <w:t xml:space="preserve">en el asunto que nos ocupa se actualiza la causal de procedencia señalada en el </w:t>
      </w:r>
      <w:r w:rsidRPr="00664E4F">
        <w:t>artículo 179, fracción II, de la Ley de la materia; es decir por la clasificación de la información.</w:t>
      </w:r>
    </w:p>
    <w:p w:rsidR="00E46210" w:rsidRPr="00664E4F" w:rsidRDefault="00E46210">
      <w:pPr>
        <w:tabs>
          <w:tab w:val="left" w:pos="4962"/>
        </w:tabs>
        <w:spacing w:after="0" w:line="360" w:lineRule="auto"/>
        <w:rPr>
          <w:b/>
        </w:rPr>
      </w:pPr>
    </w:p>
    <w:p w:rsidR="00E46210" w:rsidRPr="00664E4F" w:rsidRDefault="00F44B13">
      <w:pPr>
        <w:tabs>
          <w:tab w:val="left" w:pos="4962"/>
        </w:tabs>
        <w:spacing w:after="0" w:line="360" w:lineRule="auto"/>
      </w:pPr>
      <w:r w:rsidRPr="00664E4F">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E46210" w:rsidRPr="00664E4F" w:rsidRDefault="00E46210">
      <w:pPr>
        <w:spacing w:after="0" w:line="360" w:lineRule="auto"/>
      </w:pPr>
    </w:p>
    <w:p w:rsidR="00E46210" w:rsidRPr="00664E4F" w:rsidRDefault="00F44B13">
      <w:pPr>
        <w:pStyle w:val="Ttulo2"/>
        <w:spacing w:before="0" w:after="0"/>
      </w:pPr>
      <w:bookmarkStart w:id="11" w:name="_heading=h.17dp8vu" w:colFirst="0" w:colLast="0"/>
      <w:bookmarkEnd w:id="11"/>
      <w:r w:rsidRPr="00664E4F">
        <w:lastRenderedPageBreak/>
        <w:t>CUARTO. Marco normativo aplicable en materia de transparencia y acceso a la información pública</w:t>
      </w:r>
    </w:p>
    <w:p w:rsidR="00E46210" w:rsidRPr="00664E4F" w:rsidRDefault="00E46210">
      <w:pPr>
        <w:spacing w:after="0" w:line="360" w:lineRule="auto"/>
        <w:rPr>
          <w:color w:val="000000"/>
        </w:rPr>
      </w:pPr>
    </w:p>
    <w:p w:rsidR="00E46210" w:rsidRPr="00664E4F" w:rsidRDefault="00F44B13">
      <w:pPr>
        <w:spacing w:after="0" w:line="360" w:lineRule="auto"/>
        <w:rPr>
          <w:color w:val="000000"/>
        </w:rPr>
      </w:pPr>
      <w:r w:rsidRPr="00664E4F">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E46210" w:rsidRPr="00664E4F" w:rsidRDefault="00E46210">
      <w:pPr>
        <w:spacing w:after="0" w:line="360" w:lineRule="auto"/>
        <w:rPr>
          <w:color w:val="000000"/>
        </w:rPr>
      </w:pPr>
    </w:p>
    <w:p w:rsidR="00E46210" w:rsidRPr="00664E4F" w:rsidRDefault="00F44B13">
      <w:pPr>
        <w:spacing w:after="0" w:line="360" w:lineRule="auto"/>
        <w:rPr>
          <w:color w:val="000000"/>
        </w:rPr>
      </w:pPr>
      <w:r w:rsidRPr="00664E4F">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E46210" w:rsidRPr="00664E4F" w:rsidRDefault="00E46210">
      <w:pPr>
        <w:spacing w:after="0" w:line="360" w:lineRule="auto"/>
        <w:rPr>
          <w:color w:val="000000"/>
        </w:rPr>
      </w:pPr>
    </w:p>
    <w:p w:rsidR="00E46210" w:rsidRPr="00664E4F" w:rsidRDefault="00F44B13">
      <w:pPr>
        <w:spacing w:after="0" w:line="360" w:lineRule="auto"/>
        <w:rPr>
          <w:color w:val="000000"/>
        </w:rPr>
      </w:pPr>
      <w:r w:rsidRPr="00664E4F">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E46210" w:rsidRPr="00664E4F" w:rsidRDefault="00E46210">
      <w:pPr>
        <w:spacing w:after="0" w:line="360" w:lineRule="auto"/>
        <w:rPr>
          <w:color w:val="000000"/>
        </w:rPr>
      </w:pPr>
    </w:p>
    <w:p w:rsidR="00E46210" w:rsidRPr="00664E4F" w:rsidRDefault="00F44B13">
      <w:pPr>
        <w:spacing w:after="0" w:line="360" w:lineRule="auto"/>
        <w:rPr>
          <w:color w:val="000000"/>
        </w:rPr>
      </w:pPr>
      <w:r w:rsidRPr="00664E4F">
        <w:rPr>
          <w:color w:val="000000"/>
        </w:rPr>
        <w:t>Por su parte, la Ley de Transparencia y Acceso a la Información Pública del Estado de México y Municipios (Reglamentaria del artículo 5° de la Constitución Local), establece lo siguiente:</w:t>
      </w:r>
    </w:p>
    <w:p w:rsidR="00E46210" w:rsidRPr="00664E4F" w:rsidRDefault="00E46210">
      <w:pPr>
        <w:spacing w:after="0" w:line="360" w:lineRule="auto"/>
        <w:rPr>
          <w:color w:val="000000"/>
        </w:rPr>
      </w:pPr>
    </w:p>
    <w:p w:rsidR="00E46210" w:rsidRPr="00664E4F" w:rsidRDefault="00F44B13">
      <w:pPr>
        <w:spacing w:after="0" w:line="360" w:lineRule="auto"/>
        <w:rPr>
          <w:color w:val="000000"/>
        </w:rPr>
      </w:pPr>
      <w:r w:rsidRPr="00664E4F">
        <w:rPr>
          <w:color w:val="000000"/>
        </w:rPr>
        <w:t xml:space="preserve">El artículo </w:t>
      </w:r>
      <w:r w:rsidRPr="00664E4F">
        <w:t>12 dice que</w:t>
      </w:r>
      <w:r w:rsidRPr="00664E4F">
        <w:rPr>
          <w:color w:val="000000"/>
        </w:rPr>
        <w:t>, quienes generen, recopilen, administren, manejen, procesen, archiven o conserven información pública serán responsables de la misma.</w:t>
      </w:r>
    </w:p>
    <w:p w:rsidR="00E46210" w:rsidRPr="00664E4F" w:rsidRDefault="00E46210">
      <w:pPr>
        <w:spacing w:after="0" w:line="360" w:lineRule="auto"/>
        <w:rPr>
          <w:color w:val="000000"/>
        </w:rPr>
      </w:pPr>
    </w:p>
    <w:p w:rsidR="00E46210" w:rsidRPr="00664E4F" w:rsidRDefault="00F44B13">
      <w:pPr>
        <w:widowControl w:val="0"/>
        <w:spacing w:after="0" w:line="360" w:lineRule="auto"/>
        <w:rPr>
          <w:color w:val="000000"/>
        </w:rPr>
      </w:pPr>
      <w:r w:rsidRPr="00664E4F">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E46210" w:rsidRPr="00664E4F" w:rsidRDefault="00E46210">
      <w:pPr>
        <w:spacing w:after="0" w:line="360" w:lineRule="auto"/>
        <w:rPr>
          <w:color w:val="000000"/>
        </w:rPr>
      </w:pPr>
    </w:p>
    <w:p w:rsidR="00E46210" w:rsidRPr="00664E4F" w:rsidRDefault="00F44B13">
      <w:pPr>
        <w:spacing w:after="0" w:line="360" w:lineRule="auto"/>
        <w:rPr>
          <w:color w:val="000000"/>
        </w:rPr>
      </w:pPr>
      <w:r w:rsidRPr="00664E4F">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46210" w:rsidRPr="00664E4F" w:rsidRDefault="00E46210">
      <w:pPr>
        <w:spacing w:after="0" w:line="360" w:lineRule="auto"/>
      </w:pPr>
    </w:p>
    <w:p w:rsidR="00E46210" w:rsidRPr="00664E4F" w:rsidRDefault="00F44B13">
      <w:pPr>
        <w:pStyle w:val="Ttulo2"/>
        <w:spacing w:before="0" w:after="0"/>
      </w:pPr>
      <w:bookmarkStart w:id="12" w:name="_heading=h.3rdcrjn" w:colFirst="0" w:colLast="0"/>
      <w:bookmarkEnd w:id="12"/>
      <w:r w:rsidRPr="00664E4F">
        <w:rPr>
          <w:smallCaps/>
        </w:rPr>
        <w:t>QUINTO.</w:t>
      </w:r>
      <w:r w:rsidRPr="00664E4F">
        <w:t xml:space="preserve"> Estudio de Fondo</w:t>
      </w:r>
    </w:p>
    <w:p w:rsidR="00E46210" w:rsidRPr="00664E4F" w:rsidRDefault="00E46210">
      <w:pPr>
        <w:widowControl w:val="0"/>
        <w:spacing w:after="0" w:line="360" w:lineRule="auto"/>
        <w:rPr>
          <w:color w:val="000000"/>
        </w:rPr>
      </w:pPr>
    </w:p>
    <w:p w:rsidR="00E46210" w:rsidRPr="00664E4F" w:rsidRDefault="00F44B13">
      <w:pPr>
        <w:widowControl w:val="0"/>
        <w:spacing w:after="0" w:line="360" w:lineRule="auto"/>
        <w:rPr>
          <w:color w:val="000000"/>
        </w:rPr>
      </w:pPr>
      <w:r w:rsidRPr="00664E4F">
        <w:rPr>
          <w:color w:val="000000"/>
        </w:rPr>
        <w:t xml:space="preserve">La persona solicitante requirió la entrega del padrón de abogados, en el que se </w:t>
      </w:r>
      <w:r w:rsidRPr="00664E4F">
        <w:t>observará</w:t>
      </w:r>
      <w:r w:rsidRPr="00664E4F">
        <w:rPr>
          <w:color w:val="000000"/>
        </w:rPr>
        <w:t xml:space="preserve"> el nombre completo, número de cédula y fecha de registro; al respecto, es preciso señalar que este Organismo Garante localizó el </w:t>
      </w:r>
      <w:r w:rsidRPr="00664E4F">
        <w:rPr>
          <w:i/>
          <w:color w:val="000000"/>
        </w:rPr>
        <w:t xml:space="preserve">ACUERDO DEL CONSEJO DE LA JUDICATURA A TRAVÉS DEL CUAL, SE ESTABLECEN LOS LINEAMIENTOS PARA EL USO DEL SISTEMA DE REGISTRO DE CÉDULAS PROFESIONALES EN EL PODER JUDICIAL DEL ESTADO, </w:t>
      </w:r>
      <w:r w:rsidRPr="00664E4F">
        <w:rPr>
          <w:color w:val="000000"/>
        </w:rPr>
        <w:t xml:space="preserve">del que se desprenden </w:t>
      </w:r>
      <w:r w:rsidRPr="00664E4F">
        <w:rPr>
          <w:i/>
          <w:color w:val="000000"/>
        </w:rPr>
        <w:t xml:space="preserve">los LINEAMIENTOS PARA EL USO DEL SISTEMA DE REGISTRO DE CÉDULAS PROFESIONALES DEL PODER JUDICIAL DEL ESTADO, </w:t>
      </w:r>
      <w:r w:rsidRPr="00664E4F">
        <w:rPr>
          <w:color w:val="000000"/>
        </w:rPr>
        <w:t>que, en su artículo 2° señala que el Sistema de Registro de Cédulas Profesionales es una herramienta informática que permite efectuar un registro único de las cédulas profesionales de los licenciados en derecho, con validez en los órganos jurisdiccionales del Sujeto Obligado.</w:t>
      </w:r>
    </w:p>
    <w:p w:rsidR="00E46210" w:rsidRPr="00664E4F" w:rsidRDefault="00E46210">
      <w:pPr>
        <w:widowControl w:val="0"/>
        <w:spacing w:after="0" w:line="360" w:lineRule="auto"/>
        <w:rPr>
          <w:color w:val="000000"/>
        </w:rPr>
      </w:pPr>
    </w:p>
    <w:p w:rsidR="00E46210" w:rsidRPr="00664E4F" w:rsidRDefault="00F44B13">
      <w:pPr>
        <w:widowControl w:val="0"/>
        <w:spacing w:after="0" w:line="360" w:lineRule="auto"/>
        <w:rPr>
          <w:color w:val="000000"/>
        </w:rPr>
      </w:pPr>
      <w:r w:rsidRPr="00664E4F">
        <w:rPr>
          <w:color w:val="000000"/>
        </w:rPr>
        <w:t xml:space="preserve">En los lineamientos en cita, se desprende el procedimiento de registro, específicamente en su artículo 4°; en el que se señala en el punto III y IV; que </w:t>
      </w:r>
      <w:r w:rsidRPr="00664E4F">
        <w:rPr>
          <w:i/>
          <w:color w:val="000000"/>
        </w:rPr>
        <w:t>después de registrar la cédula profesional en el libro correspondiente, el Secretario ingresará al Sistema y capturará los datos siguientes: nombre; domicilio, número cédula; registro a fojas; del libro; fecha de cédula; autoridad que expide la cédula; clave CURP, en caso de contar con ella</w:t>
      </w:r>
      <w:r w:rsidRPr="00664E4F">
        <w:rPr>
          <w:color w:val="000000"/>
        </w:rPr>
        <w:t xml:space="preserve"> y que, </w:t>
      </w:r>
      <w:r w:rsidRPr="00664E4F">
        <w:rPr>
          <w:i/>
          <w:color w:val="000000"/>
        </w:rPr>
        <w:t>el Sistema automáticamente generará la fecha y número de registro, el cual se hará del conocimiento del interesado.</w:t>
      </w:r>
      <w:r w:rsidRPr="00664E4F">
        <w:rPr>
          <w:color w:val="000000"/>
        </w:rPr>
        <w:t xml:space="preserve"> De esto, se entiende que el interesado es el abogado que registró su cédula ante el Poder Judicial.</w:t>
      </w:r>
    </w:p>
    <w:p w:rsidR="00E46210" w:rsidRPr="00664E4F" w:rsidRDefault="00E46210">
      <w:pPr>
        <w:widowControl w:val="0"/>
        <w:spacing w:after="0" w:line="360" w:lineRule="auto"/>
        <w:rPr>
          <w:color w:val="000000"/>
        </w:rPr>
      </w:pPr>
    </w:p>
    <w:p w:rsidR="00E46210" w:rsidRPr="00664E4F" w:rsidRDefault="00F44B13">
      <w:pPr>
        <w:widowControl w:val="0"/>
        <w:spacing w:after="0" w:line="360" w:lineRule="auto"/>
        <w:rPr>
          <w:i/>
          <w:color w:val="000000"/>
        </w:rPr>
      </w:pPr>
      <w:r w:rsidRPr="00664E4F">
        <w:rPr>
          <w:color w:val="000000"/>
        </w:rPr>
        <w:t xml:space="preserve">Derivado de lo anterior, se corrobora que el Sujeto Obligado cuenta con un Sistema de Registro </w:t>
      </w:r>
      <w:r w:rsidRPr="00664E4F">
        <w:rPr>
          <w:color w:val="000000"/>
        </w:rPr>
        <w:lastRenderedPageBreak/>
        <w:t xml:space="preserve">de Cédulas Profesionales, en los que </w:t>
      </w:r>
      <w:r w:rsidRPr="00664E4F">
        <w:t>consta</w:t>
      </w:r>
      <w:r w:rsidRPr="00664E4F">
        <w:rPr>
          <w:color w:val="000000"/>
        </w:rPr>
        <w:t xml:space="preserve"> el nombre completo y el número de cédula de las personas abogadas que se registran y que derivado generarlo, se obtiene la fecha y número de registro; por tanto, corresponde a la información que fue solicitada por la persona Solicitante; en consecuencia, el Sujeto Obligado conoce y administra la información solicitada; y por tanto es competente para conocerla.</w:t>
      </w:r>
    </w:p>
    <w:p w:rsidR="00E46210" w:rsidRPr="00664E4F" w:rsidRDefault="00E46210">
      <w:pPr>
        <w:widowControl w:val="0"/>
        <w:spacing w:after="0" w:line="360" w:lineRule="auto"/>
        <w:rPr>
          <w:color w:val="000000"/>
        </w:rPr>
      </w:pPr>
    </w:p>
    <w:p w:rsidR="00E46210" w:rsidRPr="00664E4F" w:rsidRDefault="00F44B13">
      <w:pPr>
        <w:widowControl w:val="0"/>
        <w:spacing w:after="0" w:line="360" w:lineRule="auto"/>
        <w:rPr>
          <w:color w:val="000000"/>
        </w:rPr>
      </w:pPr>
      <w:r w:rsidRPr="00664E4F">
        <w:rPr>
          <w:color w:val="000000"/>
        </w:rPr>
        <w:t xml:space="preserve">Sin menoscabo de lo anterior, en dichos lineamientos, en su artículo 7°, señala que la información del sistema es confidencial, lo cual se robustece con la respuesta proporcionada por el Sujeto Obligado, en la que señaló que la información solicitada corresponde a un sistema de datos denominado Sistema de Cédulas y que tiene datos personales confidenciales que fueron clasificados conforme al acta de la sesión extraordinaria del Comité de Transparencia y Acceso a la Información Pública del Poder Judicial del Estado de México, Número 20/2018, la cual fue entregada en respuesta; al respecto, dicha clasificación motivó el presente Recurso de Revisión, por tanto, es procedente analizar la clasificación señalada por el Sujeto Obligado. </w:t>
      </w:r>
    </w:p>
    <w:p w:rsidR="00E46210" w:rsidRPr="00664E4F" w:rsidRDefault="00E46210">
      <w:pPr>
        <w:widowControl w:val="0"/>
        <w:spacing w:after="0" w:line="360" w:lineRule="auto"/>
        <w:rPr>
          <w:color w:val="000000"/>
        </w:rPr>
      </w:pPr>
    </w:p>
    <w:p w:rsidR="00E46210" w:rsidRPr="00664E4F" w:rsidRDefault="00F44B13">
      <w:pPr>
        <w:widowControl w:val="0"/>
        <w:spacing w:after="0" w:line="360" w:lineRule="auto"/>
        <w:rPr>
          <w:color w:val="000000"/>
        </w:rPr>
      </w:pPr>
      <w:r w:rsidRPr="00664E4F">
        <w:rPr>
          <w:color w:val="000000"/>
        </w:rPr>
        <w:t xml:space="preserve">Del acta mencionada destaca el desahogo del punto 3.10 denominado </w:t>
      </w:r>
      <w:r w:rsidRPr="00664E4F">
        <w:rPr>
          <w:i/>
          <w:color w:val="000000"/>
        </w:rPr>
        <w:t xml:space="preserve">Sistema de Cédulas, </w:t>
      </w:r>
      <w:r w:rsidRPr="00664E4F">
        <w:rPr>
          <w:color w:val="000000"/>
        </w:rPr>
        <w:t xml:space="preserve">en su considerando </w:t>
      </w:r>
      <w:r w:rsidRPr="00664E4F">
        <w:rPr>
          <w:i/>
          <w:color w:val="000000"/>
        </w:rPr>
        <w:t xml:space="preserve">séptimo, </w:t>
      </w:r>
      <w:r w:rsidRPr="00664E4F">
        <w:rPr>
          <w:color w:val="000000"/>
        </w:rPr>
        <w:t xml:space="preserve">segundo párrafo, en el que se señala que, a fin de precisar el tipo de cédulas que integran el sistema de datos personales, se emitirá una recomendación para modificar la denominación a “Sistema de Cédulas Profesionales“ aunado a ello, se señala en el considerando </w:t>
      </w:r>
      <w:r w:rsidRPr="00664E4F">
        <w:rPr>
          <w:i/>
          <w:color w:val="000000"/>
        </w:rPr>
        <w:t>séptimo</w:t>
      </w:r>
      <w:r w:rsidRPr="00664E4F">
        <w:rPr>
          <w:color w:val="000000"/>
        </w:rPr>
        <w:t xml:space="preserve">, </w:t>
      </w:r>
      <w:r w:rsidRPr="00664E4F">
        <w:rPr>
          <w:i/>
          <w:color w:val="000000"/>
        </w:rPr>
        <w:t>octavo</w:t>
      </w:r>
      <w:r w:rsidRPr="00664E4F">
        <w:rPr>
          <w:color w:val="000000"/>
        </w:rPr>
        <w:t xml:space="preserve"> y</w:t>
      </w:r>
      <w:r w:rsidRPr="00664E4F">
        <w:rPr>
          <w:i/>
          <w:color w:val="000000"/>
        </w:rPr>
        <w:t xml:space="preserve"> noveno</w:t>
      </w:r>
      <w:r w:rsidRPr="00664E4F">
        <w:rPr>
          <w:color w:val="000000"/>
        </w:rPr>
        <w:t>, que dicho sistema almacena de datos personales, específicamente el nombre completo, cédula profesional, domicilio y CURP</w:t>
      </w:r>
      <w:r w:rsidRPr="00664E4F">
        <w:rPr>
          <w:b/>
          <w:color w:val="000000"/>
        </w:rPr>
        <w:t xml:space="preserve">; </w:t>
      </w:r>
      <w:r w:rsidRPr="00664E4F">
        <w:rPr>
          <w:color w:val="000000"/>
        </w:rPr>
        <w:t xml:space="preserve">los cuales deben ser clasificados como información confidencial de conformidad con lo dispuesto en el artículo 143, fracción I de la Ley de Transparencia y Acceso a la Información Pública del Estado de México y Municipios y demás normatividad aplicable. </w:t>
      </w:r>
    </w:p>
    <w:p w:rsidR="00E46210" w:rsidRPr="00664E4F" w:rsidRDefault="00E46210">
      <w:pPr>
        <w:widowControl w:val="0"/>
        <w:spacing w:after="0" w:line="360" w:lineRule="auto"/>
        <w:rPr>
          <w:color w:val="000000"/>
        </w:rPr>
      </w:pPr>
    </w:p>
    <w:p w:rsidR="00E46210" w:rsidRPr="00664E4F" w:rsidRDefault="00F44B13">
      <w:pPr>
        <w:widowControl w:val="0"/>
        <w:tabs>
          <w:tab w:val="left" w:pos="4820"/>
        </w:tabs>
        <w:spacing w:after="0" w:line="360" w:lineRule="auto"/>
      </w:pPr>
      <w:r w:rsidRPr="00664E4F">
        <w:rPr>
          <w:color w:val="000000"/>
        </w:rPr>
        <w:t xml:space="preserve">Así pues, en dicha acta se emitió el acuerdo SE/20/2018/12,  en el que se aprobó por unanimidad el Sistema de Cédulas como un sistema de datos personales del Poder Judicial, en el que se </w:t>
      </w:r>
      <w:r w:rsidRPr="00664E4F">
        <w:rPr>
          <w:color w:val="000000"/>
        </w:rPr>
        <w:lastRenderedPageBreak/>
        <w:t xml:space="preserve">clasificó la información de datos </w:t>
      </w:r>
      <w:r w:rsidRPr="00664E4F">
        <w:t>personales</w:t>
      </w:r>
      <w:r w:rsidRPr="00664E4F">
        <w:rPr>
          <w:color w:val="000000"/>
        </w:rPr>
        <w:t xml:space="preserve"> como información confidencial. En este sentido, cabe señalar que la información en posesión de cualquier autoridad, es pública, sin embargo, es posible una excepción, en la que se actualice algún supuesto de clasificación, </w:t>
      </w:r>
      <w:r w:rsidRPr="00664E4F">
        <w:t>al respecto, la Ley de Transparencia y Acceso a la Información Pública del Estado de México y Municipios en materia de clasificación hay dos supuestos, a saber, los siguientes:</w:t>
      </w:r>
    </w:p>
    <w:p w:rsidR="00E46210" w:rsidRPr="00664E4F" w:rsidRDefault="00E46210">
      <w:pPr>
        <w:spacing w:after="0" w:line="360" w:lineRule="auto"/>
      </w:pPr>
    </w:p>
    <w:p w:rsidR="00E46210" w:rsidRPr="00664E4F" w:rsidRDefault="00F44B13">
      <w:pPr>
        <w:numPr>
          <w:ilvl w:val="0"/>
          <w:numId w:val="1"/>
        </w:numPr>
        <w:pBdr>
          <w:top w:val="nil"/>
          <w:left w:val="nil"/>
          <w:bottom w:val="nil"/>
          <w:right w:val="nil"/>
          <w:between w:val="nil"/>
        </w:pBdr>
        <w:spacing w:after="0" w:line="360" w:lineRule="auto"/>
        <w:rPr>
          <w:color w:val="000000"/>
        </w:rPr>
      </w:pPr>
      <w:r w:rsidRPr="00664E4F">
        <w:rPr>
          <w:b/>
          <w:color w:val="000000"/>
        </w:rPr>
        <w:t>Confidencial</w:t>
      </w:r>
      <w:r w:rsidRPr="00664E4F">
        <w:rPr>
          <w:color w:val="000000"/>
        </w:rPr>
        <w:t>: Se trata de datos personales o de la vida privada de una persona física o jurídico-colectiva y encuentran su sustento legal en el artículo 143 de la Ley de Transparencia y Acceso a la Información Pública del Estado de México y Municipios</w:t>
      </w:r>
    </w:p>
    <w:p w:rsidR="00E46210" w:rsidRPr="00664E4F" w:rsidRDefault="00E46210">
      <w:pPr>
        <w:pBdr>
          <w:top w:val="nil"/>
          <w:left w:val="nil"/>
          <w:bottom w:val="nil"/>
          <w:right w:val="nil"/>
          <w:between w:val="nil"/>
        </w:pBdr>
        <w:spacing w:after="0" w:line="360" w:lineRule="auto"/>
        <w:ind w:left="720"/>
        <w:rPr>
          <w:color w:val="000000"/>
        </w:rPr>
      </w:pPr>
    </w:p>
    <w:p w:rsidR="00E46210" w:rsidRPr="00664E4F" w:rsidRDefault="00F44B13">
      <w:pPr>
        <w:numPr>
          <w:ilvl w:val="0"/>
          <w:numId w:val="1"/>
        </w:numPr>
        <w:pBdr>
          <w:top w:val="nil"/>
          <w:left w:val="nil"/>
          <w:bottom w:val="nil"/>
          <w:right w:val="nil"/>
          <w:between w:val="nil"/>
        </w:pBdr>
        <w:spacing w:after="0" w:line="360" w:lineRule="auto"/>
        <w:rPr>
          <w:color w:val="000000"/>
        </w:rPr>
      </w:pPr>
      <w:r w:rsidRPr="00664E4F">
        <w:rPr>
          <w:b/>
          <w:color w:val="000000"/>
        </w:rPr>
        <w:t>Reservada:</w:t>
      </w:r>
      <w:r w:rsidRPr="00664E4F">
        <w:rPr>
          <w:color w:val="000000"/>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rsidR="00E46210" w:rsidRPr="00664E4F" w:rsidRDefault="00E46210">
      <w:pPr>
        <w:spacing w:after="0" w:line="360" w:lineRule="auto"/>
      </w:pPr>
    </w:p>
    <w:p w:rsidR="00E46210" w:rsidRPr="00664E4F" w:rsidRDefault="00F44B13">
      <w:pPr>
        <w:spacing w:after="0" w:line="360" w:lineRule="auto"/>
      </w:pPr>
      <w:r w:rsidRPr="00664E4F">
        <w:t xml:space="preserve">Así pues, existen dos supuestos para la restricción del acceso a la información; que implica que la información solicitada se trate de datos personales confidenciales o que se actualice algún supuesto de reserva. </w:t>
      </w:r>
      <w:r w:rsidRPr="00664E4F">
        <w:rPr>
          <w:color w:val="000000"/>
        </w:rPr>
        <w:t>En este contexto, se debe tener en consideración que la información solicitada corresponde a datos personales confidenciales de particulares, pues se trata de los registros de cédula profesional de licenciados y licenciadas en derecho que ingresan su información con fines de uso estrictamente en los procesos llevados a cabo por el Sujeto Obligado; además de que, los datos que tiene dicho sistema resultan confidenciales, conforme a las siguientes consideraciones:</w:t>
      </w:r>
    </w:p>
    <w:p w:rsidR="00E46210" w:rsidRPr="00664E4F" w:rsidRDefault="00E46210">
      <w:pPr>
        <w:widowControl w:val="0"/>
        <w:tabs>
          <w:tab w:val="left" w:pos="4820"/>
        </w:tabs>
        <w:spacing w:after="0" w:line="360" w:lineRule="auto"/>
        <w:rPr>
          <w:color w:val="000000"/>
        </w:rPr>
      </w:pPr>
    </w:p>
    <w:p w:rsidR="00E46210" w:rsidRPr="00664E4F" w:rsidRDefault="00F44B13">
      <w:pPr>
        <w:numPr>
          <w:ilvl w:val="0"/>
          <w:numId w:val="5"/>
        </w:numPr>
        <w:pBdr>
          <w:top w:val="nil"/>
          <w:left w:val="nil"/>
          <w:bottom w:val="nil"/>
          <w:right w:val="nil"/>
          <w:between w:val="nil"/>
        </w:pBdr>
        <w:spacing w:after="0" w:line="360" w:lineRule="auto"/>
        <w:rPr>
          <w:b/>
          <w:color w:val="000000"/>
        </w:rPr>
      </w:pPr>
      <w:r w:rsidRPr="00664E4F">
        <w:rPr>
          <w:b/>
          <w:color w:val="000000"/>
        </w:rPr>
        <w:t>Nombres de personas que no son servidoras públicas</w:t>
      </w:r>
    </w:p>
    <w:p w:rsidR="00E46210" w:rsidRPr="00664E4F" w:rsidRDefault="00E46210">
      <w:pPr>
        <w:pBdr>
          <w:top w:val="nil"/>
          <w:left w:val="nil"/>
          <w:bottom w:val="nil"/>
          <w:right w:val="nil"/>
          <w:between w:val="nil"/>
        </w:pBdr>
        <w:spacing w:after="0" w:line="360" w:lineRule="auto"/>
        <w:ind w:left="720"/>
        <w:rPr>
          <w:b/>
          <w:color w:val="000000"/>
        </w:rPr>
      </w:pPr>
    </w:p>
    <w:p w:rsidR="00E46210" w:rsidRPr="00664E4F" w:rsidRDefault="00F44B13">
      <w:pPr>
        <w:spacing w:after="0" w:line="360" w:lineRule="auto"/>
        <w:ind w:right="-93"/>
        <w:rPr>
          <w:b/>
        </w:rPr>
      </w:pPr>
      <w:r w:rsidRPr="00664E4F">
        <w:lastRenderedPageBreak/>
        <w:t xml:space="preserve">Al respecto, se considera que el nombre se integra con el sustantivo propio y el primer apellido de los padres, en el orden que, de común acuerdo determinen; asimismo es la manifestación principal del derecho subjetivo a la personalidad y atributo de ésta en términos del artículo 2.3 del Código Civil del Estado de México, de tal suerte, el nombre </w:t>
      </w:r>
      <w:r w:rsidRPr="00664E4F">
        <w:rPr>
          <w:i/>
        </w:rPr>
        <w:t>per se</w:t>
      </w:r>
      <w:r w:rsidRPr="00664E4F">
        <w:t xml:space="preserve"> es un elemento que hace a una persona física identificada o identificable, por lo que, </w:t>
      </w:r>
      <w:r w:rsidRPr="00664E4F">
        <w:rPr>
          <w:b/>
        </w:rPr>
        <w:t>se considera un dato personal.</w:t>
      </w:r>
    </w:p>
    <w:p w:rsidR="00E46210" w:rsidRPr="00664E4F" w:rsidRDefault="00E46210">
      <w:pPr>
        <w:spacing w:after="0" w:line="360" w:lineRule="auto"/>
      </w:pPr>
    </w:p>
    <w:p w:rsidR="00E46210" w:rsidRPr="00664E4F" w:rsidRDefault="00F44B13">
      <w:pPr>
        <w:spacing w:after="0" w:line="360" w:lineRule="auto"/>
      </w:pPr>
      <w:r w:rsidRPr="00664E4F">
        <w:t>Sobre el tema y en aplicación por homologación, se atrae al estudio el Criterio Relevante 01/18, de la Segunda Época emitido por este Organismo Garante, que establece que el nombre del titular de una licencia, es información confidencial, cuando no involucra aprovechamiento de recursos públicos.</w:t>
      </w:r>
    </w:p>
    <w:p w:rsidR="00E46210" w:rsidRPr="00664E4F" w:rsidRDefault="00E46210">
      <w:pPr>
        <w:spacing w:after="0" w:line="360" w:lineRule="auto"/>
      </w:pPr>
    </w:p>
    <w:p w:rsidR="00E46210" w:rsidRPr="00664E4F" w:rsidRDefault="00F44B13">
      <w:pPr>
        <w:spacing w:after="0" w:line="360" w:lineRule="auto"/>
        <w:ind w:left="567" w:right="567"/>
        <w:rPr>
          <w:i/>
        </w:rPr>
      </w:pPr>
      <w:r w:rsidRPr="00664E4F">
        <w:rPr>
          <w:b/>
          <w:i/>
          <w:sz w:val="20"/>
          <w:szCs w:val="20"/>
        </w:rPr>
        <w:t>“Nombre del titular de una licencia que no involucre el aprovechamiento de bienes, servicios y/o recursos públicos, constituye un dato personal susceptible de clasificar como confidencial.</w:t>
      </w:r>
      <w:r w:rsidRPr="00664E4F">
        <w:rPr>
          <w:i/>
          <w:sz w:val="20"/>
          <w:szCs w:val="20"/>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w:t>
      </w:r>
      <w:r w:rsidRPr="00664E4F">
        <w:rPr>
          <w:i/>
          <w:sz w:val="20"/>
          <w:szCs w:val="20"/>
        </w:rPr>
        <w:lastRenderedPageBreak/>
        <w:t>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rsidR="00E46210" w:rsidRPr="00664E4F" w:rsidRDefault="00E46210">
      <w:pPr>
        <w:spacing w:after="0" w:line="360" w:lineRule="auto"/>
        <w:ind w:right="-93"/>
      </w:pPr>
    </w:p>
    <w:p w:rsidR="00E46210" w:rsidRPr="00664E4F" w:rsidRDefault="00F44B13">
      <w:pPr>
        <w:spacing w:after="0" w:line="360" w:lineRule="auto"/>
      </w:pPr>
      <w:r w:rsidRPr="00664E4F">
        <w:t xml:space="preserve">Con base en lo anterior, el nombre de personas particulares actualiza el supuesto previsto en el artículo 143, fracción I, de la Ley de Transparencia y Acceso a la Información Pública del Estado de México y Municipios, tal y como lo señaló el Sujeto Obligado. </w:t>
      </w:r>
    </w:p>
    <w:p w:rsidR="00E46210" w:rsidRPr="00664E4F" w:rsidRDefault="00E46210">
      <w:pPr>
        <w:spacing w:after="0" w:line="360" w:lineRule="auto"/>
      </w:pPr>
    </w:p>
    <w:p w:rsidR="00E46210" w:rsidRPr="00664E4F" w:rsidRDefault="00F44B13">
      <w:pPr>
        <w:numPr>
          <w:ilvl w:val="0"/>
          <w:numId w:val="4"/>
        </w:numPr>
        <w:pBdr>
          <w:top w:val="nil"/>
          <w:left w:val="nil"/>
          <w:bottom w:val="nil"/>
          <w:right w:val="nil"/>
          <w:between w:val="nil"/>
        </w:pBdr>
        <w:spacing w:after="0" w:line="360" w:lineRule="auto"/>
        <w:rPr>
          <w:color w:val="000000"/>
        </w:rPr>
      </w:pPr>
      <w:r w:rsidRPr="00664E4F">
        <w:rPr>
          <w:b/>
          <w:color w:val="000000"/>
        </w:rPr>
        <w:t xml:space="preserve">Domicilio particular </w:t>
      </w:r>
    </w:p>
    <w:p w:rsidR="00E46210" w:rsidRPr="00664E4F" w:rsidRDefault="00E46210">
      <w:pPr>
        <w:spacing w:after="0" w:line="360" w:lineRule="auto"/>
      </w:pPr>
    </w:p>
    <w:p w:rsidR="00E46210" w:rsidRPr="00664E4F" w:rsidRDefault="00F44B13">
      <w:pPr>
        <w:spacing w:after="0" w:line="360" w:lineRule="auto"/>
      </w:pPr>
      <w:r w:rsidRPr="00664E4F">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rsidR="00E46210" w:rsidRPr="00664E4F" w:rsidRDefault="00E46210">
      <w:pPr>
        <w:spacing w:after="0" w:line="360" w:lineRule="auto"/>
      </w:pPr>
    </w:p>
    <w:p w:rsidR="00E46210" w:rsidRPr="00664E4F" w:rsidRDefault="00F44B13">
      <w:pPr>
        <w:spacing w:after="0" w:line="360" w:lineRule="auto"/>
        <w:rPr>
          <w:b/>
        </w:rPr>
      </w:pPr>
      <w:r w:rsidRPr="00664E4F">
        <w:t>De la misma manera, lo establece el artículo 29 del Código Civil Federal, al precisar que el domicilio de personas físicas</w:t>
      </w:r>
      <w:r w:rsidRPr="00664E4F">
        <w:rPr>
          <w:b/>
        </w:rPr>
        <w:t xml:space="preserve">, es el lugar donde residen habitualmente, el lugar del centro principal de sus negocios, donde residan o el lugar donde se encuentren. </w:t>
      </w:r>
      <w:r w:rsidRPr="00664E4F">
        <w:t>Además, respecto al domicilio particular se presume que corresponde al lugar donde reside habitualmente</w:t>
      </w:r>
      <w:r w:rsidRPr="00664E4F">
        <w:rPr>
          <w:b/>
        </w:rPr>
        <w:t>.</w:t>
      </w:r>
    </w:p>
    <w:p w:rsidR="00E46210" w:rsidRPr="00664E4F" w:rsidRDefault="00E46210">
      <w:pPr>
        <w:spacing w:after="0" w:line="360" w:lineRule="auto"/>
      </w:pPr>
    </w:p>
    <w:p w:rsidR="00E46210" w:rsidRPr="00664E4F" w:rsidRDefault="00F44B13">
      <w:pPr>
        <w:spacing w:after="0" w:line="360" w:lineRule="auto"/>
      </w:pPr>
      <w:r w:rsidRPr="00664E4F">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w:t>
      </w:r>
      <w:r w:rsidRPr="00664E4F">
        <w:lastRenderedPageBreak/>
        <w:t>de conformidad con la fracción I, del artículo 143 de la Ley de Transparencia y Acceso a la Información Pública del Estado de México y Municipios.</w:t>
      </w:r>
    </w:p>
    <w:p w:rsidR="00E46210" w:rsidRPr="00664E4F" w:rsidRDefault="00E46210">
      <w:pPr>
        <w:spacing w:after="0" w:line="360" w:lineRule="auto"/>
      </w:pPr>
    </w:p>
    <w:p w:rsidR="00E46210" w:rsidRPr="00664E4F" w:rsidRDefault="00F44B13">
      <w:pPr>
        <w:numPr>
          <w:ilvl w:val="1"/>
          <w:numId w:val="2"/>
        </w:numPr>
        <w:pBdr>
          <w:top w:val="nil"/>
          <w:left w:val="nil"/>
          <w:bottom w:val="nil"/>
          <w:right w:val="nil"/>
          <w:between w:val="nil"/>
        </w:pBdr>
        <w:spacing w:after="0" w:line="360" w:lineRule="auto"/>
        <w:rPr>
          <w:b/>
          <w:color w:val="000000"/>
        </w:rPr>
      </w:pPr>
      <w:r w:rsidRPr="00664E4F">
        <w:rPr>
          <w:b/>
          <w:color w:val="000000"/>
        </w:rPr>
        <w:t>Cédula profesional de particulares</w:t>
      </w:r>
    </w:p>
    <w:p w:rsidR="00E46210" w:rsidRPr="00664E4F" w:rsidRDefault="00E46210">
      <w:pPr>
        <w:spacing w:after="0" w:line="360" w:lineRule="auto"/>
      </w:pPr>
    </w:p>
    <w:p w:rsidR="00E46210" w:rsidRPr="00664E4F" w:rsidRDefault="00F44B13">
      <w:pPr>
        <w:spacing w:after="0" w:line="360" w:lineRule="auto"/>
      </w:pPr>
      <w:r w:rsidRPr="00664E4F">
        <w:t>Es preciso señalar que, de conformidad con la página oficial de la Secretaría de Educación Pública, (</w:t>
      </w:r>
      <w:hyperlink r:id="rId8">
        <w:r w:rsidRPr="00664E4F">
          <w:rPr>
            <w:color w:val="0563C1"/>
            <w:u w:val="single"/>
          </w:rPr>
          <w:t>https://www.gob.mx/cedulaprofesional?tab=Solicita%20tu%20c%C3%A9dula</w:t>
        </w:r>
      </w:hyperlink>
      <w:r w:rsidRPr="00664E4F">
        <w:t xml:space="preserve">), la cédula profesional es una </w:t>
      </w:r>
      <w:r w:rsidRPr="00664E4F">
        <w:rPr>
          <w:i/>
        </w:rPr>
        <w:t xml:space="preserve">autorización que te permite ejercer profesionalmente, </w:t>
      </w:r>
      <w:r w:rsidRPr="00664E4F">
        <w:t>por tanto, se trata de un documento que es expedido por dicha Secretaría en favor de las personas que acrediten contar con un título profesional que avale sus estudios; así pues, es información relacionada con la vida profesional y académica de las personas.</w:t>
      </w:r>
    </w:p>
    <w:p w:rsidR="00E46210" w:rsidRPr="00664E4F" w:rsidRDefault="00E46210">
      <w:pPr>
        <w:spacing w:after="0" w:line="360" w:lineRule="auto"/>
      </w:pPr>
    </w:p>
    <w:p w:rsidR="00E46210" w:rsidRPr="00664E4F" w:rsidRDefault="00F44B13">
      <w:pPr>
        <w:spacing w:after="0" w:line="360" w:lineRule="auto"/>
      </w:pPr>
      <w:r w:rsidRPr="00664E4F">
        <w:t>En este sentido, si bien dicho documento permite advertir que las personas cuentan con cierto grado académico y con la autorización para ejercer la carrera profesional, y además, existe un Registro Nacional de Profesionistas, en el cual se pueden consultar los registros de cédulas profesionales, lo cierto es, que en el caso que nos ocupa, proporcionar la información implica un daño y afectación en la esfera privada de las personas que registraron su cédula profesional ante el Sujeto Obligado, ya que implica un banco de datos, es decir un conjunto de datos que fueron registrados y resguardados con fines específicos y que concentran una serie de información que vinculada puede causar una afectación en la vida privada de particulares.</w:t>
      </w:r>
    </w:p>
    <w:p w:rsidR="00E46210" w:rsidRPr="00664E4F" w:rsidRDefault="00E46210">
      <w:pPr>
        <w:spacing w:after="0" w:line="360" w:lineRule="auto"/>
      </w:pPr>
    </w:p>
    <w:p w:rsidR="00E46210" w:rsidRPr="00664E4F" w:rsidRDefault="00F44B13">
      <w:pPr>
        <w:spacing w:after="0" w:line="360" w:lineRule="auto"/>
      </w:pPr>
      <w:r w:rsidRPr="00664E4F">
        <w:t xml:space="preserve">Esto es así en virtud de que la información a detalle de cada cédula profesional no es del conocimiento del público en general, pues, incluso, en el Registro Nacional de Profesionistas, el sistema de búsqueda requiere proporcionar el nombre completo de la persona de la que se requiere conocer información de su cédula profesional y no se desprende la información de libro o registro de foja; por tanto, es información que no es de acceso público; en este tenor, dar a conocer un registro que permita vincular la información detallada de las cédulas profesionales </w:t>
      </w:r>
      <w:r w:rsidRPr="00664E4F">
        <w:lastRenderedPageBreak/>
        <w:t>de particulares ajenos al servicio público, causa una afectación en esfera de su vida privada y por ello, se actualizan el supuesto previsto en el artículo 143, fracción I de la Ley de Transparencia y Acceso a la Información Pública del Estado de México y Municipios.</w:t>
      </w:r>
    </w:p>
    <w:p w:rsidR="00E46210" w:rsidRPr="00664E4F" w:rsidRDefault="00E46210">
      <w:pPr>
        <w:spacing w:after="0" w:line="360" w:lineRule="auto"/>
      </w:pPr>
    </w:p>
    <w:p w:rsidR="00E46210" w:rsidRPr="00664E4F" w:rsidRDefault="00F44B13">
      <w:pPr>
        <w:numPr>
          <w:ilvl w:val="1"/>
          <w:numId w:val="2"/>
        </w:numPr>
        <w:pBdr>
          <w:top w:val="nil"/>
          <w:left w:val="nil"/>
          <w:bottom w:val="nil"/>
          <w:right w:val="nil"/>
          <w:between w:val="nil"/>
        </w:pBdr>
        <w:spacing w:after="0" w:line="360" w:lineRule="auto"/>
        <w:rPr>
          <w:b/>
          <w:color w:val="000000"/>
        </w:rPr>
      </w:pPr>
      <w:r w:rsidRPr="00664E4F">
        <w:rPr>
          <w:b/>
          <w:color w:val="000000"/>
        </w:rPr>
        <w:t>Clave Única de Registro de Población (CURP)</w:t>
      </w:r>
    </w:p>
    <w:p w:rsidR="00E46210" w:rsidRPr="00664E4F" w:rsidRDefault="00E46210">
      <w:pPr>
        <w:spacing w:after="0" w:line="360" w:lineRule="auto"/>
      </w:pPr>
    </w:p>
    <w:p w:rsidR="00E46210" w:rsidRPr="00664E4F" w:rsidRDefault="00F44B13">
      <w:pPr>
        <w:spacing w:after="0" w:line="360" w:lineRule="auto"/>
      </w:pPr>
      <w:r w:rsidRPr="00664E4F">
        <w:t>El artículo 36 de la Constitución Política de los Estados Unidos Mexicanos, dispone la obligación de los ciudadanos de inscribirse en el Registro Nacional de Ciudadanos. El artículo 85 de la Ley General de Población, prevé que corresponde a la Secretaría de Gobernación el registro y acreditación de la identidad de todas las personas residentes en el país y de los nacionales que residan en el extranjero.</w:t>
      </w:r>
    </w:p>
    <w:p w:rsidR="00E46210" w:rsidRPr="00664E4F" w:rsidRDefault="00E46210">
      <w:pPr>
        <w:spacing w:after="0" w:line="360" w:lineRule="auto"/>
      </w:pPr>
    </w:p>
    <w:p w:rsidR="00E46210" w:rsidRPr="00664E4F" w:rsidRDefault="00F44B13">
      <w:pPr>
        <w:spacing w:after="0" w:line="360" w:lineRule="auto"/>
      </w:pPr>
      <w:r w:rsidRPr="00664E4F">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E46210" w:rsidRPr="00664E4F" w:rsidRDefault="00E46210">
      <w:pPr>
        <w:spacing w:after="0" w:line="360" w:lineRule="auto"/>
      </w:pPr>
    </w:p>
    <w:p w:rsidR="00E46210" w:rsidRPr="00664E4F" w:rsidRDefault="00F44B13">
      <w:pPr>
        <w:spacing w:after="0" w:line="360" w:lineRule="auto"/>
      </w:pPr>
      <w:r w:rsidRPr="00664E4F">
        <w:t xml:space="preserve">De conformidad con lo precisado por la propia Secretaría de Gobernación en la dirección </w:t>
      </w:r>
      <w:hyperlink r:id="rId9">
        <w:r w:rsidRPr="00664E4F">
          <w:rPr>
            <w:color w:val="0563C1"/>
            <w:u w:val="single"/>
          </w:rPr>
          <w:t>https://consultas.curp.gob.mx/CurpSP/html/informacionecurpPS.html</w:t>
        </w:r>
      </w:hyperlink>
      <w:r w:rsidRPr="00664E4F">
        <w:t>,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E46210" w:rsidRPr="00664E4F" w:rsidRDefault="00E46210">
      <w:pPr>
        <w:spacing w:after="0" w:line="360" w:lineRule="auto"/>
      </w:pPr>
    </w:p>
    <w:p w:rsidR="00E46210" w:rsidRPr="00664E4F" w:rsidRDefault="00F44B13">
      <w:pPr>
        <w:spacing w:after="0" w:line="360" w:lineRule="auto"/>
      </w:pPr>
      <w:r w:rsidRPr="00664E4F">
        <w:t xml:space="preserve"> • El primero y segundo apellidos, así como al nombre de pila.</w:t>
      </w:r>
    </w:p>
    <w:p w:rsidR="00E46210" w:rsidRPr="00664E4F" w:rsidRDefault="00F44B13">
      <w:pPr>
        <w:spacing w:after="0" w:line="360" w:lineRule="auto"/>
      </w:pPr>
      <w:r w:rsidRPr="00664E4F">
        <w:lastRenderedPageBreak/>
        <w:t xml:space="preserve"> • La fecha de nacimiento.</w:t>
      </w:r>
    </w:p>
    <w:p w:rsidR="00E46210" w:rsidRPr="00664E4F" w:rsidRDefault="00F44B13">
      <w:pPr>
        <w:spacing w:after="0" w:line="360" w:lineRule="auto"/>
      </w:pPr>
      <w:r w:rsidRPr="00664E4F">
        <w:t xml:space="preserve"> • El sexo.</w:t>
      </w:r>
    </w:p>
    <w:p w:rsidR="00E46210" w:rsidRPr="00664E4F" w:rsidRDefault="00F44B13">
      <w:pPr>
        <w:spacing w:after="0" w:line="360" w:lineRule="auto"/>
      </w:pPr>
      <w:r w:rsidRPr="00664E4F">
        <w:t xml:space="preserve"> • La entidad federativa de nacimiento.</w:t>
      </w:r>
    </w:p>
    <w:p w:rsidR="00E46210" w:rsidRPr="00664E4F" w:rsidRDefault="00E46210">
      <w:pPr>
        <w:spacing w:after="0" w:line="360" w:lineRule="auto"/>
      </w:pPr>
    </w:p>
    <w:p w:rsidR="00E46210" w:rsidRPr="00664E4F" w:rsidRDefault="00F44B13">
      <w:pPr>
        <w:spacing w:after="0" w:line="360" w:lineRule="auto"/>
      </w:pPr>
      <w:r w:rsidRPr="00664E4F">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además se trata de un trámite administrativo requerido por la autoridad federal para hacer identificables a las personas.</w:t>
      </w:r>
    </w:p>
    <w:p w:rsidR="00E46210" w:rsidRPr="00664E4F" w:rsidRDefault="00E46210">
      <w:pPr>
        <w:spacing w:after="0" w:line="360" w:lineRule="auto"/>
      </w:pPr>
    </w:p>
    <w:p w:rsidR="00E46210" w:rsidRPr="00664E4F" w:rsidRDefault="00F44B13">
      <w:pPr>
        <w:spacing w:after="0" w:line="360" w:lineRule="auto"/>
      </w:pPr>
      <w:r w:rsidRPr="00664E4F">
        <w:t>Resulta aplicable en la especie, como argumento orientador, el Criterio 3/10, emitido por el Instituto Nacional de Transparencia, Acceso a la Información y Protección de Datos Personales.</w:t>
      </w:r>
    </w:p>
    <w:p w:rsidR="00E46210" w:rsidRPr="00664E4F" w:rsidRDefault="00E46210">
      <w:pPr>
        <w:spacing w:after="0" w:line="360" w:lineRule="auto"/>
      </w:pPr>
    </w:p>
    <w:p w:rsidR="00E46210" w:rsidRPr="00664E4F" w:rsidRDefault="00F44B13">
      <w:pPr>
        <w:spacing w:after="0" w:line="360" w:lineRule="auto"/>
        <w:ind w:left="567" w:right="709"/>
        <w:rPr>
          <w:i/>
          <w:sz w:val="20"/>
          <w:szCs w:val="20"/>
        </w:rPr>
      </w:pPr>
      <w:r w:rsidRPr="00664E4F">
        <w:rPr>
          <w:i/>
          <w:sz w:val="20"/>
          <w:szCs w:val="20"/>
        </w:rPr>
        <w:t>“Clave Única de Registro de Población (CURP) es un dato personal confidencial. 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proofErr w:type="gramStart"/>
      <w:r w:rsidRPr="00664E4F">
        <w:rPr>
          <w:i/>
          <w:sz w:val="20"/>
          <w:szCs w:val="20"/>
        </w:rPr>
        <w:t>.“</w:t>
      </w:r>
      <w:proofErr w:type="gramEnd"/>
    </w:p>
    <w:p w:rsidR="00E46210" w:rsidRPr="00664E4F" w:rsidRDefault="00E46210">
      <w:pPr>
        <w:spacing w:after="0" w:line="360" w:lineRule="auto"/>
      </w:pPr>
    </w:p>
    <w:p w:rsidR="00E46210" w:rsidRPr="00664E4F" w:rsidRDefault="00F44B13">
      <w:pPr>
        <w:spacing w:after="0" w:line="360" w:lineRule="auto"/>
      </w:pPr>
      <w:r w:rsidRPr="00664E4F">
        <w:t xml:space="preserve">De acuerdo con lo anterior, la CURP es un dato que debe clasificarse, por tratarse de un dato personal confidencial, en términos del artículo 143, fracción I de la Ley de Transparencia y Acceso a la Información Pública del Estado de México y Municipios. </w:t>
      </w:r>
    </w:p>
    <w:p w:rsidR="00E46210" w:rsidRPr="00664E4F" w:rsidRDefault="00E46210">
      <w:pPr>
        <w:spacing w:after="0" w:line="360" w:lineRule="auto"/>
      </w:pPr>
    </w:p>
    <w:p w:rsidR="00E46210" w:rsidRPr="00664E4F" w:rsidRDefault="00F44B13">
      <w:pPr>
        <w:spacing w:after="0" w:line="360" w:lineRule="auto"/>
      </w:pPr>
      <w:r w:rsidRPr="00664E4F">
        <w:lastRenderedPageBreak/>
        <w:t xml:space="preserve">En atención a las consideraciones anteriores, se advierte que la información recolectada en el registro o Sistema de Cédulas Profesionales y que fue solicitada por la persona Particular, corresponden a datos personales confidenciales de personas ajenas al servicio público, los cuales, fueron clasificados a través del acuerdo emitido por el Comité de Transparencia del Sujeto Obligado, conforme con lo dispuesto en la Ley de Transparencia y Acceso a la Información Pública del Estado de México y Municipios; por tanto, es procedente tener por infundados los motivos de agravio y </w:t>
      </w:r>
      <w:r w:rsidRPr="00664E4F">
        <w:rPr>
          <w:b/>
        </w:rPr>
        <w:t xml:space="preserve">CONFIRMAR </w:t>
      </w:r>
      <w:r w:rsidRPr="00664E4F">
        <w:t xml:space="preserve">la respuesta del Sujeto Obligado. </w:t>
      </w:r>
    </w:p>
    <w:p w:rsidR="00E46210" w:rsidRPr="00664E4F" w:rsidRDefault="00E46210">
      <w:pPr>
        <w:tabs>
          <w:tab w:val="left" w:pos="4962"/>
        </w:tabs>
        <w:spacing w:after="0" w:line="360" w:lineRule="auto"/>
        <w:rPr>
          <w:b/>
        </w:rPr>
      </w:pPr>
    </w:p>
    <w:p w:rsidR="00E46210" w:rsidRPr="00664E4F" w:rsidRDefault="00F44B13">
      <w:pPr>
        <w:pStyle w:val="Ttulo2"/>
        <w:spacing w:before="0" w:after="0"/>
        <w:rPr>
          <w:b w:val="0"/>
        </w:rPr>
      </w:pPr>
      <w:bookmarkStart w:id="13" w:name="_heading=h.26in1rg" w:colFirst="0" w:colLast="0"/>
      <w:bookmarkEnd w:id="13"/>
      <w:r w:rsidRPr="00664E4F">
        <w:t>SEXTO. Decisión</w:t>
      </w:r>
    </w:p>
    <w:p w:rsidR="00E46210" w:rsidRPr="00664E4F" w:rsidRDefault="00E46210">
      <w:pPr>
        <w:tabs>
          <w:tab w:val="left" w:pos="4962"/>
        </w:tabs>
        <w:spacing w:after="0" w:line="360" w:lineRule="auto"/>
        <w:rPr>
          <w:b/>
        </w:rPr>
      </w:pPr>
    </w:p>
    <w:p w:rsidR="00E46210" w:rsidRPr="00664E4F" w:rsidRDefault="00F44B13">
      <w:pPr>
        <w:tabs>
          <w:tab w:val="left" w:pos="4962"/>
        </w:tabs>
        <w:spacing w:after="0" w:line="360" w:lineRule="auto"/>
      </w:pPr>
      <w:r w:rsidRPr="00664E4F">
        <w:t xml:space="preserve">Con fundamento en el artículo 186, fracción II, de la Ley de Transparencia y Acceso a la Información Pública del Estado de México y Municipios, este Instituto considera procedente </w:t>
      </w:r>
      <w:r w:rsidRPr="00664E4F">
        <w:rPr>
          <w:b/>
        </w:rPr>
        <w:t xml:space="preserve">CONFIRMAR </w:t>
      </w:r>
      <w:r w:rsidRPr="00664E4F">
        <w:t xml:space="preserve">la respuesta otorgada por el Sujeto Obligado. </w:t>
      </w:r>
    </w:p>
    <w:p w:rsidR="00E46210" w:rsidRPr="00664E4F" w:rsidRDefault="00E46210">
      <w:pPr>
        <w:tabs>
          <w:tab w:val="left" w:pos="4962"/>
        </w:tabs>
        <w:spacing w:after="0" w:line="360" w:lineRule="auto"/>
      </w:pPr>
    </w:p>
    <w:p w:rsidR="00E46210" w:rsidRPr="00664E4F" w:rsidRDefault="00F44B13">
      <w:pPr>
        <w:tabs>
          <w:tab w:val="left" w:pos="4962"/>
        </w:tabs>
        <w:spacing w:after="0" w:line="360" w:lineRule="auto"/>
        <w:rPr>
          <w:b/>
        </w:rPr>
      </w:pPr>
      <w:r w:rsidRPr="00664E4F">
        <w:rPr>
          <w:b/>
        </w:rPr>
        <w:t>Términos de la Resolución para conocimiento de la persona Particular</w:t>
      </w:r>
    </w:p>
    <w:p w:rsidR="00E46210" w:rsidRPr="00664E4F" w:rsidRDefault="00E46210">
      <w:pPr>
        <w:tabs>
          <w:tab w:val="left" w:pos="4962"/>
        </w:tabs>
        <w:spacing w:after="0" w:line="360" w:lineRule="auto"/>
      </w:pPr>
    </w:p>
    <w:p w:rsidR="00E46210" w:rsidRPr="00664E4F" w:rsidRDefault="00F44B13">
      <w:pPr>
        <w:tabs>
          <w:tab w:val="left" w:pos="4962"/>
        </w:tabs>
        <w:spacing w:after="0" w:line="360" w:lineRule="auto"/>
        <w:rPr>
          <w:u w:val="single"/>
        </w:rPr>
      </w:pPr>
      <w:r w:rsidRPr="00664E4F">
        <w:rPr>
          <w:u w:val="single"/>
        </w:rPr>
        <w:t xml:space="preserve">Se le hace del conocimiento a la persona Particular, que, en el presente caso, se confirmó la respuesta del Sujeto Obligado, ya que la información solicitada corresponde a datos personales confidenciales, tal y como se señaló en el acuerdo entregado en respuesta por el Poder Judicial. </w:t>
      </w:r>
    </w:p>
    <w:p w:rsidR="00E46210" w:rsidRPr="00664E4F" w:rsidRDefault="00E46210">
      <w:pPr>
        <w:tabs>
          <w:tab w:val="left" w:pos="4962"/>
        </w:tabs>
        <w:spacing w:after="0" w:line="360" w:lineRule="auto"/>
        <w:rPr>
          <w:u w:val="single"/>
        </w:rPr>
      </w:pPr>
    </w:p>
    <w:p w:rsidR="00E46210" w:rsidRPr="00664E4F" w:rsidRDefault="00F44B13">
      <w:pPr>
        <w:tabs>
          <w:tab w:val="left" w:pos="4962"/>
        </w:tabs>
        <w:spacing w:after="0" w:line="360" w:lineRule="auto"/>
        <w:rPr>
          <w:u w:val="single"/>
        </w:rPr>
      </w:pPr>
      <w:r w:rsidRPr="00664E4F">
        <w:rPr>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E46210" w:rsidRPr="00664E4F" w:rsidRDefault="00E46210">
      <w:pPr>
        <w:tabs>
          <w:tab w:val="left" w:pos="4962"/>
        </w:tabs>
        <w:spacing w:after="0" w:line="360" w:lineRule="auto"/>
      </w:pPr>
    </w:p>
    <w:p w:rsidR="00E46210" w:rsidRPr="00664E4F" w:rsidRDefault="00F44B13">
      <w:pPr>
        <w:tabs>
          <w:tab w:val="left" w:pos="4962"/>
        </w:tabs>
        <w:spacing w:after="0" w:line="360" w:lineRule="auto"/>
      </w:pPr>
      <w:r w:rsidRPr="00664E4F">
        <w:t>Por lo expuesto y fundado, este Pleno:</w:t>
      </w:r>
    </w:p>
    <w:p w:rsidR="00E46210" w:rsidRPr="00664E4F" w:rsidRDefault="00E46210">
      <w:pPr>
        <w:tabs>
          <w:tab w:val="left" w:pos="4962"/>
        </w:tabs>
        <w:spacing w:after="0" w:line="360" w:lineRule="auto"/>
      </w:pPr>
    </w:p>
    <w:p w:rsidR="00E46210" w:rsidRPr="00664E4F" w:rsidRDefault="00E46210">
      <w:pPr>
        <w:pStyle w:val="Ttulo1"/>
        <w:spacing w:before="0" w:after="0"/>
        <w:rPr>
          <w:sz w:val="22"/>
          <w:szCs w:val="22"/>
        </w:rPr>
      </w:pPr>
      <w:bookmarkStart w:id="14" w:name="_heading=h.lnxbz9" w:colFirst="0" w:colLast="0"/>
      <w:bookmarkEnd w:id="14"/>
    </w:p>
    <w:p w:rsidR="00E46210" w:rsidRPr="00664E4F" w:rsidRDefault="00F44B13">
      <w:pPr>
        <w:pStyle w:val="Ttulo1"/>
        <w:spacing w:before="0" w:after="0"/>
        <w:rPr>
          <w:b w:val="0"/>
          <w:sz w:val="22"/>
          <w:szCs w:val="22"/>
        </w:rPr>
      </w:pPr>
      <w:r w:rsidRPr="00664E4F">
        <w:rPr>
          <w:sz w:val="22"/>
          <w:szCs w:val="22"/>
        </w:rPr>
        <w:t>R E S U E L V E</w:t>
      </w:r>
    </w:p>
    <w:p w:rsidR="00E46210" w:rsidRPr="00664E4F" w:rsidRDefault="00E46210">
      <w:pPr>
        <w:tabs>
          <w:tab w:val="left" w:pos="4962"/>
        </w:tabs>
        <w:spacing w:after="0" w:line="360" w:lineRule="auto"/>
        <w:rPr>
          <w:b/>
        </w:rPr>
      </w:pPr>
    </w:p>
    <w:p w:rsidR="00E46210" w:rsidRPr="00664E4F" w:rsidRDefault="00F44B13">
      <w:pPr>
        <w:tabs>
          <w:tab w:val="left" w:pos="4962"/>
        </w:tabs>
        <w:spacing w:after="0" w:line="360" w:lineRule="auto"/>
      </w:pPr>
      <w:r w:rsidRPr="00664E4F">
        <w:rPr>
          <w:b/>
        </w:rPr>
        <w:t>PRIMERO.</w:t>
      </w:r>
      <w:r w:rsidRPr="00664E4F">
        <w:t xml:space="preserve"> Se </w:t>
      </w:r>
      <w:r w:rsidRPr="00664E4F">
        <w:rPr>
          <w:b/>
        </w:rPr>
        <w:t xml:space="preserve">CONFIRMA </w:t>
      </w:r>
      <w:r w:rsidRPr="00664E4F">
        <w:t>la respuesta entregada por el Sujeto Obligado a la solicitud de acceso a la información con número de folio</w:t>
      </w:r>
      <w:r w:rsidRPr="00664E4F">
        <w:rPr>
          <w:b/>
        </w:rPr>
        <w:t> 00690/PJUDICI/IP/2024</w:t>
      </w:r>
      <w:r w:rsidRPr="00664E4F">
        <w:t xml:space="preserve">, por resultar </w:t>
      </w:r>
      <w:r w:rsidRPr="00664E4F">
        <w:rPr>
          <w:b/>
        </w:rPr>
        <w:t>INFUNDADAS</w:t>
      </w:r>
      <w:r w:rsidRPr="00664E4F">
        <w:t xml:space="preserve"> las razones o motivos de inconformidad hechas valer por la persona Recurrente, en términos de los Considerandos QUINTO y SEXTO de esta Resolución.</w:t>
      </w:r>
    </w:p>
    <w:p w:rsidR="00E46210" w:rsidRPr="00664E4F" w:rsidRDefault="00E46210">
      <w:pPr>
        <w:tabs>
          <w:tab w:val="left" w:pos="4962"/>
        </w:tabs>
        <w:spacing w:after="0" w:line="360" w:lineRule="auto"/>
        <w:rPr>
          <w:b/>
        </w:rPr>
      </w:pPr>
    </w:p>
    <w:p w:rsidR="00E46210" w:rsidRPr="00664E4F" w:rsidRDefault="00F44B13">
      <w:pPr>
        <w:tabs>
          <w:tab w:val="left" w:pos="4962"/>
        </w:tabs>
        <w:spacing w:after="0" w:line="360" w:lineRule="auto"/>
        <w:rPr>
          <w:b/>
        </w:rPr>
      </w:pPr>
      <w:r w:rsidRPr="00664E4F">
        <w:rPr>
          <w:b/>
        </w:rPr>
        <w:t xml:space="preserve">SEGUNDO. NOTIFÍQUESE POR SAIMEX </w:t>
      </w:r>
      <w:r w:rsidRPr="00664E4F">
        <w:t>la presente Resolución, al Titular de la Unidad de Transparencia del Sujeto Obligado.</w:t>
      </w:r>
    </w:p>
    <w:p w:rsidR="00E46210" w:rsidRPr="00664E4F" w:rsidRDefault="00E46210">
      <w:pPr>
        <w:tabs>
          <w:tab w:val="left" w:pos="4962"/>
        </w:tabs>
        <w:spacing w:after="0" w:line="360" w:lineRule="auto"/>
        <w:rPr>
          <w:b/>
          <w:i/>
        </w:rPr>
      </w:pPr>
    </w:p>
    <w:p w:rsidR="00E46210" w:rsidRPr="00664E4F" w:rsidRDefault="00F44B13">
      <w:pPr>
        <w:tabs>
          <w:tab w:val="left" w:pos="4962"/>
        </w:tabs>
        <w:spacing w:after="0" w:line="360" w:lineRule="auto"/>
      </w:pPr>
      <w:r w:rsidRPr="00664E4F">
        <w:rPr>
          <w:b/>
        </w:rPr>
        <w:t xml:space="preserve">TERCERO. NOTIFÍQUESE POR SAIMEX Y POR CORREO ELECTRÓNICO </w:t>
      </w:r>
      <w:r w:rsidRPr="00664E4F">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en su caso, interponer recurso de inconformidad ante el INAI, de conformidad con el artículo 159 y 160, fracción I, de la Ley General de Transparencia y Acceso a la Información Pública.</w:t>
      </w:r>
    </w:p>
    <w:p w:rsidR="00E46210" w:rsidRPr="00664E4F" w:rsidRDefault="00E46210">
      <w:pPr>
        <w:tabs>
          <w:tab w:val="left" w:pos="4962"/>
        </w:tabs>
        <w:spacing w:after="0" w:line="360" w:lineRule="auto"/>
      </w:pPr>
    </w:p>
    <w:p w:rsidR="00E46210" w:rsidRDefault="00F44B13">
      <w:pPr>
        <w:tabs>
          <w:tab w:val="left" w:pos="4962"/>
        </w:tabs>
        <w:spacing w:after="0" w:line="360" w:lineRule="auto"/>
      </w:pPr>
      <w:r w:rsidRPr="00664E4F">
        <w:t xml:space="preserve">ASÍ LO RESUELVE, POR </w:t>
      </w:r>
      <w:r w:rsidRPr="00664E4F">
        <w:rPr>
          <w:b/>
        </w:rPr>
        <w:t>UNANIMIDAD</w:t>
      </w:r>
      <w:r w:rsidRPr="00664E4F">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p w:rsidR="00E46210" w:rsidRDefault="00E46210">
      <w:pPr>
        <w:widowControl w:val="0"/>
        <w:spacing w:after="0" w:line="360" w:lineRule="auto"/>
        <w:rPr>
          <w:b/>
        </w:rPr>
      </w:pPr>
    </w:p>
    <w:sectPr w:rsidR="00E46210">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CD2" w:rsidRDefault="002B3CD2">
      <w:pPr>
        <w:spacing w:after="0" w:line="240" w:lineRule="auto"/>
      </w:pPr>
      <w:r>
        <w:separator/>
      </w:r>
    </w:p>
  </w:endnote>
  <w:endnote w:type="continuationSeparator" w:id="0">
    <w:p w:rsidR="002B3CD2" w:rsidRDefault="002B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10" w:rsidRDefault="00F44B1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975AB0">
      <w:rPr>
        <w:b/>
        <w:color w:val="000000"/>
        <w:sz w:val="24"/>
        <w:szCs w:val="24"/>
      </w:rPr>
      <w:fldChar w:fldCharType="separate"/>
    </w:r>
    <w:r w:rsidR="00975AB0">
      <w:rPr>
        <w:b/>
        <w:noProof/>
        <w:color w:val="000000"/>
        <w:sz w:val="24"/>
        <w:szCs w:val="24"/>
      </w:rPr>
      <w:t>21</w:t>
    </w:r>
    <w:r>
      <w:rPr>
        <w:b/>
        <w:color w:val="000000"/>
        <w:sz w:val="24"/>
        <w:szCs w:val="24"/>
      </w:rPr>
      <w:fldChar w:fldCharType="end"/>
    </w:r>
  </w:p>
  <w:p w:rsidR="00E46210" w:rsidRDefault="00E4621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10" w:rsidRDefault="00F44B1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75AB0">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75AB0">
      <w:rPr>
        <w:b/>
        <w:noProof/>
        <w:color w:val="000000"/>
        <w:sz w:val="24"/>
        <w:szCs w:val="24"/>
      </w:rPr>
      <w:t>21</w:t>
    </w:r>
    <w:r>
      <w:rPr>
        <w:b/>
        <w:color w:val="000000"/>
        <w:sz w:val="24"/>
        <w:szCs w:val="24"/>
      </w:rPr>
      <w:fldChar w:fldCharType="end"/>
    </w:r>
  </w:p>
  <w:p w:rsidR="00E46210" w:rsidRDefault="00E4621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10" w:rsidRDefault="00F44B1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75AB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75AB0">
      <w:rPr>
        <w:b/>
        <w:noProof/>
        <w:color w:val="000000"/>
        <w:sz w:val="24"/>
        <w:szCs w:val="24"/>
      </w:rPr>
      <w:t>21</w:t>
    </w:r>
    <w:r>
      <w:rPr>
        <w:b/>
        <w:color w:val="000000"/>
        <w:sz w:val="24"/>
        <w:szCs w:val="24"/>
      </w:rPr>
      <w:fldChar w:fldCharType="end"/>
    </w:r>
  </w:p>
  <w:p w:rsidR="00E46210" w:rsidRDefault="00E4621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CD2" w:rsidRDefault="002B3CD2">
      <w:pPr>
        <w:spacing w:after="0" w:line="240" w:lineRule="auto"/>
      </w:pPr>
      <w:r>
        <w:separator/>
      </w:r>
    </w:p>
  </w:footnote>
  <w:footnote w:type="continuationSeparator" w:id="0">
    <w:p w:rsidR="002B3CD2" w:rsidRDefault="002B3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10" w:rsidRDefault="00E46210">
    <w:pPr>
      <w:widowControl w:val="0"/>
      <w:pBdr>
        <w:top w:val="nil"/>
        <w:left w:val="nil"/>
        <w:bottom w:val="nil"/>
        <w:right w:val="nil"/>
        <w:between w:val="nil"/>
      </w:pBdr>
      <w:spacing w:after="0" w:line="276" w:lineRule="auto"/>
      <w:jc w:val="left"/>
      <w:rPr>
        <w:color w:val="000000"/>
      </w:rPr>
    </w:pPr>
  </w:p>
  <w:tbl>
    <w:tblPr>
      <w:tblStyle w:val="a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E46210">
      <w:trPr>
        <w:trHeight w:val="141"/>
      </w:trPr>
      <w:tc>
        <w:tcPr>
          <w:tcW w:w="0" w:type="auto"/>
        </w:tcPr>
        <w:p w:rsidR="00E46210" w:rsidRDefault="00F44B13">
          <w:pPr>
            <w:tabs>
              <w:tab w:val="right" w:pos="8838"/>
            </w:tabs>
            <w:ind w:right="-105"/>
            <w:rPr>
              <w:b/>
            </w:rPr>
          </w:pPr>
          <w:r>
            <w:rPr>
              <w:b/>
            </w:rPr>
            <w:t>Recurso de Revisión:</w:t>
          </w:r>
        </w:p>
      </w:tc>
      <w:tc>
        <w:tcPr>
          <w:tcW w:w="0" w:type="auto"/>
        </w:tcPr>
        <w:p w:rsidR="00E46210" w:rsidRDefault="00F44B13">
          <w:pPr>
            <w:tabs>
              <w:tab w:val="right" w:pos="8838"/>
            </w:tabs>
            <w:ind w:left="-28" w:right="683"/>
          </w:pPr>
          <w:r>
            <w:t>04196/INFOEM/IP/RR/2020</w:t>
          </w:r>
        </w:p>
      </w:tc>
    </w:tr>
    <w:tr w:rsidR="00E46210">
      <w:trPr>
        <w:trHeight w:val="276"/>
      </w:trPr>
      <w:tc>
        <w:tcPr>
          <w:tcW w:w="0" w:type="auto"/>
        </w:tcPr>
        <w:p w:rsidR="00E46210" w:rsidRDefault="00F44B13">
          <w:pPr>
            <w:tabs>
              <w:tab w:val="right" w:pos="8838"/>
            </w:tabs>
            <w:ind w:right="-105"/>
            <w:rPr>
              <w:b/>
            </w:rPr>
          </w:pPr>
          <w:r>
            <w:rPr>
              <w:b/>
            </w:rPr>
            <w:t>Sujeto Obligado:</w:t>
          </w:r>
        </w:p>
      </w:tc>
      <w:tc>
        <w:tcPr>
          <w:tcW w:w="0" w:type="auto"/>
        </w:tcPr>
        <w:p w:rsidR="00E46210" w:rsidRDefault="00F44B13">
          <w:pPr>
            <w:tabs>
              <w:tab w:val="right" w:pos="8838"/>
            </w:tabs>
            <w:ind w:right="116"/>
          </w:pPr>
          <w:r>
            <w:t>Ayuntamiento de Chapultepec</w:t>
          </w:r>
        </w:p>
      </w:tc>
    </w:tr>
    <w:tr w:rsidR="00E46210">
      <w:trPr>
        <w:trHeight w:val="276"/>
      </w:trPr>
      <w:tc>
        <w:tcPr>
          <w:tcW w:w="0" w:type="auto"/>
        </w:tcPr>
        <w:p w:rsidR="00E46210" w:rsidRDefault="00F44B13">
          <w:pPr>
            <w:tabs>
              <w:tab w:val="right" w:pos="8838"/>
            </w:tabs>
            <w:ind w:right="-105"/>
            <w:rPr>
              <w:b/>
            </w:rPr>
          </w:pPr>
          <w:r>
            <w:rPr>
              <w:b/>
            </w:rPr>
            <w:t>Comisionado Ponente:</w:t>
          </w:r>
        </w:p>
      </w:tc>
      <w:tc>
        <w:tcPr>
          <w:tcW w:w="0" w:type="auto"/>
        </w:tcPr>
        <w:p w:rsidR="00E46210" w:rsidRDefault="00F44B13">
          <w:pPr>
            <w:tabs>
              <w:tab w:val="right" w:pos="8838"/>
            </w:tabs>
            <w:ind w:right="-32"/>
          </w:pPr>
          <w:r>
            <w:t>Luis Gustavo Parra Noriega</w:t>
          </w:r>
        </w:p>
      </w:tc>
    </w:tr>
  </w:tbl>
  <w:p w:rsidR="00E46210" w:rsidRDefault="002B3CD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10" w:rsidRDefault="00E46210">
    <w:pPr>
      <w:rPr>
        <w:sz w:val="16"/>
        <w:szCs w:val="16"/>
      </w:rPr>
    </w:pPr>
  </w:p>
  <w:tbl>
    <w:tblPr>
      <w:tblStyle w:val="a8"/>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E46210">
      <w:trPr>
        <w:trHeight w:val="141"/>
      </w:trPr>
      <w:tc>
        <w:tcPr>
          <w:tcW w:w="2404" w:type="dxa"/>
        </w:tcPr>
        <w:p w:rsidR="00E46210" w:rsidRDefault="00F44B13">
          <w:pPr>
            <w:tabs>
              <w:tab w:val="right" w:pos="8838"/>
            </w:tabs>
            <w:ind w:left="-395" w:right="-105" w:firstLine="395"/>
            <w:rPr>
              <w:b/>
            </w:rPr>
          </w:pPr>
          <w:r>
            <w:rPr>
              <w:b/>
            </w:rPr>
            <w:t>Recurso de Revisión:</w:t>
          </w:r>
        </w:p>
      </w:tc>
      <w:tc>
        <w:tcPr>
          <w:tcW w:w="4684" w:type="dxa"/>
        </w:tcPr>
        <w:p w:rsidR="00E46210" w:rsidRDefault="00F44B13">
          <w:pPr>
            <w:tabs>
              <w:tab w:val="right" w:pos="8838"/>
            </w:tabs>
            <w:ind w:left="-28" w:right="454"/>
            <w:rPr>
              <w:b/>
            </w:rPr>
          </w:pPr>
          <w:r>
            <w:rPr>
              <w:b/>
            </w:rPr>
            <w:t>05576/INFOEM/IP/RR/2024</w:t>
          </w:r>
        </w:p>
      </w:tc>
    </w:tr>
    <w:tr w:rsidR="00E46210">
      <w:trPr>
        <w:trHeight w:val="276"/>
      </w:trPr>
      <w:tc>
        <w:tcPr>
          <w:tcW w:w="2404" w:type="dxa"/>
        </w:tcPr>
        <w:p w:rsidR="00E46210" w:rsidRDefault="00F44B13">
          <w:pPr>
            <w:tabs>
              <w:tab w:val="right" w:pos="8838"/>
            </w:tabs>
            <w:ind w:right="-105"/>
            <w:rPr>
              <w:b/>
            </w:rPr>
          </w:pPr>
          <w:r>
            <w:rPr>
              <w:b/>
            </w:rPr>
            <w:t>Sujeto Obligado:</w:t>
          </w:r>
        </w:p>
      </w:tc>
      <w:tc>
        <w:tcPr>
          <w:tcW w:w="4684" w:type="dxa"/>
        </w:tcPr>
        <w:p w:rsidR="00E46210" w:rsidRDefault="00F44B13">
          <w:pPr>
            <w:tabs>
              <w:tab w:val="left" w:pos="3158"/>
              <w:tab w:val="left" w:pos="4292"/>
              <w:tab w:val="right" w:pos="8838"/>
            </w:tabs>
            <w:ind w:right="601"/>
          </w:pPr>
          <w:r>
            <w:t>Poder Judicial</w:t>
          </w:r>
        </w:p>
      </w:tc>
    </w:tr>
    <w:tr w:rsidR="00E46210">
      <w:trPr>
        <w:trHeight w:val="276"/>
      </w:trPr>
      <w:tc>
        <w:tcPr>
          <w:tcW w:w="2404" w:type="dxa"/>
        </w:tcPr>
        <w:p w:rsidR="00E46210" w:rsidRDefault="00F44B13">
          <w:pPr>
            <w:tabs>
              <w:tab w:val="right" w:pos="8838"/>
            </w:tabs>
            <w:ind w:right="-105"/>
            <w:rPr>
              <w:b/>
            </w:rPr>
          </w:pPr>
          <w:r>
            <w:rPr>
              <w:b/>
            </w:rPr>
            <w:t>Comisionado Ponente:</w:t>
          </w:r>
        </w:p>
      </w:tc>
      <w:tc>
        <w:tcPr>
          <w:tcW w:w="4684" w:type="dxa"/>
        </w:tcPr>
        <w:p w:rsidR="00E46210" w:rsidRDefault="00F44B13">
          <w:pPr>
            <w:tabs>
              <w:tab w:val="right" w:pos="8838"/>
            </w:tabs>
            <w:ind w:right="454"/>
          </w:pPr>
          <w:r>
            <w:t>Luis Gustavo Parra Noriega</w:t>
          </w:r>
        </w:p>
      </w:tc>
    </w:tr>
  </w:tbl>
  <w:p w:rsidR="00E46210" w:rsidRDefault="002B3CD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10" w:rsidRDefault="00E46210">
    <w:pPr>
      <w:widowControl w:val="0"/>
      <w:pBdr>
        <w:top w:val="nil"/>
        <w:left w:val="nil"/>
        <w:bottom w:val="nil"/>
        <w:right w:val="nil"/>
        <w:between w:val="nil"/>
      </w:pBdr>
      <w:spacing w:after="0" w:line="276" w:lineRule="auto"/>
      <w:jc w:val="left"/>
      <w:rPr>
        <w:color w:val="000000"/>
      </w:rPr>
    </w:pPr>
  </w:p>
  <w:tbl>
    <w:tblPr>
      <w:tblStyle w:val="a9"/>
      <w:tblW w:w="9214" w:type="dxa"/>
      <w:tblInd w:w="0" w:type="dxa"/>
      <w:tblLayout w:type="fixed"/>
      <w:tblLook w:val="0400" w:firstRow="0" w:lastRow="0" w:firstColumn="0" w:lastColumn="0" w:noHBand="0" w:noVBand="1"/>
    </w:tblPr>
    <w:tblGrid>
      <w:gridCol w:w="2127"/>
      <w:gridCol w:w="7087"/>
    </w:tblGrid>
    <w:tr w:rsidR="00E46210">
      <w:trPr>
        <w:trHeight w:val="1546"/>
      </w:trPr>
      <w:tc>
        <w:tcPr>
          <w:tcW w:w="2127" w:type="dxa"/>
          <w:shd w:val="clear" w:color="auto" w:fill="auto"/>
        </w:tcPr>
        <w:p w:rsidR="00E46210" w:rsidRDefault="00E46210">
          <w:pPr>
            <w:tabs>
              <w:tab w:val="right" w:pos="4273"/>
            </w:tabs>
            <w:rPr>
              <w:rFonts w:ascii="Garamond" w:eastAsia="Garamond" w:hAnsi="Garamond" w:cs="Garamond"/>
              <w:sz w:val="16"/>
              <w:szCs w:val="16"/>
            </w:rPr>
          </w:pPr>
        </w:p>
      </w:tc>
      <w:tc>
        <w:tcPr>
          <w:tcW w:w="7087" w:type="dxa"/>
          <w:shd w:val="clear" w:color="auto" w:fill="auto"/>
        </w:tcPr>
        <w:p w:rsidR="00E46210" w:rsidRDefault="00E46210">
          <w:pPr>
            <w:rPr>
              <w:sz w:val="10"/>
              <w:szCs w:val="10"/>
            </w:rPr>
          </w:pPr>
        </w:p>
        <w:tbl>
          <w:tblPr>
            <w:tblStyle w:val="aa"/>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887"/>
            <w:gridCol w:w="3492"/>
          </w:tblGrid>
          <w:tr w:rsidR="00E46210">
            <w:trPr>
              <w:trHeight w:val="141"/>
            </w:trPr>
            <w:tc>
              <w:tcPr>
                <w:tcW w:w="2887" w:type="dxa"/>
                <w:vAlign w:val="bottom"/>
              </w:tcPr>
              <w:p w:rsidR="00E46210" w:rsidRDefault="00F44B13">
                <w:pPr>
                  <w:tabs>
                    <w:tab w:val="right" w:pos="8838"/>
                  </w:tabs>
                  <w:ind w:right="-105"/>
                  <w:rPr>
                    <w:b/>
                  </w:rPr>
                </w:pPr>
                <w:r>
                  <w:rPr>
                    <w:b/>
                  </w:rPr>
                  <w:t>Recurso de Revisión:</w:t>
                </w:r>
              </w:p>
            </w:tc>
            <w:tc>
              <w:tcPr>
                <w:tcW w:w="3492" w:type="dxa"/>
              </w:tcPr>
              <w:p w:rsidR="00E46210" w:rsidRDefault="00F44B13">
                <w:pPr>
                  <w:tabs>
                    <w:tab w:val="right" w:pos="8838"/>
                  </w:tabs>
                  <w:ind w:left="-28" w:right="-107"/>
                  <w:rPr>
                    <w:b/>
                  </w:rPr>
                </w:pPr>
                <w:r>
                  <w:rPr>
                    <w:b/>
                  </w:rPr>
                  <w:t>05576/INFOEM/IP/RR/2024</w:t>
                </w:r>
              </w:p>
            </w:tc>
          </w:tr>
          <w:tr w:rsidR="00E46210">
            <w:trPr>
              <w:trHeight w:val="141"/>
            </w:trPr>
            <w:tc>
              <w:tcPr>
                <w:tcW w:w="2887" w:type="dxa"/>
              </w:tcPr>
              <w:p w:rsidR="00E46210" w:rsidRDefault="00F44B13">
                <w:pPr>
                  <w:tabs>
                    <w:tab w:val="right" w:pos="8838"/>
                  </w:tabs>
                  <w:ind w:right="-105"/>
                  <w:rPr>
                    <w:b/>
                  </w:rPr>
                </w:pPr>
                <w:r>
                  <w:rPr>
                    <w:b/>
                  </w:rPr>
                  <w:t>Recurrente:</w:t>
                </w:r>
              </w:p>
            </w:tc>
            <w:tc>
              <w:tcPr>
                <w:tcW w:w="3492" w:type="dxa"/>
              </w:tcPr>
              <w:p w:rsidR="00E46210" w:rsidRDefault="00E46210">
                <w:pPr>
                  <w:tabs>
                    <w:tab w:val="right" w:pos="8838"/>
                  </w:tabs>
                  <w:ind w:right="-107"/>
                </w:pPr>
              </w:p>
            </w:tc>
          </w:tr>
          <w:tr w:rsidR="00E46210">
            <w:trPr>
              <w:trHeight w:val="276"/>
            </w:trPr>
            <w:tc>
              <w:tcPr>
                <w:tcW w:w="2887" w:type="dxa"/>
              </w:tcPr>
              <w:p w:rsidR="00E46210" w:rsidRDefault="00F44B13">
                <w:pPr>
                  <w:tabs>
                    <w:tab w:val="right" w:pos="8838"/>
                  </w:tabs>
                  <w:ind w:right="-105"/>
                  <w:rPr>
                    <w:b/>
                  </w:rPr>
                </w:pPr>
                <w:r>
                  <w:rPr>
                    <w:b/>
                  </w:rPr>
                  <w:t>Sujeto Obligado:</w:t>
                </w:r>
              </w:p>
            </w:tc>
            <w:tc>
              <w:tcPr>
                <w:tcW w:w="3492" w:type="dxa"/>
              </w:tcPr>
              <w:p w:rsidR="00E46210" w:rsidRDefault="00F44B13">
                <w:pPr>
                  <w:tabs>
                    <w:tab w:val="right" w:pos="8838"/>
                  </w:tabs>
                  <w:ind w:right="33"/>
                </w:pPr>
                <w:r>
                  <w:t>Poder Judicial</w:t>
                </w:r>
              </w:p>
            </w:tc>
          </w:tr>
          <w:tr w:rsidR="00E46210">
            <w:trPr>
              <w:trHeight w:val="276"/>
            </w:trPr>
            <w:tc>
              <w:tcPr>
                <w:tcW w:w="2887" w:type="dxa"/>
              </w:tcPr>
              <w:p w:rsidR="00E46210" w:rsidRDefault="00F44B13">
                <w:pPr>
                  <w:tabs>
                    <w:tab w:val="right" w:pos="8838"/>
                  </w:tabs>
                  <w:ind w:right="-105"/>
                  <w:rPr>
                    <w:b/>
                  </w:rPr>
                </w:pPr>
                <w:r>
                  <w:rPr>
                    <w:b/>
                  </w:rPr>
                  <w:t>Comisionado Ponente:</w:t>
                </w:r>
              </w:p>
            </w:tc>
            <w:tc>
              <w:tcPr>
                <w:tcW w:w="3492" w:type="dxa"/>
              </w:tcPr>
              <w:p w:rsidR="00E46210" w:rsidRDefault="00F44B13">
                <w:pPr>
                  <w:tabs>
                    <w:tab w:val="right" w:pos="8838"/>
                  </w:tabs>
                  <w:ind w:right="-107"/>
                </w:pPr>
                <w:r>
                  <w:t>Luis Gustavo Parra Noriega</w:t>
                </w:r>
              </w:p>
            </w:tc>
          </w:tr>
        </w:tbl>
        <w:p w:rsidR="00E46210" w:rsidRDefault="00E46210">
          <w:pPr>
            <w:tabs>
              <w:tab w:val="right" w:pos="8838"/>
            </w:tabs>
            <w:ind w:left="-28"/>
            <w:rPr>
              <w:rFonts w:ascii="Arial" w:eastAsia="Arial" w:hAnsi="Arial" w:cs="Arial"/>
              <w:b/>
            </w:rPr>
          </w:pPr>
        </w:p>
      </w:tc>
    </w:tr>
  </w:tbl>
  <w:p w:rsidR="00E46210" w:rsidRDefault="002B3CD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19E8"/>
    <w:multiLevelType w:val="multilevel"/>
    <w:tmpl w:val="27289862"/>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D30DA5"/>
    <w:multiLevelType w:val="multilevel"/>
    <w:tmpl w:val="3F70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795C3A"/>
    <w:multiLevelType w:val="multilevel"/>
    <w:tmpl w:val="C798C394"/>
    <w:lvl w:ilvl="0">
      <w:start w:val="4"/>
      <w:numFmt w:val="bullet"/>
      <w:lvlText w:val="-"/>
      <w:lvlJc w:val="left"/>
      <w:pPr>
        <w:ind w:left="720" w:hanging="360"/>
      </w:pPr>
      <w:rPr>
        <w:rFonts w:ascii="Palatino Linotype" w:eastAsia="Palatino Linotype" w:hAnsi="Palatino Linotype" w:cs="Palatino Linotype"/>
      </w:rPr>
    </w:lvl>
    <w:lvl w:ilvl="1">
      <w:numFmt w:val="bullet"/>
      <w:lvlText w:val="•"/>
      <w:lvlJc w:val="left"/>
      <w:pPr>
        <w:ind w:left="1800" w:hanging="720"/>
      </w:pPr>
      <w:rPr>
        <w:rFonts w:ascii="Palatino Linotype" w:eastAsia="Palatino Linotype" w:hAnsi="Palatino Linotype" w:cs="Palatino Linotyp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395808"/>
    <w:multiLevelType w:val="multilevel"/>
    <w:tmpl w:val="F1BEBD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3E1D00"/>
    <w:multiLevelType w:val="multilevel"/>
    <w:tmpl w:val="5AE8EEAE"/>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10"/>
    <w:rsid w:val="002B3CD2"/>
    <w:rsid w:val="0056710C"/>
    <w:rsid w:val="00664E4F"/>
    <w:rsid w:val="00725F94"/>
    <w:rsid w:val="00975AB0"/>
    <w:rsid w:val="00D72449"/>
    <w:rsid w:val="00E46210"/>
    <w:rsid w:val="00F44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3A433A8-1543-4C3F-B14D-D9F81A24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UnresolvedMention">
    <w:name w:val="Unresolved Mention"/>
    <w:basedOn w:val="Fuentedeprrafopredeter"/>
    <w:uiPriority w:val="99"/>
    <w:semiHidden/>
    <w:unhideWhenUsed/>
    <w:rsid w:val="00BE1DC0"/>
    <w:rPr>
      <w:color w:val="605E5C"/>
      <w:shd w:val="clear" w:color="auto" w:fill="E1DFDD"/>
    </w:r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b.mx/cedulaprofesional?tab=Solicita%20tu%20c%C3%A9du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XAwOUV0eXllfvGBBtsqLFQupLw==">CgMxLjAyCGguZ2pkZ3hzMgloLjMwajB6bGwyCWguMWZvYjl0ZTIJaC4zem55c2g3MgloLjJldDkycDAyCGgudHlqY3d0MgloLjNkeTZ2a20yCWguMXQzaDVzZjIJaC40ZDM0b2c4MgloLjJzOGV5bzEyCWguMTdkcDh2dTIJaC4zcmRjcmpuMgloLjI2aW4xcmcyCGgubG54Yno5OAByITFkNW5teEJaSW00bmUxNk5KSkNvc09MUjV4VzhEZDBCVg==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5414</Words>
  <Characters>29777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2024-11-05T23:09:00Z</cp:lastPrinted>
  <dcterms:created xsi:type="dcterms:W3CDTF">2024-11-05T23:08:00Z</dcterms:created>
  <dcterms:modified xsi:type="dcterms:W3CDTF">2024-11-05T23:33:00Z</dcterms:modified>
</cp:coreProperties>
</file>