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17" w:rsidRPr="00AA2EF2" w:rsidRDefault="00A71D17" w:rsidP="00A71D17">
      <w:pPr>
        <w:spacing w:before="240" w:line="360" w:lineRule="auto"/>
        <w:jc w:val="both"/>
        <w:rPr>
          <w:rFonts w:ascii="Palatino Linotype" w:eastAsia="Times New Roman" w:hAnsi="Palatino Linotype" w:cs="Arial"/>
          <w:color w:val="000000"/>
          <w:sz w:val="24"/>
          <w:szCs w:val="24"/>
          <w:lang w:eastAsia="es-MX"/>
        </w:rPr>
      </w:pPr>
      <w:r w:rsidRPr="00AA2EF2">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veintiocho de agosto de dos mil veinticuatro.</w:t>
      </w:r>
    </w:p>
    <w:p w:rsidR="00A71D17" w:rsidRPr="00AA2EF2" w:rsidRDefault="00A71D17" w:rsidP="00A71D17">
      <w:pPr>
        <w:tabs>
          <w:tab w:val="left" w:pos="1701"/>
        </w:tabs>
        <w:spacing w:before="240" w:line="360" w:lineRule="auto"/>
        <w:jc w:val="both"/>
        <w:rPr>
          <w:rFonts w:ascii="Palatino Linotype" w:hAnsi="Palatino Linotype" w:cs="Arial"/>
          <w:sz w:val="28"/>
        </w:rPr>
      </w:pPr>
      <w:r w:rsidRPr="00AA2EF2">
        <w:rPr>
          <w:rFonts w:ascii="Palatino Linotype" w:hAnsi="Palatino Linotype" w:cs="Arial"/>
          <w:b/>
          <w:sz w:val="24"/>
        </w:rPr>
        <w:t>VISTOS</w:t>
      </w:r>
      <w:r w:rsidRPr="00AA2EF2">
        <w:rPr>
          <w:rFonts w:ascii="Palatino Linotype" w:hAnsi="Palatino Linotype" w:cs="Arial"/>
          <w:sz w:val="24"/>
        </w:rPr>
        <w:t xml:space="preserve"> los expedientes electrónicos formados con motivo de los recursos de revisión números</w:t>
      </w:r>
      <w:r w:rsidRPr="00AA2EF2">
        <w:rPr>
          <w:rFonts w:ascii="Palatino Linotype" w:hAnsi="Palatino Linotype" w:cs="Arial"/>
          <w:b/>
          <w:sz w:val="24"/>
        </w:rPr>
        <w:t xml:space="preserve"> </w:t>
      </w:r>
      <w:r w:rsidR="0082201F" w:rsidRPr="00AA2EF2">
        <w:rPr>
          <w:rFonts w:ascii="Palatino Linotype" w:hAnsi="Palatino Linotype" w:cs="Arial"/>
          <w:b/>
          <w:sz w:val="24"/>
        </w:rPr>
        <w:t>0</w:t>
      </w:r>
      <w:r w:rsidRPr="00AA2EF2">
        <w:rPr>
          <w:rFonts w:ascii="Palatino Linotype" w:hAnsi="Palatino Linotype" w:cs="Arial"/>
          <w:b/>
          <w:bCs/>
          <w:sz w:val="24"/>
          <w:lang w:eastAsia="es-MX"/>
        </w:rPr>
        <w:t xml:space="preserve">4455/INFOEM/IP/RR/2024, </w:t>
      </w:r>
      <w:r w:rsidR="0082201F" w:rsidRPr="00AA2EF2">
        <w:rPr>
          <w:rFonts w:ascii="Palatino Linotype" w:hAnsi="Palatino Linotype" w:cs="Arial"/>
          <w:b/>
          <w:bCs/>
          <w:sz w:val="24"/>
          <w:lang w:eastAsia="es-MX"/>
        </w:rPr>
        <w:t>0</w:t>
      </w:r>
      <w:r w:rsidRPr="00AA2EF2">
        <w:rPr>
          <w:rFonts w:ascii="Palatino Linotype" w:hAnsi="Palatino Linotype" w:cs="Arial"/>
          <w:b/>
          <w:bCs/>
          <w:sz w:val="24"/>
          <w:lang w:eastAsia="es-MX"/>
        </w:rPr>
        <w:t xml:space="preserve">4456/INFOEM/IP/RR/2024, </w:t>
      </w:r>
      <w:r w:rsidR="0082201F" w:rsidRPr="00AA2EF2">
        <w:rPr>
          <w:rFonts w:ascii="Palatino Linotype" w:hAnsi="Palatino Linotype" w:cs="Arial"/>
          <w:b/>
          <w:bCs/>
          <w:sz w:val="24"/>
          <w:lang w:eastAsia="es-MX"/>
        </w:rPr>
        <w:t>0</w:t>
      </w:r>
      <w:r w:rsidRPr="00AA2EF2">
        <w:rPr>
          <w:rFonts w:ascii="Palatino Linotype" w:hAnsi="Palatino Linotype" w:cs="Arial"/>
          <w:b/>
          <w:bCs/>
          <w:sz w:val="24"/>
          <w:lang w:eastAsia="es-MX"/>
        </w:rPr>
        <w:t xml:space="preserve">4457/INFOEM/IP/RR/2024, </w:t>
      </w:r>
      <w:r w:rsidR="0082201F" w:rsidRPr="00AA2EF2">
        <w:rPr>
          <w:rFonts w:ascii="Palatino Linotype" w:hAnsi="Palatino Linotype" w:cs="Arial"/>
          <w:b/>
          <w:bCs/>
          <w:sz w:val="24"/>
          <w:lang w:eastAsia="es-MX"/>
        </w:rPr>
        <w:t>0</w:t>
      </w:r>
      <w:r w:rsidRPr="00AA2EF2">
        <w:rPr>
          <w:rFonts w:ascii="Palatino Linotype" w:hAnsi="Palatino Linotype" w:cs="Arial"/>
          <w:b/>
          <w:bCs/>
          <w:sz w:val="24"/>
          <w:lang w:eastAsia="es-MX"/>
        </w:rPr>
        <w:t xml:space="preserve">4458/INFOEM/IP/RR/2024 y </w:t>
      </w:r>
      <w:r w:rsidR="0082201F" w:rsidRPr="00AA2EF2">
        <w:rPr>
          <w:rFonts w:ascii="Palatino Linotype" w:hAnsi="Palatino Linotype" w:cs="Arial"/>
          <w:b/>
          <w:bCs/>
          <w:sz w:val="24"/>
          <w:lang w:eastAsia="es-MX"/>
        </w:rPr>
        <w:t>0</w:t>
      </w:r>
      <w:r w:rsidRPr="00AA2EF2">
        <w:rPr>
          <w:rFonts w:ascii="Palatino Linotype" w:hAnsi="Palatino Linotype" w:cs="Arial"/>
          <w:b/>
          <w:bCs/>
          <w:sz w:val="24"/>
          <w:lang w:eastAsia="es-MX"/>
        </w:rPr>
        <w:t>4459/INFOEM/IP/RR/2024</w:t>
      </w:r>
      <w:r w:rsidR="0036723C" w:rsidRPr="00AA2EF2">
        <w:rPr>
          <w:rFonts w:ascii="Palatino Linotype" w:hAnsi="Palatino Linotype" w:cs="Arial"/>
          <w:b/>
          <w:bCs/>
          <w:sz w:val="24"/>
          <w:lang w:eastAsia="es-MX"/>
        </w:rPr>
        <w:t>,</w:t>
      </w:r>
      <w:r w:rsidRPr="00AA2EF2">
        <w:rPr>
          <w:rFonts w:ascii="Palatino Linotype" w:hAnsi="Palatino Linotype" w:cs="Arial"/>
          <w:b/>
          <w:bCs/>
          <w:sz w:val="24"/>
          <w:lang w:eastAsia="es-MX"/>
        </w:rPr>
        <w:t xml:space="preserve"> </w:t>
      </w:r>
      <w:r w:rsidRPr="00AA2EF2">
        <w:rPr>
          <w:rFonts w:ascii="Palatino Linotype" w:hAnsi="Palatino Linotype"/>
          <w:sz w:val="24"/>
        </w:rPr>
        <w:t xml:space="preserve">interpuestos por un particular que no proporcionó nombre o seudónimo, en lo sucesivo la parte </w:t>
      </w:r>
      <w:r w:rsidRPr="00AA2EF2">
        <w:rPr>
          <w:rFonts w:ascii="Palatino Linotype" w:hAnsi="Palatino Linotype"/>
          <w:b/>
          <w:sz w:val="24"/>
        </w:rPr>
        <w:t>Recurrente</w:t>
      </w:r>
      <w:r w:rsidRPr="00AA2EF2">
        <w:rPr>
          <w:rFonts w:ascii="Palatino Linotype" w:hAnsi="Palatino Linotype"/>
          <w:sz w:val="24"/>
        </w:rPr>
        <w:t xml:space="preserve">, en contra de la falta de respuestas del </w:t>
      </w:r>
      <w:r w:rsidRPr="00AA2EF2">
        <w:rPr>
          <w:rFonts w:ascii="Palatino Linotype" w:hAnsi="Palatino Linotype"/>
          <w:b/>
          <w:sz w:val="24"/>
        </w:rPr>
        <w:t>Ayuntamiento de San Felipe del Progreso</w:t>
      </w:r>
      <w:r w:rsidRPr="00AA2EF2">
        <w:rPr>
          <w:rFonts w:ascii="Palatino Linotype" w:hAnsi="Palatino Linotype"/>
          <w:sz w:val="24"/>
        </w:rPr>
        <w:t xml:space="preserve">, en lo subsecuente el </w:t>
      </w:r>
      <w:r w:rsidRPr="00AA2EF2">
        <w:rPr>
          <w:rFonts w:ascii="Palatino Linotype" w:hAnsi="Palatino Linotype"/>
          <w:b/>
          <w:sz w:val="24"/>
        </w:rPr>
        <w:t>Sujeto Obligado</w:t>
      </w:r>
      <w:r w:rsidRPr="00AA2EF2">
        <w:rPr>
          <w:rFonts w:ascii="Palatino Linotype" w:hAnsi="Palatino Linotype"/>
          <w:sz w:val="24"/>
        </w:rPr>
        <w:t xml:space="preserve">, se procede a dictar la presente resolución. </w:t>
      </w:r>
    </w:p>
    <w:p w:rsidR="00A71D17" w:rsidRPr="00AA2EF2" w:rsidRDefault="00A71D17" w:rsidP="00A71D17">
      <w:pPr>
        <w:tabs>
          <w:tab w:val="left" w:pos="1701"/>
        </w:tabs>
        <w:spacing w:before="240" w:line="360" w:lineRule="auto"/>
        <w:jc w:val="both"/>
        <w:rPr>
          <w:rFonts w:ascii="Palatino Linotype" w:hAnsi="Palatino Linotype" w:cs="Arial"/>
          <w:b/>
          <w:sz w:val="24"/>
        </w:rPr>
      </w:pPr>
    </w:p>
    <w:p w:rsidR="00A71D17" w:rsidRPr="00AA2EF2" w:rsidRDefault="00A71D17" w:rsidP="00A71D17">
      <w:pPr>
        <w:pStyle w:val="infoemcitas"/>
        <w:jc w:val="center"/>
        <w:rPr>
          <w:b/>
          <w:bCs/>
          <w:i w:val="0"/>
          <w:iCs/>
          <w:sz w:val="28"/>
          <w:szCs w:val="28"/>
        </w:rPr>
      </w:pPr>
      <w:r w:rsidRPr="00AA2EF2">
        <w:rPr>
          <w:b/>
          <w:bCs/>
          <w:i w:val="0"/>
          <w:iCs/>
          <w:sz w:val="28"/>
          <w:szCs w:val="28"/>
        </w:rPr>
        <w:t>A N T E C E D E N T E S   D E L   A S U N T O</w:t>
      </w:r>
    </w:p>
    <w:p w:rsidR="00A71D17" w:rsidRPr="00AA2EF2" w:rsidRDefault="00A71D17" w:rsidP="00A71D17">
      <w:pPr>
        <w:spacing w:before="240" w:after="240" w:line="360" w:lineRule="auto"/>
        <w:jc w:val="both"/>
        <w:rPr>
          <w:rFonts w:ascii="Palatino Linotype" w:hAnsi="Palatino Linotype"/>
        </w:rPr>
      </w:pPr>
      <w:r w:rsidRPr="00AA2EF2">
        <w:rPr>
          <w:rFonts w:ascii="Palatino Linotype" w:hAnsi="Palatino Linotype" w:cs="Arial"/>
          <w:b/>
          <w:sz w:val="28"/>
        </w:rPr>
        <w:t>PRIMERO.</w:t>
      </w:r>
      <w:r w:rsidRPr="00AA2EF2">
        <w:rPr>
          <w:rFonts w:ascii="Palatino Linotype" w:hAnsi="Palatino Linotype" w:cs="Arial"/>
        </w:rPr>
        <w:t xml:space="preserve"> </w:t>
      </w:r>
      <w:r w:rsidRPr="00AA2EF2">
        <w:rPr>
          <w:rFonts w:ascii="Palatino Linotype" w:hAnsi="Palatino Linotype"/>
          <w:b/>
          <w:sz w:val="28"/>
          <w:szCs w:val="28"/>
        </w:rPr>
        <w:t>De las Solicitudes de Información.</w:t>
      </w:r>
    </w:p>
    <w:p w:rsidR="00A71D17" w:rsidRPr="00AA2EF2" w:rsidRDefault="00A71D17" w:rsidP="00A71D17">
      <w:pPr>
        <w:spacing w:before="240" w:line="360" w:lineRule="auto"/>
        <w:jc w:val="both"/>
        <w:rPr>
          <w:rFonts w:ascii="Palatino Linotype" w:hAnsi="Palatino Linotype" w:cs="Arial"/>
          <w:sz w:val="24"/>
        </w:rPr>
      </w:pPr>
      <w:r w:rsidRPr="00AA2EF2">
        <w:rPr>
          <w:rFonts w:ascii="Palatino Linotype" w:hAnsi="Palatino Linotype" w:cs="Arial"/>
          <w:sz w:val="24"/>
        </w:rPr>
        <w:t xml:space="preserve">Con fecha </w:t>
      </w:r>
      <w:r w:rsidR="00D737AE" w:rsidRPr="00AA2EF2">
        <w:rPr>
          <w:rFonts w:ascii="Palatino Linotype" w:hAnsi="Palatino Linotype" w:cs="Arial"/>
          <w:b/>
          <w:sz w:val="24"/>
        </w:rPr>
        <w:t>veinte</w:t>
      </w:r>
      <w:r w:rsidRPr="00AA2EF2">
        <w:rPr>
          <w:rFonts w:ascii="Palatino Linotype" w:hAnsi="Palatino Linotype" w:cs="Arial"/>
          <w:b/>
          <w:sz w:val="24"/>
        </w:rPr>
        <w:t xml:space="preserve"> de </w:t>
      </w:r>
      <w:r w:rsidR="00D737AE" w:rsidRPr="00AA2EF2">
        <w:rPr>
          <w:rFonts w:ascii="Palatino Linotype" w:hAnsi="Palatino Linotype" w:cs="Arial"/>
          <w:b/>
          <w:sz w:val="24"/>
        </w:rPr>
        <w:t>junio</w:t>
      </w:r>
      <w:r w:rsidRPr="00AA2EF2">
        <w:rPr>
          <w:rFonts w:ascii="Palatino Linotype" w:hAnsi="Palatino Linotype" w:cs="Arial"/>
          <w:sz w:val="24"/>
        </w:rPr>
        <w:t xml:space="preserve"> de dos mil veinticuatro, </w:t>
      </w:r>
      <w:r w:rsidRPr="00AA2EF2">
        <w:rPr>
          <w:rFonts w:ascii="Palatino Linotype" w:hAnsi="Palatino Linotype"/>
          <w:sz w:val="24"/>
        </w:rPr>
        <w:t xml:space="preserve">la parte </w:t>
      </w:r>
      <w:r w:rsidRPr="00AA2EF2">
        <w:rPr>
          <w:rFonts w:ascii="Palatino Linotype" w:hAnsi="Palatino Linotype" w:cs="Arial"/>
          <w:b/>
          <w:sz w:val="24"/>
        </w:rPr>
        <w:t xml:space="preserve">Recurrente </w:t>
      </w:r>
      <w:r w:rsidRPr="00AA2EF2">
        <w:rPr>
          <w:rFonts w:ascii="Palatino Linotype" w:hAnsi="Palatino Linotype" w:cs="Arial"/>
          <w:sz w:val="24"/>
        </w:rPr>
        <w:t>presentó a través del Sistema de Acceso a la Información Mexiquense (</w:t>
      </w:r>
      <w:r w:rsidRPr="00AA2EF2">
        <w:rPr>
          <w:rFonts w:ascii="Palatino Linotype" w:hAnsi="Palatino Linotype" w:cs="Arial"/>
          <w:b/>
          <w:sz w:val="24"/>
        </w:rPr>
        <w:t>SAIMEX)</w:t>
      </w:r>
      <w:r w:rsidRPr="00AA2EF2">
        <w:rPr>
          <w:rFonts w:ascii="Palatino Linotype" w:hAnsi="Palatino Linotype" w:cs="Arial"/>
          <w:sz w:val="24"/>
        </w:rPr>
        <w:t xml:space="preserve"> ante </w:t>
      </w:r>
      <w:r w:rsidRPr="00AA2EF2">
        <w:rPr>
          <w:rFonts w:ascii="Palatino Linotype" w:hAnsi="Palatino Linotype" w:cs="Arial"/>
          <w:b/>
          <w:sz w:val="24"/>
        </w:rPr>
        <w:t>El Sujeto Obligado</w:t>
      </w:r>
      <w:r w:rsidRPr="00AA2EF2">
        <w:rPr>
          <w:rFonts w:ascii="Palatino Linotype" w:hAnsi="Palatino Linotype" w:cs="Arial"/>
          <w:sz w:val="24"/>
        </w:rPr>
        <w:t>, solicitud</w:t>
      </w:r>
      <w:r w:rsidR="00D737AE" w:rsidRPr="00AA2EF2">
        <w:rPr>
          <w:rFonts w:ascii="Palatino Linotype" w:hAnsi="Palatino Linotype" w:cs="Arial"/>
          <w:sz w:val="24"/>
        </w:rPr>
        <w:t>es</w:t>
      </w:r>
      <w:r w:rsidRPr="00AA2EF2">
        <w:rPr>
          <w:rFonts w:ascii="Palatino Linotype" w:hAnsi="Palatino Linotype" w:cs="Arial"/>
          <w:sz w:val="24"/>
        </w:rPr>
        <w:t xml:space="preserve"> de acceso a la información pública, mediante la cual solicitó información en el tenor siguiente:</w:t>
      </w:r>
    </w:p>
    <w:p w:rsidR="00A71D17" w:rsidRPr="00AA2EF2" w:rsidRDefault="00D737AE" w:rsidP="00D737AE">
      <w:pPr>
        <w:pStyle w:val="Prrafodelista"/>
        <w:numPr>
          <w:ilvl w:val="0"/>
          <w:numId w:val="8"/>
        </w:numPr>
        <w:spacing w:before="240" w:line="360" w:lineRule="auto"/>
        <w:jc w:val="both"/>
        <w:rPr>
          <w:rFonts w:ascii="Palatino Linotype" w:hAnsi="Palatino Linotype" w:cs="Arial"/>
        </w:rPr>
      </w:pPr>
      <w:r w:rsidRPr="00AA2EF2">
        <w:rPr>
          <w:rFonts w:ascii="Palatino Linotype" w:hAnsi="Palatino Linotype" w:cs="Arial"/>
          <w:b/>
        </w:rPr>
        <w:t>00059/FELIPRO/IP/2024</w:t>
      </w:r>
      <w:r w:rsidR="00A71D17" w:rsidRPr="00AA2EF2">
        <w:rPr>
          <w:rFonts w:ascii="Palatino Linotype" w:hAnsi="Palatino Linotype" w:cs="Arial"/>
          <w:b/>
        </w:rPr>
        <w:t>:</w:t>
      </w:r>
    </w:p>
    <w:p w:rsidR="00A71D17" w:rsidRPr="00AA2EF2" w:rsidRDefault="00A71D17" w:rsidP="00A71D17">
      <w:pPr>
        <w:pStyle w:val="INFOEM"/>
        <w:rPr>
          <w:rFonts w:cs="Arial"/>
        </w:rPr>
      </w:pPr>
      <w:r w:rsidRPr="00AA2EF2">
        <w:rPr>
          <w:lang w:val="es-ES_tradnl"/>
        </w:rPr>
        <w:lastRenderedPageBreak/>
        <w:t>“</w:t>
      </w:r>
      <w:r w:rsidR="00F57A45" w:rsidRPr="00AA2EF2">
        <w:rPr>
          <w:lang w:val="es-ES_tradnl"/>
        </w:rPr>
        <w:t>Solicito información detallada sobre los programas de obra pública ejecutados en el año 2024 en el municipio de San Felipe del Progreso, incluyendo el detalle de cada proyecto (ubicación, descripción, objetivo), el presupuesto asignado, las empresas contratadas, las fechas de inicio y finalización previstas y reales, los informes de avance mensual, las actas de entrega-recepción de las obras finalizadas, y los planos y memorias técnicas de cada obra.</w:t>
      </w:r>
      <w:r w:rsidRPr="00AA2EF2">
        <w:rPr>
          <w:lang w:val="es-ES_tradnl"/>
        </w:rPr>
        <w:t>” (sic)</w:t>
      </w:r>
    </w:p>
    <w:p w:rsidR="00A71D17" w:rsidRPr="00AA2EF2" w:rsidRDefault="00D737AE" w:rsidP="00D737AE">
      <w:pPr>
        <w:pStyle w:val="Prrafodelista"/>
        <w:numPr>
          <w:ilvl w:val="0"/>
          <w:numId w:val="8"/>
        </w:numPr>
        <w:spacing w:before="240" w:line="360" w:lineRule="auto"/>
        <w:jc w:val="both"/>
        <w:rPr>
          <w:rFonts w:ascii="Palatino Linotype" w:hAnsi="Palatino Linotype" w:cs="Arial"/>
        </w:rPr>
      </w:pPr>
      <w:r w:rsidRPr="00AA2EF2">
        <w:rPr>
          <w:rFonts w:ascii="Palatino Linotype" w:hAnsi="Palatino Linotype" w:cs="Arial"/>
          <w:b/>
        </w:rPr>
        <w:t>00058/FELIPRO/IP/2024:</w:t>
      </w:r>
    </w:p>
    <w:p w:rsidR="00F57A45" w:rsidRPr="00AA2EF2" w:rsidRDefault="00F57A45" w:rsidP="00F57A45">
      <w:pPr>
        <w:pStyle w:val="INFOEM"/>
        <w:ind w:left="720"/>
        <w:rPr>
          <w:rFonts w:cs="Arial"/>
        </w:rPr>
      </w:pPr>
      <w:r w:rsidRPr="00AA2EF2">
        <w:rPr>
          <w:lang w:val="es-ES_tradnl"/>
        </w:rPr>
        <w:t>“Solicito información detallada sobre los programas de obra pública ejecutados en el año 2023 en el municipio de San Felipe del Progreso, incluyendo el detalle de cada proyecto (ubicación, descripción, objetivo), el presupuesto asignado, las empresas contratadas, las fechas de inicio y finalización previstas y reales, los informes de avance mensual, las actas de entrega-recepción de las obras finalizadas, y los planos y memorias técnicas de cada obra.” (sic)</w:t>
      </w:r>
    </w:p>
    <w:p w:rsidR="00F57A45" w:rsidRPr="00AA2EF2" w:rsidRDefault="00F57A45" w:rsidP="00D737AE">
      <w:pPr>
        <w:pStyle w:val="Prrafodelista"/>
        <w:numPr>
          <w:ilvl w:val="0"/>
          <w:numId w:val="8"/>
        </w:numPr>
        <w:spacing w:before="240" w:line="360" w:lineRule="auto"/>
        <w:jc w:val="both"/>
        <w:rPr>
          <w:rFonts w:ascii="Palatino Linotype" w:hAnsi="Palatino Linotype" w:cs="Arial"/>
        </w:rPr>
      </w:pPr>
      <w:r w:rsidRPr="00AA2EF2">
        <w:rPr>
          <w:rFonts w:ascii="Palatino Linotype" w:hAnsi="Palatino Linotype" w:cs="Arial"/>
          <w:b/>
        </w:rPr>
        <w:t>00057/FELIPRO/IP/2024:</w:t>
      </w:r>
    </w:p>
    <w:p w:rsidR="00F57A45" w:rsidRPr="00AA2EF2" w:rsidRDefault="00F57A45" w:rsidP="00F57A45">
      <w:pPr>
        <w:pStyle w:val="INFOEM"/>
        <w:ind w:left="720"/>
        <w:rPr>
          <w:rFonts w:cs="Arial"/>
        </w:rPr>
      </w:pPr>
      <w:r w:rsidRPr="00AA2EF2">
        <w:rPr>
          <w:lang w:val="es-ES_tradnl"/>
        </w:rPr>
        <w:t>“Solicito información detallada sobre los programas de obra pública ejecutados en el año 2022 en el municipio de San Felipe del Progreso, incluyendo el detalle de cada proyecto (ubicación, descripción, objetivo), el presupuesto asignado, las empresas contratadas, las fechas de inicio y finalización previstas y reales, los informes de avance mensual, las actas de entrega-recepción de las obras finalizadas, y los planos y memorias técnicas de cada obra.” (sic)</w:t>
      </w:r>
    </w:p>
    <w:p w:rsidR="00F57A45" w:rsidRPr="00AA2EF2" w:rsidRDefault="00F57A45" w:rsidP="00D737AE">
      <w:pPr>
        <w:pStyle w:val="Prrafodelista"/>
        <w:numPr>
          <w:ilvl w:val="0"/>
          <w:numId w:val="8"/>
        </w:numPr>
        <w:spacing w:before="240" w:line="360" w:lineRule="auto"/>
        <w:jc w:val="both"/>
        <w:rPr>
          <w:rFonts w:ascii="Palatino Linotype" w:hAnsi="Palatino Linotype" w:cs="Arial"/>
        </w:rPr>
      </w:pPr>
      <w:r w:rsidRPr="00AA2EF2">
        <w:rPr>
          <w:rFonts w:ascii="Palatino Linotype" w:hAnsi="Palatino Linotype" w:cs="Arial"/>
          <w:b/>
        </w:rPr>
        <w:t>00056/FELIPRO/IP/2024:</w:t>
      </w:r>
    </w:p>
    <w:p w:rsidR="00F57A45" w:rsidRPr="00AA2EF2" w:rsidRDefault="00F57A45" w:rsidP="00F57A45">
      <w:pPr>
        <w:pStyle w:val="INFOEM"/>
        <w:ind w:left="720"/>
        <w:rPr>
          <w:rFonts w:cs="Arial"/>
        </w:rPr>
      </w:pPr>
      <w:r w:rsidRPr="00AA2EF2">
        <w:rPr>
          <w:lang w:val="es-ES_tradnl"/>
        </w:rPr>
        <w:lastRenderedPageBreak/>
        <w:t>“Solicito información detallada sobre los programas de obra pública ejecutados en el año 2021 en el municipio de San Felipe del Progreso, incluyendo el detalle de cada proyecto (ubicación, descripción, objetivo), el presupuesto asignado, las empresas contratadas, las fechas de inicio y finalización previstas y reales, los informes de avance mensual, las actas de entrega-recepción de las obras finalizadas, y los planos y memorias técnicas de cada obra.” (sic)</w:t>
      </w:r>
    </w:p>
    <w:p w:rsidR="00F57A45" w:rsidRPr="00AA2EF2" w:rsidRDefault="00F57A45" w:rsidP="00D737AE">
      <w:pPr>
        <w:pStyle w:val="Prrafodelista"/>
        <w:numPr>
          <w:ilvl w:val="0"/>
          <w:numId w:val="8"/>
        </w:numPr>
        <w:spacing w:before="240" w:line="360" w:lineRule="auto"/>
        <w:jc w:val="both"/>
        <w:rPr>
          <w:rFonts w:ascii="Palatino Linotype" w:hAnsi="Palatino Linotype" w:cs="Arial"/>
        </w:rPr>
      </w:pPr>
      <w:r w:rsidRPr="00AA2EF2">
        <w:rPr>
          <w:rFonts w:ascii="Palatino Linotype" w:hAnsi="Palatino Linotype" w:cs="Arial"/>
          <w:b/>
        </w:rPr>
        <w:t>00055/FELIPRO/IP/2024:</w:t>
      </w:r>
    </w:p>
    <w:p w:rsidR="00A71D17" w:rsidRPr="00AA2EF2" w:rsidRDefault="00F57A45" w:rsidP="00A71D17">
      <w:pPr>
        <w:pStyle w:val="INFOEM"/>
        <w:rPr>
          <w:lang w:val="es-ES_tradnl" w:eastAsia="es-ES"/>
        </w:rPr>
      </w:pPr>
      <w:r w:rsidRPr="00AA2EF2">
        <w:rPr>
          <w:lang w:val="es-ES_tradnl" w:eastAsia="es-ES"/>
        </w:rPr>
        <w:t xml:space="preserve"> </w:t>
      </w:r>
      <w:r w:rsidR="00A71D17" w:rsidRPr="00AA2EF2">
        <w:rPr>
          <w:lang w:val="es-ES_tradnl" w:eastAsia="es-ES"/>
        </w:rPr>
        <w:t>“</w:t>
      </w:r>
      <w:r w:rsidRPr="00AA2EF2">
        <w:rPr>
          <w:lang w:val="es-ES_tradnl" w:eastAsia="es-ES"/>
        </w:rPr>
        <w:t>Solicito información detallada sobre los programas de obra pública ejecutados en el año 2020 en el municipio de San Felipe del Progreso, incluyendo el detalle de cada proyecto (ubicación, descripción, objetivo), el presupuesto asignado, las empresas contratadas, las fechas de inicio y finalización previstas y reales, los informes de avance mensual, las actas de entrega-recepción de las obras finalizadas, y los planos y memorias técnicas de cada obra.</w:t>
      </w:r>
      <w:r w:rsidR="00A71D17" w:rsidRPr="00AA2EF2">
        <w:rPr>
          <w:lang w:val="es-ES_tradnl" w:eastAsia="es-ES"/>
        </w:rPr>
        <w:t>” (sic)</w:t>
      </w:r>
    </w:p>
    <w:p w:rsidR="00A71D17" w:rsidRPr="00AA2EF2" w:rsidRDefault="00A71D17" w:rsidP="00A71D17">
      <w:pPr>
        <w:spacing w:before="240" w:line="360" w:lineRule="auto"/>
        <w:jc w:val="both"/>
        <w:rPr>
          <w:rFonts w:ascii="Palatino Linotype" w:eastAsia="Times New Roman" w:hAnsi="Palatino Linotype" w:cs="Times New Roman"/>
          <w:sz w:val="24"/>
          <w:szCs w:val="24"/>
          <w:lang w:val="es-ES_tradnl" w:eastAsia="es-ES"/>
        </w:rPr>
      </w:pPr>
      <w:r w:rsidRPr="00AA2EF2">
        <w:rPr>
          <w:rFonts w:ascii="Palatino Linotype" w:eastAsia="Times New Roman" w:hAnsi="Palatino Linotype" w:cs="Times New Roman"/>
          <w:b/>
          <w:sz w:val="24"/>
          <w:szCs w:val="24"/>
          <w:lang w:val="es-ES_tradnl" w:eastAsia="es-ES"/>
        </w:rPr>
        <w:t>Modalidad de entrega:</w:t>
      </w:r>
      <w:r w:rsidRPr="00AA2EF2">
        <w:rPr>
          <w:rFonts w:ascii="Palatino Linotype" w:eastAsia="Times New Roman" w:hAnsi="Palatino Linotype" w:cs="Times New Roman"/>
          <w:sz w:val="24"/>
          <w:szCs w:val="24"/>
          <w:lang w:val="es-ES_tradnl" w:eastAsia="es-ES"/>
        </w:rPr>
        <w:t xml:space="preserve"> A través del SAIMEX.</w:t>
      </w:r>
    </w:p>
    <w:p w:rsidR="00A71D17" w:rsidRPr="00AA2EF2" w:rsidRDefault="00A71D17" w:rsidP="00A71D17">
      <w:pPr>
        <w:spacing w:before="240" w:line="360" w:lineRule="auto"/>
        <w:jc w:val="both"/>
        <w:rPr>
          <w:rFonts w:ascii="Palatino Linotype" w:hAnsi="Palatino Linotype" w:cs="Arial"/>
          <w:b/>
          <w:sz w:val="28"/>
        </w:rPr>
      </w:pPr>
    </w:p>
    <w:p w:rsidR="00D737AE" w:rsidRPr="00AA2EF2" w:rsidRDefault="00A71D17" w:rsidP="00D737A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A2EF2">
        <w:rPr>
          <w:rFonts w:ascii="Palatino Linotype" w:hAnsi="Palatino Linotype" w:cs="Arial"/>
          <w:b/>
          <w:sz w:val="28"/>
        </w:rPr>
        <w:t xml:space="preserve">SEGUNDO. </w:t>
      </w:r>
      <w:r w:rsidR="00D737AE" w:rsidRPr="00AA2EF2">
        <w:rPr>
          <w:rFonts w:ascii="Palatino Linotype" w:eastAsia="Palatino Linotype" w:hAnsi="Palatino Linotype" w:cs="Palatino Linotype"/>
          <w:b/>
          <w:color w:val="000000"/>
          <w:sz w:val="28"/>
          <w:szCs w:val="26"/>
        </w:rPr>
        <w:t>De la falta de respuesta del Sujeto Obligado.</w:t>
      </w:r>
    </w:p>
    <w:p w:rsidR="00D737AE" w:rsidRPr="00AA2EF2" w:rsidRDefault="00D737AE" w:rsidP="00D737A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AA2EF2">
        <w:rPr>
          <w:rFonts w:ascii="Palatino Linotype" w:eastAsia="Palatino Linotype" w:hAnsi="Palatino Linotype" w:cs="Palatino Linotype"/>
          <w:color w:val="000000"/>
          <w:sz w:val="24"/>
          <w:szCs w:val="24"/>
        </w:rPr>
        <w:t>E</w:t>
      </w:r>
      <w:r w:rsidRPr="00AA2EF2">
        <w:rPr>
          <w:rFonts w:ascii="Palatino Linotype" w:eastAsia="Palatino Linotype" w:hAnsi="Palatino Linotype" w:cs="Palatino Linotype"/>
          <w:sz w:val="24"/>
          <w:szCs w:val="24"/>
        </w:rPr>
        <w:t xml:space="preserv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no proporcionó respuesta a las solicitudes de información </w:t>
      </w:r>
      <w:r w:rsidRPr="00AA2EF2">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A71D17" w:rsidRPr="00AA2EF2" w:rsidRDefault="00A71D17" w:rsidP="00D737AE">
      <w:pPr>
        <w:spacing w:before="240" w:line="360" w:lineRule="auto"/>
        <w:jc w:val="both"/>
        <w:rPr>
          <w:rFonts w:ascii="Palatino Linotype" w:hAnsi="Palatino Linotype" w:cs="Arial"/>
          <w:b/>
          <w:sz w:val="28"/>
        </w:rPr>
      </w:pPr>
    </w:p>
    <w:p w:rsidR="00A71D17" w:rsidRPr="00AA2EF2" w:rsidRDefault="00A71D17" w:rsidP="00A71D17">
      <w:pPr>
        <w:spacing w:before="240" w:line="360" w:lineRule="auto"/>
        <w:jc w:val="both"/>
        <w:rPr>
          <w:rFonts w:ascii="Palatino Linotype" w:hAnsi="Palatino Linotype" w:cs="Arial"/>
          <w:b/>
          <w:sz w:val="28"/>
        </w:rPr>
      </w:pPr>
      <w:r w:rsidRPr="00AA2EF2">
        <w:rPr>
          <w:rFonts w:ascii="Palatino Linotype" w:hAnsi="Palatino Linotype" w:cs="Arial"/>
          <w:b/>
          <w:sz w:val="28"/>
        </w:rPr>
        <w:lastRenderedPageBreak/>
        <w:t xml:space="preserve">TERCERO. </w:t>
      </w:r>
      <w:r w:rsidRPr="00AA2EF2">
        <w:rPr>
          <w:rFonts w:ascii="Palatino Linotype" w:hAnsi="Palatino Linotype"/>
          <w:b/>
          <w:sz w:val="28"/>
        </w:rPr>
        <w:t>De los recursos de revisión.</w:t>
      </w:r>
    </w:p>
    <w:p w:rsidR="00A71D17" w:rsidRPr="00AA2EF2" w:rsidRDefault="00A71D17" w:rsidP="00A71D17">
      <w:pPr>
        <w:spacing w:before="240" w:line="360" w:lineRule="auto"/>
        <w:jc w:val="both"/>
        <w:rPr>
          <w:rFonts w:ascii="Palatino Linotype" w:hAnsi="Palatino Linotype" w:cs="Arial"/>
          <w:sz w:val="24"/>
          <w:szCs w:val="24"/>
        </w:rPr>
      </w:pPr>
      <w:r w:rsidRPr="00AA2EF2">
        <w:rPr>
          <w:rFonts w:ascii="Palatino Linotype" w:hAnsi="Palatino Linotype" w:cs="Arial"/>
          <w:sz w:val="24"/>
          <w:szCs w:val="24"/>
        </w:rPr>
        <w:t>Inconforme con la</w:t>
      </w:r>
      <w:r w:rsidR="0036723C" w:rsidRPr="00AA2EF2">
        <w:rPr>
          <w:rFonts w:ascii="Palatino Linotype" w:hAnsi="Palatino Linotype" w:cs="Arial"/>
          <w:sz w:val="24"/>
          <w:szCs w:val="24"/>
        </w:rPr>
        <w:t xml:space="preserve"> falta de</w:t>
      </w:r>
      <w:r w:rsidRPr="00AA2EF2">
        <w:rPr>
          <w:rFonts w:ascii="Palatino Linotype" w:hAnsi="Palatino Linotype" w:cs="Arial"/>
          <w:sz w:val="24"/>
          <w:szCs w:val="24"/>
        </w:rPr>
        <w:t xml:space="preserve"> respuesta</w:t>
      </w:r>
      <w:r w:rsidR="0036723C" w:rsidRPr="00AA2EF2">
        <w:rPr>
          <w:rFonts w:ascii="Palatino Linotype" w:hAnsi="Palatino Linotype" w:cs="Arial"/>
          <w:sz w:val="24"/>
          <w:szCs w:val="24"/>
        </w:rPr>
        <w:t xml:space="preserve">s </w:t>
      </w:r>
      <w:r w:rsidRPr="00AA2EF2">
        <w:rPr>
          <w:rFonts w:ascii="Palatino Linotype" w:hAnsi="Palatino Linotype" w:cs="Arial"/>
          <w:sz w:val="24"/>
          <w:szCs w:val="24"/>
        </w:rPr>
        <w:t xml:space="preserve">por </w:t>
      </w:r>
      <w:r w:rsidRPr="00AA2EF2">
        <w:rPr>
          <w:rFonts w:ascii="Palatino Linotype" w:hAnsi="Palatino Linotype" w:cs="Arial"/>
          <w:b/>
          <w:sz w:val="24"/>
          <w:szCs w:val="24"/>
        </w:rPr>
        <w:t xml:space="preserve">El Sujeto Obligado, </w:t>
      </w:r>
      <w:r w:rsidRPr="00AA2EF2">
        <w:rPr>
          <w:rFonts w:ascii="Palatino Linotype" w:hAnsi="Palatino Linotype"/>
          <w:sz w:val="24"/>
        </w:rPr>
        <w:t xml:space="preserve">la parte </w:t>
      </w:r>
      <w:r w:rsidRPr="00AA2EF2">
        <w:rPr>
          <w:rFonts w:ascii="Palatino Linotype" w:hAnsi="Palatino Linotype" w:cs="Arial"/>
          <w:b/>
          <w:sz w:val="24"/>
          <w:szCs w:val="24"/>
        </w:rPr>
        <w:t xml:space="preserve">Recurrente </w:t>
      </w:r>
      <w:r w:rsidRPr="00AA2EF2">
        <w:rPr>
          <w:rFonts w:ascii="Palatino Linotype" w:hAnsi="Palatino Linotype" w:cs="Arial"/>
          <w:sz w:val="24"/>
          <w:szCs w:val="24"/>
        </w:rPr>
        <w:t>interpuso recurso</w:t>
      </w:r>
      <w:r w:rsidR="0036723C" w:rsidRPr="00AA2EF2">
        <w:rPr>
          <w:rFonts w:ascii="Palatino Linotype" w:hAnsi="Palatino Linotype" w:cs="Arial"/>
          <w:sz w:val="24"/>
          <w:szCs w:val="24"/>
        </w:rPr>
        <w:t>s</w:t>
      </w:r>
      <w:r w:rsidRPr="00AA2EF2">
        <w:rPr>
          <w:rFonts w:ascii="Palatino Linotype" w:hAnsi="Palatino Linotype" w:cs="Arial"/>
          <w:sz w:val="24"/>
          <w:szCs w:val="24"/>
        </w:rPr>
        <w:t xml:space="preserve"> de revisión, en fecha </w:t>
      </w:r>
      <w:r w:rsidR="0036723C" w:rsidRPr="00AA2EF2">
        <w:rPr>
          <w:rFonts w:ascii="Palatino Linotype" w:hAnsi="Palatino Linotype" w:cs="Arial"/>
          <w:b/>
          <w:sz w:val="24"/>
        </w:rPr>
        <w:t>doce de jul</w:t>
      </w:r>
      <w:r w:rsidRPr="00AA2EF2">
        <w:rPr>
          <w:rFonts w:ascii="Palatino Linotype" w:hAnsi="Palatino Linotype" w:cs="Arial"/>
          <w:b/>
          <w:sz w:val="24"/>
        </w:rPr>
        <w:t>io de dos mil veinticuatro</w:t>
      </w:r>
      <w:r w:rsidRPr="00AA2EF2">
        <w:rPr>
          <w:rFonts w:ascii="Palatino Linotype" w:hAnsi="Palatino Linotype" w:cs="Arial"/>
          <w:sz w:val="24"/>
          <w:szCs w:val="24"/>
        </w:rPr>
        <w:t xml:space="preserve">, </w:t>
      </w:r>
      <w:r w:rsidR="0036723C" w:rsidRPr="00AA2EF2">
        <w:rPr>
          <w:rFonts w:ascii="Palatino Linotype" w:hAnsi="Palatino Linotype" w:cs="Arial"/>
          <w:sz w:val="24"/>
          <w:szCs w:val="24"/>
        </w:rPr>
        <w:t>los</w:t>
      </w:r>
      <w:r w:rsidRPr="00AA2EF2">
        <w:rPr>
          <w:rFonts w:ascii="Palatino Linotype" w:hAnsi="Palatino Linotype" w:cs="Arial"/>
          <w:sz w:val="24"/>
          <w:szCs w:val="24"/>
        </w:rPr>
        <w:t xml:space="preserve"> cual</w:t>
      </w:r>
      <w:r w:rsidR="0036723C" w:rsidRPr="00AA2EF2">
        <w:rPr>
          <w:rFonts w:ascii="Palatino Linotype" w:hAnsi="Palatino Linotype" w:cs="Arial"/>
          <w:sz w:val="24"/>
          <w:szCs w:val="24"/>
        </w:rPr>
        <w:t>es</w:t>
      </w:r>
      <w:r w:rsidRPr="00AA2EF2">
        <w:rPr>
          <w:rFonts w:ascii="Palatino Linotype" w:hAnsi="Palatino Linotype" w:cs="Arial"/>
          <w:sz w:val="24"/>
          <w:szCs w:val="24"/>
        </w:rPr>
        <w:t xml:space="preserve"> fue</w:t>
      </w:r>
      <w:r w:rsidR="0036723C" w:rsidRPr="00AA2EF2">
        <w:rPr>
          <w:rFonts w:ascii="Palatino Linotype" w:hAnsi="Palatino Linotype" w:cs="Arial"/>
          <w:sz w:val="24"/>
          <w:szCs w:val="24"/>
        </w:rPr>
        <w:t>ron</w:t>
      </w:r>
      <w:r w:rsidRPr="00AA2EF2">
        <w:rPr>
          <w:rFonts w:ascii="Palatino Linotype" w:hAnsi="Palatino Linotype" w:cs="Arial"/>
          <w:sz w:val="24"/>
          <w:szCs w:val="24"/>
        </w:rPr>
        <w:t xml:space="preserve"> registrado</w:t>
      </w:r>
      <w:r w:rsidR="0036723C" w:rsidRPr="00AA2EF2">
        <w:rPr>
          <w:rFonts w:ascii="Palatino Linotype" w:hAnsi="Palatino Linotype" w:cs="Arial"/>
          <w:sz w:val="24"/>
          <w:szCs w:val="24"/>
        </w:rPr>
        <w:t>s</w:t>
      </w:r>
      <w:r w:rsidRPr="00AA2EF2">
        <w:rPr>
          <w:rFonts w:ascii="Palatino Linotype" w:hAnsi="Palatino Linotype" w:cs="Arial"/>
          <w:sz w:val="24"/>
          <w:szCs w:val="24"/>
        </w:rPr>
        <w:t xml:space="preserve"> en el sistema electrónico con </w:t>
      </w:r>
      <w:r w:rsidR="0036723C" w:rsidRPr="00AA2EF2">
        <w:rPr>
          <w:rFonts w:ascii="Palatino Linotype" w:hAnsi="Palatino Linotype" w:cs="Arial"/>
          <w:sz w:val="24"/>
          <w:szCs w:val="24"/>
        </w:rPr>
        <w:t>los</w:t>
      </w:r>
      <w:r w:rsidRPr="00AA2EF2">
        <w:rPr>
          <w:rFonts w:ascii="Palatino Linotype" w:hAnsi="Palatino Linotype" w:cs="Arial"/>
          <w:sz w:val="24"/>
          <w:szCs w:val="24"/>
        </w:rPr>
        <w:t xml:space="preserve"> expediente</w:t>
      </w:r>
      <w:r w:rsidR="0036723C" w:rsidRPr="00AA2EF2">
        <w:rPr>
          <w:rFonts w:ascii="Palatino Linotype" w:hAnsi="Palatino Linotype" w:cs="Arial"/>
          <w:sz w:val="24"/>
          <w:szCs w:val="24"/>
        </w:rPr>
        <w:t>s</w:t>
      </w:r>
      <w:r w:rsidRPr="00AA2EF2">
        <w:rPr>
          <w:rFonts w:ascii="Palatino Linotype" w:hAnsi="Palatino Linotype" w:cs="Arial"/>
          <w:sz w:val="24"/>
          <w:szCs w:val="24"/>
        </w:rPr>
        <w:t xml:space="preserve"> número</w:t>
      </w:r>
      <w:r w:rsidR="0036723C" w:rsidRPr="00AA2EF2">
        <w:rPr>
          <w:rFonts w:ascii="Palatino Linotype" w:hAnsi="Palatino Linotype" w:cs="Arial"/>
          <w:sz w:val="24"/>
          <w:szCs w:val="24"/>
        </w:rPr>
        <w:t>s</w:t>
      </w:r>
      <w:r w:rsidRPr="00AA2EF2">
        <w:rPr>
          <w:rFonts w:ascii="Palatino Linotype" w:hAnsi="Palatino Linotype" w:cs="Arial"/>
          <w:sz w:val="24"/>
          <w:szCs w:val="24"/>
        </w:rPr>
        <w:t xml:space="preserve"> </w:t>
      </w:r>
      <w:r w:rsidR="0082201F" w:rsidRPr="00AA2EF2">
        <w:rPr>
          <w:rFonts w:ascii="Palatino Linotype" w:hAnsi="Palatino Linotype" w:cs="Arial"/>
          <w:b/>
          <w:sz w:val="24"/>
          <w:szCs w:val="24"/>
        </w:rPr>
        <w:t>0</w:t>
      </w:r>
      <w:r w:rsidR="0036723C" w:rsidRPr="00AA2EF2">
        <w:rPr>
          <w:rFonts w:ascii="Palatino Linotype" w:hAnsi="Palatino Linotype" w:cs="Arial"/>
          <w:b/>
          <w:bCs/>
          <w:sz w:val="24"/>
          <w:lang w:eastAsia="es-MX"/>
        </w:rPr>
        <w:t xml:space="preserve">4455/INFOEM/IP/RR/2024, </w:t>
      </w:r>
      <w:r w:rsidR="0082201F" w:rsidRPr="00AA2EF2">
        <w:rPr>
          <w:rFonts w:ascii="Palatino Linotype" w:hAnsi="Palatino Linotype" w:cs="Arial"/>
          <w:b/>
          <w:bCs/>
          <w:sz w:val="24"/>
          <w:lang w:eastAsia="es-MX"/>
        </w:rPr>
        <w:t>0</w:t>
      </w:r>
      <w:r w:rsidR="0036723C" w:rsidRPr="00AA2EF2">
        <w:rPr>
          <w:rFonts w:ascii="Palatino Linotype" w:hAnsi="Palatino Linotype" w:cs="Arial"/>
          <w:b/>
          <w:bCs/>
          <w:sz w:val="24"/>
          <w:lang w:eastAsia="es-MX"/>
        </w:rPr>
        <w:t xml:space="preserve">4456/INFOEM/IP/RR/2024, </w:t>
      </w:r>
      <w:r w:rsidR="0082201F" w:rsidRPr="00AA2EF2">
        <w:rPr>
          <w:rFonts w:ascii="Palatino Linotype" w:hAnsi="Palatino Linotype" w:cs="Arial"/>
          <w:b/>
          <w:bCs/>
          <w:sz w:val="24"/>
          <w:lang w:eastAsia="es-MX"/>
        </w:rPr>
        <w:t>0</w:t>
      </w:r>
      <w:r w:rsidR="0036723C" w:rsidRPr="00AA2EF2">
        <w:rPr>
          <w:rFonts w:ascii="Palatino Linotype" w:hAnsi="Palatino Linotype" w:cs="Arial"/>
          <w:b/>
          <w:bCs/>
          <w:sz w:val="24"/>
          <w:lang w:eastAsia="es-MX"/>
        </w:rPr>
        <w:t xml:space="preserve">4457/INFOEM/IP/RR/2024, </w:t>
      </w:r>
      <w:r w:rsidR="0082201F" w:rsidRPr="00AA2EF2">
        <w:rPr>
          <w:rFonts w:ascii="Palatino Linotype" w:hAnsi="Palatino Linotype" w:cs="Arial"/>
          <w:b/>
          <w:bCs/>
          <w:sz w:val="24"/>
          <w:lang w:eastAsia="es-MX"/>
        </w:rPr>
        <w:t>0</w:t>
      </w:r>
      <w:r w:rsidR="0036723C" w:rsidRPr="00AA2EF2">
        <w:rPr>
          <w:rFonts w:ascii="Palatino Linotype" w:hAnsi="Palatino Linotype" w:cs="Arial"/>
          <w:b/>
          <w:bCs/>
          <w:sz w:val="24"/>
          <w:lang w:eastAsia="es-MX"/>
        </w:rPr>
        <w:t xml:space="preserve">4458/INFOEM/IP/RR/2024 y </w:t>
      </w:r>
      <w:r w:rsidR="0082201F" w:rsidRPr="00AA2EF2">
        <w:rPr>
          <w:rFonts w:ascii="Palatino Linotype" w:hAnsi="Palatino Linotype" w:cs="Arial"/>
          <w:b/>
          <w:bCs/>
          <w:sz w:val="24"/>
          <w:lang w:eastAsia="es-MX"/>
        </w:rPr>
        <w:t>0</w:t>
      </w:r>
      <w:r w:rsidR="0036723C" w:rsidRPr="00AA2EF2">
        <w:rPr>
          <w:rFonts w:ascii="Palatino Linotype" w:hAnsi="Palatino Linotype" w:cs="Arial"/>
          <w:b/>
          <w:bCs/>
          <w:sz w:val="24"/>
          <w:lang w:eastAsia="es-MX"/>
        </w:rPr>
        <w:t>4459/INFOEM/IP/RR/2024</w:t>
      </w:r>
      <w:r w:rsidRPr="00AA2EF2">
        <w:rPr>
          <w:rFonts w:ascii="Palatino Linotype" w:hAnsi="Palatino Linotype" w:cs="Arial"/>
          <w:b/>
          <w:sz w:val="24"/>
          <w:szCs w:val="24"/>
        </w:rPr>
        <w:t xml:space="preserve">; </w:t>
      </w:r>
      <w:r w:rsidRPr="00AA2EF2">
        <w:rPr>
          <w:rFonts w:ascii="Palatino Linotype" w:hAnsi="Palatino Linotype" w:cs="Arial"/>
          <w:sz w:val="24"/>
          <w:szCs w:val="24"/>
        </w:rPr>
        <w:t>en los cuales arguye las siguientes manifestaciones:</w:t>
      </w:r>
    </w:p>
    <w:p w:rsidR="0036723C" w:rsidRPr="00AA2EF2" w:rsidRDefault="0036723C" w:rsidP="00A71D17">
      <w:pPr>
        <w:spacing w:before="240" w:line="360" w:lineRule="auto"/>
        <w:jc w:val="both"/>
        <w:rPr>
          <w:rFonts w:ascii="Palatino Linotype" w:hAnsi="Palatino Linotype" w:cs="Arial"/>
          <w:b/>
          <w:i/>
          <w:sz w:val="24"/>
          <w:szCs w:val="24"/>
        </w:rPr>
      </w:pPr>
      <w:r w:rsidRPr="00AA2EF2">
        <w:rPr>
          <w:rFonts w:ascii="Palatino Linotype" w:hAnsi="Palatino Linotype" w:cs="Arial"/>
          <w:b/>
          <w:i/>
          <w:sz w:val="24"/>
          <w:szCs w:val="24"/>
        </w:rPr>
        <w:t>Acto impugnado y Razones o motivos de inconformidad:</w:t>
      </w:r>
    </w:p>
    <w:p w:rsidR="0036723C" w:rsidRPr="00AA2EF2" w:rsidRDefault="0036723C" w:rsidP="00A71D17">
      <w:pPr>
        <w:spacing w:before="240" w:line="360" w:lineRule="auto"/>
        <w:jc w:val="both"/>
        <w:rPr>
          <w:rFonts w:ascii="Palatino Linotype" w:hAnsi="Palatino Linotype" w:cs="Arial"/>
          <w:b/>
          <w:i/>
          <w:sz w:val="24"/>
          <w:szCs w:val="24"/>
        </w:rPr>
      </w:pPr>
      <w:r w:rsidRPr="00AA2EF2">
        <w:rPr>
          <w:rFonts w:ascii="Palatino Linotype" w:hAnsi="Palatino Linotype" w:cs="Arial"/>
          <w:i/>
        </w:rPr>
        <w:t>“no hubo respuesta a la solicitud” (sic)</w:t>
      </w:r>
    </w:p>
    <w:p w:rsidR="0036723C" w:rsidRPr="00AA2EF2" w:rsidRDefault="0036723C" w:rsidP="00A71D17">
      <w:pPr>
        <w:spacing w:before="240" w:line="360" w:lineRule="auto"/>
        <w:jc w:val="both"/>
        <w:rPr>
          <w:rFonts w:ascii="Palatino Linotype" w:hAnsi="Palatino Linotype" w:cs="Arial"/>
          <w:b/>
          <w:sz w:val="28"/>
          <w:szCs w:val="28"/>
        </w:rPr>
      </w:pPr>
    </w:p>
    <w:p w:rsidR="00A71D17" w:rsidRPr="00AA2EF2" w:rsidRDefault="00A71D17" w:rsidP="00A71D17">
      <w:pPr>
        <w:spacing w:before="240" w:line="360" w:lineRule="auto"/>
        <w:jc w:val="both"/>
        <w:rPr>
          <w:rFonts w:ascii="Palatino Linotype" w:hAnsi="Palatino Linotype" w:cs="Arial"/>
          <w:b/>
          <w:sz w:val="28"/>
          <w:szCs w:val="28"/>
        </w:rPr>
      </w:pPr>
      <w:r w:rsidRPr="00AA2EF2">
        <w:rPr>
          <w:rFonts w:ascii="Palatino Linotype" w:hAnsi="Palatino Linotype" w:cs="Arial"/>
          <w:b/>
          <w:sz w:val="28"/>
          <w:szCs w:val="28"/>
        </w:rPr>
        <w:t>CUARTO. Del turno y admisión de los recursos de revisión.</w:t>
      </w:r>
    </w:p>
    <w:p w:rsidR="00A71D17" w:rsidRPr="00AA2EF2" w:rsidRDefault="00A71D17" w:rsidP="00A71D17">
      <w:pPr>
        <w:spacing w:before="240" w:line="360" w:lineRule="auto"/>
        <w:jc w:val="both"/>
        <w:rPr>
          <w:rFonts w:ascii="Palatino Linotype" w:hAnsi="Palatino Linotype" w:cs="Arial"/>
          <w:sz w:val="28"/>
          <w:szCs w:val="24"/>
        </w:rPr>
      </w:pPr>
      <w:r w:rsidRPr="00AA2EF2">
        <w:rPr>
          <w:rFonts w:ascii="Palatino Linotype" w:hAnsi="Palatino Linotype"/>
          <w:sz w:val="24"/>
        </w:rPr>
        <w:t>El medio de impugnación fue turnado a</w:t>
      </w:r>
      <w:r w:rsidR="0036723C" w:rsidRPr="00AA2EF2">
        <w:rPr>
          <w:rFonts w:ascii="Palatino Linotype" w:hAnsi="Palatino Linotype"/>
          <w:sz w:val="24"/>
        </w:rPr>
        <w:t xml:space="preserve"> </w:t>
      </w:r>
      <w:r w:rsidRPr="00AA2EF2">
        <w:rPr>
          <w:rFonts w:ascii="Palatino Linotype" w:hAnsi="Palatino Linotype"/>
          <w:sz w:val="24"/>
        </w:rPr>
        <w:t>l</w:t>
      </w:r>
      <w:r w:rsidR="0036723C" w:rsidRPr="00AA2EF2">
        <w:rPr>
          <w:rFonts w:ascii="Palatino Linotype" w:hAnsi="Palatino Linotype"/>
          <w:sz w:val="24"/>
        </w:rPr>
        <w:t>os</w:t>
      </w:r>
      <w:r w:rsidRPr="00AA2EF2">
        <w:rPr>
          <w:rFonts w:ascii="Palatino Linotype" w:hAnsi="Palatino Linotype"/>
          <w:sz w:val="24"/>
        </w:rPr>
        <w:t xml:space="preserve"> Comisionado</w:t>
      </w:r>
      <w:r w:rsidR="0036723C" w:rsidRPr="00AA2EF2">
        <w:rPr>
          <w:rFonts w:ascii="Palatino Linotype" w:hAnsi="Palatino Linotype"/>
          <w:sz w:val="24"/>
        </w:rPr>
        <w:t>s</w:t>
      </w:r>
      <w:r w:rsidRPr="00AA2EF2">
        <w:rPr>
          <w:rFonts w:ascii="Palatino Linotype" w:hAnsi="Palatino Linotype"/>
          <w:sz w:val="24"/>
        </w:rPr>
        <w:t xml:space="preserve"> José Martínez Vilchis</w:t>
      </w:r>
      <w:r w:rsidR="0036723C" w:rsidRPr="00AA2EF2">
        <w:rPr>
          <w:rFonts w:ascii="Palatino Linotype" w:hAnsi="Palatino Linotype"/>
          <w:sz w:val="24"/>
        </w:rPr>
        <w:t>,</w:t>
      </w:r>
      <w:r w:rsidR="0036723C" w:rsidRPr="00AA2EF2">
        <w:rPr>
          <w:rFonts w:ascii="Palatino Linotype" w:hAnsi="Palatino Linotype"/>
          <w:b/>
          <w:sz w:val="24"/>
        </w:rPr>
        <w:t xml:space="preserve"> </w:t>
      </w:r>
      <w:r w:rsidR="0036723C" w:rsidRPr="00AA2EF2">
        <w:rPr>
          <w:rFonts w:ascii="Palatino Linotype" w:hAnsi="Palatino Linotype"/>
          <w:sz w:val="24"/>
        </w:rPr>
        <w:t>Luis Gustavo Parra Noriega, Sharon Cristina Morales Martínez, María del Rosario Mejía Ayala y Guadalupe Ramírez Peña</w:t>
      </w:r>
      <w:r w:rsidRPr="00AA2EF2">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AA2EF2">
        <w:rPr>
          <w:rFonts w:ascii="Palatino Linotype" w:hAnsi="Palatino Linotype"/>
          <w:b/>
          <w:sz w:val="24"/>
        </w:rPr>
        <w:t>admisión</w:t>
      </w:r>
      <w:r w:rsidRPr="00AA2EF2">
        <w:rPr>
          <w:rFonts w:ascii="Palatino Linotype" w:hAnsi="Palatino Linotype"/>
          <w:sz w:val="24"/>
        </w:rPr>
        <w:t xml:space="preserve"> en fecha </w:t>
      </w:r>
      <w:r w:rsidR="0036723C" w:rsidRPr="00AA2EF2">
        <w:rPr>
          <w:rFonts w:ascii="Palatino Linotype" w:hAnsi="Palatino Linotype"/>
          <w:b/>
          <w:sz w:val="24"/>
        </w:rPr>
        <w:t>quince,</w:t>
      </w:r>
      <w:r w:rsidR="0036723C" w:rsidRPr="00AA2EF2">
        <w:rPr>
          <w:rFonts w:ascii="Palatino Linotype" w:hAnsi="Palatino Linotype"/>
          <w:sz w:val="24"/>
        </w:rPr>
        <w:t xml:space="preserve"> </w:t>
      </w:r>
      <w:r w:rsidR="0036723C" w:rsidRPr="00AA2EF2">
        <w:rPr>
          <w:rFonts w:ascii="Palatino Linotype" w:hAnsi="Palatino Linotype"/>
          <w:b/>
          <w:sz w:val="24"/>
        </w:rPr>
        <w:t>dieciséis y diecisiete de jul</w:t>
      </w:r>
      <w:r w:rsidRPr="00AA2EF2">
        <w:rPr>
          <w:rFonts w:ascii="Palatino Linotype" w:hAnsi="Palatino Linotype"/>
          <w:b/>
          <w:sz w:val="24"/>
        </w:rPr>
        <w:t>io de dos mil veinticuatro</w:t>
      </w:r>
      <w:r w:rsidRPr="00AA2EF2">
        <w:rPr>
          <w:rFonts w:ascii="Palatino Linotype" w:hAnsi="Palatino Linotype"/>
          <w:sz w:val="24"/>
        </w:rPr>
        <w:t>, determinándose en ellos, un plazo de siete días para que las partes manifestaran lo que a su derecho corresponda en términos del numeral ya citado.</w:t>
      </w:r>
    </w:p>
    <w:p w:rsidR="00A71D17" w:rsidRPr="00AA2EF2" w:rsidRDefault="00A71D17" w:rsidP="00A71D17">
      <w:pPr>
        <w:pStyle w:val="Prrafodelista"/>
        <w:spacing w:line="360" w:lineRule="auto"/>
        <w:ind w:left="0"/>
        <w:jc w:val="both"/>
        <w:rPr>
          <w:rFonts w:ascii="Palatino Linotype" w:hAnsi="Palatino Linotype" w:cs="Arial"/>
          <w:b/>
          <w:sz w:val="28"/>
          <w:szCs w:val="28"/>
        </w:rPr>
      </w:pPr>
      <w:r w:rsidRPr="00AA2EF2">
        <w:rPr>
          <w:rFonts w:ascii="Palatino Linotype" w:hAnsi="Palatino Linotype" w:cs="Arial"/>
          <w:b/>
          <w:sz w:val="28"/>
        </w:rPr>
        <w:lastRenderedPageBreak/>
        <w:t>QUINTO</w:t>
      </w:r>
      <w:r w:rsidRPr="00AA2EF2">
        <w:rPr>
          <w:rFonts w:ascii="Palatino Linotype" w:hAnsi="Palatino Linotype" w:cs="Arial"/>
          <w:b/>
          <w:sz w:val="28"/>
          <w:szCs w:val="28"/>
        </w:rPr>
        <w:t>. De la etapa de instrucción.</w:t>
      </w:r>
    </w:p>
    <w:p w:rsidR="00A71D17" w:rsidRPr="00AA2EF2" w:rsidRDefault="00A71D17" w:rsidP="00A71D17">
      <w:pPr>
        <w:spacing w:after="0" w:line="360" w:lineRule="auto"/>
        <w:jc w:val="both"/>
        <w:rPr>
          <w:rFonts w:ascii="Palatino Linotype" w:hAnsi="Palatino Linotype" w:cs="Arial"/>
          <w:sz w:val="24"/>
          <w:szCs w:val="24"/>
        </w:rPr>
      </w:pPr>
      <w:r w:rsidRPr="00AA2EF2">
        <w:rPr>
          <w:rFonts w:ascii="Palatino Linotype" w:hAnsi="Palatino Linotype" w:cs="Arial"/>
          <w:sz w:val="24"/>
          <w:szCs w:val="24"/>
        </w:rPr>
        <w:t>Una vez abierta la etapa de instrucción, se advierte que el Sujeto Obligado fue omiso en rendir su informe justificado. De igual manera, se advierte que el Recurrente</w:t>
      </w:r>
      <w:r w:rsidRPr="00AA2EF2">
        <w:rPr>
          <w:rFonts w:ascii="Palatino Linotype" w:hAnsi="Palatino Linotype" w:cs="Arial"/>
          <w:b/>
          <w:sz w:val="24"/>
          <w:szCs w:val="24"/>
        </w:rPr>
        <w:t>,</w:t>
      </w:r>
      <w:r w:rsidRPr="00AA2EF2">
        <w:rPr>
          <w:rFonts w:ascii="Palatino Linotype" w:hAnsi="Palatino Linotype" w:cs="Arial"/>
          <w:sz w:val="24"/>
          <w:szCs w:val="24"/>
        </w:rPr>
        <w:t xml:space="preserve"> omitió rendir dentro del término de Ley, las manifestaciones que a sus intereses conviniera.</w:t>
      </w:r>
    </w:p>
    <w:p w:rsidR="00A71D17" w:rsidRPr="00AA2EF2" w:rsidRDefault="00A71D17" w:rsidP="00A71D17">
      <w:pPr>
        <w:spacing w:line="360" w:lineRule="auto"/>
        <w:jc w:val="both"/>
        <w:rPr>
          <w:rFonts w:ascii="Palatino Linotype" w:hAnsi="Palatino Linotype" w:cs="Arial"/>
          <w:sz w:val="24"/>
        </w:rPr>
      </w:pPr>
      <w:r w:rsidRPr="00AA2EF2">
        <w:rPr>
          <w:rFonts w:ascii="Palatino Linotype" w:hAnsi="Palatino Linotype" w:cs="Arial"/>
          <w:sz w:val="24"/>
        </w:rPr>
        <w:t xml:space="preserve">Así mismo, se aprecia que no se llevaron a cabo audiencias durante la sustanciación del recurso de revisión, ni se ofrecieron pruebas por parte del </w:t>
      </w:r>
      <w:r w:rsidRPr="00AA2EF2">
        <w:rPr>
          <w:rFonts w:ascii="Palatino Linotype" w:hAnsi="Palatino Linotype" w:cs="Arial"/>
          <w:b/>
          <w:sz w:val="24"/>
        </w:rPr>
        <w:t>Recurrente</w:t>
      </w:r>
      <w:r w:rsidRPr="00AA2EF2">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A71D17" w:rsidRPr="00AA2EF2" w:rsidRDefault="00A71D17" w:rsidP="00A71D17">
      <w:pPr>
        <w:spacing w:after="0" w:line="360" w:lineRule="auto"/>
        <w:jc w:val="both"/>
        <w:rPr>
          <w:rFonts w:ascii="Palatino Linotype" w:hAnsi="Palatino Linotype" w:cs="Arial"/>
          <w:b/>
          <w:sz w:val="28"/>
          <w:szCs w:val="28"/>
        </w:rPr>
      </w:pPr>
    </w:p>
    <w:p w:rsidR="00A71D17" w:rsidRPr="00AA2EF2" w:rsidRDefault="00A71D17" w:rsidP="00A71D17">
      <w:pPr>
        <w:spacing w:line="360" w:lineRule="auto"/>
        <w:jc w:val="both"/>
        <w:rPr>
          <w:rFonts w:ascii="Palatino Linotype" w:eastAsia="Calibri" w:hAnsi="Palatino Linotype" w:cs="Arial"/>
          <w:b/>
          <w:sz w:val="28"/>
          <w:szCs w:val="28"/>
        </w:rPr>
      </w:pPr>
      <w:r w:rsidRPr="00AA2EF2">
        <w:rPr>
          <w:rFonts w:ascii="Palatino Linotype" w:hAnsi="Palatino Linotype" w:cs="Arial"/>
          <w:b/>
          <w:sz w:val="28"/>
          <w:szCs w:val="28"/>
        </w:rPr>
        <w:t>SEXTO.</w:t>
      </w:r>
      <w:r w:rsidRPr="00AA2EF2">
        <w:rPr>
          <w:rFonts w:ascii="Palatino Linotype" w:hAnsi="Palatino Linotype" w:cs="Arial"/>
          <w:b/>
          <w:sz w:val="28"/>
        </w:rPr>
        <w:t xml:space="preserve"> </w:t>
      </w:r>
      <w:r w:rsidRPr="00AA2EF2">
        <w:rPr>
          <w:rFonts w:ascii="Palatino Linotype" w:eastAsia="Calibri" w:hAnsi="Palatino Linotype" w:cs="Arial"/>
          <w:b/>
          <w:sz w:val="28"/>
          <w:szCs w:val="28"/>
        </w:rPr>
        <w:t>De la Acumulación</w:t>
      </w:r>
    </w:p>
    <w:p w:rsidR="00A71D17" w:rsidRPr="00AA2EF2" w:rsidRDefault="00A71D17" w:rsidP="00A71D17">
      <w:pPr>
        <w:pStyle w:val="Prrafodelista"/>
        <w:spacing w:line="360" w:lineRule="auto"/>
        <w:ind w:left="0"/>
        <w:jc w:val="both"/>
        <w:rPr>
          <w:rFonts w:ascii="Palatino Linotype" w:hAnsi="Palatino Linotype"/>
        </w:rPr>
      </w:pPr>
      <w:r w:rsidRPr="00AA2EF2">
        <w:rPr>
          <w:rFonts w:ascii="Palatino Linotype" w:hAnsi="Palatino Linotype"/>
        </w:rPr>
        <w:t xml:space="preserve">Posteriormente por acuerdo del Pleno del Instituto, en la </w:t>
      </w:r>
      <w:r w:rsidRPr="00AA2EF2">
        <w:rPr>
          <w:rFonts w:ascii="Palatino Linotype" w:hAnsi="Palatino Linotype"/>
          <w:b/>
        </w:rPr>
        <w:t xml:space="preserve">Vigésima </w:t>
      </w:r>
      <w:r w:rsidR="0036723C" w:rsidRPr="00AA2EF2">
        <w:rPr>
          <w:rFonts w:ascii="Palatino Linotype" w:hAnsi="Palatino Linotype"/>
          <w:b/>
        </w:rPr>
        <w:t>Séptima</w:t>
      </w:r>
      <w:r w:rsidRPr="00AA2EF2">
        <w:rPr>
          <w:rFonts w:ascii="Palatino Linotype" w:hAnsi="Palatino Linotype"/>
          <w:b/>
        </w:rPr>
        <w:t xml:space="preserve"> Sesión</w:t>
      </w:r>
      <w:r w:rsidRPr="00AA2EF2">
        <w:rPr>
          <w:rFonts w:ascii="Palatino Linotype" w:hAnsi="Palatino Linotype"/>
        </w:rPr>
        <w:t xml:space="preserve"> Ordinaria de Pleno, de fecha </w:t>
      </w:r>
      <w:r w:rsidR="0036723C" w:rsidRPr="00AA2EF2">
        <w:rPr>
          <w:rFonts w:ascii="Palatino Linotype" w:hAnsi="Palatino Linotype"/>
          <w:b/>
        </w:rPr>
        <w:t>siete de agosto</w:t>
      </w:r>
      <w:r w:rsidRPr="00AA2EF2">
        <w:rPr>
          <w:rFonts w:ascii="Palatino Linotype" w:hAnsi="Palatino Linotype"/>
          <w:b/>
        </w:rPr>
        <w:t xml:space="preserve"> de dos mil veinticuatro</w:t>
      </w:r>
      <w:r w:rsidRPr="00AA2EF2">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A71D17" w:rsidRPr="00AA2EF2" w:rsidRDefault="00A71D17" w:rsidP="00A71D17">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A71D17" w:rsidRPr="00AA2EF2" w:rsidTr="00BA0593">
        <w:trPr>
          <w:trHeight w:val="1099"/>
        </w:trPr>
        <w:tc>
          <w:tcPr>
            <w:tcW w:w="7316" w:type="dxa"/>
            <w:tcBorders>
              <w:top w:val="nil"/>
              <w:left w:val="nil"/>
              <w:bottom w:val="nil"/>
              <w:right w:val="nil"/>
            </w:tcBorders>
          </w:tcPr>
          <w:p w:rsidR="00A71D17" w:rsidRPr="00AA2EF2" w:rsidRDefault="00A71D17" w:rsidP="00BA0593">
            <w:pPr>
              <w:pStyle w:val="Prrafodelista"/>
              <w:spacing w:line="360" w:lineRule="auto"/>
              <w:ind w:left="0"/>
              <w:jc w:val="both"/>
              <w:rPr>
                <w:rFonts w:ascii="Palatino Linotype" w:hAnsi="Palatino Linotype"/>
                <w:i/>
                <w:sz w:val="22"/>
              </w:rPr>
            </w:pPr>
            <w:r w:rsidRPr="00AA2EF2">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A71D17" w:rsidRPr="00AA2EF2" w:rsidTr="00BA0593">
        <w:trPr>
          <w:trHeight w:val="2187"/>
        </w:trPr>
        <w:tc>
          <w:tcPr>
            <w:tcW w:w="7316" w:type="dxa"/>
            <w:tcBorders>
              <w:top w:val="nil"/>
              <w:left w:val="nil"/>
              <w:bottom w:val="nil"/>
              <w:right w:val="nil"/>
            </w:tcBorders>
          </w:tcPr>
          <w:p w:rsidR="00A71D17" w:rsidRPr="00AA2EF2" w:rsidRDefault="00A71D17" w:rsidP="00BA0593">
            <w:pPr>
              <w:pStyle w:val="Prrafodelista"/>
              <w:spacing w:line="360" w:lineRule="auto"/>
              <w:ind w:left="0"/>
              <w:jc w:val="both"/>
              <w:rPr>
                <w:rFonts w:ascii="Palatino Linotype" w:hAnsi="Palatino Linotype"/>
                <w:i/>
                <w:sz w:val="22"/>
              </w:rPr>
            </w:pPr>
            <w:r w:rsidRPr="00AA2EF2">
              <w:rPr>
                <w:rFonts w:ascii="Palatino Linotype" w:hAnsi="Palatino Linotype"/>
                <w:i/>
                <w:sz w:val="22"/>
              </w:rPr>
              <w:lastRenderedPageBreak/>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A71D17" w:rsidRPr="00AA2EF2" w:rsidRDefault="00A71D17" w:rsidP="00A71D17">
      <w:pPr>
        <w:spacing w:after="0" w:line="360" w:lineRule="auto"/>
        <w:jc w:val="both"/>
        <w:rPr>
          <w:rFonts w:ascii="Palatino Linotype" w:hAnsi="Palatino Linotype" w:cs="Arial"/>
          <w:b/>
          <w:sz w:val="28"/>
        </w:rPr>
      </w:pPr>
    </w:p>
    <w:p w:rsidR="00A71D17" w:rsidRPr="00AA2EF2" w:rsidRDefault="00A71D17" w:rsidP="00A71D17">
      <w:pPr>
        <w:spacing w:after="0" w:line="360" w:lineRule="auto"/>
        <w:jc w:val="both"/>
        <w:rPr>
          <w:rFonts w:ascii="Palatino Linotype" w:hAnsi="Palatino Linotype" w:cs="Arial"/>
          <w:b/>
          <w:sz w:val="28"/>
          <w:szCs w:val="28"/>
        </w:rPr>
      </w:pPr>
      <w:r w:rsidRPr="00AA2EF2">
        <w:rPr>
          <w:rFonts w:ascii="Palatino Linotype" w:hAnsi="Palatino Linotype" w:cs="Arial"/>
          <w:b/>
          <w:sz w:val="28"/>
        </w:rPr>
        <w:t xml:space="preserve">SÉPTIMO. </w:t>
      </w:r>
      <w:r w:rsidRPr="00AA2EF2">
        <w:rPr>
          <w:rFonts w:ascii="Palatino Linotype" w:hAnsi="Palatino Linotype" w:cs="Arial"/>
          <w:b/>
          <w:sz w:val="28"/>
          <w:szCs w:val="28"/>
        </w:rPr>
        <w:t>Del Cierre de Instrucción.</w:t>
      </w:r>
    </w:p>
    <w:p w:rsidR="00A71D17" w:rsidRPr="00AA2EF2" w:rsidRDefault="00A71D17" w:rsidP="00A71D17">
      <w:pPr>
        <w:spacing w:after="0" w:line="360" w:lineRule="auto"/>
        <w:jc w:val="both"/>
        <w:rPr>
          <w:rFonts w:ascii="Palatino Linotype" w:hAnsi="Palatino Linotype" w:cs="Arial"/>
          <w:sz w:val="24"/>
          <w:szCs w:val="24"/>
        </w:rPr>
      </w:pPr>
      <w:r w:rsidRPr="00AA2EF2">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A40F2B" w:rsidRPr="00AA2EF2">
        <w:rPr>
          <w:rFonts w:ascii="Palatino Linotype" w:hAnsi="Palatino Linotype" w:cs="Arial"/>
          <w:b/>
          <w:sz w:val="24"/>
          <w:szCs w:val="24"/>
        </w:rPr>
        <w:t>catorce de agosto</w:t>
      </w:r>
      <w:r w:rsidRPr="00AA2EF2">
        <w:rPr>
          <w:rFonts w:ascii="Palatino Linotype" w:hAnsi="Palatino Linotype" w:cs="Arial"/>
          <w:b/>
          <w:sz w:val="24"/>
          <w:szCs w:val="24"/>
        </w:rPr>
        <w:t xml:space="preserve"> de dos mil veinticuatro</w:t>
      </w:r>
      <w:r w:rsidRPr="00AA2EF2">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A71D17" w:rsidRPr="00AA2EF2" w:rsidRDefault="00A71D17" w:rsidP="00A71D17">
      <w:pPr>
        <w:spacing w:before="240" w:line="360" w:lineRule="auto"/>
        <w:rPr>
          <w:rFonts w:ascii="Palatino Linotype" w:hAnsi="Palatino Linotype" w:cs="Arial"/>
          <w:b/>
          <w:sz w:val="28"/>
        </w:rPr>
      </w:pPr>
    </w:p>
    <w:p w:rsidR="00A71D17" w:rsidRPr="00AA2EF2" w:rsidRDefault="00A71D17" w:rsidP="00A71D17">
      <w:pPr>
        <w:spacing w:before="240" w:line="360" w:lineRule="auto"/>
        <w:jc w:val="center"/>
        <w:rPr>
          <w:rFonts w:ascii="Palatino Linotype" w:hAnsi="Palatino Linotype" w:cs="Arial"/>
          <w:b/>
          <w:sz w:val="28"/>
        </w:rPr>
      </w:pPr>
      <w:r w:rsidRPr="00AA2EF2">
        <w:rPr>
          <w:rFonts w:ascii="Palatino Linotype" w:hAnsi="Palatino Linotype" w:cs="Arial"/>
          <w:b/>
          <w:sz w:val="28"/>
        </w:rPr>
        <w:t xml:space="preserve">C O N S I D E R A N D O </w:t>
      </w:r>
    </w:p>
    <w:p w:rsidR="00A71D17" w:rsidRPr="00AA2EF2" w:rsidRDefault="00A71D17" w:rsidP="00A71D17">
      <w:pPr>
        <w:spacing w:before="240" w:line="360" w:lineRule="auto"/>
        <w:jc w:val="both"/>
        <w:rPr>
          <w:rFonts w:ascii="Palatino Linotype" w:hAnsi="Palatino Linotype" w:cs="Arial"/>
          <w:sz w:val="28"/>
          <w:szCs w:val="28"/>
        </w:rPr>
      </w:pPr>
      <w:r w:rsidRPr="00AA2EF2">
        <w:rPr>
          <w:rFonts w:ascii="Palatino Linotype" w:hAnsi="Palatino Linotype" w:cs="Arial"/>
          <w:b/>
          <w:sz w:val="28"/>
        </w:rPr>
        <w:t>PRIMERO.</w:t>
      </w:r>
      <w:r w:rsidRPr="00AA2EF2">
        <w:rPr>
          <w:rFonts w:ascii="Palatino Linotype" w:hAnsi="Palatino Linotype" w:cs="Arial"/>
          <w:b/>
        </w:rPr>
        <w:t xml:space="preserve"> </w:t>
      </w:r>
      <w:r w:rsidRPr="00AA2EF2">
        <w:rPr>
          <w:rFonts w:ascii="Palatino Linotype" w:hAnsi="Palatino Linotype" w:cs="Arial"/>
          <w:b/>
          <w:sz w:val="28"/>
          <w:szCs w:val="28"/>
        </w:rPr>
        <w:t>De la competencia</w:t>
      </w:r>
      <w:r w:rsidRPr="00AA2EF2">
        <w:rPr>
          <w:rFonts w:ascii="Palatino Linotype" w:hAnsi="Palatino Linotype" w:cs="Arial"/>
          <w:sz w:val="28"/>
          <w:szCs w:val="28"/>
        </w:rPr>
        <w:t>.</w:t>
      </w:r>
    </w:p>
    <w:p w:rsidR="00A71D17" w:rsidRPr="00AA2EF2" w:rsidRDefault="00A71D17" w:rsidP="00A71D17">
      <w:pPr>
        <w:spacing w:after="0" w:line="360" w:lineRule="auto"/>
        <w:jc w:val="both"/>
        <w:rPr>
          <w:rFonts w:ascii="Palatino Linotype" w:hAnsi="Palatino Linotype" w:cs="Arial"/>
          <w:sz w:val="24"/>
          <w:szCs w:val="24"/>
        </w:rPr>
      </w:pPr>
      <w:r w:rsidRPr="00AA2EF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AA2EF2">
        <w:rPr>
          <w:rFonts w:ascii="Palatino Linotype" w:hAnsi="Palatino Linotype" w:cs="Arial"/>
          <w:sz w:val="24"/>
          <w:szCs w:val="24"/>
        </w:rPr>
        <w:lastRenderedPageBreak/>
        <w:t xml:space="preserve">los presentes recursos de revisión interpuestos por el ahora </w:t>
      </w:r>
      <w:r w:rsidRPr="00AA2EF2">
        <w:rPr>
          <w:rFonts w:ascii="Palatino Linotype" w:hAnsi="Palatino Linotype" w:cs="Arial"/>
          <w:b/>
          <w:sz w:val="24"/>
          <w:szCs w:val="24"/>
        </w:rPr>
        <w:t>Recurrente</w:t>
      </w:r>
      <w:r w:rsidRPr="00AA2EF2">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AA2EF2">
        <w:rPr>
          <w:rFonts w:ascii="Palatino Linotype" w:hAnsi="Palatino Linotype"/>
          <w:sz w:val="24"/>
        </w:rPr>
        <w:t>6, 9 fracciones I y XXIII</w:t>
      </w:r>
      <w:r w:rsidRPr="00AA2EF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A71D17" w:rsidRPr="00AA2EF2" w:rsidRDefault="00A71D17" w:rsidP="00A71D17">
      <w:pPr>
        <w:spacing w:before="240" w:line="360" w:lineRule="auto"/>
        <w:jc w:val="both"/>
        <w:rPr>
          <w:rFonts w:ascii="Palatino Linotype" w:eastAsia="Calibri" w:hAnsi="Palatino Linotype"/>
          <w:b/>
          <w:color w:val="000000" w:themeColor="text1"/>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8"/>
          <w:szCs w:val="24"/>
        </w:rPr>
      </w:pPr>
      <w:r w:rsidRPr="00AA2EF2">
        <w:rPr>
          <w:rFonts w:ascii="Palatino Linotype" w:eastAsia="Palatino Linotype" w:hAnsi="Palatino Linotype" w:cs="Palatino Linotype"/>
          <w:b/>
          <w:sz w:val="28"/>
          <w:szCs w:val="24"/>
        </w:rPr>
        <w:t>SEGUNDO. De la Oportunidad y Procedencia del Recurso de Revisión</w:t>
      </w:r>
      <w:r w:rsidRPr="00AA2EF2">
        <w:rPr>
          <w:rFonts w:ascii="Palatino Linotype" w:eastAsia="Palatino Linotype" w:hAnsi="Palatino Linotype" w:cs="Palatino Linotype"/>
          <w:sz w:val="28"/>
          <w:szCs w:val="24"/>
        </w:rPr>
        <w:t>.</w:t>
      </w:r>
    </w:p>
    <w:p w:rsidR="00D737AE" w:rsidRPr="00AA2EF2" w:rsidRDefault="00D737AE" w:rsidP="00D737AE">
      <w:pPr>
        <w:spacing w:after="0" w:line="360" w:lineRule="auto"/>
        <w:jc w:val="both"/>
        <w:rPr>
          <w:rFonts w:ascii="Palatino Linotype" w:eastAsia="Palatino Linotype" w:hAnsi="Palatino Linotype" w:cs="Palatino Linotype"/>
          <w:b/>
          <w:sz w:val="24"/>
          <w:szCs w:val="24"/>
        </w:rPr>
      </w:pPr>
      <w:r w:rsidRPr="00AA2EF2">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w:t>
      </w:r>
      <w:r w:rsidR="00A40F2B" w:rsidRPr="00AA2EF2">
        <w:rPr>
          <w:rFonts w:ascii="Palatino Linotype" w:eastAsia="Palatino Linotype" w:hAnsi="Palatino Linotype" w:cs="Palatino Linotype"/>
          <w:sz w:val="24"/>
          <w:szCs w:val="24"/>
        </w:rPr>
        <w:t xml:space="preserve">podrá </w:t>
      </w:r>
      <w:r w:rsidRPr="00AA2EF2">
        <w:rPr>
          <w:rFonts w:ascii="Palatino Linotype" w:eastAsia="Palatino Linotype" w:hAnsi="Palatino Linotype" w:cs="Palatino Linotype"/>
          <w:sz w:val="24"/>
          <w:szCs w:val="24"/>
        </w:rPr>
        <w:t xml:space="preserve">interponer, por sí mismo o a </w:t>
      </w:r>
      <w:r w:rsidR="00A40F2B" w:rsidRPr="00AA2EF2">
        <w:rPr>
          <w:rFonts w:ascii="Palatino Linotype" w:eastAsia="Palatino Linotype" w:hAnsi="Palatino Linotype" w:cs="Palatino Linotype"/>
          <w:sz w:val="24"/>
          <w:szCs w:val="24"/>
        </w:rPr>
        <w:t>través</w:t>
      </w:r>
      <w:r w:rsidRPr="00AA2EF2">
        <w:rPr>
          <w:rFonts w:ascii="Palatino Linotype" w:eastAsia="Palatino Linotype" w:hAnsi="Palatino Linotype" w:cs="Palatino Linotype"/>
          <w:sz w:val="24"/>
          <w:szCs w:val="24"/>
        </w:rPr>
        <w:t xml:space="preserve"> de su representante, de manera directa o por medios </w:t>
      </w:r>
      <w:r w:rsidR="00A40F2B" w:rsidRPr="00AA2EF2">
        <w:rPr>
          <w:rFonts w:ascii="Palatino Linotype" w:eastAsia="Palatino Linotype" w:hAnsi="Palatino Linotype" w:cs="Palatino Linotype"/>
          <w:sz w:val="24"/>
          <w:szCs w:val="24"/>
        </w:rPr>
        <w:t>electrónicos</w:t>
      </w:r>
      <w:r w:rsidRPr="00AA2EF2">
        <w:rPr>
          <w:rFonts w:ascii="Palatino Linotype" w:eastAsia="Palatino Linotype" w:hAnsi="Palatino Linotype" w:cs="Palatino Linotype"/>
          <w:sz w:val="24"/>
          <w:szCs w:val="24"/>
        </w:rPr>
        <w:t xml:space="preserve">, recurso de </w:t>
      </w:r>
      <w:r w:rsidR="00A40F2B" w:rsidRPr="00AA2EF2">
        <w:rPr>
          <w:rFonts w:ascii="Palatino Linotype" w:eastAsia="Palatino Linotype" w:hAnsi="Palatino Linotype" w:cs="Palatino Linotype"/>
          <w:sz w:val="24"/>
          <w:szCs w:val="24"/>
        </w:rPr>
        <w:t>revisión</w:t>
      </w:r>
      <w:r w:rsidRPr="00AA2EF2">
        <w:rPr>
          <w:rFonts w:ascii="Palatino Linotype" w:eastAsia="Palatino Linotype" w:hAnsi="Palatino Linotype" w:cs="Palatino Linotype"/>
          <w:sz w:val="24"/>
          <w:szCs w:val="24"/>
        </w:rPr>
        <w:t xml:space="preserve"> ante el Instituto o ante la Unidad de Transparencia que haya conocido de la solicitud dentro de los quince </w:t>
      </w:r>
      <w:r w:rsidR="00A40F2B" w:rsidRPr="00AA2EF2">
        <w:rPr>
          <w:rFonts w:ascii="Palatino Linotype" w:eastAsia="Palatino Linotype" w:hAnsi="Palatino Linotype" w:cs="Palatino Linotype"/>
          <w:sz w:val="24"/>
          <w:szCs w:val="24"/>
        </w:rPr>
        <w:t>días</w:t>
      </w:r>
      <w:r w:rsidRPr="00AA2EF2">
        <w:rPr>
          <w:rFonts w:ascii="Palatino Linotype" w:eastAsia="Palatino Linotype" w:hAnsi="Palatino Linotype" w:cs="Palatino Linotype"/>
          <w:sz w:val="24"/>
          <w:szCs w:val="24"/>
        </w:rPr>
        <w:t xml:space="preserve"> </w:t>
      </w:r>
      <w:r w:rsidR="00A40F2B" w:rsidRPr="00AA2EF2">
        <w:rPr>
          <w:rFonts w:ascii="Palatino Linotype" w:eastAsia="Palatino Linotype" w:hAnsi="Palatino Linotype" w:cs="Palatino Linotype"/>
          <w:sz w:val="24"/>
          <w:szCs w:val="24"/>
        </w:rPr>
        <w:t>hábiles</w:t>
      </w:r>
      <w:r w:rsidRPr="00AA2EF2">
        <w:rPr>
          <w:rFonts w:ascii="Palatino Linotype" w:eastAsia="Palatino Linotype" w:hAnsi="Palatino Linotype" w:cs="Palatino Linotype"/>
          <w:sz w:val="24"/>
          <w:szCs w:val="24"/>
        </w:rPr>
        <w:t xml:space="preserve">, siguientes a la fecha de la </w:t>
      </w:r>
      <w:r w:rsidR="00A40F2B" w:rsidRPr="00AA2EF2">
        <w:rPr>
          <w:rFonts w:ascii="Palatino Linotype" w:eastAsia="Palatino Linotype" w:hAnsi="Palatino Linotype" w:cs="Palatino Linotype"/>
          <w:sz w:val="24"/>
          <w:szCs w:val="24"/>
        </w:rPr>
        <w:t>notificación</w:t>
      </w:r>
      <w:r w:rsidRPr="00AA2EF2">
        <w:rPr>
          <w:rFonts w:ascii="Palatino Linotype" w:eastAsia="Palatino Linotype" w:hAnsi="Palatino Linotype" w:cs="Palatino Linotype"/>
          <w:sz w:val="24"/>
          <w:szCs w:val="24"/>
        </w:rPr>
        <w:t xml:space="preserve"> de la respuesta y que ante la falta de respuesta del sujeto obligado, dentro de los plazos establecidos en la Ley de Transparencia Local, a una solicitud de acceso a la </w:t>
      </w:r>
      <w:r w:rsidR="00A40F2B" w:rsidRPr="00AA2EF2">
        <w:rPr>
          <w:rFonts w:ascii="Palatino Linotype" w:eastAsia="Palatino Linotype" w:hAnsi="Palatino Linotype" w:cs="Palatino Linotype"/>
          <w:sz w:val="24"/>
          <w:szCs w:val="24"/>
        </w:rPr>
        <w:t>información</w:t>
      </w:r>
      <w:r w:rsidRPr="00AA2EF2">
        <w:rPr>
          <w:rFonts w:ascii="Palatino Linotype" w:eastAsia="Palatino Linotype" w:hAnsi="Palatino Linotype" w:cs="Palatino Linotype"/>
          <w:sz w:val="24"/>
          <w:szCs w:val="24"/>
        </w:rPr>
        <w:t xml:space="preserve"> </w:t>
      </w:r>
      <w:r w:rsidR="00A40F2B" w:rsidRPr="00AA2EF2">
        <w:rPr>
          <w:rFonts w:ascii="Palatino Linotype" w:eastAsia="Palatino Linotype" w:hAnsi="Palatino Linotype" w:cs="Palatino Linotype"/>
          <w:sz w:val="24"/>
          <w:szCs w:val="24"/>
        </w:rPr>
        <w:t>pública</w:t>
      </w:r>
      <w:r w:rsidRPr="00AA2EF2">
        <w:rPr>
          <w:rFonts w:ascii="Palatino Linotype" w:eastAsia="Palatino Linotype" w:hAnsi="Palatino Linotype" w:cs="Palatino Linotype"/>
          <w:sz w:val="24"/>
          <w:szCs w:val="24"/>
        </w:rPr>
        <w:t xml:space="preserve">, el recurso </w:t>
      </w:r>
      <w:r w:rsidR="00A40F2B" w:rsidRPr="00AA2EF2">
        <w:rPr>
          <w:rFonts w:ascii="Palatino Linotype" w:eastAsia="Palatino Linotype" w:hAnsi="Palatino Linotype" w:cs="Palatino Linotype"/>
          <w:sz w:val="24"/>
          <w:szCs w:val="24"/>
        </w:rPr>
        <w:t xml:space="preserve">podrá </w:t>
      </w:r>
      <w:r w:rsidRPr="00AA2EF2">
        <w:rPr>
          <w:rFonts w:ascii="Palatino Linotype" w:eastAsia="Palatino Linotype" w:hAnsi="Palatino Linotype" w:cs="Palatino Linotype"/>
          <w:sz w:val="24"/>
          <w:szCs w:val="24"/>
        </w:rPr>
        <w:t>ser interpuesto en cualquier momento, por lo que la interposición del presente recurso de revisión resulta oportuna.</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AA2EF2">
        <w:rPr>
          <w:rFonts w:ascii="Palatino Linotype" w:eastAsia="Palatino Linotype" w:hAnsi="Palatino Linotype" w:cs="Palatino Linotype"/>
          <w:b/>
          <w:sz w:val="24"/>
          <w:szCs w:val="24"/>
        </w:rPr>
        <w:t>Recurrente</w:t>
      </w:r>
      <w:r w:rsidRPr="00AA2EF2">
        <w:rPr>
          <w:rFonts w:ascii="Palatino Linotype" w:eastAsia="Palatino Linotype" w:hAnsi="Palatino Linotype" w:cs="Palatino Linotype"/>
          <w:sz w:val="24"/>
          <w:szCs w:val="24"/>
        </w:rPr>
        <w:t xml:space="preserve">, por lo que, en el presente caso, al haber sido presentado el recurso de revisión vía </w:t>
      </w:r>
      <w:r w:rsidRPr="00AA2EF2">
        <w:rPr>
          <w:rFonts w:ascii="Palatino Linotype" w:eastAsia="Palatino Linotype" w:hAnsi="Palatino Linotype" w:cs="Palatino Linotype"/>
          <w:b/>
          <w:sz w:val="24"/>
          <w:szCs w:val="24"/>
        </w:rPr>
        <w:t>SAIMEX</w:t>
      </w:r>
      <w:r w:rsidRPr="00AA2EF2">
        <w:rPr>
          <w:rFonts w:ascii="Palatino Linotype" w:eastAsia="Palatino Linotype" w:hAnsi="Palatino Linotype" w:cs="Palatino Linotype"/>
          <w:sz w:val="24"/>
          <w:szCs w:val="24"/>
        </w:rPr>
        <w:t>, dicho requisito resulta innecesario.</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before="240" w:after="240" w:line="360" w:lineRule="auto"/>
        <w:jc w:val="both"/>
        <w:rPr>
          <w:rFonts w:ascii="Palatino Linotype" w:eastAsia="Palatino Linotype" w:hAnsi="Palatino Linotype" w:cs="Palatino Linotype"/>
          <w:i/>
          <w:sz w:val="24"/>
          <w:szCs w:val="24"/>
        </w:rPr>
      </w:pPr>
      <w:r w:rsidRPr="00AA2EF2">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hipótesis jurídica que se actualiza en este caso, aunado a que la parte </w:t>
      </w:r>
      <w:r w:rsidRPr="00AA2EF2">
        <w:rPr>
          <w:rFonts w:ascii="Palatino Linotype" w:eastAsia="Palatino Linotype" w:hAnsi="Palatino Linotype" w:cs="Palatino Linotype"/>
          <w:b/>
          <w:sz w:val="24"/>
          <w:szCs w:val="24"/>
        </w:rPr>
        <w:t>Recurrente</w:t>
      </w:r>
      <w:r w:rsidRPr="00AA2EF2">
        <w:rPr>
          <w:rFonts w:ascii="Palatino Linotype" w:eastAsia="Palatino Linotype" w:hAnsi="Palatino Linotype" w:cs="Palatino Linotype"/>
          <w:sz w:val="24"/>
          <w:szCs w:val="24"/>
        </w:rPr>
        <w:t xml:space="preserve"> combate falta de trámite por 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y expresa motivos de inconformidad en contra de dicha circunstancia.</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widowControl w:val="0"/>
        <w:spacing w:after="0" w:line="360" w:lineRule="auto"/>
        <w:jc w:val="both"/>
        <w:rPr>
          <w:rFonts w:ascii="Palatino Linotype" w:eastAsia="Palatino Linotype" w:hAnsi="Palatino Linotype" w:cs="Palatino Linotype"/>
          <w:b/>
          <w:sz w:val="28"/>
          <w:szCs w:val="28"/>
        </w:rPr>
      </w:pPr>
      <w:r w:rsidRPr="00AA2EF2">
        <w:rPr>
          <w:rFonts w:ascii="Palatino Linotype" w:eastAsia="Palatino Linotype" w:hAnsi="Palatino Linotype" w:cs="Palatino Linotype"/>
          <w:b/>
          <w:sz w:val="28"/>
          <w:szCs w:val="28"/>
        </w:rPr>
        <w:lastRenderedPageBreak/>
        <w:t xml:space="preserve">TERCERO. Estudio y resolución del asunto. </w:t>
      </w:r>
    </w:p>
    <w:p w:rsidR="00D737AE" w:rsidRPr="00AA2EF2" w:rsidRDefault="00D737AE" w:rsidP="00D737AE">
      <w:pPr>
        <w:spacing w:after="0" w:line="360" w:lineRule="auto"/>
        <w:jc w:val="both"/>
        <w:rPr>
          <w:rFonts w:ascii="Palatino Linotype" w:eastAsia="Palatino Linotype" w:hAnsi="Palatino Linotype" w:cs="Palatino Linotype"/>
          <w:color w:val="000000"/>
          <w:sz w:val="24"/>
          <w:szCs w:val="24"/>
        </w:rPr>
      </w:pPr>
      <w:r w:rsidRPr="00AA2EF2">
        <w:rPr>
          <w:rFonts w:ascii="Palatino Linotype" w:eastAsia="Palatino Linotype" w:hAnsi="Palatino Linotype" w:cs="Palatino Linotype"/>
          <w:sz w:val="24"/>
          <w:szCs w:val="24"/>
        </w:rPr>
        <w:t xml:space="preserve">El derecho de acceso a la información pública es un </w:t>
      </w:r>
      <w:r w:rsidRPr="00AA2EF2">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sidRPr="00AA2EF2">
        <w:rPr>
          <w:rFonts w:ascii="Palatino Linotype" w:eastAsia="Palatino Linotype" w:hAnsi="Palatino Linotype" w:cs="Palatino Linotype"/>
          <w:color w:val="000000"/>
          <w:sz w:val="24"/>
          <w:szCs w:val="24"/>
        </w:rPr>
        <w:t xml:space="preserve">en la fracción VII del artículo 179 de la Ley de Transparencia y Acceso a la Información Pública del Estado </w:t>
      </w:r>
      <w:r w:rsidRPr="00AA2EF2">
        <w:rPr>
          <w:rFonts w:ascii="Palatino Linotype" w:eastAsia="Palatino Linotype" w:hAnsi="Palatino Linotype" w:cs="Palatino Linotype"/>
          <w:color w:val="000000"/>
          <w:sz w:val="24"/>
          <w:szCs w:val="24"/>
        </w:rPr>
        <w:lastRenderedPageBreak/>
        <w:t>de México y Municipios,</w:t>
      </w:r>
      <w:r w:rsidRPr="00AA2EF2">
        <w:rPr>
          <w:rFonts w:ascii="Palatino Linotype" w:eastAsia="Palatino Linotype" w:hAnsi="Palatino Linotype" w:cs="Palatino Linotype"/>
          <w:b/>
          <w:color w:val="000000"/>
          <w:sz w:val="24"/>
          <w:szCs w:val="24"/>
        </w:rPr>
        <w:t xml:space="preserve"> </w:t>
      </w:r>
      <w:r w:rsidRPr="00AA2EF2">
        <w:rPr>
          <w:rFonts w:ascii="Palatino Linotype" w:eastAsia="Palatino Linotype" w:hAnsi="Palatino Linotype" w:cs="Palatino Linotype"/>
          <w:color w:val="000000"/>
          <w:sz w:val="24"/>
          <w:szCs w:val="24"/>
        </w:rPr>
        <w:t>y</w:t>
      </w:r>
      <w:r w:rsidRPr="00AA2EF2">
        <w:rPr>
          <w:rFonts w:ascii="Palatino Linotype" w:eastAsia="Palatino Linotype" w:hAnsi="Palatino Linotype" w:cs="Palatino Linotype"/>
          <w:b/>
          <w:color w:val="000000"/>
          <w:sz w:val="24"/>
          <w:szCs w:val="24"/>
        </w:rPr>
        <w:t xml:space="preserve"> </w:t>
      </w:r>
      <w:r w:rsidRPr="00AA2EF2">
        <w:rPr>
          <w:rFonts w:ascii="Palatino Linotype" w:eastAsia="Palatino Linotype" w:hAnsi="Palatino Linotype" w:cs="Palatino Linotype"/>
          <w:sz w:val="24"/>
          <w:szCs w:val="24"/>
        </w:rPr>
        <w:t>por tanto, procedente la interposición del recurso de revisión.</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En consecuencia, las razones o motivos de inconformidad hechos valer, resultan </w:t>
      </w:r>
      <w:r w:rsidRPr="00AA2EF2">
        <w:rPr>
          <w:rFonts w:ascii="Palatino Linotype" w:eastAsia="Palatino Linotype" w:hAnsi="Palatino Linotype" w:cs="Palatino Linotype"/>
          <w:b/>
          <w:sz w:val="24"/>
          <w:szCs w:val="24"/>
        </w:rPr>
        <w:t>fundadas y procedentes</w:t>
      </w:r>
      <w:r w:rsidRPr="00AA2EF2">
        <w:rPr>
          <w:rFonts w:ascii="Palatino Linotype" w:eastAsia="Palatino Linotype" w:hAnsi="Palatino Linotype" w:cs="Palatino Linotype"/>
          <w:sz w:val="24"/>
          <w:szCs w:val="24"/>
        </w:rPr>
        <w:t xml:space="preserve">, en virtud de las constancias que obran en el expediente electrónico SAIMEX, se acredita que 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fue omiso en responder las solicitudes de información hechas por la parte </w:t>
      </w:r>
      <w:r w:rsidRPr="00AA2EF2">
        <w:rPr>
          <w:rFonts w:ascii="Palatino Linotype" w:eastAsia="Palatino Linotype" w:hAnsi="Palatino Linotype" w:cs="Palatino Linotype"/>
          <w:b/>
          <w:sz w:val="24"/>
          <w:szCs w:val="24"/>
        </w:rPr>
        <w:t>Recurrente</w:t>
      </w:r>
      <w:r w:rsidRPr="00AA2EF2">
        <w:rPr>
          <w:rFonts w:ascii="Palatino Linotype" w:eastAsia="Palatino Linotype" w:hAnsi="Palatino Linotype" w:cs="Palatino Linotype"/>
          <w:sz w:val="24"/>
          <w:szCs w:val="24"/>
        </w:rPr>
        <w:t xml:space="preserve">, es decir, incumplió las obligaciones que se le imponen como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widowControl w:val="0"/>
        <w:tabs>
          <w:tab w:val="left" w:pos="1276"/>
        </w:tabs>
        <w:spacing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37AE" w:rsidRPr="00AA2EF2" w:rsidRDefault="00D737AE" w:rsidP="00D737AE">
      <w:pPr>
        <w:widowControl w:val="0"/>
        <w:tabs>
          <w:tab w:val="left" w:pos="1276"/>
        </w:tabs>
        <w:spacing w:line="360" w:lineRule="auto"/>
        <w:jc w:val="both"/>
        <w:rPr>
          <w:rFonts w:ascii="Palatino Linotype" w:eastAsia="Palatino Linotype" w:hAnsi="Palatino Linotype" w:cs="Palatino Linotype"/>
          <w:sz w:val="24"/>
          <w:szCs w:val="24"/>
        </w:rPr>
      </w:pPr>
    </w:p>
    <w:p w:rsidR="00D737AE" w:rsidRPr="00AA2EF2" w:rsidRDefault="00D737AE" w:rsidP="00D737AE">
      <w:pPr>
        <w:widowControl w:val="0"/>
        <w:tabs>
          <w:tab w:val="left" w:pos="1276"/>
        </w:tabs>
        <w:spacing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El artículo 53, fracciones II, IV y V de la Ley de Transparencia Local establece que las </w:t>
      </w:r>
      <w:r w:rsidRPr="00AA2EF2">
        <w:rPr>
          <w:rFonts w:ascii="Palatino Linotype" w:eastAsia="Palatino Linotype" w:hAnsi="Palatino Linotype" w:cs="Palatino Linotype"/>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37AE" w:rsidRPr="00AA2EF2" w:rsidRDefault="00D737AE" w:rsidP="00D737AE">
      <w:pPr>
        <w:widowControl w:val="0"/>
        <w:tabs>
          <w:tab w:val="left" w:pos="1276"/>
        </w:tabs>
        <w:spacing w:line="360" w:lineRule="auto"/>
        <w:jc w:val="both"/>
        <w:rPr>
          <w:rFonts w:ascii="Palatino Linotype" w:eastAsia="Palatino Linotype" w:hAnsi="Palatino Linotype" w:cs="Palatino Linotype"/>
          <w:sz w:val="24"/>
          <w:szCs w:val="24"/>
        </w:rPr>
      </w:pPr>
    </w:p>
    <w:p w:rsidR="00D737AE" w:rsidRPr="00AA2EF2" w:rsidRDefault="00D737AE" w:rsidP="00D737AE">
      <w:pPr>
        <w:spacing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i/>
          <w:sz w:val="24"/>
          <w:szCs w:val="24"/>
        </w:rPr>
      </w:pPr>
      <w:r w:rsidRPr="00AA2EF2">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sidRPr="00AA2EF2">
        <w:rPr>
          <w:rFonts w:ascii="Palatino Linotype" w:eastAsia="Palatino Linotype" w:hAnsi="Palatino Linotype" w:cs="Palatino Linotype"/>
          <w:i/>
          <w:sz w:val="24"/>
          <w:szCs w:val="24"/>
        </w:rPr>
        <w:t xml:space="preserve">procedimiento de acceso a la información es la garantía primaria del derecho en cuestión, </w:t>
      </w:r>
      <w:r w:rsidRPr="00AA2EF2">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a su deber de garantizar el derecho, lo que constituye una vulneración al mismo.</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lastRenderedPageBreak/>
        <w:t xml:space="preserve">Por lo que, en cumplimiento a esta resolución, el </w:t>
      </w:r>
      <w:r w:rsidRPr="00AA2EF2">
        <w:rPr>
          <w:rFonts w:ascii="Palatino Linotype" w:eastAsia="Palatino Linotype" w:hAnsi="Palatino Linotype" w:cs="Palatino Linotype"/>
          <w:b/>
          <w:sz w:val="24"/>
          <w:szCs w:val="24"/>
        </w:rPr>
        <w:t xml:space="preserve">Sujeto Obligado </w:t>
      </w:r>
      <w:r w:rsidRPr="00AA2EF2">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numPr>
          <w:ilvl w:val="0"/>
          <w:numId w:val="22"/>
        </w:numPr>
        <w:spacing w:after="0" w:line="360" w:lineRule="auto"/>
        <w:jc w:val="both"/>
        <w:rPr>
          <w:b/>
          <w:sz w:val="28"/>
          <w:szCs w:val="28"/>
        </w:rPr>
      </w:pPr>
      <w:r w:rsidRPr="00AA2EF2">
        <w:rPr>
          <w:rFonts w:ascii="Palatino Linotype" w:eastAsia="Palatino Linotype" w:hAnsi="Palatino Linotype" w:cs="Palatino Linotype"/>
          <w:b/>
          <w:sz w:val="28"/>
          <w:szCs w:val="28"/>
        </w:rPr>
        <w:t>De la clasificación de la información</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37AE" w:rsidRPr="00AA2EF2" w:rsidRDefault="00D737AE" w:rsidP="00D737AE">
      <w:pPr>
        <w:spacing w:line="360" w:lineRule="auto"/>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spacing w:line="360" w:lineRule="auto"/>
        <w:jc w:val="both"/>
        <w:rPr>
          <w:rFonts w:ascii="Palatino Linotype" w:eastAsia="Palatino Linotype" w:hAnsi="Palatino Linotype" w:cs="Palatino Linotype"/>
          <w:sz w:val="24"/>
          <w:szCs w:val="24"/>
        </w:rPr>
      </w:pPr>
      <w:bookmarkStart w:id="0" w:name="_gjdgxs" w:colFirst="0" w:colLast="0"/>
      <w:bookmarkEnd w:id="0"/>
      <w:r w:rsidRPr="00AA2EF2">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w:t>
      </w:r>
      <w:r w:rsidRPr="00AA2EF2">
        <w:rPr>
          <w:rFonts w:ascii="Palatino Linotype" w:eastAsia="Palatino Linotype" w:hAnsi="Palatino Linotype" w:cs="Palatino Linotype"/>
          <w:sz w:val="24"/>
          <w:szCs w:val="24"/>
        </w:rPr>
        <w:lastRenderedPageBreak/>
        <w:t>para la clasificación y desclasificación de la información, garantizan la confidencialidad, el uso adecuado de la información, entre otros.</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37AE" w:rsidRPr="00AA2EF2" w:rsidRDefault="00D737AE" w:rsidP="00D737AE">
      <w:pPr>
        <w:spacing w:line="360" w:lineRule="auto"/>
        <w:ind w:right="51"/>
        <w:jc w:val="both"/>
        <w:rPr>
          <w:rFonts w:ascii="Palatino Linotype" w:eastAsia="Palatino Linotype" w:hAnsi="Palatino Linotype" w:cs="Palatino Linotype"/>
          <w:sz w:val="24"/>
          <w:szCs w:val="24"/>
        </w:rPr>
      </w:pPr>
    </w:p>
    <w:p w:rsidR="00D737AE" w:rsidRPr="00AA2EF2" w:rsidRDefault="00D737AE" w:rsidP="00D737AE">
      <w:pPr>
        <w:spacing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37AE" w:rsidRPr="00AA2EF2" w:rsidRDefault="00D737AE" w:rsidP="00D737AE">
      <w:pPr>
        <w:spacing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AA2EF2">
        <w:rPr>
          <w:rFonts w:ascii="Palatino Linotype" w:eastAsia="Palatino Linotype" w:hAnsi="Palatino Linotype" w:cs="Palatino Linotype"/>
          <w:i/>
          <w:sz w:val="24"/>
          <w:szCs w:val="24"/>
        </w:rPr>
        <w:t>.</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p>
    <w:p w:rsidR="00D737AE" w:rsidRPr="00AA2EF2" w:rsidRDefault="00D737AE" w:rsidP="00D737AE">
      <w:pPr>
        <w:numPr>
          <w:ilvl w:val="0"/>
          <w:numId w:val="23"/>
        </w:numPr>
        <w:tabs>
          <w:tab w:val="left" w:pos="7938"/>
        </w:tabs>
        <w:spacing w:after="0" w:line="360" w:lineRule="auto"/>
        <w:ind w:left="426"/>
        <w:jc w:val="both"/>
        <w:rPr>
          <w:b/>
          <w:sz w:val="28"/>
          <w:szCs w:val="28"/>
        </w:rPr>
      </w:pPr>
      <w:r w:rsidRPr="00AA2EF2">
        <w:rPr>
          <w:rFonts w:ascii="Palatino Linotype" w:eastAsia="Palatino Linotype" w:hAnsi="Palatino Linotype" w:cs="Palatino Linotype"/>
          <w:b/>
          <w:sz w:val="28"/>
          <w:szCs w:val="28"/>
        </w:rPr>
        <w:t>De la vista a los órganos interno</w:t>
      </w:r>
      <w:r w:rsidR="0082201F" w:rsidRPr="00AA2EF2">
        <w:rPr>
          <w:rFonts w:ascii="Palatino Linotype" w:eastAsia="Palatino Linotype" w:hAnsi="Palatino Linotype" w:cs="Palatino Linotype"/>
          <w:b/>
          <w:sz w:val="28"/>
          <w:szCs w:val="28"/>
        </w:rPr>
        <w:t>s</w:t>
      </w:r>
      <w:r w:rsidRPr="00AA2EF2">
        <w:rPr>
          <w:rFonts w:ascii="Palatino Linotype" w:eastAsia="Palatino Linotype" w:hAnsi="Palatino Linotype" w:cs="Palatino Linotype"/>
          <w:b/>
          <w:sz w:val="28"/>
          <w:szCs w:val="28"/>
        </w:rPr>
        <w:t xml:space="preserve"> </w:t>
      </w:r>
      <w:r w:rsidR="0082201F" w:rsidRPr="00AA2EF2">
        <w:rPr>
          <w:rFonts w:ascii="Palatino Linotype" w:eastAsia="Palatino Linotype" w:hAnsi="Palatino Linotype" w:cs="Palatino Linotype"/>
          <w:b/>
          <w:sz w:val="28"/>
          <w:szCs w:val="28"/>
        </w:rPr>
        <w:t xml:space="preserve">de control </w:t>
      </w:r>
      <w:r w:rsidRPr="00AA2EF2">
        <w:rPr>
          <w:rFonts w:ascii="Palatino Linotype" w:eastAsia="Palatino Linotype" w:hAnsi="Palatino Linotype" w:cs="Palatino Linotype"/>
          <w:b/>
          <w:sz w:val="28"/>
          <w:szCs w:val="28"/>
        </w:rPr>
        <w:t xml:space="preserve">competentes </w:t>
      </w:r>
    </w:p>
    <w:p w:rsidR="00D737AE" w:rsidRPr="00AA2EF2" w:rsidRDefault="00D737AE" w:rsidP="00D737AE">
      <w:pPr>
        <w:spacing w:line="360" w:lineRule="auto"/>
        <w:ind w:right="49"/>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Como ya se mencionó el</w:t>
      </w:r>
      <w:r w:rsidRPr="00AA2EF2">
        <w:rPr>
          <w:rFonts w:ascii="Palatino Linotype" w:eastAsia="Palatino Linotype" w:hAnsi="Palatino Linotype" w:cs="Palatino Linotype"/>
          <w:b/>
          <w:sz w:val="24"/>
          <w:szCs w:val="24"/>
        </w:rPr>
        <w:t xml:space="preserve"> Sujeto Obligado</w:t>
      </w:r>
      <w:r w:rsidRPr="00AA2EF2">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AA2EF2">
        <w:rPr>
          <w:rFonts w:ascii="Palatino Linotype" w:eastAsia="Palatino Linotype" w:hAnsi="Palatino Linotype" w:cs="Palatino Linotype"/>
          <w:b/>
          <w:sz w:val="24"/>
          <w:szCs w:val="24"/>
        </w:rPr>
        <w:t xml:space="preserve"> </w:t>
      </w:r>
      <w:r w:rsidRPr="00AA2EF2">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w:t>
      </w:r>
      <w:r w:rsidRPr="00AA2EF2">
        <w:rPr>
          <w:rFonts w:ascii="Palatino Linotype" w:eastAsia="Palatino Linotype" w:hAnsi="Palatino Linotype" w:cs="Palatino Linotype"/>
          <w:sz w:val="24"/>
          <w:szCs w:val="24"/>
        </w:rPr>
        <w:lastRenderedPageBreak/>
        <w:t>Interior del Instituto de Transparencia, Acceso a la Información y Protección de Datos Personales del Estado de México y Municipios, se determine lo conducente.</w:t>
      </w:r>
    </w:p>
    <w:p w:rsidR="00D737AE" w:rsidRPr="00AA2EF2" w:rsidRDefault="00D737AE" w:rsidP="00D737AE">
      <w:pPr>
        <w:spacing w:after="0" w:line="360" w:lineRule="auto"/>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sidRPr="00AA2EF2">
        <w:rPr>
          <w:rFonts w:ascii="Palatino Linotype" w:eastAsia="Palatino Linotype" w:hAnsi="Palatino Linotype" w:cs="Palatino Linotype"/>
          <w:b/>
          <w:sz w:val="24"/>
          <w:szCs w:val="24"/>
        </w:rPr>
        <w:t>ORDENA</w:t>
      </w:r>
      <w:r w:rsidRPr="00AA2EF2">
        <w:rPr>
          <w:rFonts w:ascii="Palatino Linotype" w:eastAsia="Palatino Linotype" w:hAnsi="Palatino Linotype" w:cs="Palatino Linotype"/>
          <w:sz w:val="24"/>
          <w:szCs w:val="24"/>
        </w:rPr>
        <w:t xml:space="preserve"> al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atienda las solicitudes de información </w:t>
      </w:r>
      <w:r w:rsidR="00A40F2B" w:rsidRPr="00AA2EF2">
        <w:rPr>
          <w:rFonts w:ascii="Palatino Linotype" w:eastAsia="Palatino Linotype" w:hAnsi="Palatino Linotype" w:cs="Palatino Linotype"/>
          <w:b/>
          <w:sz w:val="24"/>
          <w:szCs w:val="24"/>
        </w:rPr>
        <w:t>00059/FELIPRO/IP/2024</w:t>
      </w:r>
      <w:r w:rsidR="00C22EE2" w:rsidRPr="00AA2EF2">
        <w:rPr>
          <w:rFonts w:ascii="Palatino Linotype" w:eastAsia="Palatino Linotype" w:hAnsi="Palatino Linotype" w:cs="Palatino Linotype"/>
          <w:b/>
          <w:sz w:val="24"/>
          <w:szCs w:val="24"/>
        </w:rPr>
        <w:t>, 00058/FELIPRO/IP/2024, 00057/FELIPRO/IP/2024, 00056/FELIPRO/IP/2024 y 00055/FELIPRO/IP/2024</w:t>
      </w:r>
      <w:r w:rsidRPr="00AA2EF2">
        <w:rPr>
          <w:rFonts w:ascii="Palatino Linotype" w:eastAsia="Palatino Linotype" w:hAnsi="Palatino Linotype" w:cs="Palatino Linotype"/>
          <w:b/>
          <w:sz w:val="24"/>
          <w:szCs w:val="24"/>
        </w:rPr>
        <w:t>,</w:t>
      </w:r>
      <w:r w:rsidRPr="00AA2EF2">
        <w:rPr>
          <w:rFonts w:ascii="Palatino Linotype" w:eastAsia="Palatino Linotype" w:hAnsi="Palatino Linotype" w:cs="Palatino Linotype"/>
          <w:sz w:val="24"/>
          <w:szCs w:val="24"/>
        </w:rPr>
        <w:t xml:space="preserve"> que han sido materia del presente fallo.</w:t>
      </w:r>
    </w:p>
    <w:p w:rsidR="00A71D17" w:rsidRPr="00AA2EF2" w:rsidRDefault="00A71D17" w:rsidP="00A71D17">
      <w:pPr>
        <w:spacing w:after="0" w:line="360" w:lineRule="auto"/>
        <w:jc w:val="both"/>
        <w:rPr>
          <w:rFonts w:ascii="Palatino Linotype" w:eastAsia="Times New Roman" w:hAnsi="Palatino Linotype" w:cs="Times New Roman"/>
          <w:sz w:val="24"/>
          <w:szCs w:val="24"/>
          <w:lang w:eastAsia="es-ES"/>
        </w:rPr>
      </w:pPr>
    </w:p>
    <w:p w:rsidR="00A71D17" w:rsidRPr="00AA2EF2" w:rsidRDefault="00A71D17" w:rsidP="00A71D17">
      <w:pPr>
        <w:spacing w:after="0" w:line="360" w:lineRule="auto"/>
        <w:jc w:val="both"/>
        <w:rPr>
          <w:rFonts w:ascii="Palatino Linotype" w:eastAsia="Times New Roman" w:hAnsi="Palatino Linotype" w:cs="Times New Roman"/>
          <w:sz w:val="24"/>
          <w:szCs w:val="24"/>
          <w:lang w:eastAsia="es-ES"/>
        </w:rPr>
      </w:pPr>
      <w:r w:rsidRPr="00AA2EF2">
        <w:rPr>
          <w:rFonts w:ascii="Palatino Linotype" w:eastAsia="Times New Roman" w:hAnsi="Palatino Linotype" w:cs="Times New Roman"/>
          <w:sz w:val="24"/>
          <w:szCs w:val="24"/>
          <w:lang w:eastAsia="es-ES"/>
        </w:rPr>
        <w:t>Por lo antes expuesto y fundado es de resolverse y,</w:t>
      </w:r>
    </w:p>
    <w:p w:rsidR="00A71D17" w:rsidRPr="00AA2EF2" w:rsidRDefault="00A71D17" w:rsidP="00A71D17">
      <w:pPr>
        <w:autoSpaceDE w:val="0"/>
        <w:autoSpaceDN w:val="0"/>
        <w:adjustRightInd w:val="0"/>
        <w:spacing w:after="0" w:line="360" w:lineRule="auto"/>
        <w:jc w:val="both"/>
        <w:rPr>
          <w:rFonts w:ascii="Palatino Linotype" w:hAnsi="Palatino Linotype" w:cs="Arial"/>
          <w:sz w:val="24"/>
          <w:szCs w:val="24"/>
        </w:rPr>
      </w:pPr>
    </w:p>
    <w:p w:rsidR="00A71D17" w:rsidRPr="00AA2EF2" w:rsidRDefault="00A71D17" w:rsidP="00A71D17">
      <w:pPr>
        <w:spacing w:after="0" w:line="360" w:lineRule="auto"/>
        <w:ind w:left="426"/>
        <w:jc w:val="center"/>
        <w:rPr>
          <w:rFonts w:ascii="Palatino Linotype" w:eastAsia="Times New Roman" w:hAnsi="Palatino Linotype" w:cs="Times New Roman"/>
          <w:b/>
          <w:color w:val="000000"/>
          <w:sz w:val="28"/>
          <w:szCs w:val="24"/>
          <w:lang w:val="es-ES" w:eastAsia="es-ES"/>
        </w:rPr>
      </w:pPr>
      <w:r w:rsidRPr="00AA2EF2">
        <w:rPr>
          <w:rFonts w:ascii="Palatino Linotype" w:eastAsia="Times New Roman" w:hAnsi="Palatino Linotype" w:cs="Times New Roman"/>
          <w:b/>
          <w:color w:val="000000"/>
          <w:sz w:val="28"/>
          <w:szCs w:val="24"/>
          <w:lang w:val="es-ES" w:eastAsia="es-ES"/>
        </w:rPr>
        <w:t>SE    RESUELVE</w:t>
      </w:r>
    </w:p>
    <w:p w:rsidR="00A71D17" w:rsidRPr="00AA2EF2" w:rsidRDefault="00A71D17" w:rsidP="00A71D17">
      <w:pPr>
        <w:tabs>
          <w:tab w:val="left" w:pos="8647"/>
        </w:tabs>
        <w:spacing w:after="0" w:line="360" w:lineRule="auto"/>
        <w:ind w:right="51"/>
        <w:jc w:val="both"/>
        <w:rPr>
          <w:rFonts w:ascii="Palatino Linotype" w:hAnsi="Palatino Linotype" w:cs="Arial"/>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b/>
          <w:sz w:val="28"/>
          <w:szCs w:val="28"/>
        </w:rPr>
        <w:t>PRIMERO.</w:t>
      </w:r>
      <w:r w:rsidRPr="00AA2EF2">
        <w:rPr>
          <w:rFonts w:ascii="Palatino Linotype" w:eastAsia="Palatino Linotype" w:hAnsi="Palatino Linotype" w:cs="Palatino Linotype"/>
          <w:sz w:val="24"/>
          <w:szCs w:val="24"/>
        </w:rPr>
        <w:t xml:space="preserve"> Resultan fundadas las razones o motivos de inconformidad hechos valer por la parte </w:t>
      </w:r>
      <w:r w:rsidRPr="00AA2EF2">
        <w:rPr>
          <w:rFonts w:ascii="Palatino Linotype" w:eastAsia="Palatino Linotype" w:hAnsi="Palatino Linotype" w:cs="Palatino Linotype"/>
          <w:b/>
          <w:sz w:val="24"/>
          <w:szCs w:val="24"/>
        </w:rPr>
        <w:t>Recurrente,</w:t>
      </w:r>
      <w:r w:rsidRPr="00AA2EF2">
        <w:rPr>
          <w:rFonts w:ascii="Palatino Linotype" w:eastAsia="Palatino Linotype" w:hAnsi="Palatino Linotype" w:cs="Palatino Linotype"/>
          <w:sz w:val="24"/>
          <w:szCs w:val="24"/>
        </w:rPr>
        <w:t xml:space="preserve"> en términos del considerando </w:t>
      </w:r>
      <w:r w:rsidRPr="00AA2EF2">
        <w:rPr>
          <w:rFonts w:ascii="Palatino Linotype" w:eastAsia="Palatino Linotype" w:hAnsi="Palatino Linotype" w:cs="Palatino Linotype"/>
          <w:b/>
          <w:sz w:val="24"/>
          <w:szCs w:val="24"/>
        </w:rPr>
        <w:t>TERCERO</w:t>
      </w:r>
      <w:r w:rsidRPr="00AA2EF2">
        <w:rPr>
          <w:rFonts w:ascii="Palatino Linotype" w:eastAsia="Palatino Linotype" w:hAnsi="Palatino Linotype" w:cs="Palatino Linotype"/>
          <w:sz w:val="24"/>
          <w:szCs w:val="24"/>
        </w:rPr>
        <w:t>, de la presente resolución.</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r w:rsidRPr="00AA2EF2">
        <w:rPr>
          <w:rFonts w:ascii="Palatino Linotype" w:eastAsia="Palatino Linotype" w:hAnsi="Palatino Linotype" w:cs="Palatino Linotype"/>
          <w:b/>
          <w:sz w:val="28"/>
          <w:szCs w:val="28"/>
        </w:rPr>
        <w:t>SEGUNDO.</w:t>
      </w:r>
      <w:r w:rsidRPr="00AA2EF2">
        <w:rPr>
          <w:rFonts w:ascii="Palatino Linotype" w:eastAsia="Palatino Linotype" w:hAnsi="Palatino Linotype" w:cs="Palatino Linotype"/>
          <w:sz w:val="24"/>
          <w:szCs w:val="24"/>
        </w:rPr>
        <w:t xml:space="preserve"> Se </w:t>
      </w:r>
      <w:r w:rsidRPr="00AA2EF2">
        <w:rPr>
          <w:rFonts w:ascii="Palatino Linotype" w:eastAsia="Palatino Linotype" w:hAnsi="Palatino Linotype" w:cs="Palatino Linotype"/>
          <w:b/>
          <w:sz w:val="24"/>
          <w:szCs w:val="24"/>
        </w:rPr>
        <w:t>ORDENA</w:t>
      </w:r>
      <w:r w:rsidRPr="00AA2EF2">
        <w:rPr>
          <w:rFonts w:ascii="Palatino Linotype" w:eastAsia="Palatino Linotype" w:hAnsi="Palatino Linotype" w:cs="Palatino Linotype"/>
          <w:sz w:val="24"/>
          <w:szCs w:val="24"/>
        </w:rPr>
        <w:t xml:space="preserve"> al </w:t>
      </w:r>
      <w:r w:rsidRPr="00AA2EF2">
        <w:rPr>
          <w:rFonts w:ascii="Palatino Linotype" w:eastAsia="Palatino Linotype" w:hAnsi="Palatino Linotype" w:cs="Palatino Linotype"/>
          <w:b/>
          <w:sz w:val="24"/>
          <w:szCs w:val="24"/>
        </w:rPr>
        <w:t>Sujeto Obligado</w:t>
      </w:r>
      <w:r w:rsidRPr="00AA2EF2">
        <w:rPr>
          <w:rFonts w:ascii="Palatino Linotype" w:eastAsia="Palatino Linotype" w:hAnsi="Palatino Linotype" w:cs="Palatino Linotype"/>
          <w:sz w:val="24"/>
          <w:szCs w:val="24"/>
        </w:rPr>
        <w:t xml:space="preserve"> atienda la</w:t>
      </w:r>
      <w:r w:rsidR="00C22EE2" w:rsidRPr="00AA2EF2">
        <w:rPr>
          <w:rFonts w:ascii="Palatino Linotype" w:eastAsia="Palatino Linotype" w:hAnsi="Palatino Linotype" w:cs="Palatino Linotype"/>
          <w:sz w:val="24"/>
          <w:szCs w:val="24"/>
        </w:rPr>
        <w:t>s</w:t>
      </w:r>
      <w:r w:rsidRPr="00AA2EF2">
        <w:rPr>
          <w:rFonts w:ascii="Palatino Linotype" w:eastAsia="Palatino Linotype" w:hAnsi="Palatino Linotype" w:cs="Palatino Linotype"/>
          <w:sz w:val="24"/>
          <w:szCs w:val="24"/>
        </w:rPr>
        <w:t xml:space="preserve"> solicitud</w:t>
      </w:r>
      <w:r w:rsidR="00C22EE2" w:rsidRPr="00AA2EF2">
        <w:rPr>
          <w:rFonts w:ascii="Palatino Linotype" w:eastAsia="Palatino Linotype" w:hAnsi="Palatino Linotype" w:cs="Palatino Linotype"/>
          <w:sz w:val="24"/>
          <w:szCs w:val="24"/>
        </w:rPr>
        <w:t>es</w:t>
      </w:r>
      <w:r w:rsidRPr="00AA2EF2">
        <w:rPr>
          <w:rFonts w:ascii="Palatino Linotype" w:eastAsia="Palatino Linotype" w:hAnsi="Palatino Linotype" w:cs="Palatino Linotype"/>
          <w:sz w:val="24"/>
          <w:szCs w:val="24"/>
        </w:rPr>
        <w:t xml:space="preserve"> de información </w:t>
      </w:r>
      <w:r w:rsidR="00C22EE2" w:rsidRPr="00AA2EF2">
        <w:rPr>
          <w:rFonts w:ascii="Palatino Linotype" w:eastAsia="Palatino Linotype" w:hAnsi="Palatino Linotype" w:cs="Palatino Linotype"/>
          <w:b/>
          <w:sz w:val="24"/>
          <w:szCs w:val="24"/>
        </w:rPr>
        <w:t>00059/FELIPRO/IP/2024, 00058/FELIPRO/IP/2024, 00057/FELIPRO/IP/2024, 00056/FELIPRO/IP/2024 y 00055/FELIPRO/IP/2024</w:t>
      </w:r>
      <w:r w:rsidRPr="00AA2EF2">
        <w:rPr>
          <w:rFonts w:ascii="Palatino Linotype" w:eastAsia="Palatino Linotype" w:hAnsi="Palatino Linotype" w:cs="Palatino Linotype"/>
          <w:sz w:val="24"/>
          <w:szCs w:val="24"/>
        </w:rPr>
        <w:t xml:space="preserve">, vía Sistema de Acceso a la Información Mexiquense (SAIMEX), en términos del Considerando </w:t>
      </w:r>
      <w:r w:rsidRPr="00AA2EF2">
        <w:rPr>
          <w:rFonts w:ascii="Palatino Linotype" w:eastAsia="Palatino Linotype" w:hAnsi="Palatino Linotype" w:cs="Palatino Linotype"/>
          <w:b/>
          <w:sz w:val="24"/>
          <w:szCs w:val="24"/>
        </w:rPr>
        <w:t xml:space="preserve">TERCERO </w:t>
      </w:r>
      <w:r w:rsidRPr="00AA2EF2">
        <w:rPr>
          <w:rFonts w:ascii="Palatino Linotype" w:eastAsia="Palatino Linotype" w:hAnsi="Palatino Linotype" w:cs="Palatino Linotype"/>
          <w:sz w:val="24"/>
          <w:szCs w:val="24"/>
        </w:rPr>
        <w:t>de esta resolución</w:t>
      </w:r>
      <w:r w:rsidRPr="00AA2EF2">
        <w:rPr>
          <w:rFonts w:ascii="Palatino Linotype" w:eastAsia="Palatino Linotype" w:hAnsi="Palatino Linotype" w:cs="Palatino Linotype"/>
          <w:b/>
          <w:sz w:val="24"/>
          <w:szCs w:val="24"/>
        </w:rPr>
        <w:t>.</w:t>
      </w:r>
    </w:p>
    <w:p w:rsidR="00D737AE" w:rsidRPr="00AA2EF2" w:rsidRDefault="00D737AE" w:rsidP="00D737AE">
      <w:pPr>
        <w:tabs>
          <w:tab w:val="left" w:pos="8647"/>
        </w:tabs>
        <w:spacing w:after="0" w:line="360" w:lineRule="auto"/>
        <w:ind w:right="51"/>
        <w:jc w:val="both"/>
        <w:rPr>
          <w:rFonts w:ascii="Palatino Linotype" w:eastAsia="Palatino Linotype" w:hAnsi="Palatino Linotype" w:cs="Palatino Linotype"/>
          <w:sz w:val="24"/>
          <w:szCs w:val="24"/>
        </w:rPr>
      </w:pPr>
    </w:p>
    <w:p w:rsidR="004D1B8B" w:rsidRPr="00AA2EF2" w:rsidRDefault="004D1B8B" w:rsidP="004D1B8B">
      <w:pPr>
        <w:tabs>
          <w:tab w:val="left" w:pos="8647"/>
        </w:tabs>
        <w:spacing w:after="0" w:line="360" w:lineRule="auto"/>
        <w:ind w:right="51"/>
        <w:jc w:val="both"/>
        <w:rPr>
          <w:rFonts w:ascii="Palatino Linotype" w:hAnsi="Palatino Linotype" w:cs="Arial"/>
          <w:sz w:val="24"/>
          <w:szCs w:val="24"/>
        </w:rPr>
      </w:pPr>
      <w:r w:rsidRPr="00AA2EF2">
        <w:rPr>
          <w:rFonts w:ascii="Palatino Linotype" w:hAnsi="Palatino Linotype" w:cs="Arial"/>
          <w:b/>
          <w:sz w:val="28"/>
          <w:szCs w:val="24"/>
        </w:rPr>
        <w:t>TERCERO</w:t>
      </w:r>
      <w:r w:rsidRPr="00AA2EF2">
        <w:rPr>
          <w:rFonts w:ascii="Palatino Linotype" w:hAnsi="Palatino Linotype" w:cs="Arial"/>
          <w:b/>
          <w:sz w:val="24"/>
          <w:szCs w:val="24"/>
        </w:rPr>
        <w:t>.</w:t>
      </w:r>
      <w:r w:rsidRPr="00AA2EF2">
        <w:rPr>
          <w:rFonts w:ascii="Palatino Linotype" w:hAnsi="Palatino Linotype" w:cs="Arial"/>
          <w:sz w:val="24"/>
          <w:szCs w:val="24"/>
        </w:rPr>
        <w:t xml:space="preserve"> </w:t>
      </w:r>
      <w:r w:rsidRPr="00AA2EF2">
        <w:rPr>
          <w:rFonts w:ascii="Palatino Linotype" w:hAnsi="Palatino Linotype" w:cs="Arial"/>
          <w:b/>
          <w:sz w:val="24"/>
          <w:szCs w:val="24"/>
        </w:rPr>
        <w:t xml:space="preserve">Notifíquese </w:t>
      </w:r>
      <w:r w:rsidRPr="00AA2EF2">
        <w:rPr>
          <w:rFonts w:ascii="Palatino Linotype" w:eastAsia="Times New Roman" w:hAnsi="Palatino Linotype" w:cs="Arial"/>
          <w:sz w:val="24"/>
          <w:szCs w:val="24"/>
          <w:lang w:val="es-ES" w:eastAsia="es-ES"/>
        </w:rPr>
        <w:t>a través del SAIMEX</w:t>
      </w:r>
      <w:r w:rsidRPr="00AA2EF2">
        <w:rPr>
          <w:rFonts w:ascii="Palatino Linotype" w:hAnsi="Palatino Linotype" w:cs="Arial"/>
          <w:b/>
          <w:i/>
          <w:sz w:val="24"/>
          <w:szCs w:val="24"/>
        </w:rPr>
        <w:t xml:space="preserve"> </w:t>
      </w:r>
      <w:r w:rsidRPr="00AA2EF2">
        <w:rPr>
          <w:rFonts w:ascii="Palatino Linotype" w:hAnsi="Palatino Linotype" w:cs="Arial"/>
          <w:sz w:val="24"/>
          <w:szCs w:val="24"/>
        </w:rPr>
        <w:t>al Titular de la Unidad de Transparencia del</w:t>
      </w:r>
      <w:r w:rsidRPr="00AA2EF2">
        <w:rPr>
          <w:rFonts w:ascii="Palatino Linotype" w:hAnsi="Palatino Linotype" w:cs="Arial"/>
          <w:b/>
          <w:sz w:val="24"/>
          <w:szCs w:val="24"/>
        </w:rPr>
        <w:t xml:space="preserve"> Sujeto Obligado</w:t>
      </w:r>
      <w:r w:rsidRPr="00AA2EF2">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AA2EF2">
        <w:rPr>
          <w:rFonts w:ascii="Palatino Linotype" w:hAnsi="Palatino Linotype" w:cs="Arial"/>
          <w:b/>
          <w:sz w:val="24"/>
          <w:szCs w:val="32"/>
          <w:lang w:val="es-ES_tradnl"/>
        </w:rPr>
        <w:t>y</w:t>
      </w:r>
      <w:r w:rsidRPr="00AA2EF2">
        <w:rPr>
          <w:rFonts w:ascii="Palatino Linotype" w:hAnsi="Palatino Linotype" w:cs="Arial"/>
          <w:sz w:val="24"/>
          <w:szCs w:val="32"/>
          <w:lang w:val="es-ES_tradnl"/>
        </w:rPr>
        <w:t xml:space="preserve"> </w:t>
      </w:r>
      <w:r w:rsidRPr="00AA2EF2">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D1B8B" w:rsidRPr="00AA2EF2" w:rsidRDefault="004D1B8B" w:rsidP="004D1B8B">
      <w:pPr>
        <w:tabs>
          <w:tab w:val="left" w:pos="8647"/>
        </w:tabs>
        <w:spacing w:after="0" w:line="360" w:lineRule="auto"/>
        <w:ind w:right="51"/>
        <w:jc w:val="both"/>
        <w:rPr>
          <w:rFonts w:ascii="Palatino Linotype" w:hAnsi="Palatino Linotype" w:cs="Arial"/>
          <w:sz w:val="24"/>
          <w:szCs w:val="24"/>
        </w:rPr>
      </w:pPr>
    </w:p>
    <w:p w:rsidR="004D1B8B" w:rsidRPr="00AA2EF2" w:rsidRDefault="004D1B8B" w:rsidP="004D1B8B">
      <w:pPr>
        <w:spacing w:after="0" w:line="360" w:lineRule="auto"/>
        <w:jc w:val="both"/>
        <w:rPr>
          <w:rFonts w:ascii="Palatino Linotype" w:eastAsia="Times New Roman" w:hAnsi="Palatino Linotype" w:cs="Arial"/>
          <w:sz w:val="24"/>
          <w:szCs w:val="24"/>
          <w:lang w:val="es-ES" w:eastAsia="es-ES"/>
        </w:rPr>
      </w:pPr>
      <w:r w:rsidRPr="00AA2EF2">
        <w:rPr>
          <w:rFonts w:ascii="Palatino Linotype" w:eastAsia="Times New Roman" w:hAnsi="Palatino Linotype" w:cs="Arial"/>
          <w:b/>
          <w:sz w:val="28"/>
          <w:szCs w:val="24"/>
          <w:lang w:val="es-ES" w:eastAsia="es-ES"/>
        </w:rPr>
        <w:t>CUARTO</w:t>
      </w:r>
      <w:r w:rsidRPr="00AA2EF2">
        <w:rPr>
          <w:rFonts w:ascii="Palatino Linotype" w:eastAsia="Times New Roman" w:hAnsi="Palatino Linotype" w:cs="Arial"/>
          <w:b/>
          <w:sz w:val="24"/>
          <w:szCs w:val="24"/>
          <w:lang w:val="es-ES" w:eastAsia="es-ES"/>
        </w:rPr>
        <w:t>. Notifíquese</w:t>
      </w:r>
      <w:r w:rsidRPr="00AA2EF2">
        <w:rPr>
          <w:rFonts w:ascii="Palatino Linotype" w:eastAsia="Times New Roman" w:hAnsi="Palatino Linotype" w:cs="Arial"/>
          <w:sz w:val="24"/>
          <w:szCs w:val="24"/>
          <w:lang w:val="es-ES" w:eastAsia="es-ES"/>
        </w:rPr>
        <w:t xml:space="preserve"> </w:t>
      </w:r>
      <w:r w:rsidRPr="00AA2EF2">
        <w:rPr>
          <w:rFonts w:ascii="Palatino Linotype" w:eastAsia="Times New Roman" w:hAnsi="Palatino Linotype" w:cs="Arial"/>
          <w:b/>
          <w:sz w:val="24"/>
          <w:szCs w:val="24"/>
          <w:lang w:val="es-ES" w:eastAsia="es-ES"/>
        </w:rPr>
        <w:t>a la Recurrente</w:t>
      </w:r>
      <w:r w:rsidRPr="00AA2EF2">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4D1B8B" w:rsidRPr="00AA2EF2" w:rsidRDefault="004D1B8B" w:rsidP="004D1B8B">
      <w:pPr>
        <w:spacing w:after="0" w:line="360" w:lineRule="auto"/>
        <w:jc w:val="both"/>
        <w:rPr>
          <w:rFonts w:ascii="Palatino Linotype" w:hAnsi="Palatino Linotype"/>
          <w:sz w:val="24"/>
          <w:szCs w:val="24"/>
          <w:lang w:eastAsia="es-ES_tradnl"/>
        </w:rPr>
      </w:pPr>
    </w:p>
    <w:p w:rsidR="004D1B8B" w:rsidRPr="00AA2EF2" w:rsidRDefault="004D1B8B" w:rsidP="004D1B8B">
      <w:pPr>
        <w:spacing w:after="0" w:line="360" w:lineRule="auto"/>
        <w:jc w:val="both"/>
        <w:rPr>
          <w:rFonts w:ascii="Palatino Linotype" w:eastAsia="Calibri" w:hAnsi="Palatino Linotype" w:cs="Times New Roman"/>
          <w:sz w:val="24"/>
          <w:szCs w:val="24"/>
          <w:lang w:eastAsia="es-ES_tradnl"/>
        </w:rPr>
      </w:pPr>
      <w:r w:rsidRPr="00AA2EF2">
        <w:rPr>
          <w:rFonts w:ascii="Palatino Linotype" w:eastAsia="Calibri" w:hAnsi="Palatino Linotype" w:cs="Times New Roman"/>
          <w:b/>
          <w:sz w:val="28"/>
          <w:szCs w:val="24"/>
          <w:lang w:eastAsia="es-ES_tradnl"/>
        </w:rPr>
        <w:t>QUINTO</w:t>
      </w:r>
      <w:r w:rsidRPr="00AA2EF2">
        <w:rPr>
          <w:rFonts w:ascii="Palatino Linotype" w:eastAsia="Calibri" w:hAnsi="Palatino Linotype" w:cs="Times New Roman"/>
          <w:b/>
          <w:sz w:val="24"/>
          <w:szCs w:val="24"/>
          <w:lang w:eastAsia="es-ES_tradnl"/>
        </w:rPr>
        <w:t>.</w:t>
      </w:r>
      <w:r w:rsidRPr="00AA2EF2">
        <w:rPr>
          <w:rFonts w:ascii="Palatino Linotype" w:eastAsia="Calibri" w:hAnsi="Palatino Linotype" w:cs="Times New Roman"/>
          <w:sz w:val="24"/>
          <w:szCs w:val="24"/>
          <w:lang w:eastAsia="es-ES_tradnl"/>
        </w:rPr>
        <w:t xml:space="preserve"> </w:t>
      </w:r>
      <w:r w:rsidRPr="00AA2EF2">
        <w:rPr>
          <w:rFonts w:ascii="Palatino Linotype" w:eastAsia="Calibri" w:hAnsi="Palatino Linotype" w:cs="Times New Roman"/>
          <w:b/>
          <w:sz w:val="24"/>
          <w:szCs w:val="24"/>
          <w:lang w:eastAsia="es-ES_tradnl"/>
        </w:rPr>
        <w:t>Notifíquese</w:t>
      </w:r>
      <w:r w:rsidRPr="00AA2EF2">
        <w:rPr>
          <w:rFonts w:ascii="Palatino Linotype" w:eastAsia="Calibri" w:hAnsi="Palatino Linotype" w:cs="Times New Roman"/>
          <w:sz w:val="24"/>
          <w:szCs w:val="24"/>
          <w:lang w:eastAsia="es-ES_tradnl"/>
        </w:rPr>
        <w:t xml:space="preserve"> al </w:t>
      </w:r>
      <w:r w:rsidRPr="00AA2EF2">
        <w:rPr>
          <w:rFonts w:ascii="Palatino Linotype" w:eastAsia="Calibri" w:hAnsi="Palatino Linotype" w:cs="Times New Roman"/>
          <w:b/>
          <w:sz w:val="24"/>
          <w:szCs w:val="24"/>
          <w:lang w:eastAsia="es-ES_tradnl"/>
        </w:rPr>
        <w:t>Recurrente</w:t>
      </w:r>
      <w:r w:rsidRPr="00AA2EF2">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w:t>
      </w:r>
      <w:r w:rsidRPr="00AA2EF2">
        <w:rPr>
          <w:rFonts w:ascii="Palatino Linotype" w:eastAsia="Calibri" w:hAnsi="Palatino Linotype" w:cs="Times New Roman"/>
          <w:sz w:val="24"/>
          <w:szCs w:val="24"/>
          <w:lang w:eastAsia="es-ES_tradnl"/>
        </w:rPr>
        <w:lastRenderedPageBreak/>
        <w:t xml:space="preserve">Recurso de Revisión ante este Instituto, por la respuesta que proporcione el </w:t>
      </w:r>
      <w:r w:rsidRPr="00AA2EF2">
        <w:rPr>
          <w:rFonts w:ascii="Palatino Linotype" w:eastAsia="Calibri" w:hAnsi="Palatino Linotype" w:cs="Times New Roman"/>
          <w:b/>
          <w:sz w:val="24"/>
          <w:szCs w:val="24"/>
          <w:lang w:eastAsia="es-ES_tradnl"/>
        </w:rPr>
        <w:t>Sujeto Obligado</w:t>
      </w:r>
      <w:r w:rsidRPr="00AA2EF2">
        <w:rPr>
          <w:rFonts w:ascii="Palatino Linotype" w:eastAsia="Calibri" w:hAnsi="Palatino Linotype" w:cs="Times New Roman"/>
          <w:sz w:val="24"/>
          <w:szCs w:val="24"/>
          <w:lang w:eastAsia="es-ES_tradnl"/>
        </w:rPr>
        <w:t>, en cumplimiento a esta Resolución.</w:t>
      </w:r>
    </w:p>
    <w:p w:rsidR="004D1B8B" w:rsidRPr="00AA2EF2" w:rsidRDefault="004D1B8B" w:rsidP="004D1B8B">
      <w:pPr>
        <w:spacing w:after="0" w:line="360" w:lineRule="auto"/>
        <w:jc w:val="both"/>
        <w:rPr>
          <w:rFonts w:ascii="Palatino Linotype" w:eastAsia="Calibri" w:hAnsi="Palatino Linotype" w:cs="Times New Roman"/>
          <w:sz w:val="24"/>
          <w:szCs w:val="24"/>
          <w:lang w:eastAsia="es-ES_tradnl"/>
        </w:rPr>
      </w:pPr>
    </w:p>
    <w:p w:rsidR="00A71D17" w:rsidRPr="00AA2EF2" w:rsidRDefault="004D1B8B" w:rsidP="0082201F">
      <w:pPr>
        <w:spacing w:after="0" w:line="360" w:lineRule="auto"/>
        <w:jc w:val="both"/>
        <w:rPr>
          <w:rFonts w:ascii="Palatino Linotype" w:hAnsi="Palatino Linotype"/>
          <w:sz w:val="24"/>
          <w:szCs w:val="24"/>
          <w:lang w:eastAsia="es-ES_tradnl"/>
        </w:rPr>
      </w:pPr>
      <w:r w:rsidRPr="00AA2EF2">
        <w:rPr>
          <w:rFonts w:ascii="Palatino Linotype" w:eastAsia="Calibri" w:hAnsi="Palatino Linotype" w:cs="Times New Roman"/>
          <w:b/>
          <w:sz w:val="28"/>
          <w:szCs w:val="24"/>
          <w:lang w:eastAsia="es-ES_tradnl"/>
        </w:rPr>
        <w:t>SEXTO</w:t>
      </w:r>
      <w:r w:rsidRPr="00AA2EF2">
        <w:rPr>
          <w:rFonts w:ascii="Palatino Linotype" w:eastAsia="Calibri" w:hAnsi="Palatino Linotype" w:cs="Times New Roman"/>
          <w:b/>
          <w:sz w:val="24"/>
          <w:szCs w:val="24"/>
          <w:lang w:eastAsia="es-ES_tradnl"/>
        </w:rPr>
        <w:t xml:space="preserve">. - </w:t>
      </w:r>
      <w:r w:rsidRPr="00AA2EF2">
        <w:rPr>
          <w:rFonts w:ascii="Palatino Linotype" w:hAnsi="Palatino Linotype"/>
          <w:b/>
          <w:sz w:val="24"/>
          <w:szCs w:val="24"/>
          <w:lang w:eastAsia="es-ES_tradnl"/>
        </w:rPr>
        <w:t xml:space="preserve">Gírese </w:t>
      </w:r>
      <w:r w:rsidRPr="00AA2EF2">
        <w:rPr>
          <w:rFonts w:ascii="Palatino Linotype" w:hAnsi="Palatino Linotype"/>
          <w:sz w:val="24"/>
          <w:szCs w:val="24"/>
          <w:lang w:eastAsia="es-ES_tradnl"/>
        </w:rPr>
        <w:t xml:space="preserve">oficio a la Secretaría Técnica del Pleno de este Instituto para hacer del conocimiento del Órgano de Control Interno competente la presente resolución, a fin de que de conformidad con el artículo 190 de la Ley de Transparencia y Acceso a la Información Pública del Estado de México y Municipios se determine lo conducente, en términos de lo señalado en el Considerando </w:t>
      </w:r>
      <w:r w:rsidR="00892482" w:rsidRPr="00AA2EF2">
        <w:rPr>
          <w:rFonts w:ascii="Palatino Linotype" w:hAnsi="Palatino Linotype"/>
          <w:b/>
          <w:bCs/>
          <w:sz w:val="24"/>
          <w:szCs w:val="24"/>
          <w:lang w:eastAsia="es-ES_tradnl"/>
        </w:rPr>
        <w:t>TERCERO</w:t>
      </w:r>
      <w:r w:rsidRPr="00AA2EF2">
        <w:rPr>
          <w:rFonts w:ascii="Palatino Linotype" w:hAnsi="Palatino Linotype"/>
          <w:sz w:val="24"/>
          <w:szCs w:val="24"/>
          <w:lang w:eastAsia="es-ES_tradnl"/>
        </w:rPr>
        <w:t xml:space="preserve"> de la presente resolución.</w:t>
      </w:r>
    </w:p>
    <w:p w:rsidR="0082201F" w:rsidRPr="00AA2EF2" w:rsidRDefault="0082201F" w:rsidP="0082201F">
      <w:pPr>
        <w:spacing w:after="0" w:line="360" w:lineRule="auto"/>
        <w:jc w:val="both"/>
        <w:rPr>
          <w:rFonts w:ascii="Palatino Linotype" w:hAnsi="Palatino Linotype"/>
          <w:sz w:val="24"/>
          <w:szCs w:val="24"/>
          <w:lang w:eastAsia="es-ES_tradnl"/>
        </w:rPr>
      </w:pPr>
    </w:p>
    <w:p w:rsidR="00A71D17" w:rsidRPr="00AA2EF2" w:rsidRDefault="00A71D17" w:rsidP="0082201F">
      <w:pPr>
        <w:autoSpaceDE w:val="0"/>
        <w:autoSpaceDN w:val="0"/>
        <w:adjustRightInd w:val="0"/>
        <w:spacing w:after="0" w:line="360" w:lineRule="auto"/>
        <w:jc w:val="both"/>
        <w:rPr>
          <w:rFonts w:ascii="Palatino Linotype" w:hAnsi="Palatino Linotype" w:cs="Arial"/>
        </w:rPr>
      </w:pPr>
      <w:r w:rsidRPr="00AA2EF2">
        <w:rPr>
          <w:rFonts w:ascii="Palatino Linotype" w:hAnsi="Palatino Linotype" w:cs="Arial"/>
          <w:sz w:val="24"/>
        </w:rPr>
        <w:t>ASÍ LO ACORDÓ, POR UNANIMIDAD DE VOTOS, EL PLENO DEL</w:t>
      </w:r>
      <w:r w:rsidRPr="00AA2EF2">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AA2EF2">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C22EE2" w:rsidRPr="00AA2EF2">
        <w:rPr>
          <w:rFonts w:ascii="Palatino Linotype" w:hAnsi="Palatino Linotype" w:cs="Arial"/>
          <w:sz w:val="24"/>
        </w:rPr>
        <w:t>TR</w:t>
      </w:r>
      <w:r w:rsidRPr="00AA2EF2">
        <w:rPr>
          <w:rFonts w:ascii="Palatino Linotype" w:hAnsi="Palatino Linotype" w:cs="Arial"/>
          <w:sz w:val="24"/>
        </w:rPr>
        <w:t>IGÉS</w:t>
      </w:r>
      <w:r w:rsidR="00C22EE2" w:rsidRPr="00AA2EF2">
        <w:rPr>
          <w:rFonts w:ascii="Palatino Linotype" w:hAnsi="Palatino Linotype" w:cs="Arial"/>
          <w:sz w:val="24"/>
        </w:rPr>
        <w:t xml:space="preserve">IMA </w:t>
      </w:r>
      <w:r w:rsidRPr="00AA2EF2">
        <w:rPr>
          <w:rFonts w:ascii="Palatino Linotype" w:hAnsi="Palatino Linotype" w:cs="Arial"/>
          <w:sz w:val="24"/>
        </w:rPr>
        <w:t xml:space="preserve">SESIÓN ORDINARIA CELEBRADA EL </w:t>
      </w:r>
      <w:r w:rsidR="00C22EE2" w:rsidRPr="00AA2EF2">
        <w:rPr>
          <w:rFonts w:ascii="Palatino Linotype" w:hAnsi="Palatino Linotype" w:cs="Arial"/>
          <w:sz w:val="24"/>
        </w:rPr>
        <w:t>VIENTIOCHO DE AGOSTO</w:t>
      </w:r>
      <w:r w:rsidRPr="00AA2EF2">
        <w:rPr>
          <w:rFonts w:ascii="Palatino Linotype" w:hAnsi="Palatino Linotype" w:cs="Arial"/>
          <w:sz w:val="24"/>
        </w:rPr>
        <w:t xml:space="preserve"> DE DOS MIL VEINTICUATRO, ANTE EL SECRETARIO TÉCNICO DEL PLENO, ALEXIS TAPIA RAMÍREZ. ----------------------------------------------------------------------------------------</w:t>
      </w:r>
      <w:r w:rsidRPr="00AA2EF2">
        <w:rPr>
          <w:rFonts w:ascii="Palatino Linotype" w:hAnsi="Palatino Linotype" w:cs="Arial"/>
        </w:rPr>
        <w:t>-----------</w:t>
      </w:r>
    </w:p>
    <w:p w:rsidR="00A71D17" w:rsidRPr="00AA2EF2" w:rsidRDefault="00A71D17" w:rsidP="0082201F">
      <w:pPr>
        <w:pStyle w:val="Prrafodelista"/>
        <w:autoSpaceDE w:val="0"/>
        <w:autoSpaceDN w:val="0"/>
        <w:adjustRightInd w:val="0"/>
        <w:spacing w:line="360" w:lineRule="auto"/>
        <w:ind w:left="0"/>
        <w:jc w:val="both"/>
        <w:rPr>
          <w:rFonts w:ascii="Palatino Linotype" w:hAnsi="Palatino Linotype" w:cs="Arial"/>
        </w:rPr>
      </w:pPr>
      <w:r w:rsidRPr="00AA2EF2">
        <w:rPr>
          <w:rFonts w:ascii="Palatino Linotype" w:hAnsi="Palatino Linotype" w:cs="Arial"/>
        </w:rPr>
        <w:t>-----------------------------------------------------------------------------------------------------------------</w:t>
      </w:r>
    </w:p>
    <w:p w:rsidR="00A71D17" w:rsidRPr="00AA2EF2" w:rsidRDefault="00A71D17" w:rsidP="0082201F">
      <w:pPr>
        <w:pStyle w:val="Prrafodelista"/>
        <w:autoSpaceDE w:val="0"/>
        <w:autoSpaceDN w:val="0"/>
        <w:adjustRightInd w:val="0"/>
        <w:spacing w:line="360" w:lineRule="auto"/>
        <w:ind w:left="0"/>
        <w:jc w:val="both"/>
        <w:rPr>
          <w:rFonts w:ascii="Palatino Linotype" w:hAnsi="Palatino Linotype" w:cs="Arial"/>
        </w:rPr>
      </w:pPr>
      <w:r w:rsidRPr="00AA2EF2">
        <w:rPr>
          <w:rFonts w:ascii="Palatino Linotype" w:hAnsi="Palatino Linotype" w:cs="Arial"/>
        </w:rPr>
        <w:t>-----------------------------------------------------------------------------------------------------------------</w:t>
      </w:r>
    </w:p>
    <w:p w:rsidR="00A71D17" w:rsidRPr="00AA2EF2" w:rsidRDefault="0082201F" w:rsidP="0082201F">
      <w:pPr>
        <w:pStyle w:val="Prrafodelista"/>
        <w:autoSpaceDE w:val="0"/>
        <w:autoSpaceDN w:val="0"/>
        <w:adjustRightInd w:val="0"/>
        <w:spacing w:line="360" w:lineRule="auto"/>
        <w:ind w:left="0"/>
        <w:jc w:val="both"/>
        <w:rPr>
          <w:rFonts w:ascii="Palatino Linotype" w:hAnsi="Palatino Linotype" w:cs="Arial"/>
        </w:rPr>
      </w:pPr>
      <w:r w:rsidRPr="00AA2EF2">
        <w:rPr>
          <w:rFonts w:ascii="Palatino Linotype" w:hAnsi="Palatino Linotype" w:cs="Arial"/>
        </w:rPr>
        <w:t>----------------------------------------------------------------------------------------------------------------------------------------------------------------------------------------------------------------------------------</w:t>
      </w:r>
    </w:p>
    <w:p w:rsidR="00A71D17" w:rsidRPr="00AB0A3C" w:rsidRDefault="00A71D17" w:rsidP="0082201F">
      <w:pPr>
        <w:spacing w:after="0" w:line="360" w:lineRule="auto"/>
        <w:jc w:val="both"/>
        <w:rPr>
          <w:sz w:val="20"/>
        </w:rPr>
      </w:pPr>
      <w:r w:rsidRPr="00AA2EF2">
        <w:rPr>
          <w:rFonts w:ascii="Palatino Linotype" w:hAnsi="Palatino Linotype"/>
          <w:bCs/>
          <w:sz w:val="16"/>
          <w:szCs w:val="18"/>
        </w:rPr>
        <w:t>CCR/LMST</w:t>
      </w:r>
      <w:bookmarkStart w:id="1" w:name="_GoBack"/>
      <w:bookmarkEnd w:id="1"/>
    </w:p>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A71D17" w:rsidRDefault="00A71D17" w:rsidP="00A71D17"/>
    <w:p w:rsidR="006401AB" w:rsidRDefault="006401AB"/>
    <w:sectPr w:rsidR="006401AB" w:rsidSect="00E71F54">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17" w:rsidRDefault="00A71D17" w:rsidP="00A71D17">
      <w:pPr>
        <w:spacing w:after="0" w:line="240" w:lineRule="auto"/>
      </w:pPr>
      <w:r>
        <w:separator/>
      </w:r>
    </w:p>
  </w:endnote>
  <w:endnote w:type="continuationSeparator" w:id="0">
    <w:p w:rsidR="00A71D17" w:rsidRDefault="00A71D17" w:rsidP="00A7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Pr="000B69FA" w:rsidRDefault="00C22EE2"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2EF2">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2EF2">
      <w:rPr>
        <w:rFonts w:ascii="Palatino Linotype" w:hAnsi="Palatino Linotype"/>
        <w:bCs/>
        <w:noProof/>
        <w:sz w:val="20"/>
      </w:rPr>
      <w:t>19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Pr="000B69FA" w:rsidRDefault="00C22EE2"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2EF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2EF2">
      <w:rPr>
        <w:rFonts w:ascii="Palatino Linotype" w:hAnsi="Palatino Linotype"/>
        <w:bCs/>
        <w:noProof/>
        <w:sz w:val="20"/>
      </w:rPr>
      <w:t>19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17" w:rsidRDefault="00A71D17" w:rsidP="00A71D17">
      <w:pPr>
        <w:spacing w:after="0" w:line="240" w:lineRule="auto"/>
      </w:pPr>
      <w:r>
        <w:separator/>
      </w:r>
    </w:p>
  </w:footnote>
  <w:footnote w:type="continuationSeparator" w:id="0">
    <w:p w:rsidR="00A71D17" w:rsidRDefault="00A71D17" w:rsidP="00A71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Default="00C22EE2">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BD22AF" wp14:editId="78E85AD4">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D24D5" w:rsidTr="00E71F54">
      <w:trPr>
        <w:trHeight w:val="227"/>
      </w:trPr>
      <w:tc>
        <w:tcPr>
          <w:tcW w:w="5529" w:type="dxa"/>
          <w:hideMark/>
        </w:tcPr>
        <w:p w:rsidR="00ED24D5" w:rsidRDefault="00C22EE2"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D24D5" w:rsidRPr="00B4142F" w:rsidRDefault="0082201F" w:rsidP="00E71F5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71D17">
            <w:rPr>
              <w:rFonts w:ascii="Palatino Linotype" w:hAnsi="Palatino Linotype" w:cs="Arial"/>
              <w:bCs/>
              <w:sz w:val="24"/>
              <w:lang w:eastAsia="es-MX"/>
            </w:rPr>
            <w:t>4455</w:t>
          </w:r>
          <w:r w:rsidR="00C22EE2">
            <w:rPr>
              <w:rFonts w:ascii="Palatino Linotype" w:hAnsi="Palatino Linotype" w:cs="Arial"/>
              <w:bCs/>
              <w:sz w:val="24"/>
              <w:lang w:eastAsia="es-MX"/>
            </w:rPr>
            <w:t>/INFOEM/IP/RR/2024 y acumulado</w:t>
          </w:r>
          <w:r w:rsidR="00A71D17">
            <w:rPr>
              <w:rFonts w:ascii="Palatino Linotype" w:hAnsi="Palatino Linotype" w:cs="Arial"/>
              <w:bCs/>
              <w:sz w:val="24"/>
              <w:lang w:eastAsia="es-MX"/>
            </w:rPr>
            <w:t>s</w:t>
          </w:r>
        </w:p>
      </w:tc>
    </w:tr>
    <w:tr w:rsidR="00ED24D5" w:rsidTr="00E71F54">
      <w:trPr>
        <w:trHeight w:val="242"/>
      </w:trPr>
      <w:tc>
        <w:tcPr>
          <w:tcW w:w="5529" w:type="dxa"/>
          <w:hideMark/>
        </w:tcPr>
        <w:p w:rsidR="00ED24D5" w:rsidRDefault="00C22EE2"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D24D5" w:rsidRPr="00F06FED" w:rsidRDefault="00A71D17" w:rsidP="00E71F54">
          <w:pPr>
            <w:spacing w:after="120" w:line="256" w:lineRule="auto"/>
            <w:ind w:left="639" w:right="214"/>
            <w:jc w:val="both"/>
            <w:rPr>
              <w:rFonts w:ascii="Palatino Linotype" w:hAnsi="Palatino Linotype" w:cs="Arial"/>
            </w:rPr>
          </w:pPr>
          <w:r w:rsidRPr="00A71D17">
            <w:rPr>
              <w:rFonts w:ascii="Palatino Linotype" w:hAnsi="Palatino Linotype" w:cs="Arial"/>
              <w:szCs w:val="20"/>
            </w:rPr>
            <w:t>Ayuntamiento de San Felipe del Progreso</w:t>
          </w:r>
        </w:p>
      </w:tc>
    </w:tr>
    <w:tr w:rsidR="00ED24D5" w:rsidTr="00E71F54">
      <w:trPr>
        <w:trHeight w:val="342"/>
      </w:trPr>
      <w:tc>
        <w:tcPr>
          <w:tcW w:w="5529" w:type="dxa"/>
          <w:hideMark/>
        </w:tcPr>
        <w:p w:rsidR="00ED24D5" w:rsidRDefault="00C22EE2"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D24D5" w:rsidRDefault="00C22EE2" w:rsidP="00E71F54">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ED24D5" w:rsidRDefault="00AA2E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D24D5" w:rsidTr="00E71F54">
      <w:trPr>
        <w:trHeight w:val="227"/>
      </w:trPr>
      <w:tc>
        <w:tcPr>
          <w:tcW w:w="5529" w:type="dxa"/>
          <w:hideMark/>
        </w:tcPr>
        <w:p w:rsidR="00ED24D5" w:rsidRDefault="00C22EE2"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D24D5" w:rsidRPr="00B4142F" w:rsidRDefault="0082201F" w:rsidP="00E71F5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71D17">
            <w:rPr>
              <w:rFonts w:ascii="Palatino Linotype" w:hAnsi="Palatino Linotype" w:cs="Arial"/>
              <w:bCs/>
              <w:sz w:val="24"/>
              <w:lang w:eastAsia="es-MX"/>
            </w:rPr>
            <w:t>445</w:t>
          </w:r>
          <w:r w:rsidR="00C22EE2">
            <w:rPr>
              <w:rFonts w:ascii="Palatino Linotype" w:hAnsi="Palatino Linotype" w:cs="Arial"/>
              <w:bCs/>
              <w:sz w:val="24"/>
              <w:lang w:eastAsia="es-MX"/>
            </w:rPr>
            <w:t>5/INFOEM/IP/RR/2024 y acumulado</w:t>
          </w:r>
          <w:r w:rsidR="00A71D17">
            <w:rPr>
              <w:rFonts w:ascii="Palatino Linotype" w:hAnsi="Palatino Linotype" w:cs="Arial"/>
              <w:bCs/>
              <w:sz w:val="24"/>
              <w:lang w:eastAsia="es-MX"/>
            </w:rPr>
            <w:t>s</w:t>
          </w:r>
        </w:p>
      </w:tc>
    </w:tr>
    <w:tr w:rsidR="00ED24D5" w:rsidTr="00E71F54">
      <w:trPr>
        <w:trHeight w:val="196"/>
      </w:trPr>
      <w:tc>
        <w:tcPr>
          <w:tcW w:w="5529" w:type="dxa"/>
          <w:hideMark/>
        </w:tcPr>
        <w:p w:rsidR="00ED24D5" w:rsidRDefault="00C22EE2"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ED24D5" w:rsidRPr="00F06FED" w:rsidRDefault="00AF4E5A" w:rsidP="00E71F54">
          <w:pPr>
            <w:spacing w:after="120" w:line="256" w:lineRule="auto"/>
            <w:ind w:left="639" w:right="214"/>
            <w:jc w:val="both"/>
            <w:rPr>
              <w:rFonts w:ascii="Palatino Linotype" w:hAnsi="Palatino Linotype" w:cs="Arial"/>
            </w:rPr>
          </w:pPr>
          <w:r>
            <w:rPr>
              <w:rFonts w:ascii="Palatino Linotype" w:hAnsi="Palatino Linotype" w:cs="Arial"/>
            </w:rPr>
            <w:t>XXXX</w:t>
          </w:r>
        </w:p>
      </w:tc>
    </w:tr>
    <w:tr w:rsidR="00ED24D5" w:rsidTr="00E71F54">
      <w:trPr>
        <w:trHeight w:val="242"/>
      </w:trPr>
      <w:tc>
        <w:tcPr>
          <w:tcW w:w="5529" w:type="dxa"/>
          <w:hideMark/>
        </w:tcPr>
        <w:p w:rsidR="00ED24D5" w:rsidRDefault="00C22EE2"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D24D5" w:rsidRDefault="00A71D17" w:rsidP="00E71F54">
          <w:pPr>
            <w:spacing w:after="120" w:line="256" w:lineRule="auto"/>
            <w:ind w:left="639" w:right="214"/>
            <w:jc w:val="both"/>
            <w:rPr>
              <w:rFonts w:ascii="Palatino Linotype" w:hAnsi="Palatino Linotype" w:cs="Arial"/>
              <w:szCs w:val="20"/>
            </w:rPr>
          </w:pPr>
          <w:r w:rsidRPr="00A71D17">
            <w:rPr>
              <w:rFonts w:ascii="Palatino Linotype" w:hAnsi="Palatino Linotype" w:cs="Arial"/>
              <w:szCs w:val="20"/>
            </w:rPr>
            <w:t>Ayuntamiento de San Felipe del Progreso</w:t>
          </w:r>
        </w:p>
      </w:tc>
    </w:tr>
    <w:tr w:rsidR="00ED24D5" w:rsidTr="00E71F54">
      <w:trPr>
        <w:trHeight w:val="342"/>
      </w:trPr>
      <w:tc>
        <w:tcPr>
          <w:tcW w:w="5529" w:type="dxa"/>
          <w:hideMark/>
        </w:tcPr>
        <w:p w:rsidR="00ED24D5" w:rsidRDefault="00C22EE2"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D24D5" w:rsidRDefault="00C22EE2" w:rsidP="00E71F54">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ED24D5" w:rsidRDefault="00C22EE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4F16D42" wp14:editId="3CF9225E">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FA45"/>
      </v:shape>
    </w:pict>
  </w:numPicBullet>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F28AA"/>
    <w:multiLevelType w:val="hybridMultilevel"/>
    <w:tmpl w:val="299CC25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95109A"/>
    <w:multiLevelType w:val="hybridMultilevel"/>
    <w:tmpl w:val="B298F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0"/>
  </w:num>
  <w:num w:numId="4">
    <w:abstractNumId w:val="10"/>
  </w:num>
  <w:num w:numId="5">
    <w:abstractNumId w:val="4"/>
  </w:num>
  <w:num w:numId="6">
    <w:abstractNumId w:val="11"/>
  </w:num>
  <w:num w:numId="7">
    <w:abstractNumId w:val="9"/>
  </w:num>
  <w:num w:numId="8">
    <w:abstractNumId w:val="15"/>
  </w:num>
  <w:num w:numId="9">
    <w:abstractNumId w:val="1"/>
  </w:num>
  <w:num w:numId="10">
    <w:abstractNumId w:val="19"/>
  </w:num>
  <w:num w:numId="11">
    <w:abstractNumId w:val="16"/>
  </w:num>
  <w:num w:numId="12">
    <w:abstractNumId w:val="13"/>
  </w:num>
  <w:num w:numId="13">
    <w:abstractNumId w:val="22"/>
  </w:num>
  <w:num w:numId="14">
    <w:abstractNumId w:val="2"/>
  </w:num>
  <w:num w:numId="15">
    <w:abstractNumId w:val="14"/>
  </w:num>
  <w:num w:numId="16">
    <w:abstractNumId w:val="6"/>
  </w:num>
  <w:num w:numId="17">
    <w:abstractNumId w:val="8"/>
  </w:num>
  <w:num w:numId="18">
    <w:abstractNumId w:val="5"/>
  </w:num>
  <w:num w:numId="19">
    <w:abstractNumId w:val="21"/>
  </w:num>
  <w:num w:numId="20">
    <w:abstractNumId w:val="17"/>
  </w:num>
  <w:num w:numId="21">
    <w:abstractNumId w:val="12"/>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7"/>
    <w:rsid w:val="0036723C"/>
    <w:rsid w:val="004D1B8B"/>
    <w:rsid w:val="006401AB"/>
    <w:rsid w:val="006D2E1E"/>
    <w:rsid w:val="00775543"/>
    <w:rsid w:val="0082201F"/>
    <w:rsid w:val="00892482"/>
    <w:rsid w:val="00A40F2B"/>
    <w:rsid w:val="00A71D17"/>
    <w:rsid w:val="00AA2EF2"/>
    <w:rsid w:val="00AF4E5A"/>
    <w:rsid w:val="00C22EE2"/>
    <w:rsid w:val="00D737AE"/>
    <w:rsid w:val="00F57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7523FB-E013-4063-A2E7-460CDB7C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D1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71D1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71D1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71D1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71D1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71D1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71D1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71D17"/>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71D17"/>
    <w:rPr>
      <w:color w:val="0563C1" w:themeColor="hyperlink"/>
      <w:u w:val="single"/>
    </w:rPr>
  </w:style>
  <w:style w:type="paragraph" w:styleId="Sinespaciado">
    <w:name w:val="No Spacing"/>
    <w:aliases w:val="Francesa,INAI"/>
    <w:link w:val="SinespaciadoCar"/>
    <w:uiPriority w:val="1"/>
    <w:qFormat/>
    <w:rsid w:val="00A71D1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71D17"/>
    <w:rPr>
      <w:rFonts w:ascii="Times New Roman" w:eastAsia="Times New Roman" w:hAnsi="Times New Roman" w:cs="Times New Roman"/>
      <w:sz w:val="24"/>
      <w:szCs w:val="24"/>
      <w:lang w:eastAsia="es-ES"/>
    </w:rPr>
  </w:style>
  <w:style w:type="paragraph" w:customStyle="1" w:styleId="infoemcitas">
    <w:name w:val="infoem citas"/>
    <w:basedOn w:val="Normal"/>
    <w:qFormat/>
    <w:rsid w:val="00A71D17"/>
    <w:pPr>
      <w:spacing w:before="240" w:line="360" w:lineRule="auto"/>
      <w:ind w:left="851" w:right="851"/>
      <w:jc w:val="both"/>
    </w:pPr>
    <w:rPr>
      <w:rFonts w:ascii="Palatino Linotype" w:hAnsi="Palatino Linotype"/>
      <w:i/>
    </w:rPr>
  </w:style>
  <w:style w:type="paragraph" w:customStyle="1" w:styleId="INFOEM">
    <w:name w:val="INFOEM"/>
    <w:basedOn w:val="Normal"/>
    <w:qFormat/>
    <w:rsid w:val="00A71D17"/>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A7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7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3899</Words>
  <Characters>21447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3</cp:revision>
  <dcterms:created xsi:type="dcterms:W3CDTF">2024-09-09T15:52:00Z</dcterms:created>
  <dcterms:modified xsi:type="dcterms:W3CDTF">2024-10-22T22:18:00Z</dcterms:modified>
</cp:coreProperties>
</file>