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5DBFE"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seis de marzo de dos mil veinticuatro. </w:t>
      </w:r>
    </w:p>
    <w:p w14:paraId="4F357212" w14:textId="77777777" w:rsidR="00AE4FE4" w:rsidRPr="00EB7245" w:rsidRDefault="00AE4FE4">
      <w:pPr>
        <w:spacing w:line="360" w:lineRule="auto"/>
        <w:jc w:val="both"/>
        <w:rPr>
          <w:rFonts w:ascii="Palatino Linotype" w:eastAsia="Palatino Linotype" w:hAnsi="Palatino Linotype" w:cs="Palatino Linotype"/>
        </w:rPr>
      </w:pPr>
    </w:p>
    <w:p w14:paraId="5065EB5D" w14:textId="176E2536"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b/>
        </w:rPr>
        <w:t>Visto</w:t>
      </w:r>
      <w:r w:rsidRPr="00EB7245">
        <w:rPr>
          <w:rFonts w:ascii="Palatino Linotype" w:eastAsia="Palatino Linotype" w:hAnsi="Palatino Linotype" w:cs="Palatino Linotype"/>
        </w:rPr>
        <w:t xml:space="preserve"> el expediente relativo al recurso de revisión </w:t>
      </w:r>
      <w:r w:rsidRPr="00EB7245">
        <w:rPr>
          <w:rFonts w:ascii="Palatino Linotype" w:eastAsia="Palatino Linotype" w:hAnsi="Palatino Linotype" w:cs="Palatino Linotype"/>
          <w:b/>
        </w:rPr>
        <w:t>04324/INFOEM/IP/RR/2023</w:t>
      </w:r>
      <w:r w:rsidRPr="00EB7245">
        <w:rPr>
          <w:rFonts w:ascii="Palatino Linotype" w:eastAsia="Palatino Linotype" w:hAnsi="Palatino Linotype" w:cs="Palatino Linotype"/>
        </w:rPr>
        <w:t xml:space="preserve">, interpuesto por </w:t>
      </w:r>
      <w:r w:rsidR="00140B7F">
        <w:rPr>
          <w:rFonts w:ascii="Palatino Linotype" w:eastAsia="Palatino Linotype" w:hAnsi="Palatino Linotype" w:cs="Palatino Linotype"/>
          <w:b/>
        </w:rPr>
        <w:t>XXXXX</w:t>
      </w:r>
      <w:r w:rsidRPr="00EB7245">
        <w:rPr>
          <w:rFonts w:ascii="Palatino Linotype" w:eastAsia="Palatino Linotype" w:hAnsi="Palatino Linotype" w:cs="Palatino Linotype"/>
          <w:b/>
        </w:rPr>
        <w:t xml:space="preserve">, </w:t>
      </w:r>
      <w:r w:rsidRPr="00EB7245">
        <w:rPr>
          <w:rFonts w:ascii="Palatino Linotype" w:eastAsia="Palatino Linotype" w:hAnsi="Palatino Linotype" w:cs="Palatino Linotype"/>
        </w:rPr>
        <w:t>en lo sucesivo se le denominará la parte</w:t>
      </w:r>
      <w:r w:rsidRPr="00EB7245">
        <w:rPr>
          <w:rFonts w:ascii="Palatino Linotype" w:eastAsia="Palatino Linotype" w:hAnsi="Palatino Linotype" w:cs="Palatino Linotype"/>
          <w:b/>
        </w:rPr>
        <w:t xml:space="preserve"> RECURRENTE</w:t>
      </w:r>
      <w:r w:rsidRPr="00EB7245">
        <w:rPr>
          <w:rFonts w:ascii="Palatino Linotype" w:eastAsia="Palatino Linotype" w:hAnsi="Palatino Linotype" w:cs="Palatino Linotype"/>
        </w:rPr>
        <w:t>, en contra de la respuesta a su solicitud de información con número de folio</w:t>
      </w:r>
      <w:r w:rsidRPr="00EB7245">
        <w:rPr>
          <w:rFonts w:ascii="Palatino Linotype" w:eastAsia="Palatino Linotype" w:hAnsi="Palatino Linotype" w:cs="Palatino Linotype"/>
          <w:b/>
        </w:rPr>
        <w:t xml:space="preserve"> 00148/COACALCO/IP/2023</w:t>
      </w:r>
      <w:r w:rsidRPr="00EB7245">
        <w:rPr>
          <w:rFonts w:ascii="Palatino Linotype" w:eastAsia="Palatino Linotype" w:hAnsi="Palatino Linotype" w:cs="Palatino Linotype"/>
        </w:rPr>
        <w:t xml:space="preserve">, por parte del </w:t>
      </w:r>
      <w:r w:rsidRPr="00EB7245">
        <w:rPr>
          <w:rFonts w:ascii="Palatino Linotype" w:eastAsia="Palatino Linotype" w:hAnsi="Palatino Linotype" w:cs="Palatino Linotype"/>
          <w:b/>
        </w:rPr>
        <w:t xml:space="preserve">Ayuntamiento de Coacalco de Berriozábal </w:t>
      </w:r>
      <w:r w:rsidRPr="00EB7245">
        <w:rPr>
          <w:rFonts w:ascii="Palatino Linotype" w:eastAsia="Palatino Linotype" w:hAnsi="Palatino Linotype" w:cs="Palatino Linotype"/>
        </w:rPr>
        <w:t xml:space="preserve">en lo sucesivo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w:t>
      </w:r>
      <w:r w:rsidRPr="00EB7245">
        <w:rPr>
          <w:rFonts w:ascii="Palatino Linotype" w:eastAsia="Palatino Linotype" w:hAnsi="Palatino Linotype" w:cs="Palatino Linotype"/>
          <w:b/>
        </w:rPr>
        <w:t xml:space="preserve"> </w:t>
      </w:r>
      <w:r w:rsidRPr="00EB7245">
        <w:rPr>
          <w:rFonts w:ascii="Palatino Linotype" w:eastAsia="Palatino Linotype" w:hAnsi="Palatino Linotype" w:cs="Palatino Linotype"/>
        </w:rPr>
        <w:t>se procede a dictar la presente resolución, con base en los siguientes:</w:t>
      </w:r>
    </w:p>
    <w:p w14:paraId="71032BEB" w14:textId="77777777" w:rsidR="00AE4FE4" w:rsidRPr="00EB7245" w:rsidRDefault="009F5637">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EB7245">
        <w:rPr>
          <w:rFonts w:ascii="Palatino Linotype" w:eastAsia="Palatino Linotype" w:hAnsi="Palatino Linotype" w:cs="Palatino Linotype"/>
          <w:b/>
          <w:sz w:val="22"/>
          <w:szCs w:val="22"/>
        </w:rPr>
        <w:t>A N T E C E D E N T E S:</w:t>
      </w:r>
    </w:p>
    <w:p w14:paraId="21B8CE1C" w14:textId="77777777" w:rsidR="00AE4FE4" w:rsidRPr="00EB7245" w:rsidRDefault="00AE4FE4">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9C7C5D6" w14:textId="77777777" w:rsidR="00AE4FE4" w:rsidRPr="00EB7245" w:rsidRDefault="009F5637">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EB7245">
        <w:rPr>
          <w:rFonts w:ascii="Palatino Linotype" w:eastAsia="Palatino Linotype" w:hAnsi="Palatino Linotype" w:cs="Palatino Linotype"/>
          <w:b/>
        </w:rPr>
        <w:t xml:space="preserve">Solicitud de acceso a la información. </w:t>
      </w:r>
      <w:r w:rsidRPr="00EB7245">
        <w:rPr>
          <w:rFonts w:ascii="Palatino Linotype" w:eastAsia="Palatino Linotype" w:hAnsi="Palatino Linotype" w:cs="Palatino Linotype"/>
        </w:rPr>
        <w:t xml:space="preserve">Con fecha </w:t>
      </w:r>
      <w:r w:rsidRPr="00EB7245">
        <w:rPr>
          <w:rFonts w:ascii="Palatino Linotype" w:eastAsia="Palatino Linotype" w:hAnsi="Palatino Linotype" w:cs="Palatino Linotype"/>
          <w:b/>
        </w:rPr>
        <w:t>doce de junio de dos mil veintitrés</w:t>
      </w:r>
      <w:r w:rsidRPr="00EB7245">
        <w:rPr>
          <w:rFonts w:ascii="Palatino Linotype" w:eastAsia="Palatino Linotype" w:hAnsi="Palatino Linotype" w:cs="Palatino Linotype"/>
        </w:rPr>
        <w:t xml:space="preserve">, la parte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xml:space="preserve"> formuló solicitud de acceso a información pública al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a través del Sistema de Acceso a la Información Mexiquense, en adelante </w:t>
      </w:r>
      <w:r w:rsidRPr="00EB7245">
        <w:rPr>
          <w:rFonts w:ascii="Palatino Linotype" w:eastAsia="Palatino Linotype" w:hAnsi="Palatino Linotype" w:cs="Palatino Linotype"/>
          <w:b/>
        </w:rPr>
        <w:t>SAIMEX</w:t>
      </w:r>
      <w:r w:rsidRPr="00EB7245">
        <w:rPr>
          <w:rFonts w:ascii="Palatino Linotype" w:eastAsia="Palatino Linotype" w:hAnsi="Palatino Linotype" w:cs="Palatino Linotype"/>
        </w:rPr>
        <w:t>, requiriéndole lo siguiente:</w:t>
      </w:r>
    </w:p>
    <w:p w14:paraId="0FFD8F64" w14:textId="77777777" w:rsidR="00AE4FE4" w:rsidRPr="00EB7245" w:rsidRDefault="00AE4FE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D72B158" w14:textId="77777777" w:rsidR="00AE4FE4" w:rsidRPr="00EB7245" w:rsidRDefault="009F5637">
      <w:pPr>
        <w:spacing w:line="276" w:lineRule="auto"/>
        <w:ind w:left="567" w:right="900"/>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“Solicito las Balanzas de comprobación detallada por año de cinco administraciones pasadas al día de hoy.”</w:t>
      </w:r>
    </w:p>
    <w:p w14:paraId="040A316C" w14:textId="77777777" w:rsidR="00AE4FE4" w:rsidRPr="00EB7245" w:rsidRDefault="00AE4FE4">
      <w:pPr>
        <w:spacing w:line="360" w:lineRule="auto"/>
        <w:ind w:left="709" w:right="900"/>
        <w:jc w:val="both"/>
        <w:rPr>
          <w:rFonts w:ascii="Palatino Linotype" w:eastAsia="Palatino Linotype" w:hAnsi="Palatino Linotype" w:cs="Palatino Linotype"/>
          <w:b/>
          <w:i/>
        </w:rPr>
      </w:pPr>
    </w:p>
    <w:p w14:paraId="1616B568"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b/>
        </w:rPr>
        <w:t xml:space="preserve">Modalidad elegida para la entrega de la información: </w:t>
      </w:r>
      <w:r w:rsidRPr="00EB7245">
        <w:rPr>
          <w:rFonts w:ascii="Palatino Linotype" w:eastAsia="Palatino Linotype" w:hAnsi="Palatino Linotype" w:cs="Palatino Linotype"/>
        </w:rPr>
        <w:t xml:space="preserve">a través del Sistema de Acceso a la Información Mexiquense. </w:t>
      </w:r>
    </w:p>
    <w:p w14:paraId="003A20F7" w14:textId="77777777" w:rsidR="00AE4FE4" w:rsidRPr="00EB7245" w:rsidRDefault="00AE4FE4">
      <w:pPr>
        <w:pBdr>
          <w:top w:val="nil"/>
          <w:left w:val="nil"/>
          <w:bottom w:val="nil"/>
          <w:right w:val="nil"/>
          <w:between w:val="nil"/>
        </w:pBdr>
        <w:spacing w:line="360" w:lineRule="auto"/>
        <w:jc w:val="both"/>
        <w:rPr>
          <w:rFonts w:ascii="Palatino Linotype" w:eastAsia="Palatino Linotype" w:hAnsi="Palatino Linotype" w:cs="Palatino Linotype"/>
        </w:rPr>
      </w:pPr>
    </w:p>
    <w:p w14:paraId="510F5076" w14:textId="77777777" w:rsidR="00AE4FE4" w:rsidRPr="00EB7245" w:rsidRDefault="009F563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B7245">
        <w:rPr>
          <w:rFonts w:ascii="Palatino Linotype" w:eastAsia="Palatino Linotype" w:hAnsi="Palatino Linotype" w:cs="Palatino Linotype"/>
          <w:b/>
        </w:rPr>
        <w:lastRenderedPageBreak/>
        <w:t xml:space="preserve">Respuesta. </w:t>
      </w:r>
      <w:r w:rsidRPr="00EB7245">
        <w:rPr>
          <w:rFonts w:ascii="Palatino Linotype" w:eastAsia="Palatino Linotype" w:hAnsi="Palatino Linotype" w:cs="Palatino Linotype"/>
        </w:rPr>
        <w:t xml:space="preserve">Con fecha </w:t>
      </w:r>
      <w:r w:rsidRPr="00EB7245">
        <w:rPr>
          <w:rFonts w:ascii="Palatino Linotype" w:eastAsia="Palatino Linotype" w:hAnsi="Palatino Linotype" w:cs="Palatino Linotype"/>
          <w:b/>
        </w:rPr>
        <w:t>tres de julio de dos mil veintitrés</w:t>
      </w:r>
      <w:r w:rsidRPr="00EB7245">
        <w:rPr>
          <w:rFonts w:ascii="Palatino Linotype" w:eastAsia="Palatino Linotype" w:hAnsi="Palatino Linotype" w:cs="Palatino Linotype"/>
        </w:rPr>
        <w:t xml:space="preserve">,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envió su respuesta a la solicitud de acceso a la información a través del SAIMEX, la cual versa como sigue: </w:t>
      </w:r>
    </w:p>
    <w:p w14:paraId="538EA991" w14:textId="77777777" w:rsidR="00AE4FE4" w:rsidRPr="00EB7245" w:rsidRDefault="00AE4FE4">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30BFAB7" w14:textId="77777777" w:rsidR="00AE4FE4" w:rsidRPr="00EB7245" w:rsidRDefault="009F5637">
      <w:pPr>
        <w:spacing w:line="360" w:lineRule="auto"/>
        <w:ind w:left="851"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9E0C8F" w14:textId="77777777" w:rsidR="00AE4FE4" w:rsidRPr="00EB7245" w:rsidRDefault="009F5637">
      <w:pPr>
        <w:spacing w:line="360" w:lineRule="auto"/>
        <w:ind w:left="851"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SE ENTREGA INFORMACIÓN” (Sic)</w:t>
      </w:r>
    </w:p>
    <w:p w14:paraId="535487C4" w14:textId="77777777" w:rsidR="00AE4FE4" w:rsidRPr="00EB7245" w:rsidRDefault="00AE4FE4">
      <w:pPr>
        <w:spacing w:line="360" w:lineRule="auto"/>
        <w:ind w:left="851" w:right="616"/>
        <w:jc w:val="both"/>
        <w:rPr>
          <w:rFonts w:ascii="Palatino Linotype" w:eastAsia="Palatino Linotype" w:hAnsi="Palatino Linotype" w:cs="Palatino Linotype"/>
        </w:rPr>
      </w:pPr>
    </w:p>
    <w:p w14:paraId="6CE93E6C"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Del mismo modo, el Sujeto Obligado adjuntó a su respuesta lo siguiente: </w:t>
      </w:r>
    </w:p>
    <w:p w14:paraId="4B0C955E" w14:textId="77777777" w:rsidR="00AE4FE4" w:rsidRPr="00EB7245" w:rsidRDefault="00AE4FE4">
      <w:pPr>
        <w:spacing w:line="360" w:lineRule="auto"/>
        <w:ind w:right="49"/>
        <w:jc w:val="both"/>
        <w:rPr>
          <w:rFonts w:ascii="Palatino Linotype" w:eastAsia="Palatino Linotype" w:hAnsi="Palatino Linotype" w:cs="Palatino Linotype"/>
        </w:rPr>
      </w:pPr>
    </w:p>
    <w:p w14:paraId="3CCB12C9" w14:textId="77777777" w:rsidR="00AE4FE4" w:rsidRPr="00EB7245" w:rsidRDefault="009F563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sz w:val="22"/>
          <w:szCs w:val="22"/>
        </w:rPr>
        <w:t xml:space="preserve">Oficio de fecha tres de julio de dos mil veintitrés, signado por el Titular de la Unidad de Transparencia, mediante el cual informó que hace entrega de la información proporcionada por la Tesorería Municipal. </w:t>
      </w:r>
    </w:p>
    <w:p w14:paraId="559C887A" w14:textId="77777777" w:rsidR="00AE4FE4" w:rsidRPr="00EB7245" w:rsidRDefault="009F563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sz w:val="22"/>
          <w:szCs w:val="22"/>
        </w:rPr>
        <w:t xml:space="preserve">Oficio de fecha veintidós de junio de dos mil veintitrés, signado por el Tesorero Municipal, mediante el cual informó que hace entrega en medio magnético de 64 Balanzas de Comprobación detallada correspondiente a los ejercicios fiscales 2018, 2019, 2020, 2021, 2022 y parte del 2023; en relación con los ejercicios fiscales del 2007 al 2017 no se proporciona información, lo anterior de conformidad con lo dispuesto en el segundo párrafo del artículo 344 del Código Financiero del Estado de México, ya que solo debe conservar la información por un término de cinco años. </w:t>
      </w:r>
    </w:p>
    <w:p w14:paraId="712C99E4" w14:textId="77777777" w:rsidR="00AE4FE4" w:rsidRPr="00EB7245" w:rsidRDefault="009F563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sz w:val="22"/>
          <w:szCs w:val="22"/>
        </w:rPr>
        <w:t xml:space="preserve">Carpeta Zip que contiene 64 archivos con aproximadamente catorce y quince oficios cada uno respectivamente, de las Balanzas de Comprobación detallada, correspondiente a los ejercicios fiscales 2018, 2019, 2020, 2021, 2022 y parte del 2023. </w:t>
      </w:r>
    </w:p>
    <w:p w14:paraId="5718BD68" w14:textId="77777777" w:rsidR="00AE4FE4" w:rsidRPr="00EB7245" w:rsidRDefault="00AE4FE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B27291A" w14:textId="77777777" w:rsidR="00AE4FE4" w:rsidRPr="00EB7245" w:rsidRDefault="009F5637">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EB7245">
        <w:rPr>
          <w:rFonts w:ascii="Palatino Linotype" w:eastAsia="Palatino Linotype" w:hAnsi="Palatino Linotype" w:cs="Palatino Linotype"/>
          <w:b/>
        </w:rPr>
        <w:t xml:space="preserve">Interposición del recurso de revisión. </w:t>
      </w:r>
      <w:r w:rsidRPr="00EB7245">
        <w:rPr>
          <w:rFonts w:ascii="Palatino Linotype" w:eastAsia="Palatino Linotype" w:hAnsi="Palatino Linotype" w:cs="Palatino Linotype"/>
        </w:rPr>
        <w:t xml:space="preserve">Inconforme con la respuesta del </w:t>
      </w:r>
      <w:r w:rsidRPr="00EB7245">
        <w:rPr>
          <w:rFonts w:ascii="Palatino Linotype" w:eastAsia="Palatino Linotype" w:hAnsi="Palatino Linotype" w:cs="Palatino Linotype"/>
          <w:b/>
        </w:rPr>
        <w:t>SUJETO OBLIGADO la parte RECURRENTE</w:t>
      </w:r>
      <w:r w:rsidRPr="00EB7245">
        <w:rPr>
          <w:rFonts w:ascii="Palatino Linotype" w:eastAsia="Palatino Linotype" w:hAnsi="Palatino Linotype" w:cs="Palatino Linotype"/>
        </w:rPr>
        <w:t xml:space="preserve"> interpuso recurso de revisión a través del SAIMEX en fecha </w:t>
      </w:r>
      <w:r w:rsidRPr="00EB7245">
        <w:rPr>
          <w:rFonts w:ascii="Palatino Linotype" w:eastAsia="Palatino Linotype" w:hAnsi="Palatino Linotype" w:cs="Palatino Linotype"/>
          <w:b/>
        </w:rPr>
        <w:t>tres de agosto de dos mil veintitrés</w:t>
      </w:r>
      <w:r w:rsidRPr="00EB7245">
        <w:rPr>
          <w:rFonts w:ascii="Palatino Linotype" w:eastAsia="Palatino Linotype" w:hAnsi="Palatino Linotype" w:cs="Palatino Linotype"/>
        </w:rPr>
        <w:t>, a través del cual expresó lo siguiente:</w:t>
      </w:r>
    </w:p>
    <w:p w14:paraId="5860C0FB" w14:textId="77777777" w:rsidR="00AE4FE4" w:rsidRPr="00EB7245" w:rsidRDefault="00AE4FE4">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rPr>
      </w:pPr>
    </w:p>
    <w:p w14:paraId="12D844D0" w14:textId="77777777" w:rsidR="00AE4FE4" w:rsidRPr="00EB7245" w:rsidRDefault="009F5637">
      <w:pPr>
        <w:spacing w:line="360" w:lineRule="auto"/>
        <w:ind w:left="567"/>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b/>
          <w:sz w:val="22"/>
          <w:szCs w:val="22"/>
        </w:rPr>
        <w:t xml:space="preserve">Acto impugnado. </w:t>
      </w:r>
      <w:r w:rsidRPr="00EB7245">
        <w:rPr>
          <w:rFonts w:ascii="Palatino Linotype" w:eastAsia="Palatino Linotype" w:hAnsi="Palatino Linotype" w:cs="Palatino Linotype"/>
          <w:i/>
          <w:sz w:val="22"/>
          <w:szCs w:val="22"/>
        </w:rPr>
        <w:t xml:space="preserve">“LA RESPUESTA DEL SUJETO OBLIGADO” </w:t>
      </w:r>
    </w:p>
    <w:p w14:paraId="0DD49B0F" w14:textId="77777777" w:rsidR="00AE4FE4" w:rsidRPr="00EB7245" w:rsidRDefault="00AE4FE4">
      <w:pPr>
        <w:spacing w:line="360" w:lineRule="auto"/>
        <w:ind w:left="567"/>
      </w:pPr>
    </w:p>
    <w:p w14:paraId="304D4A78" w14:textId="77777777" w:rsidR="00AE4FE4" w:rsidRPr="00EB7245" w:rsidRDefault="009F5637">
      <w:pPr>
        <w:pBdr>
          <w:top w:val="nil"/>
          <w:left w:val="nil"/>
          <w:bottom w:val="nil"/>
          <w:right w:val="nil"/>
          <w:between w:val="nil"/>
        </w:pBdr>
        <w:spacing w:line="360" w:lineRule="auto"/>
        <w:ind w:left="567"/>
        <w:jc w:val="both"/>
        <w:rPr>
          <w:rFonts w:ascii="Palatino Linotype" w:eastAsia="Palatino Linotype" w:hAnsi="Palatino Linotype" w:cs="Palatino Linotype"/>
          <w:b/>
          <w:i/>
          <w:sz w:val="22"/>
          <w:szCs w:val="22"/>
          <w:u w:val="single"/>
        </w:rPr>
      </w:pPr>
      <w:r w:rsidRPr="00EB7245">
        <w:rPr>
          <w:rFonts w:ascii="Palatino Linotype" w:eastAsia="Palatino Linotype" w:hAnsi="Palatino Linotype" w:cs="Palatino Linotype"/>
          <w:b/>
          <w:sz w:val="22"/>
          <w:szCs w:val="22"/>
        </w:rPr>
        <w:t xml:space="preserve">Motivos de inconformidad. </w:t>
      </w:r>
      <w:r w:rsidRPr="00EB7245">
        <w:rPr>
          <w:rFonts w:ascii="Palatino Linotype" w:eastAsia="Palatino Linotype" w:hAnsi="Palatino Linotype" w:cs="Palatino Linotype"/>
          <w:i/>
          <w:sz w:val="22"/>
          <w:szCs w:val="22"/>
        </w:rPr>
        <w:t>“LAS BALANZAS DE COMPROBACION DETALLADA QUE FUERON ENTREGADAS POR LA TESORERIA MUNICIPAL SE ENCUENTRAN INCOMPLETAS YA QUE LAS OPERACIONES REGISTRADAS NO SE ENCUENTRAN CLASIFICADAS POR CUENTA Y SUBCUENTA HASTA EL QUINTO NIVEL COMO LO ESTABLECE EL INSTRUCTIVO DE LLENADO DEL OSFEM”</w:t>
      </w:r>
    </w:p>
    <w:p w14:paraId="202EA407" w14:textId="77777777" w:rsidR="00AE4FE4" w:rsidRPr="00EB7245" w:rsidRDefault="00AE4FE4">
      <w:pPr>
        <w:pBdr>
          <w:top w:val="nil"/>
          <w:left w:val="nil"/>
          <w:bottom w:val="nil"/>
          <w:right w:val="nil"/>
          <w:between w:val="nil"/>
        </w:pBdr>
        <w:spacing w:line="360" w:lineRule="auto"/>
        <w:ind w:left="567"/>
        <w:jc w:val="both"/>
        <w:rPr>
          <w:rFonts w:ascii="Palatino Linotype" w:eastAsia="Palatino Linotype" w:hAnsi="Palatino Linotype" w:cs="Palatino Linotype"/>
          <w:i/>
        </w:rPr>
      </w:pPr>
    </w:p>
    <w:p w14:paraId="3857707E" w14:textId="77777777" w:rsidR="00AE4FE4" w:rsidRPr="00EB7245" w:rsidRDefault="009F5637">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EB7245">
        <w:rPr>
          <w:rFonts w:ascii="Palatino Linotype" w:eastAsia="Palatino Linotype" w:hAnsi="Palatino Linotype" w:cs="Palatino Linotype"/>
          <w:b/>
        </w:rPr>
        <w:t xml:space="preserve">Turno. </w:t>
      </w:r>
      <w:r w:rsidRPr="00EB724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B7245">
        <w:rPr>
          <w:rFonts w:ascii="Palatino Linotype" w:eastAsia="Palatino Linotype" w:hAnsi="Palatino Linotype" w:cs="Palatino Linotype"/>
          <w:b/>
        </w:rPr>
        <w:t>04324/INFOEM/IP/RR/2023</w:t>
      </w:r>
      <w:r w:rsidRPr="00EB7245">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EB7245">
        <w:rPr>
          <w:rFonts w:ascii="Palatino Linotype" w:eastAsia="Palatino Linotype" w:hAnsi="Palatino Linotype" w:cs="Palatino Linotype"/>
          <w:b/>
        </w:rPr>
        <w:t>Guadalupe Ramírez Peña</w:t>
      </w:r>
      <w:r w:rsidRPr="00EB7245">
        <w:rPr>
          <w:rFonts w:ascii="Palatino Linotype" w:eastAsia="Palatino Linotype" w:hAnsi="Palatino Linotype" w:cs="Palatino Linotype"/>
        </w:rPr>
        <w:t>, para su análisis, estudio, elaboración del proyecto y presentación ante el Pleno de este Instituto.</w:t>
      </w:r>
    </w:p>
    <w:p w14:paraId="0D836459" w14:textId="77777777" w:rsidR="00AE4FE4" w:rsidRPr="00EB7245" w:rsidRDefault="00AE4F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4AD6441" w14:textId="77777777" w:rsidR="00AE4FE4" w:rsidRPr="00EB7245" w:rsidRDefault="009F5637">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1" w:name="_heading=h.gjdgxs" w:colFirst="0" w:colLast="0"/>
      <w:bookmarkEnd w:id="1"/>
      <w:r w:rsidRPr="00EB7245">
        <w:rPr>
          <w:rFonts w:ascii="Palatino Linotype" w:eastAsia="Palatino Linotype" w:hAnsi="Palatino Linotype" w:cs="Palatino Linotype"/>
          <w:b/>
        </w:rPr>
        <w:t xml:space="preserve">Admisión del recurso de revisión: </w:t>
      </w:r>
      <w:r w:rsidRPr="00EB7245">
        <w:rPr>
          <w:rFonts w:ascii="Palatino Linotype" w:eastAsia="Palatino Linotype" w:hAnsi="Palatino Linotype" w:cs="Palatino Linotype"/>
        </w:rPr>
        <w:t xml:space="preserve">En fecha </w:t>
      </w:r>
      <w:r w:rsidRPr="00EB7245">
        <w:rPr>
          <w:rFonts w:ascii="Palatino Linotype" w:eastAsia="Palatino Linotype" w:hAnsi="Palatino Linotype" w:cs="Palatino Linotype"/>
          <w:b/>
        </w:rPr>
        <w:t>ocho de agosto de dos mil veintitrés</w:t>
      </w:r>
      <w:r w:rsidRPr="00EB7245">
        <w:rPr>
          <w:rFonts w:ascii="Palatino Linotype" w:eastAsia="Palatino Linotype" w:hAnsi="Palatino Linotype" w:cs="Palatino Linotype"/>
        </w:rPr>
        <w:t xml:space="preserve">, la Comisionada Ponente admitió a trámite el recurso de revisión que ahora se </w:t>
      </w:r>
      <w:r w:rsidRPr="00EB7245">
        <w:rPr>
          <w:rFonts w:ascii="Palatino Linotype" w:eastAsia="Palatino Linotype" w:hAnsi="Palatino Linotype" w:cs="Palatino Linotype"/>
        </w:rPr>
        <w:lastRenderedPageBreak/>
        <w:t xml:space="preserve">resuelve, dando un plazo máximo de siete días hábiles para que las partes manifestaran lo que a su derecho resultara conveniente, ofrecieran pruebas, formularan alegatos y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presentara su informe justificado.</w:t>
      </w:r>
    </w:p>
    <w:p w14:paraId="0AEBD4C1" w14:textId="77777777" w:rsidR="00AE4FE4" w:rsidRPr="00EB7245" w:rsidRDefault="00AE4F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144D9A00" w14:textId="77777777" w:rsidR="00AE4FE4" w:rsidRPr="00EB7245" w:rsidRDefault="009F5637">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EB7245">
        <w:rPr>
          <w:rFonts w:ascii="Palatino Linotype" w:eastAsia="Palatino Linotype" w:hAnsi="Palatino Linotype" w:cs="Palatino Linotype"/>
          <w:b/>
        </w:rPr>
        <w:t>Manifestaciones</w:t>
      </w:r>
      <w:r w:rsidRPr="00EB7245">
        <w:rPr>
          <w:rFonts w:ascii="Palatino Linotype" w:eastAsia="Palatino Linotype" w:hAnsi="Palatino Linotype" w:cs="Palatino Linotype"/>
        </w:rPr>
        <w:t xml:space="preserve">: De las constancias que obran en el expediente electrónico del SAIMEX se desprende que el Recurrente fue omiso en presentar sus alegatos o manifestación alguna. </w:t>
      </w:r>
    </w:p>
    <w:p w14:paraId="0019BA16" w14:textId="77777777" w:rsidR="00AE4FE4" w:rsidRPr="00EB7245" w:rsidRDefault="00AE4FE4">
      <w:pPr>
        <w:pBdr>
          <w:top w:val="nil"/>
          <w:left w:val="nil"/>
          <w:bottom w:val="nil"/>
          <w:right w:val="nil"/>
          <w:between w:val="nil"/>
        </w:pBdr>
        <w:ind w:left="708"/>
        <w:rPr>
          <w:rFonts w:ascii="Palatino Linotype" w:eastAsia="Palatino Linotype" w:hAnsi="Palatino Linotype" w:cs="Palatino Linotype"/>
          <w:sz w:val="22"/>
          <w:szCs w:val="22"/>
        </w:rPr>
      </w:pPr>
    </w:p>
    <w:p w14:paraId="7604876D" w14:textId="77777777" w:rsidR="00AE4FE4" w:rsidRPr="00EB7245" w:rsidRDefault="009F563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Por su parte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en fecha diecisiete de agosto de dos mil veintitrés, adjunto los archivos electrónicos siguientes: </w:t>
      </w:r>
    </w:p>
    <w:p w14:paraId="26CC4B99" w14:textId="77777777" w:rsidR="00AE4FE4" w:rsidRPr="00EB7245" w:rsidRDefault="00AE4F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67CFC89" w14:textId="77777777" w:rsidR="00AE4FE4" w:rsidRPr="00EB7245" w:rsidRDefault="009F5637">
      <w:pPr>
        <w:numPr>
          <w:ilvl w:val="0"/>
          <w:numId w:val="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roofErr w:type="spellStart"/>
      <w:r w:rsidRPr="00EB7245">
        <w:rPr>
          <w:rFonts w:ascii="Palatino Linotype" w:eastAsia="Palatino Linotype" w:hAnsi="Palatino Linotype" w:cs="Palatino Linotype"/>
          <w:b/>
          <w:sz w:val="22"/>
          <w:szCs w:val="22"/>
        </w:rPr>
        <w:t>MyDoc</w:t>
      </w:r>
      <w:proofErr w:type="spellEnd"/>
      <w:r w:rsidRPr="00EB7245">
        <w:rPr>
          <w:rFonts w:ascii="Palatino Linotype" w:eastAsia="Palatino Linotype" w:hAnsi="Palatino Linotype" w:cs="Palatino Linotype"/>
          <w:b/>
          <w:sz w:val="22"/>
          <w:szCs w:val="22"/>
        </w:rPr>
        <w:t xml:space="preserve"> 18_43_19.pdf</w:t>
      </w:r>
      <w:r w:rsidRPr="00EB7245">
        <w:rPr>
          <w:rFonts w:ascii="Palatino Linotype" w:eastAsia="Palatino Linotype" w:hAnsi="Palatino Linotype" w:cs="Palatino Linotype"/>
          <w:sz w:val="22"/>
          <w:szCs w:val="22"/>
        </w:rPr>
        <w:t xml:space="preserve">: el cual contiene el oficio número TM/1204/2023 de fecha dieciséis de agosto de dos mil veintitrés, signado por el Tesorero Municipal, mediante el cual ratifica su respuesta inicial. </w:t>
      </w:r>
    </w:p>
    <w:p w14:paraId="03F0BFFB" w14:textId="77777777" w:rsidR="00AE4FE4" w:rsidRPr="00EB7245" w:rsidRDefault="009F5637">
      <w:pPr>
        <w:numPr>
          <w:ilvl w:val="0"/>
          <w:numId w:val="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b/>
          <w:sz w:val="22"/>
          <w:szCs w:val="22"/>
        </w:rPr>
        <w:t>RR148.pdf</w:t>
      </w:r>
      <w:r w:rsidRPr="00EB7245">
        <w:rPr>
          <w:rFonts w:ascii="Palatino Linotype" w:eastAsia="Palatino Linotype" w:hAnsi="Palatino Linotype" w:cs="Palatino Linotype"/>
          <w:sz w:val="22"/>
          <w:szCs w:val="22"/>
        </w:rPr>
        <w:t xml:space="preserve">: el cual contiene el oficio signado por el Titular de la Unidad de Transparencia del Ayuntamiento de Coacalco de Berriozábal, mediante el cual ratifica su respuesta inicial del Tesorero Municipal. </w:t>
      </w:r>
    </w:p>
    <w:p w14:paraId="4601BA1A" w14:textId="77777777" w:rsidR="00AE4FE4" w:rsidRPr="00EB7245" w:rsidRDefault="00AE4FE4">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p>
    <w:p w14:paraId="4B4D60F2" w14:textId="77777777" w:rsidR="00AE4FE4" w:rsidRPr="00EB7245" w:rsidRDefault="009F5637">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EB7245">
        <w:rPr>
          <w:rFonts w:ascii="Palatino Linotype" w:eastAsia="Palatino Linotype" w:hAnsi="Palatino Linotype" w:cs="Palatino Linotype"/>
          <w:b/>
        </w:rPr>
        <w:t>Ampliación del plazo.</w:t>
      </w:r>
      <w:r w:rsidRPr="00EB7245">
        <w:rPr>
          <w:rFonts w:ascii="Palatino Linotype" w:eastAsia="Palatino Linotype" w:hAnsi="Palatino Linotype" w:cs="Palatino Linotype"/>
        </w:rPr>
        <w:t xml:space="preserve"> En fecha </w:t>
      </w:r>
      <w:r w:rsidRPr="00EB7245">
        <w:rPr>
          <w:rFonts w:ascii="Palatino Linotype" w:eastAsia="Palatino Linotype" w:hAnsi="Palatino Linotype" w:cs="Palatino Linotype"/>
          <w:b/>
        </w:rPr>
        <w:t>veintiocho de febrero de dos mil veinticuatro</w:t>
      </w:r>
      <w:r w:rsidRPr="00EB7245">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28CF429" w14:textId="77777777" w:rsidR="00AE4FE4" w:rsidRPr="00EB7245" w:rsidRDefault="00AE4FE4">
      <w:pPr>
        <w:widowControl w:val="0"/>
        <w:spacing w:line="360" w:lineRule="auto"/>
        <w:jc w:val="both"/>
        <w:rPr>
          <w:rFonts w:ascii="Palatino Linotype" w:eastAsia="Palatino Linotype" w:hAnsi="Palatino Linotype" w:cs="Palatino Linotype"/>
        </w:rPr>
      </w:pPr>
    </w:p>
    <w:p w14:paraId="247FB757"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EB7245">
        <w:rPr>
          <w:rFonts w:ascii="Palatino Linotype" w:eastAsia="Palatino Linotype" w:hAnsi="Palatino Linotype" w:cs="Palatino Linotype"/>
        </w:rPr>
        <w:lastRenderedPageBreak/>
        <w:t>recursos de revisión recibidos, circunstancia atípica que ha rebasado las capacidades técnicas y humanas del personal encargado de la proyección de las resoluciones a dichos medios de impugnación.</w:t>
      </w:r>
    </w:p>
    <w:p w14:paraId="52A9548E" w14:textId="77777777" w:rsidR="00AE4FE4" w:rsidRPr="00EB7245" w:rsidRDefault="00AE4FE4">
      <w:pPr>
        <w:spacing w:line="360" w:lineRule="auto"/>
        <w:jc w:val="both"/>
        <w:rPr>
          <w:rFonts w:ascii="Palatino Linotype" w:eastAsia="Palatino Linotype" w:hAnsi="Palatino Linotype" w:cs="Palatino Linotype"/>
        </w:rPr>
      </w:pPr>
    </w:p>
    <w:p w14:paraId="451D9E28"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4944D1" w14:textId="77777777" w:rsidR="00AE4FE4" w:rsidRPr="00EB7245" w:rsidRDefault="00AE4FE4">
      <w:pPr>
        <w:spacing w:line="360" w:lineRule="auto"/>
        <w:jc w:val="both"/>
        <w:rPr>
          <w:rFonts w:ascii="Palatino Linotype" w:eastAsia="Palatino Linotype" w:hAnsi="Palatino Linotype" w:cs="Palatino Linotype"/>
        </w:rPr>
      </w:pPr>
    </w:p>
    <w:p w14:paraId="41E1C910"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EB3B10" w14:textId="77777777" w:rsidR="00AE4FE4" w:rsidRPr="00EB7245" w:rsidRDefault="00AE4FE4">
      <w:pPr>
        <w:spacing w:line="360" w:lineRule="auto"/>
        <w:jc w:val="both"/>
        <w:rPr>
          <w:rFonts w:ascii="Palatino Linotype" w:eastAsia="Palatino Linotype" w:hAnsi="Palatino Linotype" w:cs="Palatino Linotype"/>
        </w:rPr>
      </w:pPr>
    </w:p>
    <w:p w14:paraId="14459CE6"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A0CCFD" w14:textId="77777777" w:rsidR="00AE4FE4" w:rsidRPr="00EB7245" w:rsidRDefault="00AE4FE4">
      <w:pPr>
        <w:spacing w:line="360" w:lineRule="auto"/>
        <w:jc w:val="both"/>
        <w:rPr>
          <w:rFonts w:ascii="Palatino Linotype" w:eastAsia="Palatino Linotype" w:hAnsi="Palatino Linotype" w:cs="Palatino Linotype"/>
        </w:rPr>
      </w:pPr>
    </w:p>
    <w:p w14:paraId="2CE4F0E9" w14:textId="77777777" w:rsidR="00AE4FE4" w:rsidRPr="00EB7245" w:rsidRDefault="009F5637">
      <w:pPr>
        <w:spacing w:line="360" w:lineRule="auto"/>
        <w:jc w:val="both"/>
        <w:rPr>
          <w:rFonts w:ascii="Palatino Linotype" w:eastAsia="Palatino Linotype" w:hAnsi="Palatino Linotype" w:cs="Palatino Linotype"/>
          <w:strike/>
        </w:rPr>
      </w:pPr>
      <w:r w:rsidRPr="00EB724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5FADCCE" w14:textId="77777777" w:rsidR="00AE4FE4" w:rsidRPr="00EB7245" w:rsidRDefault="00AE4FE4">
      <w:pPr>
        <w:spacing w:line="360" w:lineRule="auto"/>
        <w:jc w:val="both"/>
        <w:rPr>
          <w:rFonts w:ascii="Palatino Linotype" w:eastAsia="Palatino Linotype" w:hAnsi="Palatino Linotype" w:cs="Palatino Linotype"/>
        </w:rPr>
      </w:pPr>
    </w:p>
    <w:p w14:paraId="63F5B395" w14:textId="77777777" w:rsidR="00AE4FE4" w:rsidRPr="00EB7245" w:rsidRDefault="009F5637">
      <w:pPr>
        <w:numPr>
          <w:ilvl w:val="0"/>
          <w:numId w:val="6"/>
        </w:numPr>
        <w:spacing w:line="360" w:lineRule="auto"/>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b/>
          <w:sz w:val="22"/>
          <w:szCs w:val="22"/>
        </w:rPr>
        <w:t>Complejidad del Asunto</w:t>
      </w:r>
      <w:r w:rsidRPr="00EB724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3F758C8" w14:textId="77777777" w:rsidR="00AE4FE4" w:rsidRPr="00EB7245" w:rsidRDefault="00AE4FE4">
      <w:pPr>
        <w:spacing w:line="360" w:lineRule="auto"/>
        <w:ind w:left="927"/>
        <w:jc w:val="both"/>
        <w:rPr>
          <w:rFonts w:ascii="Palatino Linotype" w:eastAsia="Palatino Linotype" w:hAnsi="Palatino Linotype" w:cs="Palatino Linotype"/>
          <w:sz w:val="22"/>
          <w:szCs w:val="22"/>
        </w:rPr>
      </w:pPr>
    </w:p>
    <w:p w14:paraId="2315E1F3" w14:textId="77777777" w:rsidR="00AE4FE4" w:rsidRPr="00EB7245" w:rsidRDefault="009F5637">
      <w:pPr>
        <w:numPr>
          <w:ilvl w:val="0"/>
          <w:numId w:val="6"/>
        </w:numPr>
        <w:spacing w:line="360" w:lineRule="auto"/>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b/>
          <w:sz w:val="22"/>
          <w:szCs w:val="22"/>
        </w:rPr>
        <w:t>Actividad Procesal del interesado.</w:t>
      </w:r>
      <w:r w:rsidRPr="00EB7245">
        <w:rPr>
          <w:rFonts w:ascii="Palatino Linotype" w:eastAsia="Palatino Linotype" w:hAnsi="Palatino Linotype" w:cs="Palatino Linotype"/>
          <w:sz w:val="22"/>
          <w:szCs w:val="22"/>
        </w:rPr>
        <w:t xml:space="preserve"> Acciones u omisiones del interesado.</w:t>
      </w:r>
    </w:p>
    <w:p w14:paraId="1989F355" w14:textId="77777777" w:rsidR="00AE4FE4" w:rsidRPr="00EB7245" w:rsidRDefault="00AE4FE4">
      <w:pPr>
        <w:spacing w:line="360" w:lineRule="auto"/>
        <w:ind w:left="927"/>
        <w:jc w:val="both"/>
        <w:rPr>
          <w:rFonts w:ascii="Palatino Linotype" w:eastAsia="Palatino Linotype" w:hAnsi="Palatino Linotype" w:cs="Palatino Linotype"/>
          <w:sz w:val="22"/>
          <w:szCs w:val="22"/>
        </w:rPr>
      </w:pPr>
    </w:p>
    <w:p w14:paraId="5C48C55D" w14:textId="77777777" w:rsidR="00AE4FE4" w:rsidRPr="00EB7245" w:rsidRDefault="009F5637">
      <w:pPr>
        <w:numPr>
          <w:ilvl w:val="0"/>
          <w:numId w:val="6"/>
        </w:numPr>
        <w:spacing w:line="360" w:lineRule="auto"/>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b/>
          <w:sz w:val="22"/>
          <w:szCs w:val="22"/>
        </w:rPr>
        <w:t>Conducta de la Autoridad:</w:t>
      </w:r>
      <w:r w:rsidRPr="00EB724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EC8778B" w14:textId="77777777" w:rsidR="00AE4FE4" w:rsidRPr="00EB7245" w:rsidRDefault="00AE4FE4">
      <w:pPr>
        <w:spacing w:line="360" w:lineRule="auto"/>
        <w:ind w:left="927"/>
        <w:jc w:val="both"/>
        <w:rPr>
          <w:rFonts w:ascii="Palatino Linotype" w:eastAsia="Palatino Linotype" w:hAnsi="Palatino Linotype" w:cs="Palatino Linotype"/>
          <w:sz w:val="22"/>
          <w:szCs w:val="22"/>
        </w:rPr>
      </w:pPr>
    </w:p>
    <w:p w14:paraId="1B9F0BE1" w14:textId="77777777" w:rsidR="00AE4FE4" w:rsidRPr="00EB7245" w:rsidRDefault="009F5637">
      <w:pPr>
        <w:numPr>
          <w:ilvl w:val="0"/>
          <w:numId w:val="6"/>
        </w:numPr>
        <w:spacing w:line="360" w:lineRule="auto"/>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sz w:val="22"/>
          <w:szCs w:val="22"/>
        </w:rPr>
        <w:t xml:space="preserve"> </w:t>
      </w:r>
      <w:r w:rsidRPr="00EB7245">
        <w:rPr>
          <w:rFonts w:ascii="Palatino Linotype" w:eastAsia="Palatino Linotype" w:hAnsi="Palatino Linotype" w:cs="Palatino Linotype"/>
          <w:b/>
          <w:sz w:val="22"/>
          <w:szCs w:val="22"/>
        </w:rPr>
        <w:t xml:space="preserve">La afectación generada en la situación jurídica de la persona involucrada en el proceso: </w:t>
      </w:r>
      <w:r w:rsidRPr="00EB7245">
        <w:rPr>
          <w:rFonts w:ascii="Palatino Linotype" w:eastAsia="Palatino Linotype" w:hAnsi="Palatino Linotype" w:cs="Palatino Linotype"/>
          <w:sz w:val="22"/>
          <w:szCs w:val="22"/>
        </w:rPr>
        <w:t>Violación a sus derechos humanos.</w:t>
      </w:r>
    </w:p>
    <w:p w14:paraId="3F977E4C" w14:textId="77777777" w:rsidR="00AE4FE4" w:rsidRPr="00EB7245" w:rsidRDefault="00AE4FE4">
      <w:pPr>
        <w:spacing w:line="360" w:lineRule="auto"/>
        <w:jc w:val="both"/>
        <w:rPr>
          <w:rFonts w:ascii="Palatino Linotype" w:eastAsia="Palatino Linotype" w:hAnsi="Palatino Linotype" w:cs="Palatino Linotype"/>
        </w:rPr>
      </w:pPr>
    </w:p>
    <w:p w14:paraId="31D4EEFF"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E167C1" w14:textId="77777777" w:rsidR="00AE4FE4" w:rsidRPr="00EB7245" w:rsidRDefault="00AE4FE4">
      <w:pPr>
        <w:spacing w:line="360" w:lineRule="auto"/>
        <w:jc w:val="both"/>
        <w:rPr>
          <w:rFonts w:ascii="Palatino Linotype" w:eastAsia="Palatino Linotype" w:hAnsi="Palatino Linotype" w:cs="Palatino Linotype"/>
        </w:rPr>
      </w:pPr>
    </w:p>
    <w:p w14:paraId="72563D03" w14:textId="77777777" w:rsidR="00AE4FE4" w:rsidRPr="00EB7245" w:rsidRDefault="009F5637">
      <w:pPr>
        <w:spacing w:line="360" w:lineRule="auto"/>
        <w:jc w:val="both"/>
        <w:rPr>
          <w:rFonts w:ascii="Palatino Linotype" w:eastAsia="Palatino Linotype" w:hAnsi="Palatino Linotype" w:cs="Palatino Linotype"/>
          <w:b/>
        </w:rPr>
      </w:pPr>
      <w:r w:rsidRPr="00EB724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B7245">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EB7245">
        <w:rPr>
          <w:rFonts w:ascii="Palatino Linotype" w:eastAsia="Palatino Linotype" w:hAnsi="Palatino Linotype" w:cs="Palatino Linotype"/>
          <w:i/>
        </w:rPr>
        <w:lastRenderedPageBreak/>
        <w:t>CARACTERÍSTICAS DEL CASO.”</w:t>
      </w:r>
      <w:r w:rsidRPr="00EB7245">
        <w:rPr>
          <w:rFonts w:ascii="Palatino Linotype" w:eastAsia="Palatino Linotype" w:hAnsi="Palatino Linotype" w:cs="Palatino Linotype"/>
        </w:rPr>
        <w:t>, visible en la Gaceta del Seminario Judicial de la Federación con el registro digital 205635.</w:t>
      </w:r>
    </w:p>
    <w:p w14:paraId="716F9D7D" w14:textId="77777777" w:rsidR="00AE4FE4" w:rsidRPr="00EB7245" w:rsidRDefault="00AE4FE4">
      <w:pPr>
        <w:spacing w:line="360" w:lineRule="auto"/>
        <w:jc w:val="both"/>
        <w:rPr>
          <w:rFonts w:ascii="Palatino Linotype" w:eastAsia="Palatino Linotype" w:hAnsi="Palatino Linotype" w:cs="Palatino Linotype"/>
        </w:rPr>
      </w:pPr>
    </w:p>
    <w:p w14:paraId="61F9B8EC"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3820F5" w14:textId="77777777" w:rsidR="00AE4FE4" w:rsidRPr="00EB7245" w:rsidRDefault="00AE4FE4">
      <w:pPr>
        <w:spacing w:line="360" w:lineRule="auto"/>
        <w:jc w:val="both"/>
        <w:rPr>
          <w:rFonts w:ascii="Palatino Linotype" w:eastAsia="Palatino Linotype" w:hAnsi="Palatino Linotype" w:cs="Palatino Linotype"/>
        </w:rPr>
      </w:pPr>
    </w:p>
    <w:p w14:paraId="38552E12"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D544ED" w14:textId="77777777" w:rsidR="00AE4FE4" w:rsidRPr="00EB7245" w:rsidRDefault="00AE4FE4">
      <w:pPr>
        <w:spacing w:line="360" w:lineRule="auto"/>
        <w:jc w:val="both"/>
        <w:rPr>
          <w:rFonts w:ascii="Palatino Linotype" w:eastAsia="Palatino Linotype" w:hAnsi="Palatino Linotype" w:cs="Palatino Linotype"/>
        </w:rPr>
      </w:pPr>
    </w:p>
    <w:p w14:paraId="2EC21084" w14:textId="77777777" w:rsidR="00AE4FE4" w:rsidRPr="00EB7245" w:rsidRDefault="009F5637">
      <w:pPr>
        <w:spacing w:line="360" w:lineRule="auto"/>
        <w:ind w:left="567" w:right="616"/>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sz w:val="22"/>
          <w:szCs w:val="22"/>
        </w:rPr>
        <w:t xml:space="preserve"> </w:t>
      </w:r>
      <w:r w:rsidRPr="00EB7245">
        <w:rPr>
          <w:rFonts w:ascii="Palatino Linotype" w:eastAsia="Palatino Linotype" w:hAnsi="Palatino Linotype" w:cs="Palatino Linotype"/>
          <w:i/>
          <w:sz w:val="22"/>
          <w:szCs w:val="22"/>
        </w:rPr>
        <w:t>“PLAZO RAZONABLE PARA RESOLVER. DIMENSIÓN Y EFECTOS DE ESTE CONCEPTO CUANDO SE ADUCE EXCESIVA CARGA DE TRABAJO.”</w:t>
      </w:r>
      <w:r w:rsidRPr="00EB7245">
        <w:rPr>
          <w:rFonts w:ascii="Palatino Linotype" w:eastAsia="Palatino Linotype" w:hAnsi="Palatino Linotype" w:cs="Palatino Linotype"/>
          <w:sz w:val="22"/>
          <w:szCs w:val="22"/>
        </w:rPr>
        <w:t xml:space="preserve"> consultable en el Seminario Judicial de la Federación y su gaceta, con el registro digital 2002351.</w:t>
      </w:r>
    </w:p>
    <w:p w14:paraId="66005851" w14:textId="77777777" w:rsidR="00AE4FE4" w:rsidRPr="00EB7245" w:rsidRDefault="00AE4FE4">
      <w:pPr>
        <w:spacing w:line="360" w:lineRule="auto"/>
        <w:ind w:left="567" w:right="616"/>
        <w:jc w:val="both"/>
        <w:rPr>
          <w:rFonts w:ascii="Palatino Linotype" w:eastAsia="Palatino Linotype" w:hAnsi="Palatino Linotype" w:cs="Palatino Linotype"/>
          <w:b/>
          <w:sz w:val="22"/>
          <w:szCs w:val="22"/>
        </w:rPr>
      </w:pPr>
    </w:p>
    <w:p w14:paraId="3648F664" w14:textId="77777777" w:rsidR="00AE4FE4" w:rsidRPr="00EB7245" w:rsidRDefault="009F5637">
      <w:pPr>
        <w:spacing w:line="360" w:lineRule="auto"/>
        <w:ind w:left="567" w:right="616"/>
        <w:jc w:val="both"/>
        <w:rPr>
          <w:rFonts w:ascii="Palatino Linotype" w:eastAsia="Palatino Linotype" w:hAnsi="Palatino Linotype" w:cs="Palatino Linotype"/>
          <w:sz w:val="22"/>
          <w:szCs w:val="22"/>
        </w:rPr>
      </w:pPr>
      <w:r w:rsidRPr="00EB7245">
        <w:rPr>
          <w:rFonts w:ascii="Palatino Linotype" w:eastAsia="Palatino Linotype" w:hAnsi="Palatino Linotype" w:cs="Palatino Linotype"/>
          <w:i/>
          <w:sz w:val="22"/>
          <w:szCs w:val="22"/>
        </w:rPr>
        <w:lastRenderedPageBreak/>
        <w:t>“PLAZO RAZONABLE PARA RESOLVER. CONCEPTO Y ELEMENTOS QUE LO INTEGRAN A LA LUZ DEL DERECHO INTERNACIONAL DE LOS DERECHOS HUMANOS.”</w:t>
      </w:r>
      <w:r w:rsidRPr="00EB7245">
        <w:rPr>
          <w:rFonts w:ascii="Palatino Linotype" w:eastAsia="Palatino Linotype" w:hAnsi="Palatino Linotype" w:cs="Palatino Linotype"/>
          <w:sz w:val="22"/>
          <w:szCs w:val="22"/>
        </w:rPr>
        <w:t>, visible en el Seminario Judicial de la Federación y su gaceta, con el registro digital 2002350.</w:t>
      </w:r>
    </w:p>
    <w:p w14:paraId="28212170" w14:textId="77777777" w:rsidR="00AE4FE4" w:rsidRPr="00EB7245" w:rsidRDefault="00AE4FE4">
      <w:pPr>
        <w:spacing w:line="360" w:lineRule="auto"/>
        <w:ind w:left="567" w:right="616"/>
        <w:jc w:val="both"/>
        <w:rPr>
          <w:rFonts w:ascii="Palatino Linotype" w:eastAsia="Palatino Linotype" w:hAnsi="Palatino Linotype" w:cs="Palatino Linotype"/>
          <w:sz w:val="22"/>
          <w:szCs w:val="22"/>
        </w:rPr>
      </w:pPr>
    </w:p>
    <w:p w14:paraId="1A0C87A1"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DBBD8F8" w14:textId="77777777" w:rsidR="00AE4FE4" w:rsidRPr="00EB7245" w:rsidRDefault="00AE4FE4">
      <w:pPr>
        <w:spacing w:line="360" w:lineRule="auto"/>
        <w:jc w:val="both"/>
        <w:rPr>
          <w:rFonts w:ascii="Palatino Linotype" w:eastAsia="Palatino Linotype" w:hAnsi="Palatino Linotype" w:cs="Palatino Linotype"/>
        </w:rPr>
      </w:pPr>
    </w:p>
    <w:p w14:paraId="5A7F85BF" w14:textId="77777777" w:rsidR="00AE4FE4" w:rsidRPr="00EB7245" w:rsidRDefault="009F5637">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EB7245">
        <w:rPr>
          <w:rFonts w:ascii="Palatino Linotype" w:eastAsia="Palatino Linotype" w:hAnsi="Palatino Linotype" w:cs="Palatino Linotype"/>
          <w:b/>
        </w:rPr>
        <w:t xml:space="preserve">Cierre de instrucción. </w:t>
      </w:r>
      <w:r w:rsidRPr="00EB7245">
        <w:rPr>
          <w:rFonts w:ascii="Palatino Linotype" w:eastAsia="Palatino Linotype" w:hAnsi="Palatino Linotype" w:cs="Palatino Linotype"/>
        </w:rPr>
        <w:t xml:space="preserve">El </w:t>
      </w:r>
      <w:r w:rsidRPr="00EB7245">
        <w:rPr>
          <w:rFonts w:ascii="Palatino Linotype" w:eastAsia="Palatino Linotype" w:hAnsi="Palatino Linotype" w:cs="Palatino Linotype"/>
          <w:b/>
        </w:rPr>
        <w:t>veintiocho de febrero de dos mil veinticuatro</w:t>
      </w:r>
      <w:r w:rsidRPr="00EB724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93AE0B4" w14:textId="77777777" w:rsidR="00AE4FE4" w:rsidRPr="00EB7245" w:rsidRDefault="00AE4FE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12CB3DF3"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A143D9D" w14:textId="77777777" w:rsidR="00AE4FE4" w:rsidRPr="00EB7245" w:rsidRDefault="00AE4FE4">
      <w:pPr>
        <w:spacing w:line="360" w:lineRule="auto"/>
        <w:jc w:val="both"/>
        <w:rPr>
          <w:rFonts w:ascii="Palatino Linotype" w:eastAsia="Palatino Linotype" w:hAnsi="Palatino Linotype" w:cs="Palatino Linotype"/>
        </w:rPr>
      </w:pPr>
    </w:p>
    <w:p w14:paraId="158C7B91" w14:textId="77777777" w:rsidR="00AE4FE4" w:rsidRPr="00EB7245" w:rsidRDefault="009F5637">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EB7245">
        <w:rPr>
          <w:rFonts w:ascii="Palatino Linotype" w:eastAsia="Palatino Linotype" w:hAnsi="Palatino Linotype" w:cs="Palatino Linotype"/>
          <w:b/>
          <w:sz w:val="22"/>
          <w:szCs w:val="22"/>
        </w:rPr>
        <w:t>C O N S I D E R A N D O:</w:t>
      </w:r>
    </w:p>
    <w:p w14:paraId="496D20BF" w14:textId="77777777" w:rsidR="00AE4FE4" w:rsidRPr="00EB7245" w:rsidRDefault="00AE4FE4">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A8E2CA1"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b/>
        </w:rPr>
        <w:t xml:space="preserve">Primero. Competencia. </w:t>
      </w:r>
      <w:r w:rsidRPr="00EB7245">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EB7245">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53163F" w14:textId="77777777" w:rsidR="00AE4FE4" w:rsidRPr="00EB7245" w:rsidRDefault="00AE4FE4">
      <w:pPr>
        <w:spacing w:line="360" w:lineRule="auto"/>
        <w:jc w:val="both"/>
        <w:rPr>
          <w:rFonts w:ascii="Palatino Linotype" w:eastAsia="Palatino Linotype" w:hAnsi="Palatino Linotype" w:cs="Palatino Linotype"/>
          <w:b/>
        </w:rPr>
      </w:pPr>
    </w:p>
    <w:p w14:paraId="7D894F2B"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b/>
        </w:rPr>
        <w:t>Segundo. Oportunidad y Procedibilidad del Recurso de Revisión</w:t>
      </w:r>
      <w:r w:rsidRPr="00EB724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7AF0E1F" w14:textId="77777777" w:rsidR="00AE4FE4" w:rsidRPr="00EB7245" w:rsidRDefault="00AE4FE4">
      <w:pPr>
        <w:spacing w:line="360" w:lineRule="auto"/>
        <w:jc w:val="both"/>
        <w:rPr>
          <w:rFonts w:ascii="Palatino Linotype" w:eastAsia="Palatino Linotype" w:hAnsi="Palatino Linotype" w:cs="Palatino Linotype"/>
        </w:rPr>
      </w:pPr>
    </w:p>
    <w:p w14:paraId="31BD8B83"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proporcionó su respuesta a la solicitud de información el </w:t>
      </w:r>
      <w:r w:rsidRPr="00EB7245">
        <w:rPr>
          <w:rFonts w:ascii="Palatino Linotype" w:eastAsia="Palatino Linotype" w:hAnsi="Palatino Linotype" w:cs="Palatino Linotype"/>
          <w:b/>
        </w:rPr>
        <w:t>tres de julio de dos mil veintitrés</w:t>
      </w:r>
      <w:r w:rsidRPr="00EB7245">
        <w:rPr>
          <w:rFonts w:ascii="Palatino Linotype" w:eastAsia="Palatino Linotype" w:hAnsi="Palatino Linotype" w:cs="Palatino Linotype"/>
        </w:rPr>
        <w:t xml:space="preserve">, y la parte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xml:space="preserve"> presentó su recurso de revisión el </w:t>
      </w:r>
      <w:r w:rsidRPr="00EB7245">
        <w:rPr>
          <w:rFonts w:ascii="Palatino Linotype" w:eastAsia="Palatino Linotype" w:hAnsi="Palatino Linotype" w:cs="Palatino Linotype"/>
          <w:b/>
        </w:rPr>
        <w:t>tres de agosto de dos mil veintitrés</w:t>
      </w:r>
      <w:r w:rsidRPr="00EB7245">
        <w:rPr>
          <w:rFonts w:ascii="Palatino Linotype" w:eastAsia="Palatino Linotype" w:hAnsi="Palatino Linotype" w:cs="Palatino Linotype"/>
        </w:rPr>
        <w:t>;</w:t>
      </w:r>
      <w:r w:rsidRPr="00EB7245">
        <w:rPr>
          <w:rFonts w:ascii="Palatino Linotype" w:eastAsia="Palatino Linotype" w:hAnsi="Palatino Linotype" w:cs="Palatino Linotype"/>
          <w:b/>
        </w:rPr>
        <w:t xml:space="preserve"> </w:t>
      </w:r>
      <w:r w:rsidRPr="00EB7245">
        <w:rPr>
          <w:rFonts w:ascii="Palatino Linotype" w:eastAsia="Palatino Linotype" w:hAnsi="Palatino Linotype" w:cs="Palatino Linotype"/>
        </w:rPr>
        <w:t xml:space="preserve">esto es al décimo hábil siguiente en que tuvo conocimiento de la respuesta. </w:t>
      </w:r>
    </w:p>
    <w:p w14:paraId="4F9DE8AC" w14:textId="77777777" w:rsidR="00AE4FE4" w:rsidRPr="00EB7245" w:rsidRDefault="00AE4FE4">
      <w:pPr>
        <w:spacing w:line="360" w:lineRule="auto"/>
        <w:ind w:right="843"/>
        <w:jc w:val="both"/>
        <w:rPr>
          <w:rFonts w:ascii="Palatino Linotype" w:eastAsia="Palatino Linotype" w:hAnsi="Palatino Linotype" w:cs="Palatino Linotype"/>
          <w:i/>
          <w:sz w:val="22"/>
          <w:szCs w:val="22"/>
        </w:rPr>
      </w:pPr>
    </w:p>
    <w:p w14:paraId="77F3DE48"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Al mismo tiempo, tras la revisión del formato de interposición del recurso, se concluye en la acreditación plena de todos y cada uno de los elementos formales </w:t>
      </w:r>
      <w:r w:rsidRPr="00EB7245">
        <w:rPr>
          <w:rFonts w:ascii="Palatino Linotype" w:eastAsia="Palatino Linotype" w:hAnsi="Palatino Linotype" w:cs="Palatino Linotype"/>
        </w:rPr>
        <w:lastRenderedPageBreak/>
        <w:t>exigidos por el artículo 180 de la Ley de Transparencia y Acceso a la Información Pública del Estado de México y Municipios, toda vez que fue ingresado a través del SAIMEX.</w:t>
      </w:r>
    </w:p>
    <w:p w14:paraId="61A35B27" w14:textId="77777777" w:rsidR="00AE4FE4" w:rsidRPr="00EB7245" w:rsidRDefault="00AE4FE4">
      <w:pPr>
        <w:spacing w:line="360" w:lineRule="auto"/>
        <w:jc w:val="both"/>
        <w:rPr>
          <w:rFonts w:ascii="Palatino Linotype" w:eastAsia="Palatino Linotype" w:hAnsi="Palatino Linotype" w:cs="Palatino Linotype"/>
        </w:rPr>
      </w:pPr>
    </w:p>
    <w:p w14:paraId="52ECCFB1"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61E8A20C" w14:textId="77777777" w:rsidR="00AE4FE4" w:rsidRPr="00EB7245" w:rsidRDefault="00AE4FE4">
      <w:pPr>
        <w:spacing w:line="360" w:lineRule="auto"/>
        <w:jc w:val="both"/>
        <w:rPr>
          <w:rFonts w:ascii="Palatino Linotype" w:eastAsia="Palatino Linotype" w:hAnsi="Palatino Linotype" w:cs="Palatino Linotype"/>
        </w:rPr>
      </w:pPr>
    </w:p>
    <w:p w14:paraId="349DA404" w14:textId="77777777" w:rsidR="00AE4FE4" w:rsidRPr="00EB7245" w:rsidRDefault="009F5637">
      <w:pPr>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 xml:space="preserve">Artículo 179. </w:t>
      </w:r>
      <w:r w:rsidRPr="00EB7245">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B7245">
        <w:rPr>
          <w:rFonts w:ascii="Palatino Linotype" w:eastAsia="Palatino Linotype" w:hAnsi="Palatino Linotype" w:cs="Palatino Linotype"/>
          <w:i/>
        </w:rPr>
        <w:t>causas</w:t>
      </w:r>
      <w:r w:rsidRPr="00EB7245">
        <w:rPr>
          <w:rFonts w:ascii="Palatino Linotype" w:eastAsia="Palatino Linotype" w:hAnsi="Palatino Linotype" w:cs="Palatino Linotype"/>
          <w:i/>
          <w:sz w:val="22"/>
          <w:szCs w:val="22"/>
        </w:rPr>
        <w:t>:</w:t>
      </w:r>
    </w:p>
    <w:p w14:paraId="1EA9F862" w14:textId="77777777" w:rsidR="00AE4FE4" w:rsidRPr="00EB7245" w:rsidRDefault="009F5637">
      <w:pPr>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p>
    <w:p w14:paraId="79AA93A7" w14:textId="77777777" w:rsidR="00AE4FE4" w:rsidRPr="00EB7245" w:rsidRDefault="009F5637">
      <w:pPr>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V. La entrega de información incompleta;</w:t>
      </w:r>
    </w:p>
    <w:p w14:paraId="1FEF5585" w14:textId="77777777" w:rsidR="00AE4FE4" w:rsidRPr="00EB7245" w:rsidRDefault="009F5637">
      <w:pPr>
        <w:spacing w:line="360"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 xml:space="preserve">…” </w:t>
      </w:r>
    </w:p>
    <w:p w14:paraId="3BB09FDD" w14:textId="77777777" w:rsidR="00AE4FE4" w:rsidRPr="00EB7245" w:rsidRDefault="00AE4FE4">
      <w:pPr>
        <w:spacing w:line="360" w:lineRule="auto"/>
        <w:ind w:left="567" w:right="616"/>
        <w:jc w:val="both"/>
        <w:rPr>
          <w:rFonts w:ascii="Palatino Linotype" w:eastAsia="Palatino Linotype" w:hAnsi="Palatino Linotype" w:cs="Palatino Linotype"/>
          <w:i/>
          <w:sz w:val="22"/>
          <w:szCs w:val="22"/>
        </w:rPr>
      </w:pPr>
    </w:p>
    <w:p w14:paraId="01F1C53E"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b/>
        </w:rPr>
        <w:t>Tercero. Materia de Revisión</w:t>
      </w:r>
      <w:r w:rsidRPr="00EB7245">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33289AD7" w14:textId="77777777" w:rsidR="00AE4FE4" w:rsidRPr="00EB7245" w:rsidRDefault="00AE4FE4">
      <w:pPr>
        <w:spacing w:line="360" w:lineRule="auto"/>
        <w:jc w:val="both"/>
        <w:rPr>
          <w:rFonts w:ascii="Palatino Linotype" w:eastAsia="Palatino Linotype" w:hAnsi="Palatino Linotype" w:cs="Palatino Linotype"/>
        </w:rPr>
      </w:pPr>
    </w:p>
    <w:p w14:paraId="37C8F03E"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b/>
        </w:rPr>
        <w:t xml:space="preserve">Cuarto. Estudio de fondo del asunto. </w:t>
      </w:r>
      <w:r w:rsidRPr="00EB7245">
        <w:rPr>
          <w:rFonts w:ascii="Palatino Linotype" w:eastAsia="Palatino Linotype" w:hAnsi="Palatino Linotype" w:cs="Palatino Linotype"/>
        </w:rPr>
        <w:t>Es conveniente analizar si la respuesta del Sujeto Obligado</w:t>
      </w:r>
      <w:r w:rsidRPr="00EB7245">
        <w:rPr>
          <w:rFonts w:ascii="Palatino Linotype" w:eastAsia="Palatino Linotype" w:hAnsi="Palatino Linotype" w:cs="Palatino Linotype"/>
          <w:b/>
        </w:rPr>
        <w:t xml:space="preserve"> </w:t>
      </w:r>
      <w:r w:rsidRPr="00EB7245">
        <w:rPr>
          <w:rFonts w:ascii="Palatino Linotype" w:eastAsia="Palatino Linotype" w:hAnsi="Palatino Linotype" w:cs="Palatino Linotype"/>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w:t>
      </w:r>
      <w:r w:rsidRPr="00EB7245">
        <w:rPr>
          <w:rFonts w:ascii="Palatino Linotype" w:eastAsia="Palatino Linotype" w:hAnsi="Palatino Linotype" w:cs="Palatino Linotype"/>
        </w:rPr>
        <w:lastRenderedPageBreak/>
        <w:t>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2B5459A" w14:textId="77777777" w:rsidR="00AE4FE4" w:rsidRPr="00EB7245" w:rsidRDefault="00AE4FE4">
      <w:pPr>
        <w:spacing w:line="360" w:lineRule="auto"/>
        <w:jc w:val="both"/>
        <w:rPr>
          <w:rFonts w:ascii="Palatino Linotype" w:eastAsia="Palatino Linotype" w:hAnsi="Palatino Linotype" w:cs="Palatino Linotype"/>
        </w:rPr>
      </w:pPr>
    </w:p>
    <w:p w14:paraId="6F3BFEEE" w14:textId="77777777" w:rsidR="00AE4FE4" w:rsidRPr="00EB7245" w:rsidRDefault="009F5637">
      <w:pPr>
        <w:tabs>
          <w:tab w:val="left" w:pos="851"/>
        </w:tabs>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Artículo 4</w:t>
      </w:r>
      <w:r w:rsidRPr="00EB724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AFF66E" w14:textId="77777777" w:rsidR="00AE4FE4" w:rsidRPr="00EB7245" w:rsidRDefault="009F5637">
      <w:pPr>
        <w:tabs>
          <w:tab w:val="left" w:pos="851"/>
        </w:tabs>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B724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8DD178" w14:textId="77777777" w:rsidR="00AE4FE4" w:rsidRPr="00EB7245" w:rsidRDefault="009F5637">
      <w:pPr>
        <w:tabs>
          <w:tab w:val="left" w:pos="851"/>
        </w:tabs>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B7245">
        <w:rPr>
          <w:rFonts w:ascii="Palatino Linotype" w:eastAsia="Palatino Linotype" w:hAnsi="Palatino Linotype" w:cs="Palatino Linotype"/>
          <w:i/>
          <w:sz w:val="22"/>
          <w:szCs w:val="22"/>
        </w:rPr>
        <w:t>.”(Sic)</w:t>
      </w:r>
    </w:p>
    <w:p w14:paraId="53A9DE01" w14:textId="77777777" w:rsidR="00AE4FE4" w:rsidRPr="00EB7245" w:rsidRDefault="00AE4FE4">
      <w:pPr>
        <w:spacing w:line="360" w:lineRule="auto"/>
        <w:jc w:val="both"/>
        <w:rPr>
          <w:rFonts w:ascii="Palatino Linotype" w:eastAsia="Palatino Linotype" w:hAnsi="Palatino Linotype" w:cs="Palatino Linotype"/>
        </w:rPr>
      </w:pPr>
    </w:p>
    <w:p w14:paraId="36B6BE68"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EB7245">
        <w:rPr>
          <w:rFonts w:ascii="Palatino Linotype" w:eastAsia="Palatino Linotype" w:hAnsi="Palatino Linotype" w:cs="Palatino Linotype"/>
        </w:rPr>
        <w:lastRenderedPageBreak/>
        <w:t>Transparencia y Acceso a la Información Pública del Estado de México y Municipios, que a la letra dice:</w:t>
      </w:r>
    </w:p>
    <w:p w14:paraId="1BB360CB" w14:textId="77777777" w:rsidR="00AE4FE4" w:rsidRPr="00EB7245" w:rsidRDefault="00AE4FE4">
      <w:pPr>
        <w:spacing w:line="276" w:lineRule="auto"/>
        <w:ind w:left="567" w:right="616"/>
        <w:jc w:val="both"/>
        <w:rPr>
          <w:rFonts w:ascii="Palatino Linotype" w:eastAsia="Palatino Linotype" w:hAnsi="Palatino Linotype" w:cs="Palatino Linotype"/>
        </w:rPr>
      </w:pPr>
    </w:p>
    <w:p w14:paraId="4B950A63" w14:textId="77777777" w:rsidR="00AE4FE4" w:rsidRPr="00EB7245" w:rsidRDefault="009F5637">
      <w:pPr>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Artículo 12.-</w:t>
      </w:r>
      <w:r w:rsidRPr="00EB724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FBC4C1C" w14:textId="77777777" w:rsidR="00AE4FE4" w:rsidRPr="00EB7245" w:rsidRDefault="00AE4FE4">
      <w:pPr>
        <w:spacing w:line="276" w:lineRule="auto"/>
        <w:ind w:left="567" w:right="616"/>
        <w:jc w:val="both"/>
        <w:rPr>
          <w:rFonts w:ascii="Palatino Linotype" w:eastAsia="Palatino Linotype" w:hAnsi="Palatino Linotype" w:cs="Palatino Linotype"/>
          <w:i/>
          <w:sz w:val="22"/>
          <w:szCs w:val="22"/>
        </w:rPr>
      </w:pPr>
    </w:p>
    <w:p w14:paraId="65C0A756" w14:textId="77777777" w:rsidR="00AE4FE4" w:rsidRPr="00EB7245" w:rsidRDefault="009F5637">
      <w:pPr>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B7245">
        <w:rPr>
          <w:rFonts w:ascii="Palatino Linotype" w:eastAsia="Palatino Linotype" w:hAnsi="Palatino Linotype" w:cs="Palatino Linotype"/>
          <w:i/>
          <w:sz w:val="22"/>
          <w:szCs w:val="22"/>
        </w:rPr>
        <w:t xml:space="preserve">. </w:t>
      </w:r>
      <w:r w:rsidRPr="00EB724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EB7245">
        <w:rPr>
          <w:rFonts w:ascii="Palatino Linotype" w:eastAsia="Palatino Linotype" w:hAnsi="Palatino Linotype" w:cs="Palatino Linotype"/>
          <w:i/>
          <w:sz w:val="22"/>
          <w:szCs w:val="22"/>
        </w:rPr>
        <w:t xml:space="preserve">.” </w:t>
      </w:r>
    </w:p>
    <w:p w14:paraId="2AE06DED" w14:textId="77777777" w:rsidR="00AE4FE4" w:rsidRPr="00EB7245" w:rsidRDefault="00AE4FE4">
      <w:pPr>
        <w:spacing w:line="360" w:lineRule="auto"/>
        <w:ind w:right="-93"/>
        <w:jc w:val="both"/>
        <w:rPr>
          <w:rFonts w:ascii="Palatino Linotype" w:eastAsia="Palatino Linotype" w:hAnsi="Palatino Linotype" w:cs="Palatino Linotype"/>
        </w:rPr>
      </w:pPr>
    </w:p>
    <w:p w14:paraId="7EE5F536" w14:textId="77777777" w:rsidR="00AE4FE4" w:rsidRPr="00EB7245" w:rsidRDefault="009F5637">
      <w:pPr>
        <w:spacing w:line="360" w:lineRule="auto"/>
        <w:ind w:right="-93"/>
        <w:jc w:val="both"/>
        <w:rPr>
          <w:rFonts w:ascii="Palatino Linotype" w:eastAsia="Palatino Linotype" w:hAnsi="Palatino Linotype" w:cs="Palatino Linotype"/>
        </w:rPr>
      </w:pPr>
      <w:r w:rsidRPr="00EB724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6FD09D5" w14:textId="77777777" w:rsidR="00AE4FE4" w:rsidRPr="00EB7245" w:rsidRDefault="00AE4FE4">
      <w:pPr>
        <w:spacing w:line="360" w:lineRule="auto"/>
        <w:ind w:right="-93"/>
        <w:jc w:val="both"/>
        <w:rPr>
          <w:rFonts w:ascii="Palatino Linotype" w:eastAsia="Palatino Linotype" w:hAnsi="Palatino Linotype" w:cs="Palatino Linotype"/>
        </w:rPr>
      </w:pPr>
    </w:p>
    <w:p w14:paraId="446F1BE7" w14:textId="77777777" w:rsidR="00AE4FE4" w:rsidRPr="00EB7245" w:rsidRDefault="009F5637">
      <w:pPr>
        <w:spacing w:line="360" w:lineRule="auto"/>
        <w:jc w:val="both"/>
        <w:rPr>
          <w:rFonts w:ascii="Palatino Linotype" w:eastAsia="Palatino Linotype" w:hAnsi="Palatino Linotype" w:cs="Palatino Linotype"/>
          <w:b/>
        </w:rPr>
      </w:pPr>
      <w:r w:rsidRPr="00EB7245">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B7245">
        <w:rPr>
          <w:rFonts w:ascii="Palatino Linotype" w:eastAsia="Palatino Linotype" w:hAnsi="Palatino Linotype" w:cs="Palatino Linotype"/>
          <w:b/>
        </w:rPr>
        <w:t xml:space="preserve"> </w:t>
      </w:r>
    </w:p>
    <w:p w14:paraId="758E397E" w14:textId="77777777" w:rsidR="00AE4FE4" w:rsidRPr="00EB7245" w:rsidRDefault="00AE4FE4">
      <w:pPr>
        <w:spacing w:line="276" w:lineRule="auto"/>
        <w:ind w:left="851" w:right="850"/>
        <w:jc w:val="both"/>
        <w:rPr>
          <w:rFonts w:ascii="Palatino Linotype" w:eastAsia="Palatino Linotype" w:hAnsi="Palatino Linotype" w:cs="Palatino Linotype"/>
        </w:rPr>
      </w:pPr>
    </w:p>
    <w:p w14:paraId="6C408909" w14:textId="77777777" w:rsidR="00AE4FE4" w:rsidRPr="00EB7245" w:rsidRDefault="009F5637">
      <w:pPr>
        <w:spacing w:line="276" w:lineRule="auto"/>
        <w:ind w:left="567" w:right="616"/>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No existe obligación de elaborar documentos ad hoc para atender las solicitudes de acceso a la información.</w:t>
      </w:r>
      <w:r w:rsidRPr="00EB724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w:t>
      </w:r>
      <w:r w:rsidRPr="00EB7245">
        <w:rPr>
          <w:rFonts w:ascii="Palatino Linotype" w:eastAsia="Palatino Linotype" w:hAnsi="Palatino Linotype" w:cs="Palatino Linotype"/>
          <w:i/>
          <w:sz w:val="22"/>
          <w:szCs w:val="22"/>
        </w:rPr>
        <w:lastRenderedPageBreak/>
        <w:t xml:space="preserve">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2D61EA0" w14:textId="77777777" w:rsidR="00AE4FE4" w:rsidRPr="00EB7245" w:rsidRDefault="00AE4FE4">
      <w:pPr>
        <w:spacing w:line="276" w:lineRule="auto"/>
        <w:ind w:left="567" w:right="616"/>
        <w:jc w:val="both"/>
        <w:rPr>
          <w:rFonts w:ascii="Palatino Linotype" w:eastAsia="Palatino Linotype" w:hAnsi="Palatino Linotype" w:cs="Palatino Linotype"/>
          <w:i/>
          <w:sz w:val="22"/>
          <w:szCs w:val="22"/>
        </w:rPr>
      </w:pPr>
    </w:p>
    <w:p w14:paraId="6B619971"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A488289" w14:textId="77777777" w:rsidR="00AE4FE4" w:rsidRPr="00EB7245" w:rsidRDefault="00AE4FE4">
      <w:pPr>
        <w:spacing w:line="360" w:lineRule="auto"/>
        <w:jc w:val="both"/>
        <w:rPr>
          <w:rFonts w:ascii="Palatino Linotype" w:eastAsia="Palatino Linotype" w:hAnsi="Palatino Linotype" w:cs="Palatino Linotype"/>
        </w:rPr>
      </w:pPr>
    </w:p>
    <w:p w14:paraId="6AC47D56"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093598" w14:textId="77777777" w:rsidR="00AE4FE4" w:rsidRPr="00EB7245" w:rsidRDefault="00AE4FE4">
      <w:pPr>
        <w:spacing w:line="360" w:lineRule="auto"/>
        <w:jc w:val="both"/>
        <w:rPr>
          <w:rFonts w:ascii="Palatino Linotype" w:eastAsia="Palatino Linotype" w:hAnsi="Palatino Linotype" w:cs="Palatino Linotype"/>
        </w:rPr>
      </w:pPr>
    </w:p>
    <w:p w14:paraId="6F59CA87" w14:textId="77777777" w:rsidR="00AE4FE4" w:rsidRPr="00EB7245" w:rsidRDefault="009F5637">
      <w:pPr>
        <w:spacing w:line="276" w:lineRule="auto"/>
        <w:ind w:left="567"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lastRenderedPageBreak/>
        <w:t>“</w:t>
      </w:r>
      <w:r w:rsidRPr="00EB7245">
        <w:rPr>
          <w:rFonts w:ascii="Palatino Linotype" w:eastAsia="Palatino Linotype" w:hAnsi="Palatino Linotype" w:cs="Palatino Linotype"/>
          <w:b/>
          <w:i/>
          <w:sz w:val="22"/>
          <w:szCs w:val="22"/>
        </w:rPr>
        <w:t xml:space="preserve">Artículo 3. </w:t>
      </w:r>
      <w:r w:rsidRPr="00EB7245">
        <w:rPr>
          <w:rFonts w:ascii="Palatino Linotype" w:eastAsia="Palatino Linotype" w:hAnsi="Palatino Linotype" w:cs="Palatino Linotype"/>
          <w:i/>
          <w:sz w:val="22"/>
          <w:szCs w:val="22"/>
        </w:rPr>
        <w:t>Para los efectos de la presente Ley se entenderá por:</w:t>
      </w:r>
    </w:p>
    <w:p w14:paraId="62BB93BA" w14:textId="77777777" w:rsidR="00AE4FE4" w:rsidRPr="00EB7245" w:rsidRDefault="009F5637">
      <w:pPr>
        <w:spacing w:line="276" w:lineRule="auto"/>
        <w:ind w:left="567"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p>
    <w:p w14:paraId="511F3BFB" w14:textId="77777777" w:rsidR="00AE4FE4" w:rsidRPr="00EB7245" w:rsidRDefault="009F5637">
      <w:pPr>
        <w:spacing w:line="276" w:lineRule="auto"/>
        <w:ind w:left="567"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b/>
          <w:i/>
          <w:sz w:val="22"/>
          <w:szCs w:val="22"/>
        </w:rPr>
        <w:t>XI. Documento:</w:t>
      </w:r>
      <w:r w:rsidRPr="00EB7245">
        <w:rPr>
          <w:rFonts w:ascii="Palatino Linotype" w:eastAsia="Palatino Linotype" w:hAnsi="Palatino Linotype" w:cs="Palatino Linotype"/>
          <w:i/>
          <w:sz w:val="22"/>
          <w:szCs w:val="22"/>
        </w:rPr>
        <w:t xml:space="preserve"> Los expedientes, reportes, estudios, actas</w:t>
      </w:r>
      <w:r w:rsidRPr="00EB7245">
        <w:rPr>
          <w:rFonts w:ascii="Palatino Linotype" w:eastAsia="Palatino Linotype" w:hAnsi="Palatino Linotype" w:cs="Palatino Linotype"/>
          <w:b/>
          <w:i/>
          <w:sz w:val="22"/>
          <w:szCs w:val="22"/>
        </w:rPr>
        <w:t>,</w:t>
      </w:r>
      <w:r w:rsidRPr="00EB724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64CFE3A" w14:textId="77777777" w:rsidR="00AE4FE4" w:rsidRPr="00EB7245" w:rsidRDefault="00AE4FE4">
      <w:pPr>
        <w:spacing w:line="360" w:lineRule="auto"/>
        <w:ind w:left="851" w:right="899"/>
        <w:jc w:val="both"/>
        <w:rPr>
          <w:rFonts w:ascii="Palatino Linotype" w:eastAsia="Palatino Linotype" w:hAnsi="Palatino Linotype" w:cs="Palatino Linotype"/>
          <w:sz w:val="22"/>
          <w:szCs w:val="22"/>
        </w:rPr>
      </w:pPr>
    </w:p>
    <w:p w14:paraId="42C1BC14"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D593045" w14:textId="77777777" w:rsidR="00AE4FE4" w:rsidRPr="00EB7245" w:rsidRDefault="00AE4FE4">
      <w:pPr>
        <w:spacing w:line="360" w:lineRule="auto"/>
        <w:ind w:left="851" w:right="899"/>
        <w:jc w:val="both"/>
        <w:rPr>
          <w:rFonts w:ascii="Palatino Linotype" w:eastAsia="Palatino Linotype" w:hAnsi="Palatino Linotype" w:cs="Palatino Linotype"/>
        </w:rPr>
      </w:pPr>
    </w:p>
    <w:p w14:paraId="019D9B37" w14:textId="77777777" w:rsidR="00AE4FE4" w:rsidRPr="00EB7245" w:rsidRDefault="009F5637">
      <w:pPr>
        <w:spacing w:line="276" w:lineRule="auto"/>
        <w:ind w:left="851" w:right="899"/>
        <w:jc w:val="both"/>
        <w:rPr>
          <w:rFonts w:ascii="Palatino Linotype" w:eastAsia="Palatino Linotype" w:hAnsi="Palatino Linotype" w:cs="Palatino Linotype"/>
          <w:b/>
          <w:i/>
          <w:sz w:val="22"/>
          <w:szCs w:val="22"/>
        </w:rPr>
      </w:pPr>
      <w:r w:rsidRPr="00EB7245">
        <w:rPr>
          <w:rFonts w:ascii="Palatino Linotype" w:eastAsia="Palatino Linotype" w:hAnsi="Palatino Linotype" w:cs="Palatino Linotype"/>
          <w:b/>
          <w:sz w:val="22"/>
          <w:szCs w:val="22"/>
        </w:rPr>
        <w:t>“</w:t>
      </w:r>
      <w:r w:rsidRPr="00EB724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B724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583FC9" w14:textId="77777777" w:rsidR="00AE4FE4" w:rsidRPr="00EB7245" w:rsidRDefault="009F5637">
      <w:pPr>
        <w:spacing w:line="276" w:lineRule="auto"/>
        <w:ind w:left="851"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293BB57" w14:textId="77777777" w:rsidR="00AE4FE4" w:rsidRPr="00EB7245" w:rsidRDefault="009F5637">
      <w:pPr>
        <w:spacing w:line="276" w:lineRule="auto"/>
        <w:ind w:left="851"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886DC3A" w14:textId="77777777" w:rsidR="00AE4FE4" w:rsidRPr="00EB7245" w:rsidRDefault="009F5637">
      <w:pPr>
        <w:spacing w:line="276" w:lineRule="auto"/>
        <w:ind w:left="851" w:right="899"/>
        <w:jc w:val="both"/>
        <w:rPr>
          <w:rFonts w:ascii="Palatino Linotype" w:eastAsia="Palatino Linotype" w:hAnsi="Palatino Linotype" w:cs="Palatino Linotype"/>
          <w:b/>
          <w:i/>
          <w:sz w:val="22"/>
          <w:szCs w:val="22"/>
        </w:rPr>
      </w:pPr>
      <w:r w:rsidRPr="00EB7245">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38BB502C" w14:textId="77777777" w:rsidR="00AE4FE4" w:rsidRPr="00EB7245" w:rsidRDefault="009F5637">
      <w:pPr>
        <w:spacing w:line="276" w:lineRule="auto"/>
        <w:ind w:left="851" w:right="899"/>
        <w:jc w:val="both"/>
        <w:rPr>
          <w:rFonts w:ascii="Palatino Linotype" w:eastAsia="Palatino Linotype" w:hAnsi="Palatino Linotype" w:cs="Palatino Linotype"/>
          <w:b/>
          <w:i/>
          <w:sz w:val="22"/>
          <w:szCs w:val="22"/>
        </w:rPr>
      </w:pPr>
      <w:r w:rsidRPr="00EB724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04FF7D2F" w14:textId="77777777" w:rsidR="00AE4FE4" w:rsidRPr="00EB7245" w:rsidRDefault="00AE4FE4">
      <w:pPr>
        <w:spacing w:line="360" w:lineRule="auto"/>
        <w:jc w:val="both"/>
        <w:rPr>
          <w:rFonts w:ascii="Palatino Linotype" w:eastAsia="Palatino Linotype" w:hAnsi="Palatino Linotype" w:cs="Palatino Linotype"/>
        </w:rPr>
      </w:pPr>
    </w:p>
    <w:p w14:paraId="58721557"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A99D52" w14:textId="77777777" w:rsidR="00AE4FE4" w:rsidRPr="00EB7245" w:rsidRDefault="00AE4FE4">
      <w:pPr>
        <w:spacing w:line="360" w:lineRule="auto"/>
        <w:jc w:val="both"/>
        <w:rPr>
          <w:rFonts w:ascii="Palatino Linotype" w:eastAsia="Palatino Linotype" w:hAnsi="Palatino Linotype" w:cs="Palatino Linotype"/>
        </w:rPr>
      </w:pPr>
    </w:p>
    <w:p w14:paraId="25053027"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EB7245">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14:paraId="53150815" w14:textId="77777777" w:rsidR="00AE4FE4" w:rsidRPr="00EB7245" w:rsidRDefault="009F5637">
      <w:pPr>
        <w:spacing w:before="240" w:after="240" w:line="360" w:lineRule="auto"/>
        <w:ind w:right="51"/>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xml:space="preserve"> requirió al </w:t>
      </w:r>
      <w:r w:rsidRPr="00EB7245">
        <w:rPr>
          <w:rFonts w:ascii="Palatino Linotype" w:eastAsia="Palatino Linotype" w:hAnsi="Palatino Linotype" w:cs="Palatino Linotype"/>
          <w:b/>
        </w:rPr>
        <w:t xml:space="preserve">Sujeto Obligado </w:t>
      </w:r>
      <w:r w:rsidRPr="00EB7245">
        <w:rPr>
          <w:rFonts w:ascii="Palatino Linotype" w:eastAsia="Palatino Linotype" w:hAnsi="Palatino Linotype" w:cs="Palatino Linotype"/>
        </w:rPr>
        <w:t xml:space="preserve">le proporcione, las Balanzas de comprobación detallada por año, de cinco administraciones pasadas al día de la solicitud. </w:t>
      </w:r>
    </w:p>
    <w:p w14:paraId="68E3E525"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En tal sentido, la Unidad de Transparencia del Sujeto Obligado, en respuesta hizo entrega de 64 archivos con aproximadamente entre quince y dieciséis oficios cada uno respectivamente de los meses de enero a diciembre, de las Balanzas de Comprobación detallada, correspondiente a los ejercicios fiscales 2018, 2019, 2020, 2021, 2022 y de enero a abril los correspondientes al año 2023.</w:t>
      </w:r>
    </w:p>
    <w:p w14:paraId="09DA9C47" w14:textId="77777777" w:rsidR="00AE4FE4" w:rsidRPr="00EB7245" w:rsidRDefault="00AE4FE4">
      <w:pPr>
        <w:spacing w:line="360" w:lineRule="auto"/>
        <w:ind w:right="49"/>
        <w:jc w:val="both"/>
        <w:rPr>
          <w:rFonts w:ascii="Palatino Linotype" w:eastAsia="Palatino Linotype" w:hAnsi="Palatino Linotype" w:cs="Palatino Linotype"/>
          <w:sz w:val="22"/>
          <w:szCs w:val="22"/>
        </w:rPr>
      </w:pPr>
    </w:p>
    <w:p w14:paraId="22AA0F7C"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Inconforme con la respuesta, la ahora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procedió a interponer el presente recurso de revisión, señalando en sus razones o motivos de inconformidad, que no se le había entregado de forma completa la información pretendida, toda vez que las operaciones registradas no se encuentran clasificadas por cuenta y subcuenta hasta el quinto nivel como lo establece el instructivo de llenado del OSFEM.</w:t>
      </w:r>
    </w:p>
    <w:p w14:paraId="7120CAA8" w14:textId="77777777" w:rsidR="00AE4FE4" w:rsidRPr="00EB7245" w:rsidRDefault="00AE4FE4">
      <w:pPr>
        <w:spacing w:line="360" w:lineRule="auto"/>
        <w:ind w:right="49"/>
        <w:jc w:val="both"/>
        <w:rPr>
          <w:rFonts w:ascii="Palatino Linotype" w:eastAsia="Palatino Linotype" w:hAnsi="Palatino Linotype" w:cs="Palatino Linotype"/>
        </w:rPr>
      </w:pPr>
    </w:p>
    <w:p w14:paraId="120B7B3B" w14:textId="77777777" w:rsidR="00AE4FE4" w:rsidRPr="00EB7245" w:rsidRDefault="009F5637">
      <w:pPr>
        <w:widowControl w:val="0"/>
        <w:tabs>
          <w:tab w:val="left" w:pos="1701"/>
          <w:tab w:val="left" w:pos="1843"/>
        </w:tabs>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Por otra parte, de las constancias que obran en el </w:t>
      </w:r>
      <w:r w:rsidRPr="00EB7245">
        <w:rPr>
          <w:rFonts w:ascii="Palatino Linotype" w:eastAsia="Palatino Linotype" w:hAnsi="Palatino Linotype" w:cs="Palatino Linotype"/>
          <w:b/>
        </w:rPr>
        <w:t>SAIMEX,</w:t>
      </w:r>
      <w:r w:rsidRPr="00EB7245">
        <w:rPr>
          <w:rFonts w:ascii="Palatino Linotype" w:eastAsia="Palatino Linotype" w:hAnsi="Palatino Linotype" w:cs="Palatino Linotype"/>
        </w:rPr>
        <w:t xml:space="preserve"> se advierte que </w:t>
      </w:r>
      <w:r w:rsidRPr="00EB7245">
        <w:rPr>
          <w:rFonts w:ascii="Palatino Linotype" w:eastAsia="Palatino Linotype" w:hAnsi="Palatino Linotype" w:cs="Palatino Linotype"/>
          <w:b/>
        </w:rPr>
        <w:t>LA RECURRENTE</w:t>
      </w:r>
      <w:r w:rsidRPr="00EB7245">
        <w:rPr>
          <w:rFonts w:ascii="Palatino Linotype" w:eastAsia="Palatino Linotype" w:hAnsi="Palatino Linotype" w:cs="Palatino Linotype"/>
        </w:rPr>
        <w:t xml:space="preserve"> no realizó manifestaciones o alegatos, ni ofreció los medios de prueba que a su derecho conviniera, mientras que </w:t>
      </w:r>
      <w:r w:rsidRPr="00EB7245">
        <w:rPr>
          <w:rFonts w:ascii="Palatino Linotype" w:eastAsia="Palatino Linotype" w:hAnsi="Palatino Linotype" w:cs="Palatino Linotype"/>
          <w:b/>
        </w:rPr>
        <w:t>EL SUJETO OBLIGADO</w:t>
      </w:r>
      <w:r w:rsidRPr="00EB7245">
        <w:rPr>
          <w:rFonts w:ascii="Palatino Linotype" w:eastAsia="Palatino Linotype" w:hAnsi="Palatino Linotype" w:cs="Palatino Linotype"/>
        </w:rPr>
        <w:t>, reiteró su respuesta a través de su Informe Justificado.</w:t>
      </w:r>
    </w:p>
    <w:p w14:paraId="5D8344FF" w14:textId="77777777" w:rsidR="00AE4FE4" w:rsidRPr="00EB7245" w:rsidRDefault="00AE4FE4">
      <w:pPr>
        <w:pBdr>
          <w:top w:val="nil"/>
          <w:left w:val="nil"/>
          <w:bottom w:val="nil"/>
          <w:right w:val="nil"/>
          <w:between w:val="nil"/>
        </w:pBdr>
        <w:spacing w:line="360" w:lineRule="auto"/>
        <w:jc w:val="both"/>
        <w:rPr>
          <w:rFonts w:ascii="Palatino Linotype" w:eastAsia="Palatino Linotype" w:hAnsi="Palatino Linotype" w:cs="Palatino Linotype"/>
        </w:rPr>
      </w:pPr>
    </w:p>
    <w:p w14:paraId="0FFADE2E" w14:textId="77777777" w:rsidR="00AE4FE4" w:rsidRPr="00EB7245" w:rsidRDefault="009F5637">
      <w:pPr>
        <w:pBdr>
          <w:top w:val="nil"/>
          <w:left w:val="nil"/>
          <w:bottom w:val="nil"/>
          <w:right w:val="nil"/>
          <w:between w:val="nil"/>
        </w:pBd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Si bien es cierto que </w:t>
      </w:r>
      <w:r w:rsidRPr="00EB7245">
        <w:rPr>
          <w:rFonts w:ascii="Palatino Linotype" w:eastAsia="Palatino Linotype" w:hAnsi="Palatino Linotype" w:cs="Palatino Linotype"/>
          <w:b/>
        </w:rPr>
        <w:t>LA PARTE RECURRENTE</w:t>
      </w:r>
      <w:r w:rsidRPr="00EB7245">
        <w:rPr>
          <w:rFonts w:ascii="Palatino Linotype" w:eastAsia="Palatino Linotype" w:hAnsi="Palatino Linotype" w:cs="Palatino Linotype"/>
        </w:rPr>
        <w:t xml:space="preserve"> no señaló de manera precisa que este medio de impugnación haya sido interpuesto en contra de las Balanzas de Comprobación Detallada por el periodo entregado, también lo es que dijo </w:t>
      </w:r>
      <w:r w:rsidRPr="00EB7245">
        <w:rPr>
          <w:rFonts w:ascii="Palatino Linotype" w:eastAsia="Palatino Linotype" w:hAnsi="Palatino Linotype" w:cs="Palatino Linotype"/>
          <w:b/>
          <w:i/>
        </w:rPr>
        <w:t>“…SE ENCUENTRAN INCOMPLETAS YA QUE LAS OPERACIONES REGISTRADAS NO SE ENCUENTRAN CLASIFICADAS POR CUENTA Y SUBCUENTA HASTA EL QUINTO NIVEL C” (Sic)</w:t>
      </w:r>
      <w:r w:rsidRPr="00EB7245">
        <w:rPr>
          <w:rFonts w:ascii="Palatino Linotype" w:eastAsia="Palatino Linotype" w:hAnsi="Palatino Linotype" w:cs="Palatino Linotype"/>
        </w:rPr>
        <w:t xml:space="preserve">, en esa inteligencia resulta obvio que el único documento que fue remitido en respuesta es el referido a las Balanzas de Comprobación Detallada de los años 2018 al 2023, en consecuencia, no hubo ningún pronunciamiento en torno a la correspondiente por los años del 2007 al 2017, toda vez que de la solicitud se advierte que la información fue requerida por año de cinco administraciones anteriores a la fecha de interposición. </w:t>
      </w:r>
    </w:p>
    <w:p w14:paraId="262A41A3" w14:textId="77777777" w:rsidR="00AE4FE4" w:rsidRPr="00EB7245" w:rsidRDefault="00AE4FE4">
      <w:pPr>
        <w:pBdr>
          <w:top w:val="nil"/>
          <w:left w:val="nil"/>
          <w:bottom w:val="nil"/>
          <w:right w:val="nil"/>
          <w:between w:val="nil"/>
        </w:pBdr>
        <w:spacing w:line="360" w:lineRule="auto"/>
        <w:jc w:val="both"/>
        <w:rPr>
          <w:rFonts w:ascii="Palatino Linotype" w:eastAsia="Palatino Linotype" w:hAnsi="Palatino Linotype" w:cs="Palatino Linotype"/>
        </w:rPr>
      </w:pPr>
    </w:p>
    <w:p w14:paraId="3E24C329"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Bajo esa premisa, queda de manifiesto que </w:t>
      </w:r>
      <w:r w:rsidRPr="00EB7245">
        <w:rPr>
          <w:rFonts w:ascii="Palatino Linotype" w:eastAsia="Palatino Linotype" w:hAnsi="Palatino Linotype" w:cs="Palatino Linotype"/>
          <w:b/>
        </w:rPr>
        <w:t>LA PARTE RECURRENTE</w:t>
      </w:r>
      <w:r w:rsidRPr="00EB7245">
        <w:rPr>
          <w:rFonts w:ascii="Palatino Linotype" w:eastAsia="Palatino Linotype" w:hAnsi="Palatino Linotype" w:cs="Palatino Linotype"/>
        </w:rPr>
        <w:t xml:space="preserve"> se inconformó únicamente porque no le fueron entregadas las Balanzas de Comprobación Detalladas completas, en razón de no encontrarse clasificadas por cuenta y subcuenta, y se denota que no hubo ninguna manifestación expresa en torno a la temporalidad requerida, como lo es de cinco administraciones anteriores a la fecha de interposición; por lo cual esas partes de la respuesta deben declararse como consentida por </w:t>
      </w:r>
      <w:r w:rsidRPr="00EB7245">
        <w:rPr>
          <w:rFonts w:ascii="Palatino Linotype" w:eastAsia="Palatino Linotype" w:hAnsi="Palatino Linotype" w:cs="Palatino Linotype"/>
          <w:b/>
        </w:rPr>
        <w:t>LA PARTE RECURRENTE,</w:t>
      </w:r>
      <w:r w:rsidRPr="00EB7245">
        <w:rPr>
          <w:rFonts w:ascii="Palatino Linotype" w:eastAsia="Palatino Linotype" w:hAnsi="Palatino Linotype" w:cs="Palatino Linotype"/>
        </w:rPr>
        <w:t xml:space="preserve"> dicho que se apoya con lo plasmado en el criterio 01/20 emitido por el Instituto Nacional de Transparencia, Acceso a la Información, y Protección de Datos Personales, INAI, que lleva por rubro y texto los siguientes: </w:t>
      </w:r>
    </w:p>
    <w:p w14:paraId="235FD789" w14:textId="77777777" w:rsidR="00AE4FE4" w:rsidRPr="00EB7245" w:rsidRDefault="00AE4FE4">
      <w:pPr>
        <w:pBdr>
          <w:top w:val="nil"/>
          <w:left w:val="nil"/>
          <w:bottom w:val="nil"/>
          <w:right w:val="nil"/>
          <w:between w:val="nil"/>
        </w:pBdr>
        <w:ind w:left="851" w:right="902"/>
        <w:jc w:val="both"/>
        <w:rPr>
          <w:rFonts w:ascii="Palatino Linotype" w:eastAsia="Palatino Linotype" w:hAnsi="Palatino Linotype" w:cs="Palatino Linotype"/>
          <w:b/>
          <w:i/>
        </w:rPr>
      </w:pPr>
    </w:p>
    <w:p w14:paraId="2EDC5BDE" w14:textId="77777777" w:rsidR="00AE4FE4" w:rsidRPr="00EB7245" w:rsidRDefault="009F5637">
      <w:pPr>
        <w:pBdr>
          <w:top w:val="nil"/>
          <w:left w:val="nil"/>
          <w:bottom w:val="nil"/>
          <w:right w:val="nil"/>
          <w:between w:val="nil"/>
        </w:pBdr>
        <w:ind w:left="851" w:right="902"/>
        <w:jc w:val="both"/>
      </w:pPr>
      <w:r w:rsidRPr="00EB7245">
        <w:rPr>
          <w:rFonts w:ascii="Palatino Linotype" w:eastAsia="Palatino Linotype" w:hAnsi="Palatino Linotype" w:cs="Palatino Linotype"/>
          <w:b/>
          <w:i/>
        </w:rPr>
        <w:lastRenderedPageBreak/>
        <w:t xml:space="preserve">Actos consentidos tácitamente. Improcedencia de su análisis. </w:t>
      </w:r>
      <w:r w:rsidRPr="00EB7245">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6BD16DC" w14:textId="77777777" w:rsidR="00AE4FE4" w:rsidRPr="00EB7245" w:rsidRDefault="00AE4FE4"/>
    <w:p w14:paraId="2F22CD24" w14:textId="77777777" w:rsidR="00AE4FE4" w:rsidRPr="00EB7245" w:rsidRDefault="009F5637">
      <w:pPr>
        <w:pBdr>
          <w:top w:val="nil"/>
          <w:left w:val="nil"/>
          <w:bottom w:val="nil"/>
          <w:right w:val="nil"/>
          <w:between w:val="nil"/>
        </w:pBd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6524A209" w14:textId="77777777" w:rsidR="00AE4FE4" w:rsidRPr="00EB7245" w:rsidRDefault="00AE4FE4">
      <w:pPr>
        <w:pBdr>
          <w:top w:val="nil"/>
          <w:left w:val="nil"/>
          <w:bottom w:val="nil"/>
          <w:right w:val="nil"/>
          <w:between w:val="nil"/>
        </w:pBdr>
        <w:ind w:left="851" w:right="900"/>
        <w:jc w:val="both"/>
        <w:rPr>
          <w:rFonts w:ascii="Palatino Linotype" w:eastAsia="Palatino Linotype" w:hAnsi="Palatino Linotype" w:cs="Palatino Linotype"/>
          <w:b/>
          <w:i/>
          <w:smallCaps/>
        </w:rPr>
      </w:pPr>
    </w:p>
    <w:p w14:paraId="496929CE" w14:textId="77777777" w:rsidR="00AE4FE4" w:rsidRPr="00EB7245" w:rsidRDefault="009F5637">
      <w:pPr>
        <w:pBdr>
          <w:top w:val="nil"/>
          <w:left w:val="nil"/>
          <w:bottom w:val="nil"/>
          <w:right w:val="nil"/>
          <w:between w:val="nil"/>
        </w:pBdr>
        <w:ind w:left="851" w:right="900"/>
        <w:jc w:val="both"/>
      </w:pPr>
      <w:r w:rsidRPr="00EB7245">
        <w:rPr>
          <w:rFonts w:ascii="Palatino Linotype" w:eastAsia="Palatino Linotype" w:hAnsi="Palatino Linotype" w:cs="Palatino Linotype"/>
          <w:b/>
          <w:i/>
          <w:smallCaps/>
        </w:rPr>
        <w:t xml:space="preserve">ACTOS CONSENTIDOS. SON LOS QUE NO SE IMPUGNAN MEDIANTE EL RECURSO IDÓNEO. </w:t>
      </w:r>
      <w:r w:rsidRPr="00EB7245">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275AB4F" w14:textId="77777777" w:rsidR="00AE4FE4" w:rsidRPr="00EB7245" w:rsidRDefault="009F5637">
      <w:pPr>
        <w:pBdr>
          <w:top w:val="nil"/>
          <w:left w:val="nil"/>
          <w:bottom w:val="nil"/>
          <w:right w:val="nil"/>
          <w:between w:val="nil"/>
        </w:pBdr>
        <w:shd w:val="clear" w:color="auto" w:fill="FFFFFF"/>
        <w:spacing w:line="360" w:lineRule="auto"/>
        <w:ind w:right="49"/>
        <w:jc w:val="both"/>
      </w:pPr>
      <w:r w:rsidRPr="00EB7245">
        <w:br/>
      </w:r>
      <w:r w:rsidRPr="00EB7245">
        <w:rPr>
          <w:rFonts w:ascii="Palatino Linotype" w:eastAsia="Palatino Linotype" w:hAnsi="Palatino Linotype" w:cs="Palatino Linotype"/>
        </w:rPr>
        <w:t xml:space="preserve">Consecuentemente, la parte de la respuesta relativa a los años del 2007 al 2017 que no fue impugnada debe declararse consentida, toda vez que, </w:t>
      </w:r>
      <w:r w:rsidRPr="00EB7245">
        <w:rPr>
          <w:rFonts w:ascii="Palatino Linotype" w:eastAsia="Palatino Linotype" w:hAnsi="Palatino Linotype" w:cs="Palatino Linotype"/>
          <w:b/>
        </w:rPr>
        <w:t>LA PARTE RECURRENTE</w:t>
      </w:r>
      <w:r w:rsidRPr="00EB7245">
        <w:rPr>
          <w:rFonts w:ascii="Palatino Linotype" w:eastAsia="Palatino Linotype" w:hAnsi="Palatino Linotype" w:cs="Palatino Linotype"/>
        </w:rPr>
        <w:t xml:space="preserve"> no realizó manifestaciones de inconformidad para combatirla; por lo que, no pueden producirse efectos jurídicos tendentes a revocar, confirmar o modificar el acto reclamado, ya que se infiere su consentimiento ante la falta de impugnación eficaz.</w:t>
      </w:r>
    </w:p>
    <w:p w14:paraId="5739EFFB" w14:textId="77777777" w:rsidR="00AE4FE4" w:rsidRPr="00EB7245" w:rsidRDefault="00AE4FE4">
      <w:pPr>
        <w:widowControl w:val="0"/>
        <w:tabs>
          <w:tab w:val="left" w:pos="1701"/>
          <w:tab w:val="left" w:pos="1843"/>
        </w:tabs>
        <w:spacing w:line="360" w:lineRule="auto"/>
        <w:jc w:val="both"/>
        <w:rPr>
          <w:rFonts w:ascii="Palatino Linotype" w:eastAsia="Palatino Linotype" w:hAnsi="Palatino Linotype" w:cs="Palatino Linotype"/>
        </w:rPr>
      </w:pPr>
    </w:p>
    <w:p w14:paraId="64B85ACE" w14:textId="77777777" w:rsidR="00AE4FE4" w:rsidRPr="00EB7245" w:rsidRDefault="009F5637">
      <w:pPr>
        <w:widowControl w:val="0"/>
        <w:tabs>
          <w:tab w:val="left" w:pos="1701"/>
          <w:tab w:val="left" w:pos="1843"/>
        </w:tabs>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Bajo ese contexto, este Instituto analizó la totalidad de constancias que integran el expediente electrónico del </w:t>
      </w:r>
      <w:r w:rsidRPr="00EB7245">
        <w:rPr>
          <w:rFonts w:ascii="Palatino Linotype" w:eastAsia="Palatino Linotype" w:hAnsi="Palatino Linotype" w:cs="Palatino Linotype"/>
          <w:b/>
        </w:rPr>
        <w:t>SAIMEX</w:t>
      </w:r>
      <w:r w:rsidRPr="00EB7245">
        <w:rPr>
          <w:rFonts w:ascii="Palatino Linotype" w:eastAsia="Palatino Linotype" w:hAnsi="Palatino Linotype" w:cs="Palatino Linotype"/>
        </w:rPr>
        <w:t xml:space="preserve"> y advirtió que las razones o motivos de inconformidad hechos valer por </w:t>
      </w:r>
      <w:r w:rsidRPr="00EB7245">
        <w:rPr>
          <w:rFonts w:ascii="Palatino Linotype" w:eastAsia="Palatino Linotype" w:hAnsi="Palatino Linotype" w:cs="Palatino Linotype"/>
          <w:b/>
        </w:rPr>
        <w:t>LA RECURRENTE</w:t>
      </w:r>
      <w:r w:rsidRPr="00EB7245">
        <w:rPr>
          <w:rFonts w:ascii="Palatino Linotype" w:eastAsia="Palatino Linotype" w:hAnsi="Palatino Linotype" w:cs="Palatino Linotype"/>
        </w:rPr>
        <w:t xml:space="preserve"> devienen </w:t>
      </w:r>
      <w:r w:rsidRPr="00EB7245">
        <w:rPr>
          <w:rFonts w:ascii="Palatino Linotype" w:eastAsia="Palatino Linotype" w:hAnsi="Palatino Linotype" w:cs="Palatino Linotype"/>
          <w:b/>
        </w:rPr>
        <w:t>fundados</w:t>
      </w:r>
      <w:r w:rsidRPr="00EB7245">
        <w:rPr>
          <w:rFonts w:ascii="Palatino Linotype" w:eastAsia="Palatino Linotype" w:hAnsi="Palatino Linotype" w:cs="Palatino Linotype"/>
        </w:rPr>
        <w:t>, de acuerdo a las consideraciones de hecho y de derecho que a continuación se desagregan.</w:t>
      </w:r>
    </w:p>
    <w:p w14:paraId="0F807CE3" w14:textId="77777777" w:rsidR="00AE4FE4" w:rsidRPr="00EB7245" w:rsidRDefault="00AE4FE4">
      <w:pPr>
        <w:widowControl w:val="0"/>
        <w:tabs>
          <w:tab w:val="left" w:pos="1701"/>
          <w:tab w:val="left" w:pos="1843"/>
        </w:tabs>
        <w:spacing w:line="360" w:lineRule="auto"/>
        <w:jc w:val="both"/>
        <w:rPr>
          <w:rFonts w:ascii="Palatino Linotype" w:eastAsia="Palatino Linotype" w:hAnsi="Palatino Linotype" w:cs="Palatino Linotype"/>
        </w:rPr>
      </w:pPr>
    </w:p>
    <w:p w14:paraId="4F43C118" w14:textId="77777777" w:rsidR="00AE4FE4" w:rsidRPr="00EB7245" w:rsidRDefault="009F5637">
      <w:pPr>
        <w:widowControl w:val="0"/>
        <w:tabs>
          <w:tab w:val="left" w:pos="1701"/>
          <w:tab w:val="left" w:pos="1843"/>
        </w:tabs>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Primeramente, lo conveniente es vislumbrar el Marco Normativo que faculta al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para dotar de la información requerida, de conformidad con el artículo 47 del Bando Municipal del Ayuntamiento de Coacalco de Berriozábal 2023, que a la letra reza: </w:t>
      </w:r>
    </w:p>
    <w:p w14:paraId="75538B22" w14:textId="77777777" w:rsidR="00AE4FE4" w:rsidRPr="00EB7245" w:rsidRDefault="00AE4FE4">
      <w:pPr>
        <w:widowControl w:val="0"/>
        <w:tabs>
          <w:tab w:val="left" w:pos="1701"/>
          <w:tab w:val="left" w:pos="1843"/>
        </w:tabs>
        <w:spacing w:line="360" w:lineRule="auto"/>
        <w:jc w:val="both"/>
        <w:rPr>
          <w:rFonts w:ascii="Palatino Linotype" w:eastAsia="Palatino Linotype" w:hAnsi="Palatino Linotype" w:cs="Palatino Linotype"/>
        </w:rPr>
      </w:pPr>
    </w:p>
    <w:p w14:paraId="210D9A41" w14:textId="77777777" w:rsidR="00AE4FE4" w:rsidRPr="00EB7245" w:rsidRDefault="009F5637">
      <w:pPr>
        <w:widowControl w:val="0"/>
        <w:tabs>
          <w:tab w:val="left" w:pos="1701"/>
          <w:tab w:val="left" w:pos="1843"/>
        </w:tabs>
        <w:spacing w:line="276" w:lineRule="auto"/>
        <w:ind w:left="851" w:right="616"/>
        <w:jc w:val="center"/>
        <w:rPr>
          <w:rFonts w:ascii="Palatino Linotype" w:eastAsia="Palatino Linotype" w:hAnsi="Palatino Linotype" w:cs="Palatino Linotype"/>
          <w:i/>
        </w:rPr>
      </w:pPr>
      <w:r w:rsidRPr="00EB7245">
        <w:rPr>
          <w:rFonts w:ascii="Palatino Linotype" w:eastAsia="Palatino Linotype" w:hAnsi="Palatino Linotype" w:cs="Palatino Linotype"/>
          <w:i/>
        </w:rPr>
        <w:t xml:space="preserve">“Bando Municipal de </w:t>
      </w:r>
      <w:r w:rsidRPr="00EB7245">
        <w:rPr>
          <w:rFonts w:ascii="Palatino Linotype" w:eastAsia="Palatino Linotype" w:hAnsi="Palatino Linotype" w:cs="Palatino Linotype"/>
        </w:rPr>
        <w:t>Coacalco de Berriozábal 2023</w:t>
      </w:r>
    </w:p>
    <w:p w14:paraId="21E36FAE" w14:textId="77777777" w:rsidR="00AE4FE4" w:rsidRPr="00EB7245" w:rsidRDefault="009F5637">
      <w:pPr>
        <w:widowControl w:val="0"/>
        <w:tabs>
          <w:tab w:val="left" w:pos="1701"/>
          <w:tab w:val="left" w:pos="1843"/>
        </w:tabs>
        <w:spacing w:line="276" w:lineRule="auto"/>
        <w:ind w:left="851" w:right="616"/>
        <w:jc w:val="both"/>
        <w:rPr>
          <w:rFonts w:ascii="Palatino Linotype" w:eastAsia="Palatino Linotype" w:hAnsi="Palatino Linotype" w:cs="Palatino Linotype"/>
          <w:i/>
        </w:rPr>
      </w:pPr>
      <w:r w:rsidRPr="00EB7245">
        <w:rPr>
          <w:rFonts w:ascii="Palatino Linotype" w:eastAsia="Palatino Linotype" w:hAnsi="Palatino Linotype" w:cs="Palatino Linotype"/>
          <w:b/>
          <w:i/>
        </w:rPr>
        <w:t>Artículo 47.</w:t>
      </w:r>
      <w:r w:rsidRPr="00EB7245">
        <w:rPr>
          <w:rFonts w:ascii="Palatino Linotype" w:eastAsia="Palatino Linotype" w:hAnsi="Palatino Linotype" w:cs="Palatino Linotype"/>
          <w:i/>
        </w:rPr>
        <w:t xml:space="preserve"> La Tesorería Municipal es el órgano encargado de la recaudación de los ingresos municipales, así como de la administración de la hacienda pública municipal, y la responsable de realizar las erogaciones que haga el Gobierno Municipal de conformidad con los ordenamientos legales aplicables. “</w:t>
      </w:r>
    </w:p>
    <w:p w14:paraId="2D40254D" w14:textId="77777777" w:rsidR="00AE4FE4" w:rsidRPr="00EB7245" w:rsidRDefault="00AE4FE4">
      <w:pPr>
        <w:widowControl w:val="0"/>
        <w:tabs>
          <w:tab w:val="left" w:pos="1701"/>
          <w:tab w:val="left" w:pos="1843"/>
        </w:tabs>
        <w:spacing w:line="276" w:lineRule="auto"/>
        <w:ind w:right="616"/>
        <w:jc w:val="both"/>
        <w:rPr>
          <w:rFonts w:ascii="Palatino Linotype" w:eastAsia="Palatino Linotype" w:hAnsi="Palatino Linotype" w:cs="Palatino Linotype"/>
          <w:b/>
          <w:i/>
        </w:rPr>
      </w:pPr>
    </w:p>
    <w:p w14:paraId="10E3D291" w14:textId="77777777" w:rsidR="00AE4FE4" w:rsidRPr="00EB7245" w:rsidRDefault="009F5637">
      <w:pPr>
        <w:widowControl w:val="0"/>
        <w:tabs>
          <w:tab w:val="left" w:pos="1701"/>
          <w:tab w:val="left" w:pos="1843"/>
        </w:tabs>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Bajo esa premisa, el artículo 47 de Reglamento Interno de la Administración Pública Municipal de Coacalco de Berriozábal 2022-2024 en su fracción XXVII establece como una de sus atribuciones coordinar la consolidación de la información contable y presupuestal para la integración y presentación de los informes de la cuenta pública del municipio, para envío y análisis al Órgano Superior de Fiscalización del Estado de México, tal y como se advierte a continuación: </w:t>
      </w:r>
    </w:p>
    <w:p w14:paraId="0F11C51E" w14:textId="77777777" w:rsidR="00AE4FE4" w:rsidRPr="00EB7245" w:rsidRDefault="00AE4FE4">
      <w:pPr>
        <w:widowControl w:val="0"/>
        <w:tabs>
          <w:tab w:val="left" w:pos="1701"/>
          <w:tab w:val="left" w:pos="1843"/>
        </w:tabs>
        <w:spacing w:line="276" w:lineRule="auto"/>
        <w:ind w:right="616"/>
        <w:jc w:val="both"/>
        <w:rPr>
          <w:rFonts w:ascii="Palatino Linotype" w:eastAsia="Palatino Linotype" w:hAnsi="Palatino Linotype" w:cs="Palatino Linotype"/>
          <w:i/>
        </w:rPr>
      </w:pPr>
    </w:p>
    <w:p w14:paraId="37C3CB78" w14:textId="77777777" w:rsidR="00AE4FE4" w:rsidRPr="00EB7245" w:rsidRDefault="009F5637">
      <w:pPr>
        <w:widowControl w:val="0"/>
        <w:tabs>
          <w:tab w:val="left" w:pos="1701"/>
          <w:tab w:val="left" w:pos="1843"/>
        </w:tabs>
        <w:spacing w:line="276" w:lineRule="auto"/>
        <w:ind w:left="851" w:right="616"/>
        <w:jc w:val="center"/>
        <w:rPr>
          <w:rFonts w:ascii="Palatino Linotype" w:eastAsia="Palatino Linotype" w:hAnsi="Palatino Linotype" w:cs="Palatino Linotype"/>
          <w:i/>
        </w:rPr>
      </w:pPr>
      <w:r w:rsidRPr="00EB7245">
        <w:rPr>
          <w:rFonts w:ascii="Palatino Linotype" w:eastAsia="Palatino Linotype" w:hAnsi="Palatino Linotype" w:cs="Palatino Linotype"/>
          <w:i/>
        </w:rPr>
        <w:t>“Reglamento Interno de la Administración Pública Municipal de Coacalco de Berriozábal 2022-2024</w:t>
      </w:r>
    </w:p>
    <w:p w14:paraId="6D617D94" w14:textId="77777777" w:rsidR="00AE4FE4" w:rsidRPr="00EB7245" w:rsidRDefault="009F5637">
      <w:pPr>
        <w:widowControl w:val="0"/>
        <w:tabs>
          <w:tab w:val="left" w:pos="1701"/>
          <w:tab w:val="left" w:pos="1843"/>
        </w:tabs>
        <w:spacing w:line="276" w:lineRule="auto"/>
        <w:ind w:left="851" w:right="616"/>
        <w:jc w:val="both"/>
        <w:rPr>
          <w:rFonts w:ascii="Palatino Linotype" w:eastAsia="Palatino Linotype" w:hAnsi="Palatino Linotype" w:cs="Palatino Linotype"/>
          <w:i/>
        </w:rPr>
      </w:pPr>
      <w:r w:rsidRPr="00EB7245">
        <w:rPr>
          <w:rFonts w:ascii="Palatino Linotype" w:eastAsia="Palatino Linotype" w:hAnsi="Palatino Linotype" w:cs="Palatino Linotype"/>
          <w:b/>
          <w:i/>
        </w:rPr>
        <w:t>Artículo 47.</w:t>
      </w:r>
      <w:r w:rsidRPr="00EB7245">
        <w:rPr>
          <w:rFonts w:ascii="Palatino Linotype" w:eastAsia="Palatino Linotype" w:hAnsi="Palatino Linotype" w:cs="Palatino Linotype"/>
          <w:i/>
        </w:rPr>
        <w:t xml:space="preserve"> La Tesorería Municipal, además de cumplir con los requisitos que establecen los articulo 32 y 96 de la Ley </w:t>
      </w:r>
      <w:proofErr w:type="spellStart"/>
      <w:r w:rsidRPr="00EB7245">
        <w:rPr>
          <w:rFonts w:ascii="Palatino Linotype" w:eastAsia="Palatino Linotype" w:hAnsi="Palatino Linotype" w:cs="Palatino Linotype"/>
          <w:i/>
        </w:rPr>
        <w:t>Organica</w:t>
      </w:r>
      <w:proofErr w:type="spellEnd"/>
      <w:r w:rsidRPr="00EB7245">
        <w:rPr>
          <w:rFonts w:ascii="Palatino Linotype" w:eastAsia="Palatino Linotype" w:hAnsi="Palatino Linotype" w:cs="Palatino Linotype"/>
          <w:i/>
        </w:rPr>
        <w:t xml:space="preserve"> y las atribuciones del artículo 95 de la misma Ley, tendrá las atribuciones siguientes: </w:t>
      </w:r>
    </w:p>
    <w:p w14:paraId="501B7F71" w14:textId="77777777" w:rsidR="00AE4FE4" w:rsidRPr="00EB7245" w:rsidRDefault="009F5637">
      <w:pPr>
        <w:widowControl w:val="0"/>
        <w:tabs>
          <w:tab w:val="left" w:pos="1701"/>
          <w:tab w:val="left" w:pos="1843"/>
        </w:tabs>
        <w:spacing w:line="276" w:lineRule="auto"/>
        <w:ind w:left="851" w:right="616"/>
        <w:jc w:val="both"/>
        <w:rPr>
          <w:rFonts w:ascii="Palatino Linotype" w:eastAsia="Palatino Linotype" w:hAnsi="Palatino Linotype" w:cs="Palatino Linotype"/>
          <w:i/>
        </w:rPr>
      </w:pPr>
      <w:r w:rsidRPr="00EB7245">
        <w:rPr>
          <w:rFonts w:ascii="Palatino Linotype" w:eastAsia="Palatino Linotype" w:hAnsi="Palatino Linotype" w:cs="Palatino Linotype"/>
          <w:b/>
          <w:i/>
        </w:rPr>
        <w:t>…</w:t>
      </w:r>
      <w:r w:rsidRPr="00EB7245">
        <w:rPr>
          <w:rFonts w:ascii="Palatino Linotype" w:eastAsia="Palatino Linotype" w:hAnsi="Palatino Linotype" w:cs="Palatino Linotype"/>
          <w:i/>
        </w:rPr>
        <w:t xml:space="preserve"> </w:t>
      </w:r>
    </w:p>
    <w:p w14:paraId="49F4E273" w14:textId="77777777" w:rsidR="00AE4FE4" w:rsidRPr="00EB7245" w:rsidRDefault="009F5637">
      <w:pPr>
        <w:widowControl w:val="0"/>
        <w:tabs>
          <w:tab w:val="left" w:pos="1701"/>
          <w:tab w:val="left" w:pos="1843"/>
        </w:tabs>
        <w:spacing w:line="276" w:lineRule="auto"/>
        <w:ind w:left="851" w:right="616"/>
        <w:jc w:val="both"/>
        <w:rPr>
          <w:rFonts w:ascii="Palatino Linotype" w:eastAsia="Palatino Linotype" w:hAnsi="Palatino Linotype" w:cs="Palatino Linotype"/>
          <w:i/>
        </w:rPr>
      </w:pPr>
      <w:r w:rsidRPr="00EB7245">
        <w:rPr>
          <w:rFonts w:ascii="Palatino Linotype" w:eastAsia="Palatino Linotype" w:hAnsi="Palatino Linotype" w:cs="Palatino Linotype"/>
          <w:b/>
          <w:i/>
        </w:rPr>
        <w:t>XXVII.</w:t>
      </w:r>
      <w:r w:rsidRPr="00EB7245">
        <w:rPr>
          <w:rFonts w:ascii="Palatino Linotype" w:eastAsia="Palatino Linotype" w:hAnsi="Palatino Linotype" w:cs="Palatino Linotype"/>
          <w:i/>
        </w:rPr>
        <w:t xml:space="preserve"> Coordinar la consolidación de la información contable y presupuestal </w:t>
      </w:r>
      <w:r w:rsidRPr="00EB7245">
        <w:rPr>
          <w:rFonts w:ascii="Palatino Linotype" w:eastAsia="Palatino Linotype" w:hAnsi="Palatino Linotype" w:cs="Palatino Linotype"/>
          <w:i/>
        </w:rPr>
        <w:lastRenderedPageBreak/>
        <w:t xml:space="preserve">para la integración y presentación de los Informes trimestrales y anuales de la cuenta pública del municipio, para envío y análisis al Órgano Superior de Fiscalización del Estado de México, de acuerdo con lo estipulado en la Ley de Fiscalización del Estado de México y los lineamientos que se emitan al respecto; </w:t>
      </w:r>
    </w:p>
    <w:p w14:paraId="52A02BCB" w14:textId="77777777" w:rsidR="00AE4FE4" w:rsidRPr="00EB7245" w:rsidRDefault="009F5637">
      <w:pPr>
        <w:widowControl w:val="0"/>
        <w:tabs>
          <w:tab w:val="left" w:pos="1701"/>
          <w:tab w:val="left" w:pos="1843"/>
        </w:tabs>
        <w:spacing w:line="276" w:lineRule="auto"/>
        <w:ind w:left="851" w:right="616"/>
        <w:jc w:val="both"/>
        <w:rPr>
          <w:rFonts w:ascii="Palatino Linotype" w:eastAsia="Palatino Linotype" w:hAnsi="Palatino Linotype" w:cs="Palatino Linotype"/>
          <w:i/>
        </w:rPr>
      </w:pPr>
      <w:r w:rsidRPr="00EB7245">
        <w:rPr>
          <w:rFonts w:ascii="Palatino Linotype" w:eastAsia="Palatino Linotype" w:hAnsi="Palatino Linotype" w:cs="Palatino Linotype"/>
          <w:i/>
        </w:rPr>
        <w:t>…”</w:t>
      </w:r>
    </w:p>
    <w:p w14:paraId="65BCF8AA" w14:textId="77777777" w:rsidR="00AE4FE4" w:rsidRPr="00EB7245" w:rsidRDefault="00AE4FE4">
      <w:pPr>
        <w:widowControl w:val="0"/>
        <w:tabs>
          <w:tab w:val="left" w:pos="1701"/>
          <w:tab w:val="left" w:pos="1843"/>
        </w:tabs>
        <w:spacing w:line="360" w:lineRule="auto"/>
        <w:jc w:val="both"/>
        <w:rPr>
          <w:rFonts w:ascii="Palatino Linotype" w:eastAsia="Palatino Linotype" w:hAnsi="Palatino Linotype" w:cs="Palatino Linotype"/>
        </w:rPr>
      </w:pPr>
    </w:p>
    <w:p w14:paraId="1D9C7D82" w14:textId="77777777" w:rsidR="00AE4FE4" w:rsidRPr="00EB7245" w:rsidRDefault="009F5637">
      <w:pPr>
        <w:widowControl w:val="0"/>
        <w:tabs>
          <w:tab w:val="left" w:pos="1701"/>
          <w:tab w:val="left" w:pos="1843"/>
        </w:tabs>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Entonces, podemos definir que el pronunciamiento respecto de la información solicitada fue por parte de la Persona Servidora Pública Habilitada, a la luz del procedimiento establecido por el artículo 162 de la Ley de Transparencia y Acceso a la Información Pública del Estado de México y Municipios, ya que </w:t>
      </w:r>
      <w:r w:rsidRPr="00EB7245">
        <w:rPr>
          <w:rFonts w:ascii="Palatino Linotype" w:eastAsia="Palatino Linotype" w:hAnsi="Palatino Linotype" w:cs="Palatino Linotype"/>
          <w:b/>
        </w:rPr>
        <w:t xml:space="preserve">EL SUJETO OBLIGADO </w:t>
      </w:r>
      <w:r w:rsidRPr="00EB7245">
        <w:rPr>
          <w:rFonts w:ascii="Palatino Linotype" w:eastAsia="Palatino Linotype" w:hAnsi="Palatino Linotype" w:cs="Palatino Linotype"/>
        </w:rPr>
        <w:t xml:space="preserve">turnó la solicitud a las áreas en las que podría obrar la información de conformidad con la fracción XXXIX del artículo tercero de la legislación local vigente en materia de transparencia: </w:t>
      </w:r>
    </w:p>
    <w:p w14:paraId="17879F59" w14:textId="77777777" w:rsidR="00AE4FE4" w:rsidRPr="00EB7245" w:rsidRDefault="00AE4FE4">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p>
    <w:p w14:paraId="48F8D8DF" w14:textId="77777777" w:rsidR="00AE4FE4" w:rsidRPr="00EB7245" w:rsidRDefault="009F563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 xml:space="preserve">XXXIX. </w:t>
      </w:r>
      <w:r w:rsidRPr="00EB7245">
        <w:rPr>
          <w:rFonts w:ascii="Palatino Linotype" w:eastAsia="Palatino Linotype" w:hAnsi="Palatino Linotype" w:cs="Palatino Linotype"/>
          <w:b/>
          <w:i/>
          <w:sz w:val="22"/>
          <w:szCs w:val="22"/>
        </w:rPr>
        <w:t>Servidor público habilitado:</w:t>
      </w:r>
      <w:r w:rsidRPr="00EB7245">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DA4BE0E" w14:textId="77777777" w:rsidR="00AE4FE4" w:rsidRPr="00EB7245" w:rsidRDefault="00AE4FE4">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p>
    <w:p w14:paraId="041BC6CD" w14:textId="77777777" w:rsidR="00AE4FE4" w:rsidRPr="00EB7245" w:rsidRDefault="009F563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este orden de ideas, se advierte que efectivamente la Unidad de Transparencia cumplió con lo expresado en el artículo 162 de la Ley de Transparencia y Acceso a la Información Pública del Estado de México y Municipios, el cual menciona lo siguiente: </w:t>
      </w:r>
    </w:p>
    <w:p w14:paraId="38A6644A" w14:textId="77777777" w:rsidR="00AE4FE4" w:rsidRPr="00EB7245" w:rsidRDefault="00AE4FE4">
      <w:pPr>
        <w:pBdr>
          <w:top w:val="nil"/>
          <w:left w:val="nil"/>
          <w:bottom w:val="nil"/>
          <w:right w:val="nil"/>
          <w:between w:val="nil"/>
        </w:pBdr>
        <w:spacing w:line="276" w:lineRule="auto"/>
        <w:ind w:right="864"/>
        <w:jc w:val="both"/>
        <w:rPr>
          <w:rFonts w:ascii="Palatino Linotype" w:eastAsia="Palatino Linotype" w:hAnsi="Palatino Linotype" w:cs="Palatino Linotype"/>
        </w:rPr>
      </w:pPr>
    </w:p>
    <w:p w14:paraId="62623F1A" w14:textId="77777777" w:rsidR="00AE4FE4" w:rsidRPr="00EB7245" w:rsidRDefault="009F563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lastRenderedPageBreak/>
        <w:t xml:space="preserve">Artículo 162. Las unidades de transparencia deberán garantizar que las solicitudes </w:t>
      </w:r>
      <w:r w:rsidRPr="00EB7245">
        <w:rPr>
          <w:rFonts w:ascii="Palatino Linotype" w:eastAsia="Palatino Linotype" w:hAnsi="Palatino Linotype" w:cs="Palatino Linotype"/>
          <w:b/>
          <w:i/>
          <w:sz w:val="22"/>
          <w:szCs w:val="22"/>
        </w:rPr>
        <w:t xml:space="preserve">se turnen a todas las Áreas competentes </w:t>
      </w:r>
      <w:r w:rsidRPr="00EB7245">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E1BA893" w14:textId="77777777" w:rsidR="00AE4FE4" w:rsidRPr="00EB7245" w:rsidRDefault="00AE4FE4">
      <w:pPr>
        <w:pBdr>
          <w:top w:val="nil"/>
          <w:left w:val="nil"/>
          <w:bottom w:val="nil"/>
          <w:right w:val="nil"/>
          <w:between w:val="nil"/>
        </w:pBdr>
        <w:spacing w:line="360" w:lineRule="auto"/>
        <w:jc w:val="both"/>
        <w:rPr>
          <w:rFonts w:ascii="Palatino Linotype" w:eastAsia="Palatino Linotype" w:hAnsi="Palatino Linotype" w:cs="Palatino Linotype"/>
        </w:rPr>
      </w:pPr>
    </w:p>
    <w:p w14:paraId="361F1154"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este contexto, resulta conveniente analizar la respuesta del </w:t>
      </w:r>
      <w:r w:rsidRPr="00EB7245">
        <w:rPr>
          <w:rFonts w:ascii="Palatino Linotype" w:eastAsia="Palatino Linotype" w:hAnsi="Palatino Linotype" w:cs="Palatino Linotype"/>
          <w:b/>
        </w:rPr>
        <w:t xml:space="preserve">SUJETO OBLIGADO </w:t>
      </w:r>
      <w:r w:rsidRPr="00EB7245">
        <w:rPr>
          <w:rFonts w:ascii="Palatino Linotype" w:eastAsia="Palatino Linotype" w:hAnsi="Palatino Linotype" w:cs="Palatino Linotype"/>
        </w:rPr>
        <w:t>a fin de verificar si el requerimiento ha sido colmado total o parcialmente por éste y entonces de aquellos puntos que no hayan sido atendidos, analizar la procedencia o no de la entrega de los documentos, así como los términos en que se deberá realizar la misma.</w:t>
      </w:r>
    </w:p>
    <w:p w14:paraId="60E89C27" w14:textId="77777777" w:rsidR="00AE4FE4" w:rsidRPr="00EB7245" w:rsidRDefault="00AE4FE4">
      <w:pPr>
        <w:spacing w:line="360" w:lineRule="auto"/>
        <w:jc w:val="both"/>
        <w:rPr>
          <w:rFonts w:ascii="Palatino Linotype" w:eastAsia="Palatino Linotype" w:hAnsi="Palatino Linotype" w:cs="Palatino Linotype"/>
        </w:rPr>
      </w:pPr>
    </w:p>
    <w:p w14:paraId="56BB7FCC" w14:textId="77777777" w:rsidR="00AE4FE4" w:rsidRPr="00EB7245" w:rsidRDefault="009F5637">
      <w:pPr>
        <w:tabs>
          <w:tab w:val="right" w:pos="8505"/>
        </w:tabs>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Precisado lo anterior, es menester pronunciarse respecto a la documentación requerida por la parte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xml:space="preserve"> la cual se encuentra relacionada con las facultades que asisten al Órgano Superior de Fiscalización de ésta entidad federativa, como lo es la de emitir los lineamientos para la Integración del Informe Mensual, en términos la fracción XI del artículo 8 de la Ley de Fiscalización Superior del Estado de México, que señalan: </w:t>
      </w:r>
    </w:p>
    <w:p w14:paraId="7222AA12" w14:textId="77777777" w:rsidR="00AE4FE4" w:rsidRPr="00EB7245" w:rsidRDefault="00AE4FE4">
      <w:pPr>
        <w:tabs>
          <w:tab w:val="right" w:pos="8505"/>
        </w:tabs>
        <w:spacing w:line="360" w:lineRule="auto"/>
        <w:jc w:val="both"/>
        <w:rPr>
          <w:rFonts w:ascii="Palatino Linotype" w:eastAsia="Palatino Linotype" w:hAnsi="Palatino Linotype" w:cs="Palatino Linotype"/>
        </w:rPr>
      </w:pPr>
    </w:p>
    <w:p w14:paraId="36E36322" w14:textId="77777777" w:rsidR="00AE4FE4" w:rsidRPr="00EB7245" w:rsidRDefault="009F5637">
      <w:pPr>
        <w:ind w:left="709" w:right="814"/>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 xml:space="preserve">Artículo 8. </w:t>
      </w:r>
      <w:r w:rsidRPr="00EB7245">
        <w:rPr>
          <w:rFonts w:ascii="Palatino Linotype" w:eastAsia="Palatino Linotype" w:hAnsi="Palatino Linotype" w:cs="Palatino Linotype"/>
          <w:i/>
          <w:sz w:val="22"/>
          <w:szCs w:val="22"/>
        </w:rPr>
        <w:t>El Órgano Superior tendrá las siguientes atribuciones:</w:t>
      </w:r>
    </w:p>
    <w:p w14:paraId="4C5EED16" w14:textId="77777777" w:rsidR="00AE4FE4" w:rsidRPr="00EB7245" w:rsidRDefault="009F5637">
      <w:pPr>
        <w:ind w:left="709" w:right="814"/>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p>
    <w:p w14:paraId="70BA47BF" w14:textId="77777777" w:rsidR="00AE4FE4" w:rsidRPr="00EB7245" w:rsidRDefault="009F5637">
      <w:pPr>
        <w:ind w:left="709" w:right="814"/>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b/>
          <w:i/>
          <w:sz w:val="22"/>
          <w:szCs w:val="22"/>
        </w:rPr>
        <w:t xml:space="preserve">XI. </w:t>
      </w:r>
      <w:r w:rsidRPr="00EB7245">
        <w:rPr>
          <w:rFonts w:ascii="Palatino Linotype" w:eastAsia="Palatino Linotype" w:hAnsi="Palatino Linotype" w:cs="Palatino Linotype"/>
          <w:i/>
          <w:sz w:val="22"/>
          <w:szCs w:val="22"/>
        </w:rPr>
        <w:t>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55F53A9" w14:textId="77777777" w:rsidR="00AE4FE4" w:rsidRPr="00EB7245" w:rsidRDefault="009F5637">
      <w:pPr>
        <w:ind w:left="709" w:right="814"/>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 (Sic)</w:t>
      </w:r>
    </w:p>
    <w:p w14:paraId="25195C2E" w14:textId="77777777" w:rsidR="00AE4FE4" w:rsidRPr="00EB7245" w:rsidRDefault="00AE4FE4">
      <w:pPr>
        <w:spacing w:line="360" w:lineRule="auto"/>
        <w:ind w:left="851" w:right="899"/>
        <w:jc w:val="both"/>
        <w:rPr>
          <w:rFonts w:ascii="Palatino Linotype" w:eastAsia="Palatino Linotype" w:hAnsi="Palatino Linotype" w:cs="Palatino Linotype"/>
          <w:i/>
        </w:rPr>
      </w:pPr>
    </w:p>
    <w:p w14:paraId="58F205C2"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Modulo 1, relativo a la Información Contable y Financiera.</w:t>
      </w:r>
    </w:p>
    <w:p w14:paraId="57D3D464" w14:textId="77777777" w:rsidR="00AE4FE4" w:rsidRPr="00EB7245" w:rsidRDefault="00AE4FE4">
      <w:pPr>
        <w:spacing w:line="360" w:lineRule="auto"/>
        <w:jc w:val="both"/>
        <w:rPr>
          <w:rFonts w:ascii="Palatino Linotype" w:eastAsia="Palatino Linotype" w:hAnsi="Palatino Linotype" w:cs="Palatino Linotype"/>
        </w:rPr>
      </w:pPr>
    </w:p>
    <w:p w14:paraId="7487F643"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EFF64CC" w14:textId="77777777" w:rsidR="00AE4FE4" w:rsidRPr="00EB7245" w:rsidRDefault="00AE4FE4">
      <w:pPr>
        <w:spacing w:line="360" w:lineRule="auto"/>
        <w:jc w:val="both"/>
        <w:rPr>
          <w:rFonts w:ascii="Palatino Linotype" w:eastAsia="Palatino Linotype" w:hAnsi="Palatino Linotype" w:cs="Palatino Linotype"/>
        </w:rPr>
      </w:pPr>
    </w:p>
    <w:p w14:paraId="46CAB4B6" w14:textId="77777777" w:rsidR="00AE4FE4" w:rsidRPr="00EB7245" w:rsidRDefault="009F5637">
      <w:pPr>
        <w:ind w:left="851"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Artículo 32.-</w:t>
      </w:r>
      <w:r w:rsidRPr="00EB7245">
        <w:rPr>
          <w:rFonts w:ascii="Palatino Linotype" w:eastAsia="Palatino Linotype" w:hAnsi="Palatino Linotype" w:cs="Palatino Linotype"/>
          <w:i/>
          <w:sz w:val="22"/>
          <w:szCs w:val="22"/>
        </w:rPr>
        <w:t xml:space="preserve"> 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w:t>
      </w:r>
    </w:p>
    <w:p w14:paraId="69837259" w14:textId="77777777" w:rsidR="00AE4FE4" w:rsidRPr="00EB7245" w:rsidRDefault="009F5637">
      <w:pPr>
        <w:ind w:left="851" w:right="899"/>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El Gobernador del Estado, por conducto del titular de la dependencia competente, presentará a la Legislatura la cuenta pública del Gobierno del Estado del ejercicio fiscal inmediato anterior, a más tardar el treinta de abril de cada año.</w:t>
      </w:r>
    </w:p>
    <w:p w14:paraId="72C69E11" w14:textId="77777777" w:rsidR="00AE4FE4" w:rsidRPr="00EB7245" w:rsidRDefault="00AE4FE4">
      <w:pPr>
        <w:ind w:left="851" w:right="899"/>
        <w:jc w:val="both"/>
        <w:rPr>
          <w:rFonts w:ascii="Palatino Linotype" w:eastAsia="Palatino Linotype" w:hAnsi="Palatino Linotype" w:cs="Palatino Linotype"/>
          <w:i/>
          <w:sz w:val="22"/>
          <w:szCs w:val="22"/>
        </w:rPr>
      </w:pPr>
    </w:p>
    <w:p w14:paraId="48AAD4EE" w14:textId="77777777" w:rsidR="00AE4FE4" w:rsidRPr="00EB7245" w:rsidRDefault="009F5637">
      <w:pPr>
        <w:ind w:left="851" w:right="899"/>
        <w:jc w:val="both"/>
        <w:rPr>
          <w:rFonts w:ascii="Palatino Linotype" w:eastAsia="Palatino Linotype" w:hAnsi="Palatino Linotype" w:cs="Palatino Linotype"/>
          <w:b/>
          <w:i/>
          <w:sz w:val="22"/>
          <w:szCs w:val="22"/>
        </w:rPr>
      </w:pPr>
      <w:r w:rsidRPr="00EB7245">
        <w:rPr>
          <w:rFonts w:ascii="Palatino Linotype" w:eastAsia="Palatino Linotype" w:hAnsi="Palatino Linotype" w:cs="Palatino Linotype"/>
          <w:b/>
          <w:i/>
          <w:sz w:val="22"/>
          <w:szCs w:val="22"/>
        </w:rPr>
        <w:t xml:space="preserve">Los Presidentes Municipales presentarán a la Legislatura las cuentas públicas </w:t>
      </w:r>
      <w:r w:rsidRPr="00EB7245">
        <w:rPr>
          <w:rFonts w:ascii="Palatino Linotype" w:eastAsia="Palatino Linotype" w:hAnsi="Palatino Linotype" w:cs="Palatino Linotype"/>
          <w:i/>
          <w:sz w:val="22"/>
          <w:szCs w:val="22"/>
        </w:rPr>
        <w:t xml:space="preserve">de sus respectivos municipios, del ejercicio fiscal inmediato anterior, </w:t>
      </w:r>
      <w:r w:rsidRPr="00EB7245">
        <w:rPr>
          <w:rFonts w:ascii="Palatino Linotype" w:eastAsia="Palatino Linotype" w:hAnsi="Palatino Linotype" w:cs="Palatino Linotype"/>
          <w:b/>
          <w:i/>
          <w:sz w:val="22"/>
          <w:szCs w:val="22"/>
        </w:rPr>
        <w:t>dentro de los quince primeros días del mes de marzo</w:t>
      </w:r>
      <w:r w:rsidRPr="00EB7245">
        <w:rPr>
          <w:rFonts w:ascii="Palatino Linotype" w:eastAsia="Palatino Linotype" w:hAnsi="Palatino Linotype" w:cs="Palatino Linotype"/>
          <w:i/>
          <w:sz w:val="22"/>
          <w:szCs w:val="22"/>
        </w:rPr>
        <w:t xml:space="preserve"> de cada año.”</w:t>
      </w:r>
    </w:p>
    <w:p w14:paraId="5CB797E2" w14:textId="77777777" w:rsidR="00AE4FE4" w:rsidRPr="00EB7245" w:rsidRDefault="00AE4FE4">
      <w:pPr>
        <w:spacing w:line="360" w:lineRule="auto"/>
        <w:ind w:left="851" w:right="899"/>
        <w:jc w:val="both"/>
        <w:rPr>
          <w:rFonts w:ascii="Palatino Linotype" w:eastAsia="Palatino Linotype" w:hAnsi="Palatino Linotype" w:cs="Palatino Linotype"/>
          <w:b/>
          <w:i/>
        </w:rPr>
      </w:pPr>
    </w:p>
    <w:p w14:paraId="0A4AA8C0" w14:textId="77777777" w:rsidR="00AE4FE4" w:rsidRPr="00EB7245" w:rsidRDefault="009F5637">
      <w:pPr>
        <w:spacing w:line="360" w:lineRule="auto"/>
        <w:ind w:right="-91"/>
        <w:jc w:val="both"/>
        <w:rPr>
          <w:rFonts w:ascii="Palatino Linotype" w:eastAsia="Palatino Linotype" w:hAnsi="Palatino Linotype" w:cs="Palatino Linotype"/>
        </w:rPr>
      </w:pPr>
      <w:r w:rsidRPr="00EB7245">
        <w:rPr>
          <w:rFonts w:ascii="Palatino Linotype" w:eastAsia="Palatino Linotype" w:hAnsi="Palatino Linotype" w:cs="Palatino Linotype"/>
        </w:rPr>
        <w:lastRenderedPageBreak/>
        <w:t xml:space="preserve">La información </w:t>
      </w:r>
      <w:r w:rsidRPr="00EB7245">
        <w:rPr>
          <w:rFonts w:ascii="Palatino Linotype" w:eastAsia="Palatino Linotype" w:hAnsi="Palatino Linotype" w:cs="Palatino Linotype"/>
          <w:b/>
        </w:rPr>
        <w:t>documental comprobatoria</w:t>
      </w:r>
      <w:r w:rsidRPr="00EB7245">
        <w:rPr>
          <w:rFonts w:ascii="Palatino Linotype" w:eastAsia="Palatino Linotype" w:hAnsi="Palatino Linotype" w:cs="Palatino Linotype"/>
        </w:rPr>
        <w:t xml:space="preserve">, </w:t>
      </w:r>
      <w:r w:rsidRPr="00EB7245">
        <w:rPr>
          <w:rFonts w:ascii="Palatino Linotype" w:eastAsia="Palatino Linotype" w:hAnsi="Palatino Linotype" w:cs="Palatino Linotype"/>
          <w:b/>
        </w:rPr>
        <w:t>deberá conservarse en los archivos de la entidad fiscalizada –Municipio</w:t>
      </w:r>
      <w:r w:rsidRPr="00EB7245">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6D387396" w14:textId="77777777" w:rsidR="00AE4FE4" w:rsidRPr="00EB7245" w:rsidRDefault="00AE4FE4">
      <w:pPr>
        <w:spacing w:line="360" w:lineRule="auto"/>
        <w:ind w:right="-91"/>
        <w:jc w:val="both"/>
        <w:rPr>
          <w:rFonts w:ascii="Palatino Linotype" w:eastAsia="Palatino Linotype" w:hAnsi="Palatino Linotype" w:cs="Palatino Linotype"/>
        </w:rPr>
      </w:pPr>
    </w:p>
    <w:p w14:paraId="29B73748" w14:textId="77777777" w:rsidR="00AE4FE4" w:rsidRPr="00EB7245" w:rsidRDefault="009F5637">
      <w:pPr>
        <w:spacing w:line="360" w:lineRule="auto"/>
        <w:ind w:right="-91"/>
        <w:jc w:val="both"/>
        <w:rPr>
          <w:rFonts w:ascii="Palatino Linotype" w:eastAsia="Palatino Linotype" w:hAnsi="Palatino Linotype" w:cs="Palatino Linotype"/>
        </w:rPr>
      </w:pPr>
      <w:r w:rsidRPr="00EB7245">
        <w:rPr>
          <w:rFonts w:ascii="Palatino Linotype" w:eastAsia="Palatino Linotype" w:hAnsi="Palatino Linotype" w:cs="Palatino Linotype"/>
        </w:rPr>
        <w:t>Ahora, por cuanto hace a la Balanza de Comprobación Detallada, es oportuno situar lo dispuesto por el artículo 350 del Código Financiero del Estado de México y Municipios, el cual establece que la Secretaría y las tesorerías enviarán al Órgano Superior su información patrimonial, presupuestal, de obra pública, de nómina y del cumplimiento a su Plan de Desarrollo del Estado de México, tal como se observa a continuación:</w:t>
      </w:r>
    </w:p>
    <w:p w14:paraId="74D08D4F" w14:textId="77777777" w:rsidR="00AE4FE4" w:rsidRPr="00EB7245" w:rsidRDefault="00AE4FE4">
      <w:pPr>
        <w:spacing w:line="360" w:lineRule="auto"/>
        <w:ind w:right="-91"/>
        <w:jc w:val="both"/>
        <w:rPr>
          <w:rFonts w:ascii="Palatino Linotype" w:eastAsia="Palatino Linotype" w:hAnsi="Palatino Linotype" w:cs="Palatino Linotype"/>
        </w:rPr>
      </w:pPr>
    </w:p>
    <w:p w14:paraId="7FCA0CD3"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b/>
          <w:i/>
          <w:sz w:val="22"/>
          <w:szCs w:val="22"/>
        </w:rPr>
        <w:t>Artículo 350</w:t>
      </w:r>
      <w:r w:rsidRPr="00EB7245">
        <w:rPr>
          <w:rFonts w:ascii="Palatino Linotype" w:eastAsia="Palatino Linotype" w:hAnsi="Palatino Linotype" w:cs="Palatino Linotype"/>
          <w:b/>
          <w:i/>
          <w:sz w:val="22"/>
          <w:szCs w:val="22"/>
          <w:u w:val="single"/>
        </w:rPr>
        <w:t>.- La Secretaría y las tesorerías enviarán al Órgano Superior</w:t>
      </w:r>
      <w:r w:rsidRPr="00EB7245">
        <w:rPr>
          <w:rFonts w:ascii="Palatino Linotype" w:eastAsia="Palatino Linotype" w:hAnsi="Palatino Linotype" w:cs="Palatino Linotype"/>
          <w:i/>
          <w:sz w:val="22"/>
          <w:szCs w:val="22"/>
        </w:rPr>
        <w:t>, de manera trimestral, dentro de los primeros veinte días hábiles posteriores al término del trimestre que se informa, para su análisis, la siguiente información: </w:t>
      </w:r>
    </w:p>
    <w:p w14:paraId="055B080C"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i/>
          <w:sz w:val="22"/>
          <w:szCs w:val="22"/>
        </w:rPr>
        <w:t>I. Patrimonial. </w:t>
      </w:r>
    </w:p>
    <w:p w14:paraId="10505E8C"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i/>
          <w:sz w:val="22"/>
          <w:szCs w:val="22"/>
        </w:rPr>
        <w:t>II. Presupuestal. </w:t>
      </w:r>
    </w:p>
    <w:p w14:paraId="7647DE73"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i/>
          <w:sz w:val="22"/>
          <w:szCs w:val="22"/>
        </w:rPr>
        <w:t>III. De la obra pública. </w:t>
      </w:r>
    </w:p>
    <w:p w14:paraId="3E2DC775"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i/>
          <w:sz w:val="22"/>
          <w:szCs w:val="22"/>
        </w:rPr>
        <w:t>IV. De nómina. </w:t>
      </w:r>
    </w:p>
    <w:p w14:paraId="7D4999B5"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i/>
          <w:sz w:val="22"/>
          <w:szCs w:val="22"/>
        </w:rPr>
        <w:t>V. Avance del cumplimiento del Plan de Desarrollo del Estado de México. </w:t>
      </w:r>
    </w:p>
    <w:p w14:paraId="0B9ABC87" w14:textId="77777777" w:rsidR="00AE4FE4" w:rsidRPr="00EB7245" w:rsidRDefault="009F5637">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EB7245">
        <w:rPr>
          <w:rFonts w:ascii="Palatino Linotype" w:eastAsia="Palatino Linotype" w:hAnsi="Palatino Linotype" w:cs="Palatino Linotype"/>
          <w:i/>
          <w:sz w:val="22"/>
          <w:szCs w:val="22"/>
        </w:rPr>
        <w:t xml:space="preserve">Los informes trimestrales deberán contener la evolución de las finanzas públicas integradas con los comentarios correspondientes y los estados financieros consolidados, así como un reporte de los ingresos y egresos de los organismos auxiliares. </w:t>
      </w:r>
    </w:p>
    <w:p w14:paraId="4A3F3F9D" w14:textId="77777777" w:rsidR="00AE4FE4" w:rsidRPr="00EB7245" w:rsidRDefault="009F5637">
      <w:pPr>
        <w:pBdr>
          <w:top w:val="nil"/>
          <w:left w:val="nil"/>
          <w:bottom w:val="nil"/>
          <w:right w:val="nil"/>
          <w:between w:val="nil"/>
        </w:pBdr>
        <w:spacing w:line="276" w:lineRule="auto"/>
        <w:ind w:left="567" w:right="567"/>
        <w:jc w:val="both"/>
      </w:pPr>
      <w:r w:rsidRPr="00EB7245">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p>
    <w:p w14:paraId="77784931" w14:textId="77777777" w:rsidR="00AE4FE4" w:rsidRPr="00EB7245" w:rsidRDefault="00AE4FE4">
      <w:pPr>
        <w:spacing w:line="360" w:lineRule="auto"/>
        <w:ind w:right="-91"/>
        <w:jc w:val="both"/>
        <w:rPr>
          <w:rFonts w:ascii="Palatino Linotype" w:eastAsia="Palatino Linotype" w:hAnsi="Palatino Linotype" w:cs="Palatino Linotype"/>
        </w:rPr>
      </w:pPr>
    </w:p>
    <w:p w14:paraId="5C9CD0DD" w14:textId="77777777" w:rsidR="00AE4FE4" w:rsidRPr="00EB7245" w:rsidRDefault="009F563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En ese contexto, en los Lineamientos para la Integración y Entrega del Informe Trimestral Municipal, se advierte que el Módulo 1 “Información contable y </w:t>
      </w:r>
      <w:r w:rsidRPr="00EB7245">
        <w:rPr>
          <w:rFonts w:ascii="Palatino Linotype" w:eastAsia="Palatino Linotype" w:hAnsi="Palatino Linotype" w:cs="Palatino Linotype"/>
        </w:rPr>
        <w:lastRenderedPageBreak/>
        <w:t>financiera”, se integrará por diversos documentos, entre los que se encuentra la Balanza de Comprobación Detallada, tal como se muestra a continuación:</w:t>
      </w:r>
    </w:p>
    <w:p w14:paraId="07059611" w14:textId="77777777" w:rsidR="00AE4FE4" w:rsidRPr="00EB7245" w:rsidRDefault="00AE4FE4">
      <w:pPr>
        <w:pBdr>
          <w:top w:val="nil"/>
          <w:left w:val="nil"/>
          <w:bottom w:val="nil"/>
          <w:right w:val="nil"/>
          <w:between w:val="nil"/>
        </w:pBdr>
        <w:spacing w:line="360" w:lineRule="auto"/>
        <w:ind w:right="49"/>
        <w:jc w:val="both"/>
      </w:pPr>
    </w:p>
    <w:p w14:paraId="7C5AAD3D" w14:textId="77777777" w:rsidR="00AE4FE4" w:rsidRPr="00EB7245" w:rsidRDefault="009F5637">
      <w:pPr>
        <w:pBdr>
          <w:top w:val="nil"/>
          <w:left w:val="nil"/>
          <w:bottom w:val="nil"/>
          <w:right w:val="nil"/>
          <w:between w:val="nil"/>
        </w:pBdr>
        <w:spacing w:line="360" w:lineRule="auto"/>
        <w:ind w:right="49"/>
        <w:jc w:val="both"/>
      </w:pPr>
      <w:r w:rsidRPr="00EB7245">
        <w:rPr>
          <w:rFonts w:ascii="Palatino Linotype" w:eastAsia="Palatino Linotype" w:hAnsi="Palatino Linotype" w:cs="Palatino Linotype"/>
          <w:noProof/>
          <w:lang w:val="es-MX" w:eastAsia="es-MX"/>
        </w:rPr>
        <w:drawing>
          <wp:inline distT="0" distB="0" distL="0" distR="0" wp14:anchorId="61CD6853" wp14:editId="20282E64">
            <wp:extent cx="5487967" cy="1733837"/>
            <wp:effectExtent l="0" t="0" r="0" b="0"/>
            <wp:docPr id="43" name="image3.png" descr="https://lh7-us.googleusercontent.com/1_vqP5fMCDg9o0qTtYPlNGDL7N_KXj2V0ti3Q-t2AfwhnXa6yzVkrGeAjp1iHU8PUKQVXObipqK2X8mhB-c4-imC9W5NddJDztv320tUIeB1M48kxrZp_p_xOfKBTegAf58DSu8-naN5rEExVlMJ"/>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1_vqP5fMCDg9o0qTtYPlNGDL7N_KXj2V0ti3Q-t2AfwhnXa6yzVkrGeAjp1iHU8PUKQVXObipqK2X8mhB-c4-imC9W5NddJDztv320tUIeB1M48kxrZp_p_xOfKBTegAf58DSu8-naN5rEExVlMJ"/>
                    <pic:cNvPicPr preferRelativeResize="0"/>
                  </pic:nvPicPr>
                  <pic:blipFill>
                    <a:blip r:embed="rId8"/>
                    <a:srcRect/>
                    <a:stretch>
                      <a:fillRect/>
                    </a:stretch>
                  </pic:blipFill>
                  <pic:spPr>
                    <a:xfrm>
                      <a:off x="0" y="0"/>
                      <a:ext cx="5487967" cy="1733837"/>
                    </a:xfrm>
                    <a:prstGeom prst="rect">
                      <a:avLst/>
                    </a:prstGeom>
                    <a:ln/>
                  </pic:spPr>
                </pic:pic>
              </a:graphicData>
            </a:graphic>
          </wp:inline>
        </w:drawing>
      </w:r>
    </w:p>
    <w:p w14:paraId="3DB4FDAA" w14:textId="77777777" w:rsidR="00AE4FE4" w:rsidRPr="00EB7245" w:rsidRDefault="00AE4FE4">
      <w:pPr>
        <w:spacing w:line="360" w:lineRule="auto"/>
      </w:pPr>
    </w:p>
    <w:p w14:paraId="63742A03" w14:textId="77777777" w:rsidR="00AE4FE4" w:rsidRPr="00EB7245" w:rsidRDefault="009F5637">
      <w:pPr>
        <w:pBdr>
          <w:top w:val="nil"/>
          <w:left w:val="nil"/>
          <w:bottom w:val="nil"/>
          <w:right w:val="nil"/>
          <w:between w:val="nil"/>
        </w:pBdr>
        <w:spacing w:line="360" w:lineRule="auto"/>
        <w:ind w:right="49"/>
        <w:jc w:val="both"/>
      </w:pPr>
      <w:r w:rsidRPr="00EB7245">
        <w:rPr>
          <w:rFonts w:ascii="Palatino Linotype" w:eastAsia="Palatino Linotype" w:hAnsi="Palatino Linotype" w:cs="Palatino Linotype"/>
        </w:rPr>
        <w:t>Documento que de conformidad con el Instructivo de llenado de los Lineamientos, tiene como finalidad clasificar operaciones por cuenta y subcuentas, así como conocer el movimiento y saldo de estas, por lo que, se integrará de los siguientes datos: </w:t>
      </w:r>
    </w:p>
    <w:p w14:paraId="7A7CAB53" w14:textId="77777777" w:rsidR="00AE4FE4" w:rsidRPr="00EB7245" w:rsidRDefault="00AE4FE4"/>
    <w:p w14:paraId="1BC5811F"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w:t>
      </w:r>
      <w:r w:rsidRPr="00EB7245">
        <w:rPr>
          <w:rFonts w:ascii="Palatino Linotype" w:eastAsia="Palatino Linotype" w:hAnsi="Palatino Linotype" w:cs="Palatino Linotype"/>
          <w:b/>
          <w:i/>
          <w:sz w:val="22"/>
          <w:szCs w:val="22"/>
        </w:rPr>
        <w:t>Finalidad: consisten en clasificar las operaciones por cuenta y subcuentas estas se presentarán hasta quinto nivel de tal manera que puedan conocer el movimiento y saldo de cada una de ellas y así garantizar la veracidad de la contabilidad</w:t>
      </w:r>
      <w:r w:rsidRPr="00EB7245">
        <w:rPr>
          <w:rFonts w:ascii="Palatino Linotype" w:eastAsia="Palatino Linotype" w:hAnsi="Palatino Linotype" w:cs="Palatino Linotype"/>
          <w:i/>
          <w:sz w:val="22"/>
          <w:szCs w:val="22"/>
        </w:rPr>
        <w:t>. Se realizarán contemplando el trimestre, acumulando los meses del trimestre al que corresponda”. </w:t>
      </w:r>
    </w:p>
    <w:p w14:paraId="02F74062" w14:textId="77777777" w:rsidR="00AE4FE4" w:rsidRPr="00EB7245" w:rsidRDefault="00AE4FE4">
      <w:pPr>
        <w:spacing w:line="276" w:lineRule="auto"/>
        <w:ind w:left="851" w:right="616"/>
      </w:pPr>
    </w:p>
    <w:p w14:paraId="626D92F7"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1. Topónimo del Ente Público Representación gráfica que refiere al ente público. </w:t>
      </w:r>
    </w:p>
    <w:p w14:paraId="20AC03BF"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2. Tipo, Nombre y Número del Ente Público Corresponde al tipo, nombre y número del ente público que emite el Anexo Financiero. </w:t>
      </w:r>
    </w:p>
    <w:p w14:paraId="02188417"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3. Balanza de Comprobación Detallada Acumulada Trimestral Nombre del Anexo Financiero. </w:t>
      </w:r>
    </w:p>
    <w:p w14:paraId="019027B2"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4. Del XXXX al XXXX Anotar el periodo que comprende la información que se presenta en la Balanza de Comprobación Detallada Acumulada Trimestral. </w:t>
      </w:r>
    </w:p>
    <w:p w14:paraId="124F9A22"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lastRenderedPageBreak/>
        <w:t>5. Cuenta En las primeras columnas se establece los números de las cuentas, a primer nivel y los nombres de las mismas, es decir, se definen los conceptos que tienen movimientos y saldos al final de un periodo. </w:t>
      </w:r>
    </w:p>
    <w:p w14:paraId="12D8B2E3"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6. Nombre de la Cuenta Muestra el nombre de las Cuentas. </w:t>
      </w:r>
    </w:p>
    <w:p w14:paraId="1E535915"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7. Saldo Inicial Se registran cuáles son los saldos iniciales de dichas cuentas, según sean saldos deudores o saldos acreedores. </w:t>
      </w:r>
    </w:p>
    <w:p w14:paraId="7E8D4383"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8. Movimientos Se muestran los movimientos Debe o Haber que se han realizado a las cuentas cada mes. </w:t>
      </w:r>
    </w:p>
    <w:p w14:paraId="0C63F68C"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9. Saldo Se presenta el saldo de cada cuenta tras los movimientos contables. Recordar que el efecto de los movimientos varía según el tipo de cuenta cada mes. </w:t>
      </w:r>
    </w:p>
    <w:p w14:paraId="71F6195F"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10. Saldo Final Se registran los saldos finales de dichas cuentas, según sean saldos deudores o saldos acreedores. </w:t>
      </w:r>
    </w:p>
    <w:p w14:paraId="09383A6A"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11. Total Se presenta debajo de las cuentas se debe realizar la suma de las cuentas. Recordar que para que la balanza de comprobación sea correcta, la suma de los saldos deudores y acreedores debe de ser igual, lo mismo para los Debes y Haberes. </w:t>
      </w:r>
    </w:p>
    <w:p w14:paraId="4D25B35F" w14:textId="77777777" w:rsidR="00AE4FE4" w:rsidRPr="00EB7245" w:rsidRDefault="009F5637">
      <w:pPr>
        <w:pBdr>
          <w:top w:val="nil"/>
          <w:left w:val="nil"/>
          <w:bottom w:val="nil"/>
          <w:right w:val="nil"/>
          <w:between w:val="nil"/>
        </w:pBdr>
        <w:spacing w:line="276" w:lineRule="auto"/>
        <w:ind w:left="851" w:right="616"/>
        <w:jc w:val="both"/>
      </w:pPr>
      <w:r w:rsidRPr="00EB7245">
        <w:rPr>
          <w:rFonts w:ascii="Palatino Linotype" w:eastAsia="Palatino Linotype" w:hAnsi="Palatino Linotype" w:cs="Palatino Linotype"/>
          <w:i/>
          <w:sz w:val="22"/>
          <w:szCs w:val="22"/>
        </w:rPr>
        <w:t>Se realizarán contemplando el trimestre y cada mes tendrá las columnas descritas con anterioridad, acumulando los meses del trimestre al que corresponda.” (Sic)</w:t>
      </w:r>
    </w:p>
    <w:p w14:paraId="3A5F2C90" w14:textId="77777777" w:rsidR="00AE4FE4" w:rsidRPr="00EB7245" w:rsidRDefault="00AE4FE4"/>
    <w:p w14:paraId="703D5D1D" w14:textId="77777777" w:rsidR="00AE4FE4" w:rsidRPr="00EB7245" w:rsidRDefault="009F5637">
      <w:pPr>
        <w:pBdr>
          <w:top w:val="nil"/>
          <w:left w:val="nil"/>
          <w:bottom w:val="nil"/>
          <w:right w:val="nil"/>
          <w:between w:val="nil"/>
        </w:pBdr>
        <w:spacing w:line="360" w:lineRule="auto"/>
        <w:ind w:right="49"/>
        <w:jc w:val="both"/>
      </w:pPr>
      <w:r w:rsidRPr="00EB7245">
        <w:rPr>
          <w:rFonts w:ascii="Palatino Linotype" w:eastAsia="Palatino Linotype" w:hAnsi="Palatino Linotype" w:cs="Palatino Linotype"/>
        </w:rPr>
        <w:t>Conforme a ello, se advierte que el Ayuntamiento de Coacalco de Berriozábal está obligado a generar y poseer el documento requerido, a saber, la Balanza de Comprobación Detallada acumulada Trimestral, el cual debe presentar al Órgano Superior de Fiscalización mediante los Informes Trimestrales, que son enviados a través de su Tesorería Municipal. </w:t>
      </w:r>
    </w:p>
    <w:p w14:paraId="7D2A0257" w14:textId="77777777" w:rsidR="00AE4FE4" w:rsidRPr="00EB7245" w:rsidRDefault="00AE4FE4">
      <w:pPr>
        <w:spacing w:line="360" w:lineRule="auto"/>
        <w:ind w:right="-91"/>
        <w:jc w:val="both"/>
      </w:pPr>
    </w:p>
    <w:p w14:paraId="4FA8B785" w14:textId="77777777" w:rsidR="00AE4FE4" w:rsidRPr="00EB7245" w:rsidRDefault="009F5637">
      <w:pPr>
        <w:spacing w:line="360" w:lineRule="auto"/>
        <w:ind w:right="-91"/>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Bajo esa premisa, cabe recordar que de los documentos proporcionados en respuesta por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no colmaron la pretensión de la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xml:space="preserve">, toda vez que a su decir de la Recurrente, las operaciones registradas dentro de las balanzas entregadas no se encuentran clasificadas por cuenta y subcuenta hasta el quinto nivel; tal y como se advierte de la siguiente imagen: </w:t>
      </w:r>
    </w:p>
    <w:p w14:paraId="16954329" w14:textId="77777777" w:rsidR="00AE4FE4" w:rsidRPr="00EB7245" w:rsidRDefault="00AE4FE4">
      <w:pPr>
        <w:spacing w:line="360" w:lineRule="auto"/>
        <w:ind w:right="-91"/>
        <w:jc w:val="both"/>
        <w:rPr>
          <w:rFonts w:ascii="Palatino Linotype" w:eastAsia="Palatino Linotype" w:hAnsi="Palatino Linotype" w:cs="Palatino Linotype"/>
        </w:rPr>
      </w:pPr>
    </w:p>
    <w:p w14:paraId="773E2733" w14:textId="77777777" w:rsidR="00AE4FE4" w:rsidRPr="00EB7245" w:rsidRDefault="009F5637">
      <w:pPr>
        <w:spacing w:line="360" w:lineRule="auto"/>
        <w:ind w:right="-91"/>
        <w:jc w:val="both"/>
        <w:rPr>
          <w:rFonts w:ascii="Palatino Linotype" w:eastAsia="Palatino Linotype" w:hAnsi="Palatino Linotype" w:cs="Palatino Linotype"/>
        </w:rPr>
      </w:pPr>
      <w:r w:rsidRPr="00EB7245">
        <w:rPr>
          <w:rFonts w:ascii="Palatino Linotype" w:eastAsia="Palatino Linotype" w:hAnsi="Palatino Linotype" w:cs="Palatino Linotype"/>
          <w:noProof/>
          <w:lang w:val="es-MX" w:eastAsia="es-MX"/>
        </w:rPr>
        <w:drawing>
          <wp:inline distT="0" distB="0" distL="0" distR="0" wp14:anchorId="40887DEE" wp14:editId="4F53F7DD">
            <wp:extent cx="5612130" cy="148971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489710"/>
                    </a:xfrm>
                    <a:prstGeom prst="rect">
                      <a:avLst/>
                    </a:prstGeom>
                    <a:ln/>
                  </pic:spPr>
                </pic:pic>
              </a:graphicData>
            </a:graphic>
          </wp:inline>
        </w:drawing>
      </w:r>
      <w:r w:rsidRPr="00EB7245">
        <w:rPr>
          <w:noProof/>
          <w:lang w:val="es-MX" w:eastAsia="es-MX"/>
        </w:rPr>
        <mc:AlternateContent>
          <mc:Choice Requires="wpg">
            <w:drawing>
              <wp:anchor distT="0" distB="0" distL="114300" distR="114300" simplePos="0" relativeHeight="251658240" behindDoc="0" locked="0" layoutInCell="1" hidden="0" allowOverlap="1" wp14:anchorId="6358C268" wp14:editId="5F2709EA">
                <wp:simplePos x="0" y="0"/>
                <wp:positionH relativeFrom="column">
                  <wp:posOffset>3086100</wp:posOffset>
                </wp:positionH>
                <wp:positionV relativeFrom="paragraph">
                  <wp:posOffset>622300</wp:posOffset>
                </wp:positionV>
                <wp:extent cx="209559" cy="837915"/>
                <wp:effectExtent l="0" t="0" r="0" b="0"/>
                <wp:wrapNone/>
                <wp:docPr id="37" name="Rectángulo 37"/>
                <wp:cNvGraphicFramePr/>
                <a:graphic xmlns:a="http://schemas.openxmlformats.org/drawingml/2006/main">
                  <a:graphicData uri="http://schemas.microsoft.com/office/word/2010/wordprocessingShape">
                    <wps:wsp>
                      <wps:cNvSpPr/>
                      <wps:spPr>
                        <a:xfrm>
                          <a:off x="5250746" y="3370568"/>
                          <a:ext cx="190509" cy="818865"/>
                        </a:xfrm>
                        <a:prstGeom prst="rect">
                          <a:avLst/>
                        </a:prstGeom>
                        <a:noFill/>
                        <a:ln w="19050" cap="flat" cmpd="sng">
                          <a:solidFill>
                            <a:srgbClr val="FF0000"/>
                          </a:solidFill>
                          <a:prstDash val="solid"/>
                          <a:miter lim="800000"/>
                          <a:headEnd type="none" w="sm" len="sm"/>
                          <a:tailEnd type="none" w="sm" len="sm"/>
                        </a:ln>
                      </wps:spPr>
                      <wps:txbx>
                        <w:txbxContent>
                          <w:p w14:paraId="69B42FAD"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3086100</wp:posOffset>
                </wp:positionH>
                <wp:positionV relativeFrom="paragraph">
                  <wp:posOffset>622300</wp:posOffset>
                </wp:positionV>
                <wp:extent cx="209559" cy="837915"/>
                <wp:effectExtent b="0" l="0" r="0" t="0"/>
                <wp:wrapNone/>
                <wp:docPr id="37"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09559" cy="837915"/>
                        </a:xfrm>
                        <a:prstGeom prst="rect"/>
                        <a:ln/>
                      </pic:spPr>
                    </pic:pic>
                  </a:graphicData>
                </a:graphic>
              </wp:anchor>
            </w:drawing>
          </mc:Fallback>
        </mc:AlternateContent>
      </w:r>
    </w:p>
    <w:p w14:paraId="2672CF48" w14:textId="77777777" w:rsidR="00AE4FE4" w:rsidRPr="00EB7245" w:rsidRDefault="009F5637">
      <w:pPr>
        <w:spacing w:line="360" w:lineRule="auto"/>
        <w:jc w:val="center"/>
        <w:rPr>
          <w:rFonts w:ascii="Palatino Linotype" w:eastAsia="Palatino Linotype" w:hAnsi="Palatino Linotype" w:cs="Palatino Linotype"/>
        </w:rPr>
      </w:pPr>
      <w:r w:rsidRPr="00EB7245">
        <w:rPr>
          <w:rFonts w:ascii="Palatino Linotype" w:eastAsia="Palatino Linotype" w:hAnsi="Palatino Linotype" w:cs="Palatino Linotype"/>
          <w:noProof/>
          <w:lang w:val="es-MX" w:eastAsia="es-MX"/>
        </w:rPr>
        <w:drawing>
          <wp:inline distT="0" distB="0" distL="0" distR="0" wp14:anchorId="77B432B1" wp14:editId="5709A497">
            <wp:extent cx="5358568" cy="4869361"/>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58568" cy="4869361"/>
                    </a:xfrm>
                    <a:prstGeom prst="rect">
                      <a:avLst/>
                    </a:prstGeom>
                    <a:ln/>
                  </pic:spPr>
                </pic:pic>
              </a:graphicData>
            </a:graphic>
          </wp:inline>
        </w:drawing>
      </w:r>
      <w:r w:rsidRPr="00EB7245">
        <w:rPr>
          <w:noProof/>
          <w:lang w:val="es-MX" w:eastAsia="es-MX"/>
        </w:rPr>
        <mc:AlternateContent>
          <mc:Choice Requires="wpg">
            <w:drawing>
              <wp:anchor distT="0" distB="0" distL="114300" distR="114300" simplePos="0" relativeHeight="251659264" behindDoc="0" locked="0" layoutInCell="1" hidden="0" allowOverlap="1" wp14:anchorId="27FC0B1A" wp14:editId="0B429A8C">
                <wp:simplePos x="0" y="0"/>
                <wp:positionH relativeFrom="column">
                  <wp:posOffset>177800</wp:posOffset>
                </wp:positionH>
                <wp:positionV relativeFrom="paragraph">
                  <wp:posOffset>863600</wp:posOffset>
                </wp:positionV>
                <wp:extent cx="1383342" cy="3866431"/>
                <wp:effectExtent l="0" t="0" r="0" b="0"/>
                <wp:wrapNone/>
                <wp:docPr id="40" name="Rectángulo 40"/>
                <wp:cNvGraphicFramePr/>
                <a:graphic xmlns:a="http://schemas.openxmlformats.org/drawingml/2006/main">
                  <a:graphicData uri="http://schemas.microsoft.com/office/word/2010/wordprocessingShape">
                    <wps:wsp>
                      <wps:cNvSpPr/>
                      <wps:spPr>
                        <a:xfrm>
                          <a:off x="4663854" y="1856310"/>
                          <a:ext cx="1364292" cy="3847381"/>
                        </a:xfrm>
                        <a:prstGeom prst="rect">
                          <a:avLst/>
                        </a:prstGeom>
                        <a:noFill/>
                        <a:ln w="19050" cap="flat" cmpd="sng">
                          <a:solidFill>
                            <a:srgbClr val="FF0000"/>
                          </a:solidFill>
                          <a:prstDash val="solid"/>
                          <a:miter lim="800000"/>
                          <a:headEnd type="none" w="sm" len="sm"/>
                          <a:tailEnd type="none" w="sm" len="sm"/>
                        </a:ln>
                      </wps:spPr>
                      <wps:txbx>
                        <w:txbxContent>
                          <w:p w14:paraId="52EC22A8"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863600</wp:posOffset>
                </wp:positionV>
                <wp:extent cx="1383342" cy="3866431"/>
                <wp:effectExtent b="0" l="0" r="0" t="0"/>
                <wp:wrapNone/>
                <wp:docPr id="40"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383342" cy="3866431"/>
                        </a:xfrm>
                        <a:prstGeom prst="rect"/>
                        <a:ln/>
                      </pic:spPr>
                    </pic:pic>
                  </a:graphicData>
                </a:graphic>
              </wp:anchor>
            </w:drawing>
          </mc:Fallback>
        </mc:AlternateContent>
      </w:r>
    </w:p>
    <w:p w14:paraId="1D86CB75" w14:textId="77777777" w:rsidR="00AE4FE4" w:rsidRPr="00EB7245" w:rsidRDefault="00AE4FE4">
      <w:pPr>
        <w:spacing w:line="360" w:lineRule="auto"/>
        <w:jc w:val="both"/>
        <w:rPr>
          <w:rFonts w:ascii="Palatino Linotype" w:eastAsia="Palatino Linotype" w:hAnsi="Palatino Linotype" w:cs="Palatino Linotype"/>
        </w:rPr>
      </w:pPr>
    </w:p>
    <w:p w14:paraId="57381A39"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lastRenderedPageBreak/>
        <w:t xml:space="preserve">Ahora bien, y para un mejor estudio, esta Ponencia Resolutora procedió a revisar las Balanzas entregadas en comparativa con los formatos contenidos en los Lineamientos señalados con anterioridad, resultando que la información es coincidente con la requerida pero únicamente incompleta, toda vez que de la búsqueda de las Balanzas de Comprobación Detallada en la página Oficial del Ayuntamiento de Coacalco, específicamente en el apartado de Transparencia y consultable en la siguiente liga electrónica </w:t>
      </w:r>
      <w:hyperlink r:id="rId13">
        <w:r w:rsidRPr="00EB7245">
          <w:rPr>
            <w:rFonts w:ascii="Palatino Linotype" w:eastAsia="Palatino Linotype" w:hAnsi="Palatino Linotype" w:cs="Palatino Linotype"/>
            <w:u w:val="single"/>
          </w:rPr>
          <w:t>https://coacalco.gob.mx/wp-content/uploads/2022/08/BALANZA-DE-COMPROBACION-DETALLADA-MARZO-2018.pdf</w:t>
        </w:r>
      </w:hyperlink>
      <w:r w:rsidRPr="00EB7245">
        <w:rPr>
          <w:rFonts w:ascii="Palatino Linotype" w:eastAsia="Palatino Linotype" w:hAnsi="Palatino Linotype" w:cs="Palatino Linotype"/>
        </w:rPr>
        <w:t xml:space="preserve">, se advierte que a manera de ejemplo para el mes de marzo del año 2023, algunos de los rubros solicitados si se encuentran llenos, aunado a que del archivo que adjunta en respuesta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se advierten 14 hojas para dicho mes y en la página se advierten 155; tal y como se muestra a continuación: </w:t>
      </w:r>
    </w:p>
    <w:p w14:paraId="1E52EAEE" w14:textId="77777777" w:rsidR="00AE4FE4" w:rsidRPr="00EB7245" w:rsidRDefault="00AE4FE4">
      <w:pPr>
        <w:spacing w:line="360" w:lineRule="auto"/>
        <w:jc w:val="both"/>
        <w:rPr>
          <w:rFonts w:ascii="Palatino Linotype" w:eastAsia="Palatino Linotype" w:hAnsi="Palatino Linotype" w:cs="Palatino Linotype"/>
        </w:rPr>
      </w:pPr>
    </w:p>
    <w:p w14:paraId="6E0B675A"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noProof/>
          <w:lang w:val="es-MX" w:eastAsia="es-MX"/>
        </w:rPr>
        <w:drawing>
          <wp:inline distT="0" distB="0" distL="0" distR="0" wp14:anchorId="152FA5E2" wp14:editId="5FFB8B58">
            <wp:extent cx="5612130" cy="3132455"/>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3132455"/>
                    </a:xfrm>
                    <a:prstGeom prst="rect">
                      <a:avLst/>
                    </a:prstGeom>
                    <a:ln/>
                  </pic:spPr>
                </pic:pic>
              </a:graphicData>
            </a:graphic>
          </wp:inline>
        </w:drawing>
      </w:r>
      <w:r w:rsidRPr="00EB7245">
        <w:rPr>
          <w:noProof/>
          <w:lang w:val="es-MX" w:eastAsia="es-MX"/>
        </w:rPr>
        <mc:AlternateContent>
          <mc:Choice Requires="wpg">
            <w:drawing>
              <wp:anchor distT="0" distB="0" distL="114300" distR="114300" simplePos="0" relativeHeight="251660288" behindDoc="0" locked="0" layoutInCell="1" hidden="0" allowOverlap="1" wp14:anchorId="501D8A4E" wp14:editId="184FBC4A">
                <wp:simplePos x="0" y="0"/>
                <wp:positionH relativeFrom="column">
                  <wp:posOffset>50801</wp:posOffset>
                </wp:positionH>
                <wp:positionV relativeFrom="paragraph">
                  <wp:posOffset>977900</wp:posOffset>
                </wp:positionV>
                <wp:extent cx="2168573" cy="94113"/>
                <wp:effectExtent l="0" t="0" r="0" b="0"/>
                <wp:wrapNone/>
                <wp:docPr id="33" name="Rectángulo 33"/>
                <wp:cNvGraphicFramePr/>
                <a:graphic xmlns:a="http://schemas.openxmlformats.org/drawingml/2006/main">
                  <a:graphicData uri="http://schemas.microsoft.com/office/word/2010/wordprocessingShape">
                    <wps:wsp>
                      <wps:cNvSpPr/>
                      <wps:spPr>
                        <a:xfrm>
                          <a:off x="4271239" y="3742469"/>
                          <a:ext cx="2149523" cy="75063"/>
                        </a:xfrm>
                        <a:prstGeom prst="rect">
                          <a:avLst/>
                        </a:prstGeom>
                        <a:noFill/>
                        <a:ln w="19050" cap="flat" cmpd="sng">
                          <a:solidFill>
                            <a:srgbClr val="FF0000"/>
                          </a:solidFill>
                          <a:prstDash val="solid"/>
                          <a:miter lim="800000"/>
                          <a:headEnd type="none" w="sm" len="sm"/>
                          <a:tailEnd type="none" w="sm" len="sm"/>
                        </a:ln>
                      </wps:spPr>
                      <wps:txbx>
                        <w:txbxContent>
                          <w:p w14:paraId="6C1B1468"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977900</wp:posOffset>
                </wp:positionV>
                <wp:extent cx="2168573" cy="94113"/>
                <wp:effectExtent b="0" l="0" r="0" t="0"/>
                <wp:wrapNone/>
                <wp:docPr id="3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168573" cy="94113"/>
                        </a:xfrm>
                        <a:prstGeom prst="rect"/>
                        <a:ln/>
                      </pic:spPr>
                    </pic:pic>
                  </a:graphicData>
                </a:graphic>
              </wp:anchor>
            </w:drawing>
          </mc:Fallback>
        </mc:AlternateContent>
      </w:r>
      <w:r w:rsidRPr="00EB7245">
        <w:rPr>
          <w:noProof/>
          <w:lang w:val="es-MX" w:eastAsia="es-MX"/>
        </w:rPr>
        <mc:AlternateContent>
          <mc:Choice Requires="wpg">
            <w:drawing>
              <wp:anchor distT="0" distB="0" distL="114300" distR="114300" simplePos="0" relativeHeight="251661312" behindDoc="0" locked="0" layoutInCell="1" hidden="0" allowOverlap="1" wp14:anchorId="45F71037" wp14:editId="3235E3B3">
                <wp:simplePos x="0" y="0"/>
                <wp:positionH relativeFrom="column">
                  <wp:posOffset>5118100</wp:posOffset>
                </wp:positionH>
                <wp:positionV relativeFrom="paragraph">
                  <wp:posOffset>2971800</wp:posOffset>
                </wp:positionV>
                <wp:extent cx="510370" cy="162351"/>
                <wp:effectExtent l="0" t="0" r="0" b="0"/>
                <wp:wrapNone/>
                <wp:docPr id="35" name="Rectángulo 35"/>
                <wp:cNvGraphicFramePr/>
                <a:graphic xmlns:a="http://schemas.openxmlformats.org/drawingml/2006/main">
                  <a:graphicData uri="http://schemas.microsoft.com/office/word/2010/wordprocessingShape">
                    <wps:wsp>
                      <wps:cNvSpPr/>
                      <wps:spPr>
                        <a:xfrm>
                          <a:off x="5100340" y="3708350"/>
                          <a:ext cx="491320" cy="143301"/>
                        </a:xfrm>
                        <a:prstGeom prst="rect">
                          <a:avLst/>
                        </a:prstGeom>
                        <a:noFill/>
                        <a:ln w="19050" cap="flat" cmpd="sng">
                          <a:solidFill>
                            <a:srgbClr val="FF0000"/>
                          </a:solidFill>
                          <a:prstDash val="solid"/>
                          <a:miter lim="800000"/>
                          <a:headEnd type="none" w="sm" len="sm"/>
                          <a:tailEnd type="none" w="sm" len="sm"/>
                        </a:ln>
                      </wps:spPr>
                      <wps:txbx>
                        <w:txbxContent>
                          <w:p w14:paraId="78A06501"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5118100</wp:posOffset>
                </wp:positionH>
                <wp:positionV relativeFrom="paragraph">
                  <wp:posOffset>2971800</wp:posOffset>
                </wp:positionV>
                <wp:extent cx="510370" cy="162351"/>
                <wp:effectExtent b="0" l="0" r="0" t="0"/>
                <wp:wrapNone/>
                <wp:docPr id="35"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510370" cy="162351"/>
                        </a:xfrm>
                        <a:prstGeom prst="rect"/>
                        <a:ln/>
                      </pic:spPr>
                    </pic:pic>
                  </a:graphicData>
                </a:graphic>
              </wp:anchor>
            </w:drawing>
          </mc:Fallback>
        </mc:AlternateContent>
      </w:r>
      <w:r w:rsidRPr="00EB7245">
        <w:rPr>
          <w:noProof/>
          <w:lang w:val="es-MX" w:eastAsia="es-MX"/>
        </w:rPr>
        <mc:AlternateContent>
          <mc:Choice Requires="wpg">
            <w:drawing>
              <wp:anchor distT="0" distB="0" distL="114300" distR="114300" simplePos="0" relativeHeight="251662336" behindDoc="0" locked="0" layoutInCell="1" hidden="0" allowOverlap="1" wp14:anchorId="586D1C13" wp14:editId="6CDADAC5">
                <wp:simplePos x="0" y="0"/>
                <wp:positionH relativeFrom="column">
                  <wp:posOffset>4876800</wp:posOffset>
                </wp:positionH>
                <wp:positionV relativeFrom="paragraph">
                  <wp:posOffset>685800</wp:posOffset>
                </wp:positionV>
                <wp:extent cx="653671" cy="94112"/>
                <wp:effectExtent l="0" t="0" r="0" b="0"/>
                <wp:wrapNone/>
                <wp:docPr id="39" name="Rectángulo 39"/>
                <wp:cNvGraphicFramePr/>
                <a:graphic xmlns:a="http://schemas.openxmlformats.org/drawingml/2006/main">
                  <a:graphicData uri="http://schemas.microsoft.com/office/word/2010/wordprocessingShape">
                    <wps:wsp>
                      <wps:cNvSpPr/>
                      <wps:spPr>
                        <a:xfrm>
                          <a:off x="5028690" y="3742469"/>
                          <a:ext cx="634621" cy="75062"/>
                        </a:xfrm>
                        <a:prstGeom prst="rect">
                          <a:avLst/>
                        </a:prstGeom>
                        <a:noFill/>
                        <a:ln w="19050" cap="flat" cmpd="sng">
                          <a:solidFill>
                            <a:srgbClr val="FF0000"/>
                          </a:solidFill>
                          <a:prstDash val="solid"/>
                          <a:miter lim="800000"/>
                          <a:headEnd type="none" w="sm" len="sm"/>
                          <a:tailEnd type="none" w="sm" len="sm"/>
                        </a:ln>
                      </wps:spPr>
                      <wps:txbx>
                        <w:txbxContent>
                          <w:p w14:paraId="5DB48B5B"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4876800</wp:posOffset>
                </wp:positionH>
                <wp:positionV relativeFrom="paragraph">
                  <wp:posOffset>685800</wp:posOffset>
                </wp:positionV>
                <wp:extent cx="653671" cy="94112"/>
                <wp:effectExtent b="0" l="0" r="0" t="0"/>
                <wp:wrapNone/>
                <wp:docPr id="39"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53671" cy="94112"/>
                        </a:xfrm>
                        <a:prstGeom prst="rect"/>
                        <a:ln/>
                      </pic:spPr>
                    </pic:pic>
                  </a:graphicData>
                </a:graphic>
              </wp:anchor>
            </w:drawing>
          </mc:Fallback>
        </mc:AlternateContent>
      </w:r>
    </w:p>
    <w:p w14:paraId="4688DF0E"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noProof/>
          <w:lang w:val="es-MX" w:eastAsia="es-MX"/>
        </w:rPr>
        <w:lastRenderedPageBreak/>
        <w:drawing>
          <wp:inline distT="0" distB="0" distL="0" distR="0" wp14:anchorId="2307978D" wp14:editId="754DC9EC">
            <wp:extent cx="7354109" cy="295530"/>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7354109" cy="295530"/>
                    </a:xfrm>
                    <a:prstGeom prst="rect">
                      <a:avLst/>
                    </a:prstGeom>
                    <a:ln/>
                  </pic:spPr>
                </pic:pic>
              </a:graphicData>
            </a:graphic>
          </wp:inline>
        </w:drawing>
      </w:r>
    </w:p>
    <w:p w14:paraId="0BE20391"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noProof/>
          <w:lang w:val="es-MX" w:eastAsia="es-MX"/>
        </w:rPr>
        <w:drawing>
          <wp:inline distT="0" distB="0" distL="0" distR="0" wp14:anchorId="44484A6F" wp14:editId="245C6D27">
            <wp:extent cx="5586974" cy="361508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586974" cy="3615085"/>
                    </a:xfrm>
                    <a:prstGeom prst="rect">
                      <a:avLst/>
                    </a:prstGeom>
                    <a:ln/>
                  </pic:spPr>
                </pic:pic>
              </a:graphicData>
            </a:graphic>
          </wp:inline>
        </w:drawing>
      </w:r>
      <w:r w:rsidRPr="00EB7245">
        <w:rPr>
          <w:noProof/>
          <w:lang w:val="es-MX" w:eastAsia="es-MX"/>
        </w:rPr>
        <mc:AlternateContent>
          <mc:Choice Requires="wpg">
            <w:drawing>
              <wp:anchor distT="0" distB="0" distL="114300" distR="114300" simplePos="0" relativeHeight="251663360" behindDoc="0" locked="0" layoutInCell="1" hidden="0" allowOverlap="1" wp14:anchorId="08D42911" wp14:editId="4E3837FC">
                <wp:simplePos x="0" y="0"/>
                <wp:positionH relativeFrom="column">
                  <wp:posOffset>5092700</wp:posOffset>
                </wp:positionH>
                <wp:positionV relativeFrom="paragraph">
                  <wp:posOffset>3429000</wp:posOffset>
                </wp:positionV>
                <wp:extent cx="459935" cy="103619"/>
                <wp:effectExtent l="0" t="0" r="0" b="0"/>
                <wp:wrapNone/>
                <wp:docPr id="36" name="Rectángulo 36"/>
                <wp:cNvGraphicFramePr/>
                <a:graphic xmlns:a="http://schemas.openxmlformats.org/drawingml/2006/main">
                  <a:graphicData uri="http://schemas.microsoft.com/office/word/2010/wordprocessingShape">
                    <wps:wsp>
                      <wps:cNvSpPr/>
                      <wps:spPr>
                        <a:xfrm>
                          <a:off x="5125558" y="3737716"/>
                          <a:ext cx="440885" cy="84569"/>
                        </a:xfrm>
                        <a:prstGeom prst="rect">
                          <a:avLst/>
                        </a:prstGeom>
                        <a:noFill/>
                        <a:ln w="19050" cap="flat" cmpd="sng">
                          <a:solidFill>
                            <a:srgbClr val="FF0000"/>
                          </a:solidFill>
                          <a:prstDash val="solid"/>
                          <a:miter lim="800000"/>
                          <a:headEnd type="none" w="sm" len="sm"/>
                          <a:tailEnd type="none" w="sm" len="sm"/>
                        </a:ln>
                      </wps:spPr>
                      <wps:txbx>
                        <w:txbxContent>
                          <w:p w14:paraId="766B0325"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5092700</wp:posOffset>
                </wp:positionH>
                <wp:positionV relativeFrom="paragraph">
                  <wp:posOffset>3429000</wp:posOffset>
                </wp:positionV>
                <wp:extent cx="459935" cy="103619"/>
                <wp:effectExtent b="0" l="0" r="0" t="0"/>
                <wp:wrapNone/>
                <wp:docPr id="36"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459935" cy="103619"/>
                        </a:xfrm>
                        <a:prstGeom prst="rect"/>
                        <a:ln/>
                      </pic:spPr>
                    </pic:pic>
                  </a:graphicData>
                </a:graphic>
              </wp:anchor>
            </w:drawing>
          </mc:Fallback>
        </mc:AlternateContent>
      </w:r>
      <w:r w:rsidRPr="00EB7245">
        <w:rPr>
          <w:noProof/>
          <w:lang w:val="es-MX" w:eastAsia="es-MX"/>
        </w:rPr>
        <mc:AlternateContent>
          <mc:Choice Requires="wpg">
            <w:drawing>
              <wp:anchor distT="0" distB="0" distL="114300" distR="114300" simplePos="0" relativeHeight="251664384" behindDoc="0" locked="0" layoutInCell="1" hidden="0" allowOverlap="1" wp14:anchorId="5DC88AF9" wp14:editId="718856C9">
                <wp:simplePos x="0" y="0"/>
                <wp:positionH relativeFrom="column">
                  <wp:posOffset>50801</wp:posOffset>
                </wp:positionH>
                <wp:positionV relativeFrom="paragraph">
                  <wp:posOffset>622300</wp:posOffset>
                </wp:positionV>
                <wp:extent cx="1398578" cy="2756965"/>
                <wp:effectExtent l="0" t="0" r="0" b="0"/>
                <wp:wrapNone/>
                <wp:docPr id="38" name="Rectángulo 38"/>
                <wp:cNvGraphicFramePr/>
                <a:graphic xmlns:a="http://schemas.openxmlformats.org/drawingml/2006/main">
                  <a:graphicData uri="http://schemas.microsoft.com/office/word/2010/wordprocessingShape">
                    <wps:wsp>
                      <wps:cNvSpPr/>
                      <wps:spPr>
                        <a:xfrm>
                          <a:off x="4656236" y="2411043"/>
                          <a:ext cx="1379528" cy="2737915"/>
                        </a:xfrm>
                        <a:prstGeom prst="rect">
                          <a:avLst/>
                        </a:prstGeom>
                        <a:noFill/>
                        <a:ln w="19050" cap="flat" cmpd="sng">
                          <a:solidFill>
                            <a:srgbClr val="FF0000"/>
                          </a:solidFill>
                          <a:prstDash val="solid"/>
                          <a:miter lim="800000"/>
                          <a:headEnd type="none" w="sm" len="sm"/>
                          <a:tailEnd type="none" w="sm" len="sm"/>
                        </a:ln>
                      </wps:spPr>
                      <wps:txbx>
                        <w:txbxContent>
                          <w:p w14:paraId="66C3C816"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622300</wp:posOffset>
                </wp:positionV>
                <wp:extent cx="1398578" cy="2756965"/>
                <wp:effectExtent b="0" l="0" r="0" t="0"/>
                <wp:wrapNone/>
                <wp:docPr id="38"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1398578" cy="2756965"/>
                        </a:xfrm>
                        <a:prstGeom prst="rect"/>
                        <a:ln/>
                      </pic:spPr>
                    </pic:pic>
                  </a:graphicData>
                </a:graphic>
              </wp:anchor>
            </w:drawing>
          </mc:Fallback>
        </mc:AlternateContent>
      </w:r>
      <w:r w:rsidRPr="00EB7245">
        <w:rPr>
          <w:noProof/>
          <w:lang w:val="es-MX" w:eastAsia="es-MX"/>
        </w:rPr>
        <mc:AlternateContent>
          <mc:Choice Requires="wpg">
            <w:drawing>
              <wp:anchor distT="0" distB="0" distL="114300" distR="114300" simplePos="0" relativeHeight="251665408" behindDoc="0" locked="0" layoutInCell="1" hidden="0" allowOverlap="1" wp14:anchorId="16763F2E" wp14:editId="51627963">
                <wp:simplePos x="0" y="0"/>
                <wp:positionH relativeFrom="column">
                  <wp:posOffset>4216400</wp:posOffset>
                </wp:positionH>
                <wp:positionV relativeFrom="paragraph">
                  <wp:posOffset>520700</wp:posOffset>
                </wp:positionV>
                <wp:extent cx="1334969" cy="121408"/>
                <wp:effectExtent l="0" t="0" r="0" b="0"/>
                <wp:wrapNone/>
                <wp:docPr id="34" name="Rectángulo 34"/>
                <wp:cNvGraphicFramePr/>
                <a:graphic xmlns:a="http://schemas.openxmlformats.org/drawingml/2006/main">
                  <a:graphicData uri="http://schemas.microsoft.com/office/word/2010/wordprocessingShape">
                    <wps:wsp>
                      <wps:cNvSpPr/>
                      <wps:spPr>
                        <a:xfrm>
                          <a:off x="4688041" y="3728821"/>
                          <a:ext cx="1315919" cy="102358"/>
                        </a:xfrm>
                        <a:prstGeom prst="rect">
                          <a:avLst/>
                        </a:prstGeom>
                        <a:noFill/>
                        <a:ln w="19050" cap="flat" cmpd="sng">
                          <a:solidFill>
                            <a:srgbClr val="FF0000"/>
                          </a:solidFill>
                          <a:prstDash val="solid"/>
                          <a:miter lim="800000"/>
                          <a:headEnd type="none" w="sm" len="sm"/>
                          <a:tailEnd type="none" w="sm" len="sm"/>
                        </a:ln>
                      </wps:spPr>
                      <wps:txbx>
                        <w:txbxContent>
                          <w:p w14:paraId="4C2F7BC8" w14:textId="77777777" w:rsidR="00AE4FE4" w:rsidRDefault="00AE4FE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4216400</wp:posOffset>
                </wp:positionH>
                <wp:positionV relativeFrom="paragraph">
                  <wp:posOffset>520700</wp:posOffset>
                </wp:positionV>
                <wp:extent cx="1334969" cy="121408"/>
                <wp:effectExtent b="0" l="0" r="0" t="0"/>
                <wp:wrapNone/>
                <wp:docPr id="34"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1334969" cy="121408"/>
                        </a:xfrm>
                        <a:prstGeom prst="rect"/>
                        <a:ln/>
                      </pic:spPr>
                    </pic:pic>
                  </a:graphicData>
                </a:graphic>
              </wp:anchor>
            </w:drawing>
          </mc:Fallback>
        </mc:AlternateContent>
      </w:r>
    </w:p>
    <w:p w14:paraId="78AF7F3B"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noProof/>
          <w:lang w:val="es-MX" w:eastAsia="es-MX"/>
        </w:rPr>
        <w:drawing>
          <wp:inline distT="0" distB="0" distL="0" distR="0" wp14:anchorId="49D7B536" wp14:editId="734FC82F">
            <wp:extent cx="5414839" cy="3196425"/>
            <wp:effectExtent l="0" t="0" r="0" b="4445"/>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422135" cy="3200732"/>
                    </a:xfrm>
                    <a:prstGeom prst="rect">
                      <a:avLst/>
                    </a:prstGeom>
                    <a:ln/>
                  </pic:spPr>
                </pic:pic>
              </a:graphicData>
            </a:graphic>
          </wp:inline>
        </w:drawing>
      </w:r>
    </w:p>
    <w:p w14:paraId="7FB0E50E" w14:textId="77777777" w:rsidR="00AE4FE4" w:rsidRPr="00EB7245" w:rsidRDefault="00AE4FE4">
      <w:pPr>
        <w:spacing w:line="360" w:lineRule="auto"/>
        <w:jc w:val="both"/>
        <w:rPr>
          <w:rFonts w:ascii="Palatino Linotype" w:eastAsia="Palatino Linotype" w:hAnsi="Palatino Linotype" w:cs="Palatino Linotype"/>
        </w:rPr>
      </w:pPr>
    </w:p>
    <w:p w14:paraId="40503635" w14:textId="77777777"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 xml:space="preserve">De las imágenes insertas con anterioridad se puede advertir que si bien fue remitida la “Balanza de comprobación detallada” de los meses de enero a diciembre correspondientes a los años 2018, 2019, 2020, 2021, 2022 y de enero a abril del año 2023; lo cierto es que, no se hizo la entrega completa de la información detallada, aunado a que como se puede advertir de las imágenes, el número de hojas entre un archivo y otro es diverso; por lo tanto al haberse cumplido los tiempos de entrega de los correspondientes informes y ante la evidente administración de los documentos por parte del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se considera que los agravios hechos valer por el Particular devienen </w:t>
      </w:r>
      <w:r w:rsidRPr="00EB7245">
        <w:rPr>
          <w:rFonts w:ascii="Palatino Linotype" w:eastAsia="Palatino Linotype" w:hAnsi="Palatino Linotype" w:cs="Palatino Linotype"/>
          <w:b/>
        </w:rPr>
        <w:t>FUNDADOS</w:t>
      </w:r>
      <w:r w:rsidRPr="00EB7245">
        <w:rPr>
          <w:rFonts w:ascii="Palatino Linotype" w:eastAsia="Palatino Linotype" w:hAnsi="Palatino Linotype" w:cs="Palatino Linotype"/>
        </w:rPr>
        <w:t xml:space="preserve">, en razón de que el Sujeto Obligado no proporcionó al solicitante el documento completo de naturaleza pública, por lo que se determina </w:t>
      </w:r>
      <w:r w:rsidRPr="00EB7245">
        <w:rPr>
          <w:rFonts w:ascii="Palatino Linotype" w:eastAsia="Palatino Linotype" w:hAnsi="Palatino Linotype" w:cs="Palatino Linotype"/>
          <w:b/>
        </w:rPr>
        <w:t>MODIFICAR</w:t>
      </w:r>
      <w:r w:rsidRPr="00EB7245">
        <w:rPr>
          <w:rFonts w:ascii="Palatino Linotype" w:eastAsia="Palatino Linotype" w:hAnsi="Palatino Linotype" w:cs="Palatino Linotype"/>
        </w:rPr>
        <w:t xml:space="preserve"> la respuesta del Sujeto Obligado y ordenar vía Sistema de Acceso a la Información Mexiquense, la Balanza de Comprobación Detallada correspondientes a los años de 2008 a mayo de 2023.</w:t>
      </w:r>
    </w:p>
    <w:p w14:paraId="603C6D4A" w14:textId="77777777" w:rsidR="00AE4FE4" w:rsidRPr="00EB7245" w:rsidRDefault="00AE4FE4">
      <w:pPr>
        <w:spacing w:line="360" w:lineRule="auto"/>
        <w:jc w:val="both"/>
        <w:rPr>
          <w:rFonts w:ascii="Palatino Linotype" w:eastAsia="Palatino Linotype" w:hAnsi="Palatino Linotype" w:cs="Palatino Linotype"/>
        </w:rPr>
      </w:pPr>
    </w:p>
    <w:p w14:paraId="09398827" w14:textId="15CCAE02" w:rsidR="00AE4FE4" w:rsidRPr="00EB7245" w:rsidRDefault="009F5637">
      <w:pPr>
        <w:spacing w:line="360" w:lineRule="auto"/>
        <w:jc w:val="both"/>
        <w:rPr>
          <w:rFonts w:ascii="Palatino Linotype" w:eastAsia="Palatino Linotype" w:hAnsi="Palatino Linotype" w:cs="Palatino Linotype"/>
        </w:rPr>
      </w:pPr>
      <w:r w:rsidRPr="00EB7245">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683C45C9" w14:textId="6B4E1FA9" w:rsidR="00EB7245" w:rsidRPr="00EB7245" w:rsidRDefault="00EB7245">
      <w:pPr>
        <w:spacing w:line="360" w:lineRule="auto"/>
        <w:jc w:val="both"/>
        <w:rPr>
          <w:rFonts w:ascii="Palatino Linotype" w:eastAsia="Palatino Linotype" w:hAnsi="Palatino Linotype" w:cs="Palatino Linotype"/>
        </w:rPr>
      </w:pPr>
    </w:p>
    <w:p w14:paraId="2F2188F6" w14:textId="349014DE" w:rsidR="00EB7245" w:rsidRPr="00EB7245" w:rsidRDefault="00EB7245">
      <w:pPr>
        <w:spacing w:line="360" w:lineRule="auto"/>
        <w:jc w:val="both"/>
        <w:rPr>
          <w:rFonts w:ascii="Palatino Linotype" w:eastAsia="Palatino Linotype" w:hAnsi="Palatino Linotype" w:cs="Palatino Linotype"/>
        </w:rPr>
      </w:pPr>
    </w:p>
    <w:p w14:paraId="167D57C7" w14:textId="77777777" w:rsidR="00EB7245" w:rsidRPr="00EB7245" w:rsidRDefault="00EB7245">
      <w:pPr>
        <w:spacing w:line="360" w:lineRule="auto"/>
        <w:jc w:val="both"/>
        <w:rPr>
          <w:rFonts w:ascii="Palatino Linotype" w:eastAsia="Palatino Linotype" w:hAnsi="Palatino Linotype" w:cs="Palatino Linotype"/>
        </w:rPr>
      </w:pPr>
    </w:p>
    <w:p w14:paraId="7F28F297" w14:textId="77777777" w:rsidR="00B62C39" w:rsidRPr="00EB7245" w:rsidRDefault="00B62C39">
      <w:pPr>
        <w:spacing w:line="360" w:lineRule="auto"/>
        <w:jc w:val="both"/>
        <w:rPr>
          <w:rFonts w:ascii="Palatino Linotype" w:eastAsia="Palatino Linotype" w:hAnsi="Palatino Linotype" w:cs="Palatino Linotype"/>
        </w:rPr>
      </w:pPr>
    </w:p>
    <w:p w14:paraId="60EF946C" w14:textId="619D1993" w:rsidR="00AE4FE4" w:rsidRPr="00EB7245" w:rsidRDefault="009F5637">
      <w:pPr>
        <w:spacing w:line="360" w:lineRule="auto"/>
        <w:ind w:left="567"/>
        <w:jc w:val="center"/>
        <w:rPr>
          <w:rFonts w:ascii="Palatino Linotype" w:eastAsia="Palatino Linotype" w:hAnsi="Palatino Linotype" w:cs="Palatino Linotype"/>
          <w:b/>
        </w:rPr>
      </w:pPr>
      <w:r w:rsidRPr="00EB7245">
        <w:rPr>
          <w:rFonts w:ascii="Palatino Linotype" w:eastAsia="Palatino Linotype" w:hAnsi="Palatino Linotype" w:cs="Palatino Linotype"/>
          <w:b/>
        </w:rPr>
        <w:lastRenderedPageBreak/>
        <w:t>R E S U E L V E</w:t>
      </w:r>
    </w:p>
    <w:p w14:paraId="621DDFF4"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b/>
        </w:rPr>
        <w:t>Primero.</w:t>
      </w:r>
      <w:r w:rsidRPr="00EB7245">
        <w:rPr>
          <w:rFonts w:ascii="Palatino Linotype" w:eastAsia="Palatino Linotype" w:hAnsi="Palatino Linotype" w:cs="Palatino Linotype"/>
        </w:rPr>
        <w:t xml:space="preserve"> Resultan </w:t>
      </w:r>
      <w:r w:rsidRPr="00EB7245">
        <w:rPr>
          <w:rFonts w:ascii="Palatino Linotype" w:eastAsia="Palatino Linotype" w:hAnsi="Palatino Linotype" w:cs="Palatino Linotype"/>
          <w:b/>
        </w:rPr>
        <w:t>FUNDADOS</w:t>
      </w:r>
      <w:r w:rsidRPr="00EB7245">
        <w:rPr>
          <w:rFonts w:ascii="Palatino Linotype" w:eastAsia="Palatino Linotype" w:hAnsi="Palatino Linotype" w:cs="Palatino Linotype"/>
        </w:rPr>
        <w:t xml:space="preserve"> los motivos de inconformidad hechos valer por la parte </w:t>
      </w:r>
      <w:r w:rsidRPr="00EB7245">
        <w:rPr>
          <w:rFonts w:ascii="Palatino Linotype" w:eastAsia="Palatino Linotype" w:hAnsi="Palatino Linotype" w:cs="Palatino Linotype"/>
          <w:b/>
        </w:rPr>
        <w:t>RECURRENTE</w:t>
      </w:r>
      <w:r w:rsidRPr="00EB7245">
        <w:rPr>
          <w:rFonts w:ascii="Palatino Linotype" w:eastAsia="Palatino Linotype" w:hAnsi="Palatino Linotype" w:cs="Palatino Linotype"/>
        </w:rPr>
        <w:t xml:space="preserve"> en el Recurso de Revisión </w:t>
      </w:r>
      <w:r w:rsidRPr="00EB7245">
        <w:rPr>
          <w:rFonts w:ascii="Palatino Linotype" w:eastAsia="Palatino Linotype" w:hAnsi="Palatino Linotype" w:cs="Palatino Linotype"/>
          <w:b/>
        </w:rPr>
        <w:t>04324/INFOEM/IP/RR/2023</w:t>
      </w:r>
      <w:r w:rsidRPr="00EB7245">
        <w:rPr>
          <w:rFonts w:ascii="Palatino Linotype" w:eastAsia="Palatino Linotype" w:hAnsi="Palatino Linotype" w:cs="Palatino Linotype"/>
        </w:rPr>
        <w:t xml:space="preserve">, por lo que, en términos del </w:t>
      </w:r>
      <w:r w:rsidRPr="00EB7245">
        <w:rPr>
          <w:rFonts w:ascii="Palatino Linotype" w:eastAsia="Palatino Linotype" w:hAnsi="Palatino Linotype" w:cs="Palatino Linotype"/>
          <w:b/>
        </w:rPr>
        <w:t xml:space="preserve">Considerando Cuarto </w:t>
      </w:r>
      <w:r w:rsidRPr="00EB7245">
        <w:rPr>
          <w:rFonts w:ascii="Palatino Linotype" w:eastAsia="Palatino Linotype" w:hAnsi="Palatino Linotype" w:cs="Palatino Linotype"/>
        </w:rPr>
        <w:t xml:space="preserve">de esta resolución, se </w:t>
      </w:r>
      <w:r w:rsidRPr="00EB7245">
        <w:rPr>
          <w:rFonts w:ascii="Palatino Linotype" w:eastAsia="Palatino Linotype" w:hAnsi="Palatino Linotype" w:cs="Palatino Linotype"/>
          <w:b/>
        </w:rPr>
        <w:t>MODIFICA</w:t>
      </w:r>
      <w:r w:rsidRPr="00EB7245">
        <w:rPr>
          <w:rFonts w:ascii="Palatino Linotype" w:eastAsia="Palatino Linotype" w:hAnsi="Palatino Linotype" w:cs="Palatino Linotype"/>
        </w:rPr>
        <w:t xml:space="preserve"> la respuesta emitida por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w:t>
      </w:r>
    </w:p>
    <w:p w14:paraId="2F2582FC" w14:textId="77777777" w:rsidR="00AE4FE4" w:rsidRPr="00EB7245" w:rsidRDefault="00AE4FE4">
      <w:pPr>
        <w:spacing w:line="360" w:lineRule="auto"/>
        <w:ind w:right="49"/>
        <w:jc w:val="both"/>
        <w:rPr>
          <w:rFonts w:ascii="Palatino Linotype" w:eastAsia="Palatino Linotype" w:hAnsi="Palatino Linotype" w:cs="Palatino Linotype"/>
        </w:rPr>
      </w:pPr>
    </w:p>
    <w:p w14:paraId="4D1ED43D"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b/>
        </w:rPr>
        <w:t>Segundo</w:t>
      </w:r>
      <w:r w:rsidRPr="00EB7245">
        <w:rPr>
          <w:rFonts w:ascii="Palatino Linotype" w:eastAsia="Palatino Linotype" w:hAnsi="Palatino Linotype" w:cs="Palatino Linotype"/>
        </w:rPr>
        <w:t xml:space="preserve">. Se </w:t>
      </w:r>
      <w:r w:rsidRPr="00EB7245">
        <w:rPr>
          <w:rFonts w:ascii="Palatino Linotype" w:eastAsia="Palatino Linotype" w:hAnsi="Palatino Linotype" w:cs="Palatino Linotype"/>
          <w:b/>
        </w:rPr>
        <w:t>ORDENA</w:t>
      </w:r>
      <w:r w:rsidRPr="00EB7245">
        <w:rPr>
          <w:rFonts w:ascii="Palatino Linotype" w:eastAsia="Palatino Linotype" w:hAnsi="Palatino Linotype" w:cs="Palatino Linotype"/>
        </w:rPr>
        <w:t xml:space="preserve"> al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que en términos del </w:t>
      </w:r>
      <w:r w:rsidRPr="00EB7245">
        <w:rPr>
          <w:rFonts w:ascii="Palatino Linotype" w:eastAsia="Palatino Linotype" w:hAnsi="Palatino Linotype" w:cs="Palatino Linotype"/>
          <w:b/>
        </w:rPr>
        <w:t>Considerando Cuarto</w:t>
      </w:r>
      <w:r w:rsidRPr="00EB7245">
        <w:rPr>
          <w:rFonts w:ascii="Palatino Linotype" w:eastAsia="Palatino Linotype" w:hAnsi="Palatino Linotype" w:cs="Palatino Linotype"/>
        </w:rPr>
        <w:t xml:space="preserve">, haga entrega vía Sistema de Acceso a la Información Mexiquense, de lo siguiente: </w:t>
      </w:r>
    </w:p>
    <w:p w14:paraId="32C10812" w14:textId="77777777" w:rsidR="00AE4FE4" w:rsidRPr="00EB7245" w:rsidRDefault="00AE4FE4">
      <w:pPr>
        <w:spacing w:line="360" w:lineRule="auto"/>
        <w:ind w:right="49"/>
        <w:jc w:val="both"/>
        <w:rPr>
          <w:rFonts w:ascii="Palatino Linotype" w:eastAsia="Palatino Linotype" w:hAnsi="Palatino Linotype" w:cs="Palatino Linotype"/>
        </w:rPr>
      </w:pPr>
    </w:p>
    <w:p w14:paraId="325F6133" w14:textId="77777777" w:rsidR="00AE4FE4" w:rsidRPr="00EB7245" w:rsidRDefault="009F5637">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i/>
          <w:sz w:val="22"/>
          <w:szCs w:val="22"/>
        </w:rPr>
      </w:pPr>
      <w:bookmarkStart w:id="3" w:name="_heading=h.1fob9te" w:colFirst="0" w:colLast="0"/>
      <w:bookmarkEnd w:id="3"/>
      <w:r w:rsidRPr="00EB7245">
        <w:rPr>
          <w:rFonts w:ascii="Palatino Linotype" w:eastAsia="Palatino Linotype" w:hAnsi="Palatino Linotype" w:cs="Palatino Linotype"/>
          <w:i/>
          <w:sz w:val="22"/>
          <w:szCs w:val="22"/>
        </w:rPr>
        <w:t xml:space="preserve">Las balanzas de comprobaciones detalladas correspondientes a los años 2018, 2019, 2020, 2021, 2022 y las correspondientes de enero a mayo de 2023. </w:t>
      </w:r>
    </w:p>
    <w:p w14:paraId="1020A005" w14:textId="77777777" w:rsidR="00AE4FE4" w:rsidRPr="00EB7245" w:rsidRDefault="00AE4FE4">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4EA7A606" w14:textId="77777777" w:rsidR="00AE4FE4" w:rsidRPr="00EB7245" w:rsidRDefault="009F5637">
      <w:pPr>
        <w:spacing w:line="360" w:lineRule="auto"/>
        <w:ind w:right="49"/>
        <w:jc w:val="both"/>
        <w:rPr>
          <w:rFonts w:ascii="Palatino Linotype" w:eastAsia="Palatino Linotype" w:hAnsi="Palatino Linotype" w:cs="Palatino Linotype"/>
          <w:b/>
        </w:rPr>
      </w:pPr>
      <w:r w:rsidRPr="00EB7245">
        <w:rPr>
          <w:rFonts w:ascii="Palatino Linotype" w:eastAsia="Palatino Linotype" w:hAnsi="Palatino Linotype" w:cs="Palatino Linotype"/>
          <w:b/>
        </w:rPr>
        <w:t>Tercero.</w:t>
      </w:r>
      <w:r w:rsidRPr="00EB7245">
        <w:rPr>
          <w:rFonts w:ascii="Palatino Linotype" w:eastAsia="Palatino Linotype" w:hAnsi="Palatino Linotype" w:cs="Palatino Linotype"/>
        </w:rPr>
        <w:t xml:space="preserve"> </w:t>
      </w:r>
      <w:r w:rsidRPr="00EB7245">
        <w:rPr>
          <w:rFonts w:ascii="Palatino Linotype" w:eastAsia="Palatino Linotype" w:hAnsi="Palatino Linotype" w:cs="Palatino Linotype"/>
          <w:b/>
        </w:rPr>
        <w:t xml:space="preserve">Notifíquese </w:t>
      </w:r>
      <w:r w:rsidRPr="00EB7245">
        <w:rPr>
          <w:rFonts w:ascii="Palatino Linotype" w:eastAsia="Palatino Linotype" w:hAnsi="Palatino Linotype" w:cs="Palatino Linotype"/>
        </w:rPr>
        <w:t>la presente resolución al T</w:t>
      </w:r>
      <w:r w:rsidRPr="00EB7245">
        <w:rPr>
          <w:rFonts w:ascii="Palatino Linotype" w:eastAsia="Palatino Linotype" w:hAnsi="Palatino Linotype" w:cs="Palatino Linotype"/>
          <w:b/>
        </w:rPr>
        <w:t xml:space="preserve">itular de la Unidad de Transparencia </w:t>
      </w:r>
      <w:r w:rsidRPr="00EB7245">
        <w:rPr>
          <w:rFonts w:ascii="Palatino Linotype" w:eastAsia="Palatino Linotype" w:hAnsi="Palatino Linotype" w:cs="Palatino Linotype"/>
        </w:rPr>
        <w:t xml:space="preserve">del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10991597" w14:textId="77777777" w:rsidR="00AE4FE4" w:rsidRPr="00EB7245" w:rsidRDefault="00AE4FE4">
      <w:pPr>
        <w:spacing w:line="360" w:lineRule="auto"/>
        <w:ind w:right="49"/>
        <w:jc w:val="both"/>
        <w:rPr>
          <w:rFonts w:ascii="Palatino Linotype" w:eastAsia="Palatino Linotype" w:hAnsi="Palatino Linotype" w:cs="Palatino Linotype"/>
        </w:rPr>
      </w:pPr>
    </w:p>
    <w:p w14:paraId="5BDDFA6D"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b/>
        </w:rPr>
        <w:t>Cuarto.</w:t>
      </w:r>
      <w:r w:rsidRPr="00EB7245">
        <w:rPr>
          <w:rFonts w:ascii="Palatino Linotype" w:eastAsia="Palatino Linotype" w:hAnsi="Palatino Linotype" w:cs="Palatino Linotype"/>
        </w:rPr>
        <w:t xml:space="preserve"> </w:t>
      </w:r>
      <w:r w:rsidRPr="00EB7245">
        <w:rPr>
          <w:rFonts w:ascii="Palatino Linotype" w:eastAsia="Palatino Linotype" w:hAnsi="Palatino Linotype" w:cs="Palatino Linotype"/>
          <w:b/>
        </w:rPr>
        <w:t xml:space="preserve">Notifíquese vía SAIMEX </w:t>
      </w:r>
      <w:r w:rsidRPr="00EB7245">
        <w:rPr>
          <w:rFonts w:ascii="Palatino Linotype" w:eastAsia="Palatino Linotype" w:hAnsi="Palatino Linotype" w:cs="Palatino Linotype"/>
        </w:rPr>
        <w:t xml:space="preserve">a la parte </w:t>
      </w:r>
      <w:r w:rsidRPr="00EB7245">
        <w:rPr>
          <w:rFonts w:ascii="Palatino Linotype" w:eastAsia="Palatino Linotype" w:hAnsi="Palatino Linotype" w:cs="Palatino Linotype"/>
          <w:b/>
        </w:rPr>
        <w:t xml:space="preserve">RECURRENTE </w:t>
      </w:r>
      <w:r w:rsidRPr="00EB7245">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DDD06C1" w14:textId="77777777" w:rsidR="00AE4FE4" w:rsidRPr="00EB7245" w:rsidRDefault="00AE4FE4">
      <w:pPr>
        <w:spacing w:line="360" w:lineRule="auto"/>
        <w:ind w:right="49"/>
        <w:jc w:val="both"/>
        <w:rPr>
          <w:rFonts w:ascii="Palatino Linotype" w:eastAsia="Palatino Linotype" w:hAnsi="Palatino Linotype" w:cs="Palatino Linotype"/>
        </w:rPr>
      </w:pPr>
    </w:p>
    <w:p w14:paraId="53590E2D" w14:textId="77777777" w:rsidR="00AE4FE4" w:rsidRPr="00EB7245" w:rsidRDefault="009F5637">
      <w:pPr>
        <w:spacing w:line="360" w:lineRule="auto"/>
        <w:ind w:right="49"/>
        <w:jc w:val="both"/>
        <w:rPr>
          <w:rFonts w:ascii="Palatino Linotype" w:eastAsia="Palatino Linotype" w:hAnsi="Palatino Linotype" w:cs="Palatino Linotype"/>
        </w:rPr>
      </w:pPr>
      <w:r w:rsidRPr="00EB7245">
        <w:rPr>
          <w:rFonts w:ascii="Palatino Linotype" w:eastAsia="Palatino Linotype" w:hAnsi="Palatino Linotype" w:cs="Palatino Linotype"/>
          <w:b/>
        </w:rPr>
        <w:t>Quinto.</w:t>
      </w:r>
      <w:r w:rsidRPr="00EB7245">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EB7245">
        <w:rPr>
          <w:rFonts w:ascii="Palatino Linotype" w:eastAsia="Palatino Linotype" w:hAnsi="Palatino Linotype" w:cs="Palatino Linotype"/>
          <w:b/>
        </w:rPr>
        <w:t>SUJETO OBLIGADO</w:t>
      </w:r>
      <w:r w:rsidRPr="00EB7245">
        <w:rPr>
          <w:rFonts w:ascii="Palatino Linotype" w:eastAsia="Palatino Linotype" w:hAnsi="Palatino Linotype" w:cs="Palatino Linotype"/>
        </w:rPr>
        <w:t xml:space="preserve"> de manera fundada y motivada, podrá solicitar una ampliación de plazo para el cumplimiento de la presente resolución.</w:t>
      </w:r>
    </w:p>
    <w:p w14:paraId="1A81BC20" w14:textId="77777777" w:rsidR="00AE4FE4" w:rsidRPr="00EB7245" w:rsidRDefault="00AE4FE4">
      <w:pPr>
        <w:spacing w:line="360" w:lineRule="auto"/>
        <w:ind w:right="49"/>
        <w:jc w:val="both"/>
        <w:rPr>
          <w:rFonts w:ascii="Palatino Linotype" w:eastAsia="Palatino Linotype" w:hAnsi="Palatino Linotype" w:cs="Palatino Linotype"/>
        </w:rPr>
      </w:pPr>
    </w:p>
    <w:p w14:paraId="7E1AE10D" w14:textId="77777777" w:rsidR="00AE4FE4" w:rsidRPr="00EB7245" w:rsidRDefault="009F5637">
      <w:pPr>
        <w:spacing w:line="360" w:lineRule="auto"/>
        <w:jc w:val="both"/>
        <w:rPr>
          <w:rFonts w:ascii="Palatino Linotype" w:eastAsia="Palatino Linotype" w:hAnsi="Palatino Linotype" w:cs="Palatino Linotype"/>
        </w:rPr>
        <w:sectPr w:rsidR="00AE4FE4" w:rsidRPr="00EB7245">
          <w:headerReference w:type="default" r:id="rId24"/>
          <w:footerReference w:type="default" r:id="rId25"/>
          <w:headerReference w:type="first" r:id="rId26"/>
          <w:footerReference w:type="first" r:id="rId27"/>
          <w:pgSz w:w="12240" w:h="15840"/>
          <w:pgMar w:top="2041" w:right="1701" w:bottom="1701" w:left="1701" w:header="709" w:footer="709" w:gutter="0"/>
          <w:pgNumType w:start="1"/>
          <w:cols w:space="720"/>
          <w:titlePg/>
        </w:sectPr>
      </w:pPr>
      <w:r w:rsidRPr="00EB724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DE MARZO DE DOS MIL VEINTICUATRO, ANTE EL SECRETARIO TÉCNICO DEL PLENO ALEXIS TAPIA RAMÍREZ.                              </w:t>
      </w:r>
    </w:p>
    <w:p w14:paraId="6838B039" w14:textId="77777777" w:rsidR="00AE4FE4" w:rsidRPr="00EB7245" w:rsidRDefault="00AE4FE4">
      <w:pPr>
        <w:spacing w:line="360" w:lineRule="auto"/>
        <w:jc w:val="both"/>
        <w:rPr>
          <w:rFonts w:ascii="Palatino Linotype" w:eastAsia="Palatino Linotype" w:hAnsi="Palatino Linotype" w:cs="Palatino Linotype"/>
        </w:rPr>
      </w:pPr>
    </w:p>
    <w:sectPr w:rsidR="00AE4FE4" w:rsidRPr="00EB7245">
      <w:headerReference w:type="first" r:id="rId2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78FEB" w14:textId="77777777" w:rsidR="0078581D" w:rsidRDefault="0078581D">
      <w:r>
        <w:separator/>
      </w:r>
    </w:p>
  </w:endnote>
  <w:endnote w:type="continuationSeparator" w:id="0">
    <w:p w14:paraId="49C9EA6D" w14:textId="77777777" w:rsidR="0078581D" w:rsidRDefault="00785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1A05" w14:textId="77777777" w:rsidR="00AE4FE4" w:rsidRDefault="009F563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0468">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0468">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3E131F70" w14:textId="77777777" w:rsidR="00AE4FE4" w:rsidRDefault="00AE4FE4">
    <w:pPr>
      <w:pBdr>
        <w:top w:val="nil"/>
        <w:left w:val="nil"/>
        <w:bottom w:val="nil"/>
        <w:right w:val="nil"/>
        <w:between w:val="nil"/>
      </w:pBdr>
      <w:tabs>
        <w:tab w:val="center" w:pos="4252"/>
        <w:tab w:val="right" w:pos="8504"/>
      </w:tabs>
      <w:rPr>
        <w:color w:val="000000"/>
      </w:rPr>
    </w:pPr>
  </w:p>
  <w:p w14:paraId="7EA9DB8F" w14:textId="77777777" w:rsidR="00AE4FE4" w:rsidRDefault="00AE4FE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9672" w14:textId="77777777" w:rsidR="00AE4FE4" w:rsidRDefault="009F563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0468">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0468">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0F08513C" w14:textId="77777777" w:rsidR="00AE4FE4" w:rsidRDefault="00AE4FE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25A5E" w14:textId="77777777" w:rsidR="0078581D" w:rsidRDefault="0078581D">
      <w:r>
        <w:separator/>
      </w:r>
    </w:p>
  </w:footnote>
  <w:footnote w:type="continuationSeparator" w:id="0">
    <w:p w14:paraId="440975AE" w14:textId="77777777" w:rsidR="0078581D" w:rsidRDefault="00785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91AC" w14:textId="77777777" w:rsidR="00AE4FE4" w:rsidRDefault="009F5637">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AE1A9C6" wp14:editId="7E3ADB54">
          <wp:simplePos x="0" y="0"/>
          <wp:positionH relativeFrom="column">
            <wp:posOffset>-638174</wp:posOffset>
          </wp:positionH>
          <wp:positionV relativeFrom="paragraph">
            <wp:posOffset>-450214</wp:posOffset>
          </wp:positionV>
          <wp:extent cx="7809876" cy="10165823"/>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528" w:type="dxa"/>
      <w:tblInd w:w="3261" w:type="dxa"/>
      <w:tblLayout w:type="fixed"/>
      <w:tblLook w:val="0400" w:firstRow="0" w:lastRow="0" w:firstColumn="0" w:lastColumn="0" w:noHBand="0" w:noVBand="1"/>
    </w:tblPr>
    <w:tblGrid>
      <w:gridCol w:w="2551"/>
      <w:gridCol w:w="2977"/>
    </w:tblGrid>
    <w:tr w:rsidR="00AE4FE4" w14:paraId="79620351" w14:textId="77777777">
      <w:tc>
        <w:tcPr>
          <w:tcW w:w="2551" w:type="dxa"/>
          <w:vAlign w:val="center"/>
        </w:tcPr>
        <w:p w14:paraId="4F5B5F9B" w14:textId="77777777" w:rsidR="00AE4FE4" w:rsidRDefault="009F56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F6FA6E1" w14:textId="77777777" w:rsidR="00AE4FE4" w:rsidRDefault="009F563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04324/INFOEM/IP/RR/2023</w:t>
          </w:r>
        </w:p>
      </w:tc>
    </w:tr>
    <w:tr w:rsidR="00AE4FE4" w14:paraId="07F28A16" w14:textId="77777777">
      <w:trPr>
        <w:trHeight w:val="228"/>
      </w:trPr>
      <w:tc>
        <w:tcPr>
          <w:tcW w:w="2551" w:type="dxa"/>
          <w:vAlign w:val="center"/>
        </w:tcPr>
        <w:p w14:paraId="402624C0" w14:textId="77777777" w:rsidR="00AE4FE4" w:rsidRDefault="009F56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25CAA00" w14:textId="77777777" w:rsidR="00AE4FE4" w:rsidRDefault="009F563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AE4FE4" w14:paraId="0038FEBF" w14:textId="77777777">
      <w:tc>
        <w:tcPr>
          <w:tcW w:w="2551" w:type="dxa"/>
          <w:vAlign w:val="center"/>
        </w:tcPr>
        <w:p w14:paraId="7EA8176D" w14:textId="77777777" w:rsidR="00AE4FE4" w:rsidRDefault="009F56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1979B99" w14:textId="77777777" w:rsidR="00AE4FE4" w:rsidRDefault="009F563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91A7C6" w14:textId="77777777" w:rsidR="00AE4FE4" w:rsidRDefault="009F563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6B7C" w14:textId="77777777" w:rsidR="00AE4FE4" w:rsidRDefault="009F563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2FD33E1" wp14:editId="36BC1D13">
          <wp:simplePos x="0" y="0"/>
          <wp:positionH relativeFrom="column">
            <wp:posOffset>-798193</wp:posOffset>
          </wp:positionH>
          <wp:positionV relativeFrom="paragraph">
            <wp:posOffset>-399413</wp:posOffset>
          </wp:positionV>
          <wp:extent cx="7809876" cy="10165823"/>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AE4FE4" w14:paraId="142224A2" w14:textId="77777777">
      <w:tc>
        <w:tcPr>
          <w:tcW w:w="2551" w:type="dxa"/>
          <w:vAlign w:val="center"/>
        </w:tcPr>
        <w:p w14:paraId="56726423" w14:textId="77777777" w:rsidR="00AE4FE4" w:rsidRDefault="009F56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D7888B9" w14:textId="77777777" w:rsidR="00AE4FE4" w:rsidRDefault="009F563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04324/INFOEM/IP/RR/2023 </w:t>
          </w:r>
        </w:p>
      </w:tc>
    </w:tr>
    <w:tr w:rsidR="00AE4FE4" w14:paraId="44DB374D" w14:textId="77777777">
      <w:tc>
        <w:tcPr>
          <w:tcW w:w="2551" w:type="dxa"/>
          <w:vAlign w:val="center"/>
        </w:tcPr>
        <w:p w14:paraId="7CE42567" w14:textId="77777777" w:rsidR="00AE4FE4" w:rsidRDefault="009F563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77BD65B" w14:textId="7A158533" w:rsidR="00AE4FE4" w:rsidRDefault="00140B7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AE4FE4" w14:paraId="29BC085C" w14:textId="77777777">
      <w:trPr>
        <w:trHeight w:val="228"/>
      </w:trPr>
      <w:tc>
        <w:tcPr>
          <w:tcW w:w="2551" w:type="dxa"/>
          <w:vAlign w:val="center"/>
        </w:tcPr>
        <w:p w14:paraId="28E56170" w14:textId="77777777" w:rsidR="00AE4FE4" w:rsidRDefault="009F56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2D7BEB6" w14:textId="77777777" w:rsidR="00AE4FE4" w:rsidRDefault="009F5637">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AE4FE4" w14:paraId="56231997" w14:textId="77777777">
      <w:tc>
        <w:tcPr>
          <w:tcW w:w="2551" w:type="dxa"/>
          <w:vAlign w:val="center"/>
        </w:tcPr>
        <w:p w14:paraId="2D998CC3" w14:textId="77777777" w:rsidR="00AE4FE4" w:rsidRDefault="009F56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6B9EF6D" w14:textId="77777777" w:rsidR="00AE4FE4" w:rsidRDefault="009F563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998C66" w14:textId="77777777" w:rsidR="00AE4FE4" w:rsidRDefault="00AE4FE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9ECE" w14:textId="77777777" w:rsidR="00AE4FE4" w:rsidRDefault="00AE4FE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DC7FA08" w14:textId="77777777" w:rsidR="00AE4FE4" w:rsidRDefault="00AE4FE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E65C8"/>
    <w:multiLevelType w:val="multilevel"/>
    <w:tmpl w:val="0E1A72A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BE0C03"/>
    <w:multiLevelType w:val="multilevel"/>
    <w:tmpl w:val="F81AB36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8B346E"/>
    <w:multiLevelType w:val="multilevel"/>
    <w:tmpl w:val="35E27B16"/>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511E3A66"/>
    <w:multiLevelType w:val="multilevel"/>
    <w:tmpl w:val="4708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B03621"/>
    <w:multiLevelType w:val="multilevel"/>
    <w:tmpl w:val="B4A8304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8A48FF"/>
    <w:multiLevelType w:val="multilevel"/>
    <w:tmpl w:val="5838CB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040C58"/>
    <w:multiLevelType w:val="multilevel"/>
    <w:tmpl w:val="8F2066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FE4"/>
    <w:rsid w:val="00140B7F"/>
    <w:rsid w:val="00421481"/>
    <w:rsid w:val="00720468"/>
    <w:rsid w:val="0078581D"/>
    <w:rsid w:val="009F5637"/>
    <w:rsid w:val="00AE4FE4"/>
    <w:rsid w:val="00B62C39"/>
    <w:rsid w:val="00EB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6950"/>
  <w15:docId w15:val="{404B6A1A-DCD3-4F0A-8C95-CCAF52BB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acalco.gob.mx/wp-content/uploads/2022/08/BALANZA-DE-COMPROBACION-DETALLADA-MARZO-2018.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6.png"/><Relationship Id="rId17" Type="http://schemas.openxmlformats.org/officeDocument/2006/relationships/image" Target="media/image1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image" Target="media/image1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TvE98Vm0d7qw48sew33YVIvvQ==">CgMxLjAyCWguM3pueXNoNzIIaC5namRneHMyCWguMzBqMHpsbDIJaC4xZm9iOXRlOAByITFQT3B4VnYxRXJHV1lFQ2stZTNXWXlGSTk4MHhuSVdCQw==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6669</Words>
  <Characters>36681</Characters>
  <Application>Microsoft Office Word</Application>
  <DocSecurity>0</DocSecurity>
  <Lines>305</Lines>
  <Paragraphs>86</Paragraphs>
  <ScaleCrop>false</ScaleCrop>
  <Company>HP Inc.</Company>
  <LinksUpToDate>false</LinksUpToDate>
  <CharactersWithSpaces>43264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dcterms:created xsi:type="dcterms:W3CDTF">2024-03-21T23:44:00Z</dcterms:created>
  <dcterms:modified xsi:type="dcterms:W3CDTF">2024-03-21T23:44:00Z</dcterms:modified>
</cp:coreProperties>
</file>