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A21A6" w14:textId="77777777" w:rsidR="003D3C22" w:rsidRPr="00BF67E5" w:rsidRDefault="00BF67E5">
      <w:pPr>
        <w:pBdr>
          <w:top w:val="nil"/>
          <w:left w:val="nil"/>
          <w:bottom w:val="nil"/>
          <w:right w:val="nil"/>
          <w:between w:val="nil"/>
        </w:pBdr>
        <w:spacing w:line="360" w:lineRule="auto"/>
        <w:jc w:val="both"/>
        <w:rPr>
          <w:rFonts w:ascii="Palatino Linotype" w:eastAsia="Palatino Linotype" w:hAnsi="Palatino Linotype" w:cs="Palatino Linotype"/>
          <w:color w:val="000000"/>
        </w:rPr>
      </w:pPr>
      <w:bookmarkStart w:id="0" w:name="_heading=h.gjdgxs" w:colFirst="0" w:colLast="0"/>
      <w:bookmarkEnd w:id="0"/>
      <w:r w:rsidRPr="00BF67E5">
        <w:rPr>
          <w:rFonts w:ascii="Palatino Linotype" w:eastAsia="Palatino Linotype" w:hAnsi="Palatino Linotype" w:cs="Palatino Linotype"/>
          <w:color w:val="000000"/>
        </w:rPr>
        <w:t xml:space="preserve">Resolución del Pleno del Instituto de Transparencia, Acceso a la Información Pública y Protección de Datos Personales del Estado de México y Municipios, con domicilio en Metepec, Estado de México; de </w:t>
      </w:r>
      <w:r>
        <w:rPr>
          <w:rFonts w:ascii="Palatino Linotype" w:eastAsia="Palatino Linotype" w:hAnsi="Palatino Linotype" w:cs="Palatino Linotype"/>
          <w:color w:val="000000"/>
        </w:rPr>
        <w:t>fecha seis</w:t>
      </w:r>
      <w:r w:rsidRPr="00BF67E5">
        <w:rPr>
          <w:rFonts w:ascii="Palatino Linotype" w:eastAsia="Palatino Linotype" w:hAnsi="Palatino Linotype" w:cs="Palatino Linotype"/>
          <w:color w:val="000000"/>
        </w:rPr>
        <w:t xml:space="preserve"> </w:t>
      </w:r>
      <w:r w:rsidR="001163DE">
        <w:rPr>
          <w:rFonts w:ascii="Palatino Linotype" w:eastAsia="Palatino Linotype" w:hAnsi="Palatino Linotype" w:cs="Palatino Linotype"/>
          <w:color w:val="000000"/>
        </w:rPr>
        <w:t xml:space="preserve">(06) </w:t>
      </w:r>
      <w:r w:rsidRPr="00BF67E5">
        <w:rPr>
          <w:rFonts w:ascii="Palatino Linotype" w:eastAsia="Palatino Linotype" w:hAnsi="Palatino Linotype" w:cs="Palatino Linotype"/>
          <w:color w:val="000000"/>
        </w:rPr>
        <w:t xml:space="preserve">de </w:t>
      </w:r>
      <w:r w:rsidR="001F7AFD">
        <w:rPr>
          <w:rFonts w:ascii="Palatino Linotype" w:eastAsia="Palatino Linotype" w:hAnsi="Palatino Linotype" w:cs="Palatino Linotype"/>
          <w:color w:val="000000"/>
        </w:rPr>
        <w:t>noviembre</w:t>
      </w:r>
      <w:r w:rsidRPr="00BF67E5">
        <w:rPr>
          <w:rFonts w:ascii="Palatino Linotype" w:eastAsia="Palatino Linotype" w:hAnsi="Palatino Linotype" w:cs="Palatino Linotype"/>
          <w:color w:val="000000"/>
        </w:rPr>
        <w:t xml:space="preserve"> de dos mil veinticuatro.</w:t>
      </w:r>
    </w:p>
    <w:p w14:paraId="0379C0BD"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b/>
          <w:color w:val="000000"/>
        </w:rPr>
      </w:pPr>
      <w:bookmarkStart w:id="1" w:name="_heading=h.30j0zll" w:colFirst="0" w:colLast="0"/>
      <w:bookmarkEnd w:id="1"/>
    </w:p>
    <w:p w14:paraId="70E3C78F" w14:textId="3589E9F6" w:rsidR="003D3C22" w:rsidRPr="00BF67E5" w:rsidRDefault="00BF67E5">
      <w:pPr>
        <w:pBdr>
          <w:top w:val="nil"/>
          <w:left w:val="nil"/>
          <w:bottom w:val="nil"/>
          <w:right w:val="nil"/>
          <w:between w:val="nil"/>
        </w:pBdr>
        <w:spacing w:line="360" w:lineRule="auto"/>
        <w:jc w:val="both"/>
        <w:rPr>
          <w:rFonts w:ascii="Palatino Linotype" w:eastAsia="Palatino Linotype" w:hAnsi="Palatino Linotype" w:cs="Palatino Linotype"/>
          <w:color w:val="000000"/>
        </w:rPr>
      </w:pPr>
      <w:bookmarkStart w:id="2" w:name="_heading=h.1fob9te" w:colFirst="0" w:colLast="0"/>
      <w:bookmarkEnd w:id="2"/>
      <w:r w:rsidRPr="001F7AFD">
        <w:rPr>
          <w:rFonts w:ascii="Palatino Linotype" w:eastAsia="Palatino Linotype" w:hAnsi="Palatino Linotype" w:cs="Palatino Linotype"/>
          <w:b/>
          <w:color w:val="000000"/>
        </w:rPr>
        <w:t>VISTOS</w:t>
      </w:r>
      <w:r w:rsidRPr="00BF67E5">
        <w:rPr>
          <w:rFonts w:ascii="Palatino Linotype" w:eastAsia="Palatino Linotype" w:hAnsi="Palatino Linotype" w:cs="Palatino Linotype"/>
          <w:color w:val="000000"/>
        </w:rPr>
        <w:t xml:space="preserve"> los expedientes electrónicos formados con motivo de los Recursos de Revisión </w:t>
      </w:r>
      <w:r w:rsidRPr="00BF67E5">
        <w:rPr>
          <w:rFonts w:ascii="Palatino Linotype" w:eastAsia="Palatino Linotype" w:hAnsi="Palatino Linotype" w:cs="Palatino Linotype"/>
          <w:b/>
          <w:color w:val="000000"/>
        </w:rPr>
        <w:t xml:space="preserve">04578/INFOEM/IP/RR/2024 y 04579/INFOEM/IP/RR/2024 </w:t>
      </w:r>
      <w:r w:rsidRPr="00BF67E5">
        <w:rPr>
          <w:rFonts w:ascii="Palatino Linotype" w:eastAsia="Palatino Linotype" w:hAnsi="Palatino Linotype" w:cs="Palatino Linotype"/>
          <w:color w:val="000000"/>
        </w:rPr>
        <w:t xml:space="preserve">acumulados, promovidos </w:t>
      </w:r>
      <w:proofErr w:type="gramStart"/>
      <w:r w:rsidRPr="00BF67E5">
        <w:rPr>
          <w:rFonts w:ascii="Palatino Linotype" w:eastAsia="Palatino Linotype" w:hAnsi="Palatino Linotype" w:cs="Palatino Linotype"/>
          <w:color w:val="000000"/>
        </w:rPr>
        <w:t>por  </w:t>
      </w:r>
      <w:r w:rsidR="00C867D6">
        <w:rPr>
          <w:rFonts w:ascii="Palatino Linotype" w:eastAsia="Palatino Linotype" w:hAnsi="Palatino Linotype" w:cs="Palatino Linotype"/>
          <w:b/>
          <w:color w:val="000000"/>
        </w:rPr>
        <w:t>XXX</w:t>
      </w:r>
      <w:proofErr w:type="gramEnd"/>
      <w:r w:rsidR="00C867D6">
        <w:rPr>
          <w:rFonts w:ascii="Palatino Linotype" w:eastAsia="Palatino Linotype" w:hAnsi="Palatino Linotype" w:cs="Palatino Linotype"/>
          <w:b/>
          <w:color w:val="000000"/>
        </w:rPr>
        <w:t xml:space="preserve"> </w:t>
      </w:r>
      <w:proofErr w:type="spellStart"/>
      <w:r w:rsidR="00C867D6">
        <w:rPr>
          <w:rFonts w:ascii="Palatino Linotype" w:eastAsia="Palatino Linotype" w:hAnsi="Palatino Linotype" w:cs="Palatino Linotype"/>
          <w:b/>
          <w:color w:val="000000"/>
        </w:rPr>
        <w:t>XXX</w:t>
      </w:r>
      <w:proofErr w:type="spellEnd"/>
      <w:r w:rsidRPr="00BF67E5">
        <w:rPr>
          <w:rFonts w:ascii="Palatino Linotype" w:eastAsia="Palatino Linotype" w:hAnsi="Palatino Linotype" w:cs="Palatino Linotype"/>
          <w:color w:val="000000"/>
        </w:rPr>
        <w:t xml:space="preserve">, a través del Sistema de Acceso a la Información Mexiquense </w:t>
      </w:r>
      <w:r w:rsidRPr="001F7AFD">
        <w:rPr>
          <w:rFonts w:ascii="Palatino Linotype" w:eastAsia="Palatino Linotype" w:hAnsi="Palatino Linotype" w:cs="Palatino Linotype"/>
          <w:b/>
          <w:color w:val="000000"/>
        </w:rPr>
        <w:t>(SAIMEX),</w:t>
      </w:r>
      <w:r w:rsidRPr="00BF67E5">
        <w:rPr>
          <w:rFonts w:ascii="Palatino Linotype" w:eastAsia="Palatino Linotype" w:hAnsi="Palatino Linotype" w:cs="Palatino Linotype"/>
          <w:color w:val="000000"/>
        </w:rPr>
        <w:t xml:space="preserve"> a quien en lo sucesivo se le identificará como </w:t>
      </w:r>
      <w:r w:rsidRPr="00BF67E5">
        <w:rPr>
          <w:rFonts w:ascii="Palatino Linotype" w:eastAsia="Palatino Linotype" w:hAnsi="Palatino Linotype" w:cs="Palatino Linotype"/>
          <w:b/>
          <w:color w:val="000000"/>
        </w:rPr>
        <w:t>EL RECURRENTE</w:t>
      </w:r>
      <w:r w:rsidRPr="00BF67E5">
        <w:rPr>
          <w:rFonts w:ascii="Palatino Linotype" w:eastAsia="Palatino Linotype" w:hAnsi="Palatino Linotype" w:cs="Palatino Linotype"/>
          <w:color w:val="000000"/>
        </w:rPr>
        <w:t xml:space="preserve">, en contra de las respuestas del </w:t>
      </w:r>
      <w:r w:rsidRPr="00BF67E5">
        <w:rPr>
          <w:rFonts w:ascii="Palatino Linotype" w:eastAsia="Palatino Linotype" w:hAnsi="Palatino Linotype" w:cs="Palatino Linotype"/>
          <w:b/>
          <w:color w:val="000000"/>
        </w:rPr>
        <w:t>Ayuntamiento de Tenancingo</w:t>
      </w:r>
      <w:r w:rsidRPr="00BF67E5">
        <w:rPr>
          <w:rFonts w:ascii="Palatino Linotype" w:eastAsia="Palatino Linotype" w:hAnsi="Palatino Linotype" w:cs="Palatino Linotype"/>
          <w:color w:val="000000"/>
        </w:rPr>
        <w:t xml:space="preserve">, en </w:t>
      </w:r>
      <w:r w:rsidR="001F7AFD">
        <w:rPr>
          <w:rFonts w:ascii="Palatino Linotype" w:eastAsia="Palatino Linotype" w:hAnsi="Palatino Linotype" w:cs="Palatino Linotype"/>
          <w:color w:val="000000"/>
        </w:rPr>
        <w:t>adelante</w:t>
      </w:r>
      <w:r w:rsidRPr="00BF67E5">
        <w:rPr>
          <w:rFonts w:ascii="Palatino Linotype" w:eastAsia="Palatino Linotype" w:hAnsi="Palatino Linotype" w:cs="Palatino Linotype"/>
          <w:color w:val="000000"/>
        </w:rPr>
        <w:t xml:space="preserve"> </w:t>
      </w:r>
      <w:r w:rsidRPr="00BF67E5">
        <w:rPr>
          <w:rFonts w:ascii="Palatino Linotype" w:eastAsia="Palatino Linotype" w:hAnsi="Palatino Linotype" w:cs="Palatino Linotype"/>
          <w:b/>
          <w:color w:val="000000"/>
        </w:rPr>
        <w:t>EL SUJETO OBLIGADO</w:t>
      </w:r>
      <w:r w:rsidRPr="00BF67E5">
        <w:rPr>
          <w:rFonts w:ascii="Palatino Linotype" w:eastAsia="Palatino Linotype" w:hAnsi="Palatino Linotype" w:cs="Palatino Linotype"/>
          <w:color w:val="000000"/>
        </w:rPr>
        <w:t>, se procede a dictar la presente resolución, con base en los siguientes:</w:t>
      </w:r>
    </w:p>
    <w:p w14:paraId="6D6B9BED"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5449D15A" w14:textId="77777777" w:rsidR="003D3C22" w:rsidRPr="00BF67E5" w:rsidRDefault="00BF67E5">
      <w:pPr>
        <w:pBdr>
          <w:top w:val="nil"/>
          <w:left w:val="nil"/>
          <w:bottom w:val="nil"/>
          <w:right w:val="nil"/>
          <w:between w:val="nil"/>
        </w:pBdr>
        <w:spacing w:line="360" w:lineRule="auto"/>
        <w:jc w:val="center"/>
        <w:rPr>
          <w:rFonts w:ascii="Palatino Linotype" w:eastAsia="Palatino Linotype" w:hAnsi="Palatino Linotype" w:cs="Palatino Linotype"/>
          <w:b/>
          <w:color w:val="000000"/>
        </w:rPr>
      </w:pPr>
      <w:r w:rsidRPr="00BF67E5">
        <w:rPr>
          <w:rFonts w:ascii="Palatino Linotype" w:eastAsia="Palatino Linotype" w:hAnsi="Palatino Linotype" w:cs="Palatino Linotype"/>
          <w:b/>
          <w:color w:val="000000"/>
        </w:rPr>
        <w:t>A N T E C E D E N T E S</w:t>
      </w:r>
    </w:p>
    <w:p w14:paraId="2EF14615" w14:textId="77777777" w:rsidR="003D3C22" w:rsidRPr="00BF67E5" w:rsidRDefault="003D3C22">
      <w:pPr>
        <w:spacing w:line="360" w:lineRule="auto"/>
        <w:rPr>
          <w:rFonts w:ascii="Palatino Linotype" w:eastAsia="Palatino Linotype" w:hAnsi="Palatino Linotype" w:cs="Palatino Linotype"/>
        </w:rPr>
      </w:pPr>
    </w:p>
    <w:p w14:paraId="791A6C0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El día </w:t>
      </w:r>
      <w:r w:rsidRPr="00BF67E5">
        <w:rPr>
          <w:rFonts w:ascii="Palatino Linotype" w:eastAsia="Palatino Linotype" w:hAnsi="Palatino Linotype" w:cs="Palatino Linotype"/>
          <w:b/>
          <w:color w:val="000000"/>
        </w:rPr>
        <w:t xml:space="preserve">veintitrés de mayo y seis de dos mil veinticuatro, </w:t>
      </w:r>
      <w:r w:rsidRPr="00BF67E5">
        <w:rPr>
          <w:rFonts w:ascii="Palatino Linotype" w:eastAsia="Palatino Linotype" w:hAnsi="Palatino Linotype" w:cs="Palatino Linotype"/>
          <w:color w:val="000000"/>
        </w:rPr>
        <w:t xml:space="preserve">se presentó ante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xml:space="preserve"> vía </w:t>
      </w:r>
      <w:r w:rsidRPr="00BF67E5">
        <w:rPr>
          <w:rFonts w:ascii="Palatino Linotype" w:eastAsia="Palatino Linotype" w:hAnsi="Palatino Linotype" w:cs="Palatino Linotype"/>
          <w:b/>
          <w:color w:val="000000"/>
        </w:rPr>
        <w:t>SAIMEX</w:t>
      </w:r>
      <w:r w:rsidRPr="00BF67E5">
        <w:rPr>
          <w:rFonts w:ascii="Palatino Linotype" w:eastAsia="Palatino Linotype" w:hAnsi="Palatino Linotype" w:cs="Palatino Linotype"/>
          <w:color w:val="000000"/>
        </w:rPr>
        <w:t>, las solicitudes de información pública registradas con los números</w:t>
      </w:r>
      <w:r w:rsidRPr="00BF67E5">
        <w:rPr>
          <w:rFonts w:ascii="Palatino Linotype" w:eastAsia="Palatino Linotype" w:hAnsi="Palatino Linotype" w:cs="Palatino Linotype"/>
          <w:b/>
          <w:color w:val="000000"/>
        </w:rPr>
        <w:t xml:space="preserve"> 00236/TENANCIN/IP/2024 y 00244/TENANCIN/IP/2024, </w:t>
      </w:r>
      <w:r w:rsidRPr="00BF67E5">
        <w:rPr>
          <w:rFonts w:ascii="Palatino Linotype" w:eastAsia="Palatino Linotype" w:hAnsi="Palatino Linotype" w:cs="Palatino Linotype"/>
          <w:color w:val="000000"/>
        </w:rPr>
        <w:t>mediante las cuales se solicitó la siguiente información:</w:t>
      </w:r>
    </w:p>
    <w:p w14:paraId="05AFC8BA"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14:paraId="43B43C3F" w14:textId="77777777" w:rsidR="003D3C22" w:rsidRPr="00BF67E5" w:rsidRDefault="00BF67E5">
      <w:pPr>
        <w:pBdr>
          <w:top w:val="nil"/>
          <w:left w:val="nil"/>
          <w:bottom w:val="nil"/>
          <w:right w:val="nil"/>
          <w:between w:val="nil"/>
        </w:pBdr>
        <w:ind w:left="1134" w:right="900"/>
        <w:jc w:val="both"/>
        <w:rPr>
          <w:rFonts w:ascii="Palatino Linotype" w:eastAsia="Palatino Linotype" w:hAnsi="Palatino Linotype" w:cs="Palatino Linotype"/>
          <w:i/>
          <w:color w:val="000000"/>
        </w:rPr>
      </w:pPr>
      <w:r w:rsidRPr="00BF67E5">
        <w:rPr>
          <w:rFonts w:ascii="Palatino Linotype" w:eastAsia="Palatino Linotype" w:hAnsi="Palatino Linotype" w:cs="Palatino Linotype"/>
          <w:b/>
          <w:i/>
          <w:color w:val="000000"/>
        </w:rPr>
        <w:t>Solicitud 00236/TENANCIN/IP/2024:</w:t>
      </w:r>
      <w:r w:rsidRPr="00BF67E5">
        <w:rPr>
          <w:rFonts w:ascii="Palatino Linotype" w:eastAsia="Palatino Linotype" w:hAnsi="Palatino Linotype" w:cs="Palatino Linotype"/>
          <w:i/>
          <w:color w:val="000000"/>
        </w:rPr>
        <w:t xml:space="preserve"> “</w:t>
      </w:r>
    </w:p>
    <w:p w14:paraId="74780AF6" w14:textId="77777777" w:rsidR="003D3C22" w:rsidRPr="00BF67E5" w:rsidRDefault="00BF67E5">
      <w:pPr>
        <w:pBdr>
          <w:top w:val="nil"/>
          <w:left w:val="nil"/>
          <w:bottom w:val="nil"/>
          <w:right w:val="nil"/>
          <w:between w:val="nil"/>
        </w:pBdr>
        <w:ind w:left="1134" w:right="900"/>
        <w:jc w:val="both"/>
        <w:rPr>
          <w:rFonts w:ascii="Palatino Linotype" w:eastAsia="Palatino Linotype" w:hAnsi="Palatino Linotype" w:cs="Palatino Linotype"/>
          <w:i/>
          <w:color w:val="000000"/>
        </w:rPr>
      </w:pPr>
      <w:r w:rsidRPr="00BF67E5">
        <w:rPr>
          <w:rFonts w:ascii="Palatino Linotype" w:eastAsia="Palatino Linotype" w:hAnsi="Palatino Linotype" w:cs="Palatino Linotype"/>
          <w:i/>
          <w:color w:val="000000"/>
        </w:rPr>
        <w:t xml:space="preserve">al sujeto obligado quiero conocer los recibos de nómina de enero 2021, enero 2022, diciembre 2023 y enero 2024 de todo el personal tanto de la primera y segunda quincena de cada mes señalado, en </w:t>
      </w:r>
      <w:proofErr w:type="spellStart"/>
      <w:r w:rsidRPr="00BF67E5">
        <w:rPr>
          <w:rFonts w:ascii="Palatino Linotype" w:eastAsia="Palatino Linotype" w:hAnsi="Palatino Linotype" w:cs="Palatino Linotype"/>
          <w:i/>
          <w:color w:val="000000"/>
        </w:rPr>
        <w:t>version</w:t>
      </w:r>
      <w:proofErr w:type="spellEnd"/>
      <w:r w:rsidRPr="00BF67E5">
        <w:rPr>
          <w:rFonts w:ascii="Palatino Linotype" w:eastAsia="Palatino Linotype" w:hAnsi="Palatino Linotype" w:cs="Palatino Linotype"/>
          <w:i/>
          <w:color w:val="000000"/>
        </w:rPr>
        <w:t xml:space="preserve"> pública y </w:t>
      </w:r>
      <w:proofErr w:type="gramStart"/>
      <w:r w:rsidRPr="00BF67E5">
        <w:rPr>
          <w:rFonts w:ascii="Palatino Linotype" w:eastAsia="Palatino Linotype" w:hAnsi="Palatino Linotype" w:cs="Palatino Linotype"/>
          <w:i/>
          <w:color w:val="000000"/>
        </w:rPr>
        <w:t>digital .</w:t>
      </w:r>
      <w:proofErr w:type="gramEnd"/>
      <w:r w:rsidRPr="00BF67E5">
        <w:rPr>
          <w:rFonts w:ascii="Palatino Linotype" w:eastAsia="Palatino Linotype" w:hAnsi="Palatino Linotype" w:cs="Palatino Linotype"/>
          <w:i/>
          <w:color w:val="000000"/>
        </w:rPr>
        <w:t>”</w:t>
      </w:r>
    </w:p>
    <w:p w14:paraId="3C49638C" w14:textId="77777777" w:rsidR="003D3C22" w:rsidRPr="00BF67E5" w:rsidRDefault="003D3C22">
      <w:pPr>
        <w:ind w:left="1134" w:right="900"/>
        <w:jc w:val="both"/>
        <w:rPr>
          <w:rFonts w:ascii="Palatino Linotype" w:eastAsia="Palatino Linotype" w:hAnsi="Palatino Linotype" w:cs="Palatino Linotype"/>
          <w:i/>
        </w:rPr>
      </w:pPr>
    </w:p>
    <w:p w14:paraId="667CC627" w14:textId="77777777" w:rsidR="003D3C22" w:rsidRPr="00BF67E5" w:rsidRDefault="00BF67E5">
      <w:pPr>
        <w:pBdr>
          <w:top w:val="nil"/>
          <w:left w:val="nil"/>
          <w:bottom w:val="nil"/>
          <w:right w:val="nil"/>
          <w:between w:val="nil"/>
        </w:pBdr>
        <w:ind w:left="1134" w:right="900"/>
        <w:jc w:val="both"/>
        <w:rPr>
          <w:rFonts w:ascii="Palatino Linotype" w:eastAsia="Palatino Linotype" w:hAnsi="Palatino Linotype" w:cs="Palatino Linotype"/>
          <w:i/>
          <w:color w:val="000000"/>
        </w:rPr>
      </w:pPr>
      <w:r w:rsidRPr="00BF67E5">
        <w:rPr>
          <w:rFonts w:ascii="Palatino Linotype" w:eastAsia="Palatino Linotype" w:hAnsi="Palatino Linotype" w:cs="Palatino Linotype"/>
          <w:b/>
          <w:i/>
          <w:color w:val="000000"/>
        </w:rPr>
        <w:t xml:space="preserve">Solicitud 00244/TENANCIN/IP/2024: </w:t>
      </w:r>
      <w:r w:rsidRPr="00BF67E5">
        <w:rPr>
          <w:rFonts w:ascii="Palatino Linotype" w:eastAsia="Palatino Linotype" w:hAnsi="Palatino Linotype" w:cs="Palatino Linotype"/>
          <w:i/>
          <w:color w:val="000000"/>
        </w:rPr>
        <w:t>“</w:t>
      </w:r>
    </w:p>
    <w:p w14:paraId="5BCAAD45" w14:textId="77777777" w:rsidR="003D3C22" w:rsidRPr="00BF67E5" w:rsidRDefault="00BF67E5">
      <w:pPr>
        <w:pBdr>
          <w:top w:val="nil"/>
          <w:left w:val="nil"/>
          <w:bottom w:val="nil"/>
          <w:right w:val="nil"/>
          <w:between w:val="nil"/>
        </w:pBdr>
        <w:ind w:left="1134" w:right="900"/>
        <w:jc w:val="both"/>
        <w:rPr>
          <w:rFonts w:ascii="Palatino Linotype" w:eastAsia="Palatino Linotype" w:hAnsi="Palatino Linotype" w:cs="Palatino Linotype"/>
          <w:i/>
          <w:color w:val="000000"/>
        </w:rPr>
      </w:pPr>
      <w:r w:rsidRPr="00BF67E5">
        <w:rPr>
          <w:rFonts w:ascii="Palatino Linotype" w:eastAsia="Palatino Linotype" w:hAnsi="Palatino Linotype" w:cs="Palatino Linotype"/>
          <w:i/>
          <w:color w:val="000000"/>
        </w:rPr>
        <w:t xml:space="preserve">Solicito los recibos de nómina de los servidores públicos sindicalizados de la primera y segunda quincena del mes de abril de 2023 y 2024 en versión pública </w:t>
      </w:r>
      <w:r w:rsidRPr="00BF67E5">
        <w:rPr>
          <w:rFonts w:ascii="Palatino Linotype" w:eastAsia="Palatino Linotype" w:hAnsi="Palatino Linotype" w:cs="Palatino Linotype"/>
          <w:i/>
          <w:color w:val="000000"/>
        </w:rPr>
        <w:lastRenderedPageBreak/>
        <w:t>digital Solicito los recibos de nómina de los servidores públicos de la primera y segunda quincena del mes de diciembre de 2023 y 2024 en versión pública digital”</w:t>
      </w:r>
    </w:p>
    <w:p w14:paraId="09660783"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i/>
          <w:color w:val="000000"/>
        </w:rPr>
      </w:pPr>
    </w:p>
    <w:p w14:paraId="2A3ADF18" w14:textId="77777777" w:rsidR="003D3C22" w:rsidRPr="00BF67E5" w:rsidRDefault="00BF67E5">
      <w:pPr>
        <w:numPr>
          <w:ilvl w:val="0"/>
          <w:numId w:val="3"/>
        </w:numPr>
        <w:pBdr>
          <w:top w:val="nil"/>
          <w:left w:val="nil"/>
          <w:bottom w:val="nil"/>
          <w:right w:val="nil"/>
          <w:between w:val="nil"/>
        </w:pBdr>
        <w:spacing w:line="360" w:lineRule="auto"/>
        <w:ind w:left="709" w:right="474"/>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b/>
          <w:color w:val="000000"/>
        </w:rPr>
        <w:t>Modalidad de entrega</w:t>
      </w:r>
      <w:r w:rsidRPr="00BF67E5">
        <w:rPr>
          <w:rFonts w:ascii="Palatino Linotype" w:eastAsia="Palatino Linotype" w:hAnsi="Palatino Linotype" w:cs="Palatino Linotype"/>
          <w:color w:val="000000"/>
        </w:rPr>
        <w:t>: Vía SAIMEX.</w:t>
      </w:r>
    </w:p>
    <w:p w14:paraId="2F8D5F88"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i/>
          <w:color w:val="000000"/>
        </w:rPr>
      </w:pPr>
    </w:p>
    <w:p w14:paraId="5D96A6A4"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lo anterior, el </w:t>
      </w:r>
      <w:r w:rsidRPr="00BF67E5">
        <w:rPr>
          <w:rFonts w:ascii="Palatino Linotype" w:eastAsia="Palatino Linotype" w:hAnsi="Palatino Linotype" w:cs="Palatino Linotype"/>
          <w:b/>
          <w:color w:val="000000"/>
        </w:rPr>
        <w:t xml:space="preserve">veintiocho de junio y diez de julio de dos mil veinticuatro </w:t>
      </w:r>
      <w:r w:rsidRPr="00BF67E5">
        <w:rPr>
          <w:rFonts w:ascii="Palatino Linotype" w:eastAsia="Palatino Linotype" w:hAnsi="Palatino Linotype" w:cs="Palatino Linotype"/>
          <w:color w:val="000000"/>
        </w:rPr>
        <w:t xml:space="preserve">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 xml:space="preserve">dio respuesta a las solicitudes de información </w:t>
      </w:r>
      <w:r w:rsidRPr="00BF67E5">
        <w:rPr>
          <w:rFonts w:ascii="Palatino Linotype" w:eastAsia="Palatino Linotype" w:hAnsi="Palatino Linotype" w:cs="Palatino Linotype"/>
          <w:b/>
          <w:color w:val="000000"/>
        </w:rPr>
        <w:t xml:space="preserve">00236/TENANCIN/IP/2024 y 00244/TENANCIN/IP/2024, </w:t>
      </w:r>
      <w:r w:rsidRPr="00BF67E5">
        <w:rPr>
          <w:rFonts w:ascii="Palatino Linotype" w:eastAsia="Palatino Linotype" w:hAnsi="Palatino Linotype" w:cs="Palatino Linotype"/>
          <w:color w:val="000000"/>
        </w:rPr>
        <w:t>con un archivo electrónico cuyo contenido grosso modo es el siguiente:</w:t>
      </w:r>
    </w:p>
    <w:tbl>
      <w:tblPr>
        <w:tblStyle w:val="a"/>
        <w:tblW w:w="9355"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48"/>
        <w:gridCol w:w="5107"/>
      </w:tblGrid>
      <w:tr w:rsidR="003D3C22" w:rsidRPr="001F7AFD" w14:paraId="21C67B1C" w14:textId="77777777" w:rsidTr="001F7AFD">
        <w:tc>
          <w:tcPr>
            <w:tcW w:w="4248" w:type="dxa"/>
          </w:tcPr>
          <w:p w14:paraId="7783D14B" w14:textId="77777777" w:rsidR="003D3C22" w:rsidRPr="001F7AFD" w:rsidRDefault="00BF67E5" w:rsidP="001F7AFD">
            <w:pPr>
              <w:pBdr>
                <w:top w:val="nil"/>
                <w:left w:val="nil"/>
                <w:bottom w:val="nil"/>
                <w:right w:val="nil"/>
                <w:between w:val="nil"/>
              </w:pBdr>
              <w:jc w:val="center"/>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Solicitudes</w:t>
            </w:r>
          </w:p>
        </w:tc>
        <w:tc>
          <w:tcPr>
            <w:tcW w:w="5107" w:type="dxa"/>
          </w:tcPr>
          <w:p w14:paraId="170123C8" w14:textId="77777777" w:rsidR="003D3C22" w:rsidRPr="001F7AFD" w:rsidRDefault="00BF67E5" w:rsidP="001F7AFD">
            <w:pPr>
              <w:pBdr>
                <w:top w:val="nil"/>
                <w:left w:val="nil"/>
                <w:bottom w:val="nil"/>
                <w:right w:val="nil"/>
                <w:between w:val="nil"/>
              </w:pBdr>
              <w:jc w:val="center"/>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Respuesta</w:t>
            </w:r>
          </w:p>
        </w:tc>
      </w:tr>
      <w:tr w:rsidR="003D3C22" w:rsidRPr="001F7AFD" w14:paraId="2E6BB455" w14:textId="77777777" w:rsidTr="001F7AFD">
        <w:tc>
          <w:tcPr>
            <w:tcW w:w="4248" w:type="dxa"/>
          </w:tcPr>
          <w:p w14:paraId="566DB7A3" w14:textId="77777777" w:rsidR="003D3C22" w:rsidRPr="00C867D6" w:rsidRDefault="003D3C22">
            <w:pPr>
              <w:pBdr>
                <w:top w:val="nil"/>
                <w:left w:val="nil"/>
                <w:bottom w:val="nil"/>
                <w:right w:val="nil"/>
                <w:between w:val="nil"/>
              </w:pBdr>
              <w:ind w:left="720"/>
              <w:rPr>
                <w:rFonts w:ascii="Palatino Linotype" w:eastAsia="Palatino Linotype" w:hAnsi="Palatino Linotype" w:cs="Palatino Linotype"/>
                <w:i/>
                <w:color w:val="000000"/>
                <w:sz w:val="22"/>
                <w:lang w:val="en-US"/>
              </w:rPr>
            </w:pPr>
          </w:p>
          <w:p w14:paraId="4A2AD995" w14:textId="77777777" w:rsidR="003D3C22" w:rsidRPr="00C867D6" w:rsidRDefault="00BF67E5">
            <w:pPr>
              <w:pBdr>
                <w:top w:val="nil"/>
                <w:left w:val="nil"/>
                <w:bottom w:val="nil"/>
                <w:right w:val="nil"/>
                <w:between w:val="nil"/>
              </w:pBdr>
              <w:rPr>
                <w:rFonts w:ascii="Palatino Linotype" w:eastAsia="Palatino Linotype" w:hAnsi="Palatino Linotype" w:cs="Palatino Linotype"/>
                <w:i/>
                <w:color w:val="000000"/>
                <w:sz w:val="22"/>
                <w:lang w:val="en-US"/>
              </w:rPr>
            </w:pPr>
            <w:proofErr w:type="spellStart"/>
            <w:r w:rsidRPr="00C867D6">
              <w:rPr>
                <w:rFonts w:ascii="Palatino Linotype" w:eastAsia="Palatino Linotype" w:hAnsi="Palatino Linotype" w:cs="Palatino Linotype"/>
                <w:b/>
                <w:i/>
                <w:color w:val="000000"/>
                <w:sz w:val="22"/>
                <w:lang w:val="en-US"/>
              </w:rPr>
              <w:t>Solicitud</w:t>
            </w:r>
            <w:proofErr w:type="spellEnd"/>
            <w:r w:rsidRPr="00C867D6">
              <w:rPr>
                <w:rFonts w:ascii="Palatino Linotype" w:eastAsia="Palatino Linotype" w:hAnsi="Palatino Linotype" w:cs="Palatino Linotype"/>
                <w:b/>
                <w:i/>
                <w:color w:val="000000"/>
                <w:sz w:val="22"/>
                <w:lang w:val="en-US"/>
              </w:rPr>
              <w:t xml:space="preserve"> 00236/TENANCIN/IP/</w:t>
            </w:r>
            <w:proofErr w:type="gramStart"/>
            <w:r w:rsidRPr="00C867D6">
              <w:rPr>
                <w:rFonts w:ascii="Palatino Linotype" w:eastAsia="Palatino Linotype" w:hAnsi="Palatino Linotype" w:cs="Palatino Linotype"/>
                <w:b/>
                <w:i/>
                <w:color w:val="000000"/>
                <w:sz w:val="22"/>
                <w:lang w:val="en-US"/>
              </w:rPr>
              <w:t>2024 :</w:t>
            </w:r>
            <w:proofErr w:type="gramEnd"/>
            <w:r w:rsidRPr="00C867D6">
              <w:rPr>
                <w:rFonts w:ascii="Palatino Linotype" w:eastAsia="Palatino Linotype" w:hAnsi="Palatino Linotype" w:cs="Palatino Linotype"/>
                <w:b/>
                <w:i/>
                <w:color w:val="000000"/>
                <w:sz w:val="22"/>
                <w:lang w:val="en-US"/>
              </w:rPr>
              <w:t xml:space="preserve"> </w:t>
            </w:r>
            <w:proofErr w:type="spellStart"/>
            <w:r w:rsidRPr="00C867D6">
              <w:rPr>
                <w:rFonts w:ascii="Palatino Linotype" w:eastAsia="Palatino Linotype" w:hAnsi="Palatino Linotype" w:cs="Palatino Linotype"/>
                <w:i/>
                <w:color w:val="000000"/>
                <w:sz w:val="22"/>
                <w:lang w:val="en-US"/>
              </w:rPr>
              <w:t>archivo</w:t>
            </w:r>
            <w:proofErr w:type="spellEnd"/>
            <w:r w:rsidRPr="00C867D6">
              <w:rPr>
                <w:rFonts w:ascii="Palatino Linotype" w:eastAsia="Palatino Linotype" w:hAnsi="Palatino Linotype" w:cs="Palatino Linotype"/>
                <w:i/>
                <w:color w:val="000000"/>
                <w:sz w:val="22"/>
                <w:lang w:val="en-US"/>
              </w:rPr>
              <w:t xml:space="preserve"> 922.pdf</w:t>
            </w:r>
          </w:p>
          <w:p w14:paraId="68E9FC26" w14:textId="77777777" w:rsidR="003D3C22" w:rsidRPr="00C867D6" w:rsidRDefault="00BF67E5">
            <w:pPr>
              <w:pBdr>
                <w:top w:val="nil"/>
                <w:left w:val="nil"/>
                <w:bottom w:val="nil"/>
                <w:right w:val="nil"/>
                <w:between w:val="nil"/>
              </w:pBdr>
              <w:rPr>
                <w:rFonts w:ascii="Palatino Linotype" w:eastAsia="Palatino Linotype" w:hAnsi="Palatino Linotype" w:cs="Palatino Linotype"/>
                <w:i/>
                <w:color w:val="000000"/>
                <w:sz w:val="22"/>
                <w:lang w:val="en-US"/>
              </w:rPr>
            </w:pPr>
            <w:proofErr w:type="spellStart"/>
            <w:r w:rsidRPr="00C867D6">
              <w:rPr>
                <w:rFonts w:ascii="Palatino Linotype" w:eastAsia="Palatino Linotype" w:hAnsi="Palatino Linotype" w:cs="Palatino Linotype"/>
                <w:b/>
                <w:i/>
                <w:color w:val="000000"/>
                <w:sz w:val="22"/>
                <w:lang w:val="en-US"/>
              </w:rPr>
              <w:t>Solicitud</w:t>
            </w:r>
            <w:proofErr w:type="spellEnd"/>
            <w:r w:rsidRPr="00C867D6">
              <w:rPr>
                <w:rFonts w:ascii="Palatino Linotype" w:eastAsia="Palatino Linotype" w:hAnsi="Palatino Linotype" w:cs="Palatino Linotype"/>
                <w:b/>
                <w:i/>
                <w:color w:val="000000"/>
                <w:sz w:val="22"/>
                <w:lang w:val="en-US"/>
              </w:rPr>
              <w:t xml:space="preserve"> 00244/TENANCIN/IP/2024</w:t>
            </w:r>
            <w:r w:rsidRPr="00C867D6">
              <w:rPr>
                <w:rFonts w:ascii="Palatino Linotype" w:eastAsia="Palatino Linotype" w:hAnsi="Palatino Linotype" w:cs="Palatino Linotype"/>
                <w:i/>
                <w:color w:val="000000"/>
                <w:sz w:val="22"/>
                <w:lang w:val="en-US"/>
              </w:rPr>
              <w:t xml:space="preserve">: </w:t>
            </w:r>
            <w:proofErr w:type="spellStart"/>
            <w:r w:rsidRPr="00C867D6">
              <w:rPr>
                <w:rFonts w:ascii="Palatino Linotype" w:eastAsia="Palatino Linotype" w:hAnsi="Palatino Linotype" w:cs="Palatino Linotype"/>
                <w:i/>
                <w:color w:val="000000"/>
                <w:sz w:val="22"/>
                <w:lang w:val="en-US"/>
              </w:rPr>
              <w:t>archivo</w:t>
            </w:r>
            <w:proofErr w:type="spellEnd"/>
            <w:r w:rsidRPr="00C867D6">
              <w:rPr>
                <w:rFonts w:ascii="Palatino Linotype" w:eastAsia="Palatino Linotype" w:hAnsi="Palatino Linotype" w:cs="Palatino Linotype"/>
                <w:i/>
                <w:color w:val="000000"/>
                <w:sz w:val="22"/>
                <w:lang w:val="en-US"/>
              </w:rPr>
              <w:t xml:space="preserve"> 920.pdf</w:t>
            </w:r>
          </w:p>
          <w:p w14:paraId="737B2188" w14:textId="77777777" w:rsidR="003D3C22" w:rsidRPr="00C867D6" w:rsidRDefault="003D3C22">
            <w:pPr>
              <w:pBdr>
                <w:top w:val="nil"/>
                <w:left w:val="nil"/>
                <w:bottom w:val="nil"/>
                <w:right w:val="nil"/>
                <w:between w:val="nil"/>
              </w:pBdr>
              <w:jc w:val="both"/>
              <w:rPr>
                <w:rFonts w:ascii="Palatino Linotype" w:eastAsia="Palatino Linotype" w:hAnsi="Palatino Linotype" w:cs="Palatino Linotype"/>
                <w:i/>
                <w:color w:val="000000"/>
                <w:sz w:val="22"/>
                <w:lang w:val="en-US"/>
              </w:rPr>
            </w:pPr>
          </w:p>
        </w:tc>
        <w:tc>
          <w:tcPr>
            <w:tcW w:w="5107" w:type="dxa"/>
          </w:tcPr>
          <w:p w14:paraId="55C2558B" w14:textId="77777777" w:rsidR="003D3C22" w:rsidRPr="001F7AFD" w:rsidRDefault="00BF67E5">
            <w:pPr>
              <w:pBdr>
                <w:top w:val="nil"/>
                <w:left w:val="nil"/>
                <w:bottom w:val="nil"/>
                <w:right w:val="nil"/>
                <w:between w:val="nil"/>
              </w:pBdr>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i/>
                <w:color w:val="000000"/>
                <w:sz w:val="22"/>
              </w:rPr>
              <w:t xml:space="preserve">Oficios del Tesorero Municipal mediante los cuales refiere que la información sobre pasa las capacidades técnicas del sistema, de los cuales no se observa que refieran el peso y el número de fojas que integran el cumulo de información. </w:t>
            </w:r>
          </w:p>
          <w:p w14:paraId="1B588825" w14:textId="77777777" w:rsidR="003D3C22" w:rsidRPr="001F7AFD" w:rsidRDefault="00BF67E5">
            <w:pPr>
              <w:pBdr>
                <w:top w:val="nil"/>
                <w:left w:val="nil"/>
                <w:bottom w:val="nil"/>
                <w:right w:val="nil"/>
                <w:between w:val="nil"/>
              </w:pBdr>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i/>
                <w:color w:val="000000"/>
                <w:sz w:val="22"/>
              </w:rPr>
              <w:t xml:space="preserve">De los mismos oficios se observa que el Tesorero Municipal remite la propuesta de cambio de modalidad a </w:t>
            </w:r>
            <w:r w:rsidRPr="001F7AFD">
              <w:rPr>
                <w:rFonts w:ascii="Palatino Linotype" w:eastAsia="Palatino Linotype" w:hAnsi="Palatino Linotype" w:cs="Palatino Linotype"/>
                <w:b/>
                <w:i/>
                <w:color w:val="000000"/>
                <w:sz w:val="22"/>
              </w:rPr>
              <w:t>Consulta Directa</w:t>
            </w:r>
            <w:r w:rsidRPr="001F7AFD">
              <w:rPr>
                <w:rFonts w:ascii="Palatino Linotype" w:eastAsia="Palatino Linotype" w:hAnsi="Palatino Linotype" w:cs="Palatino Linotype"/>
                <w:i/>
                <w:color w:val="000000"/>
                <w:sz w:val="22"/>
              </w:rPr>
              <w:t xml:space="preserve"> en ambas solicitudes. </w:t>
            </w:r>
          </w:p>
        </w:tc>
      </w:tr>
    </w:tbl>
    <w:p w14:paraId="74F1DFE4"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7E2724D0"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El </w:t>
      </w:r>
      <w:r w:rsidRPr="00BF67E5">
        <w:rPr>
          <w:rFonts w:ascii="Palatino Linotype" w:eastAsia="Palatino Linotype" w:hAnsi="Palatino Linotype" w:cs="Palatino Linotype"/>
          <w:b/>
          <w:color w:val="000000"/>
        </w:rPr>
        <w:t>diecisiete de julio de dos mil veinticuatro</w:t>
      </w:r>
      <w:r w:rsidRPr="00BF67E5">
        <w:rPr>
          <w:rFonts w:ascii="Palatino Linotype" w:eastAsia="Palatino Linotype" w:hAnsi="Palatino Linotype" w:cs="Palatino Linotype"/>
          <w:color w:val="000000"/>
        </w:rPr>
        <w:t xml:space="preserve">, el </w:t>
      </w:r>
      <w:r w:rsidRPr="00BF67E5">
        <w:rPr>
          <w:rFonts w:ascii="Palatino Linotype" w:eastAsia="Palatino Linotype" w:hAnsi="Palatino Linotype" w:cs="Palatino Linotype"/>
          <w:b/>
          <w:smallCaps/>
          <w:color w:val="000000"/>
        </w:rPr>
        <w:t>SOLICITANTE</w:t>
      </w:r>
      <w:r w:rsidRPr="00BF67E5">
        <w:rPr>
          <w:rFonts w:ascii="Palatino Linotype" w:eastAsia="Palatino Linotype" w:hAnsi="Palatino Linotype" w:cs="Palatino Linotype"/>
          <w:color w:val="000000"/>
        </w:rPr>
        <w:t xml:space="preserve"> interpuso recurso de revisión en las solicitudes de información </w:t>
      </w:r>
      <w:r w:rsidRPr="00BF67E5">
        <w:rPr>
          <w:rFonts w:ascii="Palatino Linotype" w:eastAsia="Palatino Linotype" w:hAnsi="Palatino Linotype" w:cs="Palatino Linotype"/>
          <w:b/>
          <w:color w:val="000000"/>
        </w:rPr>
        <w:t xml:space="preserve">00236/TENANCIN/IP/2024 y 00244/TENANCIN/IP/2024, </w:t>
      </w:r>
      <w:r w:rsidRPr="00BF67E5">
        <w:rPr>
          <w:rFonts w:ascii="Palatino Linotype" w:eastAsia="Palatino Linotype" w:hAnsi="Palatino Linotype" w:cs="Palatino Linotype"/>
          <w:color w:val="000000"/>
        </w:rPr>
        <w:t xml:space="preserve">en contra de las respuestas emitidas por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señalando las siguientes razones o motivos de inconformidad:</w:t>
      </w:r>
    </w:p>
    <w:tbl>
      <w:tblPr>
        <w:tblStyle w:val="a0"/>
        <w:tblW w:w="935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81"/>
        <w:gridCol w:w="5670"/>
      </w:tblGrid>
      <w:tr w:rsidR="003D3C22" w:rsidRPr="001F7AFD" w14:paraId="23D7B8B0" w14:textId="77777777" w:rsidTr="001F7AFD">
        <w:tc>
          <w:tcPr>
            <w:tcW w:w="3681" w:type="dxa"/>
          </w:tcPr>
          <w:p w14:paraId="3EBC2A7C" w14:textId="77777777" w:rsidR="003D3C22" w:rsidRPr="001F7AFD" w:rsidRDefault="00BF67E5">
            <w:pPr>
              <w:pBdr>
                <w:top w:val="nil"/>
                <w:left w:val="nil"/>
                <w:bottom w:val="nil"/>
                <w:right w:val="nil"/>
                <w:between w:val="nil"/>
              </w:pBdr>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Recursos de Revisión</w:t>
            </w:r>
          </w:p>
        </w:tc>
        <w:tc>
          <w:tcPr>
            <w:tcW w:w="5670" w:type="dxa"/>
          </w:tcPr>
          <w:p w14:paraId="53B6B8AD" w14:textId="77777777" w:rsidR="003D3C22" w:rsidRPr="001F7AFD" w:rsidRDefault="00BF67E5">
            <w:pPr>
              <w:pBdr>
                <w:top w:val="nil"/>
                <w:left w:val="nil"/>
                <w:bottom w:val="nil"/>
                <w:right w:val="nil"/>
                <w:between w:val="nil"/>
              </w:pBdr>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Acto Impugnado y Razones o Motivos de Inconformidad</w:t>
            </w:r>
          </w:p>
        </w:tc>
      </w:tr>
      <w:tr w:rsidR="003D3C22" w:rsidRPr="001F7AFD" w14:paraId="0593546A" w14:textId="77777777" w:rsidTr="001F7AFD">
        <w:tc>
          <w:tcPr>
            <w:tcW w:w="3681" w:type="dxa"/>
          </w:tcPr>
          <w:p w14:paraId="25D50ABC" w14:textId="77777777" w:rsidR="003D3C22" w:rsidRPr="001F7AFD" w:rsidRDefault="003D3C22">
            <w:pPr>
              <w:rPr>
                <w:rFonts w:ascii="Palatino Linotype" w:eastAsia="Palatino Linotype" w:hAnsi="Palatino Linotype" w:cs="Palatino Linotype"/>
                <w:i/>
                <w:sz w:val="22"/>
              </w:rPr>
            </w:pPr>
          </w:p>
          <w:p w14:paraId="79099D1E" w14:textId="77777777" w:rsidR="003D3C22" w:rsidRPr="001F7AFD" w:rsidRDefault="00BF67E5">
            <w:pPr>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Recurso de Revisión 04578/INFOEM/IP/RR/2024: </w:t>
            </w:r>
          </w:p>
          <w:p w14:paraId="00DD8B67" w14:textId="77777777" w:rsidR="003D3C22" w:rsidRPr="001F7AFD" w:rsidRDefault="003D3C22">
            <w:pPr>
              <w:pBdr>
                <w:top w:val="nil"/>
                <w:left w:val="nil"/>
                <w:bottom w:val="nil"/>
                <w:right w:val="nil"/>
                <w:between w:val="nil"/>
              </w:pBdr>
              <w:ind w:left="720"/>
              <w:rPr>
                <w:rFonts w:ascii="Palatino Linotype" w:eastAsia="Palatino Linotype" w:hAnsi="Palatino Linotype" w:cs="Palatino Linotype"/>
                <w:i/>
                <w:color w:val="000000"/>
                <w:sz w:val="22"/>
              </w:rPr>
            </w:pPr>
          </w:p>
          <w:p w14:paraId="4E399980" w14:textId="77777777" w:rsidR="003D3C22" w:rsidRPr="001F7AFD" w:rsidRDefault="003D3C22">
            <w:pPr>
              <w:pBdr>
                <w:top w:val="nil"/>
                <w:left w:val="nil"/>
                <w:bottom w:val="nil"/>
                <w:right w:val="nil"/>
                <w:between w:val="nil"/>
              </w:pBdr>
              <w:ind w:left="720"/>
              <w:rPr>
                <w:rFonts w:ascii="Palatino Linotype" w:eastAsia="Palatino Linotype" w:hAnsi="Palatino Linotype" w:cs="Palatino Linotype"/>
                <w:i/>
                <w:color w:val="000000"/>
                <w:sz w:val="22"/>
              </w:rPr>
            </w:pPr>
          </w:p>
          <w:p w14:paraId="12C2AE5A" w14:textId="77777777" w:rsidR="003D3C22" w:rsidRPr="001F7AFD" w:rsidRDefault="003D3C22">
            <w:pPr>
              <w:rPr>
                <w:rFonts w:ascii="Palatino Linotype" w:eastAsia="Palatino Linotype" w:hAnsi="Palatino Linotype" w:cs="Palatino Linotype"/>
                <w:b/>
                <w:i/>
                <w:sz w:val="22"/>
              </w:rPr>
            </w:pPr>
          </w:p>
          <w:p w14:paraId="51A77262" w14:textId="77777777" w:rsidR="003D3C22" w:rsidRPr="001F7AFD" w:rsidRDefault="003D3C22">
            <w:pPr>
              <w:rPr>
                <w:rFonts w:ascii="Palatino Linotype" w:eastAsia="Palatino Linotype" w:hAnsi="Palatino Linotype" w:cs="Palatino Linotype"/>
                <w:b/>
                <w:i/>
                <w:sz w:val="22"/>
              </w:rPr>
            </w:pPr>
          </w:p>
          <w:p w14:paraId="1FDC0294" w14:textId="77777777" w:rsidR="003D3C22" w:rsidRPr="001F7AFD" w:rsidRDefault="003D3C22">
            <w:pPr>
              <w:rPr>
                <w:rFonts w:ascii="Palatino Linotype" w:eastAsia="Palatino Linotype" w:hAnsi="Palatino Linotype" w:cs="Palatino Linotype"/>
                <w:b/>
                <w:i/>
                <w:sz w:val="22"/>
              </w:rPr>
            </w:pPr>
          </w:p>
          <w:p w14:paraId="565BAD99" w14:textId="77777777" w:rsidR="003D3C22" w:rsidRPr="001F7AFD" w:rsidRDefault="003D3C22">
            <w:pPr>
              <w:rPr>
                <w:rFonts w:ascii="Palatino Linotype" w:eastAsia="Palatino Linotype" w:hAnsi="Palatino Linotype" w:cs="Palatino Linotype"/>
                <w:b/>
                <w:i/>
                <w:sz w:val="22"/>
              </w:rPr>
            </w:pPr>
          </w:p>
          <w:p w14:paraId="161FAB83" w14:textId="77777777" w:rsidR="003D3C22" w:rsidRPr="001F7AFD" w:rsidRDefault="003D3C22">
            <w:pPr>
              <w:rPr>
                <w:rFonts w:ascii="Palatino Linotype" w:eastAsia="Palatino Linotype" w:hAnsi="Palatino Linotype" w:cs="Palatino Linotype"/>
                <w:b/>
                <w:i/>
                <w:sz w:val="22"/>
              </w:rPr>
            </w:pPr>
          </w:p>
          <w:p w14:paraId="58038DC4" w14:textId="77777777" w:rsidR="003D3C22" w:rsidRPr="001F7AFD" w:rsidRDefault="003D3C22">
            <w:pPr>
              <w:rPr>
                <w:rFonts w:ascii="Palatino Linotype" w:eastAsia="Palatino Linotype" w:hAnsi="Palatino Linotype" w:cs="Palatino Linotype"/>
                <w:b/>
                <w:i/>
                <w:sz w:val="22"/>
              </w:rPr>
            </w:pPr>
          </w:p>
          <w:p w14:paraId="1B62757E" w14:textId="77777777" w:rsidR="003D3C22" w:rsidRPr="001F7AFD" w:rsidRDefault="003D3C22">
            <w:pPr>
              <w:rPr>
                <w:rFonts w:ascii="Palatino Linotype" w:eastAsia="Palatino Linotype" w:hAnsi="Palatino Linotype" w:cs="Palatino Linotype"/>
                <w:b/>
                <w:i/>
                <w:sz w:val="22"/>
              </w:rPr>
            </w:pPr>
          </w:p>
          <w:p w14:paraId="2B421BB8" w14:textId="77777777" w:rsidR="003D3C22" w:rsidRPr="001F7AFD" w:rsidRDefault="003D3C22">
            <w:pPr>
              <w:rPr>
                <w:rFonts w:ascii="Palatino Linotype" w:eastAsia="Palatino Linotype" w:hAnsi="Palatino Linotype" w:cs="Palatino Linotype"/>
                <w:b/>
                <w:i/>
                <w:sz w:val="22"/>
              </w:rPr>
            </w:pPr>
          </w:p>
          <w:p w14:paraId="222E3D7C" w14:textId="77777777" w:rsidR="003D3C22" w:rsidRPr="001F7AFD" w:rsidRDefault="00BF67E5">
            <w:pPr>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Recurso de Revisión 04579/INFOEM/IP/RR/2024: </w:t>
            </w:r>
          </w:p>
          <w:p w14:paraId="62F97724" w14:textId="77777777" w:rsidR="003D3C22" w:rsidRPr="001F7AFD" w:rsidRDefault="003D3C22">
            <w:pPr>
              <w:pBdr>
                <w:top w:val="nil"/>
                <w:left w:val="nil"/>
                <w:bottom w:val="nil"/>
                <w:right w:val="nil"/>
                <w:between w:val="nil"/>
              </w:pBdr>
              <w:rPr>
                <w:rFonts w:ascii="Palatino Linotype" w:eastAsia="Palatino Linotype" w:hAnsi="Palatino Linotype" w:cs="Palatino Linotype"/>
                <w:i/>
                <w:color w:val="000000"/>
                <w:sz w:val="22"/>
              </w:rPr>
            </w:pPr>
          </w:p>
        </w:tc>
        <w:tc>
          <w:tcPr>
            <w:tcW w:w="5670" w:type="dxa"/>
          </w:tcPr>
          <w:p w14:paraId="175C89A8" w14:textId="77777777" w:rsidR="003D3C22" w:rsidRPr="001F7AFD" w:rsidRDefault="00BF67E5">
            <w:pPr>
              <w:numPr>
                <w:ilvl w:val="0"/>
                <w:numId w:val="6"/>
              </w:numPr>
              <w:pBdr>
                <w:top w:val="nil"/>
                <w:left w:val="nil"/>
                <w:bottom w:val="nil"/>
                <w:right w:val="nil"/>
                <w:between w:val="nil"/>
              </w:pBdr>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lastRenderedPageBreak/>
              <w:t>Acto impugnado:</w:t>
            </w:r>
            <w:r w:rsidRPr="001F7AFD">
              <w:rPr>
                <w:rFonts w:ascii="Palatino Linotype" w:eastAsia="Palatino Linotype" w:hAnsi="Palatino Linotype" w:cs="Palatino Linotype"/>
                <w:i/>
                <w:color w:val="000000"/>
                <w:sz w:val="22"/>
              </w:rPr>
              <w:t xml:space="preserve"> “</w:t>
            </w:r>
            <w:r w:rsidRPr="001F7AFD">
              <w:rPr>
                <w:rFonts w:ascii="Palatino Linotype" w:eastAsia="Palatino Linotype" w:hAnsi="Palatino Linotype" w:cs="Palatino Linotype"/>
                <w:b/>
                <w:i/>
                <w:color w:val="000000"/>
                <w:sz w:val="22"/>
              </w:rPr>
              <w:t>Me niegan la información</w:t>
            </w:r>
            <w:r w:rsidRPr="001F7AFD">
              <w:rPr>
                <w:rFonts w:ascii="Palatino Linotype" w:eastAsia="Palatino Linotype" w:hAnsi="Palatino Linotype" w:cs="Palatino Linotype"/>
                <w:i/>
                <w:color w:val="000000"/>
                <w:sz w:val="22"/>
              </w:rPr>
              <w:t>, y quieren cambiar la modalidad de entrega”</w:t>
            </w:r>
            <w:r w:rsidRPr="001F7AFD">
              <w:rPr>
                <w:rFonts w:ascii="Palatino Linotype" w:eastAsia="Palatino Linotype" w:hAnsi="Palatino Linotype" w:cs="Palatino Linotype"/>
                <w:b/>
                <w:i/>
                <w:color w:val="000000"/>
                <w:sz w:val="22"/>
              </w:rPr>
              <w:t xml:space="preserve"> </w:t>
            </w:r>
          </w:p>
          <w:p w14:paraId="5419A2E2" w14:textId="77777777" w:rsidR="003D3C22" w:rsidRPr="001F7AFD" w:rsidRDefault="00BF67E5">
            <w:pPr>
              <w:numPr>
                <w:ilvl w:val="0"/>
                <w:numId w:val="6"/>
              </w:numPr>
              <w:pBdr>
                <w:top w:val="nil"/>
                <w:left w:val="nil"/>
                <w:bottom w:val="nil"/>
                <w:right w:val="nil"/>
                <w:between w:val="nil"/>
              </w:pBdr>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Razones o Motivos de inconformidad:</w:t>
            </w:r>
            <w:r w:rsidRPr="001F7AFD">
              <w:rPr>
                <w:rFonts w:ascii="Palatino Linotype" w:eastAsia="Palatino Linotype" w:hAnsi="Palatino Linotype" w:cs="Palatino Linotype"/>
                <w:i/>
                <w:color w:val="000000"/>
                <w:sz w:val="22"/>
              </w:rPr>
              <w:t xml:space="preserve"> “</w:t>
            </w:r>
            <w:r w:rsidRPr="001F7AFD">
              <w:rPr>
                <w:rFonts w:ascii="Palatino Linotype" w:eastAsia="Palatino Linotype" w:hAnsi="Palatino Linotype" w:cs="Palatino Linotype"/>
                <w:b/>
                <w:i/>
                <w:color w:val="000000"/>
                <w:sz w:val="22"/>
              </w:rPr>
              <w:t>Me niegan la información</w:t>
            </w:r>
            <w:r w:rsidRPr="001F7AFD">
              <w:rPr>
                <w:rFonts w:ascii="Palatino Linotype" w:eastAsia="Palatino Linotype" w:hAnsi="Palatino Linotype" w:cs="Palatino Linotype"/>
                <w:i/>
                <w:color w:val="000000"/>
                <w:sz w:val="22"/>
              </w:rPr>
              <w:t xml:space="preserve">, y quieren cambiar la modalidad de entrega. </w:t>
            </w:r>
            <w:proofErr w:type="spellStart"/>
            <w:r w:rsidRPr="001F7AFD">
              <w:rPr>
                <w:rFonts w:ascii="Palatino Linotype" w:eastAsia="Palatino Linotype" w:hAnsi="Palatino Linotype" w:cs="Palatino Linotype"/>
                <w:i/>
                <w:color w:val="000000"/>
                <w:sz w:val="22"/>
              </w:rPr>
              <w:t>injustifican</w:t>
            </w:r>
            <w:proofErr w:type="spellEnd"/>
            <w:r w:rsidRPr="001F7AFD">
              <w:rPr>
                <w:rFonts w:ascii="Palatino Linotype" w:eastAsia="Palatino Linotype" w:hAnsi="Palatino Linotype" w:cs="Palatino Linotype"/>
                <w:i/>
                <w:color w:val="000000"/>
                <w:sz w:val="22"/>
              </w:rPr>
              <w:t xml:space="preserve"> sus razones, y </w:t>
            </w:r>
            <w:proofErr w:type="spellStart"/>
            <w:r w:rsidRPr="001F7AFD">
              <w:rPr>
                <w:rFonts w:ascii="Palatino Linotype" w:eastAsia="Palatino Linotype" w:hAnsi="Palatino Linotype" w:cs="Palatino Linotype"/>
                <w:i/>
                <w:color w:val="000000"/>
                <w:sz w:val="22"/>
              </w:rPr>
              <w:t>desconosco</w:t>
            </w:r>
            <w:proofErr w:type="spellEnd"/>
            <w:r w:rsidRPr="001F7AFD">
              <w:rPr>
                <w:rFonts w:ascii="Palatino Linotype" w:eastAsia="Palatino Linotype" w:hAnsi="Palatino Linotype" w:cs="Palatino Linotype"/>
                <w:i/>
                <w:color w:val="000000"/>
                <w:sz w:val="22"/>
              </w:rPr>
              <w:t xml:space="preserve"> si cuentan con el personal suficiente, </w:t>
            </w:r>
            <w:r w:rsidRPr="001F7AFD">
              <w:rPr>
                <w:rFonts w:ascii="Palatino Linotype" w:eastAsia="Palatino Linotype" w:hAnsi="Palatino Linotype" w:cs="Palatino Linotype"/>
                <w:i/>
                <w:color w:val="000000"/>
                <w:sz w:val="22"/>
              </w:rPr>
              <w:lastRenderedPageBreak/>
              <w:t>capaz, equipo humano, equipo y material. cuando pudieran solicitar prorroga.</w:t>
            </w:r>
            <w:r w:rsidRPr="001F7AFD">
              <w:rPr>
                <w:rFonts w:ascii="Palatino Linotype" w:eastAsia="Palatino Linotype" w:hAnsi="Palatino Linotype" w:cs="Palatino Linotype"/>
                <w:b/>
                <w:i/>
                <w:color w:val="000000"/>
                <w:sz w:val="22"/>
              </w:rPr>
              <w:t>”</w:t>
            </w:r>
          </w:p>
          <w:p w14:paraId="768AA26C" w14:textId="77777777" w:rsidR="003D3C22" w:rsidRPr="001F7AFD" w:rsidRDefault="003D3C22">
            <w:pPr>
              <w:pBdr>
                <w:top w:val="nil"/>
                <w:left w:val="nil"/>
                <w:bottom w:val="nil"/>
                <w:right w:val="nil"/>
                <w:between w:val="nil"/>
              </w:pBdr>
              <w:ind w:left="720"/>
              <w:jc w:val="both"/>
              <w:rPr>
                <w:rFonts w:ascii="Palatino Linotype" w:eastAsia="Palatino Linotype" w:hAnsi="Palatino Linotype" w:cs="Palatino Linotype"/>
                <w:b/>
                <w:i/>
                <w:color w:val="000000"/>
                <w:sz w:val="22"/>
              </w:rPr>
            </w:pPr>
          </w:p>
          <w:p w14:paraId="3F85FFC5" w14:textId="77777777" w:rsidR="003D3C22" w:rsidRPr="001F7AFD" w:rsidRDefault="00BF67E5">
            <w:pPr>
              <w:numPr>
                <w:ilvl w:val="0"/>
                <w:numId w:val="6"/>
              </w:numPr>
              <w:pBdr>
                <w:top w:val="nil"/>
                <w:left w:val="nil"/>
                <w:bottom w:val="nil"/>
                <w:right w:val="nil"/>
                <w:between w:val="nil"/>
              </w:pBdr>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Acto impugnado:</w:t>
            </w:r>
            <w:r w:rsidRPr="001F7AFD">
              <w:rPr>
                <w:rFonts w:ascii="Palatino Linotype" w:eastAsia="Palatino Linotype" w:hAnsi="Palatino Linotype" w:cs="Palatino Linotype"/>
                <w:i/>
                <w:color w:val="000000"/>
                <w:sz w:val="22"/>
              </w:rPr>
              <w:t xml:space="preserve"> “Información que se ha generado para el </w:t>
            </w:r>
            <w:proofErr w:type="spellStart"/>
            <w:r w:rsidRPr="001F7AFD">
              <w:rPr>
                <w:rFonts w:ascii="Palatino Linotype" w:eastAsia="Palatino Linotype" w:hAnsi="Palatino Linotype" w:cs="Palatino Linotype"/>
                <w:i/>
                <w:color w:val="000000"/>
                <w:sz w:val="22"/>
              </w:rPr>
              <w:t>organo</w:t>
            </w:r>
            <w:proofErr w:type="spellEnd"/>
            <w:r w:rsidRPr="001F7AFD">
              <w:rPr>
                <w:rFonts w:ascii="Palatino Linotype" w:eastAsia="Palatino Linotype" w:hAnsi="Palatino Linotype" w:cs="Palatino Linotype"/>
                <w:i/>
                <w:color w:val="000000"/>
                <w:sz w:val="22"/>
              </w:rPr>
              <w:t xml:space="preserve"> de fiscalización o que cuentan en sus archivos digitales y </w:t>
            </w:r>
            <w:proofErr w:type="spellStart"/>
            <w:r w:rsidRPr="001F7AFD">
              <w:rPr>
                <w:rFonts w:ascii="Palatino Linotype" w:eastAsia="Palatino Linotype" w:hAnsi="Palatino Linotype" w:cs="Palatino Linotype"/>
                <w:i/>
                <w:color w:val="000000"/>
                <w:sz w:val="22"/>
              </w:rPr>
              <w:t>fisicos</w:t>
            </w:r>
            <w:proofErr w:type="spellEnd"/>
            <w:r w:rsidRPr="001F7AFD">
              <w:rPr>
                <w:rFonts w:ascii="Palatino Linotype" w:eastAsia="Palatino Linotype" w:hAnsi="Palatino Linotype" w:cs="Palatino Linotype"/>
                <w:i/>
                <w:color w:val="000000"/>
                <w:sz w:val="22"/>
              </w:rPr>
              <w:t xml:space="preserve">, </w:t>
            </w:r>
            <w:r w:rsidRPr="001F7AFD">
              <w:rPr>
                <w:rFonts w:ascii="Palatino Linotype" w:eastAsia="Palatino Linotype" w:hAnsi="Palatino Linotype" w:cs="Palatino Linotype"/>
                <w:b/>
                <w:i/>
                <w:color w:val="000000"/>
                <w:sz w:val="22"/>
              </w:rPr>
              <w:t>me niegan la información en la modalidad que se solicita</w:t>
            </w:r>
            <w:r w:rsidRPr="001F7AFD">
              <w:rPr>
                <w:rFonts w:ascii="Palatino Linotype" w:eastAsia="Palatino Linotype" w:hAnsi="Palatino Linotype" w:cs="Palatino Linotype"/>
                <w:i/>
                <w:color w:val="000000"/>
                <w:sz w:val="22"/>
              </w:rPr>
              <w:t>.”</w:t>
            </w:r>
            <w:r w:rsidRPr="001F7AFD">
              <w:rPr>
                <w:rFonts w:ascii="Palatino Linotype" w:eastAsia="Palatino Linotype" w:hAnsi="Palatino Linotype" w:cs="Palatino Linotype"/>
                <w:b/>
                <w:i/>
                <w:color w:val="000000"/>
                <w:sz w:val="22"/>
              </w:rPr>
              <w:t xml:space="preserve"> </w:t>
            </w:r>
          </w:p>
          <w:p w14:paraId="12B21032" w14:textId="77777777" w:rsidR="003D3C22" w:rsidRPr="001F7AFD" w:rsidRDefault="00BF67E5">
            <w:pPr>
              <w:numPr>
                <w:ilvl w:val="0"/>
                <w:numId w:val="6"/>
              </w:numPr>
              <w:pBdr>
                <w:top w:val="nil"/>
                <w:left w:val="nil"/>
                <w:bottom w:val="nil"/>
                <w:right w:val="nil"/>
                <w:between w:val="nil"/>
              </w:pBdr>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Razones o Motivos de inconformidad:</w:t>
            </w:r>
            <w:r w:rsidRPr="001F7AFD">
              <w:rPr>
                <w:rFonts w:ascii="Palatino Linotype" w:eastAsia="Palatino Linotype" w:hAnsi="Palatino Linotype" w:cs="Palatino Linotype"/>
                <w:i/>
                <w:color w:val="000000"/>
                <w:sz w:val="22"/>
              </w:rPr>
              <w:t xml:space="preserve"> “Información que se ha generado para el </w:t>
            </w:r>
            <w:proofErr w:type="spellStart"/>
            <w:r w:rsidRPr="001F7AFD">
              <w:rPr>
                <w:rFonts w:ascii="Palatino Linotype" w:eastAsia="Palatino Linotype" w:hAnsi="Palatino Linotype" w:cs="Palatino Linotype"/>
                <w:i/>
                <w:color w:val="000000"/>
                <w:sz w:val="22"/>
              </w:rPr>
              <w:t>organo</w:t>
            </w:r>
            <w:proofErr w:type="spellEnd"/>
            <w:r w:rsidRPr="001F7AFD">
              <w:rPr>
                <w:rFonts w:ascii="Palatino Linotype" w:eastAsia="Palatino Linotype" w:hAnsi="Palatino Linotype" w:cs="Palatino Linotype"/>
                <w:i/>
                <w:color w:val="000000"/>
                <w:sz w:val="22"/>
              </w:rPr>
              <w:t xml:space="preserve"> de fiscalización o que cuentan en sus archivos digitales y </w:t>
            </w:r>
            <w:proofErr w:type="spellStart"/>
            <w:r w:rsidRPr="001F7AFD">
              <w:rPr>
                <w:rFonts w:ascii="Palatino Linotype" w:eastAsia="Palatino Linotype" w:hAnsi="Palatino Linotype" w:cs="Palatino Linotype"/>
                <w:i/>
                <w:color w:val="000000"/>
                <w:sz w:val="22"/>
              </w:rPr>
              <w:t>fisicos</w:t>
            </w:r>
            <w:proofErr w:type="spellEnd"/>
            <w:r w:rsidRPr="001F7AFD">
              <w:rPr>
                <w:rFonts w:ascii="Palatino Linotype" w:eastAsia="Palatino Linotype" w:hAnsi="Palatino Linotype" w:cs="Palatino Linotype"/>
                <w:i/>
                <w:color w:val="000000"/>
                <w:sz w:val="22"/>
              </w:rPr>
              <w:t xml:space="preserve">, </w:t>
            </w:r>
            <w:r w:rsidRPr="001F7AFD">
              <w:rPr>
                <w:rFonts w:ascii="Palatino Linotype" w:eastAsia="Palatino Linotype" w:hAnsi="Palatino Linotype" w:cs="Palatino Linotype"/>
                <w:b/>
                <w:i/>
                <w:color w:val="000000"/>
                <w:sz w:val="22"/>
              </w:rPr>
              <w:t>me niegan la información en la modalidad que se solicita</w:t>
            </w:r>
            <w:r w:rsidRPr="001F7AFD">
              <w:rPr>
                <w:rFonts w:ascii="Palatino Linotype" w:eastAsia="Palatino Linotype" w:hAnsi="Palatino Linotype" w:cs="Palatino Linotype"/>
                <w:i/>
                <w:color w:val="000000"/>
                <w:sz w:val="22"/>
              </w:rPr>
              <w:t>.</w:t>
            </w:r>
            <w:r w:rsidRPr="001F7AFD">
              <w:rPr>
                <w:rFonts w:ascii="Palatino Linotype" w:eastAsia="Palatino Linotype" w:hAnsi="Palatino Linotype" w:cs="Palatino Linotype"/>
                <w:b/>
                <w:i/>
                <w:color w:val="000000"/>
                <w:sz w:val="22"/>
              </w:rPr>
              <w:t>”</w:t>
            </w:r>
          </w:p>
          <w:p w14:paraId="542409A8" w14:textId="77777777" w:rsidR="003D3C22" w:rsidRPr="001F7AFD" w:rsidRDefault="003D3C22">
            <w:pPr>
              <w:pBdr>
                <w:top w:val="nil"/>
                <w:left w:val="nil"/>
                <w:bottom w:val="nil"/>
                <w:right w:val="nil"/>
                <w:between w:val="nil"/>
              </w:pBdr>
              <w:jc w:val="both"/>
              <w:rPr>
                <w:rFonts w:ascii="Palatino Linotype" w:eastAsia="Palatino Linotype" w:hAnsi="Palatino Linotype" w:cs="Palatino Linotype"/>
                <w:i/>
                <w:color w:val="000000"/>
                <w:sz w:val="22"/>
              </w:rPr>
            </w:pPr>
          </w:p>
        </w:tc>
      </w:tr>
    </w:tbl>
    <w:p w14:paraId="001A2CF2"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73AE981"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Consecutivamente</w:t>
      </w:r>
      <w:r w:rsidRPr="00BF67E5">
        <w:rPr>
          <w:rFonts w:ascii="Palatino Linotype" w:eastAsia="Palatino Linotype" w:hAnsi="Palatino Linotype" w:cs="Palatino Linotype"/>
          <w:i/>
          <w:color w:val="000000"/>
        </w:rPr>
        <w:t xml:space="preserve">, </w:t>
      </w:r>
      <w:r w:rsidRPr="00BF67E5">
        <w:rPr>
          <w:rFonts w:ascii="Palatino Linotype" w:eastAsia="Palatino Linotype" w:hAnsi="Palatino Linotype" w:cs="Palatino Linotype"/>
          <w:color w:val="000000"/>
        </w:rPr>
        <w:t>con fundamento en lo dispuesto por el artículo 185 fracción I de la Ley de Transparencia y Acceso a la Información Pública del Estado de México y Municipios, los recursos de referencia, fueron turnados</w:t>
      </w:r>
      <w:r w:rsidRPr="00BF67E5">
        <w:rPr>
          <w:rFonts w:ascii="Palatino Linotype" w:eastAsia="Palatino Linotype" w:hAnsi="Palatino Linotype" w:cs="Palatino Linotype"/>
          <w:b/>
          <w:color w:val="000000"/>
        </w:rPr>
        <w:t xml:space="preserve"> </w:t>
      </w:r>
      <w:r w:rsidRPr="00BF67E5">
        <w:rPr>
          <w:rFonts w:ascii="Palatino Linotype" w:eastAsia="Palatino Linotype" w:hAnsi="Palatino Linotype" w:cs="Palatino Linotype"/>
          <w:color w:val="000000"/>
        </w:rPr>
        <w:t xml:space="preserve">a las Comisionadas </w:t>
      </w:r>
      <w:r w:rsidRPr="00BF67E5">
        <w:rPr>
          <w:rFonts w:ascii="Palatino Linotype" w:eastAsia="Palatino Linotype" w:hAnsi="Palatino Linotype" w:cs="Palatino Linotype"/>
          <w:b/>
          <w:color w:val="000000"/>
        </w:rPr>
        <w:t xml:space="preserve">María del Rosario Mejía Ayala y Guadalupe Ramírez </w:t>
      </w:r>
      <w:proofErr w:type="gramStart"/>
      <w:r w:rsidRPr="00BF67E5">
        <w:rPr>
          <w:rFonts w:ascii="Palatino Linotype" w:eastAsia="Palatino Linotype" w:hAnsi="Palatino Linotype" w:cs="Palatino Linotype"/>
          <w:b/>
          <w:color w:val="000000"/>
        </w:rPr>
        <w:t>Peña,</w:t>
      </w:r>
      <w:r w:rsidRPr="00BF67E5">
        <w:rPr>
          <w:rFonts w:ascii="Palatino Linotype" w:eastAsia="Palatino Linotype" w:hAnsi="Palatino Linotype" w:cs="Palatino Linotype"/>
          <w:color w:val="000000"/>
        </w:rPr>
        <w:t xml:space="preserve"> </w:t>
      </w:r>
      <w:r w:rsidRPr="00BF67E5">
        <w:rPr>
          <w:rFonts w:ascii="Palatino Linotype" w:eastAsia="Palatino Linotype" w:hAnsi="Palatino Linotype" w:cs="Palatino Linotype"/>
          <w:b/>
          <w:color w:val="000000"/>
        </w:rPr>
        <w:t xml:space="preserve"> </w:t>
      </w:r>
      <w:r w:rsidR="001F7AFD">
        <w:rPr>
          <w:rFonts w:ascii="Palatino Linotype" w:eastAsia="Palatino Linotype" w:hAnsi="Palatino Linotype" w:cs="Palatino Linotype"/>
          <w:color w:val="000000"/>
        </w:rPr>
        <w:t>para</w:t>
      </w:r>
      <w:proofErr w:type="gramEnd"/>
      <w:r w:rsidRPr="00BF67E5">
        <w:rPr>
          <w:rFonts w:ascii="Palatino Linotype" w:eastAsia="Palatino Linotype" w:hAnsi="Palatino Linotype" w:cs="Palatino Linotype"/>
          <w:color w:val="000000"/>
        </w:rPr>
        <w:t xml:space="preserve"> su análisis.</w:t>
      </w:r>
    </w:p>
    <w:p w14:paraId="7A1CA612"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381BEF33"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Las Comisionadas Ponentes de origen con fundamento en lo dispuesto por el artículo 185 fracción II de la ley de la materia, a través de los </w:t>
      </w:r>
      <w:r w:rsidRPr="00BF67E5">
        <w:rPr>
          <w:rFonts w:ascii="Palatino Linotype" w:eastAsia="Palatino Linotype" w:hAnsi="Palatino Linotype" w:cs="Palatino Linotype"/>
          <w:b/>
          <w:color w:val="000000"/>
        </w:rPr>
        <w:t xml:space="preserve">acuerdos de admisión </w:t>
      </w:r>
      <w:r w:rsidRPr="00BF67E5">
        <w:rPr>
          <w:rFonts w:ascii="Palatino Linotype" w:eastAsia="Palatino Linotype" w:hAnsi="Palatino Linotype" w:cs="Palatino Linotype"/>
          <w:color w:val="000000"/>
        </w:rPr>
        <w:t>de fechas</w:t>
      </w:r>
      <w:r w:rsidRPr="00BF67E5">
        <w:rPr>
          <w:rFonts w:ascii="Palatino Linotype" w:eastAsia="Palatino Linotype" w:hAnsi="Palatino Linotype" w:cs="Palatino Linotype"/>
          <w:b/>
          <w:color w:val="000000"/>
        </w:rPr>
        <w:t xml:space="preserve"> diecinueve de julio y cinco de agosto de dos mil veinticuatro</w:t>
      </w:r>
      <w:r w:rsidRPr="00BF67E5">
        <w:rPr>
          <w:rFonts w:ascii="Palatino Linotype" w:eastAsia="Palatino Linotype" w:hAnsi="Palatino Linotype" w:cs="Palatino Linotype"/>
          <w:color w:val="000000"/>
        </w:rPr>
        <w:t xml:space="preserve">, pusieron a disposición de las partes el expediente electrónico vía SAIMEX a efecto de que en un plazo máximo de siete días manifestaran lo que a su derecho conviniera, ofrecieran pruebas y alegatos según corresponda al caso concreto, de esta forma para que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presentara el Informe Justificado procedente.</w:t>
      </w:r>
    </w:p>
    <w:p w14:paraId="22B44D06"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79FB9C51"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Posteriormente el Pleno de este Órgano Autónomo, en la</w:t>
      </w:r>
      <w:r w:rsidRPr="00BF67E5">
        <w:rPr>
          <w:rFonts w:ascii="Palatino Linotype" w:eastAsia="Palatino Linotype" w:hAnsi="Palatino Linotype" w:cs="Palatino Linotype"/>
          <w:b/>
          <w:color w:val="000000"/>
        </w:rPr>
        <w:t xml:space="preserve"> Vigésima Octava Sesión Ordinaria </w:t>
      </w:r>
      <w:r w:rsidRPr="00BF67E5">
        <w:rPr>
          <w:rFonts w:ascii="Palatino Linotype" w:eastAsia="Palatino Linotype" w:hAnsi="Palatino Linotype" w:cs="Palatino Linotype"/>
          <w:color w:val="000000"/>
        </w:rPr>
        <w:t>de fecha</w:t>
      </w:r>
      <w:r w:rsidRPr="00BF67E5">
        <w:rPr>
          <w:rFonts w:ascii="Palatino Linotype" w:eastAsia="Palatino Linotype" w:hAnsi="Palatino Linotype" w:cs="Palatino Linotype"/>
          <w:b/>
          <w:color w:val="000000"/>
        </w:rPr>
        <w:t xml:space="preserve"> catorce de agosto de dos mil veinticuatro</w:t>
      </w:r>
      <w:r w:rsidRPr="00BF67E5">
        <w:rPr>
          <w:rFonts w:ascii="Palatino Linotype" w:eastAsia="Palatino Linotype" w:hAnsi="Palatino Linotype" w:cs="Palatino Linotype"/>
          <w:color w:val="000000"/>
        </w:rPr>
        <w:t xml:space="preserve">; ordenó la acumulación de los </w:t>
      </w:r>
      <w:r w:rsidRPr="00BF67E5">
        <w:rPr>
          <w:rFonts w:ascii="Palatino Linotype" w:eastAsia="Palatino Linotype" w:hAnsi="Palatino Linotype" w:cs="Palatino Linotype"/>
          <w:color w:val="000000"/>
        </w:rPr>
        <w:lastRenderedPageBreak/>
        <w:t xml:space="preserve">recursos de revisión de mérito, a efecto de que la Ponencia de la </w:t>
      </w:r>
      <w:r w:rsidRPr="00BF67E5">
        <w:rPr>
          <w:rFonts w:ascii="Palatino Linotype" w:eastAsia="Palatino Linotype" w:hAnsi="Palatino Linotype" w:cs="Palatino Linotype"/>
          <w:b/>
          <w:color w:val="000000"/>
        </w:rPr>
        <w:t xml:space="preserve">Comisionada María del Rosario Mejía Ayala </w:t>
      </w:r>
      <w:r w:rsidRPr="00BF67E5">
        <w:rPr>
          <w:rFonts w:ascii="Palatino Linotype" w:eastAsia="Palatino Linotype" w:hAnsi="Palatino Linotype" w:cs="Palatino Linotype"/>
          <w:color w:val="000000"/>
        </w:rPr>
        <w:t>formulara y presentara el proyecto de resolución correspondiente, de conformidad con el numeral ONCE incisos b) y c) de los Lineamientos para la Recepción, Trámite y Resolución de las Solicitudes de Acceso a la Información Pública, así como de los Recursos de Revisión que deberán observar los Sujetos Obligados por la Ley de Transparencia Estatal</w:t>
      </w:r>
      <w:r w:rsidRPr="00BF67E5">
        <w:rPr>
          <w:rFonts w:ascii="Palatino Linotype" w:eastAsia="Palatino Linotype" w:hAnsi="Palatino Linotype" w:cs="Palatino Linotype"/>
          <w:i/>
          <w:color w:val="000000"/>
          <w:vertAlign w:val="superscript"/>
        </w:rPr>
        <w:footnoteReference w:id="1"/>
      </w:r>
      <w:r w:rsidRPr="00BF67E5">
        <w:rPr>
          <w:rFonts w:ascii="Palatino Linotype" w:eastAsia="Palatino Linotype" w:hAnsi="Palatino Linotype" w:cs="Palatino Linotype"/>
          <w:color w:val="000000"/>
        </w:rPr>
        <w:t>, que señala:</w:t>
      </w:r>
    </w:p>
    <w:p w14:paraId="44A8D805" w14:textId="77777777" w:rsidR="003D3C22" w:rsidRPr="001F7AFD" w:rsidRDefault="00BF67E5">
      <w:pPr>
        <w:pBdr>
          <w:top w:val="nil"/>
          <w:left w:val="nil"/>
          <w:bottom w:val="nil"/>
          <w:right w:val="nil"/>
          <w:between w:val="nil"/>
        </w:pBdr>
        <w:tabs>
          <w:tab w:val="left" w:pos="426"/>
        </w:tabs>
        <w:ind w:left="1134" w:right="900"/>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b/>
          <w:i/>
          <w:color w:val="000000"/>
          <w:sz w:val="22"/>
        </w:rPr>
        <w:t>“ONCE.</w:t>
      </w:r>
      <w:r w:rsidRPr="001F7AFD">
        <w:rPr>
          <w:rFonts w:ascii="Palatino Linotype" w:eastAsia="Palatino Linotype" w:hAnsi="Palatino Linotype" w:cs="Palatino Linotype"/>
          <w:i/>
          <w:color w:val="000000"/>
          <w:sz w:val="22"/>
        </w:rPr>
        <w:t xml:space="preserve"> El Instituto, para mejor resolver y evitar la emisión de resoluciones contradictorias, podrá acordar la acumulación de los expedientes de recursos de revisión, de oficio o a petición de parte cuando:</w:t>
      </w:r>
    </w:p>
    <w:p w14:paraId="1C7416C1" w14:textId="77777777" w:rsidR="003D3C22" w:rsidRPr="001F7AFD" w:rsidRDefault="00BF67E5">
      <w:pPr>
        <w:pBdr>
          <w:top w:val="nil"/>
          <w:left w:val="nil"/>
          <w:bottom w:val="nil"/>
          <w:right w:val="nil"/>
          <w:between w:val="nil"/>
        </w:pBdr>
        <w:tabs>
          <w:tab w:val="left" w:pos="426"/>
        </w:tabs>
        <w:ind w:left="1134" w:right="900"/>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i/>
          <w:color w:val="000000"/>
          <w:sz w:val="22"/>
        </w:rPr>
        <w:t>…</w:t>
      </w:r>
      <w:r w:rsidRPr="001F7AFD">
        <w:rPr>
          <w:rFonts w:ascii="Palatino Linotype" w:eastAsia="Palatino Linotype" w:hAnsi="Palatino Linotype" w:cs="Palatino Linotype"/>
          <w:i/>
          <w:color w:val="000000"/>
          <w:sz w:val="22"/>
        </w:rPr>
        <w:tab/>
      </w:r>
    </w:p>
    <w:p w14:paraId="2C99A2E9" w14:textId="77777777" w:rsidR="003D3C22" w:rsidRPr="001F7AFD" w:rsidRDefault="00BF67E5">
      <w:pPr>
        <w:pBdr>
          <w:top w:val="nil"/>
          <w:left w:val="nil"/>
          <w:bottom w:val="nil"/>
          <w:right w:val="nil"/>
          <w:between w:val="nil"/>
        </w:pBdr>
        <w:tabs>
          <w:tab w:val="left" w:pos="426"/>
        </w:tabs>
        <w:ind w:left="1134" w:right="900"/>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i/>
          <w:color w:val="000000"/>
          <w:sz w:val="22"/>
        </w:rPr>
        <w:t>b) Las partes o los actos impugnados sean iguales</w:t>
      </w:r>
    </w:p>
    <w:p w14:paraId="1D0B9259" w14:textId="77777777" w:rsidR="003D3C22" w:rsidRPr="001F7AFD" w:rsidRDefault="00BF67E5">
      <w:pPr>
        <w:pBdr>
          <w:top w:val="nil"/>
          <w:left w:val="nil"/>
          <w:bottom w:val="nil"/>
          <w:right w:val="nil"/>
          <w:between w:val="nil"/>
        </w:pBdr>
        <w:tabs>
          <w:tab w:val="left" w:pos="426"/>
        </w:tabs>
        <w:ind w:left="1134" w:right="900"/>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i/>
          <w:color w:val="000000"/>
          <w:sz w:val="22"/>
        </w:rPr>
        <w:t>c) Cuando se trate del mismo solicitante, el mismo SUJETO OBLIGADO, aunque se trate de solicitudes diversas;</w:t>
      </w:r>
    </w:p>
    <w:p w14:paraId="5FFA21AB" w14:textId="77777777" w:rsidR="003D3C22" w:rsidRPr="001F7AFD" w:rsidRDefault="00BF67E5">
      <w:pPr>
        <w:pBdr>
          <w:top w:val="nil"/>
          <w:left w:val="nil"/>
          <w:bottom w:val="nil"/>
          <w:right w:val="nil"/>
          <w:between w:val="nil"/>
        </w:pBdr>
        <w:tabs>
          <w:tab w:val="left" w:pos="426"/>
        </w:tabs>
        <w:ind w:left="1134" w:right="900"/>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i/>
          <w:color w:val="000000"/>
          <w:sz w:val="22"/>
        </w:rPr>
        <w:t>(…)”</w:t>
      </w:r>
    </w:p>
    <w:p w14:paraId="19EA85F3" w14:textId="77777777" w:rsidR="003D3C22" w:rsidRPr="001F7AFD" w:rsidRDefault="00BF67E5">
      <w:pPr>
        <w:pBdr>
          <w:top w:val="nil"/>
          <w:left w:val="nil"/>
          <w:bottom w:val="nil"/>
          <w:right w:val="nil"/>
          <w:between w:val="nil"/>
        </w:pBdr>
        <w:tabs>
          <w:tab w:val="left" w:pos="426"/>
        </w:tabs>
        <w:ind w:left="1134" w:right="900"/>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i/>
          <w:color w:val="000000"/>
          <w:sz w:val="22"/>
        </w:rPr>
        <w:t>(Énfasis añadido)</w:t>
      </w:r>
    </w:p>
    <w:p w14:paraId="5521732C" w14:textId="77777777" w:rsidR="003D3C22" w:rsidRPr="00BF67E5" w:rsidRDefault="003D3C22">
      <w:pPr>
        <w:pBdr>
          <w:top w:val="nil"/>
          <w:left w:val="nil"/>
          <w:bottom w:val="nil"/>
          <w:right w:val="nil"/>
          <w:between w:val="nil"/>
        </w:pBdr>
        <w:tabs>
          <w:tab w:val="left" w:pos="426"/>
        </w:tabs>
        <w:spacing w:line="360" w:lineRule="auto"/>
        <w:ind w:left="567" w:right="616"/>
        <w:jc w:val="both"/>
        <w:rPr>
          <w:rFonts w:ascii="Palatino Linotype" w:eastAsia="Palatino Linotype" w:hAnsi="Palatino Linotype" w:cs="Palatino Linotype"/>
          <w:color w:val="000000"/>
        </w:rPr>
      </w:pPr>
    </w:p>
    <w:p w14:paraId="7F4C4C27"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Es así que,</w:t>
      </w:r>
      <w:r w:rsidRPr="00BF67E5">
        <w:rPr>
          <w:rFonts w:ascii="Palatino Linotype" w:eastAsia="Palatino Linotype" w:hAnsi="Palatino Linotype" w:cs="Palatino Linotype"/>
          <w:i/>
          <w:color w:val="000000"/>
        </w:rPr>
        <w:t xml:space="preserve"> </w:t>
      </w:r>
      <w:r w:rsidRPr="00BF67E5">
        <w:rPr>
          <w:rFonts w:ascii="Palatino Linotype" w:eastAsia="Palatino Linotype" w:hAnsi="Palatino Linotype" w:cs="Palatino Linotype"/>
          <w:color w:val="000000"/>
        </w:rPr>
        <w:t>resulta conveniente su trámite de forma unificada para mejor resolver y evitar la emisión de resoluciones contradictorias, por ello resultó procedente que este Órgano Garante realizara la acumulación respectiva, de conformidad con lo dispuesto en el artículo 18 del Código de Procedimientos Administrativos del Estado de México, de aplicación supletoria, en términos del artículo 195 de la Ley de Transparencia y Acceso a la Información Pública del Estado de México y Municipios en vigor, que a la letra señalan:</w:t>
      </w:r>
    </w:p>
    <w:p w14:paraId="2D1266F6" w14:textId="77777777" w:rsidR="003D3C22" w:rsidRPr="001F7AFD" w:rsidRDefault="00BF67E5">
      <w:pPr>
        <w:pBdr>
          <w:top w:val="nil"/>
          <w:left w:val="nil"/>
          <w:bottom w:val="nil"/>
          <w:right w:val="nil"/>
          <w:between w:val="nil"/>
        </w:pBdr>
        <w:ind w:left="1134" w:right="900"/>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Código de Procedimientos Administrativos del Estado de México.</w:t>
      </w:r>
    </w:p>
    <w:p w14:paraId="3604A955" w14:textId="77777777" w:rsidR="003D3C22" w:rsidRPr="001F7AFD" w:rsidRDefault="00BF67E5">
      <w:pPr>
        <w:pBdr>
          <w:top w:val="nil"/>
          <w:left w:val="nil"/>
          <w:bottom w:val="nil"/>
          <w:right w:val="nil"/>
          <w:between w:val="nil"/>
        </w:pBdr>
        <w:ind w:left="1134" w:right="900"/>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b/>
          <w:i/>
          <w:color w:val="000000"/>
          <w:sz w:val="22"/>
        </w:rPr>
        <w:t>“Artículo 18.-</w:t>
      </w:r>
      <w:r w:rsidRPr="001F7AFD">
        <w:rPr>
          <w:rFonts w:ascii="Palatino Linotype" w:eastAsia="Palatino Linotype" w:hAnsi="Palatino Linotype" w:cs="Palatino Linotype"/>
          <w:i/>
          <w:color w:val="000000"/>
          <w:sz w:val="22"/>
        </w:rPr>
        <w:t xml:space="preserve"> La autoridad administrativa o el Tribunal acordarán la acumulación de los expedientes del procedimiento y proceso administrativo que ante ellos se sigan, de oficio o a petición de parte, cuando las partes o los actos administrativos sean iguales, se trate de actos conexos o resulte conveniente el trámite unificado de los asuntos, para evitar la emisión de resoluciones contradictorias. La misma regla se aplicará, en lo conducente, para la separación de los expedientes.”</w:t>
      </w:r>
    </w:p>
    <w:p w14:paraId="6BE10408" w14:textId="77777777" w:rsidR="003D3C22" w:rsidRPr="001F7AFD" w:rsidRDefault="00BF67E5">
      <w:pPr>
        <w:pBdr>
          <w:top w:val="nil"/>
          <w:left w:val="nil"/>
          <w:bottom w:val="nil"/>
          <w:right w:val="nil"/>
          <w:between w:val="nil"/>
        </w:pBdr>
        <w:ind w:left="1134" w:right="900"/>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lastRenderedPageBreak/>
        <w:t>Ley de Transparencia y Acceso a la Información Pública del Estado de México y Municipios</w:t>
      </w:r>
    </w:p>
    <w:p w14:paraId="3264A529" w14:textId="77777777" w:rsidR="003D3C22" w:rsidRPr="001F7AFD" w:rsidRDefault="00BF67E5">
      <w:pPr>
        <w:pBdr>
          <w:top w:val="nil"/>
          <w:left w:val="nil"/>
          <w:bottom w:val="nil"/>
          <w:right w:val="nil"/>
          <w:between w:val="nil"/>
        </w:pBdr>
        <w:ind w:left="1134" w:right="900"/>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b/>
          <w:i/>
          <w:color w:val="000000"/>
          <w:sz w:val="22"/>
        </w:rPr>
        <w:t>“Artículo 195.</w:t>
      </w:r>
      <w:r w:rsidRPr="001F7AFD">
        <w:rPr>
          <w:rFonts w:ascii="Palatino Linotype" w:eastAsia="Palatino Linotype" w:hAnsi="Palatino Linotype" w:cs="Palatino Linotype"/>
          <w:i/>
          <w:color w:val="000000"/>
          <w:sz w:val="22"/>
        </w:rPr>
        <w:t xml:space="preserve"> En la tramitación del recurso de revisión se aplicarán supletoriamente las disposiciones contenidas en el Código de Procedimientos Administrativos del Estado de México.”</w:t>
      </w:r>
    </w:p>
    <w:p w14:paraId="5A20F248" w14:textId="77777777" w:rsidR="003D3C22" w:rsidRPr="001F7AFD" w:rsidRDefault="00BF67E5">
      <w:pPr>
        <w:pBdr>
          <w:top w:val="nil"/>
          <w:left w:val="nil"/>
          <w:bottom w:val="nil"/>
          <w:right w:val="nil"/>
          <w:between w:val="nil"/>
        </w:pBdr>
        <w:ind w:left="1134" w:right="900" w:firstLine="360"/>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i/>
          <w:color w:val="000000"/>
          <w:sz w:val="22"/>
        </w:rPr>
        <w:t>(Énfasis añadido)</w:t>
      </w:r>
    </w:p>
    <w:p w14:paraId="3CFB8C92" w14:textId="77777777" w:rsidR="003D3C22" w:rsidRPr="00BF67E5" w:rsidRDefault="003D3C22">
      <w:pPr>
        <w:pBdr>
          <w:top w:val="nil"/>
          <w:left w:val="nil"/>
          <w:bottom w:val="nil"/>
          <w:right w:val="nil"/>
          <w:between w:val="nil"/>
        </w:pBdr>
        <w:ind w:left="360" w:firstLine="360"/>
        <w:rPr>
          <w:rFonts w:ascii="Palatino Linotype" w:eastAsia="Palatino Linotype" w:hAnsi="Palatino Linotype" w:cs="Palatino Linotype"/>
          <w:i/>
          <w:color w:val="000000"/>
        </w:rPr>
      </w:pPr>
    </w:p>
    <w:p w14:paraId="194CA3C5" w14:textId="77777777" w:rsidR="003D3C22" w:rsidRPr="001F7AFD"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r w:rsidRPr="00BF67E5">
        <w:rPr>
          <w:rFonts w:ascii="Palatino Linotype" w:eastAsia="Palatino Linotype" w:hAnsi="Palatino Linotype" w:cs="Palatino Linotype"/>
          <w:color w:val="000000"/>
        </w:rPr>
        <w:t xml:space="preserve">De lo anterior, el </w:t>
      </w:r>
      <w:r w:rsidRPr="00BF67E5">
        <w:rPr>
          <w:rFonts w:ascii="Palatino Linotype" w:eastAsia="Palatino Linotype" w:hAnsi="Palatino Linotype" w:cs="Palatino Linotype"/>
          <w:b/>
          <w:color w:val="000000"/>
        </w:rPr>
        <w:t xml:space="preserve">diez de septiembre de dos mil veinticuatro </w:t>
      </w:r>
      <w:r w:rsidRPr="00BF67E5">
        <w:rPr>
          <w:rFonts w:ascii="Palatino Linotype" w:eastAsia="Palatino Linotype" w:hAnsi="Palatino Linotype" w:cs="Palatino Linotype"/>
          <w:color w:val="000000"/>
        </w:rPr>
        <w:t xml:space="preserve">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 xml:space="preserve">adjunto dos documentos electrónicos en formato </w:t>
      </w:r>
      <w:proofErr w:type="spellStart"/>
      <w:r w:rsidRPr="00BF67E5">
        <w:rPr>
          <w:rFonts w:ascii="Palatino Linotype" w:eastAsia="Palatino Linotype" w:hAnsi="Palatino Linotype" w:cs="Palatino Linotype"/>
          <w:color w:val="000000"/>
        </w:rPr>
        <w:t>pdf</w:t>
      </w:r>
      <w:proofErr w:type="spellEnd"/>
      <w:r w:rsidRPr="00BF67E5">
        <w:rPr>
          <w:rFonts w:ascii="Palatino Linotype" w:eastAsia="Palatino Linotype" w:hAnsi="Palatino Linotype" w:cs="Palatino Linotype"/>
          <w:color w:val="000000"/>
        </w:rPr>
        <w:t xml:space="preserve">, cuyo contenido grosso modo es el siguiente. </w:t>
      </w:r>
    </w:p>
    <w:p w14:paraId="2C33712B" w14:textId="77777777" w:rsidR="001F7AFD" w:rsidRPr="001F7AFD" w:rsidRDefault="001F7AFD" w:rsidP="001F7AFD">
      <w:pPr>
        <w:pBdr>
          <w:top w:val="nil"/>
          <w:left w:val="nil"/>
          <w:bottom w:val="nil"/>
          <w:right w:val="nil"/>
          <w:between w:val="nil"/>
        </w:pBdr>
        <w:spacing w:line="360" w:lineRule="auto"/>
        <w:jc w:val="both"/>
        <w:rPr>
          <w:rFonts w:ascii="Palatino Linotype" w:eastAsia="Palatino Linotype" w:hAnsi="Palatino Linotype" w:cs="Palatino Linotype"/>
          <w:b/>
          <w:color w:val="000000"/>
          <w:sz w:val="22"/>
        </w:rPr>
      </w:pPr>
    </w:p>
    <w:tbl>
      <w:tblPr>
        <w:tblStyle w:val="a1"/>
        <w:tblW w:w="935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813"/>
        <w:gridCol w:w="5538"/>
      </w:tblGrid>
      <w:tr w:rsidR="003D3C22" w:rsidRPr="001F7AFD" w14:paraId="7140B6DB" w14:textId="77777777" w:rsidTr="001F7AFD">
        <w:tc>
          <w:tcPr>
            <w:tcW w:w="3813" w:type="dxa"/>
          </w:tcPr>
          <w:p w14:paraId="4C8945BA" w14:textId="77777777" w:rsidR="003D3C22" w:rsidRPr="001F7AFD" w:rsidRDefault="00BF67E5">
            <w:pPr>
              <w:pBdr>
                <w:top w:val="nil"/>
                <w:left w:val="nil"/>
                <w:bottom w:val="nil"/>
                <w:right w:val="nil"/>
                <w:between w:val="nil"/>
              </w:pBdr>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Recursos de Revisión</w:t>
            </w:r>
          </w:p>
        </w:tc>
        <w:tc>
          <w:tcPr>
            <w:tcW w:w="5538" w:type="dxa"/>
          </w:tcPr>
          <w:p w14:paraId="4944D8DF" w14:textId="77777777" w:rsidR="003D3C22" w:rsidRPr="001F7AFD" w:rsidRDefault="00BF67E5">
            <w:pPr>
              <w:pBdr>
                <w:top w:val="nil"/>
                <w:left w:val="nil"/>
                <w:bottom w:val="nil"/>
                <w:right w:val="nil"/>
                <w:between w:val="nil"/>
              </w:pBdr>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Información enviada en la etapa de manifestaciones</w:t>
            </w:r>
          </w:p>
        </w:tc>
      </w:tr>
      <w:tr w:rsidR="003D3C22" w:rsidRPr="001F7AFD" w14:paraId="40A11BC9" w14:textId="77777777" w:rsidTr="001F7AFD">
        <w:tc>
          <w:tcPr>
            <w:tcW w:w="3813" w:type="dxa"/>
          </w:tcPr>
          <w:p w14:paraId="5AB3D336" w14:textId="77777777" w:rsidR="003D3C22" w:rsidRPr="001F7AFD" w:rsidRDefault="00BF67E5">
            <w:pPr>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Recurso de Revisión 04578/INFOEM/IP/RR/2024: </w:t>
            </w:r>
          </w:p>
          <w:p w14:paraId="3FBAAEEF" w14:textId="77777777" w:rsidR="003D3C22" w:rsidRPr="001F7AFD" w:rsidRDefault="003D3C22">
            <w:pPr>
              <w:pBdr>
                <w:top w:val="nil"/>
                <w:left w:val="nil"/>
                <w:bottom w:val="nil"/>
                <w:right w:val="nil"/>
                <w:between w:val="nil"/>
              </w:pBdr>
              <w:ind w:left="720"/>
              <w:rPr>
                <w:rFonts w:ascii="Palatino Linotype" w:eastAsia="Palatino Linotype" w:hAnsi="Palatino Linotype" w:cs="Palatino Linotype"/>
                <w:i/>
                <w:color w:val="000000"/>
                <w:sz w:val="22"/>
              </w:rPr>
            </w:pPr>
          </w:p>
          <w:p w14:paraId="77D5EB60" w14:textId="77777777" w:rsidR="003D3C22" w:rsidRPr="001F7AFD" w:rsidRDefault="00BF67E5">
            <w:pPr>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Recurso de Revisión 04579/INFOEM/IP/RR/2024: </w:t>
            </w:r>
          </w:p>
        </w:tc>
        <w:tc>
          <w:tcPr>
            <w:tcW w:w="5538" w:type="dxa"/>
          </w:tcPr>
          <w:p w14:paraId="64B3B8EF" w14:textId="77777777" w:rsidR="003D3C22" w:rsidRPr="001F7AFD" w:rsidRDefault="00BF67E5">
            <w:pPr>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 xml:space="preserve">Oficios del Titular de la Unidad de Transparencia, mediante los cuales refiere que los Sujetos Obligados deben de entregar la información tal cual obra en sus archivos, además de que refiere que no se atienden las manifestaciones subjetivas. </w:t>
            </w:r>
          </w:p>
          <w:p w14:paraId="5DCA9ACA" w14:textId="77777777" w:rsidR="003D3C22" w:rsidRPr="001F7AFD" w:rsidRDefault="003D3C22">
            <w:pPr>
              <w:pBdr>
                <w:top w:val="nil"/>
                <w:left w:val="nil"/>
                <w:bottom w:val="nil"/>
                <w:right w:val="nil"/>
                <w:between w:val="nil"/>
              </w:pBdr>
              <w:jc w:val="both"/>
              <w:rPr>
                <w:rFonts w:ascii="Palatino Linotype" w:eastAsia="Palatino Linotype" w:hAnsi="Palatino Linotype" w:cs="Palatino Linotype"/>
                <w:i/>
                <w:color w:val="000000"/>
                <w:sz w:val="22"/>
              </w:rPr>
            </w:pPr>
          </w:p>
        </w:tc>
      </w:tr>
    </w:tbl>
    <w:p w14:paraId="7FB3D724"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14:paraId="31517A3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r w:rsidRPr="00BF67E5">
        <w:rPr>
          <w:rFonts w:ascii="Palatino Linotype" w:eastAsia="Palatino Linotype" w:hAnsi="Palatino Linotype" w:cs="Palatino Linotype"/>
          <w:b/>
          <w:color w:val="000000"/>
        </w:rPr>
        <w:t xml:space="preserve"> </w:t>
      </w:r>
      <w:r w:rsidRPr="00BF67E5">
        <w:rPr>
          <w:rFonts w:ascii="Palatino Linotype" w:eastAsia="Palatino Linotype" w:hAnsi="Palatino Linotype" w:cs="Palatino Linotype"/>
          <w:color w:val="000000"/>
        </w:rPr>
        <w:t xml:space="preserve">Por su parte </w:t>
      </w:r>
      <w:r w:rsidRPr="00BF67E5">
        <w:rPr>
          <w:rFonts w:ascii="Palatino Linotype" w:eastAsia="Palatino Linotype" w:hAnsi="Palatino Linotype" w:cs="Palatino Linotype"/>
          <w:b/>
          <w:color w:val="000000"/>
        </w:rPr>
        <w:t xml:space="preserve">el RECURRENTE </w:t>
      </w:r>
      <w:r w:rsidRPr="00BF67E5">
        <w:rPr>
          <w:rFonts w:ascii="Palatino Linotype" w:eastAsia="Palatino Linotype" w:hAnsi="Palatino Linotype" w:cs="Palatino Linotype"/>
          <w:color w:val="000000"/>
        </w:rPr>
        <w:t xml:space="preserve">dejo de realizar manifestaciones que a su derecho conviniera y asistiera.  </w:t>
      </w:r>
    </w:p>
    <w:p w14:paraId="1DCA4675" w14:textId="77777777" w:rsidR="003D3C22" w:rsidRPr="00BF67E5" w:rsidRDefault="003D3C22">
      <w:pPr>
        <w:spacing w:line="360" w:lineRule="auto"/>
        <w:jc w:val="both"/>
        <w:rPr>
          <w:rFonts w:ascii="Palatino Linotype" w:eastAsia="Palatino Linotype" w:hAnsi="Palatino Linotype" w:cs="Palatino Linotype"/>
          <w:b/>
          <w:color w:val="000000"/>
        </w:rPr>
      </w:pPr>
    </w:p>
    <w:p w14:paraId="73FDAC00"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r w:rsidRPr="00BF67E5">
        <w:rPr>
          <w:rFonts w:ascii="Palatino Linotype" w:eastAsia="Palatino Linotype" w:hAnsi="Palatino Linotype" w:cs="Palatino Linotype"/>
          <w:color w:val="000000"/>
        </w:rPr>
        <w:t xml:space="preserve">En fecha </w:t>
      </w:r>
      <w:r w:rsidRPr="00BF67E5">
        <w:rPr>
          <w:rFonts w:ascii="Palatino Linotype" w:eastAsia="Palatino Linotype" w:hAnsi="Palatino Linotype" w:cs="Palatino Linotype"/>
          <w:b/>
          <w:color w:val="000000"/>
        </w:rPr>
        <w:t>cinco de septiembre de dos mil veinticuatro</w:t>
      </w:r>
      <w:r w:rsidRPr="00BF67E5">
        <w:rPr>
          <w:rFonts w:ascii="Palatino Linotype" w:eastAsia="Palatino Linotype" w:hAnsi="Palatino Linotype" w:cs="Palatino Linotype"/>
          <w:color w:val="000000"/>
        </w:rPr>
        <w:t>, se amplió el término para resolver; al respecto es menester realizar las siguientes precisiones.</w:t>
      </w:r>
    </w:p>
    <w:p w14:paraId="65BC705D"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b/>
          <w:color w:val="000000"/>
        </w:rPr>
      </w:pPr>
    </w:p>
    <w:p w14:paraId="092F7D13"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Este organismo garante no pasa por alto justificar, que la dilación en la resolución del presente asunto encuentra justificación en el alto número de recursos de revisión recibidos se ha incrementado el número de medios de impugnación que deben resolverse por este Instituto, circunstancia atípica que ha rebasado las capacidades técnicas y humanas del personal encargado de la proyección de las resoluciones a dichos medios de impugnación.</w:t>
      </w:r>
    </w:p>
    <w:p w14:paraId="7DDDFAD8"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47ED3278"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Por ello, es menester precisar que, si bien se ha excedido el plazo para resolver el presente medio de impugnación, de conformidad con la ley de la materia, dicha dilación es de carácter excepcional y se encuentra justificada en los elementos para medir la razonabilidad del plazo de resolución de asuntos conforme a los parámetros establecidos por diversos órganos jurisdiccionales federales, aplicables también en procedimientos análogos, como el que nos ocupa.</w:t>
      </w:r>
    </w:p>
    <w:p w14:paraId="71B60520"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6EEF8D2A"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Así, en términos de lo que establecen los artículos 8.1 y 25 de la Convención Americana sobre Derechos Humanos, los recursos deben ser sencillos y resolverse en el menor tiempo posible, tomando en consideración la dilación total del procedimiento; esto es, en un plazo razonable.</w:t>
      </w:r>
    </w:p>
    <w:p w14:paraId="77077DDD"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75747FFE"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 </w:t>
      </w:r>
    </w:p>
    <w:p w14:paraId="115F2518"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A1EB9E7"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Por ello, excepcionalmente, si un asunto es resuelto con posterioridad a los plazos señalados por la norma debe analizarse la razonabilidad de dicha dilación atendiendo a los siguientes criterios:   </w:t>
      </w:r>
    </w:p>
    <w:p w14:paraId="57CE7E86" w14:textId="77777777" w:rsidR="003D3C22" w:rsidRPr="001F7AFD" w:rsidRDefault="00BF67E5" w:rsidP="001F7AFD">
      <w:pPr>
        <w:numPr>
          <w:ilvl w:val="0"/>
          <w:numId w:val="4"/>
        </w:numPr>
        <w:spacing w:line="360" w:lineRule="auto"/>
        <w:ind w:right="850"/>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t xml:space="preserve">Complejidad del Asunto: La complejidad de la prueba, la pluralidad de sujetos procesales, el tiempo transcurrido, las características y contexto del recurso. </w:t>
      </w:r>
    </w:p>
    <w:p w14:paraId="27D8CFF2" w14:textId="77777777" w:rsidR="003D3C22" w:rsidRPr="001F7AFD" w:rsidRDefault="00BF67E5" w:rsidP="001F7AFD">
      <w:pPr>
        <w:numPr>
          <w:ilvl w:val="0"/>
          <w:numId w:val="4"/>
        </w:numPr>
        <w:spacing w:line="360" w:lineRule="auto"/>
        <w:ind w:right="850"/>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t>Actividad Procesal del interesado. Acciones u omisiones del interesado.</w:t>
      </w:r>
    </w:p>
    <w:p w14:paraId="43AE34A8" w14:textId="77777777" w:rsidR="003D3C22" w:rsidRPr="001F7AFD" w:rsidRDefault="00BF67E5" w:rsidP="001F7AFD">
      <w:pPr>
        <w:numPr>
          <w:ilvl w:val="0"/>
          <w:numId w:val="4"/>
        </w:numPr>
        <w:spacing w:line="360" w:lineRule="auto"/>
        <w:ind w:right="850"/>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t>Conducta de la Autoridad: Las Acciones u omisiones realizadas en el procedimiento. Así como si la autoridad actuó con la debida diligencia.</w:t>
      </w:r>
    </w:p>
    <w:p w14:paraId="0D26DE49" w14:textId="77777777" w:rsidR="003D3C22" w:rsidRPr="001F7AFD" w:rsidRDefault="00BF67E5" w:rsidP="001F7AFD">
      <w:pPr>
        <w:spacing w:line="360" w:lineRule="auto"/>
        <w:ind w:left="851" w:right="850" w:hanging="284"/>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lastRenderedPageBreak/>
        <w:t>d) La afectación generada en la situación jurídica de la persona involucrada en el proceso: Violación a sus derechos humanos.</w:t>
      </w:r>
    </w:p>
    <w:p w14:paraId="272A546A" w14:textId="77777777" w:rsidR="003D3C22" w:rsidRPr="00BF67E5" w:rsidRDefault="003D3C22" w:rsidP="0000156C">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1DF51B56" w14:textId="77777777" w:rsidR="003D3C22" w:rsidRPr="00BF67E5" w:rsidRDefault="00BF67E5" w:rsidP="0000156C">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De modo que, cuando se trate de un asunto excepcional, por alguna o todas las características mencionadas o bien, cuando el ingreso de asuntos al órgano jurisdiccional o cuasi jurisdiccional respectivo supere notoriamente al que podría considerarse normal, debe concluirse que es una excluyente de responsabilidad en relación con la actuación del funcionario, como ha acontecido en el caso que nos ocupa.</w:t>
      </w:r>
    </w:p>
    <w:p w14:paraId="5F2667E4" w14:textId="77777777" w:rsidR="003D3C22" w:rsidRPr="00BF67E5" w:rsidRDefault="003D3C22" w:rsidP="0000156C">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5F6C71C3" w14:textId="77777777" w:rsidR="003D3C22" w:rsidRPr="00BF67E5" w:rsidRDefault="00BF67E5" w:rsidP="0000156C">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r w:rsidRPr="00BF67E5">
        <w:rPr>
          <w:rFonts w:ascii="Palatino Linotype" w:eastAsia="Palatino Linotype" w:hAnsi="Palatino Linotype" w:cs="Palatino Linotype"/>
          <w:color w:val="000000"/>
        </w:rPr>
        <w:t xml:space="preserve">Argumento que encuentra sustento en la jurisprudencia P./J. 32/92 emitida por el Pleno de la Suprema Corte de Justicia de la Nación de rubro </w:t>
      </w:r>
      <w:r w:rsidRPr="00BF67E5">
        <w:rPr>
          <w:rFonts w:ascii="Palatino Linotype" w:eastAsia="Palatino Linotype" w:hAnsi="Palatino Linotype" w:cs="Palatino Linotype"/>
          <w:i/>
          <w:color w:val="000000"/>
        </w:rPr>
        <w:t xml:space="preserve">“TÉRMINOS PROCESALES. PARA DETERMINAR SI UN FUNCIONARIO JUDICIAL ACTUÓ </w:t>
      </w:r>
      <w:r w:rsidRPr="00BF67E5">
        <w:rPr>
          <w:rFonts w:ascii="Palatino Linotype" w:eastAsia="Palatino Linotype" w:hAnsi="Palatino Linotype" w:cs="Palatino Linotype"/>
          <w:color w:val="000000"/>
        </w:rPr>
        <w:t>INDEBIDAMENTE</w:t>
      </w:r>
      <w:r w:rsidRPr="00BF67E5">
        <w:rPr>
          <w:rFonts w:ascii="Palatino Linotype" w:eastAsia="Palatino Linotype" w:hAnsi="Palatino Linotype" w:cs="Palatino Linotype"/>
          <w:i/>
          <w:color w:val="000000"/>
        </w:rPr>
        <w:t xml:space="preserve"> POR NO RESPETARLOS SE DEBE ATENDER AL PRESUPUESTO QUE CONSIDERÓ EL LEGISLADOR AL FIJARLOS Y LAS CARACTERÍSTICAS DEL CASO.”</w:t>
      </w:r>
      <w:r w:rsidR="00F75A09">
        <w:rPr>
          <w:rFonts w:ascii="Palatino Linotype" w:eastAsia="Palatino Linotype" w:hAnsi="Palatino Linotype" w:cs="Palatino Linotype"/>
          <w:color w:val="000000"/>
        </w:rPr>
        <w:t>, visible en la Gaceta del Sema</w:t>
      </w:r>
      <w:r w:rsidRPr="00BF67E5">
        <w:rPr>
          <w:rFonts w:ascii="Palatino Linotype" w:eastAsia="Palatino Linotype" w:hAnsi="Palatino Linotype" w:cs="Palatino Linotype"/>
          <w:color w:val="000000"/>
        </w:rPr>
        <w:t>nario Judicial de la Federación con el registro digital 205635.</w:t>
      </w:r>
    </w:p>
    <w:p w14:paraId="5E55412C" w14:textId="77777777" w:rsidR="003D3C22" w:rsidRPr="00BF67E5" w:rsidRDefault="003D3C22" w:rsidP="0000156C">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7B20E14" w14:textId="77777777" w:rsidR="003D3C22" w:rsidRPr="00BF67E5" w:rsidRDefault="00BF67E5" w:rsidP="0000156C">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14:paraId="54D2C79E" w14:textId="77777777" w:rsidR="003D3C22" w:rsidRPr="00BF67E5" w:rsidRDefault="00BF67E5" w:rsidP="0000156C">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Por ello, este organismo garante comprometido con la tutela de los derechos humanos confiados, señala que este exceso del plazo legal para resolver el presente asunto, resulta de carácter excepcional.</w:t>
      </w:r>
    </w:p>
    <w:p w14:paraId="3540D4A3" w14:textId="77777777" w:rsidR="003D3C22" w:rsidRPr="00BF67E5" w:rsidRDefault="003D3C22" w:rsidP="0000156C">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132A3BB2" w14:textId="77777777" w:rsidR="003D3C22" w:rsidRPr="00BF67E5" w:rsidRDefault="00BF67E5" w:rsidP="0000156C">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Al respecto, también son de considerar los criterios sostenidos por el Cuarto Tribunal Colegiado en Materia Administrativa del Primer Circuito, cuyos rubros y datos de identificación son los siguientes:</w:t>
      </w:r>
    </w:p>
    <w:p w14:paraId="5640E445" w14:textId="77777777" w:rsidR="003D3C22" w:rsidRPr="001F7AFD" w:rsidRDefault="00BF67E5" w:rsidP="001F7AFD">
      <w:pPr>
        <w:spacing w:line="360" w:lineRule="auto"/>
        <w:ind w:left="425" w:right="850"/>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“PLAZO RAZONABLE PARA RESOLVER. DIMENSIÓN Y EFECTOS DE ESTE CONCEPTO CUANDO SE ADUCE EXCESIVA CARGA DE TRABAJO.”</w:t>
      </w:r>
      <w:r w:rsidR="001F7AFD">
        <w:rPr>
          <w:rFonts w:ascii="Palatino Linotype" w:eastAsia="Palatino Linotype" w:hAnsi="Palatino Linotype" w:cs="Palatino Linotype"/>
          <w:sz w:val="22"/>
        </w:rPr>
        <w:t xml:space="preserve"> consultable en el Sema</w:t>
      </w:r>
      <w:r w:rsidRPr="001F7AFD">
        <w:rPr>
          <w:rFonts w:ascii="Palatino Linotype" w:eastAsia="Palatino Linotype" w:hAnsi="Palatino Linotype" w:cs="Palatino Linotype"/>
          <w:sz w:val="22"/>
        </w:rPr>
        <w:t>nario Judicial de la Federación y su gaceta, con el registro digital 2002351.</w:t>
      </w:r>
    </w:p>
    <w:p w14:paraId="12820548" w14:textId="77777777" w:rsidR="003D3C22" w:rsidRPr="001F7AFD" w:rsidRDefault="00BF67E5" w:rsidP="001F7AFD">
      <w:pPr>
        <w:tabs>
          <w:tab w:val="left" w:pos="2985"/>
        </w:tabs>
        <w:spacing w:line="360" w:lineRule="auto"/>
        <w:ind w:left="425" w:right="850"/>
        <w:jc w:val="both"/>
        <w:rPr>
          <w:rFonts w:ascii="Palatino Linotype" w:eastAsia="Palatino Linotype" w:hAnsi="Palatino Linotype" w:cs="Palatino Linotype"/>
          <w:b/>
          <w:sz w:val="22"/>
        </w:rPr>
      </w:pPr>
      <w:r w:rsidRPr="001F7AFD">
        <w:rPr>
          <w:rFonts w:ascii="Palatino Linotype" w:eastAsia="Palatino Linotype" w:hAnsi="Palatino Linotype" w:cs="Palatino Linotype"/>
          <w:b/>
          <w:sz w:val="22"/>
        </w:rPr>
        <w:tab/>
      </w:r>
    </w:p>
    <w:p w14:paraId="2111694F" w14:textId="77777777" w:rsidR="003D3C22" w:rsidRPr="001F7AFD" w:rsidRDefault="00BF67E5" w:rsidP="001F7AFD">
      <w:pPr>
        <w:spacing w:line="360" w:lineRule="auto"/>
        <w:ind w:left="425" w:right="850"/>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“PLAZO RAZONABLE PARA RESOLVER. CONCEPTO Y ELEMENTOS QUE LO INTEGRAN A LA LUZ DEL DERECHO INTERNACIONAL DE LOS DERECHOS HUMANOS.”</w:t>
      </w:r>
      <w:r w:rsidR="001F7AFD">
        <w:rPr>
          <w:rFonts w:ascii="Palatino Linotype" w:eastAsia="Palatino Linotype" w:hAnsi="Palatino Linotype" w:cs="Palatino Linotype"/>
          <w:sz w:val="22"/>
        </w:rPr>
        <w:t>, visible en el Sema</w:t>
      </w:r>
      <w:r w:rsidRPr="001F7AFD">
        <w:rPr>
          <w:rFonts w:ascii="Palatino Linotype" w:eastAsia="Palatino Linotype" w:hAnsi="Palatino Linotype" w:cs="Palatino Linotype"/>
          <w:sz w:val="22"/>
        </w:rPr>
        <w:t>nario Judicial de la Federación y su gaceta, con el registro digital 2002350.”</w:t>
      </w:r>
    </w:p>
    <w:p w14:paraId="3401C07C"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14:paraId="42422525" w14:textId="77777777" w:rsidR="003D3C22" w:rsidRPr="001F7AFD"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r w:rsidRPr="00BF67E5">
        <w:rPr>
          <w:rFonts w:ascii="Palatino Linotype" w:eastAsia="Palatino Linotype" w:hAnsi="Palatino Linotype" w:cs="Palatino Linotype"/>
          <w:color w:val="000000"/>
        </w:rPr>
        <w:t xml:space="preserve">Finalmente, la Comisionada Ponente y el Comisionado </w:t>
      </w:r>
      <w:proofErr w:type="gramStart"/>
      <w:r w:rsidRPr="00BF67E5">
        <w:rPr>
          <w:rFonts w:ascii="Palatino Linotype" w:eastAsia="Palatino Linotype" w:hAnsi="Palatino Linotype" w:cs="Palatino Linotype"/>
          <w:color w:val="000000"/>
        </w:rPr>
        <w:t>Presidente</w:t>
      </w:r>
      <w:proofErr w:type="gramEnd"/>
      <w:r w:rsidRPr="00BF67E5">
        <w:rPr>
          <w:rFonts w:ascii="Palatino Linotype" w:eastAsia="Palatino Linotype" w:hAnsi="Palatino Linotype" w:cs="Palatino Linotype"/>
          <w:color w:val="000000"/>
        </w:rPr>
        <w:t xml:space="preserve"> mediante acuerdos de fecha</w:t>
      </w:r>
      <w:r w:rsidRPr="00BF67E5">
        <w:rPr>
          <w:rFonts w:ascii="Palatino Linotype" w:eastAsia="Palatino Linotype" w:hAnsi="Palatino Linotype" w:cs="Palatino Linotype"/>
          <w:b/>
          <w:color w:val="000000"/>
        </w:rPr>
        <w:t xml:space="preserve"> treinta de octubre de dos mil veinticuatro</w:t>
      </w:r>
      <w:r w:rsidRPr="00BF67E5">
        <w:rPr>
          <w:rFonts w:ascii="Palatino Linotype" w:eastAsia="Palatino Linotype" w:hAnsi="Palatino Linotype" w:cs="Palatino Linotype"/>
          <w:color w:val="000000"/>
        </w:rPr>
        <w:t>, decretó el cierre de instrucción de los expedientes, por lo que no habiendo más que hacer constar, y ---</w:t>
      </w:r>
      <w:r w:rsidR="001F7AFD">
        <w:rPr>
          <w:rFonts w:ascii="Palatino Linotype" w:eastAsia="Palatino Linotype" w:hAnsi="Palatino Linotype" w:cs="Palatino Linotype"/>
          <w:color w:val="000000"/>
        </w:rPr>
        <w:t>-----------</w:t>
      </w:r>
    </w:p>
    <w:p w14:paraId="7E97DCF2" w14:textId="77777777" w:rsidR="001F7AFD" w:rsidRDefault="001F7AFD" w:rsidP="001F7AFD">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23042E52" w14:textId="77777777" w:rsidR="001F7AFD" w:rsidRDefault="001F7AFD" w:rsidP="001F7AFD">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7271C3BF" w14:textId="77777777" w:rsidR="001F7AFD" w:rsidRDefault="001F7AFD" w:rsidP="001F7AFD">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116F6CED" w14:textId="77777777" w:rsidR="001F7AFD" w:rsidRPr="00BF67E5" w:rsidRDefault="001F7AFD" w:rsidP="001F7AFD">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14:paraId="7AB2815B"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14:paraId="2D198848" w14:textId="77777777" w:rsidR="003D3C22" w:rsidRPr="00BF67E5" w:rsidRDefault="00BF67E5">
      <w:pPr>
        <w:pStyle w:val="Ttulo1"/>
        <w:tabs>
          <w:tab w:val="left" w:pos="567"/>
        </w:tabs>
        <w:spacing w:before="0" w:line="360" w:lineRule="auto"/>
        <w:jc w:val="center"/>
        <w:rPr>
          <w:szCs w:val="24"/>
        </w:rPr>
      </w:pPr>
      <w:bookmarkStart w:id="3" w:name="_heading=h.3znysh7" w:colFirst="0" w:colLast="0"/>
      <w:bookmarkEnd w:id="3"/>
      <w:r w:rsidRPr="00BF67E5">
        <w:rPr>
          <w:szCs w:val="24"/>
        </w:rPr>
        <w:lastRenderedPageBreak/>
        <w:t>C</w:t>
      </w:r>
      <w:r w:rsidR="001F7AFD">
        <w:rPr>
          <w:szCs w:val="24"/>
        </w:rPr>
        <w:t xml:space="preserve"> </w:t>
      </w:r>
      <w:r w:rsidRPr="00BF67E5">
        <w:rPr>
          <w:szCs w:val="24"/>
        </w:rPr>
        <w:t>O</w:t>
      </w:r>
      <w:r w:rsidR="001F7AFD">
        <w:rPr>
          <w:szCs w:val="24"/>
        </w:rPr>
        <w:t xml:space="preserve"> </w:t>
      </w:r>
      <w:r w:rsidRPr="00BF67E5">
        <w:rPr>
          <w:szCs w:val="24"/>
        </w:rPr>
        <w:t>N</w:t>
      </w:r>
      <w:r w:rsidR="001F7AFD">
        <w:rPr>
          <w:szCs w:val="24"/>
        </w:rPr>
        <w:t xml:space="preserve"> </w:t>
      </w:r>
      <w:r w:rsidRPr="00BF67E5">
        <w:rPr>
          <w:szCs w:val="24"/>
        </w:rPr>
        <w:t>S</w:t>
      </w:r>
      <w:r w:rsidR="001F7AFD">
        <w:rPr>
          <w:szCs w:val="24"/>
        </w:rPr>
        <w:t xml:space="preserve"> </w:t>
      </w:r>
      <w:r w:rsidRPr="00BF67E5">
        <w:rPr>
          <w:szCs w:val="24"/>
        </w:rPr>
        <w:t>I</w:t>
      </w:r>
      <w:r w:rsidR="001F7AFD">
        <w:rPr>
          <w:szCs w:val="24"/>
        </w:rPr>
        <w:t xml:space="preserve"> </w:t>
      </w:r>
      <w:r w:rsidRPr="00BF67E5">
        <w:rPr>
          <w:szCs w:val="24"/>
        </w:rPr>
        <w:t>D</w:t>
      </w:r>
      <w:r w:rsidR="001F7AFD">
        <w:rPr>
          <w:szCs w:val="24"/>
        </w:rPr>
        <w:t xml:space="preserve"> </w:t>
      </w:r>
      <w:r w:rsidRPr="00BF67E5">
        <w:rPr>
          <w:szCs w:val="24"/>
        </w:rPr>
        <w:t>E</w:t>
      </w:r>
      <w:r w:rsidR="001F7AFD">
        <w:rPr>
          <w:szCs w:val="24"/>
        </w:rPr>
        <w:t xml:space="preserve"> </w:t>
      </w:r>
      <w:r w:rsidRPr="00BF67E5">
        <w:rPr>
          <w:szCs w:val="24"/>
        </w:rPr>
        <w:t>R</w:t>
      </w:r>
      <w:r w:rsidR="001F7AFD">
        <w:rPr>
          <w:szCs w:val="24"/>
        </w:rPr>
        <w:t xml:space="preserve"> </w:t>
      </w:r>
      <w:r w:rsidRPr="00BF67E5">
        <w:rPr>
          <w:szCs w:val="24"/>
        </w:rPr>
        <w:t>A</w:t>
      </w:r>
      <w:r w:rsidR="001F7AFD">
        <w:rPr>
          <w:szCs w:val="24"/>
        </w:rPr>
        <w:t xml:space="preserve"> </w:t>
      </w:r>
      <w:r w:rsidRPr="00BF67E5">
        <w:rPr>
          <w:szCs w:val="24"/>
        </w:rPr>
        <w:t>N</w:t>
      </w:r>
      <w:r w:rsidR="001F7AFD">
        <w:rPr>
          <w:szCs w:val="24"/>
        </w:rPr>
        <w:t xml:space="preserve"> </w:t>
      </w:r>
      <w:r w:rsidRPr="00BF67E5">
        <w:rPr>
          <w:szCs w:val="24"/>
        </w:rPr>
        <w:t>D</w:t>
      </w:r>
      <w:r w:rsidR="001F7AFD">
        <w:rPr>
          <w:szCs w:val="24"/>
        </w:rPr>
        <w:t xml:space="preserve"> </w:t>
      </w:r>
      <w:r w:rsidRPr="00BF67E5">
        <w:rPr>
          <w:szCs w:val="24"/>
        </w:rPr>
        <w:t>O</w:t>
      </w:r>
    </w:p>
    <w:p w14:paraId="478DEE53" w14:textId="77777777" w:rsidR="003D3C22" w:rsidRPr="00BF67E5" w:rsidRDefault="003D3C22">
      <w:pPr>
        <w:spacing w:line="360" w:lineRule="auto"/>
        <w:rPr>
          <w:rFonts w:ascii="Palatino Linotype" w:eastAsia="Palatino Linotype" w:hAnsi="Palatino Linotype" w:cs="Palatino Linotype"/>
        </w:rPr>
      </w:pPr>
    </w:p>
    <w:p w14:paraId="2AFCBA86" w14:textId="77777777" w:rsidR="003D3C22" w:rsidRPr="00BF67E5" w:rsidRDefault="00BF67E5">
      <w:pPr>
        <w:pStyle w:val="Ttulo1"/>
        <w:tabs>
          <w:tab w:val="left" w:pos="567"/>
        </w:tabs>
        <w:spacing w:before="0" w:line="360" w:lineRule="auto"/>
        <w:rPr>
          <w:b w:val="0"/>
          <w:szCs w:val="24"/>
        </w:rPr>
      </w:pPr>
      <w:bookmarkStart w:id="4" w:name="_heading=h.2et92p0" w:colFirst="0" w:colLast="0"/>
      <w:bookmarkEnd w:id="4"/>
      <w:r w:rsidRPr="00BF67E5">
        <w:rPr>
          <w:szCs w:val="24"/>
        </w:rPr>
        <w:t>PRIMERO. De la competencia</w:t>
      </w:r>
    </w:p>
    <w:p w14:paraId="3C8C6E63"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Este 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XXIV, y 11 del Reglamento Interior del Instituto de Transparencia, Acceso a la Información Pública y Protección de Datos Personales del Estado de México y Municipios..</w:t>
      </w:r>
    </w:p>
    <w:p w14:paraId="72739F48" w14:textId="77777777" w:rsidR="003D3C22" w:rsidRPr="00BF67E5" w:rsidRDefault="003D3C22">
      <w:pPr>
        <w:pBdr>
          <w:top w:val="nil"/>
          <w:left w:val="nil"/>
          <w:bottom w:val="nil"/>
          <w:right w:val="nil"/>
          <w:between w:val="nil"/>
        </w:pBdr>
        <w:tabs>
          <w:tab w:val="left" w:pos="426"/>
          <w:tab w:val="left" w:pos="567"/>
        </w:tabs>
        <w:spacing w:line="360" w:lineRule="auto"/>
        <w:jc w:val="both"/>
        <w:rPr>
          <w:rFonts w:ascii="Palatino Linotype" w:eastAsia="Palatino Linotype" w:hAnsi="Palatino Linotype" w:cs="Palatino Linotype"/>
          <w:color w:val="000000"/>
        </w:rPr>
      </w:pPr>
    </w:p>
    <w:p w14:paraId="58B28CC2" w14:textId="77777777" w:rsidR="003D3C22" w:rsidRPr="00BF67E5" w:rsidRDefault="00BF67E5">
      <w:pPr>
        <w:pStyle w:val="Ttulo2"/>
        <w:spacing w:before="0" w:line="360" w:lineRule="auto"/>
        <w:rPr>
          <w:b w:val="0"/>
          <w:color w:val="000000"/>
          <w:szCs w:val="24"/>
        </w:rPr>
      </w:pPr>
      <w:bookmarkStart w:id="5" w:name="_heading=h.tyjcwt" w:colFirst="0" w:colLast="0"/>
      <w:bookmarkEnd w:id="5"/>
      <w:r w:rsidRPr="00BF67E5">
        <w:rPr>
          <w:color w:val="000000"/>
          <w:szCs w:val="24"/>
        </w:rPr>
        <w:t>SEGUNDO. De la oportunidad y procedencia.</w:t>
      </w:r>
    </w:p>
    <w:p w14:paraId="54CED534"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El medio de impugnación fue presentado a través del </w:t>
      </w:r>
      <w:r w:rsidRPr="00BF67E5">
        <w:rPr>
          <w:rFonts w:ascii="Palatino Linotype" w:eastAsia="Palatino Linotype" w:hAnsi="Palatino Linotype" w:cs="Palatino Linotype"/>
          <w:b/>
          <w:color w:val="000000"/>
        </w:rPr>
        <w:t>SAIMEX,</w:t>
      </w:r>
      <w:r w:rsidRPr="00BF67E5">
        <w:rPr>
          <w:rFonts w:ascii="Palatino Linotype" w:eastAsia="Palatino Linotype" w:hAnsi="Palatino Linotype" w:cs="Palatino Linotype"/>
          <w:color w:val="000000"/>
        </w:rPr>
        <w:t xml:space="preserve"> en el formato previamente aprobado para tal efecto y dentro del plazo legal de quince días hábiles otorgados; para el caso en particular es de señalar que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xml:space="preserve"> entregó su respuesta el </w:t>
      </w:r>
      <w:r w:rsidRPr="00BF67E5">
        <w:rPr>
          <w:rFonts w:ascii="Palatino Linotype" w:eastAsia="Palatino Linotype" w:hAnsi="Palatino Linotype" w:cs="Palatino Linotype"/>
          <w:b/>
          <w:color w:val="000000"/>
        </w:rPr>
        <w:t>veintiocho de junio y diez de julio de dos mil veinticuatro</w:t>
      </w:r>
      <w:r w:rsidRPr="00BF67E5">
        <w:rPr>
          <w:rFonts w:ascii="Palatino Linotype" w:eastAsia="Palatino Linotype" w:hAnsi="Palatino Linotype" w:cs="Palatino Linotype"/>
          <w:color w:val="000000"/>
        </w:rPr>
        <w:t xml:space="preserve">, de tal forma que el plazo para interponer el recurso de revisión transcurrió del </w:t>
      </w:r>
      <w:r w:rsidRPr="00BF67E5">
        <w:rPr>
          <w:rFonts w:ascii="Palatino Linotype" w:eastAsia="Palatino Linotype" w:hAnsi="Palatino Linotype" w:cs="Palatino Linotype"/>
          <w:b/>
          <w:color w:val="000000"/>
        </w:rPr>
        <w:t>uno al diecinueve de julio y del once de julio al catorce de agosto de dos mil veinticuatro</w:t>
      </w:r>
      <w:r w:rsidRPr="00BF67E5">
        <w:rPr>
          <w:rFonts w:ascii="Palatino Linotype" w:eastAsia="Palatino Linotype" w:hAnsi="Palatino Linotype" w:cs="Palatino Linotype"/>
          <w:color w:val="000000"/>
        </w:rPr>
        <w:t xml:space="preserve">; en consecuencia, el ahora </w:t>
      </w:r>
      <w:r w:rsidRPr="00BF67E5">
        <w:rPr>
          <w:rFonts w:ascii="Palatino Linotype" w:eastAsia="Palatino Linotype" w:hAnsi="Palatino Linotype" w:cs="Palatino Linotype"/>
          <w:b/>
          <w:color w:val="000000"/>
        </w:rPr>
        <w:t>RECURRENTE</w:t>
      </w:r>
      <w:r w:rsidRPr="00BF67E5">
        <w:rPr>
          <w:rFonts w:ascii="Palatino Linotype" w:eastAsia="Palatino Linotype" w:hAnsi="Palatino Linotype" w:cs="Palatino Linotype"/>
          <w:color w:val="000000"/>
        </w:rPr>
        <w:t xml:space="preserve"> presentó sus inconformidades el </w:t>
      </w:r>
      <w:r w:rsidRPr="00BF67E5">
        <w:rPr>
          <w:rFonts w:ascii="Palatino Linotype" w:eastAsia="Palatino Linotype" w:hAnsi="Palatino Linotype" w:cs="Palatino Linotype"/>
          <w:b/>
          <w:color w:val="000000"/>
        </w:rPr>
        <w:t>diecisiete de julio de dos mil veinticuatro</w:t>
      </w:r>
      <w:r w:rsidRPr="00BF67E5">
        <w:rPr>
          <w:rFonts w:ascii="Palatino Linotype" w:eastAsia="Palatino Linotype" w:hAnsi="Palatino Linotype" w:cs="Palatino Linotype"/>
          <w:color w:val="000000"/>
        </w:rPr>
        <w:t>; por lo que se estima que la inconformidad se presentó dentro del lapso legalmente establecido para tal efecto.</w:t>
      </w:r>
    </w:p>
    <w:p w14:paraId="1DD606D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Asimismo, el escrito contiene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14:paraId="36D1C6AB" w14:textId="77777777" w:rsidR="003D3C22" w:rsidRPr="00BF67E5" w:rsidRDefault="003D3C22">
      <w:pPr>
        <w:pBdr>
          <w:top w:val="nil"/>
          <w:left w:val="nil"/>
          <w:bottom w:val="nil"/>
          <w:right w:val="nil"/>
          <w:between w:val="nil"/>
        </w:pBdr>
        <w:spacing w:line="360" w:lineRule="auto"/>
        <w:rPr>
          <w:rFonts w:ascii="Palatino Linotype" w:eastAsia="Palatino Linotype" w:hAnsi="Palatino Linotype" w:cs="Palatino Linotype"/>
          <w:color w:val="000000"/>
        </w:rPr>
      </w:pPr>
    </w:p>
    <w:p w14:paraId="28BF500F" w14:textId="77777777" w:rsidR="003D3C22" w:rsidRPr="00BF67E5" w:rsidRDefault="00BF67E5">
      <w:pPr>
        <w:pStyle w:val="Ttulo2"/>
        <w:spacing w:before="0" w:line="360" w:lineRule="auto"/>
        <w:rPr>
          <w:b w:val="0"/>
          <w:szCs w:val="24"/>
        </w:rPr>
      </w:pPr>
      <w:bookmarkStart w:id="6" w:name="_heading=h.3dy6vkm" w:colFirst="0" w:colLast="0"/>
      <w:bookmarkEnd w:id="6"/>
      <w:r w:rsidRPr="00BF67E5">
        <w:rPr>
          <w:color w:val="000000"/>
          <w:szCs w:val="24"/>
        </w:rPr>
        <w:t xml:space="preserve">TERCERO. </w:t>
      </w:r>
      <w:r w:rsidRPr="00BF67E5">
        <w:rPr>
          <w:szCs w:val="24"/>
        </w:rPr>
        <w:t xml:space="preserve">Del planteamiento de la </w:t>
      </w:r>
      <w:r w:rsidRPr="00BF67E5">
        <w:rPr>
          <w:i/>
          <w:szCs w:val="24"/>
        </w:rPr>
        <w:t>Litis</w:t>
      </w:r>
      <w:r w:rsidRPr="00BF67E5">
        <w:rPr>
          <w:szCs w:val="24"/>
        </w:rPr>
        <w:t>.</w:t>
      </w:r>
    </w:p>
    <w:p w14:paraId="4E6F234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Se solicitó tener acceso, a la información:</w:t>
      </w:r>
    </w:p>
    <w:p w14:paraId="18A9D7E7" w14:textId="77777777" w:rsidR="003D3C22" w:rsidRPr="001F7AFD" w:rsidRDefault="00BF67E5" w:rsidP="001F7AFD">
      <w:pPr>
        <w:spacing w:line="360" w:lineRule="auto"/>
        <w:ind w:left="1080" w:right="850"/>
        <w:jc w:val="both"/>
        <w:rPr>
          <w:rFonts w:ascii="Palatino Linotype" w:eastAsia="Palatino Linotype" w:hAnsi="Palatino Linotype" w:cs="Palatino Linotype"/>
          <w:b/>
          <w:sz w:val="22"/>
        </w:rPr>
      </w:pPr>
      <w:r w:rsidRPr="001F7AFD">
        <w:rPr>
          <w:rFonts w:ascii="Palatino Linotype" w:eastAsia="Palatino Linotype" w:hAnsi="Palatino Linotype" w:cs="Palatino Linotype"/>
          <w:b/>
          <w:sz w:val="22"/>
        </w:rPr>
        <w:t xml:space="preserve">Recibos de Nómina de todo el personal </w:t>
      </w:r>
    </w:p>
    <w:p w14:paraId="46CC82B9" w14:textId="77777777" w:rsidR="003D3C22" w:rsidRPr="001F7AFD" w:rsidRDefault="00BF67E5" w:rsidP="001F7AFD">
      <w:pPr>
        <w:numPr>
          <w:ilvl w:val="0"/>
          <w:numId w:val="1"/>
        </w:numPr>
        <w:pBdr>
          <w:top w:val="nil"/>
          <w:left w:val="nil"/>
          <w:bottom w:val="nil"/>
          <w:right w:val="nil"/>
          <w:between w:val="nil"/>
        </w:pBdr>
        <w:spacing w:line="360" w:lineRule="auto"/>
        <w:ind w:right="850"/>
        <w:jc w:val="both"/>
        <w:rPr>
          <w:rFonts w:ascii="Palatino Linotype" w:eastAsia="Palatino Linotype" w:hAnsi="Palatino Linotype" w:cs="Palatino Linotype"/>
          <w:b/>
          <w:color w:val="000000"/>
          <w:sz w:val="22"/>
        </w:rPr>
      </w:pPr>
      <w:r w:rsidRPr="001F7AFD">
        <w:rPr>
          <w:rFonts w:ascii="Palatino Linotype" w:eastAsia="Palatino Linotype" w:hAnsi="Palatino Linotype" w:cs="Palatino Linotype"/>
          <w:color w:val="000000"/>
          <w:sz w:val="22"/>
        </w:rPr>
        <w:t>De la primera y segunda quincena del mes de enero del año 2021, 2022 y 2024</w:t>
      </w:r>
    </w:p>
    <w:p w14:paraId="2EBFC9D3" w14:textId="77777777" w:rsidR="003D3C22" w:rsidRPr="001F7AFD" w:rsidRDefault="00BF67E5" w:rsidP="001F7AFD">
      <w:pPr>
        <w:numPr>
          <w:ilvl w:val="0"/>
          <w:numId w:val="1"/>
        </w:numPr>
        <w:pBdr>
          <w:top w:val="nil"/>
          <w:left w:val="nil"/>
          <w:bottom w:val="nil"/>
          <w:right w:val="nil"/>
          <w:between w:val="nil"/>
        </w:pBdr>
        <w:spacing w:line="360" w:lineRule="auto"/>
        <w:ind w:right="850"/>
        <w:jc w:val="both"/>
        <w:rPr>
          <w:rFonts w:ascii="Palatino Linotype" w:eastAsia="Palatino Linotype" w:hAnsi="Palatino Linotype" w:cs="Palatino Linotype"/>
          <w:b/>
          <w:color w:val="000000"/>
          <w:sz w:val="22"/>
        </w:rPr>
      </w:pPr>
      <w:r w:rsidRPr="001F7AFD">
        <w:rPr>
          <w:rFonts w:ascii="Palatino Linotype" w:eastAsia="Palatino Linotype" w:hAnsi="Palatino Linotype" w:cs="Palatino Linotype"/>
          <w:color w:val="000000"/>
          <w:sz w:val="22"/>
        </w:rPr>
        <w:t>De la primera y segunda quincena del mes de diciembre del año 2023</w:t>
      </w:r>
    </w:p>
    <w:p w14:paraId="0EAE7C98" w14:textId="77777777" w:rsidR="003D3C22" w:rsidRPr="001F7AFD" w:rsidRDefault="00BF67E5" w:rsidP="001F7AFD">
      <w:pPr>
        <w:pBdr>
          <w:top w:val="nil"/>
          <w:left w:val="nil"/>
          <w:bottom w:val="nil"/>
          <w:right w:val="nil"/>
          <w:between w:val="nil"/>
        </w:pBdr>
        <w:spacing w:line="360" w:lineRule="auto"/>
        <w:ind w:left="1440" w:right="850"/>
        <w:jc w:val="both"/>
        <w:rPr>
          <w:rFonts w:ascii="Palatino Linotype" w:eastAsia="Palatino Linotype" w:hAnsi="Palatino Linotype" w:cs="Palatino Linotype"/>
          <w:b/>
          <w:color w:val="000000"/>
          <w:sz w:val="22"/>
        </w:rPr>
      </w:pPr>
      <w:r w:rsidRPr="001F7AFD">
        <w:rPr>
          <w:rFonts w:ascii="Palatino Linotype" w:eastAsia="Palatino Linotype" w:hAnsi="Palatino Linotype" w:cs="Palatino Linotype"/>
          <w:b/>
          <w:color w:val="000000"/>
          <w:sz w:val="22"/>
        </w:rPr>
        <w:t>Recibos de Nómina de los servidores públicos sindicalizados</w:t>
      </w:r>
    </w:p>
    <w:p w14:paraId="56EE9DFF" w14:textId="77777777" w:rsidR="003D3C22" w:rsidRPr="001F7AFD" w:rsidRDefault="00BF67E5" w:rsidP="001F7AFD">
      <w:pPr>
        <w:numPr>
          <w:ilvl w:val="0"/>
          <w:numId w:val="1"/>
        </w:numPr>
        <w:pBdr>
          <w:top w:val="nil"/>
          <w:left w:val="nil"/>
          <w:bottom w:val="nil"/>
          <w:right w:val="nil"/>
          <w:between w:val="nil"/>
        </w:pBdr>
        <w:spacing w:line="360" w:lineRule="auto"/>
        <w:ind w:right="850"/>
        <w:jc w:val="both"/>
        <w:rPr>
          <w:rFonts w:ascii="Palatino Linotype" w:eastAsia="Palatino Linotype" w:hAnsi="Palatino Linotype" w:cs="Palatino Linotype"/>
          <w:color w:val="000000"/>
          <w:sz w:val="22"/>
        </w:rPr>
      </w:pPr>
      <w:r w:rsidRPr="001F7AFD">
        <w:rPr>
          <w:rFonts w:ascii="Palatino Linotype" w:eastAsia="Palatino Linotype" w:hAnsi="Palatino Linotype" w:cs="Palatino Linotype"/>
          <w:color w:val="000000"/>
          <w:sz w:val="22"/>
        </w:rPr>
        <w:t>De la primera y segunda quincena del mes de abril del año 2023 y 2024</w:t>
      </w:r>
    </w:p>
    <w:p w14:paraId="1B30241E" w14:textId="77777777" w:rsidR="003D3C22" w:rsidRPr="001F7AFD" w:rsidRDefault="00BF67E5" w:rsidP="001F7AFD">
      <w:pPr>
        <w:pBdr>
          <w:top w:val="nil"/>
          <w:left w:val="nil"/>
          <w:bottom w:val="nil"/>
          <w:right w:val="nil"/>
          <w:between w:val="nil"/>
        </w:pBdr>
        <w:spacing w:line="360" w:lineRule="auto"/>
        <w:ind w:left="1440" w:right="850"/>
        <w:jc w:val="both"/>
        <w:rPr>
          <w:rFonts w:ascii="Palatino Linotype" w:eastAsia="Palatino Linotype" w:hAnsi="Palatino Linotype" w:cs="Palatino Linotype"/>
          <w:b/>
          <w:color w:val="000000"/>
          <w:sz w:val="22"/>
        </w:rPr>
      </w:pPr>
      <w:r w:rsidRPr="001F7AFD">
        <w:rPr>
          <w:rFonts w:ascii="Palatino Linotype" w:eastAsia="Palatino Linotype" w:hAnsi="Palatino Linotype" w:cs="Palatino Linotype"/>
          <w:b/>
          <w:color w:val="000000"/>
          <w:sz w:val="22"/>
        </w:rPr>
        <w:t xml:space="preserve">Recibos de Nómina de los Servidores Públicos </w:t>
      </w:r>
    </w:p>
    <w:p w14:paraId="20E65CA1" w14:textId="77777777" w:rsidR="003D3C22" w:rsidRPr="001F7AFD" w:rsidRDefault="00BF67E5" w:rsidP="001F7AFD">
      <w:pPr>
        <w:numPr>
          <w:ilvl w:val="0"/>
          <w:numId w:val="1"/>
        </w:numPr>
        <w:pBdr>
          <w:top w:val="nil"/>
          <w:left w:val="nil"/>
          <w:bottom w:val="nil"/>
          <w:right w:val="nil"/>
          <w:between w:val="nil"/>
        </w:pBdr>
        <w:spacing w:line="360" w:lineRule="auto"/>
        <w:ind w:right="850"/>
        <w:jc w:val="both"/>
        <w:rPr>
          <w:rFonts w:ascii="Palatino Linotype" w:eastAsia="Palatino Linotype" w:hAnsi="Palatino Linotype" w:cs="Palatino Linotype"/>
          <w:color w:val="000000"/>
          <w:sz w:val="22"/>
        </w:rPr>
      </w:pPr>
      <w:r w:rsidRPr="001F7AFD">
        <w:rPr>
          <w:rFonts w:ascii="Palatino Linotype" w:eastAsia="Palatino Linotype" w:hAnsi="Palatino Linotype" w:cs="Palatino Linotype"/>
          <w:color w:val="000000"/>
          <w:sz w:val="22"/>
        </w:rPr>
        <w:t xml:space="preserve">De la primera y segunda quincena del mes de diciembre del año 2023 y 2024. </w:t>
      </w:r>
    </w:p>
    <w:p w14:paraId="407C5C23" w14:textId="77777777" w:rsidR="003D3C22" w:rsidRPr="00BF67E5" w:rsidRDefault="003D3C22">
      <w:pPr>
        <w:spacing w:line="360" w:lineRule="auto"/>
        <w:ind w:right="758"/>
        <w:jc w:val="both"/>
        <w:rPr>
          <w:rFonts w:ascii="Palatino Linotype" w:eastAsia="Palatino Linotype" w:hAnsi="Palatino Linotype" w:cs="Palatino Linotype"/>
        </w:rPr>
      </w:pPr>
    </w:p>
    <w:p w14:paraId="7DE787C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i/>
          <w:color w:val="000000"/>
        </w:rPr>
      </w:pPr>
      <w:r w:rsidRPr="00BF67E5">
        <w:rPr>
          <w:rFonts w:ascii="Palatino Linotype" w:eastAsia="Palatino Linotype" w:hAnsi="Palatino Linotype" w:cs="Palatino Linotype"/>
          <w:color w:val="000000"/>
        </w:rPr>
        <w:t xml:space="preserve">En respuesta,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 xml:space="preserve">en ambos recursos de revisión informo que la información solicitada sobrepasaba las capacidades técnicas del sistema y las humanas del Ayuntamiento de Tenancingo, situación por la cual propone el cambio de modalidad a Consulta Directa. </w:t>
      </w:r>
    </w:p>
    <w:p w14:paraId="3650A7B3"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i/>
          <w:color w:val="000000"/>
        </w:rPr>
      </w:pPr>
    </w:p>
    <w:p w14:paraId="4F3E3FB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dichas condiciones, la </w:t>
      </w:r>
      <w:r w:rsidRPr="00BF67E5">
        <w:rPr>
          <w:rFonts w:ascii="Palatino Linotype" w:eastAsia="Palatino Linotype" w:hAnsi="Palatino Linotype" w:cs="Palatino Linotype"/>
          <w:i/>
          <w:color w:val="000000"/>
        </w:rPr>
        <w:t>Litis</w:t>
      </w:r>
      <w:r w:rsidRPr="00BF67E5">
        <w:rPr>
          <w:rFonts w:ascii="Palatino Linotype" w:eastAsia="Palatino Linotype" w:hAnsi="Palatino Linotype" w:cs="Palatino Linotype"/>
          <w:color w:val="000000"/>
        </w:rPr>
        <w:t xml:space="preserve"> a resolver en este recurso se circunscribe a determinar si se actualiza la causal de procedencia prevista en el artículo 179, </w:t>
      </w:r>
      <w:r w:rsidRPr="00BF67E5">
        <w:rPr>
          <w:rFonts w:ascii="Palatino Linotype" w:eastAsia="Palatino Linotype" w:hAnsi="Palatino Linotype" w:cs="Palatino Linotype"/>
          <w:b/>
          <w:color w:val="000000"/>
        </w:rPr>
        <w:t xml:space="preserve">fracciones I y VIII </w:t>
      </w:r>
      <w:r w:rsidRPr="00BF67E5">
        <w:rPr>
          <w:rFonts w:ascii="Palatino Linotype" w:eastAsia="Palatino Linotype" w:hAnsi="Palatino Linotype" w:cs="Palatino Linotype"/>
          <w:color w:val="000000"/>
        </w:rPr>
        <w:t xml:space="preserve">de la </w:t>
      </w:r>
      <w:r w:rsidRPr="00BF67E5">
        <w:rPr>
          <w:rFonts w:ascii="Palatino Linotype" w:eastAsia="Palatino Linotype" w:hAnsi="Palatino Linotype" w:cs="Palatino Linotype"/>
          <w:b/>
          <w:color w:val="000000"/>
        </w:rPr>
        <w:t>Ley de Transparencia y Acceso a la Información Pública del Estado de México y Municipios</w:t>
      </w:r>
      <w:r w:rsidRPr="00BF67E5">
        <w:rPr>
          <w:rFonts w:ascii="Palatino Linotype" w:eastAsia="Palatino Linotype" w:hAnsi="Palatino Linotype" w:cs="Palatino Linotype"/>
          <w:color w:val="000000"/>
        </w:rPr>
        <w:t xml:space="preserve">; fracciones que determinan las  hipótesis jurídicas relativas a la negativa de la </w:t>
      </w:r>
      <w:r w:rsidRPr="00BF67E5">
        <w:rPr>
          <w:rFonts w:ascii="Palatino Linotype" w:eastAsia="Palatino Linotype" w:hAnsi="Palatino Linotype" w:cs="Palatino Linotype"/>
          <w:color w:val="000000"/>
        </w:rPr>
        <w:lastRenderedPageBreak/>
        <w:t xml:space="preserve">información solicitada y a la entrega o puesta a disposición de información en una modalidad o formato distinto al solicitado; contextos de los cuales se dolió </w:t>
      </w:r>
      <w:r w:rsidRPr="00BF67E5">
        <w:rPr>
          <w:rFonts w:ascii="Palatino Linotype" w:eastAsia="Palatino Linotype" w:hAnsi="Palatino Linotype" w:cs="Palatino Linotype"/>
          <w:b/>
          <w:color w:val="000000"/>
        </w:rPr>
        <w:t xml:space="preserve">EL RECURRENTE </w:t>
      </w:r>
      <w:r w:rsidRPr="00BF67E5">
        <w:rPr>
          <w:rFonts w:ascii="Palatino Linotype" w:eastAsia="Palatino Linotype" w:hAnsi="Palatino Linotype" w:cs="Palatino Linotype"/>
          <w:color w:val="000000"/>
        </w:rPr>
        <w:t xml:space="preserve">al momento de interponer su inconformidad. De modo tal que los presentes recursos de revisión se abocaran en determinar si el </w:t>
      </w:r>
      <w:r w:rsidRPr="00BF67E5">
        <w:rPr>
          <w:rFonts w:ascii="Palatino Linotype" w:eastAsia="Palatino Linotype" w:hAnsi="Palatino Linotype" w:cs="Palatino Linotype"/>
          <w:b/>
          <w:color w:val="000000"/>
        </w:rPr>
        <w:t>SUJETO</w:t>
      </w:r>
      <w:r w:rsidRPr="00BF67E5">
        <w:rPr>
          <w:rFonts w:ascii="Palatino Linotype" w:eastAsia="Palatino Linotype" w:hAnsi="Palatino Linotype" w:cs="Palatino Linotype"/>
          <w:color w:val="000000"/>
        </w:rPr>
        <w:t xml:space="preserve"> </w:t>
      </w:r>
      <w:r w:rsidRPr="00BF67E5">
        <w:rPr>
          <w:rFonts w:ascii="Palatino Linotype" w:eastAsia="Palatino Linotype" w:hAnsi="Palatino Linotype" w:cs="Palatino Linotype"/>
          <w:b/>
          <w:color w:val="000000"/>
        </w:rPr>
        <w:t>OBLIGADO</w:t>
      </w:r>
      <w:r w:rsidRPr="00BF67E5">
        <w:rPr>
          <w:rFonts w:ascii="Palatino Linotype" w:eastAsia="Palatino Linotype" w:hAnsi="Palatino Linotype" w:cs="Palatino Linotype"/>
          <w:color w:val="000000"/>
        </w:rPr>
        <w:t xml:space="preserve"> con sus respuestas ciertamente actualizan las causales de procedencia</w:t>
      </w:r>
      <w:r w:rsidRPr="00BF67E5">
        <w:rPr>
          <w:rFonts w:ascii="Palatino Linotype" w:eastAsia="Palatino Linotype" w:hAnsi="Palatino Linotype" w:cs="Palatino Linotype"/>
          <w:b/>
          <w:color w:val="000000"/>
        </w:rPr>
        <w:t xml:space="preserve"> </w:t>
      </w:r>
      <w:r w:rsidRPr="00BF67E5">
        <w:rPr>
          <w:rFonts w:ascii="Palatino Linotype" w:eastAsia="Palatino Linotype" w:hAnsi="Palatino Linotype" w:cs="Palatino Linotype"/>
          <w:color w:val="000000"/>
        </w:rPr>
        <w:t xml:space="preserve">antes señaladas. </w:t>
      </w:r>
    </w:p>
    <w:p w14:paraId="22201AF7" w14:textId="77777777" w:rsidR="003D3C22" w:rsidRPr="00BF67E5" w:rsidRDefault="003D3C22">
      <w:pPr>
        <w:pBdr>
          <w:top w:val="nil"/>
          <w:left w:val="nil"/>
          <w:bottom w:val="nil"/>
          <w:right w:val="nil"/>
          <w:between w:val="nil"/>
        </w:pBdr>
        <w:tabs>
          <w:tab w:val="left" w:pos="426"/>
          <w:tab w:val="left" w:pos="567"/>
        </w:tabs>
        <w:spacing w:line="360" w:lineRule="auto"/>
        <w:jc w:val="both"/>
        <w:rPr>
          <w:rFonts w:ascii="Palatino Linotype" w:eastAsia="Palatino Linotype" w:hAnsi="Palatino Linotype" w:cs="Palatino Linotype"/>
          <w:color w:val="000000"/>
        </w:rPr>
      </w:pPr>
    </w:p>
    <w:p w14:paraId="44B73F63" w14:textId="77777777" w:rsidR="003D3C22" w:rsidRPr="00BF67E5" w:rsidRDefault="00BF67E5">
      <w:pPr>
        <w:pStyle w:val="Ttulo2"/>
        <w:spacing w:before="0" w:line="360" w:lineRule="auto"/>
        <w:rPr>
          <w:b w:val="0"/>
          <w:color w:val="000000"/>
          <w:szCs w:val="24"/>
          <w:highlight w:val="white"/>
        </w:rPr>
      </w:pPr>
      <w:r w:rsidRPr="00BF67E5">
        <w:rPr>
          <w:color w:val="000000"/>
          <w:szCs w:val="24"/>
          <w:highlight w:val="white"/>
        </w:rPr>
        <w:t>CUARTO. Del estudio y resolución del asunto.</w:t>
      </w:r>
    </w:p>
    <w:p w14:paraId="450781A5" w14:textId="77777777" w:rsidR="003D3C22" w:rsidRPr="00BF67E5" w:rsidRDefault="00BF67E5">
      <w:pPr>
        <w:pStyle w:val="Ttulo1"/>
        <w:numPr>
          <w:ilvl w:val="0"/>
          <w:numId w:val="2"/>
        </w:numPr>
        <w:spacing w:before="0" w:after="240" w:line="360" w:lineRule="auto"/>
        <w:ind w:left="786" w:hanging="360"/>
        <w:rPr>
          <w:b w:val="0"/>
          <w:color w:val="000000"/>
          <w:szCs w:val="24"/>
        </w:rPr>
      </w:pPr>
      <w:r w:rsidRPr="00BF67E5">
        <w:rPr>
          <w:color w:val="000000"/>
          <w:szCs w:val="24"/>
        </w:rPr>
        <w:t>Del derecho de acceso a la información.</w:t>
      </w:r>
    </w:p>
    <w:p w14:paraId="4C05781F"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El Derecho de Acceso a la Información Pública, es un derecho humano reconocido en el Pacto de Derechos Civiles y Políticos en su artículo 19.2; en la Convención Americana sobre Derechos Humanos en su artículo 13.1; en el artículo sexto de la Constitución Política de los Estados Unidos Mexicanos y en el artículo quinto de la Particular del Estado de México. </w:t>
      </w:r>
    </w:p>
    <w:p w14:paraId="08DE2DA8" w14:textId="77777777" w:rsidR="003D3C22" w:rsidRPr="00BF67E5" w:rsidRDefault="003D3C22">
      <w:pPr>
        <w:pBdr>
          <w:top w:val="nil"/>
          <w:left w:val="nil"/>
          <w:bottom w:val="nil"/>
          <w:right w:val="nil"/>
          <w:between w:val="nil"/>
        </w:pBdr>
        <w:spacing w:after="240" w:line="360" w:lineRule="auto"/>
        <w:ind w:right="48"/>
        <w:jc w:val="both"/>
        <w:rPr>
          <w:rFonts w:ascii="Palatino Linotype" w:eastAsia="Palatino Linotype" w:hAnsi="Palatino Linotype" w:cs="Palatino Linotype"/>
          <w:color w:val="000000"/>
        </w:rPr>
      </w:pPr>
    </w:p>
    <w:p w14:paraId="4E8A4B31"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Definiendo el Derecho de Acceso a la Información Pública como: </w:t>
      </w:r>
      <w:r w:rsidRPr="00BF67E5">
        <w:rPr>
          <w:rFonts w:ascii="Palatino Linotype" w:eastAsia="Palatino Linotype" w:hAnsi="Palatino Linotype" w:cs="Palatino Linotype"/>
          <w:i/>
          <w:color w:val="000000"/>
        </w:rPr>
        <w:t>La igualdad de oportunidades para recibir, buscar e impartir información</w:t>
      </w:r>
      <w:r w:rsidRPr="00BF67E5">
        <w:rPr>
          <w:rFonts w:ascii="Palatino Linotype" w:eastAsia="Palatino Linotype" w:hAnsi="Palatino Linotype" w:cs="Palatino Linotype"/>
          <w:i/>
          <w:color w:val="000000"/>
          <w:vertAlign w:val="superscript"/>
        </w:rPr>
        <w:footnoteReference w:id="2"/>
      </w:r>
      <w:r w:rsidRPr="00BF67E5">
        <w:rPr>
          <w:rFonts w:ascii="Palatino Linotype" w:eastAsia="Palatino Linotype" w:hAnsi="Palatino Linotype" w:cs="Palatino Linotype"/>
          <w:i/>
          <w:color w:val="000000"/>
        </w:rPr>
        <w:t>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municipal,</w:t>
      </w:r>
      <w:r w:rsidRPr="00BF67E5">
        <w:rPr>
          <w:rFonts w:ascii="Palatino Linotype" w:eastAsia="Palatino Linotype" w:hAnsi="Palatino Linotype" w:cs="Palatino Linotype"/>
          <w:i/>
          <w:color w:val="000000"/>
          <w:vertAlign w:val="superscript"/>
        </w:rPr>
        <w:footnoteReference w:id="3"/>
      </w:r>
      <w:r w:rsidRPr="00BF67E5">
        <w:rPr>
          <w:rFonts w:ascii="Palatino Linotype" w:eastAsia="Palatino Linotype" w:hAnsi="Palatino Linotype" w:cs="Palatino Linotype"/>
          <w:color w:val="000000"/>
        </w:rPr>
        <w:t>que se constituye como una herramienta fundamental para ejercer</w:t>
      </w:r>
      <w:r w:rsidRPr="00BF67E5">
        <w:rPr>
          <w:rFonts w:ascii="Palatino Linotype" w:eastAsia="Palatino Linotype" w:hAnsi="Palatino Linotype" w:cs="Palatino Linotype"/>
          <w:i/>
          <w:color w:val="000000"/>
        </w:rPr>
        <w:t xml:space="preserve"> el control democrático de las gestiones estatales, de forma tal que puedan cuestionar, indagar y considerar si se </w:t>
      </w:r>
      <w:r w:rsidRPr="00BF67E5">
        <w:rPr>
          <w:rFonts w:ascii="Palatino Linotype" w:eastAsia="Palatino Linotype" w:hAnsi="Palatino Linotype" w:cs="Palatino Linotype"/>
          <w:i/>
          <w:color w:val="000000"/>
        </w:rPr>
        <w:lastRenderedPageBreak/>
        <w:t>está dando un adecuado cumplimiento a las funciones públicas,</w:t>
      </w:r>
      <w:r w:rsidRPr="00BF67E5">
        <w:rPr>
          <w:rFonts w:ascii="Palatino Linotype" w:eastAsia="Palatino Linotype" w:hAnsi="Palatino Linotype" w:cs="Palatino Linotype"/>
          <w:i/>
          <w:color w:val="000000"/>
          <w:vertAlign w:val="superscript"/>
        </w:rPr>
        <w:footnoteReference w:id="4"/>
      </w:r>
      <w:r w:rsidRPr="00BF67E5">
        <w:rPr>
          <w:rFonts w:ascii="Palatino Linotype" w:eastAsia="Palatino Linotype" w:hAnsi="Palatino Linotype" w:cs="Palatino Linotype"/>
          <w:color w:val="000000"/>
        </w:rPr>
        <w:t>fomentando</w:t>
      </w:r>
      <w:r w:rsidRPr="00BF67E5">
        <w:rPr>
          <w:rFonts w:ascii="Palatino Linotype" w:eastAsia="Palatino Linotype" w:hAnsi="Palatino Linotype" w:cs="Palatino Linotype"/>
          <w:i/>
          <w:color w:val="000000"/>
        </w:rPr>
        <w:t xml:space="preserve"> la transparencia de las actividades estatales y </w:t>
      </w:r>
      <w:r w:rsidRPr="00BF67E5">
        <w:rPr>
          <w:rFonts w:ascii="Palatino Linotype" w:eastAsia="Palatino Linotype" w:hAnsi="Palatino Linotype" w:cs="Palatino Linotype"/>
          <w:color w:val="000000"/>
        </w:rPr>
        <w:t>promoviendo</w:t>
      </w:r>
      <w:r w:rsidRPr="00BF67E5">
        <w:rPr>
          <w:rFonts w:ascii="Palatino Linotype" w:eastAsia="Palatino Linotype" w:hAnsi="Palatino Linotype" w:cs="Palatino Linotype"/>
          <w:i/>
          <w:color w:val="000000"/>
        </w:rPr>
        <w:t xml:space="preserve"> la responsabilidad de los funcionarios sobre su gestión pública,</w:t>
      </w:r>
      <w:r w:rsidRPr="00BF67E5">
        <w:rPr>
          <w:rFonts w:ascii="Palatino Linotype" w:eastAsia="Palatino Linotype" w:hAnsi="Palatino Linotype" w:cs="Palatino Linotype"/>
          <w:i/>
          <w:color w:val="000000"/>
          <w:vertAlign w:val="superscript"/>
        </w:rPr>
        <w:footnoteReference w:id="5"/>
      </w:r>
      <w:r w:rsidRPr="00BF67E5">
        <w:rPr>
          <w:rFonts w:ascii="Palatino Linotype" w:eastAsia="Palatino Linotype" w:hAnsi="Palatino Linotype" w:cs="Palatino Linotype"/>
          <w:color w:val="000000"/>
        </w:rPr>
        <w:t>que permite</w:t>
      </w:r>
      <w:r w:rsidRPr="00BF67E5">
        <w:rPr>
          <w:rFonts w:ascii="Palatino Linotype" w:eastAsia="Palatino Linotype" w:hAnsi="Palatino Linotype" w:cs="Palatino Linotype"/>
          <w:i/>
          <w:color w:val="000000"/>
        </w:rPr>
        <w:t xml:space="preserve"> saber qué están haciendo los gobiernos por sus pueblos, sin lo cual la verdad languidecería y la participación en el gobierno permanecería fragmentada.</w:t>
      </w:r>
    </w:p>
    <w:p w14:paraId="2A736361" w14:textId="77777777" w:rsidR="003D3C22" w:rsidRPr="00BF67E5" w:rsidRDefault="003D3C22">
      <w:pPr>
        <w:spacing w:line="360" w:lineRule="auto"/>
        <w:ind w:right="49"/>
        <w:jc w:val="both"/>
        <w:rPr>
          <w:rFonts w:ascii="Palatino Linotype" w:eastAsia="Palatino Linotype" w:hAnsi="Palatino Linotype" w:cs="Palatino Linotype"/>
        </w:rPr>
      </w:pPr>
    </w:p>
    <w:p w14:paraId="27B84C24"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En México, además de los derechos, están reconocidas las garantías para su protección, en ese sentido el párrafo tercero de artículo primero de la Constitución Política de los Estados Unidos Mexicanos dispone lo siguiente:</w:t>
      </w:r>
    </w:p>
    <w:p w14:paraId="644DDAFD" w14:textId="77777777" w:rsidR="003D3C22" w:rsidRPr="001F7AFD" w:rsidRDefault="00BF67E5">
      <w:pPr>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Artículo 1.-</w:t>
      </w:r>
      <w:r w:rsidRPr="001F7AFD">
        <w:rPr>
          <w:rFonts w:ascii="Palatino Linotype" w:eastAsia="Palatino Linotype" w:hAnsi="Palatino Linotype" w:cs="Palatino Linotype"/>
          <w:i/>
          <w:sz w:val="22"/>
        </w:rPr>
        <w:t xml:space="preserve"> </w:t>
      </w:r>
    </w:p>
    <w:p w14:paraId="19D71AEB" w14:textId="77777777" w:rsidR="003D3C22" w:rsidRPr="001F7AFD" w:rsidRDefault="00BF67E5">
      <w:pPr>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p>
    <w:p w14:paraId="6C305846" w14:textId="77777777" w:rsidR="003D3C22" w:rsidRPr="001F7AFD" w:rsidRDefault="00BF67E5">
      <w:pPr>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Todas las</w:t>
      </w:r>
      <w:r w:rsidRPr="001F7AFD">
        <w:rPr>
          <w:rFonts w:ascii="Palatino Linotype" w:eastAsia="Palatino Linotype" w:hAnsi="Palatino Linotype" w:cs="Palatino Linotype"/>
          <w:sz w:val="22"/>
        </w:rPr>
        <w:t xml:space="preserve"> </w:t>
      </w:r>
      <w:r w:rsidRPr="001F7AFD">
        <w:rPr>
          <w:rFonts w:ascii="Palatino Linotype" w:eastAsia="Palatino Linotype" w:hAnsi="Palatino Linotype" w:cs="Palatino Linotype"/>
          <w:i/>
          <w:sz w:val="22"/>
        </w:rPr>
        <w:t>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w:t>
      </w:r>
    </w:p>
    <w:p w14:paraId="15B76A65" w14:textId="77777777" w:rsidR="003D3C22" w:rsidRPr="001F7AFD" w:rsidRDefault="00BF67E5">
      <w:pPr>
        <w:ind w:left="1134" w:right="900"/>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sz w:val="22"/>
        </w:rPr>
        <w:t>”.</w:t>
      </w:r>
    </w:p>
    <w:p w14:paraId="38796CFF" w14:textId="77777777" w:rsidR="003D3C22" w:rsidRPr="00BF67E5" w:rsidRDefault="003D3C22">
      <w:pPr>
        <w:ind w:left="1134" w:right="900"/>
        <w:jc w:val="both"/>
        <w:rPr>
          <w:rFonts w:ascii="Palatino Linotype" w:eastAsia="Palatino Linotype" w:hAnsi="Palatino Linotype" w:cs="Palatino Linotype"/>
          <w:b/>
        </w:rPr>
      </w:pPr>
    </w:p>
    <w:p w14:paraId="25575758"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Por lo anterior, se deduce que el Derecho de Acceso a la Información Pública es un Derecho Humano de Fuente Internacional y Constitucionalmente reconocido. Además del derecho, también se reconocen garantías para su protección, lo que vincula con el mandato del párrafo tercero del mismo artículo.</w:t>
      </w:r>
    </w:p>
    <w:p w14:paraId="22BE833E" w14:textId="77777777" w:rsidR="003D3C22" w:rsidRPr="00BF67E5" w:rsidRDefault="003D3C22">
      <w:pPr>
        <w:spacing w:line="360" w:lineRule="auto"/>
        <w:ind w:right="49"/>
        <w:jc w:val="both"/>
        <w:rPr>
          <w:rFonts w:ascii="Palatino Linotype" w:eastAsia="Palatino Linotype" w:hAnsi="Palatino Linotype" w:cs="Palatino Linotype"/>
        </w:rPr>
      </w:pPr>
    </w:p>
    <w:p w14:paraId="01BDA4D0"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Así, conforme a la Constitución Política de las Estado Unidos Mexicanos y la Constitución Política del Estado Libre y Soberano de México respectivamente, el cumplimiento de las garantías primarias, entendidas como obligaciones inmediatamente </w:t>
      </w:r>
      <w:r w:rsidRPr="00BF67E5">
        <w:rPr>
          <w:rFonts w:ascii="Palatino Linotype" w:eastAsia="Palatino Linotype" w:hAnsi="Palatino Linotype" w:cs="Palatino Linotype"/>
          <w:color w:val="000000"/>
        </w:rPr>
        <w:lastRenderedPageBreak/>
        <w:t>relacionadas con el Derecho de Acceso a la Información Pública, permiten que todas las autoridades, en el ámbito de sus atribuciones lo respeten, protejan y garanticen.</w:t>
      </w:r>
    </w:p>
    <w:p w14:paraId="63687762" w14:textId="77777777" w:rsidR="003D3C22" w:rsidRPr="001F7AFD" w:rsidRDefault="00BF67E5">
      <w:pPr>
        <w:spacing w:after="240"/>
        <w:ind w:left="1134" w:right="900"/>
        <w:jc w:val="both"/>
        <w:rPr>
          <w:rFonts w:ascii="Palatino Linotype" w:eastAsia="Palatino Linotype" w:hAnsi="Palatino Linotype" w:cs="Palatino Linotype"/>
          <w:b/>
          <w:i/>
          <w:sz w:val="22"/>
        </w:rPr>
      </w:pPr>
      <w:r w:rsidRPr="001F7AFD">
        <w:rPr>
          <w:rFonts w:ascii="Palatino Linotype" w:eastAsia="Palatino Linotype" w:hAnsi="Palatino Linotype" w:cs="Palatino Linotype"/>
          <w:b/>
          <w:i/>
          <w:sz w:val="22"/>
        </w:rPr>
        <w:t>Constitución Política de los Estados Unidos Mexicanos</w:t>
      </w:r>
    </w:p>
    <w:p w14:paraId="39B8D0CF" w14:textId="77777777" w:rsidR="003D3C22" w:rsidRPr="001F7AFD" w:rsidRDefault="00BF67E5">
      <w:pPr>
        <w:spacing w:before="240" w:after="240"/>
        <w:ind w:left="1134" w:right="900"/>
        <w:jc w:val="both"/>
        <w:rPr>
          <w:rFonts w:ascii="Palatino Linotype" w:eastAsia="Palatino Linotype" w:hAnsi="Palatino Linotype" w:cs="Palatino Linotype"/>
          <w:b/>
          <w:i/>
          <w:sz w:val="22"/>
        </w:rPr>
      </w:pPr>
      <w:r w:rsidRPr="001F7AFD">
        <w:rPr>
          <w:rFonts w:ascii="Palatino Linotype" w:eastAsia="Palatino Linotype" w:hAnsi="Palatino Linotype" w:cs="Palatino Linotype"/>
          <w:b/>
          <w:i/>
          <w:sz w:val="22"/>
        </w:rPr>
        <w:t>“Artículo 6.</w:t>
      </w:r>
    </w:p>
    <w:p w14:paraId="022F5664" w14:textId="77777777" w:rsidR="003D3C22" w:rsidRPr="001F7AFD" w:rsidRDefault="00BF67E5">
      <w:pPr>
        <w:spacing w:before="240" w:after="240"/>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p>
    <w:p w14:paraId="6D11EEDA" w14:textId="77777777" w:rsidR="003D3C22" w:rsidRPr="001F7AFD" w:rsidRDefault="00BF67E5">
      <w:pPr>
        <w:spacing w:before="240" w:after="240"/>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Para efectos de lo dispuesto en el presente artículo se observará lo siguiente:</w:t>
      </w:r>
    </w:p>
    <w:p w14:paraId="640507B3" w14:textId="77777777" w:rsidR="003D3C22" w:rsidRPr="001F7AFD" w:rsidRDefault="00BF67E5">
      <w:pPr>
        <w:spacing w:before="240" w:after="240"/>
        <w:ind w:left="1134" w:right="900"/>
        <w:jc w:val="both"/>
        <w:rPr>
          <w:rFonts w:ascii="Palatino Linotype" w:eastAsia="Palatino Linotype" w:hAnsi="Palatino Linotype" w:cs="Palatino Linotype"/>
          <w:b/>
          <w:i/>
          <w:sz w:val="22"/>
        </w:rPr>
      </w:pPr>
      <w:r w:rsidRPr="001F7AFD">
        <w:rPr>
          <w:rFonts w:ascii="Palatino Linotype" w:eastAsia="Palatino Linotype" w:hAnsi="Palatino Linotype" w:cs="Palatino Linotype"/>
          <w:b/>
          <w:i/>
          <w:sz w:val="22"/>
        </w:rPr>
        <w:t>A</w:t>
      </w:r>
      <w:r w:rsidRPr="001F7AFD">
        <w:rPr>
          <w:rFonts w:ascii="Palatino Linotype" w:eastAsia="Palatino Linotype" w:hAnsi="Palatino Linotype" w:cs="Palatino Linotype"/>
          <w:i/>
          <w:sz w:val="22"/>
        </w:rPr>
        <w:t xml:space="preserve">. </w:t>
      </w:r>
      <w:r w:rsidRPr="001F7AFD">
        <w:rPr>
          <w:rFonts w:ascii="Palatino Linotype" w:eastAsia="Palatino Linotype" w:hAnsi="Palatino Linotype" w:cs="Palatino Linotype"/>
          <w:b/>
          <w:i/>
          <w:sz w:val="22"/>
        </w:rPr>
        <w:t>Para el ejercicio del derecho de acceso a la información</w:t>
      </w:r>
      <w:r w:rsidRPr="001F7AFD">
        <w:rPr>
          <w:rFonts w:ascii="Palatino Linotype" w:eastAsia="Palatino Linotype" w:hAnsi="Palatino Linotype" w:cs="Palatino Linotype"/>
          <w:i/>
          <w:sz w:val="22"/>
        </w:rPr>
        <w:t xml:space="preserve">, la Federación y </w:t>
      </w:r>
      <w:r w:rsidRPr="001F7AFD">
        <w:rPr>
          <w:rFonts w:ascii="Palatino Linotype" w:eastAsia="Palatino Linotype" w:hAnsi="Palatino Linotype" w:cs="Palatino Linotype"/>
          <w:b/>
          <w:i/>
          <w:sz w:val="22"/>
        </w:rPr>
        <w:t>las entidades federativas, en el ámbito de sus respectivas competencias, se regirán por los siguientes principios y bases:</w:t>
      </w:r>
    </w:p>
    <w:p w14:paraId="30053B2A" w14:textId="77777777" w:rsidR="003D3C22" w:rsidRPr="001F7AFD" w:rsidRDefault="00BF67E5">
      <w:pPr>
        <w:spacing w:before="240" w:after="240"/>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I. </w:t>
      </w:r>
      <w:r w:rsidRPr="001F7AFD">
        <w:rPr>
          <w:rFonts w:ascii="Palatino Linotype" w:eastAsia="Palatino Linotype" w:hAnsi="Palatino Linotype" w:cs="Palatino Linotype"/>
          <w:b/>
          <w:i/>
          <w:sz w:val="22"/>
        </w:rPr>
        <w:tab/>
        <w:t>Toda la información en posesión de cualquier</w:t>
      </w:r>
      <w:r w:rsidRPr="001F7AFD">
        <w:rPr>
          <w:rFonts w:ascii="Palatino Linotype" w:eastAsia="Palatino Linotype" w:hAnsi="Palatino Linotype" w:cs="Palatino Linotype"/>
          <w:i/>
          <w:sz w:val="22"/>
        </w:rPr>
        <w:t xml:space="preserve"> </w:t>
      </w:r>
      <w:r w:rsidRPr="001F7AFD">
        <w:rPr>
          <w:rFonts w:ascii="Palatino Linotype" w:eastAsia="Palatino Linotype" w:hAnsi="Palatino Linotype" w:cs="Palatino Linotype"/>
          <w:b/>
          <w:i/>
          <w:sz w:val="22"/>
        </w:rPr>
        <w:t>autoridad</w:t>
      </w:r>
      <w:r w:rsidRPr="001F7AFD">
        <w:rPr>
          <w:rFonts w:ascii="Palatino Linotype" w:eastAsia="Palatino Linotype" w:hAnsi="Palatino Linotype" w:cs="Palatino Linotype"/>
          <w:i/>
          <w:sz w:val="22"/>
        </w:rPr>
        <w:t xml:space="preserve">,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w:t>
      </w:r>
      <w:r w:rsidRPr="001F7AFD">
        <w:rPr>
          <w:rFonts w:ascii="Palatino Linotype" w:eastAsia="Palatino Linotype" w:hAnsi="Palatino Linotype" w:cs="Palatino Linotype"/>
          <w:b/>
          <w:i/>
          <w:sz w:val="22"/>
        </w:rPr>
        <w:t>municipal</w:t>
      </w:r>
      <w:r w:rsidRPr="001F7AFD">
        <w:rPr>
          <w:rFonts w:ascii="Palatino Linotype" w:eastAsia="Palatino Linotype" w:hAnsi="Palatino Linotype" w:cs="Palatino Linotype"/>
          <w:i/>
          <w:sz w:val="22"/>
        </w:rPr>
        <w:t xml:space="preserve">, </w:t>
      </w:r>
      <w:r w:rsidRPr="001F7AFD">
        <w:rPr>
          <w:rFonts w:ascii="Palatino Linotype" w:eastAsia="Palatino Linotype" w:hAnsi="Palatino Linotype" w:cs="Palatino Linotype"/>
          <w:b/>
          <w:i/>
          <w:sz w:val="22"/>
        </w:rPr>
        <w:t>es pública</w:t>
      </w:r>
      <w:r w:rsidRPr="001F7AFD">
        <w:rPr>
          <w:rFonts w:ascii="Palatino Linotype" w:eastAsia="Palatino Linotype" w:hAnsi="Palatino Linotype" w:cs="Palatino Linotype"/>
          <w:i/>
          <w:sz w:val="22"/>
        </w:rPr>
        <w:t xml:space="preserve"> y sólo podrá ser reservada temporalmente por razones de interés público y seguridad nacional, en los términos que fijen las leyes. </w:t>
      </w:r>
      <w:r w:rsidRPr="001F7AFD">
        <w:rPr>
          <w:rFonts w:ascii="Palatino Linotype" w:eastAsia="Palatino Linotype" w:hAnsi="Palatino Linotype" w:cs="Palatino Linotype"/>
          <w:b/>
          <w:i/>
          <w:sz w:val="22"/>
        </w:rPr>
        <w:t>En la interpretación de este derecho deberá prevalecer el principio de máxima publicidad. Los sujetos obligados deberán documentar todo acto que derive del ejercicio de sus facultades, competencias o funciones</w:t>
      </w:r>
      <w:r w:rsidRPr="001F7AFD">
        <w:rPr>
          <w:rFonts w:ascii="Palatino Linotype" w:eastAsia="Palatino Linotype" w:hAnsi="Palatino Linotype" w:cs="Palatino Linotype"/>
          <w:i/>
          <w:sz w:val="22"/>
        </w:rPr>
        <w:t>, la ley determinará los supuestos específicos bajo los cuales procederá la declaración de inexistencia de la información.”</w:t>
      </w:r>
    </w:p>
    <w:p w14:paraId="53BB8BA1" w14:textId="77777777" w:rsidR="003D3C22" w:rsidRPr="001F7AFD" w:rsidRDefault="003D3C22">
      <w:pPr>
        <w:pBdr>
          <w:top w:val="nil"/>
          <w:left w:val="nil"/>
          <w:bottom w:val="nil"/>
          <w:right w:val="nil"/>
          <w:between w:val="nil"/>
        </w:pBdr>
        <w:tabs>
          <w:tab w:val="left" w:pos="567"/>
        </w:tabs>
        <w:spacing w:before="240" w:after="240"/>
        <w:ind w:left="1134" w:right="900"/>
        <w:jc w:val="both"/>
        <w:rPr>
          <w:rFonts w:ascii="Palatino Linotype" w:eastAsia="Palatino Linotype" w:hAnsi="Palatino Linotype" w:cs="Palatino Linotype"/>
          <w:b/>
          <w:i/>
          <w:color w:val="000000"/>
          <w:sz w:val="22"/>
        </w:rPr>
      </w:pPr>
    </w:p>
    <w:p w14:paraId="5CE8835E" w14:textId="77777777" w:rsidR="003D3C22" w:rsidRPr="001F7AFD" w:rsidRDefault="00BF67E5">
      <w:pPr>
        <w:spacing w:before="240" w:after="240"/>
        <w:ind w:left="1134" w:right="900"/>
        <w:jc w:val="both"/>
        <w:rPr>
          <w:rFonts w:ascii="Palatino Linotype" w:eastAsia="Palatino Linotype" w:hAnsi="Palatino Linotype" w:cs="Palatino Linotype"/>
          <w:b/>
          <w:i/>
          <w:sz w:val="22"/>
        </w:rPr>
      </w:pPr>
      <w:r w:rsidRPr="001F7AFD">
        <w:rPr>
          <w:rFonts w:ascii="Palatino Linotype" w:eastAsia="Palatino Linotype" w:hAnsi="Palatino Linotype" w:cs="Palatino Linotype"/>
          <w:b/>
          <w:i/>
          <w:sz w:val="22"/>
        </w:rPr>
        <w:t>Constitución Política del Estado Libre y Soberano de México</w:t>
      </w:r>
    </w:p>
    <w:p w14:paraId="5F048BDB" w14:textId="77777777" w:rsidR="003D3C22" w:rsidRPr="001F7AFD" w:rsidRDefault="00BF67E5">
      <w:pPr>
        <w:spacing w:before="240" w:after="240"/>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“Artículo 5</w:t>
      </w:r>
      <w:r w:rsidRPr="001F7AFD">
        <w:rPr>
          <w:rFonts w:ascii="Palatino Linotype" w:eastAsia="Palatino Linotype" w:hAnsi="Palatino Linotype" w:cs="Palatino Linotype"/>
          <w:i/>
          <w:sz w:val="22"/>
        </w:rPr>
        <w:t xml:space="preserve">.- </w:t>
      </w:r>
    </w:p>
    <w:p w14:paraId="4C76412D" w14:textId="77777777" w:rsidR="003D3C22" w:rsidRPr="001F7AFD" w:rsidRDefault="00BF67E5">
      <w:pPr>
        <w:spacing w:before="240" w:after="240"/>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p>
    <w:p w14:paraId="6FAF3569" w14:textId="77777777" w:rsidR="003D3C22" w:rsidRPr="001F7AFD" w:rsidRDefault="00BF67E5">
      <w:pPr>
        <w:spacing w:before="240" w:after="240"/>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El derecho a la información será garantizado por el Estado. La ley establecerá las previsiones que permitan asegurar la protección, el respeto y la difusión de este derecho</w:t>
      </w:r>
      <w:r w:rsidRPr="001F7AFD">
        <w:rPr>
          <w:rFonts w:ascii="Palatino Linotype" w:eastAsia="Palatino Linotype" w:hAnsi="Palatino Linotype" w:cs="Palatino Linotype"/>
          <w:i/>
          <w:sz w:val="22"/>
        </w:rPr>
        <w:t>.</w:t>
      </w:r>
    </w:p>
    <w:p w14:paraId="2FA0E3B9" w14:textId="77777777" w:rsidR="003D3C22" w:rsidRPr="001F7AFD" w:rsidRDefault="00BF67E5">
      <w:pPr>
        <w:spacing w:before="240" w:after="240"/>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 xml:space="preserve">Para garantizar el ejercicio del derecho de transparencia, acceso a la información pública y protección de datos personales, los poderes públicos y los organismos autónomos, </w:t>
      </w:r>
      <w:r w:rsidRPr="001F7AFD">
        <w:rPr>
          <w:rFonts w:ascii="Palatino Linotype" w:eastAsia="Palatino Linotype" w:hAnsi="Palatino Linotype" w:cs="Palatino Linotype"/>
          <w:i/>
          <w:sz w:val="22"/>
        </w:rPr>
        <w:lastRenderedPageBreak/>
        <w:t>transparentarán sus acciones, en términos de las disposiciones aplicables, la información será oportuna, clara, veraz y de fácil acceso.</w:t>
      </w:r>
    </w:p>
    <w:p w14:paraId="4A4CFD4F" w14:textId="77777777" w:rsidR="003D3C22" w:rsidRPr="001F7AFD" w:rsidRDefault="00BF67E5">
      <w:pPr>
        <w:spacing w:before="240" w:after="240"/>
        <w:ind w:left="1134"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Este derecho se regirá por los principios y bases siguientes</w:t>
      </w:r>
      <w:r w:rsidRPr="001F7AFD">
        <w:rPr>
          <w:rFonts w:ascii="Palatino Linotype" w:eastAsia="Palatino Linotype" w:hAnsi="Palatino Linotype" w:cs="Palatino Linotype"/>
          <w:i/>
          <w:sz w:val="22"/>
        </w:rPr>
        <w:t>:</w:t>
      </w:r>
    </w:p>
    <w:p w14:paraId="069E9605" w14:textId="77777777" w:rsidR="003D3C22" w:rsidRPr="001F7AFD" w:rsidRDefault="00BF67E5" w:rsidP="001F7AFD">
      <w:pPr>
        <w:pStyle w:val="Prrafodelista"/>
        <w:numPr>
          <w:ilvl w:val="0"/>
          <w:numId w:val="8"/>
        </w:numPr>
        <w:spacing w:before="240" w:after="240"/>
        <w:ind w:right="900"/>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Toda la información en posesión de cualquier autoridad, entidad, órgano y organismos de los</w:t>
      </w:r>
      <w:r w:rsidRPr="001F7AFD">
        <w:rPr>
          <w:rFonts w:ascii="Palatino Linotype" w:eastAsia="Palatino Linotype" w:hAnsi="Palatino Linotype" w:cs="Palatino Linotype"/>
          <w:i/>
          <w:sz w:val="22"/>
        </w:rPr>
        <w:t xml:space="preserve"> Poderes Ejecutivo, Legislativo y Judicial, órganos autónomos, partidos políticos, fideicomisos y fondos públicos estatales y </w:t>
      </w:r>
      <w:r w:rsidRPr="001F7AFD">
        <w:rPr>
          <w:rFonts w:ascii="Palatino Linotype" w:eastAsia="Palatino Linotype" w:hAnsi="Palatino Linotype" w:cs="Palatino Linotype"/>
          <w:b/>
          <w:i/>
          <w:sz w:val="22"/>
        </w:rPr>
        <w:t>municipales</w:t>
      </w:r>
      <w:r w:rsidRPr="001F7AFD">
        <w:rPr>
          <w:rFonts w:ascii="Palatino Linotype" w:eastAsia="Palatino Linotype" w:hAnsi="Palatino Linotype" w:cs="Palatino Linotype"/>
          <w:i/>
          <w:sz w:val="22"/>
        </w:rPr>
        <w:t xml:space="preserve">, así como del gobierno y de la administración pública municipal y sus organismos descentralizados, asimismo de cualquier persona física, jurídica colectiva o sindicato que reciba y ejerza recursos públicos o realice actos de autoridad en el ámbito estatal y municipal, </w:t>
      </w:r>
      <w:r w:rsidRPr="001F7AFD">
        <w:rPr>
          <w:rFonts w:ascii="Palatino Linotype" w:eastAsia="Palatino Linotype" w:hAnsi="Palatino Linotype" w:cs="Palatino Linotype"/>
          <w:b/>
          <w:i/>
          <w:sz w:val="22"/>
        </w:rPr>
        <w:t>es pública</w:t>
      </w:r>
      <w:r w:rsidRPr="001F7AFD">
        <w:rPr>
          <w:rFonts w:ascii="Palatino Linotype" w:eastAsia="Palatino Linotype" w:hAnsi="Palatino Linotype" w:cs="Palatino Linotype"/>
          <w:i/>
          <w:sz w:val="22"/>
        </w:rPr>
        <w:t xml:space="preserve"> y sólo podrá ser reservada temporalmente por razones previstas en la Constitución Política de los Estados Unidos Mexicanos de interés público y seguridad, en los términos que fijen las leyes. </w:t>
      </w:r>
      <w:r w:rsidRPr="001F7AFD">
        <w:rPr>
          <w:rFonts w:ascii="Palatino Linotype" w:eastAsia="Palatino Linotype" w:hAnsi="Palatino Linotype" w:cs="Palatino Linotype"/>
          <w:b/>
          <w:i/>
          <w:sz w:val="22"/>
        </w:rPr>
        <w:t>En la interpretación de este derecho deberá prevalecer el principio de máxima publicidad</w:t>
      </w:r>
      <w:r w:rsidRPr="001F7AFD">
        <w:rPr>
          <w:rFonts w:ascii="Palatino Linotype" w:eastAsia="Palatino Linotype" w:hAnsi="Palatino Linotype" w:cs="Palatino Linotype"/>
          <w:i/>
          <w:sz w:val="22"/>
        </w:rPr>
        <w:t xml:space="preserve">. </w:t>
      </w:r>
      <w:r w:rsidRPr="001F7AFD">
        <w:rPr>
          <w:rFonts w:ascii="Palatino Linotype" w:eastAsia="Palatino Linotype" w:hAnsi="Palatino Linotype" w:cs="Palatino Linotype"/>
          <w:b/>
          <w:i/>
          <w:sz w:val="22"/>
        </w:rPr>
        <w:t>Los sujetos obligados deberán documentar todo acto que derive del ejercicio de sus facultades, competencias o funciones</w:t>
      </w:r>
      <w:r w:rsidRPr="001F7AFD">
        <w:rPr>
          <w:rFonts w:ascii="Palatino Linotype" w:eastAsia="Palatino Linotype" w:hAnsi="Palatino Linotype" w:cs="Palatino Linotype"/>
          <w:i/>
          <w:sz w:val="22"/>
        </w:rPr>
        <w:t>, la ley determinará los supuestos específicos bajo los cuales procederá la declaración de inexistencia de la información.”</w:t>
      </w:r>
    </w:p>
    <w:p w14:paraId="0CEDFAE3" w14:textId="77777777" w:rsidR="001F7AFD" w:rsidRPr="001F7AFD" w:rsidRDefault="001F7AFD" w:rsidP="001F7AFD">
      <w:pPr>
        <w:pStyle w:val="Prrafodelista"/>
        <w:spacing w:before="240" w:after="240"/>
        <w:ind w:left="1854" w:right="900"/>
        <w:jc w:val="both"/>
        <w:rPr>
          <w:rFonts w:ascii="Palatino Linotype" w:eastAsia="Palatino Linotype" w:hAnsi="Palatino Linotype" w:cs="Palatino Linotype"/>
          <w:i/>
          <w:sz w:val="22"/>
        </w:rPr>
      </w:pPr>
    </w:p>
    <w:p w14:paraId="20BE8B5E"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Según el artículo 150 de la Ley de Transparencia del Estado, la solicitud es la garantía primaria del Derecho de Acceso a la Información, además, establece que se regirá </w:t>
      </w:r>
      <w:r w:rsidRPr="00BF67E5">
        <w:rPr>
          <w:rFonts w:ascii="Palatino Linotype" w:eastAsia="Palatino Linotype" w:hAnsi="Palatino Linotype" w:cs="Palatino Linotype"/>
          <w:i/>
          <w:color w:val="000000"/>
        </w:rPr>
        <w:t>por los principios de simplicidad, rapidez gratuidad del procedimiento, auxilio y orientación a los particulares</w:t>
      </w:r>
      <w:r w:rsidRPr="00BF67E5">
        <w:rPr>
          <w:rFonts w:ascii="Palatino Linotype" w:eastAsia="Palatino Linotype" w:hAnsi="Palatino Linotype" w:cs="Palatino Linotype"/>
          <w:color w:val="000000"/>
        </w:rPr>
        <w:t>, contemplando el derecho de las personas con discapacidad y hablantes de lengua indígena.</w:t>
      </w:r>
    </w:p>
    <w:p w14:paraId="48F551C4" w14:textId="77777777" w:rsidR="003D3C22" w:rsidRPr="00BF67E5" w:rsidRDefault="003D3C22">
      <w:pPr>
        <w:spacing w:line="360" w:lineRule="auto"/>
        <w:ind w:right="49"/>
        <w:jc w:val="both"/>
        <w:rPr>
          <w:rFonts w:ascii="Palatino Linotype" w:eastAsia="Palatino Linotype" w:hAnsi="Palatino Linotype" w:cs="Palatino Linotype"/>
        </w:rPr>
      </w:pPr>
    </w:p>
    <w:p w14:paraId="064EA40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El Derecho de Acceso a la Información se garantiza y respeta oportunamente, y según lo que dispone la Ley, las </w:t>
      </w:r>
      <w:r w:rsidRPr="00BF67E5">
        <w:rPr>
          <w:rFonts w:ascii="Palatino Linotype" w:eastAsia="Palatino Linotype" w:hAnsi="Palatino Linotype" w:cs="Palatino Linotype"/>
          <w:i/>
          <w:color w:val="000000"/>
        </w:rPr>
        <w:t>solicitudes de acceso a la información</w:t>
      </w:r>
      <w:r w:rsidRPr="00BF67E5">
        <w:rPr>
          <w:rFonts w:ascii="Palatino Linotype" w:eastAsia="Palatino Linotype" w:hAnsi="Palatino Linotype" w:cs="Palatino Linotype"/>
          <w:color w:val="000000"/>
        </w:rPr>
        <w:t>.</w:t>
      </w:r>
    </w:p>
    <w:p w14:paraId="11F7292A" w14:textId="77777777" w:rsidR="003D3C22" w:rsidRPr="00BF67E5" w:rsidRDefault="003D3C22">
      <w:pPr>
        <w:spacing w:line="360" w:lineRule="auto"/>
        <w:ind w:right="49"/>
        <w:jc w:val="both"/>
        <w:rPr>
          <w:rFonts w:ascii="Palatino Linotype" w:eastAsia="Palatino Linotype" w:hAnsi="Palatino Linotype" w:cs="Palatino Linotype"/>
        </w:rPr>
      </w:pPr>
    </w:p>
    <w:p w14:paraId="51F2DF7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Así entonces, se procede analizar, en primer lugar, si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xml:space="preserve"> al atender la solicitud de acceso a la información, satisfizo la garantía primaria del derecho según lo dispuesto por el artículo 150 de la Ley de Transparencia y Acceso a la Información </w:t>
      </w:r>
      <w:r w:rsidRPr="00BF67E5">
        <w:rPr>
          <w:rFonts w:ascii="Palatino Linotype" w:eastAsia="Palatino Linotype" w:hAnsi="Palatino Linotype" w:cs="Palatino Linotype"/>
          <w:color w:val="000000"/>
        </w:rPr>
        <w:lastRenderedPageBreak/>
        <w:t>Pública del Estado de México y Municipios y en segundo término si cumplió con su deber de respetar y garantizar el derecho, entregando la información solicitada.</w:t>
      </w:r>
    </w:p>
    <w:p w14:paraId="6D739C56" w14:textId="77777777" w:rsidR="003D3C22" w:rsidRPr="00BF67E5" w:rsidRDefault="003D3C22">
      <w:pPr>
        <w:spacing w:line="360" w:lineRule="auto"/>
        <w:ind w:right="49"/>
        <w:jc w:val="both"/>
        <w:rPr>
          <w:rFonts w:ascii="Palatino Linotype" w:eastAsia="Palatino Linotype" w:hAnsi="Palatino Linotype" w:cs="Palatino Linotype"/>
        </w:rPr>
      </w:pPr>
    </w:p>
    <w:p w14:paraId="074193B8" w14:textId="77777777" w:rsidR="003D3C22" w:rsidRPr="00BF67E5" w:rsidRDefault="00BF67E5">
      <w:pPr>
        <w:pStyle w:val="Ttulo1"/>
        <w:spacing w:before="0" w:after="240" w:line="360" w:lineRule="auto"/>
        <w:rPr>
          <w:b w:val="0"/>
          <w:color w:val="000000"/>
          <w:szCs w:val="24"/>
        </w:rPr>
      </w:pPr>
      <w:r w:rsidRPr="00BF67E5">
        <w:rPr>
          <w:color w:val="000000"/>
          <w:szCs w:val="24"/>
        </w:rPr>
        <w:t>II. De la información solicitada y la respuesta del SUJETO OBLIGADO</w:t>
      </w:r>
    </w:p>
    <w:p w14:paraId="79CCB2B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Acotada la </w:t>
      </w:r>
      <w:r w:rsidRPr="00BF67E5">
        <w:rPr>
          <w:rFonts w:ascii="Palatino Linotype" w:eastAsia="Palatino Linotype" w:hAnsi="Palatino Linotype" w:cs="Palatino Linotype"/>
          <w:i/>
          <w:color w:val="000000"/>
        </w:rPr>
        <w:t>Litis</w:t>
      </w:r>
      <w:r w:rsidRPr="00BF67E5">
        <w:rPr>
          <w:rFonts w:ascii="Palatino Linotype" w:eastAsia="Palatino Linotype" w:hAnsi="Palatino Linotype" w:cs="Palatino Linotype"/>
          <w:color w:val="000000"/>
        </w:rPr>
        <w:t xml:space="preserve"> del presente asunto, es de recordar que dentro de la respuesta el </w:t>
      </w:r>
      <w:r w:rsidRPr="00BF67E5">
        <w:rPr>
          <w:rFonts w:ascii="Palatino Linotype" w:eastAsia="Palatino Linotype" w:hAnsi="Palatino Linotype" w:cs="Palatino Linotype"/>
          <w:b/>
          <w:color w:val="000000"/>
        </w:rPr>
        <w:t xml:space="preserve">SUJET OBLIGADO </w:t>
      </w:r>
      <w:r w:rsidRPr="00BF67E5">
        <w:rPr>
          <w:rFonts w:ascii="Palatino Linotype" w:eastAsia="Palatino Linotype" w:hAnsi="Palatino Linotype" w:cs="Palatino Linotype"/>
          <w:color w:val="000000"/>
        </w:rPr>
        <w:t xml:space="preserve">refirió que si se entregará la información como la solicito el </w:t>
      </w:r>
      <w:r w:rsidRPr="00BF67E5">
        <w:rPr>
          <w:rFonts w:ascii="Palatino Linotype" w:eastAsia="Palatino Linotype" w:hAnsi="Palatino Linotype" w:cs="Palatino Linotype"/>
          <w:b/>
          <w:color w:val="000000"/>
        </w:rPr>
        <w:t xml:space="preserve">RECURRENTE </w:t>
      </w:r>
      <w:r w:rsidRPr="00BF67E5">
        <w:rPr>
          <w:rFonts w:ascii="Palatino Linotype" w:eastAsia="Palatino Linotype" w:hAnsi="Palatino Linotype" w:cs="Palatino Linotype"/>
          <w:color w:val="000000"/>
        </w:rPr>
        <w:t xml:space="preserve">implica que se sobrepasen las capacidades técnicas y humanas. </w:t>
      </w:r>
    </w:p>
    <w:p w14:paraId="3CF0EB26" w14:textId="77777777" w:rsidR="003D3C22" w:rsidRPr="00BF67E5" w:rsidRDefault="003D3C22">
      <w:pPr>
        <w:pBdr>
          <w:top w:val="nil"/>
          <w:left w:val="nil"/>
          <w:bottom w:val="nil"/>
          <w:right w:val="nil"/>
          <w:between w:val="nil"/>
        </w:pBdr>
        <w:tabs>
          <w:tab w:val="left" w:pos="426"/>
          <w:tab w:val="left" w:pos="567"/>
        </w:tabs>
        <w:spacing w:line="360" w:lineRule="auto"/>
        <w:jc w:val="both"/>
        <w:rPr>
          <w:rFonts w:ascii="Palatino Linotype" w:eastAsia="Palatino Linotype" w:hAnsi="Palatino Linotype" w:cs="Palatino Linotype"/>
          <w:color w:val="000000"/>
        </w:rPr>
      </w:pPr>
    </w:p>
    <w:p w14:paraId="0179F48A"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lo anterior se desprende que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xml:space="preserve"> asume de manera expresa que genera, posee y administra lo solicitado, tan es así que lo pone a disposición del ahora </w:t>
      </w:r>
      <w:r w:rsidRPr="00BF67E5">
        <w:rPr>
          <w:rFonts w:ascii="Palatino Linotype" w:eastAsia="Palatino Linotype" w:hAnsi="Palatino Linotype" w:cs="Palatino Linotype"/>
          <w:b/>
          <w:color w:val="000000"/>
        </w:rPr>
        <w:t>RECURRENTE</w:t>
      </w:r>
      <w:r w:rsidRPr="00BF67E5">
        <w:rPr>
          <w:rFonts w:ascii="Palatino Linotype" w:eastAsia="Palatino Linotype" w:hAnsi="Palatino Linotype" w:cs="Palatino Linotype"/>
          <w:color w:val="000000"/>
        </w:rPr>
        <w:t xml:space="preserve"> para su </w:t>
      </w:r>
      <w:r w:rsidRPr="00BF67E5">
        <w:rPr>
          <w:rFonts w:ascii="Palatino Linotype" w:eastAsia="Palatino Linotype" w:hAnsi="Palatino Linotype" w:cs="Palatino Linotype"/>
          <w:b/>
          <w:color w:val="000000"/>
        </w:rPr>
        <w:t>consulta directa</w:t>
      </w:r>
      <w:r w:rsidRPr="00BF67E5">
        <w:rPr>
          <w:rFonts w:ascii="Palatino Linotype" w:eastAsia="Palatino Linotype" w:hAnsi="Palatino Linotype" w:cs="Palatino Linotype"/>
          <w:color w:val="000000"/>
        </w:rPr>
        <w:t xml:space="preserve"> en las oficinas del Ayuntamiento de Tenancingo.</w:t>
      </w:r>
    </w:p>
    <w:p w14:paraId="3EA6FC8B" w14:textId="77777777" w:rsidR="003D3C22" w:rsidRPr="00BF67E5" w:rsidRDefault="003D3C22">
      <w:pPr>
        <w:spacing w:line="360" w:lineRule="auto"/>
        <w:jc w:val="both"/>
        <w:rPr>
          <w:rFonts w:ascii="Palatino Linotype" w:eastAsia="Palatino Linotype" w:hAnsi="Palatino Linotype" w:cs="Palatino Linotype"/>
        </w:rPr>
      </w:pPr>
    </w:p>
    <w:p w14:paraId="273332FF"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lo anterior, si bien es cierto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xml:space="preserve"> admite contar con la información solicitada, también lo es que se realizará el </w:t>
      </w:r>
      <w:r w:rsidR="001F7AFD" w:rsidRPr="00BF67E5">
        <w:rPr>
          <w:rFonts w:ascii="Palatino Linotype" w:eastAsia="Palatino Linotype" w:hAnsi="Palatino Linotype" w:cs="Palatino Linotype"/>
          <w:color w:val="000000"/>
        </w:rPr>
        <w:t>análisis</w:t>
      </w:r>
      <w:r w:rsidRPr="00BF67E5">
        <w:rPr>
          <w:rFonts w:ascii="Palatino Linotype" w:eastAsia="Palatino Linotype" w:hAnsi="Palatino Linotype" w:cs="Palatino Linotype"/>
          <w:color w:val="000000"/>
        </w:rPr>
        <w:t xml:space="preserve"> del área habilitada que posee, genera o administra la información solicitada. </w:t>
      </w:r>
    </w:p>
    <w:p w14:paraId="72381F0D"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6E0C1B53"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esa línea, con el organigrama que integra al Manual General de Organización de la Administración Pública del Municipio de Tenancingo, se observa que se encuentra el área de la Dirección de Administración, quien a su vez se integra por la Coordinación de Recursos Humanos. </w:t>
      </w:r>
    </w:p>
    <w:p w14:paraId="618124AE"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326905D9" w14:textId="77777777" w:rsidR="003D3C22" w:rsidRPr="00BF67E5" w:rsidRDefault="00BF67E5">
      <w:pPr>
        <w:pBdr>
          <w:top w:val="nil"/>
          <w:left w:val="nil"/>
          <w:bottom w:val="nil"/>
          <w:right w:val="nil"/>
          <w:between w:val="nil"/>
        </w:pBdr>
        <w:spacing w:line="360" w:lineRule="auto"/>
        <w:jc w:val="center"/>
        <w:rPr>
          <w:rFonts w:ascii="Palatino Linotype" w:eastAsia="Palatino Linotype" w:hAnsi="Palatino Linotype" w:cs="Palatino Linotype"/>
          <w:color w:val="000000"/>
        </w:rPr>
      </w:pPr>
      <w:r w:rsidRPr="00BF67E5">
        <w:rPr>
          <w:rFonts w:ascii="Palatino Linotype" w:eastAsia="Palatino Linotype" w:hAnsi="Palatino Linotype" w:cs="Palatino Linotype"/>
          <w:noProof/>
          <w:color w:val="000000"/>
          <w:lang w:val="es-MX" w:eastAsia="es-MX"/>
        </w:rPr>
        <w:lastRenderedPageBreak/>
        <w:drawing>
          <wp:inline distT="0" distB="0" distL="0" distR="0" wp14:anchorId="6BE21C8A" wp14:editId="5C6DD025">
            <wp:extent cx="2939389" cy="2280450"/>
            <wp:effectExtent l="0" t="0" r="0" b="0"/>
            <wp:docPr id="75"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8"/>
                    <a:srcRect/>
                    <a:stretch>
                      <a:fillRect/>
                    </a:stretch>
                  </pic:blipFill>
                  <pic:spPr>
                    <a:xfrm>
                      <a:off x="0" y="0"/>
                      <a:ext cx="2939389" cy="2280450"/>
                    </a:xfrm>
                    <a:prstGeom prst="rect">
                      <a:avLst/>
                    </a:prstGeom>
                    <a:ln/>
                  </pic:spPr>
                </pic:pic>
              </a:graphicData>
            </a:graphic>
          </wp:inline>
        </w:drawing>
      </w:r>
    </w:p>
    <w:p w14:paraId="0212191F"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Seguidamente, la Dirección de Administración de conformidad con </w:t>
      </w:r>
      <w:proofErr w:type="gramStart"/>
      <w:r w:rsidRPr="00BF67E5">
        <w:rPr>
          <w:rFonts w:ascii="Palatino Linotype" w:eastAsia="Palatino Linotype" w:hAnsi="Palatino Linotype" w:cs="Palatino Linotype"/>
          <w:color w:val="000000"/>
        </w:rPr>
        <w:t>el  Manual</w:t>
      </w:r>
      <w:proofErr w:type="gramEnd"/>
      <w:r w:rsidRPr="00BF67E5">
        <w:rPr>
          <w:rFonts w:ascii="Palatino Linotype" w:eastAsia="Palatino Linotype" w:hAnsi="Palatino Linotype" w:cs="Palatino Linotype"/>
          <w:color w:val="000000"/>
        </w:rPr>
        <w:t xml:space="preserve"> General de Organización de la Administración Pública del Municipio de Tenancingo, tiene el siguiente objetivo y función en materia de nómina.</w:t>
      </w:r>
    </w:p>
    <w:p w14:paraId="0B5A7216" w14:textId="77777777" w:rsidR="003D3C22" w:rsidRPr="001F7AFD" w:rsidRDefault="00BF67E5">
      <w:pPr>
        <w:pBdr>
          <w:top w:val="nil"/>
          <w:left w:val="nil"/>
          <w:bottom w:val="nil"/>
          <w:right w:val="nil"/>
          <w:between w:val="nil"/>
        </w:pBdr>
        <w:ind w:left="1134" w:right="851"/>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b/>
          <w:i/>
          <w:color w:val="000000"/>
          <w:sz w:val="22"/>
        </w:rPr>
        <w:t>Objetivo:</w:t>
      </w:r>
      <w:r w:rsidRPr="001F7AFD">
        <w:rPr>
          <w:rFonts w:ascii="Palatino Linotype" w:eastAsia="Palatino Linotype" w:hAnsi="Palatino Linotype" w:cs="Palatino Linotype"/>
          <w:i/>
          <w:color w:val="000000"/>
          <w:sz w:val="22"/>
        </w:rPr>
        <w:t xml:space="preserve"> Diseñar, establecer, aplicar, actualizar y difundir las políticas y lineamientos para la contratación, </w:t>
      </w:r>
      <w:r w:rsidRPr="001F7AFD">
        <w:rPr>
          <w:rFonts w:ascii="Palatino Linotype" w:eastAsia="Palatino Linotype" w:hAnsi="Palatino Linotype" w:cs="Palatino Linotype"/>
          <w:b/>
          <w:i/>
          <w:color w:val="000000"/>
          <w:sz w:val="22"/>
        </w:rPr>
        <w:t>control y pago de remuneraciones al personal</w:t>
      </w:r>
      <w:r w:rsidRPr="001F7AFD">
        <w:rPr>
          <w:rFonts w:ascii="Palatino Linotype" w:eastAsia="Palatino Linotype" w:hAnsi="Palatino Linotype" w:cs="Palatino Linotype"/>
          <w:i/>
          <w:color w:val="000000"/>
          <w:sz w:val="22"/>
        </w:rPr>
        <w:t xml:space="preserve">, adquisición de bienes, contratación de servicios, asignación y uso de los bienes y servicios y la prestación de los servicios generales al gobierno municipal de Tenancingo, a fin de lograr la optimización de los recursos humanos y materiales. </w:t>
      </w:r>
    </w:p>
    <w:p w14:paraId="27D775D6" w14:textId="77777777" w:rsidR="003D3C22" w:rsidRPr="001F7AFD" w:rsidRDefault="00BF67E5">
      <w:pPr>
        <w:pBdr>
          <w:top w:val="nil"/>
          <w:left w:val="nil"/>
          <w:bottom w:val="nil"/>
          <w:right w:val="nil"/>
          <w:between w:val="nil"/>
        </w:pBdr>
        <w:ind w:left="1134" w:right="851"/>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b/>
          <w:i/>
          <w:color w:val="000000"/>
          <w:sz w:val="22"/>
        </w:rPr>
        <w:t>Funciones</w:t>
      </w:r>
    </w:p>
    <w:p w14:paraId="0FD053EC" w14:textId="77777777" w:rsidR="003D3C22" w:rsidRPr="001F7AFD" w:rsidRDefault="00BF67E5">
      <w:pPr>
        <w:pBdr>
          <w:top w:val="nil"/>
          <w:left w:val="nil"/>
          <w:bottom w:val="nil"/>
          <w:right w:val="nil"/>
          <w:between w:val="nil"/>
        </w:pBdr>
        <w:ind w:left="1134" w:right="851"/>
        <w:jc w:val="both"/>
        <w:rPr>
          <w:rFonts w:ascii="Palatino Linotype" w:eastAsia="Palatino Linotype" w:hAnsi="Palatino Linotype" w:cs="Palatino Linotype"/>
          <w:b/>
          <w:i/>
          <w:color w:val="000000"/>
          <w:sz w:val="22"/>
        </w:rPr>
      </w:pPr>
      <w:r w:rsidRPr="001F7AFD">
        <w:rPr>
          <w:rFonts w:ascii="Palatino Linotype" w:eastAsia="Palatino Linotype" w:hAnsi="Palatino Linotype" w:cs="Palatino Linotype"/>
          <w:i/>
          <w:color w:val="000000"/>
          <w:sz w:val="22"/>
        </w:rPr>
        <w:t xml:space="preserve">4. </w:t>
      </w:r>
      <w:r w:rsidRPr="001F7AFD">
        <w:rPr>
          <w:rFonts w:ascii="Palatino Linotype" w:eastAsia="Palatino Linotype" w:hAnsi="Palatino Linotype" w:cs="Palatino Linotype"/>
          <w:b/>
          <w:i/>
          <w:color w:val="000000"/>
          <w:sz w:val="22"/>
        </w:rPr>
        <w:t>Elaborar la nómina para el pago al personal que labora en la administración pública municipal, apegándose al presupuesto y normatividad aplicable en la materia;</w:t>
      </w:r>
    </w:p>
    <w:p w14:paraId="46305060" w14:textId="77777777" w:rsidR="003D3C22" w:rsidRPr="00BF67E5" w:rsidRDefault="003D3C22">
      <w:pPr>
        <w:pBdr>
          <w:top w:val="nil"/>
          <w:left w:val="nil"/>
          <w:bottom w:val="nil"/>
          <w:right w:val="nil"/>
          <w:between w:val="nil"/>
        </w:pBdr>
        <w:ind w:left="1134" w:right="851"/>
        <w:jc w:val="both"/>
        <w:rPr>
          <w:rFonts w:ascii="Palatino Linotype" w:eastAsia="Palatino Linotype" w:hAnsi="Palatino Linotype" w:cs="Palatino Linotype"/>
          <w:i/>
          <w:color w:val="000000"/>
        </w:rPr>
      </w:pPr>
    </w:p>
    <w:p w14:paraId="46884795"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lo anterior, se observa que la Dirección de Administración es el área encargada de elaborar la nómina para realizar el pago al personal que labora en la administración pública municipal. </w:t>
      </w:r>
    </w:p>
    <w:p w14:paraId="752EF30C"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252EFDFC"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Seguidamente, la Coordinación de Recursos Humanos que forma parte de la Dirección de Administración, de acuerdo con el Manual General de Organización de la </w:t>
      </w:r>
      <w:r w:rsidRPr="00BF67E5">
        <w:rPr>
          <w:rFonts w:ascii="Palatino Linotype" w:eastAsia="Palatino Linotype" w:hAnsi="Palatino Linotype" w:cs="Palatino Linotype"/>
          <w:color w:val="000000"/>
        </w:rPr>
        <w:lastRenderedPageBreak/>
        <w:t xml:space="preserve">Administración Pública del Municipio de Tenancingo, tiene el siguiente objetivo y funciones en materia de nómina y pago de remuneraciones. </w:t>
      </w:r>
    </w:p>
    <w:p w14:paraId="16D2724F" w14:textId="77777777" w:rsidR="003D3C22" w:rsidRPr="001F7AFD" w:rsidRDefault="00BF67E5">
      <w:pPr>
        <w:pBdr>
          <w:top w:val="nil"/>
          <w:left w:val="nil"/>
          <w:bottom w:val="nil"/>
          <w:right w:val="nil"/>
          <w:between w:val="nil"/>
        </w:pBdr>
        <w:ind w:left="1134" w:right="851"/>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b/>
          <w:i/>
          <w:color w:val="000000"/>
          <w:sz w:val="22"/>
        </w:rPr>
        <w:t>Objetivo:</w:t>
      </w:r>
      <w:r w:rsidRPr="001F7AFD">
        <w:rPr>
          <w:rFonts w:ascii="Palatino Linotype" w:eastAsia="Palatino Linotype" w:hAnsi="Palatino Linotype" w:cs="Palatino Linotype"/>
          <w:i/>
          <w:color w:val="000000"/>
          <w:sz w:val="22"/>
        </w:rPr>
        <w:t xml:space="preserve"> Planear, organizar y supervisar que se apliquen correctamente las políticas, procedimientos y disposiciones jurídico-laborales, para el aprovechamiento óptimo, eficiente y racional de los recursos humanos; así como, mejorar y actualizar permanentemente los sistemas de administración y desarrollo del personal. </w:t>
      </w:r>
    </w:p>
    <w:p w14:paraId="2277F84C" w14:textId="77777777" w:rsidR="003D3C22" w:rsidRPr="001F7AFD" w:rsidRDefault="00BF67E5">
      <w:pPr>
        <w:pBdr>
          <w:top w:val="nil"/>
          <w:left w:val="nil"/>
          <w:bottom w:val="nil"/>
          <w:right w:val="nil"/>
          <w:between w:val="nil"/>
        </w:pBdr>
        <w:ind w:left="1134" w:right="851"/>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b/>
          <w:i/>
          <w:color w:val="000000"/>
          <w:sz w:val="22"/>
        </w:rPr>
        <w:t>5.</w:t>
      </w:r>
      <w:r w:rsidRPr="001F7AFD">
        <w:rPr>
          <w:rFonts w:ascii="Palatino Linotype" w:eastAsia="Palatino Linotype" w:hAnsi="Palatino Linotype" w:cs="Palatino Linotype"/>
          <w:i/>
          <w:color w:val="000000"/>
          <w:sz w:val="22"/>
        </w:rPr>
        <w:t xml:space="preserve"> Elaborar y distribuir oportunamente la nómina para el pago al personal que labora en el Ayuntamiento, apegándose al presupuesto autorizado y descontar la percepción económica correspondiente cuando exista orden de autoridad competente; </w:t>
      </w:r>
    </w:p>
    <w:p w14:paraId="6F7D4CE7" w14:textId="77777777" w:rsidR="003D3C22" w:rsidRPr="001F7AFD" w:rsidRDefault="00BF67E5">
      <w:pPr>
        <w:pBdr>
          <w:top w:val="nil"/>
          <w:left w:val="nil"/>
          <w:bottom w:val="nil"/>
          <w:right w:val="nil"/>
          <w:between w:val="nil"/>
        </w:pBdr>
        <w:ind w:left="1134" w:right="851"/>
        <w:jc w:val="both"/>
        <w:rPr>
          <w:rFonts w:ascii="Palatino Linotype" w:eastAsia="Palatino Linotype" w:hAnsi="Palatino Linotype" w:cs="Palatino Linotype"/>
          <w:i/>
          <w:color w:val="000000"/>
          <w:sz w:val="22"/>
        </w:rPr>
      </w:pPr>
      <w:r w:rsidRPr="001F7AFD">
        <w:rPr>
          <w:rFonts w:ascii="Palatino Linotype" w:eastAsia="Palatino Linotype" w:hAnsi="Palatino Linotype" w:cs="Palatino Linotype"/>
          <w:b/>
          <w:i/>
          <w:color w:val="000000"/>
          <w:sz w:val="22"/>
        </w:rPr>
        <w:t>11</w:t>
      </w:r>
      <w:r w:rsidRPr="001F7AFD">
        <w:rPr>
          <w:rFonts w:ascii="Palatino Linotype" w:eastAsia="Palatino Linotype" w:hAnsi="Palatino Linotype" w:cs="Palatino Linotype"/>
          <w:i/>
          <w:color w:val="000000"/>
          <w:sz w:val="22"/>
        </w:rPr>
        <w:t>. Supervisar la oportuna y expedita entrega de las remuneraciones y prestaciones a los servidores públicos, así como la aplicación de descuentos económicos que procedan;</w:t>
      </w:r>
    </w:p>
    <w:p w14:paraId="34FC3D31" w14:textId="77777777" w:rsidR="003D3C22" w:rsidRPr="00BF67E5" w:rsidRDefault="003D3C22">
      <w:pPr>
        <w:pBdr>
          <w:top w:val="nil"/>
          <w:left w:val="nil"/>
          <w:bottom w:val="nil"/>
          <w:right w:val="nil"/>
          <w:between w:val="nil"/>
        </w:pBdr>
        <w:ind w:left="1134" w:right="851"/>
        <w:jc w:val="both"/>
        <w:rPr>
          <w:rFonts w:ascii="Palatino Linotype" w:eastAsia="Palatino Linotype" w:hAnsi="Palatino Linotype" w:cs="Palatino Linotype"/>
          <w:i/>
          <w:color w:val="000000"/>
        </w:rPr>
      </w:pPr>
    </w:p>
    <w:p w14:paraId="4BC463A1"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 En ese sentido, se colige que la Coordinación de Recursos Humanos es el área encargada del Ayuntamiento de Tenancingo de elaborar y distribuir oportunamente la nómina para el pago de los servidores públicos. </w:t>
      </w:r>
    </w:p>
    <w:p w14:paraId="482F07BB"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4F486E85"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esa línea, se debe de referir </w:t>
      </w:r>
      <w:proofErr w:type="gramStart"/>
      <w:r w:rsidRPr="00BF67E5">
        <w:rPr>
          <w:rFonts w:ascii="Palatino Linotype" w:eastAsia="Palatino Linotype" w:hAnsi="Palatino Linotype" w:cs="Palatino Linotype"/>
          <w:color w:val="000000"/>
        </w:rPr>
        <w:t>que</w:t>
      </w:r>
      <w:proofErr w:type="gramEnd"/>
      <w:r w:rsidRPr="00BF67E5">
        <w:rPr>
          <w:rFonts w:ascii="Palatino Linotype" w:eastAsia="Palatino Linotype" w:hAnsi="Palatino Linotype" w:cs="Palatino Linotype"/>
          <w:color w:val="000000"/>
        </w:rPr>
        <w:t xml:space="preserve"> si bien la Tesorería Municipal se pronuncia sobre las solicitudes información aceptando contar con la información, también lo es que la Dirección de Administración de acuerdo con las funciones y objetivos otorgadas en el Manual General de Organización de la Administración Pública Municipal del Ayuntamiento de Tenancingo, es un área habilitada. </w:t>
      </w:r>
    </w:p>
    <w:p w14:paraId="28C4B923"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1DFF3EDF"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lo anterior, tal como se precisó </w:t>
      </w:r>
      <w:r w:rsidRPr="00BF67E5">
        <w:rPr>
          <w:rFonts w:ascii="Palatino Linotype" w:eastAsia="Palatino Linotype" w:hAnsi="Palatino Linotype" w:cs="Palatino Linotype"/>
          <w:b/>
          <w:color w:val="000000"/>
        </w:rPr>
        <w:t>EL SUJETO OBLIGADO</w:t>
      </w:r>
      <w:r w:rsidRPr="00BF67E5">
        <w:rPr>
          <w:rFonts w:ascii="Palatino Linotype" w:eastAsia="Palatino Linotype" w:hAnsi="Palatino Linotype" w:cs="Palatino Linotype"/>
          <w:color w:val="000000"/>
        </w:rPr>
        <w:t xml:space="preserve"> se pronuncia respecto de la información requerida por </w:t>
      </w:r>
      <w:r w:rsidRPr="00BF67E5">
        <w:rPr>
          <w:rFonts w:ascii="Palatino Linotype" w:eastAsia="Palatino Linotype" w:hAnsi="Palatino Linotype" w:cs="Palatino Linotype"/>
          <w:b/>
          <w:color w:val="000000"/>
        </w:rPr>
        <w:t>EL RECURRENTE</w:t>
      </w:r>
      <w:r w:rsidRPr="00BF67E5">
        <w:rPr>
          <w:rFonts w:ascii="Palatino Linotype" w:eastAsia="Palatino Linotype" w:hAnsi="Palatino Linotype" w:cs="Palatino Linotype"/>
          <w:color w:val="000000"/>
        </w:rPr>
        <w:t>, de la cual acepta que la genera, posee y administra dicha información, en ejercicio de sus funciones de derecho público, motivo por el cual se actualiza el supuesto jurídico, previsto en el artículo 12 de la Ley de Transparencia y Acceso a la Información Pública del Estado de México y Municipios.</w:t>
      </w:r>
    </w:p>
    <w:p w14:paraId="641BAB9B" w14:textId="77777777" w:rsidR="003D3C22" w:rsidRPr="00BF67E5" w:rsidRDefault="003D3C22">
      <w:pPr>
        <w:pBdr>
          <w:top w:val="nil"/>
          <w:left w:val="nil"/>
          <w:bottom w:val="nil"/>
          <w:right w:val="nil"/>
          <w:between w:val="nil"/>
        </w:pBdr>
        <w:tabs>
          <w:tab w:val="left" w:pos="426"/>
          <w:tab w:val="left" w:pos="567"/>
        </w:tabs>
        <w:spacing w:line="360" w:lineRule="auto"/>
        <w:jc w:val="both"/>
        <w:rPr>
          <w:rFonts w:ascii="Palatino Linotype" w:eastAsia="Palatino Linotype" w:hAnsi="Palatino Linotype" w:cs="Palatino Linotype"/>
          <w:color w:val="000000"/>
        </w:rPr>
      </w:pPr>
    </w:p>
    <w:p w14:paraId="149334C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 xml:space="preserve">En atención a ello es importante invocar el contenido del artículo 12 antes </w:t>
      </w:r>
      <w:proofErr w:type="gramStart"/>
      <w:r w:rsidRPr="00BF67E5">
        <w:rPr>
          <w:rFonts w:ascii="Palatino Linotype" w:eastAsia="Palatino Linotype" w:hAnsi="Palatino Linotype" w:cs="Palatino Linotype"/>
          <w:color w:val="000000"/>
        </w:rPr>
        <w:t>mencionado</w:t>
      </w:r>
      <w:proofErr w:type="gramEnd"/>
      <w:r w:rsidRPr="00BF67E5">
        <w:rPr>
          <w:rFonts w:ascii="Palatino Linotype" w:eastAsia="Palatino Linotype" w:hAnsi="Palatino Linotype" w:cs="Palatino Linotype"/>
          <w:color w:val="000000"/>
        </w:rPr>
        <w:t xml:space="preserve"> así como el 4 de la Ley de Transparencia y Acceso a la Información Pública del Estado de México y Municipios, mismos que son del tenor siguiente:</w:t>
      </w:r>
    </w:p>
    <w:p w14:paraId="6E5D47A1"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Artículo 4.</w:t>
      </w:r>
      <w:r w:rsidRPr="001F7AFD">
        <w:rPr>
          <w:rFonts w:ascii="Palatino Linotype" w:eastAsia="Palatino Linotype" w:hAnsi="Palatino Linotype" w:cs="Palatino Linotype"/>
          <w:i/>
          <w:sz w:val="22"/>
        </w:rPr>
        <w:t xml:space="preserve"> El derecho humano de acceso a la información pública es la prerrogativa de las personas para buscar, difundir, investigar, recabar, recibir y solicitar información pública, sin necesidad de acreditar personalidad ni interés jurídico.</w:t>
      </w:r>
    </w:p>
    <w:p w14:paraId="0B91DD4F"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rPr>
        <w:t>Toda la información generada, obtenida, adquirida, transformada, administrada o en posesión de los sujetos obligados es pública y accesible de manera permanente a cualquier persona</w:t>
      </w:r>
      <w:r w:rsidRPr="001F7AFD">
        <w:rPr>
          <w:rFonts w:ascii="Palatino Linotype" w:eastAsia="Palatino Linotype" w:hAnsi="Palatino Linotype" w:cs="Palatino Linotype"/>
          <w:i/>
          <w:sz w:val="22"/>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75E3CFE0"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Los sujetos obligados deben poner en práctica, políticas y programas de acceso a la información que se apeguen a criterios de publicidad, veracidad, oportunidad, precisión y suficiencia en beneficio de los solicitantes.</w:t>
      </w:r>
    </w:p>
    <w:p w14:paraId="3FAABCB6" w14:textId="77777777" w:rsidR="003D3C22" w:rsidRPr="001F7AFD" w:rsidRDefault="003D3C22">
      <w:pPr>
        <w:ind w:left="1134" w:right="851"/>
        <w:rPr>
          <w:rFonts w:ascii="Palatino Linotype" w:eastAsia="Palatino Linotype" w:hAnsi="Palatino Linotype" w:cs="Palatino Linotype"/>
          <w:sz w:val="22"/>
        </w:rPr>
      </w:pPr>
    </w:p>
    <w:p w14:paraId="1416612B"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rPr>
        <w:t>Artículo 12.</w:t>
      </w:r>
      <w:r w:rsidRPr="001F7AFD">
        <w:rPr>
          <w:rFonts w:ascii="Palatino Linotype" w:eastAsia="Palatino Linotype" w:hAnsi="Palatino Linotype" w:cs="Palatino Linotype"/>
          <w:i/>
          <w:sz w:val="22"/>
        </w:rPr>
        <w:t xml:space="preserve"> Quienes generen, recopilen, administren, manejen, procesen, archiven o conserven información pública serán responsables de la misma en los términos de las disposiciones jurídicas aplicables.</w:t>
      </w:r>
    </w:p>
    <w:p w14:paraId="399A7A4D"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rPr>
        <w:t>Los sujetos obligados sólo proporcionarán la información pública que se les requiera y que obre en sus archivos y en el estado en que ésta se encuentre.</w:t>
      </w:r>
      <w:r w:rsidRPr="001F7AFD">
        <w:rPr>
          <w:rFonts w:ascii="Palatino Linotype" w:eastAsia="Palatino Linotype" w:hAnsi="Palatino Linotype" w:cs="Palatino Linotype"/>
          <w:i/>
          <w:sz w:val="22"/>
        </w:rPr>
        <w:t xml:space="preserve"> La obligación de proporcionar información no comprende el procesamiento de la misma, ni el presentarla conforme al interés del solicitante; no estarán obligados a generarla, resumirla, efectuar cálculos o practicar investigaciones.” </w:t>
      </w:r>
    </w:p>
    <w:p w14:paraId="7652A0FB"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t>(Énfasis añadido)</w:t>
      </w:r>
    </w:p>
    <w:p w14:paraId="5AF6A230" w14:textId="77777777" w:rsidR="003D3C22" w:rsidRPr="00BF67E5" w:rsidRDefault="003D3C22">
      <w:pPr>
        <w:ind w:left="1134" w:right="851"/>
        <w:jc w:val="both"/>
        <w:rPr>
          <w:rFonts w:ascii="Palatino Linotype" w:eastAsia="Palatino Linotype" w:hAnsi="Palatino Linotype" w:cs="Palatino Linotype"/>
        </w:rPr>
      </w:pPr>
    </w:p>
    <w:p w14:paraId="42B8DF95"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Por consiguiente, los preceptos legales transcritos establecen que </w:t>
      </w:r>
      <w:r w:rsidRPr="00BF67E5">
        <w:rPr>
          <w:rFonts w:ascii="Palatino Linotype" w:eastAsia="Palatino Linotype" w:hAnsi="Palatino Linotype" w:cs="Palatino Linotype"/>
          <w:b/>
          <w:color w:val="000000"/>
        </w:rPr>
        <w:t xml:space="preserve">los sujetos obligados se encuentran constreñidos a entregar la información pública solicitada por los </w:t>
      </w:r>
      <w:r w:rsidRPr="00BF67E5">
        <w:rPr>
          <w:rFonts w:ascii="Palatino Linotype" w:eastAsia="Palatino Linotype" w:hAnsi="Palatino Linotype" w:cs="Palatino Linotype"/>
          <w:color w:val="000000"/>
        </w:rPr>
        <w:t xml:space="preserve">particulares que se encuentre en sus archivos o que obre en su posesión, </w:t>
      </w:r>
      <w:r w:rsidRPr="00BF67E5">
        <w:rPr>
          <w:rFonts w:ascii="Palatino Linotype" w:eastAsia="Palatino Linotype" w:hAnsi="Palatino Linotype" w:cs="Palatino Linotype"/>
          <w:b/>
          <w:color w:val="000000"/>
        </w:rPr>
        <w:t>privilegiando en todo momento el principio de máxima publicidad,</w:t>
      </w:r>
      <w:r w:rsidRPr="00BF67E5">
        <w:rPr>
          <w:rFonts w:ascii="Palatino Linotype" w:eastAsia="Palatino Linotype" w:hAnsi="Palatino Linotype" w:cs="Palatino Linotype"/>
          <w:color w:val="000000"/>
        </w:rPr>
        <w:t xml:space="preserve"> sin generarla, procesarla, resumirla, ni presentarla conforme al interés del solicitante. </w:t>
      </w:r>
    </w:p>
    <w:p w14:paraId="4966304B" w14:textId="77777777" w:rsidR="003D3C22" w:rsidRPr="00BF67E5" w:rsidRDefault="003D3C22">
      <w:pPr>
        <w:spacing w:line="360" w:lineRule="auto"/>
        <w:jc w:val="both"/>
        <w:rPr>
          <w:rFonts w:ascii="Palatino Linotype" w:eastAsia="Palatino Linotype" w:hAnsi="Palatino Linotype" w:cs="Palatino Linotype"/>
        </w:rPr>
      </w:pPr>
    </w:p>
    <w:p w14:paraId="70578CE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En esta misma tesitura, es de subrayar que el derecho de acceso a la información pública, consiste en que la información solicitada conste en un soporte documental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dispone lo siguiente: </w:t>
      </w:r>
    </w:p>
    <w:p w14:paraId="69C65E93"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 xml:space="preserve">Artículo 3. </w:t>
      </w:r>
      <w:r w:rsidRPr="001F7AFD">
        <w:rPr>
          <w:rFonts w:ascii="Palatino Linotype" w:eastAsia="Palatino Linotype" w:hAnsi="Palatino Linotype" w:cs="Palatino Linotype"/>
          <w:i/>
          <w:sz w:val="22"/>
        </w:rPr>
        <w:t>Para los efectos de la presente Ley se entenderá por:</w:t>
      </w:r>
    </w:p>
    <w:p w14:paraId="7A271E9E"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XI. Documento:</w:t>
      </w:r>
      <w:r w:rsidRPr="001F7AFD">
        <w:rPr>
          <w:rFonts w:ascii="Palatino Linotype" w:eastAsia="Palatino Linotype" w:hAnsi="Palatino Linotype" w:cs="Palatino Linotype"/>
          <w:i/>
          <w:sz w:val="22"/>
        </w:rPr>
        <w:t xml:space="preserve"> Los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w:t>
      </w:r>
    </w:p>
    <w:p w14:paraId="49CE7ED8" w14:textId="77777777" w:rsidR="003D3C22" w:rsidRPr="00BF67E5" w:rsidRDefault="003D3C22">
      <w:pPr>
        <w:spacing w:line="360" w:lineRule="auto"/>
        <w:ind w:left="851" w:right="901"/>
        <w:jc w:val="both"/>
        <w:rPr>
          <w:rFonts w:ascii="Palatino Linotype" w:eastAsia="Palatino Linotype" w:hAnsi="Palatino Linotype" w:cs="Palatino Linotype"/>
        </w:rPr>
      </w:pPr>
    </w:p>
    <w:p w14:paraId="11E51098"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dispone:</w:t>
      </w:r>
    </w:p>
    <w:p w14:paraId="1BBA4ED1" w14:textId="77777777" w:rsidR="003D3C22" w:rsidRPr="001F7AFD" w:rsidRDefault="00BF67E5">
      <w:pPr>
        <w:ind w:left="1134" w:right="851"/>
        <w:jc w:val="center"/>
        <w:rPr>
          <w:rFonts w:ascii="Palatino Linotype" w:eastAsia="Palatino Linotype" w:hAnsi="Palatino Linotype" w:cs="Palatino Linotype"/>
          <w:sz w:val="22"/>
        </w:rPr>
      </w:pPr>
      <w:r w:rsidRPr="001F7AFD">
        <w:rPr>
          <w:rFonts w:ascii="Palatino Linotype" w:eastAsia="Palatino Linotype" w:hAnsi="Palatino Linotype" w:cs="Palatino Linotype"/>
          <w:sz w:val="22"/>
        </w:rPr>
        <w:t>“</w:t>
      </w:r>
      <w:r w:rsidRPr="001F7AFD">
        <w:rPr>
          <w:rFonts w:ascii="Palatino Linotype" w:eastAsia="Palatino Linotype" w:hAnsi="Palatino Linotype" w:cs="Palatino Linotype"/>
          <w:b/>
          <w:i/>
          <w:sz w:val="22"/>
        </w:rPr>
        <w:t>CRITERIO 0002-11</w:t>
      </w:r>
    </w:p>
    <w:p w14:paraId="556E7939"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u w:val="single"/>
        </w:rPr>
        <w:t>INFORMACIÓN PÚBLICA, CONCEPTO DE, EN MATERIA DE TRANSPARENCIA. INTERPRETACIÓN SISTEMÁTICA DE LOS ARTÍCULOS 2°, FRACCIÓN V, XV, Y XVI, 3°, 4°, 11 Y 41.</w:t>
      </w:r>
      <w:r w:rsidRPr="001F7AFD">
        <w:rPr>
          <w:rFonts w:ascii="Palatino Linotype" w:eastAsia="Palatino Linotype" w:hAnsi="Palatino Linotype" w:cs="Palatino Linotype"/>
          <w:i/>
          <w:sz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w:t>
      </w:r>
      <w:r w:rsidRPr="001F7AFD">
        <w:rPr>
          <w:rFonts w:ascii="Palatino Linotype" w:eastAsia="Palatino Linotype" w:hAnsi="Palatino Linotype" w:cs="Palatino Linotype"/>
          <w:i/>
          <w:sz w:val="22"/>
        </w:rPr>
        <w:lastRenderedPageBreak/>
        <w:t>en virtud del ejercicio de sus funciones de derecho público, sin importar su fuente, soporte o fecha de elaboración.</w:t>
      </w:r>
    </w:p>
    <w:p w14:paraId="0A2D5C9F"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 xml:space="preserve">En </w:t>
      </w:r>
      <w:proofErr w:type="gramStart"/>
      <w:r w:rsidRPr="001F7AFD">
        <w:rPr>
          <w:rFonts w:ascii="Palatino Linotype" w:eastAsia="Palatino Linotype" w:hAnsi="Palatino Linotype" w:cs="Palatino Linotype"/>
          <w:i/>
          <w:sz w:val="22"/>
        </w:rPr>
        <w:t>consecuencia</w:t>
      </w:r>
      <w:proofErr w:type="gramEnd"/>
      <w:r w:rsidRPr="001F7AFD">
        <w:rPr>
          <w:rFonts w:ascii="Palatino Linotype" w:eastAsia="Palatino Linotype" w:hAnsi="Palatino Linotype" w:cs="Palatino Linotype"/>
          <w:i/>
          <w:sz w:val="22"/>
        </w:rPr>
        <w:t xml:space="preserve"> el acceso a la información se refiere a que se cumplan cualquiera de los siguientes tres supuestos:</w:t>
      </w:r>
    </w:p>
    <w:p w14:paraId="0946FC3C"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u w:val="single"/>
        </w:rPr>
        <w:t xml:space="preserve">1) Que se trate de información registrada en cualquier soporte documental, </w:t>
      </w:r>
      <w:proofErr w:type="gramStart"/>
      <w:r w:rsidRPr="001F7AFD">
        <w:rPr>
          <w:rFonts w:ascii="Palatino Linotype" w:eastAsia="Palatino Linotype" w:hAnsi="Palatino Linotype" w:cs="Palatino Linotype"/>
          <w:b/>
          <w:i/>
          <w:sz w:val="22"/>
          <w:u w:val="single"/>
        </w:rPr>
        <w:t>que</w:t>
      </w:r>
      <w:proofErr w:type="gramEnd"/>
      <w:r w:rsidRPr="001F7AFD">
        <w:rPr>
          <w:rFonts w:ascii="Palatino Linotype" w:eastAsia="Palatino Linotype" w:hAnsi="Palatino Linotype" w:cs="Palatino Linotype"/>
          <w:b/>
          <w:i/>
          <w:sz w:val="22"/>
          <w:u w:val="single"/>
        </w:rPr>
        <w:t xml:space="preserve"> en ejercicio de las atribuciones conferidas, sea generada por los Sujetos Obligados;</w:t>
      </w:r>
    </w:p>
    <w:p w14:paraId="03472D51"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 xml:space="preserve">2) Que se trate de </w:t>
      </w:r>
      <w:r w:rsidRPr="001F7AFD">
        <w:rPr>
          <w:rFonts w:ascii="Palatino Linotype" w:eastAsia="Palatino Linotype" w:hAnsi="Palatino Linotype" w:cs="Palatino Linotype"/>
          <w:b/>
          <w:i/>
          <w:sz w:val="22"/>
          <w:u w:val="single"/>
        </w:rPr>
        <w:t>información</w:t>
      </w:r>
      <w:r w:rsidRPr="001F7AFD">
        <w:rPr>
          <w:rFonts w:ascii="Palatino Linotype" w:eastAsia="Palatino Linotype" w:hAnsi="Palatino Linotype" w:cs="Palatino Linotype"/>
          <w:i/>
          <w:sz w:val="22"/>
        </w:rPr>
        <w:t xml:space="preserve"> registrada en cualquier soporte documental, </w:t>
      </w:r>
      <w:proofErr w:type="gramStart"/>
      <w:r w:rsidRPr="001F7AFD">
        <w:rPr>
          <w:rFonts w:ascii="Palatino Linotype" w:eastAsia="Palatino Linotype" w:hAnsi="Palatino Linotype" w:cs="Palatino Linotype"/>
          <w:i/>
          <w:sz w:val="22"/>
        </w:rPr>
        <w:t>que</w:t>
      </w:r>
      <w:proofErr w:type="gramEnd"/>
      <w:r w:rsidRPr="001F7AFD">
        <w:rPr>
          <w:rFonts w:ascii="Palatino Linotype" w:eastAsia="Palatino Linotype" w:hAnsi="Palatino Linotype" w:cs="Palatino Linotype"/>
          <w:i/>
          <w:sz w:val="22"/>
        </w:rPr>
        <w:t xml:space="preserve"> en ejercicio de las atribuciones conferidas, sea administrada por los Sujetos Obligados, y</w:t>
      </w:r>
    </w:p>
    <w:p w14:paraId="5CA233A6"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 xml:space="preserve">3) Que se trate de información registrada en cualquier soporte documental, </w:t>
      </w:r>
      <w:proofErr w:type="gramStart"/>
      <w:r w:rsidRPr="001F7AFD">
        <w:rPr>
          <w:rFonts w:ascii="Palatino Linotype" w:eastAsia="Palatino Linotype" w:hAnsi="Palatino Linotype" w:cs="Palatino Linotype"/>
          <w:i/>
          <w:sz w:val="22"/>
        </w:rPr>
        <w:t>que</w:t>
      </w:r>
      <w:proofErr w:type="gramEnd"/>
      <w:r w:rsidRPr="001F7AFD">
        <w:rPr>
          <w:rFonts w:ascii="Palatino Linotype" w:eastAsia="Palatino Linotype" w:hAnsi="Palatino Linotype" w:cs="Palatino Linotype"/>
          <w:i/>
          <w:sz w:val="22"/>
        </w:rPr>
        <w:t xml:space="preserve"> en ejercicio de las atribuciones conferidas, se encuentre en posesión de los Sujetos Obligados.”</w:t>
      </w:r>
    </w:p>
    <w:p w14:paraId="55A43C20"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t>(Énfasis Añadido)</w:t>
      </w:r>
    </w:p>
    <w:p w14:paraId="18A379C9" w14:textId="77777777" w:rsidR="003D3C22" w:rsidRPr="00BF67E5" w:rsidRDefault="003D3C22">
      <w:pPr>
        <w:spacing w:line="360" w:lineRule="auto"/>
        <w:ind w:left="567" w:right="901"/>
        <w:jc w:val="both"/>
        <w:rPr>
          <w:rFonts w:ascii="Palatino Linotype" w:eastAsia="Palatino Linotype" w:hAnsi="Palatino Linotype" w:cs="Palatino Linotype"/>
        </w:rPr>
      </w:pPr>
    </w:p>
    <w:p w14:paraId="5283C58C"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Del Criterio citado se puede advertir que el derecho acceso a la información se verifica cuando la solicitud verse, entre otras cosas, sobre información contenida en un soporte documental que en ejercicio de sus funciones generen los Sujetos Obligados.</w:t>
      </w:r>
    </w:p>
    <w:p w14:paraId="243E682C" w14:textId="77777777" w:rsidR="003D3C22" w:rsidRPr="00BF67E5" w:rsidRDefault="003D3C22">
      <w:pPr>
        <w:pBdr>
          <w:top w:val="nil"/>
          <w:left w:val="nil"/>
          <w:bottom w:val="nil"/>
          <w:right w:val="nil"/>
          <w:between w:val="nil"/>
        </w:pBdr>
        <w:tabs>
          <w:tab w:val="left" w:pos="426"/>
          <w:tab w:val="left" w:pos="567"/>
        </w:tabs>
        <w:spacing w:line="360" w:lineRule="auto"/>
        <w:jc w:val="both"/>
        <w:rPr>
          <w:rFonts w:ascii="Palatino Linotype" w:eastAsia="Palatino Linotype" w:hAnsi="Palatino Linotype" w:cs="Palatino Linotype"/>
          <w:color w:val="000000"/>
        </w:rPr>
      </w:pPr>
    </w:p>
    <w:p w14:paraId="092F316F"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bookmarkStart w:id="7" w:name="_heading=h.1t3h5sf" w:colFirst="0" w:colLast="0"/>
      <w:bookmarkEnd w:id="7"/>
      <w:r w:rsidRPr="00BF67E5">
        <w:rPr>
          <w:rFonts w:ascii="Palatino Linotype" w:eastAsia="Palatino Linotype" w:hAnsi="Palatino Linotype" w:cs="Palatino Linotype"/>
          <w:color w:val="000000"/>
        </w:rPr>
        <w:t xml:space="preserve">Ahora bien, resulta necesario señalar que el </w:t>
      </w:r>
      <w:r w:rsidRPr="00BF67E5">
        <w:rPr>
          <w:rFonts w:ascii="Palatino Linotype" w:eastAsia="Palatino Linotype" w:hAnsi="Palatino Linotype" w:cs="Palatino Linotype"/>
          <w:b/>
          <w:color w:val="000000"/>
        </w:rPr>
        <w:t xml:space="preserve">SUJETO </w:t>
      </w:r>
      <w:proofErr w:type="gramStart"/>
      <w:r w:rsidRPr="00BF67E5">
        <w:rPr>
          <w:rFonts w:ascii="Palatino Linotype" w:eastAsia="Palatino Linotype" w:hAnsi="Palatino Linotype" w:cs="Palatino Linotype"/>
          <w:b/>
          <w:color w:val="000000"/>
        </w:rPr>
        <w:t xml:space="preserve">OBLIGADO, </w:t>
      </w:r>
      <w:r w:rsidRPr="00BF67E5">
        <w:rPr>
          <w:rFonts w:ascii="Palatino Linotype" w:eastAsia="Palatino Linotype" w:hAnsi="Palatino Linotype" w:cs="Palatino Linotype"/>
          <w:color w:val="000000"/>
        </w:rPr>
        <w:t xml:space="preserve"> al</w:t>
      </w:r>
      <w:proofErr w:type="gramEnd"/>
      <w:r w:rsidRPr="00BF67E5">
        <w:rPr>
          <w:rFonts w:ascii="Palatino Linotype" w:eastAsia="Palatino Linotype" w:hAnsi="Palatino Linotype" w:cs="Palatino Linotype"/>
          <w:color w:val="000000"/>
        </w:rPr>
        <w:t xml:space="preserve"> momento de rendir su respuesta, manifestó que los archivos al ser entregados en la modalidad que solicito el </w:t>
      </w:r>
      <w:r w:rsidRPr="00BF67E5">
        <w:rPr>
          <w:rFonts w:ascii="Palatino Linotype" w:eastAsia="Palatino Linotype" w:hAnsi="Palatino Linotype" w:cs="Palatino Linotype"/>
          <w:b/>
          <w:color w:val="000000"/>
        </w:rPr>
        <w:t xml:space="preserve">RECURRENTE </w:t>
      </w:r>
      <w:r w:rsidRPr="00BF67E5">
        <w:rPr>
          <w:rFonts w:ascii="Palatino Linotype" w:eastAsia="Palatino Linotype" w:hAnsi="Palatino Linotype" w:cs="Palatino Linotype"/>
          <w:color w:val="000000"/>
        </w:rPr>
        <w:t xml:space="preserve">sobre pasa las capacidades técnicas y humanas, pero que la  misma se encuentran disponibles para su </w:t>
      </w:r>
      <w:r w:rsidRPr="00BF67E5">
        <w:rPr>
          <w:rFonts w:ascii="Palatino Linotype" w:eastAsia="Palatino Linotype" w:hAnsi="Palatino Linotype" w:cs="Palatino Linotype"/>
          <w:b/>
          <w:color w:val="000000"/>
        </w:rPr>
        <w:t>consulta directa</w:t>
      </w:r>
      <w:r w:rsidRPr="00BF67E5">
        <w:rPr>
          <w:rFonts w:ascii="Palatino Linotype" w:eastAsia="Palatino Linotype" w:hAnsi="Palatino Linotype" w:cs="Palatino Linotype"/>
          <w:color w:val="000000"/>
        </w:rPr>
        <w:t xml:space="preserve"> en las instalaciones de la Ayuntamiento de Tenancingo. </w:t>
      </w:r>
    </w:p>
    <w:p w14:paraId="728833CE"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6E3866C9"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esa línea, toda vez que no se tenían datos suficientes que avalaran el cambio </w:t>
      </w:r>
      <w:proofErr w:type="gramStart"/>
      <w:r w:rsidRPr="00BF67E5">
        <w:rPr>
          <w:rFonts w:ascii="Palatino Linotype" w:eastAsia="Palatino Linotype" w:hAnsi="Palatino Linotype" w:cs="Palatino Linotype"/>
          <w:color w:val="000000"/>
        </w:rPr>
        <w:t>de  modalidad</w:t>
      </w:r>
      <w:proofErr w:type="gramEnd"/>
      <w:r w:rsidRPr="00BF67E5">
        <w:rPr>
          <w:rFonts w:ascii="Palatino Linotype" w:eastAsia="Palatino Linotype" w:hAnsi="Palatino Linotype" w:cs="Palatino Linotype"/>
          <w:color w:val="000000"/>
        </w:rPr>
        <w:t xml:space="preserve"> propuesto, se giró un requerimiento de información adicional a la Unidad de Transparencia del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 xml:space="preserve">que consistió en lo siguiente. </w:t>
      </w:r>
    </w:p>
    <w:p w14:paraId="04CC1E17" w14:textId="77777777" w:rsidR="003D3C22" w:rsidRDefault="00BF67E5">
      <w:pPr>
        <w:spacing w:line="360" w:lineRule="auto"/>
        <w:jc w:val="center"/>
        <w:rPr>
          <w:rFonts w:ascii="Palatino Linotype" w:eastAsia="Palatino Linotype" w:hAnsi="Palatino Linotype" w:cs="Palatino Linotype"/>
        </w:rPr>
      </w:pPr>
      <w:r w:rsidRPr="00BF67E5">
        <w:rPr>
          <w:rFonts w:ascii="Palatino Linotype" w:eastAsia="Palatino Linotype" w:hAnsi="Palatino Linotype" w:cs="Palatino Linotype"/>
          <w:noProof/>
          <w:lang w:val="es-MX" w:eastAsia="es-MX"/>
        </w:rPr>
        <w:lastRenderedPageBreak/>
        <w:drawing>
          <wp:inline distT="0" distB="0" distL="0" distR="0" wp14:anchorId="7BD6F893" wp14:editId="010B1724">
            <wp:extent cx="1925741" cy="4053015"/>
            <wp:effectExtent l="0" t="0" r="0" b="0"/>
            <wp:docPr id="77"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9"/>
                    <a:srcRect/>
                    <a:stretch>
                      <a:fillRect/>
                    </a:stretch>
                  </pic:blipFill>
                  <pic:spPr>
                    <a:xfrm>
                      <a:off x="0" y="0"/>
                      <a:ext cx="1925741" cy="4053015"/>
                    </a:xfrm>
                    <a:prstGeom prst="rect">
                      <a:avLst/>
                    </a:prstGeom>
                    <a:ln/>
                  </pic:spPr>
                </pic:pic>
              </a:graphicData>
            </a:graphic>
          </wp:inline>
        </w:drawing>
      </w:r>
    </w:p>
    <w:p w14:paraId="25AB0F94" w14:textId="77777777" w:rsidR="001F7AFD" w:rsidRPr="00BF67E5" w:rsidRDefault="001F7AFD">
      <w:pPr>
        <w:spacing w:line="360" w:lineRule="auto"/>
        <w:jc w:val="center"/>
        <w:rPr>
          <w:rFonts w:ascii="Palatino Linotype" w:eastAsia="Palatino Linotype" w:hAnsi="Palatino Linotype" w:cs="Palatino Linotype"/>
        </w:rPr>
      </w:pPr>
    </w:p>
    <w:p w14:paraId="2E81759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lo anterior,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fue omiso en atender el requerimiento de información adicional, situación por la cual con los datos proporcionados en respuesta inicial es que no se tienen los elementos suficientes para avalar que la información sea consultada directamente en las oficinas de Ayuntamiento de Tenancingo.</w:t>
      </w:r>
    </w:p>
    <w:p w14:paraId="3788C6A5" w14:textId="77777777" w:rsidR="003D3C22" w:rsidRPr="00BF67E5" w:rsidRDefault="00BF67E5">
      <w:p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 </w:t>
      </w:r>
    </w:p>
    <w:p w14:paraId="153988E7"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Lo anterior, de acuerdo con la respuesta proporcionada por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de la cual se observa que no refieren el peso de la información y la cantidad de fojas, así como mayores elementos que indiquen como se integra el archivo de respuesta.</w:t>
      </w:r>
    </w:p>
    <w:p w14:paraId="5B45BB0A" w14:textId="77777777" w:rsidR="003D3C22" w:rsidRPr="00BF67E5" w:rsidRDefault="003D3C22">
      <w:pPr>
        <w:pBdr>
          <w:top w:val="nil"/>
          <w:left w:val="nil"/>
          <w:bottom w:val="nil"/>
          <w:right w:val="nil"/>
          <w:between w:val="nil"/>
        </w:pBdr>
        <w:tabs>
          <w:tab w:val="left" w:pos="284"/>
        </w:tabs>
        <w:spacing w:line="360" w:lineRule="auto"/>
        <w:ind w:right="49"/>
        <w:jc w:val="both"/>
        <w:rPr>
          <w:rFonts w:ascii="Palatino Linotype" w:eastAsia="Palatino Linotype" w:hAnsi="Palatino Linotype" w:cs="Palatino Linotype"/>
          <w:color w:val="000000"/>
        </w:rPr>
      </w:pPr>
    </w:p>
    <w:p w14:paraId="1D256685"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 xml:space="preserve">En esa línea, se giró un correo electrónico a la Dirección General de Informática de este Órgano Garante, para conocer si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 xml:space="preserve">había solicitado que se quedara registrada la incidencia técnica de la imposibilidad para adjuntar la información solicitada por el </w:t>
      </w:r>
      <w:r w:rsidRPr="00BF67E5">
        <w:rPr>
          <w:rFonts w:ascii="Palatino Linotype" w:eastAsia="Palatino Linotype" w:hAnsi="Palatino Linotype" w:cs="Palatino Linotype"/>
          <w:b/>
          <w:color w:val="000000"/>
        </w:rPr>
        <w:t xml:space="preserve">RECURRENTE, </w:t>
      </w:r>
      <w:r w:rsidRPr="00BF67E5">
        <w:rPr>
          <w:rFonts w:ascii="Palatino Linotype" w:eastAsia="Palatino Linotype" w:hAnsi="Palatino Linotype" w:cs="Palatino Linotype"/>
          <w:color w:val="000000"/>
        </w:rPr>
        <w:t xml:space="preserve">situación de la cual se informó que el Ayuntamiento de Tenancingo no solicito el registro de dichas incidencias técnicas, tal y como se muestra en la siguiente captura de pantalla. </w:t>
      </w:r>
    </w:p>
    <w:p w14:paraId="3EDAC7C5"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6A2EA708" w14:textId="77777777" w:rsidR="003D3C22" w:rsidRPr="00BF67E5" w:rsidRDefault="00BF67E5">
      <w:pPr>
        <w:pBdr>
          <w:top w:val="nil"/>
          <w:left w:val="nil"/>
          <w:bottom w:val="nil"/>
          <w:right w:val="nil"/>
          <w:between w:val="nil"/>
        </w:pBdr>
        <w:spacing w:line="360" w:lineRule="auto"/>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noProof/>
          <w:color w:val="000000"/>
          <w:lang w:val="es-MX" w:eastAsia="es-MX"/>
        </w:rPr>
        <w:drawing>
          <wp:inline distT="0" distB="0" distL="0" distR="0" wp14:anchorId="21837DBF" wp14:editId="4C7BCEAC">
            <wp:extent cx="5581015" cy="1027430"/>
            <wp:effectExtent l="0" t="0" r="0" b="0"/>
            <wp:docPr id="7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5581015" cy="1027430"/>
                    </a:xfrm>
                    <a:prstGeom prst="rect">
                      <a:avLst/>
                    </a:prstGeom>
                    <a:ln/>
                  </pic:spPr>
                </pic:pic>
              </a:graphicData>
            </a:graphic>
          </wp:inline>
        </w:drawing>
      </w:r>
    </w:p>
    <w:p w14:paraId="1ACACF46" w14:textId="77777777" w:rsidR="003D3C22" w:rsidRPr="00BF67E5" w:rsidRDefault="00BF67E5">
      <w:pPr>
        <w:rPr>
          <w:rFonts w:ascii="Palatino Linotype" w:eastAsia="Palatino Linotype" w:hAnsi="Palatino Linotype" w:cs="Palatino Linotype"/>
        </w:rPr>
      </w:pPr>
      <w:r w:rsidRPr="00BF67E5">
        <w:rPr>
          <w:noProof/>
          <w:lang w:val="es-MX" w:eastAsia="es-MX"/>
        </w:rPr>
        <w:drawing>
          <wp:anchor distT="0" distB="0" distL="114300" distR="114300" simplePos="0" relativeHeight="251658240" behindDoc="0" locked="0" layoutInCell="1" hidden="0" allowOverlap="1" wp14:anchorId="44B469FF" wp14:editId="58534522">
            <wp:simplePos x="0" y="0"/>
            <wp:positionH relativeFrom="column">
              <wp:posOffset>-277759</wp:posOffset>
            </wp:positionH>
            <wp:positionV relativeFrom="paragraph">
              <wp:posOffset>152884</wp:posOffset>
            </wp:positionV>
            <wp:extent cx="6462570" cy="730155"/>
            <wp:effectExtent l="0" t="0" r="0" b="0"/>
            <wp:wrapTopAndBottom distT="0" distB="0"/>
            <wp:docPr id="7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62570" cy="730155"/>
                    </a:xfrm>
                    <a:prstGeom prst="rect">
                      <a:avLst/>
                    </a:prstGeom>
                    <a:ln/>
                  </pic:spPr>
                </pic:pic>
              </a:graphicData>
            </a:graphic>
          </wp:anchor>
        </w:drawing>
      </w:r>
    </w:p>
    <w:p w14:paraId="717E8373" w14:textId="77777777" w:rsidR="001F7AFD" w:rsidRDefault="001F7AFD" w:rsidP="001F7AFD">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1D85B682"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Como se aprecia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n</w:t>
      </w:r>
      <w:r w:rsidRPr="00BF67E5">
        <w:rPr>
          <w:rFonts w:ascii="Palatino Linotype" w:eastAsia="Palatino Linotype" w:hAnsi="Palatino Linotype" w:cs="Palatino Linotype"/>
          <w:b/>
          <w:color w:val="000000"/>
        </w:rPr>
        <w:t xml:space="preserve">o remitió los medios de convicción que le fueron requeridos, </w:t>
      </w:r>
      <w:r w:rsidRPr="00BF67E5">
        <w:rPr>
          <w:rFonts w:ascii="Palatino Linotype" w:eastAsia="Palatino Linotype" w:hAnsi="Palatino Linotype" w:cs="Palatino Linotype"/>
          <w:color w:val="000000"/>
        </w:rPr>
        <w:t>en el alcance de información solicitada.</w:t>
      </w:r>
    </w:p>
    <w:p w14:paraId="2DB76A13" w14:textId="77777777" w:rsidR="003D3C22" w:rsidRPr="00BF67E5" w:rsidRDefault="003D3C22">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color w:val="000000"/>
        </w:rPr>
      </w:pPr>
    </w:p>
    <w:p w14:paraId="706D345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ese contexto, se arriba a la conclusión de que </w:t>
      </w:r>
      <w:r w:rsidRPr="00BF67E5">
        <w:rPr>
          <w:rFonts w:ascii="Palatino Linotype" w:eastAsia="Palatino Linotype" w:hAnsi="Palatino Linotype" w:cs="Palatino Linotype"/>
          <w:b/>
          <w:color w:val="000000"/>
        </w:rPr>
        <w:t xml:space="preserve">NO SE ACREDITÓ </w:t>
      </w:r>
      <w:r w:rsidRPr="00BF67E5">
        <w:rPr>
          <w:rFonts w:ascii="Palatino Linotype" w:eastAsia="Palatino Linotype" w:hAnsi="Palatino Linotype" w:cs="Palatino Linotype"/>
          <w:color w:val="000000"/>
        </w:rPr>
        <w:t xml:space="preserve">el cambio de modalidad, toda vez </w:t>
      </w:r>
      <w:proofErr w:type="gramStart"/>
      <w:r w:rsidRPr="00BF67E5">
        <w:rPr>
          <w:rFonts w:ascii="Palatino Linotype" w:eastAsia="Palatino Linotype" w:hAnsi="Palatino Linotype" w:cs="Palatino Linotype"/>
          <w:color w:val="000000"/>
        </w:rPr>
        <w:t>que</w:t>
      </w:r>
      <w:proofErr w:type="gramEnd"/>
      <w:r w:rsidRPr="00BF67E5">
        <w:rPr>
          <w:rFonts w:ascii="Palatino Linotype" w:eastAsia="Palatino Linotype" w:hAnsi="Palatino Linotype" w:cs="Palatino Linotype"/>
          <w:color w:val="000000"/>
        </w:rPr>
        <w:t xml:space="preserve"> para acreditarlo, es necesario demostrar que existe una imposibilidad administrativa, técnica y humana para dar cumplimiento a la modalidad elegida por el particular.</w:t>
      </w:r>
    </w:p>
    <w:p w14:paraId="287ECF58" w14:textId="77777777" w:rsidR="003D3C22" w:rsidRPr="00BF67E5" w:rsidRDefault="003D3C22">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color w:val="000000"/>
        </w:rPr>
      </w:pPr>
    </w:p>
    <w:p w14:paraId="23E52AA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 xml:space="preserve">Referente a la capacidad administrativa, ésta es definida como la habilidad institucional de un gobierno, para formular y realizar planes, políticas, programas, actividades, operaciones u otras medidas para cumplir con los propósitos de desarrollo. En palabras más simples, es la </w:t>
      </w:r>
      <w:r w:rsidRPr="00BF67E5">
        <w:rPr>
          <w:rFonts w:ascii="Palatino Linotype" w:eastAsia="Palatino Linotype" w:hAnsi="Palatino Linotype" w:cs="Palatino Linotype"/>
          <w:b/>
          <w:color w:val="000000"/>
        </w:rPr>
        <w:t>eficiencia organizacional para efectuar funciones esenciales</w:t>
      </w:r>
      <w:r w:rsidRPr="00BF67E5">
        <w:rPr>
          <w:rFonts w:ascii="Palatino Linotype" w:eastAsia="Palatino Linotype" w:hAnsi="Palatino Linotype" w:cs="Palatino Linotype"/>
          <w:color w:val="000000"/>
        </w:rPr>
        <w:t>.</w:t>
      </w:r>
    </w:p>
    <w:p w14:paraId="29A3022B" w14:textId="77777777" w:rsidR="003D3C22" w:rsidRPr="00BF67E5" w:rsidRDefault="003D3C22">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6D9704DC"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La capacidad administrativa resulta ser un mandato para un gobierno eficaz, la cual engloba, previsión, organización, coordinación y control en actos y esfuerzos con la finalidad de cumplir con sus responsabilidades y funciones de manera eficaz, eficiente y sostenible. </w:t>
      </w:r>
    </w:p>
    <w:p w14:paraId="55A25293" w14:textId="77777777" w:rsidR="003D3C22" w:rsidRPr="00BF67E5" w:rsidRDefault="003D3C22">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4F46A58C"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Desde una perspectiva institucional, la </w:t>
      </w:r>
      <w:r w:rsidRPr="00BF67E5">
        <w:rPr>
          <w:rFonts w:ascii="Palatino Linotype" w:eastAsia="Palatino Linotype" w:hAnsi="Palatino Linotype" w:cs="Palatino Linotype"/>
          <w:b/>
          <w:color w:val="000000"/>
        </w:rPr>
        <w:t>capacidad administrativa</w:t>
      </w:r>
      <w:r w:rsidRPr="00BF67E5">
        <w:rPr>
          <w:rFonts w:ascii="Palatino Linotype" w:eastAsia="Palatino Linotype" w:hAnsi="Palatino Linotype" w:cs="Palatino Linotype"/>
          <w:color w:val="000000"/>
        </w:rPr>
        <w:t xml:space="preserve"> es entendida como “</w:t>
      </w:r>
      <w:r w:rsidRPr="00BF67E5">
        <w:rPr>
          <w:rFonts w:ascii="Palatino Linotype" w:eastAsia="Palatino Linotype" w:hAnsi="Palatino Linotype" w:cs="Palatino Linotype"/>
          <w:i/>
          <w:color w:val="000000"/>
        </w:rPr>
        <w:t xml:space="preserve">las habilidades técnico-burocráticas del aparato estatal requeridas para alcanzar sus objetos. En este componente se ubican el nivel micro y meso de la Capacidad Institucional. El </w:t>
      </w:r>
      <w:r w:rsidRPr="00BF67E5">
        <w:rPr>
          <w:rFonts w:ascii="Palatino Linotype" w:eastAsia="Palatino Linotype" w:hAnsi="Palatino Linotype" w:cs="Palatino Linotype"/>
          <w:b/>
          <w:i/>
          <w:color w:val="000000"/>
        </w:rPr>
        <w:t>primero</w:t>
      </w:r>
      <w:r w:rsidRPr="00BF67E5">
        <w:rPr>
          <w:rFonts w:ascii="Palatino Linotype" w:eastAsia="Palatino Linotype" w:hAnsi="Palatino Linotype" w:cs="Palatino Linotype"/>
          <w:i/>
          <w:color w:val="000000"/>
        </w:rPr>
        <w:t xml:space="preserve"> hace alusión al individuo, al </w:t>
      </w:r>
      <w:r w:rsidRPr="00BF67E5">
        <w:rPr>
          <w:rFonts w:ascii="Palatino Linotype" w:eastAsia="Palatino Linotype" w:hAnsi="Palatino Linotype" w:cs="Palatino Linotype"/>
          <w:b/>
          <w:i/>
          <w:color w:val="000000"/>
        </w:rPr>
        <w:t>recurso humano</w:t>
      </w:r>
      <w:r w:rsidRPr="00BF67E5">
        <w:rPr>
          <w:rFonts w:ascii="Palatino Linotype" w:eastAsia="Palatino Linotype" w:hAnsi="Palatino Linotype" w:cs="Palatino Linotype"/>
          <w:i/>
          <w:color w:val="000000"/>
        </w:rPr>
        <w:t xml:space="preserve">. En el segundo nivel, se ubica la </w:t>
      </w:r>
      <w:r w:rsidRPr="00BF67E5">
        <w:rPr>
          <w:rFonts w:ascii="Palatino Linotype" w:eastAsia="Palatino Linotype" w:hAnsi="Palatino Linotype" w:cs="Palatino Linotype"/>
          <w:b/>
          <w:i/>
          <w:color w:val="000000"/>
        </w:rPr>
        <w:t>capacidad de gestión</w:t>
      </w:r>
      <w:r w:rsidRPr="00BF67E5">
        <w:rPr>
          <w:rFonts w:ascii="Palatino Linotype" w:eastAsia="Palatino Linotype" w:hAnsi="Palatino Linotype" w:cs="Palatino Linotype"/>
          <w:i/>
          <w:color w:val="000000"/>
        </w:rPr>
        <w:t>, el cual se centra en el fortalecimiento organizacional como área de intervención para construir capacidad; cultura organizacional, sistemas de comunicación u organización</w:t>
      </w:r>
      <w:r w:rsidRPr="00BF67E5">
        <w:rPr>
          <w:rFonts w:ascii="Palatino Linotype" w:eastAsia="Palatino Linotype" w:hAnsi="Palatino Linotype" w:cs="Palatino Linotype"/>
          <w:color w:val="000000"/>
        </w:rPr>
        <w:t>”</w:t>
      </w:r>
      <w:r w:rsidRPr="00BF67E5">
        <w:rPr>
          <w:rFonts w:ascii="Palatino Linotype" w:eastAsia="Palatino Linotype" w:hAnsi="Palatino Linotype" w:cs="Palatino Linotype"/>
          <w:i/>
          <w:color w:val="000000"/>
          <w:vertAlign w:val="superscript"/>
        </w:rPr>
        <w:t xml:space="preserve"> </w:t>
      </w:r>
      <w:r w:rsidRPr="00BF67E5">
        <w:rPr>
          <w:rFonts w:ascii="Palatino Linotype" w:eastAsia="Palatino Linotype" w:hAnsi="Palatino Linotype" w:cs="Palatino Linotype"/>
          <w:i/>
          <w:color w:val="000000"/>
          <w:vertAlign w:val="superscript"/>
        </w:rPr>
        <w:footnoteReference w:id="6"/>
      </w:r>
      <w:r w:rsidRPr="00BF67E5">
        <w:rPr>
          <w:rFonts w:ascii="Palatino Linotype" w:eastAsia="Palatino Linotype" w:hAnsi="Palatino Linotype" w:cs="Palatino Linotype"/>
          <w:color w:val="000000"/>
        </w:rPr>
        <w:t xml:space="preserve">. </w:t>
      </w:r>
    </w:p>
    <w:p w14:paraId="6449C506" w14:textId="77777777" w:rsidR="003D3C22" w:rsidRPr="00BF67E5" w:rsidRDefault="003D3C22">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7D1856DC"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Hasta aquí, se tiene que la capacidad administrativa señala los recursos humanos y organizacionales, donde los organizacionales, además de englobar recursos humanos, engloban recursos materiales (espacio, equipos de cómputo, instalaciones, tecnología), financieros (ingresos) e intangibles (tiempo), los cuales en conjunto y a la medida correcta, </w:t>
      </w:r>
      <w:r w:rsidRPr="00BF67E5">
        <w:rPr>
          <w:rFonts w:ascii="Palatino Linotype" w:eastAsia="Palatino Linotype" w:hAnsi="Palatino Linotype" w:cs="Palatino Linotype"/>
          <w:color w:val="000000"/>
        </w:rPr>
        <w:lastRenderedPageBreak/>
        <w:t xml:space="preserve">alcanzarían que las instituciones logren la finalidad de cumplir con sus responsabilidades y funciones de manera eficaz y eficiente. </w:t>
      </w:r>
    </w:p>
    <w:p w14:paraId="29C93467" w14:textId="77777777" w:rsidR="003D3C22" w:rsidRPr="00BF67E5" w:rsidRDefault="003D3C22">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26EC1E4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Ahora bien, respecto de las capacidades humanas, vale la pena precisar lo que se denomina por </w:t>
      </w:r>
      <w:r w:rsidRPr="00BF67E5">
        <w:rPr>
          <w:rFonts w:ascii="Palatino Linotype" w:eastAsia="Palatino Linotype" w:hAnsi="Palatino Linotype" w:cs="Palatino Linotype"/>
          <w:b/>
          <w:i/>
          <w:color w:val="000000"/>
        </w:rPr>
        <w:t>recursos humanos</w:t>
      </w:r>
      <w:r w:rsidRPr="00BF67E5">
        <w:rPr>
          <w:rFonts w:ascii="Palatino Linotype" w:eastAsia="Palatino Linotype" w:hAnsi="Palatino Linotype" w:cs="Palatino Linotype"/>
          <w:color w:val="000000"/>
        </w:rPr>
        <w:t xml:space="preserve">, lo cual podemos identificar como el conjunto de personas con las que cuenta una determinada organización, para desarrollar y ejecutar de manera correcta las acciones, actividades, labores y tareas que deben realizarse y que han sido solicitadas. </w:t>
      </w:r>
    </w:p>
    <w:p w14:paraId="4B522883" w14:textId="77777777" w:rsidR="003D3C22" w:rsidRPr="00BF67E5" w:rsidRDefault="003D3C22">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rPr>
      </w:pPr>
    </w:p>
    <w:p w14:paraId="29E91590"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Las personas son la parte fundamental de una organización, y junto con los recursos materiales, financieros e intangibles, conforman el “todo” que una organización necesita para el correcto funcionamiento, materialización y alcance de sus objetivos; los recursos deben coexistir uno con otro, de otra forma, el desarrollo no sería el apropiado y el cumplimiento de metas, inasequible. </w:t>
      </w:r>
    </w:p>
    <w:p w14:paraId="6DED0555" w14:textId="77777777" w:rsidR="003D3C22" w:rsidRPr="00BF67E5" w:rsidRDefault="003D3C22">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color w:val="000000"/>
        </w:rPr>
      </w:pPr>
    </w:p>
    <w:p w14:paraId="38F28DC8"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A l respecto, las resoluciones de los Recursos de Inconformidad, entre las cuales se encuentran el RIA 136/20, RIA 140/20, RIA 153/20 RIA 237/20, RIA 257/20, RIA 258/20, entre otros, ha considerado que no resultaba suficiente justificar una imposibilidad técnica y humana </w:t>
      </w:r>
      <w:r w:rsidRPr="00BF67E5">
        <w:rPr>
          <w:rFonts w:ascii="Palatino Linotype" w:eastAsia="Palatino Linotype" w:hAnsi="Palatino Linotype" w:cs="Palatino Linotype"/>
          <w:b/>
          <w:color w:val="000000"/>
        </w:rPr>
        <w:t>para acreditar un cambio de modalidad</w:t>
      </w:r>
      <w:r w:rsidRPr="00BF67E5">
        <w:rPr>
          <w:rFonts w:ascii="Palatino Linotype" w:eastAsia="Palatino Linotype" w:hAnsi="Palatino Linotype" w:cs="Palatino Linotype"/>
          <w:color w:val="000000"/>
        </w:rPr>
        <w:t xml:space="preserve">, sino que </w:t>
      </w:r>
      <w:r w:rsidRPr="00BF67E5">
        <w:rPr>
          <w:rFonts w:ascii="Palatino Linotype" w:eastAsia="Palatino Linotype" w:hAnsi="Palatino Linotype" w:cs="Palatino Linotype"/>
          <w:b/>
          <w:color w:val="000000"/>
        </w:rPr>
        <w:t>era necesario demostrar</w:t>
      </w:r>
      <w:r w:rsidRPr="00BF67E5">
        <w:rPr>
          <w:rFonts w:ascii="Palatino Linotype" w:eastAsia="Palatino Linotype" w:hAnsi="Palatino Linotype" w:cs="Palatino Linotype"/>
          <w:color w:val="000000"/>
        </w:rPr>
        <w:t xml:space="preserve"> otros impedimentos, como </w:t>
      </w:r>
      <w:r w:rsidRPr="00BF67E5">
        <w:rPr>
          <w:rFonts w:ascii="Palatino Linotype" w:eastAsia="Palatino Linotype" w:hAnsi="Palatino Linotype" w:cs="Palatino Linotype"/>
          <w:b/>
          <w:color w:val="000000"/>
        </w:rPr>
        <w:t>la cantidad</w:t>
      </w:r>
      <w:r w:rsidRPr="00BF67E5">
        <w:rPr>
          <w:rFonts w:ascii="Palatino Linotype" w:eastAsia="Palatino Linotype" w:hAnsi="Palatino Linotype" w:cs="Palatino Linotype"/>
          <w:color w:val="000000"/>
        </w:rPr>
        <w:t xml:space="preserve"> </w:t>
      </w:r>
      <w:r w:rsidRPr="00BF67E5">
        <w:rPr>
          <w:rFonts w:ascii="Palatino Linotype" w:eastAsia="Palatino Linotype" w:hAnsi="Palatino Linotype" w:cs="Palatino Linotype"/>
          <w:b/>
          <w:color w:val="000000"/>
        </w:rPr>
        <w:t>de hojas y</w:t>
      </w:r>
      <w:r w:rsidRPr="00BF67E5">
        <w:rPr>
          <w:rFonts w:ascii="Palatino Linotype" w:eastAsia="Palatino Linotype" w:hAnsi="Palatino Linotype" w:cs="Palatino Linotype"/>
          <w:color w:val="000000"/>
        </w:rPr>
        <w:t xml:space="preserve"> </w:t>
      </w:r>
      <w:r w:rsidRPr="00BF67E5">
        <w:rPr>
          <w:rFonts w:ascii="Palatino Linotype" w:eastAsia="Palatino Linotype" w:hAnsi="Palatino Linotype" w:cs="Palatino Linotype"/>
          <w:b/>
          <w:color w:val="000000"/>
        </w:rPr>
        <w:t>peso, así como la descripción y elementos que contiene la información que se va a entregar</w:t>
      </w:r>
      <w:r w:rsidRPr="00BF67E5">
        <w:rPr>
          <w:rFonts w:ascii="Palatino Linotype" w:eastAsia="Palatino Linotype" w:hAnsi="Palatino Linotype" w:cs="Palatino Linotype"/>
          <w:color w:val="000000"/>
        </w:rPr>
        <w:t xml:space="preserve">. </w:t>
      </w:r>
    </w:p>
    <w:p w14:paraId="4C360DE4"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50BFD4A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Por otro lado, se debe de referir que no se debe ceñir el cambio de modalidad, directamente a consulta directa, sino que los sujetos obligados, deben de buscar la </w:t>
      </w:r>
      <w:r w:rsidRPr="00BF67E5">
        <w:rPr>
          <w:rFonts w:ascii="Palatino Linotype" w:eastAsia="Palatino Linotype" w:hAnsi="Palatino Linotype" w:cs="Palatino Linotype"/>
          <w:color w:val="000000"/>
        </w:rPr>
        <w:lastRenderedPageBreak/>
        <w:t xml:space="preserve">posibilidad de proporcionarla en las otras formas que establecen en la Ley, ya sean electrónicas o físicas. </w:t>
      </w:r>
    </w:p>
    <w:p w14:paraId="6A4E9316" w14:textId="77777777" w:rsidR="003D3C22" w:rsidRPr="00BF67E5" w:rsidRDefault="003D3C22">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color w:val="000000"/>
        </w:rPr>
      </w:pPr>
    </w:p>
    <w:p w14:paraId="636DB391"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Sirve de sustento a lo anterior, el Criterio número 8/2013, y 02/2004 del entonces Instituto Federal de Acceso a la Información, cuyo texto y sentido literal es el siguiente:</w:t>
      </w:r>
    </w:p>
    <w:p w14:paraId="028EB631" w14:textId="77777777" w:rsidR="003D3C22" w:rsidRPr="001F7AFD" w:rsidRDefault="00BF67E5">
      <w:pPr>
        <w:tabs>
          <w:tab w:val="left" w:pos="7938"/>
        </w:tabs>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Cuando exista impedimento justificado de atender la modalidad de entrega elegida por el solicitante, procede ofrecer todas las demás opciones previstas en la Ley.</w:t>
      </w:r>
      <w:r w:rsidRPr="001F7AFD">
        <w:rPr>
          <w:rFonts w:ascii="Palatino Linotype" w:eastAsia="Palatino Linotype" w:hAnsi="Palatino Linotype" w:cs="Palatino Linotype"/>
          <w:i/>
          <w:sz w:val="22"/>
        </w:rPr>
        <w:t xml:space="preserve"> </w:t>
      </w:r>
      <w:r w:rsidRPr="001F7AFD">
        <w:rPr>
          <w:rFonts w:ascii="Palatino Linotype" w:eastAsia="Palatino Linotype" w:hAnsi="Palatino Linotype" w:cs="Palatino Linotype"/>
          <w:i/>
          <w:sz w:val="22"/>
          <w:u w:val="single"/>
        </w:rPr>
        <w:t>De conformidad con lo dispuesto en los artículos 42 y 44 de la Ley Federal de Transparencia y Acceso a la Información Pública Gubernamental, y 54 de su Reglamento, la entrega de la información debe hacerse, en la medida de lo posible, en la forma solicitada por el interesado</w:t>
      </w:r>
      <w:r w:rsidRPr="001F7AFD">
        <w:rPr>
          <w:rFonts w:ascii="Palatino Linotype" w:eastAsia="Palatino Linotype" w:hAnsi="Palatino Linotype" w:cs="Palatino Linotype"/>
          <w:i/>
          <w:sz w:val="22"/>
        </w:rPr>
        <w:t xml:space="preserve">, salvo que exista un impedimento justificado para atenderla, en cuyo caso, deberán exponerse las razones por las cuales no es posible utilizar el medio de reproducción solicitado. </w:t>
      </w:r>
      <w:r w:rsidRPr="001F7AFD">
        <w:rPr>
          <w:rFonts w:ascii="Palatino Linotype" w:eastAsia="Palatino Linotype" w:hAnsi="Palatino Linotype" w:cs="Palatino Linotype"/>
          <w:i/>
          <w:sz w:val="22"/>
          <w:u w:val="single"/>
        </w:rPr>
        <w:t>En este sentido, la entrega de la información en una modalidad distinta a la elegida por el particular sólo procede, en caso de que se acredite la imposibilidad de atenderla. Lo anterior, ya que si bien, los sujetos obligados deben privilegiar, en todo momento, el derecho de acceso a la información, ello no implica que desvíen su objeto sustancial en la atención y trámite de las solicitudes efectuadas bajo la tutela de dicho derecho</w:t>
      </w:r>
      <w:r w:rsidRPr="001F7AFD">
        <w:rPr>
          <w:rFonts w:ascii="Palatino Linotype" w:eastAsia="Palatino Linotype" w:hAnsi="Palatino Linotype" w:cs="Palatino Linotype"/>
          <w:i/>
          <w:sz w:val="22"/>
        </w:rPr>
        <w:t xml:space="preserve">. Así, cuando se justifique el impedimento, los sujetos obligados deberán notificar al particular la disposición de la información en todas las modalidades de entrega que permita el documento, tales como consulta directa, copias simples y certificadas, así como la reproducción en cualquier otro medio e indicarle, en su caso, los costos de reproducción y envío, para que pueda estar en aptitud de elegir la que sea de su interés o la que más le convenga. En estos casos, los sujetos obligados deberán intentar reducir, en todo momento, los costos de entrega de la información y garantizar el debido equilibrio entre el legítimo derecho de acceso a la información y las posibilidades materiales de otorgar acceso a los documentos. </w:t>
      </w:r>
    </w:p>
    <w:p w14:paraId="37F03A96" w14:textId="77777777" w:rsidR="003D3C22" w:rsidRPr="001F7AFD" w:rsidRDefault="003D3C22">
      <w:pPr>
        <w:tabs>
          <w:tab w:val="left" w:pos="7938"/>
        </w:tabs>
        <w:ind w:left="1134" w:right="851"/>
        <w:jc w:val="both"/>
        <w:rPr>
          <w:rFonts w:ascii="Palatino Linotype" w:eastAsia="Palatino Linotype" w:hAnsi="Palatino Linotype" w:cs="Palatino Linotype"/>
          <w:i/>
          <w:sz w:val="22"/>
        </w:rPr>
      </w:pPr>
    </w:p>
    <w:p w14:paraId="16045C99" w14:textId="77777777" w:rsidR="003D3C22" w:rsidRPr="001F7AFD" w:rsidRDefault="00BF67E5">
      <w:pPr>
        <w:tabs>
          <w:tab w:val="left" w:pos="7938"/>
        </w:tabs>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Criterio 02/2004 INFORMACIÓN DISPERSA</w:t>
      </w:r>
      <w:r w:rsidRPr="001F7AFD">
        <w:rPr>
          <w:rFonts w:ascii="Palatino Linotype" w:eastAsia="Palatino Linotype" w:hAnsi="Palatino Linotype" w:cs="Palatino Linotype"/>
          <w:b/>
          <w:sz w:val="22"/>
        </w:rPr>
        <w:t xml:space="preserve"> </w:t>
      </w:r>
      <w:r w:rsidRPr="001F7AFD">
        <w:rPr>
          <w:rFonts w:ascii="Palatino Linotype" w:eastAsia="Palatino Linotype" w:hAnsi="Palatino Linotype" w:cs="Palatino Linotype"/>
          <w:b/>
          <w:i/>
          <w:sz w:val="22"/>
        </w:rPr>
        <w:t>EN DIVERSOS DOCUMENTOS. PARA RESPETAR EL DERECHO DE ACCESO A LA INFORMACIÓN BASTA CON QUE SE PERMITA LA CONSULTA FÍSICA DE AQUÉLLOS, SALVO EN EL CASO DE QUE EL RESPECTIVO ÓRGANO DEL ESTADO TENGA LA OBLIGACIÓN DE CONTAR CON UN DOCUMENTO QUE CONCENTRÉ AQUÉLLA.</w:t>
      </w:r>
      <w:r w:rsidRPr="001F7AFD">
        <w:rPr>
          <w:rFonts w:ascii="Palatino Linotype" w:eastAsia="Palatino Linotype" w:hAnsi="Palatino Linotype" w:cs="Palatino Linotype"/>
          <w:i/>
          <w:sz w:val="22"/>
        </w:rPr>
        <w:t xml:space="preserve"> </w:t>
      </w:r>
      <w:r w:rsidRPr="001F7AFD">
        <w:rPr>
          <w:rFonts w:ascii="Palatino Linotype" w:eastAsia="Palatino Linotype" w:hAnsi="Palatino Linotype" w:cs="Palatino Linotype"/>
          <w:i/>
          <w:sz w:val="22"/>
          <w:u w:val="single"/>
        </w:rPr>
        <w:t xml:space="preserve">Si bien para cumplir con el derecho de acceso a la información tratándose de la que se encuentra en diferentes documentos, basta con que se permita a los gobernados la consulta física de éstos, dado que tal prerrogativa no implica el procesamiento de los datos contenidos en diversos documentos, </w:t>
      </w:r>
      <w:r w:rsidRPr="001F7AFD">
        <w:rPr>
          <w:rFonts w:ascii="Palatino Linotype" w:eastAsia="Palatino Linotype" w:hAnsi="Palatino Linotype" w:cs="Palatino Linotype"/>
          <w:i/>
          <w:sz w:val="22"/>
        </w:rPr>
        <w:t xml:space="preserve">como lo prevé el artículo </w:t>
      </w:r>
      <w:r w:rsidRPr="001F7AFD">
        <w:rPr>
          <w:rFonts w:ascii="Palatino Linotype" w:eastAsia="Palatino Linotype" w:hAnsi="Palatino Linotype" w:cs="Palatino Linotype"/>
          <w:i/>
          <w:sz w:val="22"/>
        </w:rPr>
        <w:lastRenderedPageBreak/>
        <w:t xml:space="preserve">29 del Reglamento de la Suprema Corte de Justicia de la Nación y del Consejo de la Judicatura Federal para la aplicación de la Ley Federal de Transparencia y Acceso a la Información Pública Gubernamental, </w:t>
      </w:r>
      <w:r w:rsidRPr="001F7AFD">
        <w:rPr>
          <w:rFonts w:ascii="Palatino Linotype" w:eastAsia="Palatino Linotype" w:hAnsi="Palatino Linotype" w:cs="Palatino Linotype"/>
          <w:i/>
          <w:sz w:val="22"/>
          <w:u w:val="single"/>
        </w:rPr>
        <w:t>ello no obsta para reconocer que si el órgano que tiene bajo su resguardo numerosos documentos en los que están dispersos los datos solicitados, cuenta con algún área o unidad que conforme a su regulación interna debe elaborar un documento en el que concentre esa información, para respetar el derecho en comento no basta que se permita la mencionada consulta física, ya que en este supuesto el derecho de acceso a la información tiene el alcance de obligar a los órganos del Estado a poner a disposición de los gobernados la información que conforme a lo previsto en el marco jurídico que los regula deben tener bajo su resguardo, c</w:t>
      </w:r>
      <w:r w:rsidRPr="001F7AFD">
        <w:rPr>
          <w:rFonts w:ascii="Palatino Linotype" w:eastAsia="Palatino Linotype" w:hAnsi="Palatino Linotype" w:cs="Palatino Linotype"/>
          <w:i/>
          <w:sz w:val="22"/>
        </w:rPr>
        <w:t>on lo que además se reconoce que para realizar la referida consulta física el solicitante enfrentará limitantes temporales y económicas que difícilmente podrá superar, lo que finalmente le impedirá conocer los datos que le permitan evaluar las actividades desarrolladas por el respectivo órgano del Estado. Clasificación de Información 6/2004-J. 29 de abril de 2004. Unanimidad de votos.”</w:t>
      </w:r>
    </w:p>
    <w:p w14:paraId="4061045E" w14:textId="77777777" w:rsidR="003D3C22" w:rsidRPr="001F7AFD" w:rsidRDefault="00BF67E5">
      <w:pPr>
        <w:tabs>
          <w:tab w:val="left" w:pos="7938"/>
        </w:tabs>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(Énfasis añadido)</w:t>
      </w:r>
    </w:p>
    <w:p w14:paraId="64F1591F" w14:textId="77777777" w:rsidR="003D3C22" w:rsidRPr="00BF67E5" w:rsidRDefault="003D3C22">
      <w:pPr>
        <w:spacing w:line="360" w:lineRule="auto"/>
        <w:ind w:left="567" w:right="567"/>
        <w:jc w:val="both"/>
        <w:rPr>
          <w:rFonts w:ascii="Palatino Linotype" w:eastAsia="Palatino Linotype" w:hAnsi="Palatino Linotype" w:cs="Palatino Linotype"/>
          <w:i/>
        </w:rPr>
      </w:pPr>
    </w:p>
    <w:p w14:paraId="19F4E55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Luego entonces, es dable ordenar la entrega de la información objeto de análisis la cual ya se tiene certeza de que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xml:space="preserve"> genera, posee y administra en ejercicio de sus atribuciones de derecho público, de ser el caso de que la información que se </w:t>
      </w:r>
      <w:r w:rsidRPr="00BF67E5">
        <w:rPr>
          <w:rFonts w:ascii="Palatino Linotype" w:eastAsia="Palatino Linotype" w:hAnsi="Palatino Linotype" w:cs="Palatino Linotype"/>
          <w:b/>
          <w:color w:val="000000"/>
        </w:rPr>
        <w:t xml:space="preserve">ORDENA </w:t>
      </w:r>
      <w:r w:rsidRPr="00BF67E5">
        <w:rPr>
          <w:rFonts w:ascii="Palatino Linotype" w:eastAsia="Palatino Linotype" w:hAnsi="Palatino Linotype" w:cs="Palatino Linotype"/>
          <w:color w:val="000000"/>
        </w:rPr>
        <w:t xml:space="preserve">entregar contenga datos personales susceptibles de clasificarse como confidenciales,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xml:space="preserve"> estará a lo dispuesto en el Considerando que más adelante se enuncia.</w:t>
      </w:r>
    </w:p>
    <w:p w14:paraId="630EDD5F" w14:textId="77777777" w:rsidR="003D3C22" w:rsidRPr="00BF67E5" w:rsidRDefault="003D3C22">
      <w:pPr>
        <w:spacing w:line="360" w:lineRule="auto"/>
        <w:jc w:val="both"/>
        <w:rPr>
          <w:rFonts w:ascii="Palatino Linotype" w:eastAsia="Palatino Linotype" w:hAnsi="Palatino Linotype" w:cs="Palatino Linotype"/>
        </w:rPr>
      </w:pPr>
    </w:p>
    <w:p w14:paraId="4C4F6A24"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Una vez que fue precisado que no es viable el cambio de modalidad que propuso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 xml:space="preserve">es que el estudio y </w:t>
      </w:r>
      <w:r w:rsidR="001F7AFD" w:rsidRPr="00BF67E5">
        <w:rPr>
          <w:rFonts w:ascii="Palatino Linotype" w:eastAsia="Palatino Linotype" w:hAnsi="Palatino Linotype" w:cs="Palatino Linotype"/>
          <w:color w:val="000000"/>
        </w:rPr>
        <w:t>análisis</w:t>
      </w:r>
      <w:r w:rsidRPr="00BF67E5">
        <w:rPr>
          <w:rFonts w:ascii="Palatino Linotype" w:eastAsia="Palatino Linotype" w:hAnsi="Palatino Linotype" w:cs="Palatino Linotype"/>
          <w:color w:val="000000"/>
        </w:rPr>
        <w:t xml:space="preserve"> se debe de centrar en que el </w:t>
      </w:r>
      <w:r w:rsidRPr="00BF67E5">
        <w:rPr>
          <w:rFonts w:ascii="Palatino Linotype" w:eastAsia="Palatino Linotype" w:hAnsi="Palatino Linotype" w:cs="Palatino Linotype"/>
          <w:b/>
          <w:color w:val="000000"/>
        </w:rPr>
        <w:t xml:space="preserve">RECURRENTE </w:t>
      </w:r>
      <w:r w:rsidRPr="00BF67E5">
        <w:rPr>
          <w:rFonts w:ascii="Palatino Linotype" w:eastAsia="Palatino Linotype" w:hAnsi="Palatino Linotype" w:cs="Palatino Linotype"/>
          <w:color w:val="000000"/>
        </w:rPr>
        <w:t xml:space="preserve">solicita la información consistente en recibos de nómina de todo el personal del Ayuntamiento de Tenancingo, incluyendo al personal sindicalizado. </w:t>
      </w:r>
    </w:p>
    <w:p w14:paraId="1DA7BEBF"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474D6CC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ese sentido, se debe precisarse que si bien en nuestra legislación no existe como tal una definición de </w:t>
      </w:r>
      <w:r w:rsidRPr="00BF67E5">
        <w:rPr>
          <w:rFonts w:ascii="Palatino Linotype" w:eastAsia="Palatino Linotype" w:hAnsi="Palatino Linotype" w:cs="Palatino Linotype"/>
          <w:b/>
          <w:color w:val="000000"/>
        </w:rPr>
        <w:t>“nómina”;</w:t>
      </w:r>
      <w:r w:rsidRPr="00BF67E5">
        <w:rPr>
          <w:rFonts w:ascii="Palatino Linotype" w:eastAsia="Palatino Linotype" w:hAnsi="Palatino Linotype" w:cs="Palatino Linotype"/>
          <w:color w:val="000000"/>
        </w:rPr>
        <w:t xml:space="preserve"> no obstante, el “Glosario de Términos Usuales de Finanzas </w:t>
      </w:r>
      <w:r w:rsidRPr="00BF67E5">
        <w:rPr>
          <w:rFonts w:ascii="Palatino Linotype" w:eastAsia="Palatino Linotype" w:hAnsi="Palatino Linotype" w:cs="Palatino Linotype"/>
          <w:color w:val="000000"/>
        </w:rPr>
        <w:lastRenderedPageBreak/>
        <w:t>Públicas” del Centro de Estudios de las Finanzas Públicas de la Cámara de Diputados del H. Congreso de la Unión, el “Glosario de Términos Administrativos”, emitido por el Instituto Nacional de Administración Pública, A.C. y el “Glosario de Términos para el Proceso de Planeación, Programación, Presupuestación y Evaluación en la Administración Pública”, elaborado por el Grupo de Trabajo de Sistemas de Información Financiera, Contable y Presupuestal de la Comisión Permanente de Funcionarios Fiscales del Instituto para el Desarrollo Técnico de las Haciendas Públicas (INDETEC) señalan la siguiente definición de la palabra nómina:</w:t>
      </w:r>
    </w:p>
    <w:p w14:paraId="0053858F"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1F378250"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Como ya se apuntó, si bien es cierto nuestra legislación no establece la definición de </w:t>
      </w:r>
      <w:r w:rsidRPr="00BF67E5">
        <w:rPr>
          <w:rFonts w:ascii="Palatino Linotype" w:eastAsia="Palatino Linotype" w:hAnsi="Palatino Linotype" w:cs="Palatino Linotype"/>
          <w:b/>
          <w:color w:val="000000"/>
        </w:rPr>
        <w:t>“nómina”</w:t>
      </w:r>
      <w:r w:rsidRPr="00BF67E5">
        <w:rPr>
          <w:rFonts w:ascii="Palatino Linotype" w:eastAsia="Palatino Linotype" w:hAnsi="Palatino Linotype" w:cs="Palatino Linotype"/>
          <w:color w:val="000000"/>
        </w:rPr>
        <w:t xml:space="preserve">, este término es mencionado en diferentes ordenamientos legales, así el artículo 804 fracción II de la Ley Federal de Trabajo, señala lo siguiente: </w:t>
      </w:r>
    </w:p>
    <w:p w14:paraId="2F8EF5DB"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Artículo 804.-</w:t>
      </w:r>
      <w:r w:rsidRPr="001F7AFD">
        <w:rPr>
          <w:rFonts w:ascii="Palatino Linotype" w:eastAsia="Palatino Linotype" w:hAnsi="Palatino Linotype" w:cs="Palatino Linotype"/>
          <w:i/>
          <w:sz w:val="22"/>
        </w:rPr>
        <w:t xml:space="preserve"> </w:t>
      </w:r>
      <w:r w:rsidRPr="001F7AFD">
        <w:rPr>
          <w:rFonts w:ascii="Palatino Linotype" w:eastAsia="Palatino Linotype" w:hAnsi="Palatino Linotype" w:cs="Palatino Linotype"/>
          <w:b/>
          <w:i/>
          <w:sz w:val="22"/>
          <w:u w:val="single"/>
        </w:rPr>
        <w:t>El patrón tiene obligación de conservar y exhibir en juicio los documentos que a continuación se precisan</w:t>
      </w:r>
      <w:r w:rsidRPr="001F7AFD">
        <w:rPr>
          <w:rFonts w:ascii="Palatino Linotype" w:eastAsia="Palatino Linotype" w:hAnsi="Palatino Linotype" w:cs="Palatino Linotype"/>
          <w:i/>
          <w:sz w:val="22"/>
        </w:rPr>
        <w:t xml:space="preserve">: </w:t>
      </w:r>
    </w:p>
    <w:p w14:paraId="1A7A9CAA"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p>
    <w:p w14:paraId="6CD8F1E2"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II.</w:t>
      </w:r>
      <w:r w:rsidRPr="001F7AFD">
        <w:rPr>
          <w:rFonts w:ascii="Palatino Linotype" w:eastAsia="Palatino Linotype" w:hAnsi="Palatino Linotype" w:cs="Palatino Linotype"/>
          <w:i/>
          <w:sz w:val="22"/>
        </w:rPr>
        <w:t xml:space="preserve"> Listas de raya o </w:t>
      </w:r>
      <w:r w:rsidRPr="001F7AFD">
        <w:rPr>
          <w:rFonts w:ascii="Palatino Linotype" w:eastAsia="Palatino Linotype" w:hAnsi="Palatino Linotype" w:cs="Palatino Linotype"/>
          <w:b/>
          <w:i/>
          <w:sz w:val="22"/>
          <w:u w:val="single"/>
        </w:rPr>
        <w:t>nómina de personal</w:t>
      </w:r>
      <w:r w:rsidRPr="001F7AFD">
        <w:rPr>
          <w:rFonts w:ascii="Palatino Linotype" w:eastAsia="Palatino Linotype" w:hAnsi="Palatino Linotype" w:cs="Palatino Linotype"/>
          <w:i/>
          <w:sz w:val="22"/>
        </w:rPr>
        <w:t xml:space="preserve">, cuando se lleven en el centro de trabajo; o recibos de pagos de salarios; </w:t>
      </w:r>
    </w:p>
    <w:p w14:paraId="59C459EB"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p>
    <w:p w14:paraId="5CBA7F16"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u w:val="single"/>
        </w:rPr>
        <w:t>Los documentos</w:t>
      </w:r>
      <w:r w:rsidRPr="001F7AFD">
        <w:rPr>
          <w:rFonts w:ascii="Palatino Linotype" w:eastAsia="Palatino Linotype" w:hAnsi="Palatino Linotype" w:cs="Palatino Linotype"/>
          <w:i/>
          <w:sz w:val="22"/>
        </w:rPr>
        <w:t xml:space="preserve"> señalados en la fracción I </w:t>
      </w:r>
      <w:r w:rsidRPr="001F7AFD">
        <w:rPr>
          <w:rFonts w:ascii="Palatino Linotype" w:eastAsia="Palatino Linotype" w:hAnsi="Palatino Linotype" w:cs="Palatino Linotype"/>
          <w:b/>
          <w:i/>
          <w:sz w:val="22"/>
          <w:u w:val="single"/>
        </w:rPr>
        <w:t>deberán conservarse</w:t>
      </w:r>
      <w:r w:rsidRPr="001F7AFD">
        <w:rPr>
          <w:rFonts w:ascii="Palatino Linotype" w:eastAsia="Palatino Linotype" w:hAnsi="Palatino Linotype" w:cs="Palatino Linotype"/>
          <w:i/>
          <w:sz w:val="22"/>
        </w:rPr>
        <w:t xml:space="preserve"> mientras dure la relación laboral y hasta un año después; los </w:t>
      </w:r>
      <w:r w:rsidRPr="001F7AFD">
        <w:rPr>
          <w:rFonts w:ascii="Palatino Linotype" w:eastAsia="Palatino Linotype" w:hAnsi="Palatino Linotype" w:cs="Palatino Linotype"/>
          <w:b/>
          <w:i/>
          <w:sz w:val="22"/>
          <w:u w:val="single"/>
        </w:rPr>
        <w:t>señalados en las fracciones II</w:t>
      </w:r>
      <w:r w:rsidRPr="001F7AFD">
        <w:rPr>
          <w:rFonts w:ascii="Palatino Linotype" w:eastAsia="Palatino Linotype" w:hAnsi="Palatino Linotype" w:cs="Palatino Linotype"/>
          <w:i/>
          <w:sz w:val="22"/>
        </w:rPr>
        <w:t xml:space="preserve">, III y IV, </w:t>
      </w:r>
      <w:r w:rsidRPr="001F7AFD">
        <w:rPr>
          <w:rFonts w:ascii="Palatino Linotype" w:eastAsia="Palatino Linotype" w:hAnsi="Palatino Linotype" w:cs="Palatino Linotype"/>
          <w:b/>
          <w:i/>
          <w:sz w:val="22"/>
          <w:u w:val="single"/>
        </w:rPr>
        <w:t>durante el último año y un año después de que se extinga la relación laboral</w:t>
      </w:r>
      <w:r w:rsidRPr="001F7AFD">
        <w:rPr>
          <w:rFonts w:ascii="Palatino Linotype" w:eastAsia="Palatino Linotype" w:hAnsi="Palatino Linotype" w:cs="Palatino Linotype"/>
          <w:i/>
          <w:sz w:val="22"/>
        </w:rPr>
        <w:t>; y los mencionados en la fracción V, conforme lo señalen las Leyes que los rijan.</w:t>
      </w:r>
    </w:p>
    <w:p w14:paraId="79AA4C5A" w14:textId="77777777" w:rsidR="003D3C22" w:rsidRPr="001F7AFD" w:rsidRDefault="00BF67E5">
      <w:pPr>
        <w:spacing w:before="120" w:after="120"/>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t>(Énfasis añadido)</w:t>
      </w:r>
    </w:p>
    <w:p w14:paraId="153FFEFA" w14:textId="77777777" w:rsidR="003D3C22" w:rsidRPr="00BF67E5" w:rsidRDefault="003D3C22">
      <w:pPr>
        <w:spacing w:before="120" w:after="120"/>
        <w:ind w:left="709" w:right="709"/>
        <w:jc w:val="both"/>
        <w:rPr>
          <w:rFonts w:ascii="Palatino Linotype" w:eastAsia="Palatino Linotype" w:hAnsi="Palatino Linotype" w:cs="Palatino Linotype"/>
        </w:rPr>
      </w:pPr>
    </w:p>
    <w:p w14:paraId="53256E0C"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rPr>
      </w:pPr>
      <w:r w:rsidRPr="00BF67E5">
        <w:rPr>
          <w:rFonts w:ascii="Palatino Linotype" w:eastAsia="Palatino Linotype" w:hAnsi="Palatino Linotype" w:cs="Palatino Linotype"/>
          <w:color w:val="000000"/>
        </w:rPr>
        <w:t xml:space="preserve">Atento a lo transcrito, es que resulta dable señalar que la nómina es el listado de los trabajadores de una institución para realizar los pagos periódicos de los trabajadores, que deberá incluir </w:t>
      </w:r>
      <w:r w:rsidRPr="00BF67E5">
        <w:rPr>
          <w:rFonts w:ascii="Palatino Linotype" w:eastAsia="Palatino Linotype" w:hAnsi="Palatino Linotype" w:cs="Palatino Linotype"/>
          <w:b/>
          <w:color w:val="000000"/>
        </w:rPr>
        <w:t>las percepciones brutas, deducciones y el neto a recibir.</w:t>
      </w:r>
    </w:p>
    <w:p w14:paraId="5DFBA929"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De igual forma, la Constitución Política del Estado Libre y Soberano de México dispone en lo relativo a las remuneraciones de los servidores públicos, lo siguiente:</w:t>
      </w:r>
    </w:p>
    <w:p w14:paraId="1A956BD4" w14:textId="77777777" w:rsidR="003D3C22" w:rsidRPr="001F7AFD" w:rsidRDefault="00BF67E5">
      <w:pPr>
        <w:spacing w:before="120" w:after="120"/>
        <w:ind w:left="1134" w:right="851"/>
        <w:jc w:val="both"/>
        <w:rPr>
          <w:rFonts w:ascii="Palatino Linotype" w:eastAsia="Palatino Linotype" w:hAnsi="Palatino Linotype" w:cs="Palatino Linotype"/>
          <w:b/>
          <w:i/>
          <w:sz w:val="22"/>
        </w:rPr>
      </w:pPr>
      <w:r w:rsidRPr="001F7AFD">
        <w:rPr>
          <w:rFonts w:ascii="Palatino Linotype" w:eastAsia="Palatino Linotype" w:hAnsi="Palatino Linotype" w:cs="Palatino Linotype"/>
          <w:b/>
          <w:i/>
          <w:sz w:val="22"/>
        </w:rPr>
        <w:t xml:space="preserve">“Artículo 147.- </w:t>
      </w:r>
      <w:r w:rsidRPr="001F7AFD">
        <w:rPr>
          <w:rFonts w:ascii="Palatino Linotype" w:eastAsia="Palatino Linotype" w:hAnsi="Palatino Linotype" w:cs="Palatino Linotype"/>
          <w:i/>
          <w:sz w:val="22"/>
        </w:rPr>
        <w:t xml:space="preserve">El Gobernador, los diputados, los magistrados de los Tribunales Superior de Justicia y de lo Contencioso Administrativo, los miembros del Consejo de la Judicatura, los trabajadores al servicio del Estado, los integrantes y servidores de los organismos autónomos, así como los miembros de los ayuntamientos y demás servidores públicos municipales </w:t>
      </w:r>
      <w:r w:rsidRPr="001F7AFD">
        <w:rPr>
          <w:rFonts w:ascii="Palatino Linotype" w:eastAsia="Palatino Linotype" w:hAnsi="Palatino Linotype" w:cs="Palatino Linotype"/>
          <w:b/>
          <w:i/>
          <w:sz w:val="22"/>
        </w:rPr>
        <w:t>recibirán una retribución adecuada e irrenunciable por el desempeño de su empleo, cargo o comisión, que será determinada en el presupuesto de egresos que corresponda.”</w:t>
      </w:r>
    </w:p>
    <w:p w14:paraId="71566700" w14:textId="77777777" w:rsidR="003D3C22" w:rsidRPr="001F7AFD" w:rsidRDefault="003D3C22">
      <w:pPr>
        <w:spacing w:before="120" w:after="120"/>
        <w:ind w:left="1134" w:right="900"/>
        <w:jc w:val="both"/>
        <w:rPr>
          <w:rFonts w:ascii="Palatino Linotype" w:eastAsia="Palatino Linotype" w:hAnsi="Palatino Linotype" w:cs="Palatino Linotype"/>
          <w:b/>
          <w:i/>
          <w:sz w:val="22"/>
        </w:rPr>
      </w:pPr>
    </w:p>
    <w:p w14:paraId="1ABA53A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En este contexto, el Código Financiero del Estado de México y Municipios, establece que todos los servidores públicos tienen derecho a recibir una remuneración irrenunciable por el desempeño de su empleo, cargo o comisión, el cual será en función a las responsabilidades asumidas, esto es así, según lo previsto por el artículo 3 fracción XXXII, que es del tenor literal siguiente:</w:t>
      </w:r>
    </w:p>
    <w:p w14:paraId="7928E43E"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Artículo 3.-</w:t>
      </w:r>
      <w:r w:rsidRPr="001F7AFD">
        <w:rPr>
          <w:rFonts w:ascii="Palatino Linotype" w:eastAsia="Palatino Linotype" w:hAnsi="Palatino Linotype" w:cs="Palatino Linotype"/>
          <w:i/>
          <w:sz w:val="22"/>
        </w:rPr>
        <w:t xml:space="preserve"> Para efectos de este Código, Ley de Ingresos del Estado y del Presupuesto de Egresos se entenderá por:</w:t>
      </w:r>
    </w:p>
    <w:p w14:paraId="30C91AE8"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p>
    <w:p w14:paraId="2E19FDD7"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XXXII. Remuneración: </w:t>
      </w:r>
      <w:r w:rsidRPr="001F7AFD">
        <w:rPr>
          <w:rFonts w:ascii="Palatino Linotype" w:eastAsia="Palatino Linotype" w:hAnsi="Palatino Linotype" w:cs="Palatino Linotype"/>
          <w:i/>
          <w:sz w:val="22"/>
        </w:rPr>
        <w:t>A los pagos hechos por concepto de sueldo, compensaciones, gratificaciones, habitación, primas, comisiones, prestaciones en especie y cualquier otra percepción o prestación que se entregue al servidor público por su trabajo. Esta definición no será aplicable para los efectos del Impuesto sobre Erogaciones por Remuneraciones al Trabajo Personal;”</w:t>
      </w:r>
    </w:p>
    <w:p w14:paraId="362BE67D" w14:textId="77777777" w:rsidR="003D3C22" w:rsidRPr="00BF67E5" w:rsidRDefault="003D3C22">
      <w:pPr>
        <w:spacing w:before="120" w:after="120"/>
        <w:ind w:left="709" w:right="709"/>
        <w:jc w:val="both"/>
        <w:rPr>
          <w:rFonts w:ascii="Palatino Linotype" w:eastAsia="Palatino Linotype" w:hAnsi="Palatino Linotype" w:cs="Palatino Linotype"/>
          <w:i/>
        </w:rPr>
      </w:pPr>
    </w:p>
    <w:p w14:paraId="4D362AE4"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Al respecto, la Ley de Transparencia y Acceso a la Información Pública del Estado de México y Municipios, dispone en su penúltimo párrafo del artículo 23, que los Sujetos Obligados deberán hacer pública toda aquella información relativa a los montos y personas a las que entreguen recursos, atento a ello es que surge la obligación de generar la información relacionada con las gratificaciones solicitadas.</w:t>
      </w:r>
    </w:p>
    <w:p w14:paraId="321852B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Ahora bien, tratándose de servidores públicos de los Municipios la Ley del Trabajo de los Servidores Públicos del Estado y Municipios, en su artículo 220-K fracciones II y IV y último párrafo, establecen lo siguiente:</w:t>
      </w:r>
    </w:p>
    <w:p w14:paraId="6A2AAAF8" w14:textId="77777777" w:rsidR="003D3C22" w:rsidRPr="001F7AFD" w:rsidRDefault="00BF67E5">
      <w:pPr>
        <w:spacing w:before="160" w:after="16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ARTÍCULO 220 K.-</w:t>
      </w:r>
      <w:r w:rsidRPr="001F7AFD">
        <w:rPr>
          <w:rFonts w:ascii="Palatino Linotype" w:eastAsia="Palatino Linotype" w:hAnsi="Palatino Linotype" w:cs="Palatino Linotype"/>
          <w:i/>
          <w:sz w:val="22"/>
        </w:rPr>
        <w:t xml:space="preserve"> La institución o dependencia pública tiene la obligación de conservar y exhibir en el proceso los documentos que a continuación se precisan:</w:t>
      </w:r>
    </w:p>
    <w:p w14:paraId="01EDE089" w14:textId="77777777" w:rsidR="003D3C22" w:rsidRPr="001F7AFD" w:rsidRDefault="00BF67E5">
      <w:pPr>
        <w:spacing w:before="160" w:after="16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p>
    <w:p w14:paraId="1DCBA596" w14:textId="77777777" w:rsidR="003D3C22" w:rsidRPr="001F7AFD" w:rsidRDefault="00BF67E5">
      <w:pPr>
        <w:spacing w:before="160" w:after="16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IV.</w:t>
      </w:r>
      <w:r w:rsidRPr="001F7AFD">
        <w:rPr>
          <w:rFonts w:ascii="Palatino Linotype" w:eastAsia="Palatino Linotype" w:hAnsi="Palatino Linotype" w:cs="Palatino Linotype"/>
          <w:i/>
          <w:sz w:val="22"/>
        </w:rPr>
        <w:t xml:space="preserve"> </w:t>
      </w:r>
      <w:r w:rsidRPr="001F7AFD">
        <w:rPr>
          <w:rFonts w:ascii="Palatino Linotype" w:eastAsia="Palatino Linotype" w:hAnsi="Palatino Linotype" w:cs="Palatino Linotype"/>
          <w:b/>
          <w:i/>
          <w:sz w:val="22"/>
          <w:u w:val="single"/>
        </w:rPr>
        <w:t>Recibos o las constancias de depósito o del medio de información magnética o electrónica que sean utilizadas para el pago de</w:t>
      </w:r>
      <w:r w:rsidRPr="001F7AFD">
        <w:rPr>
          <w:rFonts w:ascii="Palatino Linotype" w:eastAsia="Palatino Linotype" w:hAnsi="Palatino Linotype" w:cs="Palatino Linotype"/>
          <w:i/>
          <w:sz w:val="22"/>
        </w:rPr>
        <w:t xml:space="preserve"> salarios, prima vacacional,</w:t>
      </w:r>
      <w:r w:rsidRPr="001F7AFD">
        <w:rPr>
          <w:rFonts w:ascii="Palatino Linotype" w:eastAsia="Palatino Linotype" w:hAnsi="Palatino Linotype" w:cs="Palatino Linotype"/>
          <w:b/>
          <w:i/>
          <w:sz w:val="22"/>
          <w:u w:val="single"/>
        </w:rPr>
        <w:t xml:space="preserve"> aguinaldo y demás prestaciones</w:t>
      </w:r>
      <w:r w:rsidRPr="001F7AFD">
        <w:rPr>
          <w:rFonts w:ascii="Palatino Linotype" w:eastAsia="Palatino Linotype" w:hAnsi="Palatino Linotype" w:cs="Palatino Linotype"/>
          <w:i/>
          <w:sz w:val="22"/>
        </w:rPr>
        <w:t xml:space="preserve"> establecidas en la presente ley; y</w:t>
      </w:r>
    </w:p>
    <w:p w14:paraId="289C3FB7" w14:textId="77777777" w:rsidR="003D3C22" w:rsidRPr="001F7AFD" w:rsidRDefault="00BF67E5">
      <w:pPr>
        <w:spacing w:before="160" w:after="16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 xml:space="preserve">Los documentos señalados en la fracción I de este artículo, deberán conservarse mientras dure la relación laboral y hasta un año después; los señalados por las fracciones </w:t>
      </w:r>
      <w:r w:rsidRPr="001F7AFD">
        <w:rPr>
          <w:rFonts w:ascii="Palatino Linotype" w:eastAsia="Palatino Linotype" w:hAnsi="Palatino Linotype" w:cs="Palatino Linotype"/>
          <w:b/>
          <w:i/>
          <w:sz w:val="22"/>
          <w:u w:val="single"/>
        </w:rPr>
        <w:t>II, III, IV durante el último año y un año después de que se extinga la relación laboral</w:t>
      </w:r>
      <w:r w:rsidRPr="001F7AFD">
        <w:rPr>
          <w:rFonts w:ascii="Palatino Linotype" w:eastAsia="Palatino Linotype" w:hAnsi="Palatino Linotype" w:cs="Palatino Linotype"/>
          <w:b/>
          <w:i/>
          <w:sz w:val="22"/>
        </w:rPr>
        <w:t>,</w:t>
      </w:r>
      <w:r w:rsidRPr="001F7AFD">
        <w:rPr>
          <w:rFonts w:ascii="Palatino Linotype" w:eastAsia="Palatino Linotype" w:hAnsi="Palatino Linotype" w:cs="Palatino Linotype"/>
          <w:i/>
          <w:sz w:val="22"/>
        </w:rPr>
        <w:t xml:space="preserve"> y los mencionados en la fracción V, conforme lo señalen las leyes que los rijan.</w:t>
      </w:r>
    </w:p>
    <w:p w14:paraId="0D452042" w14:textId="77777777" w:rsidR="003D3C22" w:rsidRPr="001F7AFD" w:rsidRDefault="00BF67E5">
      <w:pPr>
        <w:spacing w:before="160" w:after="16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Los documentos y constancias aquí señalados, la institución o dependencia podrá conservarlos por medio de los sistemas de digitalización o de información magnética o electrónica o cualquier medio descubierto por la ciencia y las constancias expedidas por el encargado del área de personal de éstas, harán prueba plena.</w:t>
      </w:r>
    </w:p>
    <w:p w14:paraId="2FF3301C" w14:textId="77777777" w:rsidR="003D3C22" w:rsidRPr="001F7AFD" w:rsidRDefault="00BF67E5">
      <w:pPr>
        <w:spacing w:before="160" w:after="16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El incumplimiento por lo dispuesto por este artículo, establecerá la presunción de ser ciertos los hechos que el actor exprese en su demanda, en relación con tales documentos, salvo prueba en contrario.”</w:t>
      </w:r>
    </w:p>
    <w:p w14:paraId="1F897B7D" w14:textId="77777777" w:rsidR="003D3C22" w:rsidRPr="00BF67E5" w:rsidRDefault="00BF67E5">
      <w:pPr>
        <w:spacing w:before="160" w:after="160"/>
        <w:ind w:left="1134" w:right="851"/>
        <w:jc w:val="both"/>
        <w:rPr>
          <w:rFonts w:ascii="Palatino Linotype" w:eastAsia="Palatino Linotype" w:hAnsi="Palatino Linotype" w:cs="Palatino Linotype"/>
          <w:i/>
        </w:rPr>
      </w:pPr>
      <w:r w:rsidRPr="00BF67E5">
        <w:rPr>
          <w:rFonts w:ascii="Palatino Linotype" w:eastAsia="Palatino Linotype" w:hAnsi="Palatino Linotype" w:cs="Palatino Linotype"/>
          <w:i/>
        </w:rPr>
        <w:t>(Énfasis añadido)</w:t>
      </w:r>
    </w:p>
    <w:p w14:paraId="785331AA" w14:textId="77777777" w:rsidR="003D3C22" w:rsidRPr="00BF67E5" w:rsidRDefault="003D3C22">
      <w:pPr>
        <w:spacing w:before="160" w:after="160"/>
        <w:ind w:left="1134" w:right="1106"/>
        <w:jc w:val="both"/>
        <w:rPr>
          <w:rFonts w:ascii="Palatino Linotype" w:eastAsia="Palatino Linotype" w:hAnsi="Palatino Linotype" w:cs="Palatino Linotype"/>
        </w:rPr>
      </w:pPr>
    </w:p>
    <w:p w14:paraId="2AA53CFF"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lo anterior, se advierte que toda institución pública o dependencia pública del Estado de México debe conservar </w:t>
      </w:r>
      <w:r w:rsidRPr="00BF67E5">
        <w:rPr>
          <w:rFonts w:ascii="Palatino Linotype" w:eastAsia="Palatino Linotype" w:hAnsi="Palatino Linotype" w:cs="Palatino Linotype"/>
          <w:b/>
          <w:i/>
          <w:color w:val="000000"/>
        </w:rPr>
        <w:t>los recibos o constancias de pago de salarios, prima vacacional, aguinaldo y demás prestaciones legales de acuerdo con la forma en que se haya realizado el pago, es decir, en efectivo, cheque, depósito, transferencia u otra</w:t>
      </w:r>
      <w:r w:rsidRPr="00BF67E5">
        <w:rPr>
          <w:rFonts w:ascii="Palatino Linotype" w:eastAsia="Palatino Linotype" w:hAnsi="Palatino Linotype" w:cs="Palatino Linotype"/>
          <w:color w:val="000000"/>
        </w:rPr>
        <w:t>, debiendo conservar dicha documentación durante el último año y un año después de que se extingue la relación laboral a través de los sistemas de digitalización o de información magnética o electrónica.</w:t>
      </w:r>
    </w:p>
    <w:p w14:paraId="2021CE64"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Ahora bien, el artículo 350 del Código Financiero del Estado de México dispone lo que se transcribe a continuación:</w:t>
      </w:r>
    </w:p>
    <w:p w14:paraId="4BF79E4E"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Artículo 350.-</w:t>
      </w:r>
      <w:r w:rsidRPr="001F7AFD">
        <w:rPr>
          <w:rFonts w:ascii="Palatino Linotype" w:eastAsia="Palatino Linotype" w:hAnsi="Palatino Linotype" w:cs="Palatino Linotype"/>
          <w:i/>
          <w:sz w:val="22"/>
        </w:rPr>
        <w:t xml:space="preserve"> Mensualmente </w:t>
      </w:r>
      <w:r w:rsidRPr="001F7AFD">
        <w:rPr>
          <w:rFonts w:ascii="Palatino Linotype" w:eastAsia="Palatino Linotype" w:hAnsi="Palatino Linotype" w:cs="Palatino Linotype"/>
          <w:b/>
          <w:i/>
          <w:sz w:val="22"/>
          <w:u w:val="single"/>
        </w:rPr>
        <w:t>dentro de los primeros veinte días hábiles</w:t>
      </w:r>
      <w:r w:rsidRPr="001F7AFD">
        <w:rPr>
          <w:rFonts w:ascii="Palatino Linotype" w:eastAsia="Palatino Linotype" w:hAnsi="Palatino Linotype" w:cs="Palatino Linotype"/>
          <w:i/>
          <w:sz w:val="22"/>
        </w:rPr>
        <w:t xml:space="preserve">, la Secretaría y </w:t>
      </w:r>
      <w:r w:rsidRPr="001F7AFD">
        <w:rPr>
          <w:rFonts w:ascii="Palatino Linotype" w:eastAsia="Palatino Linotype" w:hAnsi="Palatino Linotype" w:cs="Palatino Linotype"/>
          <w:b/>
          <w:i/>
          <w:sz w:val="22"/>
          <w:u w:val="single"/>
        </w:rPr>
        <w:t>las Tesorerías, enviarán para su análisis y evaluación al Órgano Superior de Fiscalización del Estado de México, la siguiente información</w:t>
      </w:r>
      <w:r w:rsidRPr="001F7AFD">
        <w:rPr>
          <w:rFonts w:ascii="Palatino Linotype" w:eastAsia="Palatino Linotype" w:hAnsi="Palatino Linotype" w:cs="Palatino Linotype"/>
          <w:i/>
          <w:sz w:val="22"/>
        </w:rPr>
        <w:t xml:space="preserve">: </w:t>
      </w:r>
    </w:p>
    <w:p w14:paraId="7580F737"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p>
    <w:p w14:paraId="6F98F3DC"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IV. </w:t>
      </w:r>
      <w:r w:rsidRPr="001F7AFD">
        <w:rPr>
          <w:rFonts w:ascii="Palatino Linotype" w:eastAsia="Palatino Linotype" w:hAnsi="Palatino Linotype" w:cs="Palatino Linotype"/>
          <w:b/>
          <w:i/>
          <w:sz w:val="22"/>
          <w:u w:val="single"/>
        </w:rPr>
        <w:t>Información de nómina</w:t>
      </w:r>
      <w:r w:rsidRPr="001F7AFD">
        <w:rPr>
          <w:rFonts w:ascii="Palatino Linotype" w:eastAsia="Palatino Linotype" w:hAnsi="Palatino Linotype" w:cs="Palatino Linotype"/>
          <w:i/>
          <w:sz w:val="22"/>
        </w:rPr>
        <w:t>.”</w:t>
      </w:r>
    </w:p>
    <w:p w14:paraId="59D03AED" w14:textId="77777777" w:rsidR="003D3C22" w:rsidRPr="001F7AFD" w:rsidRDefault="00BF67E5">
      <w:pPr>
        <w:spacing w:before="120" w:after="12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(Énfasis añadido)</w:t>
      </w:r>
    </w:p>
    <w:p w14:paraId="2471879E" w14:textId="77777777" w:rsidR="003D3C22" w:rsidRPr="00BF67E5" w:rsidRDefault="003D3C22">
      <w:pPr>
        <w:spacing w:before="120" w:after="120"/>
        <w:ind w:right="1106"/>
        <w:jc w:val="both"/>
        <w:rPr>
          <w:rFonts w:ascii="Palatino Linotype" w:eastAsia="Palatino Linotype" w:hAnsi="Palatino Linotype" w:cs="Palatino Linotype"/>
        </w:rPr>
      </w:pPr>
    </w:p>
    <w:p w14:paraId="15767648" w14:textId="77777777" w:rsidR="00555A36" w:rsidRDefault="00555A36">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 </w:t>
      </w:r>
    </w:p>
    <w:p w14:paraId="40DAEB5D" w14:textId="104A8253"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 definir los criterios, formatos y documentación necesaria para presentar los informes mensuales. Entre los criterios que se manejan en tales Lineamientos está aquel que se refiere a la integración de información de nómina, tal y como se muestra en la siguiente captura: </w:t>
      </w:r>
    </w:p>
    <w:p w14:paraId="29841A3D" w14:textId="77777777" w:rsidR="003D3C22" w:rsidRDefault="00BF67E5">
      <w:pPr>
        <w:spacing w:line="360" w:lineRule="auto"/>
        <w:jc w:val="center"/>
        <w:rPr>
          <w:rFonts w:ascii="Palatino Linotype" w:eastAsia="Palatino Linotype" w:hAnsi="Palatino Linotype" w:cs="Palatino Linotype"/>
        </w:rPr>
      </w:pPr>
      <w:r w:rsidRPr="00BF67E5">
        <w:rPr>
          <w:rFonts w:ascii="Palatino Linotype" w:eastAsia="Palatino Linotype" w:hAnsi="Palatino Linotype" w:cs="Palatino Linotype"/>
          <w:noProof/>
          <w:lang w:val="es-MX" w:eastAsia="es-MX"/>
        </w:rPr>
        <w:drawing>
          <wp:inline distT="0" distB="0" distL="0" distR="0" wp14:anchorId="0D901FF7" wp14:editId="6D270ECF">
            <wp:extent cx="4305316" cy="2705771"/>
            <wp:effectExtent l="0" t="0" r="0" b="0"/>
            <wp:docPr id="7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2"/>
                    <a:srcRect/>
                    <a:stretch>
                      <a:fillRect/>
                    </a:stretch>
                  </pic:blipFill>
                  <pic:spPr>
                    <a:xfrm>
                      <a:off x="0" y="0"/>
                      <a:ext cx="4305316" cy="2705771"/>
                    </a:xfrm>
                    <a:prstGeom prst="rect">
                      <a:avLst/>
                    </a:prstGeom>
                    <a:ln/>
                  </pic:spPr>
                </pic:pic>
              </a:graphicData>
            </a:graphic>
          </wp:inline>
        </w:drawing>
      </w:r>
    </w:p>
    <w:p w14:paraId="4BEF6CA1" w14:textId="77777777" w:rsidR="001F7AFD" w:rsidRPr="00BF67E5" w:rsidRDefault="001F7AFD">
      <w:pPr>
        <w:spacing w:line="360" w:lineRule="auto"/>
        <w:jc w:val="center"/>
        <w:rPr>
          <w:rFonts w:ascii="Palatino Linotype" w:eastAsia="Palatino Linotype" w:hAnsi="Palatino Linotype" w:cs="Palatino Linotype"/>
        </w:rPr>
      </w:pPr>
    </w:p>
    <w:p w14:paraId="3B27277E" w14:textId="77777777" w:rsidR="003D3C22" w:rsidRPr="00BF67E5" w:rsidRDefault="003D3C22">
      <w:pPr>
        <w:ind w:left="720"/>
        <w:rPr>
          <w:rFonts w:ascii="Palatino Linotype" w:eastAsia="Palatino Linotype" w:hAnsi="Palatino Linotype" w:cs="Palatino Linotype"/>
          <w:color w:val="000000"/>
        </w:rPr>
      </w:pPr>
    </w:p>
    <w:p w14:paraId="6822DFC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la imagen insertada, se desprende que, se puede obtener la información requerida por </w:t>
      </w:r>
      <w:r w:rsidRPr="00BF67E5">
        <w:rPr>
          <w:rFonts w:ascii="Palatino Linotype" w:eastAsia="Palatino Linotype" w:hAnsi="Palatino Linotype" w:cs="Palatino Linotype"/>
          <w:b/>
          <w:color w:val="000000"/>
        </w:rPr>
        <w:t>EL RECURRENTE</w:t>
      </w:r>
      <w:r w:rsidRPr="00BF67E5">
        <w:rPr>
          <w:rFonts w:ascii="Palatino Linotype" w:eastAsia="Palatino Linotype" w:hAnsi="Palatino Linotype" w:cs="Palatino Linotype"/>
          <w:color w:val="000000"/>
        </w:rPr>
        <w:t xml:space="preserve">; puesto que resulta claro que existe la obligación por parte del </w:t>
      </w:r>
      <w:r w:rsidRPr="00BF67E5">
        <w:rPr>
          <w:rFonts w:ascii="Palatino Linotype" w:eastAsia="Palatino Linotype" w:hAnsi="Palatino Linotype" w:cs="Palatino Linotype"/>
          <w:b/>
          <w:color w:val="000000"/>
        </w:rPr>
        <w:lastRenderedPageBreak/>
        <w:t>SUJETO OBLIGADO</w:t>
      </w:r>
      <w:r w:rsidRPr="00BF67E5">
        <w:rPr>
          <w:rFonts w:ascii="Palatino Linotype" w:eastAsia="Palatino Linotype" w:hAnsi="Palatino Linotype" w:cs="Palatino Linotype"/>
          <w:color w:val="000000"/>
        </w:rPr>
        <w:t xml:space="preserve">, de realizar los informes por parte de la </w:t>
      </w:r>
      <w:r w:rsidRPr="00BF67E5">
        <w:rPr>
          <w:rFonts w:ascii="Palatino Linotype" w:eastAsia="Palatino Linotype" w:hAnsi="Palatino Linotype" w:cs="Palatino Linotype"/>
          <w:b/>
          <w:color w:val="000000"/>
        </w:rPr>
        <w:t>Tesorería Municipal</w:t>
      </w:r>
      <w:r w:rsidRPr="00BF67E5">
        <w:rPr>
          <w:rFonts w:ascii="Palatino Linotype" w:eastAsia="Palatino Linotype" w:hAnsi="Palatino Linotype" w:cs="Palatino Linotype"/>
          <w:color w:val="000000"/>
        </w:rPr>
        <w:t xml:space="preserve"> para que remita los reportes mensuales al Órgano Superior de Fiscalización del Estado de México de conformidad con el artículo 32 de la Ley de Fiscalización Superior del Estado de México, en los cuales se incluyen los Comprobantes Fiscales Digitales por Internet por concepto de nómina, que comprende la información relativa al pago de las remuneraciones de cada uno de los servidores públicos correspondiente a un periodo determinado, incluyendo el aguinaldo y las gratificaciones; en consecuencia, la información solicitada por </w:t>
      </w:r>
      <w:r w:rsidRPr="00BF67E5">
        <w:rPr>
          <w:rFonts w:ascii="Palatino Linotype" w:eastAsia="Palatino Linotype" w:hAnsi="Palatino Linotype" w:cs="Palatino Linotype"/>
          <w:b/>
          <w:color w:val="000000"/>
        </w:rPr>
        <w:t>EL RECURRENTE</w:t>
      </w:r>
      <w:r w:rsidRPr="00BF67E5">
        <w:rPr>
          <w:rFonts w:ascii="Palatino Linotype" w:eastAsia="Palatino Linotype" w:hAnsi="Palatino Linotype" w:cs="Palatino Linotype"/>
          <w:color w:val="000000"/>
        </w:rPr>
        <w:t xml:space="preserve"> debe obrar en los archivos del </w:t>
      </w:r>
      <w:r w:rsidRPr="00BF67E5">
        <w:rPr>
          <w:rFonts w:ascii="Palatino Linotype" w:eastAsia="Palatino Linotype" w:hAnsi="Palatino Linotype" w:cs="Palatino Linotype"/>
          <w:b/>
          <w:color w:val="000000"/>
        </w:rPr>
        <w:t xml:space="preserve">SUJETO OBLIGADO. </w:t>
      </w:r>
    </w:p>
    <w:p w14:paraId="1CF0527A" w14:textId="77777777" w:rsidR="003D3C22" w:rsidRPr="00BF67E5" w:rsidRDefault="003D3C22">
      <w:pPr>
        <w:spacing w:before="120" w:after="120"/>
        <w:ind w:right="709"/>
        <w:jc w:val="both"/>
        <w:rPr>
          <w:rFonts w:ascii="Palatino Linotype" w:eastAsia="Palatino Linotype" w:hAnsi="Palatino Linotype" w:cs="Palatino Linotype"/>
        </w:rPr>
      </w:pPr>
    </w:p>
    <w:p w14:paraId="4A98E318"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Sirve de sustento por analogía, para justificar la publicidad sobre los datos relativos a los montos por concepto de pago de las remuneraciones, los criterios 01/2003 y 02/2003 emitidos por el Comité de Acceso a la Información Pública y Protección de Datos Personales de la Suprema Corte de Justicia de la Nación que a continuación se citan: </w:t>
      </w:r>
    </w:p>
    <w:p w14:paraId="664CE236" w14:textId="77777777" w:rsidR="003D3C22" w:rsidRPr="001F7AFD" w:rsidRDefault="00BF67E5">
      <w:pPr>
        <w:spacing w:before="160" w:after="200"/>
        <w:ind w:left="1134" w:right="851"/>
        <w:jc w:val="both"/>
        <w:rPr>
          <w:rFonts w:ascii="Palatino Linotype" w:eastAsia="Palatino Linotype" w:hAnsi="Palatino Linotype" w:cs="Palatino Linotype"/>
          <w:b/>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Criterio 01/2003.</w:t>
      </w:r>
    </w:p>
    <w:p w14:paraId="2E8F314C" w14:textId="77777777" w:rsidR="003D3C22" w:rsidRPr="001F7AFD" w:rsidRDefault="00BF67E5">
      <w:pPr>
        <w:spacing w:before="160" w:after="20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INGRESOS DE LOS SERVIDORES PÚBLICOS. CONSTITUYEN INFORMACIÓN PÚBLICA AÚN Y CUANDO SU DIFUSIÓN PUEDE AFECTAR LA VIDA O LA SEGURIDAD DE AQUELLOS.</w:t>
      </w:r>
      <w:r w:rsidRPr="001F7AFD">
        <w:rPr>
          <w:rFonts w:ascii="Palatino Linotype" w:eastAsia="Palatino Linotype" w:hAnsi="Palatino Linotype" w:cs="Palatino Linotype"/>
          <w:i/>
          <w:sz w:val="22"/>
        </w:rPr>
        <w:t xml:space="preserve"> Si bien el artículo 13, fracción IV, de la Ley Federal de Transparencia y  Acceso  a la información Pública Gubernamental establece que debe clasificarse como información confidencial la que conste en expedientes administrativos cuya difusión  pueda poner en riesgo la vida, la seguridad o la salud de cualquier persona, debe reconocerse que aun y  cuando en ese supuesto podría encuadrar la relativa a las percepciones ordinarias y extraordinaria de los servidores públicos, ello no obsta para reconocer que el legislador estableció en el artículo 7 de ese mismo ordenamiento que la referida información, como una obligación de trasparencia, </w:t>
      </w:r>
      <w:r w:rsidRPr="001F7AFD">
        <w:rPr>
          <w:rFonts w:ascii="Palatino Linotype" w:eastAsia="Palatino Linotype" w:hAnsi="Palatino Linotype" w:cs="Palatino Linotype"/>
          <w:b/>
          <w:i/>
          <w:sz w:val="22"/>
        </w:rPr>
        <w:t xml:space="preserve">deben publicarse en medios remotos o locales de comunicación electrónica, lo que se sustenta en el hecho de que el monto de todos los ingresos que recibe un servidor público por desarrollar las labores que les son encomendadas con motivo del desempeño del cargo respecto. Constituyen información pública, en tanto que se trata de erogaciones que realiza un órgano </w:t>
      </w:r>
      <w:r w:rsidRPr="001F7AFD">
        <w:rPr>
          <w:rFonts w:ascii="Palatino Linotype" w:eastAsia="Palatino Linotype" w:hAnsi="Palatino Linotype" w:cs="Palatino Linotype"/>
          <w:b/>
          <w:i/>
          <w:sz w:val="22"/>
        </w:rPr>
        <w:lastRenderedPageBreak/>
        <w:t xml:space="preserve">del Estado en base con los recursos que encuentran su origen en mayor medida en las contribuciones aportados por los gobernados </w:t>
      </w:r>
      <w:r w:rsidRPr="001F7AFD">
        <w:rPr>
          <w:rFonts w:ascii="Palatino Linotype" w:eastAsia="Palatino Linotype" w:hAnsi="Palatino Linotype" w:cs="Palatino Linotype"/>
          <w:i/>
          <w:sz w:val="22"/>
        </w:rPr>
        <w:t>…”</w:t>
      </w:r>
    </w:p>
    <w:p w14:paraId="4662F7DE" w14:textId="77777777" w:rsidR="003D3C22" w:rsidRPr="001F7AFD" w:rsidRDefault="00BF67E5">
      <w:pPr>
        <w:spacing w:before="360" w:after="200"/>
        <w:ind w:left="1134" w:right="851"/>
        <w:jc w:val="both"/>
        <w:rPr>
          <w:rFonts w:ascii="Palatino Linotype" w:eastAsia="Palatino Linotype" w:hAnsi="Palatino Linotype" w:cs="Palatino Linotype"/>
          <w:b/>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Criterio 02/2003.</w:t>
      </w:r>
    </w:p>
    <w:p w14:paraId="5DCBCF85" w14:textId="77777777" w:rsidR="003D3C22" w:rsidRPr="001F7AFD" w:rsidRDefault="00BF67E5">
      <w:pPr>
        <w:spacing w:before="160" w:after="200"/>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INGRESOS DE LOS SERVIDORES PÚBLICOS, SON INFORMACIÓN PÚBLICA AÚN Y CUANDO CONSTITUYEN DATOS PERSONALES QUE SE REFIEREN AL PATRIMONIO DE AQUÉLLOS.</w:t>
      </w:r>
      <w:r w:rsidRPr="001F7AFD">
        <w:rPr>
          <w:rFonts w:ascii="Palatino Linotype" w:eastAsia="Palatino Linotype" w:hAnsi="Palatino Linotype" w:cs="Palatino Linotype"/>
          <w:i/>
          <w:sz w:val="22"/>
        </w:rPr>
        <w:t xml:space="preserve"> De la interpretación sistemática de lo previsto en los artículos 3º, fracción II; 7º, 9º y 18, fracción II, de la Ley Federal de Transparencia y Acceso a la Información Pública Gubernamental se advierte que no constituye información confidencial la relativa a los ingresos que reciben los servidores públicos, ya que aun y cuando se trata de datos personales relativos a su patrimonio, para su difusión no se requiere consentimiento de aquellos, </w:t>
      </w:r>
      <w:r w:rsidRPr="001F7AFD">
        <w:rPr>
          <w:rFonts w:ascii="Palatino Linotype" w:eastAsia="Palatino Linotype" w:hAnsi="Palatino Linotype" w:cs="Palatino Linotype"/>
          <w:b/>
          <w:i/>
          <w:sz w:val="22"/>
        </w:rPr>
        <w:t>lo que deriva del hecho de que en términos de los previsto en el citado ordenamiento deben ponerse a disposición del público a través de medios remotos o locales de comunicación electrónica, tanto el directorio de servidores públicos como las remuneraciones mensuales por puesto incluso</w:t>
      </w:r>
      <w:r w:rsidRPr="001F7AFD">
        <w:rPr>
          <w:rFonts w:ascii="Palatino Linotype" w:eastAsia="Palatino Linotype" w:hAnsi="Palatino Linotype" w:cs="Palatino Linotype"/>
          <w:i/>
          <w:sz w:val="22"/>
        </w:rPr>
        <w:t xml:space="preserve"> el sistema de compensación …”</w:t>
      </w:r>
    </w:p>
    <w:p w14:paraId="6EE51348" w14:textId="77777777" w:rsidR="003D3C22" w:rsidRPr="001F7AFD" w:rsidRDefault="00BF67E5">
      <w:pPr>
        <w:spacing w:before="160" w:after="200"/>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t>(Énfasis añadido)</w:t>
      </w:r>
    </w:p>
    <w:p w14:paraId="6521958F"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este sentido, </w:t>
      </w:r>
      <w:r w:rsidRPr="00BF67E5">
        <w:rPr>
          <w:rFonts w:ascii="Palatino Linotype" w:eastAsia="Palatino Linotype" w:hAnsi="Palatino Linotype" w:cs="Palatino Linotype"/>
          <w:b/>
          <w:color w:val="000000"/>
        </w:rPr>
        <w:t>EL SUJETO OBLIGADO</w:t>
      </w:r>
      <w:r w:rsidRPr="00BF67E5">
        <w:rPr>
          <w:rFonts w:ascii="Palatino Linotype" w:eastAsia="Palatino Linotype" w:hAnsi="Palatino Linotype" w:cs="Palatino Linotype"/>
          <w:color w:val="000000"/>
        </w:rPr>
        <w:t xml:space="preserve"> se encuentra constreñido a entregar la información solicitada por </w:t>
      </w:r>
      <w:r w:rsidRPr="00BF67E5">
        <w:rPr>
          <w:rFonts w:ascii="Palatino Linotype" w:eastAsia="Palatino Linotype" w:hAnsi="Palatino Linotype" w:cs="Palatino Linotype"/>
          <w:b/>
          <w:color w:val="000000"/>
        </w:rPr>
        <w:t xml:space="preserve">EL RECURRENTE </w:t>
      </w:r>
      <w:r w:rsidRPr="00BF67E5">
        <w:rPr>
          <w:rFonts w:ascii="Palatino Linotype" w:eastAsia="Palatino Linotype" w:hAnsi="Palatino Linotype" w:cs="Palatino Linotype"/>
          <w:color w:val="000000"/>
        </w:rPr>
        <w:t>de acuerdo a lo dispuesto por los artículos 3, fracción XI y 12 de la Ley de Transparencia y Acceso a la Información Pública del Estado de México y Municipios, de los cuales se desprende que es información pública la contenida en los documentos que los Sujetos Obligados generen, administren o se encuentre en su posesión en ejercicio de sus atribuciones.</w:t>
      </w:r>
    </w:p>
    <w:p w14:paraId="54737813" w14:textId="77777777" w:rsidR="003D3C22" w:rsidRPr="00BF67E5" w:rsidRDefault="003D3C22">
      <w:pPr>
        <w:spacing w:line="360" w:lineRule="auto"/>
        <w:jc w:val="both"/>
        <w:rPr>
          <w:rFonts w:ascii="Palatino Linotype" w:eastAsia="Palatino Linotype" w:hAnsi="Palatino Linotype" w:cs="Palatino Linotype"/>
        </w:rPr>
      </w:pPr>
    </w:p>
    <w:p w14:paraId="6CD244A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Luego entonces, este Órgano Garante determina </w:t>
      </w:r>
      <w:proofErr w:type="gramStart"/>
      <w:r w:rsidRPr="00BF67E5">
        <w:rPr>
          <w:rFonts w:ascii="Palatino Linotype" w:eastAsia="Palatino Linotype" w:hAnsi="Palatino Linotype" w:cs="Palatino Linotype"/>
          <w:color w:val="000000"/>
        </w:rPr>
        <w:t>que</w:t>
      </w:r>
      <w:proofErr w:type="gramEnd"/>
      <w:r w:rsidRPr="00BF67E5">
        <w:rPr>
          <w:rFonts w:ascii="Palatino Linotype" w:eastAsia="Palatino Linotype" w:hAnsi="Palatino Linotype" w:cs="Palatino Linotype"/>
          <w:color w:val="000000"/>
        </w:rPr>
        <w:t xml:space="preserve"> para colmar el derecho de acceso a la información del hoy </w:t>
      </w:r>
      <w:r w:rsidRPr="00BF67E5">
        <w:rPr>
          <w:rFonts w:ascii="Palatino Linotype" w:eastAsia="Palatino Linotype" w:hAnsi="Palatino Linotype" w:cs="Palatino Linotype"/>
          <w:b/>
          <w:color w:val="000000"/>
        </w:rPr>
        <w:t xml:space="preserve">RECURRENTE, el SUJETO </w:t>
      </w:r>
      <w:r w:rsidRPr="00BF67E5">
        <w:rPr>
          <w:rFonts w:ascii="Palatino Linotype" w:eastAsia="Palatino Linotype" w:hAnsi="Palatino Linotype" w:cs="Palatino Linotype"/>
          <w:color w:val="000000"/>
        </w:rPr>
        <w:t xml:space="preserve">OBLIGADO deberá entregar los recibos de nómina señalados en las solicitudes de información.  </w:t>
      </w:r>
    </w:p>
    <w:p w14:paraId="59A1572B" w14:textId="77777777" w:rsidR="003D3C22" w:rsidRPr="00BF67E5" w:rsidRDefault="003D3C22">
      <w:pPr>
        <w:spacing w:line="360" w:lineRule="auto"/>
        <w:jc w:val="both"/>
        <w:rPr>
          <w:rFonts w:ascii="Palatino Linotype" w:eastAsia="Palatino Linotype" w:hAnsi="Palatino Linotype" w:cs="Palatino Linotype"/>
        </w:rPr>
      </w:pPr>
    </w:p>
    <w:p w14:paraId="1D9A00F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Ahora bien, toda vez que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 xml:space="preserve">para colmar el derecho de acceso a la información, deberá de remitir los recibos de nómina de todos los servidores públicos </w:t>
      </w:r>
      <w:r w:rsidRPr="00BF67E5">
        <w:rPr>
          <w:rFonts w:ascii="Palatino Linotype" w:eastAsia="Palatino Linotype" w:hAnsi="Palatino Linotype" w:cs="Palatino Linotype"/>
          <w:color w:val="000000"/>
        </w:rPr>
        <w:lastRenderedPageBreak/>
        <w:t>del Ayuntamiento de Tenancingo, incluyendo al personal sindicalizado, es que se debe realizar el análisis de los datos que se deberán de clasificar como confidenciales y los datos que deben de tener formato abierto.</w:t>
      </w:r>
    </w:p>
    <w:p w14:paraId="3824A0C2"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70380AD0"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De lo anterior, se debe de puntualizar que los recibos de nómina contienen los datos personales de los servidores, que de hacerse públicos afectarían su intimidad y vida privada; es por ello que es criterio reiterado en las resoluciones de este Pleno que además de los datos especificados en la Ley de Transparencia y Acceso a la Información Pública del Estado de México y Municipios, se consideran confidenciales y por tanto deben testarse al momento de la elaboración de versiones públicas el Registro Federal de Contribuyentes (RFC), la Clave Única de Registro de Población (CURP), la Clave de cualquier tipo de seguridad social (ISSEMYM, u otros), y los descuentos y claves que se realicen por pensión alimenticia o deducciones estrictamente personales o de cualquier índole siempre que, no se encuentren relacionados con los impuestos o las cuotas por seguridad social, número de cuenta o cualquier otro dato que ponga en riesgo la vida, seguridad y salud de dichas personas.</w:t>
      </w:r>
    </w:p>
    <w:p w14:paraId="3103D3AF"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7ADCBFCE"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Por cuanto hace al </w:t>
      </w:r>
      <w:r w:rsidRPr="00BF67E5">
        <w:rPr>
          <w:rFonts w:ascii="Palatino Linotype" w:eastAsia="Palatino Linotype" w:hAnsi="Palatino Linotype" w:cs="Palatino Linotype"/>
          <w:b/>
          <w:color w:val="000000"/>
        </w:rPr>
        <w:t>Registro Federal de Contribuyentes (RFC),</w:t>
      </w:r>
      <w:r w:rsidRPr="00BF67E5">
        <w:rPr>
          <w:rFonts w:ascii="Palatino Linotype" w:eastAsia="Palatino Linotype" w:hAnsi="Palatino Linotype" w:cs="Palatino Linotype"/>
          <w:color w:val="000000"/>
        </w:rPr>
        <w:t xml:space="preserve"> de las personas físicas, constituye un dato personal, pues se genera con caracteres alfanuméricos a partir del nombre y la fecha de nacimiento de cada persona, y finalmente la </w:t>
      </w:r>
      <w:proofErr w:type="spellStart"/>
      <w:r w:rsidRPr="00BF67E5">
        <w:rPr>
          <w:rFonts w:ascii="Palatino Linotype" w:eastAsia="Palatino Linotype" w:hAnsi="Palatino Linotype" w:cs="Palatino Linotype"/>
          <w:color w:val="000000"/>
        </w:rPr>
        <w:t>homoclave</w:t>
      </w:r>
      <w:proofErr w:type="spellEnd"/>
      <w:r w:rsidRPr="00BF67E5">
        <w:rPr>
          <w:rFonts w:ascii="Palatino Linotype" w:eastAsia="Palatino Linotype" w:hAnsi="Palatino Linotype" w:cs="Palatino Linotype"/>
          <w:color w:val="000000"/>
        </w:rPr>
        <w:t>, por lo que para su obtención es necesario acreditar ante la autoridad fiscal previamente la identidad de la persona, su fecha de nacimiento, entre otros aspectos.</w:t>
      </w:r>
    </w:p>
    <w:p w14:paraId="01B73CDF"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6DA6F460"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Ahora bien, las personas físicas tramitan su inscripción en el registro con el propósito de realizar —mediante esa clave de identificación— operaciones o actividades de naturaleza </w:t>
      </w:r>
      <w:r w:rsidRPr="00BF67E5">
        <w:rPr>
          <w:rFonts w:ascii="Palatino Linotype" w:eastAsia="Palatino Linotype" w:hAnsi="Palatino Linotype" w:cs="Palatino Linotype"/>
          <w:color w:val="000000"/>
        </w:rPr>
        <w:lastRenderedPageBreak/>
        <w:t>fiscal, la cual, les permite hacerse identificables respecto de una situación fiscal determinada.</w:t>
      </w:r>
    </w:p>
    <w:p w14:paraId="38F9FE04"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6992A2A9"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Lo anterior es compartido por el entonces Instituto Federal de Acceso a la Información Pública y Protección de Datos Personales (IFAI) a través del Criterio 19/17, el cual es del tenor literal siguiente:</w:t>
      </w:r>
    </w:p>
    <w:p w14:paraId="39772AFA" w14:textId="77777777" w:rsidR="003D3C22"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“Registro Federal de Contribuyentes (RFC) de personas físicas</w:t>
      </w:r>
      <w:r w:rsidRPr="001F7AFD">
        <w:rPr>
          <w:rFonts w:ascii="Palatino Linotype" w:eastAsia="Palatino Linotype" w:hAnsi="Palatino Linotype" w:cs="Palatino Linotype"/>
          <w:i/>
          <w:sz w:val="22"/>
        </w:rPr>
        <w:t>. El RFC es una clave de carácter fiscal, única e irrepetible, que permite identificar al titular, su edad y fecha de nacimiento, por lo que es un dato personal de carácter confidencial.”</w:t>
      </w:r>
    </w:p>
    <w:p w14:paraId="2BB87CC8" w14:textId="77777777" w:rsidR="001F7AFD" w:rsidRPr="001F7AFD" w:rsidRDefault="001F7AFD">
      <w:pPr>
        <w:ind w:left="1134" w:right="851"/>
        <w:jc w:val="both"/>
        <w:rPr>
          <w:rFonts w:ascii="Palatino Linotype" w:eastAsia="Palatino Linotype" w:hAnsi="Palatino Linotype" w:cs="Palatino Linotype"/>
          <w:i/>
          <w:sz w:val="22"/>
        </w:rPr>
      </w:pPr>
    </w:p>
    <w:p w14:paraId="5F97D4D4" w14:textId="77777777" w:rsidR="003D3C22" w:rsidRPr="00BF67E5" w:rsidRDefault="003D3C22">
      <w:pPr>
        <w:ind w:left="567" w:right="900"/>
        <w:jc w:val="both"/>
        <w:rPr>
          <w:rFonts w:ascii="Palatino Linotype" w:eastAsia="Palatino Linotype" w:hAnsi="Palatino Linotype" w:cs="Palatino Linotype"/>
          <w:i/>
        </w:rPr>
      </w:pPr>
    </w:p>
    <w:p w14:paraId="5ECCB07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Así, el </w:t>
      </w:r>
      <w:r w:rsidRPr="00BF67E5">
        <w:rPr>
          <w:rFonts w:ascii="Palatino Linotype" w:eastAsia="Palatino Linotype" w:hAnsi="Palatino Linotype" w:cs="Palatino Linotype"/>
          <w:b/>
          <w:color w:val="000000"/>
        </w:rPr>
        <w:t>Registro Federal de Contribuyentes, RFC</w:t>
      </w:r>
      <w:r w:rsidRPr="00BF67E5">
        <w:rPr>
          <w:rFonts w:ascii="Palatino Linotype" w:eastAsia="Palatino Linotype" w:hAnsi="Palatino Linotype" w:cs="Palatino Linotype"/>
          <w:color w:val="000000"/>
        </w:rPr>
        <w:t xml:space="preserve">, se vincula al nombre de su titular y permite identificar la edad de la persona, su fecha de nacimiento, así como su </w:t>
      </w:r>
      <w:proofErr w:type="spellStart"/>
      <w:r w:rsidRPr="00BF67E5">
        <w:rPr>
          <w:rFonts w:ascii="Palatino Linotype" w:eastAsia="Palatino Linotype" w:hAnsi="Palatino Linotype" w:cs="Palatino Linotype"/>
          <w:color w:val="000000"/>
        </w:rPr>
        <w:t>homoclave</w:t>
      </w:r>
      <w:proofErr w:type="spellEnd"/>
      <w:r w:rsidRPr="00BF67E5">
        <w:rPr>
          <w:rFonts w:ascii="Palatino Linotype" w:eastAsia="Palatino Linotype" w:hAnsi="Palatino Linotype" w:cs="Palatino Linotype"/>
          <w:color w:val="000000"/>
        </w:rPr>
        <w:t>, la cual es única e irrepetible y determina la identificación de dicha persona para efectos fiscales, por lo que constituye un dato personal que concierne a una persona física identificada e identificable en términos de los artículos 3, fracción IX de la Ley de Transparencia y Acceso a la Información Pública del Estado de México y Municipios, y  4 fracciones XI y XII de la Ley de Protección de Datos Personales en Posesión de los Sujetos Obligados del Estado de México y Municipios.</w:t>
      </w:r>
    </w:p>
    <w:p w14:paraId="6D9BA5B1"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073061E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igual manera la </w:t>
      </w:r>
      <w:r w:rsidRPr="00BF67E5">
        <w:rPr>
          <w:rFonts w:ascii="Palatino Linotype" w:eastAsia="Palatino Linotype" w:hAnsi="Palatino Linotype" w:cs="Palatino Linotype"/>
          <w:b/>
          <w:color w:val="000000"/>
        </w:rPr>
        <w:t>Clave Única de Registro de Población (CURP),</w:t>
      </w:r>
      <w:r w:rsidRPr="00BF67E5">
        <w:rPr>
          <w:rFonts w:ascii="Palatino Linotype" w:eastAsia="Palatino Linotype" w:hAnsi="Palatino Linotype" w:cs="Palatino Linotype"/>
          <w:color w:val="000000"/>
        </w:rPr>
        <w:t xml:space="preserve"> constituye un dato personal, ya que tiene como finalidad registrar a cada una de las personas que integran la población del país, con datos que permitan certificar y acreditar fehacientemente su identidad, en virtud de que se integra por datos personales que únicamente le conciernen a un particular como son su fecha de nacimiento, su nombre, sus apellidos y su lugar de </w:t>
      </w:r>
      <w:r w:rsidRPr="00BF67E5">
        <w:rPr>
          <w:rFonts w:ascii="Palatino Linotype" w:eastAsia="Palatino Linotype" w:hAnsi="Palatino Linotype" w:cs="Palatino Linotype"/>
          <w:color w:val="000000"/>
        </w:rPr>
        <w:lastRenderedPageBreak/>
        <w:t>nacimiento; información que permite distinguirlo del resto de los habitantes, por tal motivo, se considera que es de carácter confidencial.</w:t>
      </w:r>
    </w:p>
    <w:p w14:paraId="662986DB"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62275D84"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Argumento que es compartido por el Instituto Nacional de Transparencia, Acceso a la Información y Protección de Datos Personales, INAI, conforme al criterio 18/17, el cual refiere: </w:t>
      </w:r>
    </w:p>
    <w:p w14:paraId="1B3B889E"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“Clave Única de Registro de Población (CURP). </w:t>
      </w:r>
      <w:r w:rsidRPr="001F7AFD">
        <w:rPr>
          <w:rFonts w:ascii="Palatino Linotype" w:eastAsia="Palatino Linotype" w:hAnsi="Palatino Linotype" w:cs="Palatino Linotype"/>
          <w:i/>
          <w:sz w:val="22"/>
        </w:rPr>
        <w:t>La Clave Única de Registro de Población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la CURP está considerada como información confidencial.”</w:t>
      </w:r>
    </w:p>
    <w:p w14:paraId="55F4CBF2" w14:textId="77777777" w:rsidR="003D3C22" w:rsidRDefault="003D3C22">
      <w:pPr>
        <w:ind w:right="333"/>
        <w:jc w:val="both"/>
        <w:rPr>
          <w:rFonts w:ascii="Palatino Linotype" w:eastAsia="Palatino Linotype" w:hAnsi="Palatino Linotype" w:cs="Palatino Linotype"/>
          <w:i/>
        </w:rPr>
      </w:pPr>
    </w:p>
    <w:p w14:paraId="2B40E5BF" w14:textId="77777777" w:rsidR="001F7AFD" w:rsidRPr="00BF67E5" w:rsidRDefault="001F7AFD">
      <w:pPr>
        <w:ind w:right="333"/>
        <w:jc w:val="both"/>
        <w:rPr>
          <w:rFonts w:ascii="Palatino Linotype" w:eastAsia="Palatino Linotype" w:hAnsi="Palatino Linotype" w:cs="Palatino Linotype"/>
          <w:i/>
        </w:rPr>
      </w:pPr>
    </w:p>
    <w:p w14:paraId="73BA9A43"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Por cuanto hace a la </w:t>
      </w:r>
      <w:r w:rsidRPr="00BF67E5">
        <w:rPr>
          <w:rFonts w:ascii="Palatino Linotype" w:eastAsia="Palatino Linotype" w:hAnsi="Palatino Linotype" w:cs="Palatino Linotype"/>
          <w:b/>
          <w:color w:val="000000"/>
        </w:rPr>
        <w:t>Clave de cualquier tipo de seguridad social (ISSEMyM, u otros</w:t>
      </w:r>
      <w:r w:rsidRPr="00BF67E5">
        <w:rPr>
          <w:rFonts w:ascii="Palatino Linotype" w:eastAsia="Palatino Linotype" w:hAnsi="Palatino Linotype" w:cs="Palatino Linotype"/>
          <w:color w:val="000000"/>
        </w:rPr>
        <w:t>), está integrado por una secuencia de números con los que se identifica a los trabajadores que cubren las cuotas respectivas, asimismo, lo identifica con la fuente de trabajo; por lo que al ser una clave de identificación de los trabajadores, constituye información confidencial, dato que únicamente le atañe al servidor público, por lo constituye un dato personal que concierne a una persona física identificada e identificable en términos de los artículos 2, fracción II de la Ley de Transparencia y Acceso a la Información Pública del Estado de México y Municipios y 4, fracción XI de la Ley de Protección de Datos Personales en Posesión de Sujetos Obligados del Estado de México y Municipios.</w:t>
      </w:r>
    </w:p>
    <w:p w14:paraId="58BD004A"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65C0EBC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El artículo 9° del mismo ordenamiento, dispone que el ISSEMYM expedirá documentos de identificación para facilitar el acceso a las prestaciones a que tengan derecho. </w:t>
      </w:r>
      <w:r w:rsidRPr="00BF67E5">
        <w:rPr>
          <w:rFonts w:ascii="Palatino Linotype" w:eastAsia="Palatino Linotype" w:hAnsi="Palatino Linotype" w:cs="Palatino Linotype"/>
          <w:color w:val="000000"/>
        </w:rPr>
        <w:lastRenderedPageBreak/>
        <w:t>En este orden de ideas, el artículo 158, fracción I del Reglamento de Servicios de Salud del Instituto de Seguridad Social del Estado de México y Municipios, establece que es obligación de los derechohabientes tramitar la credencial que los acredite como tal, la cual será de naturaleza personal e intransferible. En esta credencial se consignan diversos datos personales y se le asigna una clave para hacer identificable al trabajador con el objetivo de poder proporcionar los servicios que brinda el ISSEMYM.</w:t>
      </w:r>
    </w:p>
    <w:p w14:paraId="3522036A"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74E9D657"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Como se advierte, la clave ISSEMYM es un dato personal que permite identificar que una persona ya trabajó o trabaja en alguna institución pública del Estado de México, por la que tiene o tuvo derecho a esta prestación de seguridad social; es de destacar que la clave ISSEMYM no cambia, aunque el trabajador se dé de baja y alta en diversas ocasiones, con motivo de haber trabajado en diferentes instituciones públicas de la Entidad. </w:t>
      </w:r>
    </w:p>
    <w:p w14:paraId="49D0C9D5"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69DBBE87"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Contar con la prestación de seguridad social que brinda el ISSEMYM no es una obligación para entrar a trabajar a una institución pública, por el contrario es un derecho que se adquiere cuando se ingresa al servicio público, por tal motivo, es un dato personal confidencial, por lo que es procedente su eliminación en las versiones públicas que se elaboren, toda vez que actualiza el supuesto de confidencialidad del artículo 143, fracción I de la Ley de Transparencia y Acceso a la Información Pública del Estado de México y Municipios.</w:t>
      </w:r>
    </w:p>
    <w:p w14:paraId="2E292C31"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7C9123E5"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Respecto de los préstamos o descuentos de carácter personal, estos no deben tener relación con la prestación del servicio; es decir, son confidenciales los préstamos o descuentos que se le hagan a la persona en los que no se involucren instituciones públicas, </w:t>
      </w:r>
      <w:r w:rsidRPr="00BF67E5">
        <w:rPr>
          <w:rFonts w:ascii="Palatino Linotype" w:eastAsia="Palatino Linotype" w:hAnsi="Palatino Linotype" w:cs="Palatino Linotype"/>
          <w:color w:val="000000"/>
        </w:rPr>
        <w:lastRenderedPageBreak/>
        <w:t>en virtud de no favorecer en la transparencia y rendición de cuentas, sino, por el contrario, con ello se violentaba la protección de información confidencial, porque incide en la intimidad de un individuo identificado.</w:t>
      </w:r>
    </w:p>
    <w:p w14:paraId="671B0F0F"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141DB0D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Por su parte, el artículo 84 de la Ley del Trabajo de los Servidores Públicos del Estado y Municipios, señala:</w:t>
      </w:r>
    </w:p>
    <w:p w14:paraId="52168571"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b/>
          <w:i/>
          <w:sz w:val="22"/>
        </w:rPr>
        <w:t>ARTICULO 84. Sólo podrán hacerse retenciones, descuentos o deducciones al sueldo de los servidores públicos por concepto de:</w:t>
      </w:r>
    </w:p>
    <w:p w14:paraId="450A2F9E"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I. Gravámenes fiscales relacionados con el sueldo;</w:t>
      </w:r>
    </w:p>
    <w:p w14:paraId="32D1ABFF"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rPr>
        <w:t>II. Deudas contraídas con las instituciones públicas o dependencias</w:t>
      </w:r>
      <w:r w:rsidRPr="001F7AFD">
        <w:rPr>
          <w:rFonts w:ascii="Palatino Linotype" w:eastAsia="Palatino Linotype" w:hAnsi="Palatino Linotype" w:cs="Palatino Linotype"/>
          <w:i/>
          <w:sz w:val="22"/>
        </w:rPr>
        <w:t xml:space="preserve"> por concepto de anticipos de sueldo, pagos hechos con exceso, errores o pérdidas debidamente comprobados;</w:t>
      </w:r>
    </w:p>
    <w:p w14:paraId="30C0292F"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rPr>
        <w:t>III. Cuotas sindicales</w:t>
      </w:r>
      <w:r w:rsidRPr="001F7AFD">
        <w:rPr>
          <w:rFonts w:ascii="Palatino Linotype" w:eastAsia="Palatino Linotype" w:hAnsi="Palatino Linotype" w:cs="Palatino Linotype"/>
          <w:i/>
          <w:sz w:val="22"/>
        </w:rPr>
        <w:t>;</w:t>
      </w:r>
    </w:p>
    <w:p w14:paraId="56F8B7DB"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IV. Cuotas de aportación a fondos para la constitución de cooperativas y de cajas de ahorro, siempre que el servidor público hubiese manifestado previamente, de manera expresa, su conformidad;</w:t>
      </w:r>
    </w:p>
    <w:p w14:paraId="1EB226D9"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V. Descuentos ordenados por el Instituto de Seguridad Social del Estado de México y Municipios, con motivo de cuotas y obligaciones contraídas con éste por los servidores públicos;</w:t>
      </w:r>
    </w:p>
    <w:p w14:paraId="338927F4"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rPr>
        <w:t>VI. Obligaciones a cargo del servidor público con las que haya consentido</w:t>
      </w:r>
      <w:r w:rsidRPr="001F7AFD">
        <w:rPr>
          <w:rFonts w:ascii="Palatino Linotype" w:eastAsia="Palatino Linotype" w:hAnsi="Palatino Linotype" w:cs="Palatino Linotype"/>
          <w:i/>
          <w:sz w:val="22"/>
        </w:rPr>
        <w:t>, derivadas de la adquisición o del uso de habitaciones consideradas como de interés social;</w:t>
      </w:r>
    </w:p>
    <w:p w14:paraId="2FCE7C4E"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VII. Faltas de puntualidad o de asistencia injustificadas;</w:t>
      </w:r>
    </w:p>
    <w:p w14:paraId="1F838CD0"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rPr>
        <w:t>VIII. Pensiones alimenticias ordenadas por la autoridad judicial;</w:t>
      </w:r>
      <w:r w:rsidRPr="001F7AFD">
        <w:rPr>
          <w:rFonts w:ascii="Palatino Linotype" w:eastAsia="Palatino Linotype" w:hAnsi="Palatino Linotype" w:cs="Palatino Linotype"/>
          <w:i/>
          <w:sz w:val="22"/>
        </w:rPr>
        <w:t xml:space="preserve"> o</w:t>
      </w:r>
    </w:p>
    <w:p w14:paraId="14BDBE30"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b/>
          <w:i/>
          <w:sz w:val="22"/>
        </w:rPr>
        <w:t>IX. Cualquier otro convenido con instituciones de servicios y aceptado por el servidor público.</w:t>
      </w:r>
    </w:p>
    <w:p w14:paraId="4E35FADF"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i/>
          <w:sz w:val="22"/>
        </w:rPr>
        <w:t>El monto total de las retenciones, descuentos o deducciones no podrá exceder del 30% de la remuneración total, excepto en los casos a que se refieren las fracciones IV, V y VI de este artículo, en que podrán ser de hasta el 50%, salvo en los casos en que se demuestre que el crédito se concedió con base en los ingresos familiares para hacer posible el derecho constitucional a una vivienda digna, o se refieran a lo establecido en la fracción VIII de este artículo, en que se ajustará a lo determinado por la autoridad judicial.” </w:t>
      </w:r>
    </w:p>
    <w:p w14:paraId="07E62923" w14:textId="77777777" w:rsidR="003D3C22" w:rsidRPr="001F7AFD" w:rsidRDefault="00BF67E5">
      <w:pPr>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t>(Énfasis añadido)</w:t>
      </w:r>
    </w:p>
    <w:p w14:paraId="23C4DB50" w14:textId="77777777" w:rsidR="003D3C22" w:rsidRPr="001F7AFD" w:rsidRDefault="003D3C22">
      <w:pPr>
        <w:spacing w:line="360" w:lineRule="auto"/>
        <w:ind w:left="851" w:right="-929"/>
        <w:jc w:val="both"/>
        <w:rPr>
          <w:rFonts w:ascii="Palatino Linotype" w:eastAsia="Palatino Linotype" w:hAnsi="Palatino Linotype" w:cs="Palatino Linotype"/>
          <w:sz w:val="22"/>
        </w:rPr>
      </w:pPr>
    </w:p>
    <w:p w14:paraId="521E5D5C"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Derivado de lo anterior, la ley establece claramente cuáles son esos descuentos o gravámenes que directamente se relacionan con las obligaciones adquiridas como </w:t>
      </w:r>
      <w:r w:rsidRPr="00BF67E5">
        <w:rPr>
          <w:rFonts w:ascii="Palatino Linotype" w:eastAsia="Palatino Linotype" w:hAnsi="Palatino Linotype" w:cs="Palatino Linotype"/>
          <w:color w:val="000000"/>
        </w:rPr>
        <w:lastRenderedPageBreak/>
        <w:t xml:space="preserve">servidores públicos y aquéllos que </w:t>
      </w:r>
      <w:r w:rsidRPr="00BF67E5">
        <w:rPr>
          <w:rFonts w:ascii="Palatino Linotype" w:eastAsia="Palatino Linotype" w:hAnsi="Palatino Linotype" w:cs="Palatino Linotype"/>
          <w:b/>
          <w:color w:val="000000"/>
          <w:u w:val="single"/>
        </w:rPr>
        <w:t>únicamente inciden en su vida privada</w:t>
      </w:r>
      <w:r w:rsidRPr="00BF67E5">
        <w:rPr>
          <w:rFonts w:ascii="Palatino Linotype" w:eastAsia="Palatino Linotype" w:hAnsi="Palatino Linotype" w:cs="Palatino Linotype"/>
          <w:color w:val="000000"/>
        </w:rPr>
        <w:t>. De este modo, descuentos por pensiones alimenticias o créditos adquiridos con instituciones privadas o públicas pero que fueron contraídas en forma individual, son información que debe clasificarse como confidencial.</w:t>
      </w:r>
    </w:p>
    <w:p w14:paraId="71F06F55"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2FEBF2B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 Con base en lo expuesto, se insiste que los datos mencionados, que como se ha dicho, deben ser clasificados como confidenciales por tratarse de información privada, toda vez que los datos personales son irrenunciables, intransferibles e indelegables, por lo </w:t>
      </w:r>
      <w:proofErr w:type="gramStart"/>
      <w:r w:rsidRPr="00BF67E5">
        <w:rPr>
          <w:rFonts w:ascii="Palatino Linotype" w:eastAsia="Palatino Linotype" w:hAnsi="Palatino Linotype" w:cs="Palatino Linotype"/>
          <w:color w:val="000000"/>
        </w:rPr>
        <w:t>tanto</w:t>
      </w:r>
      <w:proofErr w:type="gramEnd"/>
      <w:r w:rsidRPr="00BF67E5">
        <w:rPr>
          <w:rFonts w:ascii="Palatino Linotype" w:eastAsia="Palatino Linotype" w:hAnsi="Palatino Linotype" w:cs="Palatino Linotype"/>
          <w:color w:val="000000"/>
        </w:rPr>
        <w:t xml:space="preserve"> los sujetos obligados no deben hacer entrega de éstos a persona ajena a su titular, sobre todo cuando traiga implícita que se ponga en riesgo la vida o integridad de una persona.</w:t>
      </w:r>
    </w:p>
    <w:p w14:paraId="09CAFA13"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Sirven de sustento a lo anterior, las tesis jurisprudenciales P. LX/2000 y 2a. XLIII/2008 emitidas por el Peno y la Segunda Sala de la Suprema Corte de Justicia de la Nación, respectivamente, que son del tenor literal siguiente:</w:t>
      </w:r>
    </w:p>
    <w:p w14:paraId="4AE86918"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“DERECHO A LA INFORMACIÓN. SU EJERCICIO SE ENCUENTRA LIMITADO TANTO POR LOS INTERESES NACIONALES Y DE LA SOCIEDAD, COMO POR LOS DERECHOS DE TERCEROS. </w:t>
      </w:r>
      <w:r w:rsidRPr="001F7AFD">
        <w:rPr>
          <w:rFonts w:ascii="Palatino Linotype" w:eastAsia="Palatino Linotype" w:hAnsi="Palatino Linotype" w:cs="Palatino Linotype"/>
          <w:i/>
          <w:sz w:val="22"/>
        </w:rPr>
        <w:t xml:space="preserve">El derecho a la información consagrado en la última parte del artículo 6o. de la Constitución Federal no es absoluto, sino que, como toda garantía, se halla sujeto a limitaciones o excepciones que se sustentan, fundamentalmente, en la protección de la seguridad nacional y en el respeto tanto a los intereses de la sociedad como a los derechos de los gobernados, limitaciones que, incluso, han dado origen a la figura jurídica del secreto de información que se conoce en la doctrina como "reserva de información" o "secreto burocrático". En estas condiciones, al encontrarse obligado el Estado, como sujeto pasivo de la citada garantía, a velar por dichos intereses, con apego a las normas constitucionales y legales, el mencionado derecho no puede ser garantizado indiscriminadamente, sino que el respeto a su ejercicio encuentra excepciones que lo regulan y a su vez lo garantizan, en atención a la materia a que se refiera; así, en cuanto a la seguridad nacional, se tienen normas que, por un lado, </w:t>
      </w:r>
      <w:r w:rsidRPr="001F7AFD">
        <w:rPr>
          <w:rFonts w:ascii="Palatino Linotype" w:eastAsia="Palatino Linotype" w:hAnsi="Palatino Linotype" w:cs="Palatino Linotype"/>
          <w:b/>
          <w:i/>
          <w:sz w:val="22"/>
        </w:rPr>
        <w:t>restringen el acceso a la información en esta materia, en razón de que su conocimiento público puede generar daños a los intereses nacionales y, por el otro, sancionan la inobservancia de esa reserva</w:t>
      </w:r>
      <w:r w:rsidRPr="001F7AFD">
        <w:rPr>
          <w:rFonts w:ascii="Palatino Linotype" w:eastAsia="Palatino Linotype" w:hAnsi="Palatino Linotype" w:cs="Palatino Linotype"/>
          <w:i/>
          <w:sz w:val="22"/>
        </w:rPr>
        <w:t xml:space="preserve">; por lo que hace al interés social, se cuenta con normas que tienden a proteger la averiguación de </w:t>
      </w:r>
      <w:r w:rsidRPr="001F7AFD">
        <w:rPr>
          <w:rFonts w:ascii="Palatino Linotype" w:eastAsia="Palatino Linotype" w:hAnsi="Palatino Linotype" w:cs="Palatino Linotype"/>
          <w:i/>
          <w:sz w:val="22"/>
        </w:rPr>
        <w:lastRenderedPageBreak/>
        <w:t xml:space="preserve">los delitos, la salud y la moral públicas, </w:t>
      </w:r>
      <w:r w:rsidRPr="001F7AFD">
        <w:rPr>
          <w:rFonts w:ascii="Palatino Linotype" w:eastAsia="Palatino Linotype" w:hAnsi="Palatino Linotype" w:cs="Palatino Linotype"/>
          <w:b/>
          <w:i/>
          <w:sz w:val="22"/>
        </w:rPr>
        <w:t>mientras que por lo que respecta a la protección de la persona existen normas que protegen el derecho a la vida o a la privacidad de los gobernados</w:t>
      </w:r>
      <w:r w:rsidRPr="001F7AFD">
        <w:rPr>
          <w:rFonts w:ascii="Palatino Linotype" w:eastAsia="Palatino Linotype" w:hAnsi="Palatino Linotype" w:cs="Palatino Linotype"/>
          <w:i/>
          <w:sz w:val="22"/>
        </w:rPr>
        <w:t>.”</w:t>
      </w:r>
    </w:p>
    <w:p w14:paraId="51148E6A" w14:textId="77777777" w:rsidR="003D3C22" w:rsidRPr="001F7AFD" w:rsidRDefault="003D3C22">
      <w:pPr>
        <w:ind w:left="1134" w:right="851"/>
        <w:jc w:val="both"/>
        <w:rPr>
          <w:rFonts w:ascii="Palatino Linotype" w:eastAsia="Palatino Linotype" w:hAnsi="Palatino Linotype" w:cs="Palatino Linotype"/>
          <w:i/>
          <w:sz w:val="22"/>
        </w:rPr>
      </w:pPr>
    </w:p>
    <w:p w14:paraId="1CA86A67"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b/>
          <w:i/>
          <w:sz w:val="22"/>
        </w:rPr>
        <w:t xml:space="preserve">“TRANSPARENCIA Y ACCESO A LA INFORMACIÓN PÚBLICA GUBERNAMENTAL. EL ARTÍCULO 14, FRACCIÓN I, DE LA LEY FEDERAL RELATIVA, NO VIOLA LA GARANTÍA DE ACCESO A LA INFORMACIÓN. </w:t>
      </w:r>
      <w:r w:rsidRPr="001F7AFD">
        <w:rPr>
          <w:rFonts w:ascii="Palatino Linotype" w:eastAsia="Palatino Linotype" w:hAnsi="Palatino Linotype" w:cs="Palatino Linotype"/>
          <w:i/>
          <w:sz w:val="22"/>
        </w:rPr>
        <w:t xml:space="preserve">El Tribunal en Pleno de la Suprema Corte de Justicia de la Nación en la tesis P. LX/2000 de rubro: "DERECHO A LA INFORMACIÓN. SU EJERCICIO SE ENCUENTRA LIMITADO TANTO POR LOS INTERESES NACIONALES Y DE LA SOCIEDAD, COMO POR LOS DERECHOS DE TERCEROS.", publicada en el Semanario Judicial de la Federación y su Gaceta, Novena Época, Tomo XI, abril de 2000, página 74, estableció que el ejercicio del derecho a la información no es irrestricto, sino que tiene límites que se sustentan en la protección de la seguridad nacional y en el respeto a los intereses de la sociedad y a los derechos de los gobernados, en atención a la materia de que se trate. En ese sentido, el citado precepto, al remitir a diversas normas ordinarias que establezcan restricciones a la información, no viola la garantía de acceso a la información contenida en el artículo 6o. de la Constitución Política de los Estados Unidos Mexicanos, porque es jurídicamente adecuado que en las leyes reguladoras de cada materia, </w:t>
      </w:r>
      <w:r w:rsidRPr="001F7AFD">
        <w:rPr>
          <w:rFonts w:ascii="Palatino Linotype" w:eastAsia="Palatino Linotype" w:hAnsi="Palatino Linotype" w:cs="Palatino Linotype"/>
          <w:b/>
          <w:i/>
          <w:sz w:val="22"/>
        </w:rPr>
        <w:t>el legislador federal o local establezca las restricciones correspondientes y clasifique a determinados datos como confidenciales o reservados, con la condición de que tales límites atiendan a intereses públicos o de los particulares y encuentren justificación racional en función del bien jurídico a proteger, es decir, que exista proporcionalidad y congruencia entre el derecho fundamental de que se trata y la razón que motive la restricción legislativa correspondiente,</w:t>
      </w:r>
      <w:r w:rsidRPr="001F7AFD">
        <w:rPr>
          <w:rFonts w:ascii="Palatino Linotype" w:eastAsia="Palatino Linotype" w:hAnsi="Palatino Linotype" w:cs="Palatino Linotype"/>
          <w:i/>
          <w:sz w:val="22"/>
        </w:rPr>
        <w:t xml:space="preserve"> la cual debe ser adecuada y necesaria para alcanzar el fin perseguido, de manera que las ventajas obtenidas con la reserva compensen el sacrificio que ésta implique para los titulares de la garantía individual mencionada o para la sociedad en general.”</w:t>
      </w:r>
    </w:p>
    <w:p w14:paraId="0406A87F" w14:textId="77777777" w:rsidR="003D3C22" w:rsidRPr="00BF67E5" w:rsidRDefault="003D3C22">
      <w:pPr>
        <w:ind w:left="1134" w:right="-929"/>
        <w:jc w:val="both"/>
        <w:rPr>
          <w:rFonts w:ascii="Palatino Linotype" w:eastAsia="Palatino Linotype" w:hAnsi="Palatino Linotype" w:cs="Palatino Linotype"/>
          <w:i/>
        </w:rPr>
      </w:pPr>
    </w:p>
    <w:p w14:paraId="0E7AB0A9"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También, el número de cuenta bancario, en el Criterio 10/17 emitido por el Pleno del Instituto Nacional de Transparencia, Acceso a la Información y Protección de Datos </w:t>
      </w:r>
      <w:proofErr w:type="gramStart"/>
      <w:r w:rsidRPr="00BF67E5">
        <w:rPr>
          <w:rFonts w:ascii="Palatino Linotype" w:eastAsia="Palatino Linotype" w:hAnsi="Palatino Linotype" w:cs="Palatino Linotype"/>
          <w:color w:val="000000"/>
        </w:rPr>
        <w:t>Personales  se</w:t>
      </w:r>
      <w:proofErr w:type="gramEnd"/>
      <w:r w:rsidRPr="00BF67E5">
        <w:rPr>
          <w:rFonts w:ascii="Palatino Linotype" w:eastAsia="Palatino Linotype" w:hAnsi="Palatino Linotype" w:cs="Palatino Linotype"/>
          <w:color w:val="000000"/>
        </w:rPr>
        <w:t xml:space="preserve"> establece lo siguiente:</w:t>
      </w:r>
    </w:p>
    <w:p w14:paraId="13D7F06E" w14:textId="77777777" w:rsidR="003D3C22" w:rsidRPr="001F7AFD" w:rsidRDefault="00BF67E5">
      <w:pPr>
        <w:shd w:val="clear" w:color="auto" w:fill="FFFFFF"/>
        <w:ind w:left="1134" w:right="851"/>
        <w:jc w:val="both"/>
        <w:rPr>
          <w:rFonts w:ascii="Palatino Linotype" w:eastAsia="Palatino Linotype" w:hAnsi="Palatino Linotype" w:cs="Palatino Linotype"/>
          <w:sz w:val="22"/>
        </w:rPr>
      </w:pPr>
      <w:r w:rsidRPr="001F7AFD">
        <w:rPr>
          <w:rFonts w:ascii="Palatino Linotype" w:eastAsia="Palatino Linotype" w:hAnsi="Palatino Linotype" w:cs="Palatino Linotype"/>
          <w:sz w:val="22"/>
        </w:rPr>
        <w:t>“</w:t>
      </w:r>
      <w:r w:rsidRPr="001F7AFD">
        <w:rPr>
          <w:rFonts w:ascii="Palatino Linotype" w:eastAsia="Palatino Linotype" w:hAnsi="Palatino Linotype" w:cs="Palatino Linotype"/>
          <w:b/>
          <w:i/>
          <w:sz w:val="22"/>
        </w:rPr>
        <w:t>Cuentas bancarias y/o CLABE interbancaria de personas físicas y morales privadas.</w:t>
      </w:r>
      <w:r w:rsidRPr="001F7AFD">
        <w:rPr>
          <w:rFonts w:ascii="Palatino Linotype" w:eastAsia="Palatino Linotype" w:hAnsi="Palatino Linotype" w:cs="Palatino Linotype"/>
          <w:i/>
          <w:sz w:val="22"/>
        </w:rPr>
        <w:t xml:space="preserve"> El número de cuenta bancaria y/o CLABE interbancaria de particulares es información confidencial, al tratarse de un conjunto de caracteres numéricos utilizados por los grupos financieros para identificar las cuentas de sus clientes, a través de los cuales se puede acceder a información relacionada con su patrimonio y realizar diversas </w:t>
      </w:r>
      <w:r w:rsidRPr="001F7AFD">
        <w:rPr>
          <w:rFonts w:ascii="Palatino Linotype" w:eastAsia="Palatino Linotype" w:hAnsi="Palatino Linotype" w:cs="Palatino Linotype"/>
          <w:i/>
          <w:sz w:val="22"/>
        </w:rPr>
        <w:lastRenderedPageBreak/>
        <w:t>transacciones; por tanto, constituye información clasificada con fundamento en los artículos 116 de la Ley General de Transparencia y Acceso a la Información Pública y 113 de la Ley Federal de Transparencia y Acceso a la Información Pública</w:t>
      </w:r>
      <w:r w:rsidRPr="001F7AFD">
        <w:rPr>
          <w:rFonts w:ascii="Palatino Linotype" w:eastAsia="Palatino Linotype" w:hAnsi="Palatino Linotype" w:cs="Palatino Linotype"/>
          <w:sz w:val="22"/>
        </w:rPr>
        <w:t>.”</w:t>
      </w:r>
    </w:p>
    <w:p w14:paraId="5E2F65CE" w14:textId="77777777" w:rsidR="003D3C22" w:rsidRPr="00BF67E5" w:rsidRDefault="003D3C22">
      <w:pPr>
        <w:ind w:left="1134" w:right="-929"/>
        <w:jc w:val="both"/>
        <w:rPr>
          <w:rFonts w:ascii="Palatino Linotype" w:eastAsia="Palatino Linotype" w:hAnsi="Palatino Linotype" w:cs="Palatino Linotype"/>
        </w:rPr>
      </w:pPr>
    </w:p>
    <w:p w14:paraId="5B61725E"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Esta cuenta es de uso personal y no guarda relación con el servicio público ni con los recursos públicos, ya que es elección del trabajador determinar si desea que su sueldo se pague de manera directa o a través de depósito bancario en la institución de crédito de su elección. De tal suerte, el número de cuenta bancario lo proporciona el servidor público al Sujeto Obligado, con el único fin de que realicen los depósitos de su sueldo, por lo que este número constituye información confidencial al pertenecer exclusivamente al ámbito de la vida privada del trabajador y procede su eliminación de conformidad con el artículo 143, fracción I de la Ley de Transparencia y Acceso a la Información Pública del Estado de México y Municipios.</w:t>
      </w:r>
    </w:p>
    <w:p w14:paraId="446D5485" w14:textId="77777777" w:rsidR="003D3C22" w:rsidRPr="00BF67E5" w:rsidRDefault="003D3C22">
      <w:pPr>
        <w:spacing w:line="360" w:lineRule="auto"/>
        <w:jc w:val="both"/>
        <w:rPr>
          <w:rFonts w:ascii="Palatino Linotype" w:eastAsia="Palatino Linotype" w:hAnsi="Palatino Linotype" w:cs="Palatino Linotype"/>
        </w:rPr>
      </w:pPr>
    </w:p>
    <w:p w14:paraId="31503A06"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El </w:t>
      </w:r>
      <w:r w:rsidRPr="00BF67E5">
        <w:rPr>
          <w:rFonts w:ascii="Palatino Linotype" w:eastAsia="Palatino Linotype" w:hAnsi="Palatino Linotype" w:cs="Palatino Linotype"/>
          <w:b/>
          <w:color w:val="000000"/>
        </w:rPr>
        <w:t>Código de barras bidimensional (QR</w:t>
      </w:r>
      <w:r w:rsidRPr="00BF67E5">
        <w:rPr>
          <w:rFonts w:ascii="Palatino Linotype" w:eastAsia="Palatino Linotype" w:hAnsi="Palatino Linotype" w:cs="Palatino Linotype"/>
          <w:color w:val="000000"/>
        </w:rPr>
        <w:t xml:space="preserve">), resulta necesario señalar que los comprobantes fiscales digitales por Internet, deben de incluir un código bidimensional conforme al formato QR </w:t>
      </w:r>
      <w:proofErr w:type="spellStart"/>
      <w:r w:rsidRPr="00BF67E5">
        <w:rPr>
          <w:rFonts w:ascii="Palatino Linotype" w:eastAsia="Palatino Linotype" w:hAnsi="Palatino Linotype" w:cs="Palatino Linotype"/>
          <w:color w:val="000000"/>
        </w:rPr>
        <w:t>Code</w:t>
      </w:r>
      <w:proofErr w:type="spellEnd"/>
      <w:r w:rsidRPr="00BF67E5">
        <w:rPr>
          <w:rFonts w:ascii="Palatino Linotype" w:eastAsia="Palatino Linotype" w:hAnsi="Palatino Linotype" w:cs="Palatino Linotype"/>
          <w:color w:val="000000"/>
        </w:rPr>
        <w:t xml:space="preserve"> (Quick Response </w:t>
      </w:r>
      <w:proofErr w:type="spellStart"/>
      <w:r w:rsidRPr="00BF67E5">
        <w:rPr>
          <w:rFonts w:ascii="Palatino Linotype" w:eastAsia="Palatino Linotype" w:hAnsi="Palatino Linotype" w:cs="Palatino Linotype"/>
          <w:color w:val="000000"/>
        </w:rPr>
        <w:t>Code</w:t>
      </w:r>
      <w:proofErr w:type="spellEnd"/>
      <w:r w:rsidRPr="00BF67E5">
        <w:rPr>
          <w:rFonts w:ascii="Palatino Linotype" w:eastAsia="Palatino Linotype" w:hAnsi="Palatino Linotype" w:cs="Palatino Linotype"/>
          <w:color w:val="000000"/>
        </w:rPr>
        <w:t xml:space="preserve">), el cual contiene el Registro Federal de Contribuyentes del receptor, del emisor, o de ambos; lo anterior, conforme al Anexo 20 de la Segunda Resolución de modificación a la Resolución Miscelánea Fiscal para el 2017, localizada en la página electrónica  </w:t>
      </w:r>
      <w:hyperlink r:id="rId13">
        <w:r w:rsidRPr="00BF67E5">
          <w:rPr>
            <w:rFonts w:ascii="Palatino Linotype" w:eastAsia="Palatino Linotype" w:hAnsi="Palatino Linotype" w:cs="Palatino Linotype"/>
            <w:color w:val="000000"/>
          </w:rPr>
          <w:t>http://dof.gob.mx/nota_detalle.php?codigo=5492254&amp;fecha=28/07/2017</w:t>
        </w:r>
      </w:hyperlink>
      <w:r w:rsidRPr="00BF67E5">
        <w:rPr>
          <w:rFonts w:ascii="Palatino Linotype" w:eastAsia="Palatino Linotype" w:hAnsi="Palatino Linotype" w:cs="Palatino Linotype"/>
          <w:color w:val="000000"/>
        </w:rPr>
        <w:t>. Incluso con la captura de dicho código, a través de la aplicación móvil del Servicio de Administración Tributaria, permite el acceso al Registro Federal de Contribuyentes, como del Sujeto Obligado, como de la persona física o moral correspondiente.</w:t>
      </w:r>
    </w:p>
    <w:p w14:paraId="6DCECB7F"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3161C6BE"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De tales circunstancias, se considera que se actualiza la causal de clasificación prevista en el artículo 143, fracción I de la Ley de la materia, toda vez que el Registro Federal de Contribuyentes corresponde a los servidores públicos, pues como se señaló en párrafos anteriores el mismo hace identificable o identificada al mismo.</w:t>
      </w:r>
    </w:p>
    <w:p w14:paraId="0F122764"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467DDBED"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Por otra parte y respecto a la clave de seguridad social y en su caso clave o número del servidor público –trabajador-, en virtud de que su divulgación no aporta a la transparencia o a la rendición de cuentas y sí provoca una transgresión a la vida privada e intimidad de la persona, esta información también resulta ser de carácter confidencial; siendo aplicable como orientador el criterio número 15/10 emitido por el entonces Instituto Federal de Transparencia y Acceso a la Información (INAI, cuyo texto y sentido literal es el siguiente:</w:t>
      </w:r>
    </w:p>
    <w:p w14:paraId="656B0091" w14:textId="77777777" w:rsidR="003D3C22" w:rsidRDefault="00BF67E5">
      <w:pPr>
        <w:shd w:val="clear" w:color="auto" w:fill="FFFFFF"/>
        <w:ind w:left="1134" w:right="851"/>
        <w:jc w:val="both"/>
        <w:rPr>
          <w:rFonts w:ascii="Palatino Linotype" w:eastAsia="Palatino Linotype" w:hAnsi="Palatino Linotype" w:cs="Palatino Linotype"/>
          <w:i/>
          <w:color w:val="222222"/>
          <w:sz w:val="22"/>
        </w:rPr>
      </w:pPr>
      <w:r w:rsidRPr="001F7AFD">
        <w:rPr>
          <w:rFonts w:ascii="Palatino Linotype" w:eastAsia="Palatino Linotype" w:hAnsi="Palatino Linotype" w:cs="Palatino Linotype"/>
          <w:b/>
          <w:i/>
          <w:color w:val="222222"/>
          <w:sz w:val="22"/>
        </w:rPr>
        <w:t>“El número de ficha de identificación única de los trabajadores es información de carácter confidencial.</w:t>
      </w:r>
      <w:r w:rsidRPr="001F7AFD">
        <w:rPr>
          <w:rFonts w:ascii="Palatino Linotype" w:eastAsia="Palatino Linotype" w:hAnsi="Palatino Linotype" w:cs="Palatino Linotype"/>
          <w:i/>
          <w:color w:val="222222"/>
          <w:sz w:val="22"/>
        </w:rPr>
        <w:t> </w:t>
      </w:r>
      <w:r w:rsidRPr="001F7AFD">
        <w:rPr>
          <w:rFonts w:ascii="Palatino Linotype" w:eastAsia="Palatino Linotype" w:hAnsi="Palatino Linotype" w:cs="Palatino Linotype"/>
          <w:i/>
          <w:color w:val="222222"/>
          <w:sz w:val="22"/>
          <w:u w:val="single"/>
        </w:rPr>
        <w:t>En los casos en que el número de trabajador o ficha de identificación única constituya un elemento por medio del cual los trabajadores puedan acceder a un sistema de datos o información de la dependencia o entidad, para hacer uso de diversos servicios, como la presentación de consultas relacionadas con su situación laboral particular</w:t>
      </w:r>
      <w:r w:rsidRPr="001F7AFD">
        <w:rPr>
          <w:rFonts w:ascii="Palatino Linotype" w:eastAsia="Palatino Linotype" w:hAnsi="Palatino Linotype" w:cs="Palatino Linotype"/>
          <w:i/>
          <w:color w:val="222222"/>
          <w:sz w:val="22"/>
        </w:rPr>
        <w:t>, </w:t>
      </w:r>
      <w:r w:rsidRPr="001F7AFD">
        <w:rPr>
          <w:rFonts w:ascii="Palatino Linotype" w:eastAsia="Palatino Linotype" w:hAnsi="Palatino Linotype" w:cs="Palatino Linotype"/>
          <w:i/>
          <w:color w:val="222222"/>
          <w:sz w:val="22"/>
          <w:u w:val="single"/>
        </w:rPr>
        <w:t>dicha información es susceptible de clasificarse con el carácter de confidencial</w:t>
      </w:r>
      <w:r w:rsidRPr="001F7AFD">
        <w:rPr>
          <w:rFonts w:ascii="Palatino Linotype" w:eastAsia="Palatino Linotype" w:hAnsi="Palatino Linotype" w:cs="Palatino Linotype"/>
          <w:i/>
          <w:color w:val="222222"/>
          <w:sz w:val="22"/>
        </w:rPr>
        <w:t>, en términos de lo establecido en el artículo 18, fracción II de la Ley Federal de Transparencia y Acceso a la Información Pública Gubernamental, en virtud de que a través de la misma es posible conocer información personal de su titular.”</w:t>
      </w:r>
    </w:p>
    <w:p w14:paraId="5501A2FA" w14:textId="77777777" w:rsidR="001F7AFD" w:rsidRPr="001F7AFD" w:rsidRDefault="001F7AFD">
      <w:pPr>
        <w:shd w:val="clear" w:color="auto" w:fill="FFFFFF"/>
        <w:ind w:left="1134" w:right="851"/>
        <w:jc w:val="both"/>
        <w:rPr>
          <w:rFonts w:ascii="Palatino Linotype" w:eastAsia="Palatino Linotype" w:hAnsi="Palatino Linotype" w:cs="Palatino Linotype"/>
          <w:i/>
          <w:color w:val="222222"/>
          <w:sz w:val="22"/>
        </w:rPr>
      </w:pPr>
    </w:p>
    <w:p w14:paraId="3AD624AA" w14:textId="77777777" w:rsidR="003D3C22" w:rsidRPr="001F7AFD" w:rsidRDefault="003D3C22">
      <w:pPr>
        <w:shd w:val="clear" w:color="auto" w:fill="FFFFFF"/>
        <w:ind w:left="1134" w:right="1106"/>
        <w:jc w:val="both"/>
        <w:rPr>
          <w:rFonts w:ascii="Palatino Linotype" w:eastAsia="Palatino Linotype" w:hAnsi="Palatino Linotype" w:cs="Palatino Linotype"/>
          <w:i/>
          <w:color w:val="222222"/>
          <w:sz w:val="22"/>
        </w:rPr>
      </w:pPr>
    </w:p>
    <w:p w14:paraId="4449716A" w14:textId="77777777" w:rsidR="003D3C22"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De lo anterior, se debe de mencionar que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deberá de realizar un análisis respecto al número de empleado, ya que este solo deberá de ser clasificado como confidencial si tiene relación con datos personales de los servidores públicos.</w:t>
      </w:r>
    </w:p>
    <w:p w14:paraId="5090B950" w14:textId="77777777" w:rsidR="001F7AFD" w:rsidRPr="00BF67E5" w:rsidRDefault="001F7AFD" w:rsidP="001F7AFD">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5B2208AE"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 xml:space="preserve">Ahora bien, también es necesario indicar que hay información dentro de los recibos de nómina que no contienen datos personales, mismos que deberá tener en cuenta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para la entrega de la información solicitada</w:t>
      </w:r>
      <w:r w:rsidRPr="00BF67E5">
        <w:rPr>
          <w:rFonts w:ascii="Palatino Linotype" w:eastAsia="Palatino Linotype" w:hAnsi="Palatino Linotype" w:cs="Palatino Linotype"/>
          <w:b/>
          <w:color w:val="000000"/>
        </w:rPr>
        <w:t xml:space="preserve">. </w:t>
      </w:r>
    </w:p>
    <w:p w14:paraId="43B3D427"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64DEA6F2"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Por cuanto hace </w:t>
      </w:r>
      <w:r w:rsidRPr="00BF67E5">
        <w:rPr>
          <w:rFonts w:ascii="Palatino Linotype" w:eastAsia="Palatino Linotype" w:hAnsi="Palatino Linotype" w:cs="Palatino Linotype"/>
          <w:b/>
          <w:color w:val="000000"/>
        </w:rPr>
        <w:t>al Folio Fiscal</w:t>
      </w:r>
      <w:r w:rsidRPr="00BF67E5">
        <w:rPr>
          <w:rFonts w:ascii="Palatino Linotype" w:eastAsia="Palatino Linotype" w:hAnsi="Palatino Linotype" w:cs="Palatino Linotype"/>
          <w:color w:val="000000"/>
        </w:rPr>
        <w:t>, cabe precisar que conforme al ANEXO 20 de la Segunda Resolución de modificaciones a la Resolución Miscelánea Fiscal para dos mil diecisiete, el folio fiscal se conforma de treinta seis caracteres alfanuméricos; además, que conforme al documento denominado “Cómo ubicar el Folio Fiscal en una factura”, el dato se ubica dentro de los datos del emisor o en el recuadro de los datos de identificación del comprobante fiscal. Es un número consecutivo contenido en los comprobantes fiscales digitales, compuesto por 5 grupos de números y letras separados por guiones, tal como se muestra a continuación:</w:t>
      </w:r>
    </w:p>
    <w:p w14:paraId="4CB77664" w14:textId="77777777" w:rsidR="003D3C22" w:rsidRDefault="00BF67E5">
      <w:pPr>
        <w:spacing w:line="360" w:lineRule="auto"/>
        <w:ind w:right="-929"/>
        <w:jc w:val="center"/>
        <w:rPr>
          <w:rFonts w:ascii="Palatino Linotype" w:eastAsia="Palatino Linotype" w:hAnsi="Palatino Linotype" w:cs="Palatino Linotype"/>
        </w:rPr>
      </w:pPr>
      <w:r w:rsidRPr="00BF67E5">
        <w:rPr>
          <w:rFonts w:ascii="Palatino Linotype" w:eastAsia="Palatino Linotype" w:hAnsi="Palatino Linotype" w:cs="Palatino Linotype"/>
          <w:noProof/>
          <w:lang w:val="es-MX" w:eastAsia="es-MX"/>
        </w:rPr>
        <w:drawing>
          <wp:inline distT="0" distB="0" distL="0" distR="0" wp14:anchorId="0E70115D" wp14:editId="7C56E17E">
            <wp:extent cx="3937500" cy="998240"/>
            <wp:effectExtent l="0" t="0" r="0" b="0"/>
            <wp:docPr id="8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4"/>
                    <a:srcRect b="32787"/>
                    <a:stretch>
                      <a:fillRect/>
                    </a:stretch>
                  </pic:blipFill>
                  <pic:spPr>
                    <a:xfrm>
                      <a:off x="0" y="0"/>
                      <a:ext cx="3937500" cy="998240"/>
                    </a:xfrm>
                    <a:prstGeom prst="rect">
                      <a:avLst/>
                    </a:prstGeom>
                    <a:ln/>
                  </pic:spPr>
                </pic:pic>
              </a:graphicData>
            </a:graphic>
          </wp:inline>
        </w:drawing>
      </w:r>
    </w:p>
    <w:p w14:paraId="3545CA6C" w14:textId="77777777" w:rsidR="001F7AFD" w:rsidRPr="00BF67E5" w:rsidRDefault="001F7AFD">
      <w:pPr>
        <w:spacing w:line="360" w:lineRule="auto"/>
        <w:ind w:right="-929"/>
        <w:jc w:val="center"/>
        <w:rPr>
          <w:rFonts w:ascii="Palatino Linotype" w:eastAsia="Palatino Linotype" w:hAnsi="Palatino Linotype" w:cs="Palatino Linotype"/>
        </w:rPr>
      </w:pPr>
    </w:p>
    <w:p w14:paraId="517360E2"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En ese contexto, el folio fiscal, no contiene datos personales del emisor y tampoco se puede obtener información confidencial con el mismo, pues solamente es un identificador del emisor, del cual su transparencia ayuda a legitimar que el documento cumple con todos los requisitos establecidos en la normatividad aplicable, sin necesidad de algún dato personal, por lo que, no se actualiza la clasificación, en términos del artículo 143, fracción I de la Ley de la materia.</w:t>
      </w:r>
    </w:p>
    <w:p w14:paraId="52589B29" w14:textId="77777777" w:rsidR="003D3C22" w:rsidRPr="00BF67E5" w:rsidRDefault="003D3C22">
      <w:pPr>
        <w:tabs>
          <w:tab w:val="left" w:pos="284"/>
        </w:tabs>
        <w:spacing w:line="360" w:lineRule="auto"/>
        <w:jc w:val="both"/>
        <w:rPr>
          <w:rFonts w:ascii="Palatino Linotype" w:eastAsia="Palatino Linotype" w:hAnsi="Palatino Linotype" w:cs="Palatino Linotype"/>
        </w:rPr>
      </w:pPr>
    </w:p>
    <w:p w14:paraId="2C4564AA"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lastRenderedPageBreak/>
        <w:t xml:space="preserve">En esa línea de estudio, las cadenas originales y sellos que se agregan a las facturas, tienen una secuencia de generación, determinados con base en el ANEXO 20 de la Segunda Resolución de modificaciones a la Resolución Miscelánea Fiscal para dos </w:t>
      </w:r>
      <w:proofErr w:type="gramStart"/>
      <w:r w:rsidRPr="00BF67E5">
        <w:rPr>
          <w:rFonts w:ascii="Palatino Linotype" w:eastAsia="Palatino Linotype" w:hAnsi="Palatino Linotype" w:cs="Palatino Linotype"/>
          <w:color w:val="000000"/>
        </w:rPr>
        <w:t>mil  diecisiete</w:t>
      </w:r>
      <w:proofErr w:type="gramEnd"/>
      <w:r w:rsidRPr="00BF67E5">
        <w:rPr>
          <w:rFonts w:ascii="Palatino Linotype" w:eastAsia="Palatino Linotype" w:hAnsi="Palatino Linotype" w:cs="Palatino Linotype"/>
          <w:color w:val="000000"/>
        </w:rPr>
        <w:t>, publicada en el Diario Oficial de la Federación el dieciocho de julio de dos mil diecisiete, que precisa los datos de los que se componen los elementos de seguridad y se puntualiza que dicha información está encriptada.</w:t>
      </w:r>
    </w:p>
    <w:p w14:paraId="7D338F64"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“Elementos utilizados en la generación de Sellos Digitales:</w:t>
      </w:r>
    </w:p>
    <w:p w14:paraId="3E10F407"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i/>
          <w:sz w:val="22"/>
        </w:rPr>
        <w:tab/>
        <w:t>Cadena Original, el elemento a sellar, en este caso de un comprobante fiscal digital a través de Internet.</w:t>
      </w:r>
    </w:p>
    <w:p w14:paraId="2B6E7E65"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i/>
          <w:sz w:val="22"/>
        </w:rPr>
        <w:tab/>
        <w:t>Certificado de Sello Digital y su correspondiente clave privada.</w:t>
      </w:r>
    </w:p>
    <w:p w14:paraId="48F3B7F7"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i/>
          <w:sz w:val="22"/>
        </w:rPr>
        <w:tab/>
        <w:t>Algoritmos de criptografía de clave pública para firma electrónica avanzada.</w:t>
      </w:r>
    </w:p>
    <w:p w14:paraId="48E55F50"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w:t>
      </w:r>
      <w:r w:rsidRPr="001F7AFD">
        <w:rPr>
          <w:rFonts w:ascii="Palatino Linotype" w:eastAsia="Palatino Linotype" w:hAnsi="Palatino Linotype" w:cs="Palatino Linotype"/>
          <w:i/>
          <w:sz w:val="22"/>
        </w:rPr>
        <w:tab/>
        <w:t>Especificaciones de conversión de la firma electrónica avanzada a Base 64.</w:t>
      </w:r>
    </w:p>
    <w:p w14:paraId="22865F13"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Para la generación de sellos digitales se utiliza criptografía de clave pública aplicada a una cadena original.</w:t>
      </w:r>
    </w:p>
    <w:p w14:paraId="17FA1BAB"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Criptografía de la Clave Pública</w:t>
      </w:r>
    </w:p>
    <w:p w14:paraId="710438B3" w14:textId="77777777" w:rsidR="003D3C22" w:rsidRPr="001F7AFD" w:rsidRDefault="00BF67E5">
      <w:pPr>
        <w:ind w:left="1134" w:right="851"/>
        <w:jc w:val="both"/>
        <w:rPr>
          <w:rFonts w:ascii="Palatino Linotype" w:eastAsia="Palatino Linotype" w:hAnsi="Palatino Linotype" w:cs="Palatino Linotype"/>
          <w:i/>
          <w:sz w:val="22"/>
        </w:rPr>
      </w:pPr>
      <w:r w:rsidRPr="001F7AFD">
        <w:rPr>
          <w:rFonts w:ascii="Palatino Linotype" w:eastAsia="Palatino Linotype" w:hAnsi="Palatino Linotype" w:cs="Palatino Linotype"/>
          <w:i/>
          <w:sz w:val="22"/>
        </w:rPr>
        <w:t xml:space="preserve">La criptografía de Clave Pública se basa en la generación de una pareja de números muy grandes relacionados íntimamente entre sí, de tal manera que una operación de </w:t>
      </w:r>
      <w:proofErr w:type="spellStart"/>
      <w:r w:rsidRPr="001F7AFD">
        <w:rPr>
          <w:rFonts w:ascii="Palatino Linotype" w:eastAsia="Palatino Linotype" w:hAnsi="Palatino Linotype" w:cs="Palatino Linotype"/>
          <w:i/>
          <w:sz w:val="22"/>
        </w:rPr>
        <w:t>encripción</w:t>
      </w:r>
      <w:proofErr w:type="spellEnd"/>
      <w:r w:rsidRPr="001F7AFD">
        <w:rPr>
          <w:rFonts w:ascii="Palatino Linotype" w:eastAsia="Palatino Linotype" w:hAnsi="Palatino Linotype" w:cs="Palatino Linotype"/>
          <w:i/>
          <w:sz w:val="22"/>
        </w:rPr>
        <w:t xml:space="preserve"> sobre un mensaje tomando como clave de </w:t>
      </w:r>
      <w:proofErr w:type="spellStart"/>
      <w:r w:rsidRPr="001F7AFD">
        <w:rPr>
          <w:rFonts w:ascii="Palatino Linotype" w:eastAsia="Palatino Linotype" w:hAnsi="Palatino Linotype" w:cs="Palatino Linotype"/>
          <w:i/>
          <w:sz w:val="22"/>
        </w:rPr>
        <w:t>encripción</w:t>
      </w:r>
      <w:proofErr w:type="spellEnd"/>
      <w:r w:rsidRPr="001F7AFD">
        <w:rPr>
          <w:rFonts w:ascii="Palatino Linotype" w:eastAsia="Palatino Linotype" w:hAnsi="Palatino Linotype" w:cs="Palatino Linotype"/>
          <w:i/>
          <w:sz w:val="22"/>
        </w:rPr>
        <w:t xml:space="preserve"> a uno de los dos números, produce un mensaje alterado en su significado que solo puede ser devuelto a su estado original mediante la operación de </w:t>
      </w:r>
      <w:proofErr w:type="spellStart"/>
      <w:r w:rsidRPr="001F7AFD">
        <w:rPr>
          <w:rFonts w:ascii="Palatino Linotype" w:eastAsia="Palatino Linotype" w:hAnsi="Palatino Linotype" w:cs="Palatino Linotype"/>
          <w:i/>
          <w:sz w:val="22"/>
        </w:rPr>
        <w:t>desencripción</w:t>
      </w:r>
      <w:proofErr w:type="spellEnd"/>
      <w:r w:rsidRPr="001F7AFD">
        <w:rPr>
          <w:rFonts w:ascii="Palatino Linotype" w:eastAsia="Palatino Linotype" w:hAnsi="Palatino Linotype" w:cs="Palatino Linotype"/>
          <w:i/>
          <w:sz w:val="22"/>
        </w:rPr>
        <w:t xml:space="preserve"> correspondiente tomando como clave de </w:t>
      </w:r>
      <w:proofErr w:type="spellStart"/>
      <w:r w:rsidRPr="001F7AFD">
        <w:rPr>
          <w:rFonts w:ascii="Palatino Linotype" w:eastAsia="Palatino Linotype" w:hAnsi="Palatino Linotype" w:cs="Palatino Linotype"/>
          <w:i/>
          <w:sz w:val="22"/>
        </w:rPr>
        <w:t>desencripción</w:t>
      </w:r>
      <w:proofErr w:type="spellEnd"/>
      <w:r w:rsidRPr="001F7AFD">
        <w:rPr>
          <w:rFonts w:ascii="Palatino Linotype" w:eastAsia="Palatino Linotype" w:hAnsi="Palatino Linotype" w:cs="Palatino Linotype"/>
          <w:i/>
          <w:sz w:val="22"/>
        </w:rPr>
        <w:t xml:space="preserve"> al otro número de la pareja.”</w:t>
      </w:r>
    </w:p>
    <w:p w14:paraId="4A00131A" w14:textId="77777777" w:rsidR="003D3C22" w:rsidRPr="00BF67E5" w:rsidRDefault="003D3C22">
      <w:pPr>
        <w:ind w:right="-929"/>
        <w:jc w:val="both"/>
        <w:rPr>
          <w:rFonts w:ascii="Palatino Linotype" w:eastAsia="Palatino Linotype" w:hAnsi="Palatino Linotype" w:cs="Palatino Linotype"/>
          <w:i/>
        </w:rPr>
      </w:pPr>
    </w:p>
    <w:p w14:paraId="7FE9B1D2"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Es decir, por sí solos las cadenas originales y los sellos originales no contienen datos personales confidenciales, por lo que se considera que </w:t>
      </w:r>
      <w:r w:rsidRPr="00BF67E5">
        <w:rPr>
          <w:rFonts w:ascii="Palatino Linotype" w:eastAsia="Palatino Linotype" w:hAnsi="Palatino Linotype" w:cs="Palatino Linotype"/>
          <w:b/>
          <w:color w:val="000000"/>
        </w:rPr>
        <w:t>no actualizan el supuesto de confidencialidad previsto en el artículo 143, fracción I</w:t>
      </w:r>
      <w:r w:rsidRPr="00BF67E5">
        <w:rPr>
          <w:rFonts w:ascii="Palatino Linotype" w:eastAsia="Palatino Linotype" w:hAnsi="Palatino Linotype" w:cs="Palatino Linotype"/>
          <w:color w:val="000000"/>
        </w:rPr>
        <w:t>, de la Ley de Transparencia y Acceso a la Información Pública del Estado de México y Municipios y, por el contrario, son información que permite corroborar la legitimidad de la factura, de ser el caso, por lo que guardan el carácter de público.</w:t>
      </w:r>
    </w:p>
    <w:p w14:paraId="4357BC46" w14:textId="77777777" w:rsidR="003D3C22" w:rsidRPr="00BF67E5" w:rsidRDefault="003D3C22">
      <w:pPr>
        <w:spacing w:line="360" w:lineRule="auto"/>
        <w:ind w:right="-929"/>
        <w:jc w:val="both"/>
        <w:rPr>
          <w:rFonts w:ascii="Palatino Linotype" w:eastAsia="Palatino Linotype" w:hAnsi="Palatino Linotype" w:cs="Palatino Linotype"/>
          <w:b/>
        </w:rPr>
      </w:pPr>
    </w:p>
    <w:p w14:paraId="17DEB45B"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Por otra parte, por lo que hace al </w:t>
      </w:r>
      <w:r w:rsidRPr="00BF67E5">
        <w:rPr>
          <w:rFonts w:ascii="Palatino Linotype" w:eastAsia="Palatino Linotype" w:hAnsi="Palatino Linotype" w:cs="Palatino Linotype"/>
          <w:b/>
          <w:color w:val="000000"/>
        </w:rPr>
        <w:t>número de serie de los certificados de Sello Digitales del emisor y del Servicio de Administración Tributaria</w:t>
      </w:r>
      <w:r w:rsidRPr="00BF67E5">
        <w:rPr>
          <w:rFonts w:ascii="Palatino Linotype" w:eastAsia="Palatino Linotype" w:hAnsi="Palatino Linotype" w:cs="Palatino Linotype"/>
          <w:color w:val="000000"/>
        </w:rPr>
        <w:t xml:space="preserve">, el ANEXO 20 de la </w:t>
      </w:r>
      <w:r w:rsidRPr="00BF67E5">
        <w:rPr>
          <w:rFonts w:ascii="Palatino Linotype" w:eastAsia="Palatino Linotype" w:hAnsi="Palatino Linotype" w:cs="Palatino Linotype"/>
          <w:color w:val="000000"/>
        </w:rPr>
        <w:lastRenderedPageBreak/>
        <w:t xml:space="preserve">Segunda Resolución de modificaciones a la Resolución Miscelánea Fiscal para dos mil  diecisiete, precisa que dichos datos se conforman por veinte caracteres numéricos; dicha situación se robustece con el ejemplo localizado en el documento denominado “Cómo ubicar el Folio Fiscal en una factura”, emitido por el Instituto Nacional electoral (consultado el veinticinco de junio de dos mil diecinueve, a las dieciséis horas con diez minutos, en la página electrónica </w:t>
      </w:r>
      <w:hyperlink r:id="rId15">
        <w:r w:rsidRPr="00BF67E5">
          <w:rPr>
            <w:rFonts w:ascii="Palatino Linotype" w:eastAsia="Palatino Linotype" w:hAnsi="Palatino Linotype" w:cs="Palatino Linotype"/>
            <w:color w:val="000000"/>
          </w:rPr>
          <w:t>https://portalanterior.ine.mx/archivos2/tutoriales/sistemas/ApoyoInstitucional/SIF/docs/candidatos/folioFiscalFactura.pdf</w:t>
        </w:r>
      </w:hyperlink>
      <w:r w:rsidRPr="00BF67E5">
        <w:rPr>
          <w:rFonts w:ascii="Palatino Linotype" w:eastAsia="Palatino Linotype" w:hAnsi="Palatino Linotype" w:cs="Palatino Linotype"/>
          <w:color w:val="000000"/>
        </w:rPr>
        <w:t>), en la cual se advierte que únicamente se encuentra conformado por números, se muestra a continuación:</w:t>
      </w:r>
    </w:p>
    <w:p w14:paraId="55B9C240" w14:textId="77777777" w:rsidR="003D3C22" w:rsidRPr="00BF67E5" w:rsidRDefault="00BF67E5">
      <w:pPr>
        <w:spacing w:line="360" w:lineRule="auto"/>
        <w:ind w:right="-929"/>
        <w:jc w:val="center"/>
        <w:rPr>
          <w:rFonts w:ascii="Palatino Linotype" w:eastAsia="Palatino Linotype" w:hAnsi="Palatino Linotype" w:cs="Palatino Linotype"/>
        </w:rPr>
      </w:pPr>
      <w:r w:rsidRPr="00BF67E5">
        <w:rPr>
          <w:rFonts w:ascii="Palatino Linotype" w:eastAsia="Palatino Linotype" w:hAnsi="Palatino Linotype" w:cs="Palatino Linotype"/>
          <w:noProof/>
          <w:lang w:val="es-MX" w:eastAsia="es-MX"/>
        </w:rPr>
        <w:drawing>
          <wp:inline distT="0" distB="0" distL="0" distR="0" wp14:anchorId="2C158E45" wp14:editId="51FFAB55">
            <wp:extent cx="4798864" cy="896339"/>
            <wp:effectExtent l="0" t="0" r="0" b="0"/>
            <wp:docPr id="79"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6"/>
                    <a:srcRect/>
                    <a:stretch>
                      <a:fillRect/>
                    </a:stretch>
                  </pic:blipFill>
                  <pic:spPr>
                    <a:xfrm>
                      <a:off x="0" y="0"/>
                      <a:ext cx="4798864" cy="896339"/>
                    </a:xfrm>
                    <a:prstGeom prst="rect">
                      <a:avLst/>
                    </a:prstGeom>
                    <a:ln/>
                  </pic:spPr>
                </pic:pic>
              </a:graphicData>
            </a:graphic>
          </wp:inline>
        </w:drawing>
      </w:r>
      <w:r w:rsidRPr="00BF67E5">
        <w:rPr>
          <w:noProof/>
          <w:lang w:val="es-MX" w:eastAsia="es-MX"/>
        </w:rPr>
        <mc:AlternateContent>
          <mc:Choice Requires="wps">
            <w:drawing>
              <wp:anchor distT="0" distB="0" distL="114300" distR="114300" simplePos="0" relativeHeight="251659264" behindDoc="0" locked="0" layoutInCell="1" hidden="0" allowOverlap="1" wp14:anchorId="585CB38B" wp14:editId="7760C943">
                <wp:simplePos x="0" y="0"/>
                <wp:positionH relativeFrom="column">
                  <wp:posOffset>711200</wp:posOffset>
                </wp:positionH>
                <wp:positionV relativeFrom="paragraph">
                  <wp:posOffset>723900</wp:posOffset>
                </wp:positionV>
                <wp:extent cx="3085674" cy="342464"/>
                <wp:effectExtent l="0" t="0" r="0" b="0"/>
                <wp:wrapNone/>
                <wp:docPr id="72" name="Rectángulo 72"/>
                <wp:cNvGraphicFramePr/>
                <a:graphic xmlns:a="http://schemas.openxmlformats.org/drawingml/2006/main">
                  <a:graphicData uri="http://schemas.microsoft.com/office/word/2010/wordprocessingShape">
                    <wps:wsp>
                      <wps:cNvSpPr/>
                      <wps:spPr>
                        <a:xfrm>
                          <a:off x="3817451" y="3623056"/>
                          <a:ext cx="3057099" cy="313889"/>
                        </a:xfrm>
                        <a:prstGeom prst="rect">
                          <a:avLst/>
                        </a:prstGeom>
                        <a:noFill/>
                        <a:ln w="28575" cap="flat" cmpd="sng">
                          <a:solidFill>
                            <a:srgbClr val="000000"/>
                          </a:solidFill>
                          <a:prstDash val="solid"/>
                          <a:miter lim="800000"/>
                          <a:headEnd type="none" w="sm" len="sm"/>
                          <a:tailEnd type="none" w="sm" len="sm"/>
                        </a:ln>
                      </wps:spPr>
                      <wps:txbx>
                        <w:txbxContent>
                          <w:p w14:paraId="7614AFF2" w14:textId="77777777" w:rsidR="00BF67E5" w:rsidRDefault="00BF67E5">
                            <w:pPr>
                              <w:textDirection w:val="btLr"/>
                            </w:pPr>
                          </w:p>
                        </w:txbxContent>
                      </wps:txbx>
                      <wps:bodyPr spcFirstLastPara="1" wrap="square" lIns="91425" tIns="91425" rIns="91425" bIns="91425" anchor="ctr" anchorCtr="0">
                        <a:noAutofit/>
                      </wps:bodyPr>
                    </wps:wsp>
                  </a:graphicData>
                </a:graphic>
              </wp:anchor>
            </w:drawing>
          </mc:Choice>
          <mc:Fallback>
            <w:pict>
              <v:rect id="Rectángulo 72" o:spid="_x0000_s1026" style="position:absolute;left:0;text-align:left;margin-left:56pt;margin-top:57pt;width:242.95pt;height:26.9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" filled="f" strokeweight="2.25pt">
                <v:stroke startarrowwidth="narrow" startarrowlength="short" endarrowwidth="narrow" endarrowlength="short"/>
                <v:textbox inset="2.53958mm,2.53958mm,2.53958mm,2.53958mm">
                  <w:txbxContent>
                    <w:p w:rsidR="00BF67E5" w:rsidRDefault="00BF67E5">
                      <w:pPr>
                        <w:textDirection w:val="btLr"/>
                      </w:pPr>
                    </w:p>
                  </w:txbxContent>
                </v:textbox>
              </v:rect>
            </w:pict>
          </mc:Fallback>
        </mc:AlternateContent>
      </w:r>
    </w:p>
    <w:p w14:paraId="525DFE1F"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Cómo se logra observar, los números de serie del certificado de sello digital no contiene datos personales y con dichos dígitos tampoco se puede obtener información de carácter confidencial, por lo que, tampoco actualizan la causal de clasificación, establecida en el artículo 143, fracción I, de la Ley de Transparencia y Acceso a la Información Pública del Estado de México y Municipios. Máxime que permite corroborar la legitimidad a la factura, pues amparan la utilización de los certificados de sellos digitales válidos.</w:t>
      </w:r>
    </w:p>
    <w:p w14:paraId="7AEAC22D" w14:textId="77777777" w:rsidR="003D3C22" w:rsidRPr="00BF67E5" w:rsidRDefault="003D3C22">
      <w:pPr>
        <w:spacing w:line="360" w:lineRule="auto"/>
        <w:ind w:right="49"/>
        <w:jc w:val="both"/>
        <w:rPr>
          <w:rFonts w:ascii="Palatino Linotype" w:eastAsia="Palatino Linotype" w:hAnsi="Palatino Linotype" w:cs="Palatino Linotype"/>
        </w:rPr>
      </w:pPr>
    </w:p>
    <w:p w14:paraId="1B282D2A"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Por otro lado, se debe de mencionar que toda vez que solicita información de todo el personal </w:t>
      </w:r>
      <w:proofErr w:type="gramStart"/>
      <w:r w:rsidRPr="00BF67E5">
        <w:rPr>
          <w:rFonts w:ascii="Palatino Linotype" w:eastAsia="Palatino Linotype" w:hAnsi="Palatino Linotype" w:cs="Palatino Linotype"/>
          <w:color w:val="000000"/>
        </w:rPr>
        <w:t>que  integra</w:t>
      </w:r>
      <w:proofErr w:type="gramEnd"/>
      <w:r w:rsidRPr="00BF67E5">
        <w:rPr>
          <w:rFonts w:ascii="Palatino Linotype" w:eastAsia="Palatino Linotype" w:hAnsi="Palatino Linotype" w:cs="Palatino Linotype"/>
          <w:color w:val="000000"/>
        </w:rPr>
        <w:t xml:space="preserve"> al Ayuntamiento de Tenancingo, es que se debe de analizar que dentro de la estructura del personal se encuentran adscritos personas que tienen funciones operativas en materia de seguridad, situación por la cual se hace la siguiente precisión.  </w:t>
      </w:r>
    </w:p>
    <w:p w14:paraId="6F595EA0"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52900D12" w14:textId="77777777" w:rsidR="003D3C22" w:rsidRPr="00BF67E5" w:rsidRDefault="00BF67E5">
      <w:pPr>
        <w:numPr>
          <w:ilvl w:val="0"/>
          <w:numId w:val="5"/>
        </w:numPr>
        <w:pBdr>
          <w:top w:val="nil"/>
          <w:left w:val="nil"/>
          <w:bottom w:val="nil"/>
          <w:right w:val="nil"/>
          <w:between w:val="nil"/>
        </w:pBdr>
        <w:spacing w:line="360" w:lineRule="auto"/>
        <w:ind w:left="0" w:firstLine="0"/>
        <w:jc w:val="both"/>
      </w:pPr>
      <w:r w:rsidRPr="00BF67E5">
        <w:rPr>
          <w:rFonts w:ascii="Palatino Linotype" w:eastAsia="Palatino Linotype" w:hAnsi="Palatino Linotype" w:cs="Palatino Linotype"/>
          <w:color w:val="000000"/>
        </w:rPr>
        <w:lastRenderedPageBreak/>
        <w:t xml:space="preserve">En esa línea, es necesario precisar que de la información solicitada por el </w:t>
      </w:r>
      <w:r w:rsidRPr="00BF67E5">
        <w:rPr>
          <w:rFonts w:ascii="Palatino Linotype" w:eastAsia="Palatino Linotype" w:hAnsi="Palatino Linotype" w:cs="Palatino Linotype"/>
          <w:b/>
          <w:color w:val="000000"/>
        </w:rPr>
        <w:t xml:space="preserve">RECURRENTE </w:t>
      </w:r>
      <w:r w:rsidRPr="00BF67E5">
        <w:rPr>
          <w:rFonts w:ascii="Palatino Linotype" w:eastAsia="Palatino Linotype" w:hAnsi="Palatino Linotype" w:cs="Palatino Linotype"/>
          <w:color w:val="000000"/>
        </w:rPr>
        <w:t xml:space="preserve">se puede derivar la entrega de información del personal que este adscrito al área de seguridad pública, por lo que este tipo de información deberá ser manejada por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xml:space="preserve"> con el </w:t>
      </w:r>
      <w:r w:rsidRPr="00BF67E5">
        <w:rPr>
          <w:rFonts w:ascii="Palatino Linotype" w:eastAsia="Palatino Linotype" w:hAnsi="Palatino Linotype" w:cs="Palatino Linotype"/>
          <w:b/>
          <w:color w:val="000000"/>
        </w:rPr>
        <w:t>carácter de reservado</w:t>
      </w:r>
      <w:r w:rsidRPr="00BF67E5">
        <w:rPr>
          <w:rFonts w:ascii="Palatino Linotype" w:eastAsia="Palatino Linotype" w:hAnsi="Palatino Linotype" w:cs="Palatino Linotype"/>
          <w:color w:val="000000"/>
        </w:rPr>
        <w:t>, ya que los elementos operativos se dedican a combatir de manera directa a los delincuentes en el municipio, así como a prevenir la actividad delictiva.</w:t>
      </w:r>
    </w:p>
    <w:p w14:paraId="7B524992" w14:textId="77777777" w:rsidR="003D3C22" w:rsidRPr="00BF67E5" w:rsidRDefault="003D3C22">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14:paraId="1EDD64AC" w14:textId="77777777" w:rsidR="003D3C22" w:rsidRPr="00BF67E5" w:rsidRDefault="00BF67E5">
      <w:pPr>
        <w:numPr>
          <w:ilvl w:val="0"/>
          <w:numId w:val="5"/>
        </w:numPr>
        <w:pBdr>
          <w:top w:val="nil"/>
          <w:left w:val="nil"/>
          <w:bottom w:val="nil"/>
          <w:right w:val="nil"/>
          <w:between w:val="nil"/>
        </w:pBdr>
        <w:spacing w:line="360" w:lineRule="auto"/>
        <w:ind w:left="0" w:firstLine="0"/>
        <w:jc w:val="both"/>
      </w:pPr>
      <w:r w:rsidRPr="00BF67E5">
        <w:rPr>
          <w:rFonts w:ascii="Palatino Linotype" w:eastAsia="Palatino Linotype" w:hAnsi="Palatino Linotype" w:cs="Palatino Linotype"/>
          <w:color w:val="000000"/>
        </w:rPr>
        <w:t>En ese orden de ideas si bien por regla general los nombres de los trabajadores gubernamentales son información pública de oficio, existe una excepción relativa a aquellos que realicen actividades operativas en materia de seguridad, como es el caso de los elementos operativos y la policía municipal.</w:t>
      </w:r>
    </w:p>
    <w:p w14:paraId="2E6BCD10" w14:textId="77777777" w:rsidR="003D3C22" w:rsidRPr="00BF67E5" w:rsidRDefault="003D3C22">
      <w:pPr>
        <w:pBdr>
          <w:top w:val="nil"/>
          <w:left w:val="nil"/>
          <w:bottom w:val="nil"/>
          <w:right w:val="nil"/>
          <w:between w:val="nil"/>
        </w:pBdr>
        <w:ind w:left="708" w:right="-787"/>
        <w:rPr>
          <w:rFonts w:ascii="Palatino Linotype" w:eastAsia="Palatino Linotype" w:hAnsi="Palatino Linotype" w:cs="Palatino Linotype"/>
          <w:color w:val="000000"/>
        </w:rPr>
      </w:pPr>
    </w:p>
    <w:p w14:paraId="78A6A996" w14:textId="77777777" w:rsidR="003D3C22" w:rsidRPr="00BF67E5" w:rsidRDefault="00BF67E5">
      <w:pPr>
        <w:numPr>
          <w:ilvl w:val="0"/>
          <w:numId w:val="5"/>
        </w:numPr>
        <w:pBdr>
          <w:top w:val="nil"/>
          <w:left w:val="nil"/>
          <w:bottom w:val="nil"/>
          <w:right w:val="nil"/>
          <w:between w:val="nil"/>
        </w:pBdr>
        <w:spacing w:line="360" w:lineRule="auto"/>
        <w:ind w:left="0" w:firstLine="0"/>
        <w:jc w:val="both"/>
      </w:pPr>
      <w:r w:rsidRPr="00BF67E5">
        <w:rPr>
          <w:rFonts w:ascii="Palatino Linotype" w:eastAsia="Palatino Linotype" w:hAnsi="Palatino Linotype" w:cs="Palatino Linotype"/>
          <w:color w:val="000000"/>
        </w:rPr>
        <w:t>Por lo que dar a conocer el nombre de las personas, que son elementos operativos o policías municipales, los vuelve identificables y posiblemente reconocibles para grupos delictivos, puesto que pueden relacionarlos directamente con actividades u operativos pasados, presentes, o ubicarlos simplemente por el hecho de pertenecer o haber sido parte de una organización que lleve a cabo actividades de prevención y salvaguarda de la integridad de las personas en el combate a la delincuencia; además, dicha información puede ser utilizada para vulnerar su vida, seguridad o salud, incluso la de sus familias o entorno social, al aumentar el riesgo de que personas ajenas a los intereses institucionales que persigue dicha área, intenten realizar actos tendientes a inhibir o entrometerse en las funciones de los policías municipales, lo cual causaría una vulneración a la seguridad municipal.</w:t>
      </w:r>
    </w:p>
    <w:p w14:paraId="2CC4EA56" w14:textId="77777777" w:rsidR="003D3C22" w:rsidRPr="00BF67E5" w:rsidRDefault="003D3C22">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14:paraId="195EAF0D" w14:textId="77777777" w:rsidR="003D3C22" w:rsidRPr="00BF67E5" w:rsidRDefault="00BF67E5">
      <w:pPr>
        <w:numPr>
          <w:ilvl w:val="0"/>
          <w:numId w:val="5"/>
        </w:numPr>
        <w:pBdr>
          <w:top w:val="nil"/>
          <w:left w:val="nil"/>
          <w:bottom w:val="nil"/>
          <w:right w:val="nil"/>
          <w:between w:val="nil"/>
        </w:pBdr>
        <w:spacing w:line="360" w:lineRule="auto"/>
        <w:ind w:left="0" w:firstLine="0"/>
        <w:jc w:val="both"/>
      </w:pPr>
      <w:r w:rsidRPr="00BF67E5">
        <w:rPr>
          <w:rFonts w:ascii="Palatino Linotype" w:eastAsia="Palatino Linotype" w:hAnsi="Palatino Linotype" w:cs="Palatino Linotype"/>
          <w:color w:val="000000"/>
        </w:rPr>
        <w:lastRenderedPageBreak/>
        <w:t>De tal situación, se considera que dar a conocer el nombre de los elementos operativos, que incluye a los policías municipales, puede poner en riesgo la vida, seguridad y salud de estos, de sus familias e incluso su entorno social, pues al hacerlos identificables, los hacen blancos de los agentes delincuenciales o inclusive a la delincuencia organizada, los cuales podrían amenazar o causarles algún daño, con el fin de entorpecer o disminuir la seguridad pública y aumentar la comisión de actos ilícitos.</w:t>
      </w:r>
    </w:p>
    <w:p w14:paraId="606E35FA" w14:textId="77777777" w:rsidR="003D3C22" w:rsidRPr="00BF67E5" w:rsidRDefault="003D3C22">
      <w:pPr>
        <w:pBdr>
          <w:top w:val="nil"/>
          <w:left w:val="nil"/>
          <w:bottom w:val="nil"/>
          <w:right w:val="nil"/>
          <w:between w:val="nil"/>
        </w:pBdr>
        <w:spacing w:line="360" w:lineRule="auto"/>
        <w:ind w:right="-787"/>
        <w:jc w:val="both"/>
        <w:rPr>
          <w:rFonts w:ascii="Palatino Linotype" w:eastAsia="Palatino Linotype" w:hAnsi="Palatino Linotype" w:cs="Palatino Linotype"/>
          <w:color w:val="000000"/>
        </w:rPr>
      </w:pPr>
    </w:p>
    <w:p w14:paraId="7F1990C2" w14:textId="77777777" w:rsidR="003D3C22" w:rsidRPr="00BF67E5" w:rsidRDefault="00BF67E5">
      <w:pPr>
        <w:numPr>
          <w:ilvl w:val="0"/>
          <w:numId w:val="5"/>
        </w:numPr>
        <w:pBdr>
          <w:top w:val="nil"/>
          <w:left w:val="nil"/>
          <w:bottom w:val="nil"/>
          <w:right w:val="nil"/>
          <w:between w:val="nil"/>
        </w:pBdr>
        <w:spacing w:line="360" w:lineRule="auto"/>
        <w:ind w:left="0" w:firstLine="0"/>
        <w:jc w:val="both"/>
      </w:pPr>
      <w:r w:rsidRPr="00BF67E5">
        <w:rPr>
          <w:rFonts w:ascii="Palatino Linotype" w:eastAsia="Palatino Linotype" w:hAnsi="Palatino Linotype" w:cs="Palatino Linotype"/>
          <w:color w:val="000000"/>
        </w:rPr>
        <w:t>Por tales consideraciones, resulta procedente la clasificación como reservados del nombre de los elementos operativos de la Dirección de Seguridad Pública, en términos del artículo 140, fracción IV, de la Ley de Transparencia y Acceso a la Información Pública del Estado de México y Municipios.</w:t>
      </w:r>
    </w:p>
    <w:p w14:paraId="12D3539F"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503BB907"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ese sentido, el </w:t>
      </w:r>
      <w:r w:rsidRPr="00BF67E5">
        <w:rPr>
          <w:rFonts w:ascii="Palatino Linotype" w:eastAsia="Palatino Linotype" w:hAnsi="Palatino Linotype" w:cs="Palatino Linotype"/>
          <w:b/>
          <w:color w:val="000000"/>
        </w:rPr>
        <w:t>SUJETO OBLIGADO</w:t>
      </w:r>
      <w:r w:rsidRPr="00BF67E5">
        <w:rPr>
          <w:rFonts w:ascii="Palatino Linotype" w:eastAsia="Palatino Linotype" w:hAnsi="Palatino Linotype" w:cs="Palatino Linotype"/>
          <w:color w:val="000000"/>
        </w:rPr>
        <w:t xml:space="preserve"> deberá de emitir el Acuerdo del Comité de Transparencia, mediante el cual de manera fundada y motivada establezca las razones por las cuales se clasifican como confidenciales los datos expuestos con anterioridad. </w:t>
      </w:r>
    </w:p>
    <w:p w14:paraId="1E361936"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1C71F407"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proofErr w:type="gramStart"/>
      <w:r w:rsidRPr="00BF67E5">
        <w:rPr>
          <w:rFonts w:ascii="Palatino Linotype" w:eastAsia="Palatino Linotype" w:hAnsi="Palatino Linotype" w:cs="Palatino Linotype"/>
          <w:color w:val="000000"/>
        </w:rPr>
        <w:t>Por  último</w:t>
      </w:r>
      <w:proofErr w:type="gramEnd"/>
      <w:r w:rsidRPr="00BF67E5">
        <w:rPr>
          <w:rFonts w:ascii="Palatino Linotype" w:eastAsia="Palatino Linotype" w:hAnsi="Palatino Linotype" w:cs="Palatino Linotype"/>
          <w:color w:val="000000"/>
        </w:rPr>
        <w:t xml:space="preserve">, se debe de señalar que el </w:t>
      </w:r>
      <w:r w:rsidRPr="00BF67E5">
        <w:rPr>
          <w:rFonts w:ascii="Palatino Linotype" w:eastAsia="Palatino Linotype" w:hAnsi="Palatino Linotype" w:cs="Palatino Linotype"/>
          <w:b/>
          <w:color w:val="000000"/>
        </w:rPr>
        <w:t xml:space="preserve">RECURRENTE </w:t>
      </w:r>
      <w:r w:rsidRPr="00BF67E5">
        <w:rPr>
          <w:rFonts w:ascii="Palatino Linotype" w:eastAsia="Palatino Linotype" w:hAnsi="Palatino Linotype" w:cs="Palatino Linotype"/>
          <w:color w:val="000000"/>
        </w:rPr>
        <w:t xml:space="preserve">solicita los recibos de nómina de la primera  y segunda quincena del mes de diciembre de dos mil veinticuatro, situación que debe de tomarse como un hecho futuro, toda vez que para la solicitud de información </w:t>
      </w:r>
      <w:r w:rsidRPr="00BF67E5">
        <w:rPr>
          <w:rFonts w:ascii="Palatino Linotype" w:eastAsia="Palatino Linotype" w:hAnsi="Palatino Linotype" w:cs="Palatino Linotype"/>
          <w:b/>
          <w:color w:val="000000"/>
        </w:rPr>
        <w:t xml:space="preserve">00244/TENANCIN/IP/2024, </w:t>
      </w:r>
      <w:r w:rsidRPr="00BF67E5">
        <w:rPr>
          <w:rFonts w:ascii="Palatino Linotype" w:eastAsia="Palatino Linotype" w:hAnsi="Palatino Linotype" w:cs="Palatino Linotype"/>
          <w:color w:val="000000"/>
        </w:rPr>
        <w:t xml:space="preserve">ingreso al Sistema </w:t>
      </w:r>
      <w:proofErr w:type="spellStart"/>
      <w:r w:rsidRPr="00BF67E5">
        <w:rPr>
          <w:rFonts w:ascii="Palatino Linotype" w:eastAsia="Palatino Linotype" w:hAnsi="Palatino Linotype" w:cs="Palatino Linotype"/>
          <w:color w:val="000000"/>
        </w:rPr>
        <w:t>Saimex</w:t>
      </w:r>
      <w:proofErr w:type="spellEnd"/>
      <w:r w:rsidRPr="00BF67E5">
        <w:rPr>
          <w:rFonts w:ascii="Palatino Linotype" w:eastAsia="Palatino Linotype" w:hAnsi="Palatino Linotype" w:cs="Palatino Linotype"/>
          <w:color w:val="000000"/>
        </w:rPr>
        <w:t xml:space="preserve"> el cuatro de junio de dos mil veinticuatro, situación por la cual es imposible dar información den un lapso temporal que no ha transcurrido. </w:t>
      </w:r>
    </w:p>
    <w:p w14:paraId="5AAB67FD"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7CC13EA1"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 xml:space="preserve">En esa línea, se debe de referir que al momento de ingresar la solicitud de información solo habían transcurrido los meses de enero, febrero, marzo, abril, mayo y junio </w:t>
      </w:r>
      <w:r w:rsidRPr="00BF67E5">
        <w:rPr>
          <w:rFonts w:ascii="Palatino Linotype" w:eastAsia="Palatino Linotype" w:hAnsi="Palatino Linotype" w:cs="Palatino Linotype"/>
          <w:color w:val="000000"/>
        </w:rPr>
        <w:lastRenderedPageBreak/>
        <w:t xml:space="preserve">situación por lo cual los meses de junio, julio, agosto, septiembre octubre y </w:t>
      </w:r>
      <w:r w:rsidRPr="00BF67E5">
        <w:rPr>
          <w:rFonts w:ascii="Palatino Linotype" w:eastAsia="Palatino Linotype" w:hAnsi="Palatino Linotype" w:cs="Palatino Linotype"/>
          <w:b/>
          <w:color w:val="000000"/>
        </w:rPr>
        <w:t>diciembre</w:t>
      </w:r>
      <w:r w:rsidRPr="00BF67E5">
        <w:rPr>
          <w:rFonts w:ascii="Palatino Linotype" w:eastAsia="Palatino Linotype" w:hAnsi="Palatino Linotype" w:cs="Palatino Linotype"/>
          <w:color w:val="000000"/>
        </w:rPr>
        <w:t xml:space="preserve"> se deben de tomar como hechos futuros.</w:t>
      </w:r>
    </w:p>
    <w:p w14:paraId="1C8CB202" w14:textId="77777777" w:rsidR="003D3C22" w:rsidRPr="00BF67E5" w:rsidRDefault="003D3C22">
      <w:pPr>
        <w:pBdr>
          <w:top w:val="nil"/>
          <w:left w:val="nil"/>
          <w:bottom w:val="nil"/>
          <w:right w:val="nil"/>
          <w:between w:val="nil"/>
        </w:pBdr>
        <w:ind w:left="720"/>
        <w:rPr>
          <w:rFonts w:ascii="Palatino Linotype" w:eastAsia="Palatino Linotype" w:hAnsi="Palatino Linotype" w:cs="Palatino Linotype"/>
          <w:color w:val="000000"/>
        </w:rPr>
      </w:pPr>
    </w:p>
    <w:p w14:paraId="5C95B298" w14:textId="77777777" w:rsidR="003D3C22" w:rsidRPr="00BF67E5" w:rsidRDefault="00BF67E5">
      <w:pPr>
        <w:numPr>
          <w:ilvl w:val="0"/>
          <w:numId w:val="5"/>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color w:val="000000"/>
        </w:rPr>
        <w:t>Sirve como referencia la Jurisprudencia emitida por la Suprema Corte de Justicia de la Nación, que es del texto y rubro siguiente:</w:t>
      </w:r>
    </w:p>
    <w:p w14:paraId="75F15013" w14:textId="77777777" w:rsidR="003D3C22" w:rsidRPr="001F7AFD" w:rsidRDefault="00BF67E5">
      <w:pPr>
        <w:pBdr>
          <w:top w:val="nil"/>
          <w:left w:val="nil"/>
          <w:bottom w:val="nil"/>
          <w:right w:val="nil"/>
          <w:between w:val="nil"/>
        </w:pBdr>
        <w:ind w:left="1134" w:right="992"/>
        <w:jc w:val="both"/>
        <w:rPr>
          <w:rFonts w:ascii="Palatino Linotype" w:eastAsia="Palatino Linotype" w:hAnsi="Palatino Linotype" w:cs="Palatino Linotype"/>
          <w:color w:val="000000"/>
          <w:sz w:val="22"/>
        </w:rPr>
      </w:pPr>
      <w:r w:rsidRPr="001F7AFD">
        <w:rPr>
          <w:rFonts w:ascii="Palatino Linotype" w:eastAsia="Palatino Linotype" w:hAnsi="Palatino Linotype" w:cs="Palatino Linotype"/>
          <w:b/>
          <w:i/>
          <w:color w:val="000000"/>
          <w:sz w:val="22"/>
        </w:rPr>
        <w:t>“DEMANDA DE AMPARO. LA RECLAMACIÓN DE UN ACTO FUTURO O INCIERTO, DEL CUAL NO PUEDA SABERSE CON EXACTITUD SI ES INMINENTE O SI LLEGARÁ O NO A MATERIALIZARSE, NO CONSTITUYE UN MOTIVO MANIFIESTO E INDUDABLE DE IMPROCEDENCIA, POR LO QUE EL JUEZ DE DISTRITO DEBE ADMITIRLA A TRÁMITE.</w:t>
      </w:r>
      <w:r w:rsidRPr="001F7AFD">
        <w:rPr>
          <w:rFonts w:ascii="Palatino Linotype" w:eastAsia="Palatino Linotype" w:hAnsi="Palatino Linotype" w:cs="Palatino Linotype"/>
          <w:i/>
          <w:color w:val="000000"/>
          <w:sz w:val="22"/>
        </w:rPr>
        <w:t xml:space="preserve"> El artículo 145 de la Ley de Amparo faculta al Juez de Distrito para desechar la demanda de amparo indirecto cuando al examinarla aparezca un motivo manifiesto e indudable de improcedencia; sin embargo, esa potestad del Juez no es ilimitada, ni depende de un criterio puramente subjetivo, pues tal motivo debe estar plenamente demostrado, y advertirse en forma patente y absolutamente clara de la lectura del escrito de demanda, de los escritos aclaratorios o de los documentos que se anexen a esas promociones. De ahí que cuando se reclame un acto futuro e incierto y no pueda saberse con exactitud si es inminente, o bien, si llegará o no a materializarse, sino que es necesario contar con elementos de prueba que permitan una correcta conclusión, no debe considerarse que existe un motivo manifiesto e indudable de improcedencia que amerite aplicar el indicado artículo 145 para desechar de plano la demanda, por lo que el Juez de Distrito deberá admitirla a trámite. Lo anterior obedece a que para que el juzgador se encuentre en condiciones de saber si el acto reclamado, considerado como futuro, se realizará por parte de la autoridad, debe analizar los elementos probatorios existentes, y si estimara racionalmente que la responsable ya ordenó la realización del acto reclamado o que está a punto de hacerlo, deberá admitir la demanda, sin perjuicio de que durante la sustanciación del juicio quede plenamente probado que efectivamente se trata de un acto de ese tipo, o se tenga la certeza de la existencia de alguna otra causa de improcedencia regulada en el artículo 73 de la citada ley, u otra prevista en diverso precepto legal relacionado con la fracción XVIII de este </w:t>
      </w:r>
      <w:proofErr w:type="spellStart"/>
      <w:r w:rsidRPr="001F7AFD">
        <w:rPr>
          <w:rFonts w:ascii="Palatino Linotype" w:eastAsia="Palatino Linotype" w:hAnsi="Palatino Linotype" w:cs="Palatino Linotype"/>
          <w:i/>
          <w:color w:val="000000"/>
          <w:sz w:val="22"/>
        </w:rPr>
        <w:t>numeral.No</w:t>
      </w:r>
      <w:proofErr w:type="spellEnd"/>
      <w:r w:rsidRPr="001F7AFD">
        <w:rPr>
          <w:rFonts w:ascii="Palatino Linotype" w:eastAsia="Palatino Linotype" w:hAnsi="Palatino Linotype" w:cs="Palatino Linotype"/>
          <w:i/>
          <w:color w:val="000000"/>
          <w:sz w:val="22"/>
        </w:rPr>
        <w:t xml:space="preserve"> obstante, en términos del artículo 6 de la Constitución Política de los Estados Unidos Mexicanos, toda persona sin necesidad de acreditar interés alguno, tendrá acceso gratuito a la información pública </w:t>
      </w:r>
      <w:r w:rsidRPr="001F7AFD">
        <w:rPr>
          <w:rFonts w:ascii="Palatino Linotype" w:eastAsia="Palatino Linotype" w:hAnsi="Palatino Linotype" w:cs="Palatino Linotype"/>
          <w:b/>
          <w:i/>
          <w:color w:val="000000"/>
          <w:sz w:val="22"/>
        </w:rPr>
        <w:t>en posesión</w:t>
      </w:r>
      <w:r w:rsidRPr="001F7AFD">
        <w:rPr>
          <w:rFonts w:ascii="Palatino Linotype" w:eastAsia="Palatino Linotype" w:hAnsi="Palatino Linotype" w:cs="Palatino Linotype"/>
          <w:i/>
          <w:color w:val="000000"/>
          <w:sz w:val="22"/>
        </w:rPr>
        <w:t xml:space="preserve"> de cualquier autoridad, entidad, órgano y organismo federal, estatal y municipal, la cual sólo podrá ser reservada temporalmente por razones de interés público en los términos que fijen las leyes, debiendo prevalecer en la interpretación del derecho el principio de </w:t>
      </w:r>
      <w:r w:rsidRPr="001F7AFD">
        <w:rPr>
          <w:rFonts w:ascii="Palatino Linotype" w:eastAsia="Palatino Linotype" w:hAnsi="Palatino Linotype" w:cs="Palatino Linotype"/>
          <w:i/>
          <w:color w:val="000000"/>
          <w:sz w:val="22"/>
        </w:rPr>
        <w:lastRenderedPageBreak/>
        <w:t>máxima publicidad, de ahí que los sujetos obligados deban conservar sus documentos en archivos administrados actualizados.”</w:t>
      </w:r>
    </w:p>
    <w:p w14:paraId="4599E775"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3C514567" w14:textId="77777777" w:rsidR="003D3C22" w:rsidRPr="00BF67E5" w:rsidRDefault="003D3C22">
      <w:pPr>
        <w:rPr>
          <w:rFonts w:ascii="Palatino Linotype" w:eastAsia="Palatino Linotype" w:hAnsi="Palatino Linotype" w:cs="Palatino Linotype"/>
        </w:rPr>
      </w:pPr>
    </w:p>
    <w:p w14:paraId="14E0485A" w14:textId="77777777" w:rsidR="003D3C22" w:rsidRPr="00BF67E5" w:rsidRDefault="00BF67E5">
      <w:pPr>
        <w:keepNext/>
        <w:keepLines/>
        <w:spacing w:after="160" w:line="360" w:lineRule="auto"/>
        <w:rPr>
          <w:rFonts w:ascii="Palatino Linotype" w:eastAsia="Palatino Linotype" w:hAnsi="Palatino Linotype" w:cs="Palatino Linotype"/>
          <w:b/>
          <w:color w:val="000000"/>
        </w:rPr>
      </w:pPr>
      <w:r w:rsidRPr="00BF67E5">
        <w:rPr>
          <w:rFonts w:ascii="Palatino Linotype" w:eastAsia="Palatino Linotype" w:hAnsi="Palatino Linotype" w:cs="Palatino Linotype"/>
          <w:b/>
          <w:color w:val="000000"/>
        </w:rPr>
        <w:t>QUINTO. De la versión pública.</w:t>
      </w:r>
    </w:p>
    <w:p w14:paraId="7B44668E" w14:textId="77777777" w:rsidR="003D3C22" w:rsidRPr="00BF67E5" w:rsidRDefault="00BF67E5">
      <w:pPr>
        <w:keepNext/>
        <w:keepLines/>
        <w:numPr>
          <w:ilvl w:val="0"/>
          <w:numId w:val="7"/>
        </w:numPr>
        <w:tabs>
          <w:tab w:val="left" w:pos="284"/>
        </w:tabs>
        <w:spacing w:after="160" w:line="360" w:lineRule="auto"/>
        <w:rPr>
          <w:rFonts w:ascii="Palatino Linotype" w:eastAsia="Palatino Linotype" w:hAnsi="Palatino Linotype" w:cs="Palatino Linotype"/>
          <w:b/>
          <w:color w:val="000000"/>
        </w:rPr>
      </w:pPr>
      <w:bookmarkStart w:id="8" w:name="_heading=h.lnxbz9" w:colFirst="0" w:colLast="0"/>
      <w:bookmarkEnd w:id="8"/>
      <w:r w:rsidRPr="00BF67E5">
        <w:rPr>
          <w:rFonts w:ascii="Palatino Linotype" w:eastAsia="Palatino Linotype" w:hAnsi="Palatino Linotype" w:cs="Palatino Linotype"/>
          <w:b/>
          <w:color w:val="000000"/>
        </w:rPr>
        <w:t xml:space="preserve">Nociones generales. </w:t>
      </w:r>
    </w:p>
    <w:p w14:paraId="0A1F48D4" w14:textId="77777777" w:rsidR="003D3C22" w:rsidRPr="00BF67E5" w:rsidRDefault="00BF67E5">
      <w:pPr>
        <w:numPr>
          <w:ilvl w:val="0"/>
          <w:numId w:val="5"/>
        </w:numPr>
        <w:spacing w:line="360" w:lineRule="auto"/>
        <w:ind w:left="0" w:right="49" w:firstLine="0"/>
        <w:jc w:val="both"/>
        <w:rPr>
          <w:rFonts w:ascii="Times New Roman" w:eastAsia="Times New Roman" w:hAnsi="Times New Roman" w:cs="Times New Roman"/>
          <w:color w:val="000000"/>
        </w:rPr>
      </w:pPr>
      <w:r w:rsidRPr="00BF67E5">
        <w:rPr>
          <w:rFonts w:ascii="Palatino Linotype" w:eastAsia="Palatino Linotype" w:hAnsi="Palatino Linotype" w:cs="Palatino Linotype"/>
          <w:color w:val="000000"/>
        </w:rPr>
        <w:t xml:space="preserve">Debe destacarse, que debido a la información solicitada por el </w:t>
      </w:r>
      <w:r w:rsidRPr="00BF67E5">
        <w:rPr>
          <w:rFonts w:ascii="Palatino Linotype" w:eastAsia="Palatino Linotype" w:hAnsi="Palatino Linotype" w:cs="Palatino Linotype"/>
          <w:b/>
          <w:color w:val="000000"/>
        </w:rPr>
        <w:t xml:space="preserve">RECURRENTE, pueden obrar </w:t>
      </w:r>
      <w:r w:rsidRPr="00BF67E5">
        <w:rPr>
          <w:rFonts w:ascii="Palatino Linotype" w:eastAsia="Palatino Linotype" w:hAnsi="Palatino Linotype" w:cs="Palatino Linotype"/>
          <w:color w:val="000000"/>
        </w:rPr>
        <w:t xml:space="preserve">datos personales susceptibles de protegerse, así como información susceptible de clasificarse como </w:t>
      </w:r>
      <w:proofErr w:type="gramStart"/>
      <w:r w:rsidRPr="00BF67E5">
        <w:rPr>
          <w:rFonts w:ascii="Palatino Linotype" w:eastAsia="Palatino Linotype" w:hAnsi="Palatino Linotype" w:cs="Palatino Linotype"/>
          <w:color w:val="000000"/>
        </w:rPr>
        <w:t>confidenciales,  por</w:t>
      </w:r>
      <w:proofErr w:type="gramEnd"/>
      <w:r w:rsidRPr="00BF67E5">
        <w:rPr>
          <w:rFonts w:ascii="Palatino Linotype" w:eastAsia="Palatino Linotype" w:hAnsi="Palatino Linotype" w:cs="Palatino Linotype"/>
          <w:color w:val="000000"/>
        </w:rPr>
        <w:t xml:space="preserve"> lo que el </w:t>
      </w:r>
      <w:r w:rsidRPr="00BF67E5">
        <w:rPr>
          <w:rFonts w:ascii="Palatino Linotype" w:eastAsia="Palatino Linotype" w:hAnsi="Palatino Linotype" w:cs="Palatino Linotype"/>
          <w:b/>
          <w:color w:val="000000"/>
        </w:rPr>
        <w:t xml:space="preserve">SUJETO OBLIGADO </w:t>
      </w:r>
      <w:r w:rsidRPr="00BF67E5">
        <w:rPr>
          <w:rFonts w:ascii="Palatino Linotype" w:eastAsia="Palatino Linotype" w:hAnsi="Palatino Linotype" w:cs="Palatino Linotype"/>
          <w:color w:val="000000"/>
        </w:rPr>
        <w:t xml:space="preserve">deberá de hacer la adecuada versión pública, protegiendo los datos que no son susceptibles de ser proporcionados. </w:t>
      </w:r>
    </w:p>
    <w:p w14:paraId="6D39AE93" w14:textId="77777777" w:rsidR="003D3C22" w:rsidRPr="00BF67E5" w:rsidRDefault="003D3C22">
      <w:pPr>
        <w:tabs>
          <w:tab w:val="left" w:pos="0"/>
          <w:tab w:val="left" w:pos="284"/>
        </w:tabs>
        <w:spacing w:line="360" w:lineRule="auto"/>
        <w:ind w:right="49"/>
        <w:jc w:val="both"/>
        <w:rPr>
          <w:rFonts w:ascii="Palatino Linotype" w:eastAsia="Palatino Linotype" w:hAnsi="Palatino Linotype" w:cs="Palatino Linotype"/>
          <w:highlight w:val="yellow"/>
        </w:rPr>
      </w:pPr>
    </w:p>
    <w:p w14:paraId="58EB3B21" w14:textId="77777777" w:rsidR="003D3C22" w:rsidRPr="00BF67E5" w:rsidRDefault="00BF67E5">
      <w:pPr>
        <w:numPr>
          <w:ilvl w:val="0"/>
          <w:numId w:val="5"/>
        </w:numPr>
        <w:spacing w:line="360" w:lineRule="auto"/>
        <w:ind w:left="0" w:right="49" w:firstLine="0"/>
        <w:jc w:val="both"/>
        <w:rPr>
          <w:rFonts w:ascii="Times New Roman" w:eastAsia="Times New Roman" w:hAnsi="Times New Roman" w:cs="Times New Roman"/>
          <w:color w:val="000000"/>
        </w:rPr>
      </w:pPr>
      <w:r w:rsidRPr="00BF67E5">
        <w:rPr>
          <w:rFonts w:ascii="Palatino Linotype" w:eastAsia="Palatino Linotype" w:hAnsi="Palatino Linotype" w:cs="Palatino Linotype"/>
          <w:color w:val="000000"/>
        </w:rPr>
        <w:t>No pasa desapercibido para este Órgano Garante que los sujetos obligados</w:t>
      </w:r>
      <w:r w:rsidRPr="00BF67E5">
        <w:rPr>
          <w:rFonts w:ascii="Palatino Linotype" w:eastAsia="Palatino Linotype" w:hAnsi="Palatino Linotype" w:cs="Palatino Linotype"/>
          <w:b/>
          <w:color w:val="000000"/>
        </w:rPr>
        <w:t xml:space="preserve"> </w:t>
      </w:r>
      <w:r w:rsidRPr="00BF67E5">
        <w:rPr>
          <w:rFonts w:ascii="Palatino Linotype" w:eastAsia="Palatino Linotype" w:hAnsi="Palatino Linotype" w:cs="Palatino Linotype"/>
          <w:color w:val="000000"/>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tbl>
      <w:tblPr>
        <w:tblStyle w:val="a2"/>
        <w:tblW w:w="9634" w:type="dxa"/>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2689"/>
        <w:gridCol w:w="6945"/>
      </w:tblGrid>
      <w:tr w:rsidR="003D3C22" w:rsidRPr="001F7AFD" w14:paraId="3580BD19" w14:textId="77777777" w:rsidTr="001F7AFD">
        <w:tc>
          <w:tcPr>
            <w:tcW w:w="2689" w:type="dxa"/>
          </w:tcPr>
          <w:p w14:paraId="53485966" w14:textId="77777777" w:rsidR="003D3C22" w:rsidRPr="001F7AFD" w:rsidRDefault="00BF67E5" w:rsidP="001F7AFD">
            <w:pPr>
              <w:spacing w:line="360" w:lineRule="auto"/>
              <w:rPr>
                <w:rFonts w:ascii="Palatino Linotype" w:eastAsia="Palatino Linotype" w:hAnsi="Palatino Linotype" w:cs="Palatino Linotype"/>
                <w:sz w:val="20"/>
              </w:rPr>
            </w:pPr>
            <w:r w:rsidRPr="001F7AFD">
              <w:rPr>
                <w:rFonts w:ascii="Palatino Linotype" w:eastAsia="Palatino Linotype" w:hAnsi="Palatino Linotype" w:cs="Palatino Linotype"/>
                <w:sz w:val="20"/>
              </w:rPr>
              <w:t>a) Requisitos previos.</w:t>
            </w:r>
          </w:p>
        </w:tc>
        <w:tc>
          <w:tcPr>
            <w:tcW w:w="6945" w:type="dxa"/>
          </w:tcPr>
          <w:p w14:paraId="199A73ED"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 xml:space="preserve">Los artículos 100 y 122 de la Ley Estatal y de la Ley General, respectivamente, señalan </w:t>
            </w:r>
            <w:proofErr w:type="gramStart"/>
            <w:r w:rsidRPr="001F7AFD">
              <w:rPr>
                <w:rFonts w:ascii="Palatino Linotype" w:eastAsia="Palatino Linotype" w:hAnsi="Palatino Linotype" w:cs="Palatino Linotype"/>
                <w:color w:val="000000"/>
                <w:sz w:val="20"/>
              </w:rPr>
              <w:t>que</w:t>
            </w:r>
            <w:proofErr w:type="gramEnd"/>
            <w:r w:rsidRPr="001F7AFD">
              <w:rPr>
                <w:rFonts w:ascii="Palatino Linotype" w:eastAsia="Palatino Linotype" w:hAnsi="Palatino Linotype" w:cs="Palatino Linotype"/>
                <w:color w:val="000000"/>
                <w:sz w:val="20"/>
              </w:rPr>
              <w:t xml:space="preserve"> si los Sujetos Obligados determinan que la información actualiza alguno de los supuestos de clasificación, es deber de los titulares de las áreas proponer su clasificación y no del Comité de Transparencia. </w:t>
            </w:r>
          </w:p>
          <w:p w14:paraId="555E04B7"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Al hacerlo tienen que precisar de qué información se t</w:t>
            </w:r>
            <w:r w:rsidR="00F75A09">
              <w:rPr>
                <w:rFonts w:ascii="Palatino Linotype" w:eastAsia="Palatino Linotype" w:hAnsi="Palatino Linotype" w:cs="Palatino Linotype"/>
                <w:color w:val="000000"/>
                <w:sz w:val="20"/>
              </w:rPr>
              <w:t xml:space="preserve">rata, señalando el supuesto de </w:t>
            </w:r>
            <w:r w:rsidRPr="001F7AFD">
              <w:rPr>
                <w:rFonts w:ascii="Palatino Linotype" w:eastAsia="Palatino Linotype" w:hAnsi="Palatino Linotype" w:cs="Palatino Linotype"/>
                <w:color w:val="000000"/>
                <w:sz w:val="20"/>
              </w:rPr>
              <w:t>clasificación (confidencialidad o reserva).</w:t>
            </w:r>
          </w:p>
          <w:p w14:paraId="12E7D479"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lastRenderedPageBreak/>
              <w:t>Además, se debe señalar el procedimiento, de los tres que establecen los artículos 132 y 106 de la Ley Estatal y General, respectivamente.</w:t>
            </w:r>
          </w:p>
          <w:p w14:paraId="62CEE053" w14:textId="77777777" w:rsidR="003D3C22" w:rsidRPr="001F7AFD" w:rsidRDefault="00BF67E5" w:rsidP="001F7AFD">
            <w:pPr>
              <w:spacing w:line="360" w:lineRule="auto"/>
              <w:jc w:val="both"/>
              <w:rPr>
                <w:rFonts w:ascii="Palatino Linotype" w:eastAsia="Palatino Linotype" w:hAnsi="Palatino Linotype" w:cs="Palatino Linotype"/>
                <w:sz w:val="20"/>
              </w:rPr>
            </w:pPr>
            <w:r w:rsidRPr="001F7AFD">
              <w:rPr>
                <w:rFonts w:ascii="Palatino Linotype" w:eastAsia="Palatino Linotype" w:hAnsi="Palatino Linotype" w:cs="Palatino Linotype"/>
                <w:color w:val="000000"/>
                <w:sz w:val="20"/>
              </w:rPr>
              <w:t xml:space="preserve">El último de estos requisitos previos consiste en que no se pueden emitir acuerdos de carácter general ni particular, esto es, </w:t>
            </w:r>
            <w:r w:rsidRPr="001F7AFD">
              <w:rPr>
                <w:rFonts w:ascii="Palatino Linotype" w:eastAsia="Palatino Linotype" w:hAnsi="Palatino Linotype" w:cs="Palatino Linotype"/>
                <w:color w:val="000000"/>
                <w:sz w:val="20"/>
                <w:u w:val="single"/>
              </w:rPr>
              <w:t>no se puede hacer un acuerdo para clasificar de manera general todos los documentos de un expediente o área, sin</w:t>
            </w:r>
            <w:r w:rsidRPr="001F7AFD">
              <w:rPr>
                <w:rFonts w:ascii="Palatino Linotype" w:eastAsia="Palatino Linotype" w:hAnsi="Palatino Linotype" w:cs="Palatino Linotype"/>
                <w:color w:val="000000"/>
                <w:sz w:val="20"/>
              </w:rPr>
              <w:t xml:space="preserve"> individualizar su análisis y tampoco se puede hacer un acuerdo por cada dato que se vaya a clasificar dentro de un documento con diez datos, por ejemplo, susceptibles de ser clasificados.</w:t>
            </w:r>
          </w:p>
        </w:tc>
      </w:tr>
      <w:tr w:rsidR="003D3C22" w:rsidRPr="001F7AFD" w14:paraId="08D3622B" w14:textId="77777777" w:rsidTr="001F7AFD">
        <w:tc>
          <w:tcPr>
            <w:tcW w:w="2689" w:type="dxa"/>
          </w:tcPr>
          <w:p w14:paraId="26E345F8" w14:textId="77777777" w:rsidR="003D3C22" w:rsidRPr="001F7AFD" w:rsidRDefault="00BF67E5" w:rsidP="001F7AFD">
            <w:pPr>
              <w:spacing w:line="360" w:lineRule="auto"/>
              <w:rPr>
                <w:rFonts w:ascii="Palatino Linotype" w:eastAsia="Palatino Linotype" w:hAnsi="Palatino Linotype" w:cs="Palatino Linotype"/>
                <w:sz w:val="20"/>
              </w:rPr>
            </w:pPr>
            <w:r w:rsidRPr="001F7AFD">
              <w:rPr>
                <w:rFonts w:ascii="Palatino Linotype" w:eastAsia="Palatino Linotype" w:hAnsi="Palatino Linotype" w:cs="Palatino Linotype"/>
                <w:sz w:val="20"/>
              </w:rPr>
              <w:lastRenderedPageBreak/>
              <w:t>b) Supuestos de clasificación.</w:t>
            </w:r>
          </w:p>
        </w:tc>
        <w:tc>
          <w:tcPr>
            <w:tcW w:w="6945" w:type="dxa"/>
          </w:tcPr>
          <w:p w14:paraId="7800056B"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Las disposiciones constitucionales y legales en la materia establecen los dos supuestos generales para clasificar la información: por reserva y por confidencialidad.</w:t>
            </w:r>
          </w:p>
          <w:p w14:paraId="33DCE145"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Los artículos 116 y 143 de la Ley Estatal y de la Ley General, respectivamente, señalan los supuestos para que la información pueda 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14:paraId="3BBAD03C" w14:textId="77777777" w:rsidR="003D3C22" w:rsidRPr="001F7AFD" w:rsidRDefault="00BF67E5" w:rsidP="001F7AFD">
            <w:pPr>
              <w:spacing w:line="360" w:lineRule="auto"/>
              <w:jc w:val="both"/>
              <w:rPr>
                <w:rFonts w:ascii="Palatino Linotype" w:eastAsia="Palatino Linotype" w:hAnsi="Palatino Linotype" w:cs="Palatino Linotype"/>
                <w:sz w:val="20"/>
              </w:rPr>
            </w:pPr>
            <w:r w:rsidRPr="001F7AFD">
              <w:rPr>
                <w:rFonts w:ascii="Palatino Linotype" w:eastAsia="Palatino Linotype" w:hAnsi="Palatino Linotype" w:cs="Palatino Linotype"/>
                <w:color w:val="000000"/>
                <w:sz w:val="20"/>
              </w:rPr>
              <w:t xml:space="preserve">El </w:t>
            </w:r>
            <w:r w:rsidRPr="001F7AFD">
              <w:rPr>
                <w:rFonts w:ascii="Palatino Linotype" w:eastAsia="Palatino Linotype" w:hAnsi="Palatino Linotype" w:cs="Palatino Linotype"/>
                <w:b/>
                <w:color w:val="000000"/>
                <w:sz w:val="20"/>
              </w:rPr>
              <w:t>Sujeto Obligado</w:t>
            </w:r>
            <w:r w:rsidRPr="001F7AFD">
              <w:rPr>
                <w:rFonts w:ascii="Palatino Linotype" w:eastAsia="Palatino Linotype" w:hAnsi="Palatino Linotype" w:cs="Palatino Linotype"/>
                <w:color w:val="000000"/>
                <w:sz w:val="20"/>
              </w:rPr>
              <w:t xml:space="preserve"> debe identificar claramente el tipo de información y hacer un juicio de subsunción o encaje para acreditar que el supuesto de hecho corresponde estrictamente con la hipótesis jurídica. Esto también lo debe de realizar el servidor público habilitado y el titular del área que administra la información.</w:t>
            </w:r>
          </w:p>
        </w:tc>
      </w:tr>
      <w:tr w:rsidR="003D3C22" w:rsidRPr="001F7AFD" w14:paraId="77CF86BC" w14:textId="77777777" w:rsidTr="001F7AFD">
        <w:tc>
          <w:tcPr>
            <w:tcW w:w="2689" w:type="dxa"/>
          </w:tcPr>
          <w:p w14:paraId="3069D354" w14:textId="77777777" w:rsidR="003D3C22" w:rsidRPr="001F7AFD" w:rsidRDefault="00BF67E5" w:rsidP="001F7AFD">
            <w:pPr>
              <w:spacing w:line="360" w:lineRule="auto"/>
              <w:rPr>
                <w:rFonts w:ascii="Palatino Linotype" w:eastAsia="Palatino Linotype" w:hAnsi="Palatino Linotype" w:cs="Palatino Linotype"/>
                <w:sz w:val="20"/>
              </w:rPr>
            </w:pPr>
            <w:r w:rsidRPr="001F7AFD">
              <w:rPr>
                <w:rFonts w:ascii="Palatino Linotype" w:eastAsia="Palatino Linotype" w:hAnsi="Palatino Linotype" w:cs="Palatino Linotype"/>
                <w:sz w:val="20"/>
              </w:rPr>
              <w:t>c) Formalidades para emitir el acuerdo de clasificación.</w:t>
            </w:r>
          </w:p>
        </w:tc>
        <w:tc>
          <w:tcPr>
            <w:tcW w:w="6945" w:type="dxa"/>
          </w:tcPr>
          <w:p w14:paraId="66DD10D5"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 xml:space="preserve">El Comité de Transparencia, según lo dispuesto en los artículos cuenta con las facultades para aprobar, modificar o revocar la clasificación de la información que haya propuesto. </w:t>
            </w:r>
          </w:p>
          <w:p w14:paraId="49DBBAFB"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lastRenderedPageBreak/>
              <w:t xml:space="preserve">Es necesario que </w:t>
            </w:r>
            <w:r w:rsidRPr="001F7AFD">
              <w:rPr>
                <w:rFonts w:ascii="Palatino Linotype" w:eastAsia="Palatino Linotype" w:hAnsi="Palatino Linotype" w:cs="Palatino Linotype"/>
                <w:b/>
                <w:color w:val="000000"/>
                <w:sz w:val="20"/>
                <w:u w:val="single"/>
              </w:rPr>
              <w:t>el acto reúna con los requisitos elementales</w:t>
            </w:r>
            <w:r w:rsidRPr="001F7AFD">
              <w:rPr>
                <w:rFonts w:ascii="Palatino Linotype" w:eastAsia="Palatino Linotype" w:hAnsi="Palatino Linotype" w:cs="Palatino Linotype"/>
                <w:color w:val="000000"/>
                <w:sz w:val="20"/>
              </w:rPr>
              <w:t>, entre ellos, que la autoridad que va a emitir el acto de autoridad sea la legalmente facultada para ello.</w:t>
            </w:r>
          </w:p>
          <w:p w14:paraId="0DA115D7" w14:textId="77777777" w:rsidR="003D3C22" w:rsidRPr="001F7AFD" w:rsidRDefault="00BF67E5" w:rsidP="001F7AFD">
            <w:pPr>
              <w:spacing w:line="360" w:lineRule="auto"/>
              <w:jc w:val="both"/>
              <w:rPr>
                <w:rFonts w:ascii="Palatino Linotype" w:eastAsia="Palatino Linotype" w:hAnsi="Palatino Linotype" w:cs="Palatino Linotype"/>
                <w:sz w:val="20"/>
              </w:rPr>
            </w:pPr>
            <w:r w:rsidRPr="001F7AFD">
              <w:rPr>
                <w:rFonts w:ascii="Palatino Linotype" w:eastAsia="Palatino Linotype" w:hAnsi="Palatino Linotype" w:cs="Palatino Linotype"/>
                <w:color w:val="000000"/>
                <w:sz w:val="20"/>
              </w:rPr>
              <w:t>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áreas y que son sujetas a control, en primera instancia, por el Comité de Transparencia.</w:t>
            </w:r>
          </w:p>
        </w:tc>
      </w:tr>
      <w:tr w:rsidR="003D3C22" w:rsidRPr="001F7AFD" w14:paraId="2D1524CF" w14:textId="77777777" w:rsidTr="001F7AFD">
        <w:tc>
          <w:tcPr>
            <w:tcW w:w="2689" w:type="dxa"/>
          </w:tcPr>
          <w:p w14:paraId="6F70CBE3" w14:textId="77777777" w:rsidR="003D3C22" w:rsidRPr="001F7AFD" w:rsidRDefault="003D3C22" w:rsidP="001F7AFD">
            <w:pPr>
              <w:spacing w:line="360" w:lineRule="auto"/>
              <w:rPr>
                <w:rFonts w:ascii="Palatino Linotype" w:eastAsia="Palatino Linotype" w:hAnsi="Palatino Linotype" w:cs="Palatino Linotype"/>
                <w:sz w:val="20"/>
              </w:rPr>
            </w:pPr>
          </w:p>
          <w:p w14:paraId="554AAB64" w14:textId="77777777" w:rsidR="003D3C22" w:rsidRPr="001F7AFD" w:rsidRDefault="00BF67E5" w:rsidP="001F7AFD">
            <w:pPr>
              <w:spacing w:line="360" w:lineRule="auto"/>
              <w:jc w:val="both"/>
              <w:rPr>
                <w:rFonts w:ascii="Palatino Linotype" w:eastAsia="Palatino Linotype" w:hAnsi="Palatino Linotype" w:cs="Palatino Linotype"/>
                <w:sz w:val="20"/>
              </w:rPr>
            </w:pPr>
            <w:r w:rsidRPr="001F7AFD">
              <w:rPr>
                <w:rFonts w:ascii="Palatino Linotype" w:eastAsia="Palatino Linotype" w:hAnsi="Palatino Linotype" w:cs="Palatino Linotype"/>
                <w:color w:val="000000"/>
                <w:sz w:val="20"/>
              </w:rPr>
              <w:t xml:space="preserve">d) Requisitos de fondo del acuerdo de clasificación. </w:t>
            </w:r>
          </w:p>
        </w:tc>
        <w:tc>
          <w:tcPr>
            <w:tcW w:w="6945" w:type="dxa"/>
          </w:tcPr>
          <w:p w14:paraId="2C9DF2C5"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 xml:space="preserve">Como se ha señalado antes, al hacer el juicio de subsunción o encaje entre el supuesto de hecho y la hipótesis jurídica, se debe acreditar la estricta correspondencia entre un elemento y otro. Ahora, en esta parte del procedimiento, que se desahoga en sede del Comité de Transparencia, la ley señala que la carga de la prueba, para justificar las restricciones, corresponde a los </w:t>
            </w:r>
            <w:r w:rsidRPr="001F7AFD">
              <w:rPr>
                <w:rFonts w:ascii="Palatino Linotype" w:eastAsia="Palatino Linotype" w:hAnsi="Palatino Linotype" w:cs="Palatino Linotype"/>
                <w:b/>
                <w:color w:val="000000"/>
                <w:sz w:val="20"/>
              </w:rPr>
              <w:t>Sujetos Obligados</w:t>
            </w:r>
            <w:r w:rsidRPr="001F7AFD">
              <w:rPr>
                <w:rFonts w:ascii="Palatino Linotype" w:eastAsia="Palatino Linotype" w:hAnsi="Palatino Linotype" w:cs="Palatino Linotype"/>
                <w:color w:val="000000"/>
                <w:sz w:val="20"/>
              </w:rPr>
              <w:t xml:space="preserve">, por lo que deberán fundar y motivar debidamente la clasificación. </w:t>
            </w:r>
          </w:p>
          <w:p w14:paraId="4277486E"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 xml:space="preserve">De lo anterior, se desprende </w:t>
            </w:r>
            <w:proofErr w:type="gramStart"/>
            <w:r w:rsidRPr="001F7AFD">
              <w:rPr>
                <w:rFonts w:ascii="Palatino Linotype" w:eastAsia="Palatino Linotype" w:hAnsi="Palatino Linotype" w:cs="Palatino Linotype"/>
                <w:color w:val="000000"/>
                <w:sz w:val="20"/>
              </w:rPr>
              <w:t>que</w:t>
            </w:r>
            <w:proofErr w:type="gramEnd"/>
            <w:r w:rsidRPr="001F7AFD">
              <w:rPr>
                <w:rFonts w:ascii="Palatino Linotype" w:eastAsia="Palatino Linotype" w:hAnsi="Palatino Linotype" w:cs="Palatino Linotype"/>
                <w:color w:val="000000"/>
                <w:sz w:val="20"/>
              </w:rPr>
              <w:t xml:space="preserve"> para una correcta </w:t>
            </w:r>
            <w:r w:rsidRPr="001F7AFD">
              <w:rPr>
                <w:rFonts w:ascii="Palatino Linotype" w:eastAsia="Palatino Linotype" w:hAnsi="Palatino Linotype" w:cs="Palatino Linotype"/>
                <w:b/>
                <w:color w:val="000000"/>
                <w:sz w:val="20"/>
              </w:rPr>
              <w:t>clasificación total o parcial</w:t>
            </w:r>
            <w:r w:rsidRPr="001F7AFD">
              <w:rPr>
                <w:rFonts w:ascii="Palatino Linotype" w:eastAsia="Palatino Linotype" w:hAnsi="Palatino Linotype" w:cs="Palatino Linotype"/>
                <w:color w:val="000000"/>
                <w:sz w:val="20"/>
              </w:rPr>
              <w:t>, esto es determinar los datos 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14:paraId="75228E22"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14:paraId="49B396F4"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lastRenderedPageBreak/>
              <w:t>En ese mismo sentido, el numeral trigésimo tercero fracción V de los Lineamientos Generales, precisa que para motivar la clasificación se deben acreditar las circunstancias de tiempo, modo y lugar.</w:t>
            </w:r>
          </w:p>
          <w:p w14:paraId="09B2D800"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 xml:space="preserve">Ahora bien, </w:t>
            </w:r>
            <w:r w:rsidRPr="001F7AFD">
              <w:rPr>
                <w:rFonts w:ascii="Palatino Linotype" w:eastAsia="Palatino Linotype" w:hAnsi="Palatino Linotype" w:cs="Palatino Linotype"/>
                <w:b/>
                <w:color w:val="000000"/>
                <w:sz w:val="20"/>
                <w:u w:val="single"/>
              </w:rPr>
              <w:t>para cada caso además de fundar y motivar</w:t>
            </w:r>
            <w:r w:rsidRPr="001F7AFD">
              <w:rPr>
                <w:rFonts w:ascii="Palatino Linotype" w:eastAsia="Palatino Linotype" w:hAnsi="Palatino Linotype" w:cs="Palatino Linotype"/>
                <w:color w:val="000000"/>
                <w:sz w:val="20"/>
              </w:rPr>
              <w:t>, se debe identificar con claridad que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3D3C22" w:rsidRPr="001F7AFD" w14:paraId="01418A48" w14:textId="77777777" w:rsidTr="001F7AFD">
        <w:tc>
          <w:tcPr>
            <w:tcW w:w="2689" w:type="dxa"/>
          </w:tcPr>
          <w:p w14:paraId="1F31E481" w14:textId="77777777" w:rsidR="003D3C22" w:rsidRPr="001F7AFD" w:rsidRDefault="00BF67E5" w:rsidP="001F7AFD">
            <w:pPr>
              <w:spacing w:line="360" w:lineRule="auto"/>
              <w:ind w:right="49"/>
              <w:jc w:val="both"/>
              <w:rPr>
                <w:rFonts w:ascii="Palatino Linotype" w:eastAsia="Palatino Linotype" w:hAnsi="Palatino Linotype" w:cs="Palatino Linotype"/>
                <w:sz w:val="20"/>
              </w:rPr>
            </w:pPr>
            <w:r w:rsidRPr="001F7AFD">
              <w:rPr>
                <w:rFonts w:ascii="Palatino Linotype" w:eastAsia="Palatino Linotype" w:hAnsi="Palatino Linotype" w:cs="Palatino Linotype"/>
                <w:sz w:val="20"/>
              </w:rPr>
              <w:lastRenderedPageBreak/>
              <w:t xml:space="preserve">e) Condiciones especiales de la clasificación de la información como confidencial. </w:t>
            </w:r>
          </w:p>
        </w:tc>
        <w:tc>
          <w:tcPr>
            <w:tcW w:w="6945" w:type="dxa"/>
          </w:tcPr>
          <w:p w14:paraId="5817F165"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 xml:space="preserve">Los artículos 148 y 120 de la Ley Estatal y de la Ley General, respectivamente, establecen </w:t>
            </w:r>
            <w:proofErr w:type="gramStart"/>
            <w:r w:rsidRPr="001F7AFD">
              <w:rPr>
                <w:rFonts w:ascii="Palatino Linotype" w:eastAsia="Palatino Linotype" w:hAnsi="Palatino Linotype" w:cs="Palatino Linotype"/>
                <w:color w:val="000000"/>
                <w:sz w:val="20"/>
              </w:rPr>
              <w:t>que</w:t>
            </w:r>
            <w:proofErr w:type="gramEnd"/>
            <w:r w:rsidRPr="001F7AFD">
              <w:rPr>
                <w:rFonts w:ascii="Palatino Linotype" w:eastAsia="Palatino Linotype" w:hAnsi="Palatino Linotype" w:cs="Palatino Linotype"/>
                <w:color w:val="000000"/>
                <w:sz w:val="20"/>
              </w:rPr>
              <w:t xml:space="preserve"> aun tratándose de datos personales, se podrán proporcionar, incluso sin solicitar el consentimiento de su titular. </w:t>
            </w:r>
          </w:p>
          <w:p w14:paraId="299482F0" w14:textId="77777777" w:rsidR="003D3C22" w:rsidRPr="001F7AFD" w:rsidRDefault="00BF67E5" w:rsidP="001F7AFD">
            <w:pPr>
              <w:spacing w:line="360" w:lineRule="auto"/>
              <w:ind w:right="49"/>
              <w:jc w:val="both"/>
              <w:rPr>
                <w:rFonts w:ascii="Palatino Linotype" w:eastAsia="Palatino Linotype" w:hAnsi="Palatino Linotype" w:cs="Palatino Linotype"/>
                <w:color w:val="000000"/>
                <w:sz w:val="20"/>
              </w:rPr>
            </w:pPr>
            <w:r w:rsidRPr="001F7AFD">
              <w:rPr>
                <w:rFonts w:ascii="Palatino Linotype" w:eastAsia="Palatino Linotype" w:hAnsi="Palatino Linotype" w:cs="Palatino Linotype"/>
                <w:color w:val="000000"/>
                <w:sz w:val="20"/>
              </w:rPr>
              <w:t xml:space="preserve">En el caso de lo señalado en la fracción IV, será el Instituto quien deba aplicar la prueba de interés público, considerando también que como recientemente ha discutido la Suprema Corte de Justicia de la Nación, los servidores públicos nos encontramos sujetos a un régimen menor de protección. </w:t>
            </w:r>
          </w:p>
          <w:p w14:paraId="41700376" w14:textId="77777777" w:rsidR="003D3C22" w:rsidRPr="001F7AFD" w:rsidRDefault="00BF67E5" w:rsidP="001F7AFD">
            <w:pPr>
              <w:spacing w:line="360" w:lineRule="auto"/>
              <w:rPr>
                <w:rFonts w:ascii="Palatino Linotype" w:eastAsia="Palatino Linotype" w:hAnsi="Palatino Linotype" w:cs="Palatino Linotype"/>
                <w:sz w:val="20"/>
              </w:rPr>
            </w:pPr>
            <w:r w:rsidRPr="001F7AFD">
              <w:rPr>
                <w:rFonts w:ascii="Palatino Linotype" w:eastAsia="Palatino Linotype" w:hAnsi="Palatino Linotype" w:cs="Palatino Linotype"/>
                <w:color w:val="000000"/>
                <w:sz w:val="20"/>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14:paraId="4A62996A" w14:textId="77777777" w:rsidR="003D3C22" w:rsidRPr="00BF67E5" w:rsidRDefault="003D3C22">
      <w:pPr>
        <w:tabs>
          <w:tab w:val="left" w:pos="284"/>
        </w:tabs>
        <w:spacing w:line="360" w:lineRule="auto"/>
        <w:jc w:val="both"/>
        <w:rPr>
          <w:rFonts w:ascii="Palatino Linotype" w:eastAsia="Palatino Linotype" w:hAnsi="Palatino Linotype" w:cs="Palatino Linotype"/>
          <w:color w:val="000000"/>
        </w:rPr>
      </w:pPr>
    </w:p>
    <w:p w14:paraId="43A44642" w14:textId="77777777" w:rsidR="003D3C22" w:rsidRPr="00BF67E5" w:rsidRDefault="00BF67E5">
      <w:pPr>
        <w:numPr>
          <w:ilvl w:val="0"/>
          <w:numId w:val="5"/>
        </w:numPr>
        <w:spacing w:line="360" w:lineRule="auto"/>
        <w:ind w:left="0" w:right="49" w:firstLine="0"/>
        <w:jc w:val="both"/>
        <w:rPr>
          <w:rFonts w:ascii="Times New Roman" w:eastAsia="Times New Roman" w:hAnsi="Times New Roman" w:cs="Times New Roman"/>
        </w:rPr>
      </w:pPr>
      <w:r w:rsidRPr="00BF67E5">
        <w:rPr>
          <w:rFonts w:ascii="Palatino Linotype" w:eastAsia="Palatino Linotype" w:hAnsi="Palatino Linotype" w:cs="Palatino Linotype"/>
        </w:rPr>
        <w:t>Si el servidor público incumple con estas formalidades y entrega la información sin proteger los datos personales incumple con lo que estipula las disposiciones legales establecidas.</w:t>
      </w:r>
    </w:p>
    <w:p w14:paraId="1028339D" w14:textId="77777777" w:rsidR="003D3C22" w:rsidRPr="00BF67E5" w:rsidRDefault="003D3C22">
      <w:pPr>
        <w:spacing w:line="360" w:lineRule="auto"/>
        <w:jc w:val="both"/>
        <w:rPr>
          <w:rFonts w:ascii="Palatino Linotype" w:eastAsia="Palatino Linotype" w:hAnsi="Palatino Linotype" w:cs="Palatino Linotype"/>
          <w:color w:val="000000"/>
        </w:rPr>
      </w:pPr>
    </w:p>
    <w:p w14:paraId="7150B525" w14:textId="77777777" w:rsidR="003D3C22" w:rsidRPr="00BF67E5" w:rsidRDefault="00BF67E5">
      <w:pPr>
        <w:numPr>
          <w:ilvl w:val="0"/>
          <w:numId w:val="5"/>
        </w:numPr>
        <w:spacing w:line="360" w:lineRule="auto"/>
        <w:ind w:left="0" w:right="49" w:firstLine="0"/>
        <w:jc w:val="both"/>
        <w:rPr>
          <w:rFonts w:ascii="Times New Roman" w:eastAsia="Times New Roman" w:hAnsi="Times New Roman" w:cs="Times New Roman"/>
          <w:color w:val="000000"/>
        </w:rPr>
      </w:pPr>
      <w:r w:rsidRPr="00BF67E5">
        <w:rPr>
          <w:rFonts w:ascii="Palatino Linotype" w:eastAsia="Palatino Linotype" w:hAnsi="Palatino Linotype" w:cs="Palatino Linotype"/>
        </w:rPr>
        <w:lastRenderedPageBreak/>
        <w:t>Por lo anteriormente expuesto, este Órgano Garante considera fundadas las razones o motivos de inconformidad que plantea el</w:t>
      </w:r>
      <w:r w:rsidRPr="00BF67E5">
        <w:rPr>
          <w:rFonts w:ascii="Palatino Linotype" w:eastAsia="Palatino Linotype" w:hAnsi="Palatino Linotype" w:cs="Palatino Linotype"/>
          <w:b/>
        </w:rPr>
        <w:t xml:space="preserve"> RECURRENTE</w:t>
      </w:r>
      <w:r w:rsidRPr="00BF67E5">
        <w:rPr>
          <w:rFonts w:ascii="Palatino Linotype" w:eastAsia="Palatino Linotype" w:hAnsi="Palatino Linotype" w:cs="Palatino Linotype"/>
        </w:rPr>
        <w:t xml:space="preserve">, determinando </w:t>
      </w:r>
      <w:r w:rsidRPr="00BF67E5">
        <w:rPr>
          <w:rFonts w:ascii="Palatino Linotype" w:eastAsia="Palatino Linotype" w:hAnsi="Palatino Linotype" w:cs="Palatino Linotype"/>
          <w:b/>
          <w:smallCaps/>
        </w:rPr>
        <w:t xml:space="preserve">REVOCAR </w:t>
      </w:r>
      <w:r w:rsidRPr="00BF67E5">
        <w:rPr>
          <w:rFonts w:ascii="Palatino Linotype" w:eastAsia="Palatino Linotype" w:hAnsi="Palatino Linotype" w:cs="Palatino Linotype"/>
          <w:b/>
        </w:rPr>
        <w:t xml:space="preserve"> </w:t>
      </w:r>
      <w:r w:rsidRPr="00BF67E5">
        <w:rPr>
          <w:rFonts w:ascii="Palatino Linotype" w:eastAsia="Palatino Linotype" w:hAnsi="Palatino Linotype" w:cs="Palatino Linotype"/>
        </w:rPr>
        <w:t xml:space="preserve">las respuestas del </w:t>
      </w:r>
      <w:r w:rsidRPr="00BF67E5">
        <w:rPr>
          <w:rFonts w:ascii="Palatino Linotype" w:eastAsia="Palatino Linotype" w:hAnsi="Palatino Linotype" w:cs="Palatino Linotype"/>
          <w:b/>
        </w:rPr>
        <w:t>SUJETO OBLIGADO</w:t>
      </w:r>
      <w:r w:rsidRPr="00BF67E5">
        <w:rPr>
          <w:rFonts w:ascii="Palatino Linotype" w:eastAsia="Palatino Linotype" w:hAnsi="Palatino Linotype" w:cs="Palatino Linotype"/>
        </w:rPr>
        <w:t xml:space="preserve">, por lo que con fundamento en lo prescrito en los artículos 5 párrafos vigésimo noveno, trigésimo y trigésimo primero fracciones IV y V de la Constitución Política del Estado Libre y Soberano de México; 2, fracción II; 29, 36 fracciones I y II; 176, 178, 181, 185 de la Ley de Transparencia y Acceso a la Información Pública del Estado de México y Municipios, </w:t>
      </w:r>
      <w:r w:rsidRPr="00BF67E5">
        <w:rPr>
          <w:rFonts w:ascii="Palatino Linotype" w:eastAsia="Palatino Linotype" w:hAnsi="Palatino Linotype" w:cs="Palatino Linotype"/>
          <w:color w:val="000000"/>
        </w:rPr>
        <w:t xml:space="preserve">este </w:t>
      </w:r>
      <w:r w:rsidRPr="00BF67E5">
        <w:rPr>
          <w:rFonts w:ascii="Palatino Linotype" w:eastAsia="Palatino Linotype" w:hAnsi="Palatino Linotype" w:cs="Palatino Linotype"/>
          <w:b/>
          <w:color w:val="000000"/>
        </w:rPr>
        <w:t>ÓRGANO GARANTE</w:t>
      </w:r>
      <w:r w:rsidRPr="00BF67E5">
        <w:rPr>
          <w:rFonts w:ascii="Palatino Linotype" w:eastAsia="Palatino Linotype" w:hAnsi="Palatino Linotype" w:cs="Palatino Linotype"/>
          <w:color w:val="000000"/>
        </w:rPr>
        <w:t xml:space="preserve"> emite los siguientes.</w:t>
      </w:r>
    </w:p>
    <w:p w14:paraId="4042459A" w14:textId="77777777" w:rsidR="003D3C22" w:rsidRPr="00BF67E5" w:rsidRDefault="003D3C22">
      <w:pPr>
        <w:pBdr>
          <w:top w:val="nil"/>
          <w:left w:val="nil"/>
          <w:bottom w:val="nil"/>
          <w:right w:val="nil"/>
          <w:between w:val="nil"/>
        </w:pBdr>
        <w:ind w:left="720"/>
        <w:rPr>
          <w:rFonts w:ascii="Times New Roman" w:eastAsia="Times New Roman" w:hAnsi="Times New Roman" w:cs="Times New Roman"/>
          <w:color w:val="000000"/>
        </w:rPr>
      </w:pPr>
    </w:p>
    <w:p w14:paraId="4974F3D8" w14:textId="77777777" w:rsidR="003D3C22" w:rsidRPr="00BF67E5" w:rsidRDefault="003D3C22">
      <w:pPr>
        <w:spacing w:line="360" w:lineRule="auto"/>
        <w:ind w:right="49"/>
        <w:jc w:val="both"/>
        <w:rPr>
          <w:rFonts w:ascii="Times New Roman" w:eastAsia="Times New Roman" w:hAnsi="Times New Roman" w:cs="Times New Roman"/>
          <w:color w:val="000000"/>
        </w:rPr>
      </w:pPr>
    </w:p>
    <w:p w14:paraId="26BB8993" w14:textId="77777777" w:rsidR="003D3C22" w:rsidRPr="00BF67E5" w:rsidRDefault="00BF67E5">
      <w:pPr>
        <w:pStyle w:val="Ttulo1"/>
        <w:spacing w:before="0" w:line="360" w:lineRule="auto"/>
        <w:jc w:val="center"/>
        <w:rPr>
          <w:b w:val="0"/>
          <w:szCs w:val="24"/>
        </w:rPr>
      </w:pPr>
      <w:r w:rsidRPr="00BF67E5">
        <w:rPr>
          <w:szCs w:val="24"/>
        </w:rPr>
        <w:t>R E S O L U T I V O S</w:t>
      </w:r>
    </w:p>
    <w:p w14:paraId="039999A8" w14:textId="77777777" w:rsidR="003D3C22" w:rsidRPr="00BF67E5" w:rsidRDefault="003D3C22">
      <w:pPr>
        <w:spacing w:line="360" w:lineRule="auto"/>
        <w:rPr>
          <w:rFonts w:ascii="Palatino Linotype" w:eastAsia="Palatino Linotype" w:hAnsi="Palatino Linotype" w:cs="Palatino Linotype"/>
        </w:rPr>
      </w:pPr>
    </w:p>
    <w:p w14:paraId="36A87FEC" w14:textId="77777777" w:rsidR="003D3C22" w:rsidRPr="00BF67E5" w:rsidRDefault="00BF67E5">
      <w:pPr>
        <w:spacing w:line="360" w:lineRule="auto"/>
        <w:jc w:val="both"/>
        <w:rPr>
          <w:rFonts w:ascii="Palatino Linotype" w:eastAsia="Palatino Linotype" w:hAnsi="Palatino Linotype" w:cs="Palatino Linotype"/>
        </w:rPr>
      </w:pPr>
      <w:r w:rsidRPr="00BF67E5">
        <w:rPr>
          <w:rFonts w:ascii="Palatino Linotype" w:eastAsia="Palatino Linotype" w:hAnsi="Palatino Linotype" w:cs="Palatino Linotype"/>
          <w:b/>
        </w:rPr>
        <w:t>PRIMERO</w:t>
      </w:r>
      <w:r w:rsidRPr="00BF67E5">
        <w:rPr>
          <w:rFonts w:ascii="Palatino Linotype" w:eastAsia="Palatino Linotype" w:hAnsi="Palatino Linotype" w:cs="Palatino Linotype"/>
        </w:rPr>
        <w:t xml:space="preserve">. Resultan fundadas las razones o motivos de inconformidad hechos valer en los Recursos de Revisión </w:t>
      </w:r>
      <w:r w:rsidRPr="00BF67E5">
        <w:rPr>
          <w:rFonts w:ascii="Palatino Linotype" w:eastAsia="Palatino Linotype" w:hAnsi="Palatino Linotype" w:cs="Palatino Linotype"/>
          <w:b/>
        </w:rPr>
        <w:t>4578/INFOEM/IP/RR/2024 y 4579/INFOEM/IP/RR/2024</w:t>
      </w:r>
      <w:r w:rsidRPr="00BF67E5">
        <w:rPr>
          <w:rFonts w:ascii="Palatino Linotype" w:eastAsia="Palatino Linotype" w:hAnsi="Palatino Linotype" w:cs="Palatino Linotype"/>
        </w:rPr>
        <w:t>,</w:t>
      </w:r>
      <w:r w:rsidRPr="00BF67E5">
        <w:rPr>
          <w:rFonts w:ascii="Palatino Linotype" w:eastAsia="Palatino Linotype" w:hAnsi="Palatino Linotype" w:cs="Palatino Linotype"/>
          <w:b/>
        </w:rPr>
        <w:t xml:space="preserve"> </w:t>
      </w:r>
      <w:r w:rsidRPr="00BF67E5">
        <w:rPr>
          <w:rFonts w:ascii="Palatino Linotype" w:eastAsia="Palatino Linotype" w:hAnsi="Palatino Linotype" w:cs="Palatino Linotype"/>
        </w:rPr>
        <w:t xml:space="preserve">en términos de los Considerandos </w:t>
      </w:r>
      <w:r w:rsidRPr="00BF67E5">
        <w:rPr>
          <w:rFonts w:ascii="Palatino Linotype" w:eastAsia="Palatino Linotype" w:hAnsi="Palatino Linotype" w:cs="Palatino Linotype"/>
          <w:b/>
        </w:rPr>
        <w:t xml:space="preserve">Cuarto y Quinto </w:t>
      </w:r>
      <w:r w:rsidRPr="00BF67E5">
        <w:rPr>
          <w:rFonts w:ascii="Palatino Linotype" w:eastAsia="Palatino Linotype" w:hAnsi="Palatino Linotype" w:cs="Palatino Linotype"/>
        </w:rPr>
        <w:t xml:space="preserve">de la presente resolución. </w:t>
      </w:r>
    </w:p>
    <w:p w14:paraId="79405BEB" w14:textId="77777777" w:rsidR="003D3C22" w:rsidRPr="00BF67E5" w:rsidRDefault="003D3C22">
      <w:pPr>
        <w:spacing w:line="360" w:lineRule="auto"/>
        <w:jc w:val="both"/>
        <w:rPr>
          <w:rFonts w:ascii="Palatino Linotype" w:eastAsia="Palatino Linotype" w:hAnsi="Palatino Linotype" w:cs="Palatino Linotype"/>
        </w:rPr>
      </w:pPr>
    </w:p>
    <w:p w14:paraId="351348BF" w14:textId="77777777" w:rsidR="003D3C22" w:rsidRPr="00BF67E5" w:rsidRDefault="00BF67E5">
      <w:pPr>
        <w:spacing w:line="360" w:lineRule="auto"/>
        <w:jc w:val="both"/>
        <w:rPr>
          <w:rFonts w:ascii="Palatino Linotype" w:eastAsia="Palatino Linotype" w:hAnsi="Palatino Linotype" w:cs="Palatino Linotype"/>
          <w:b/>
        </w:rPr>
      </w:pPr>
      <w:bookmarkStart w:id="9" w:name="_heading=h.4d34og8" w:colFirst="0" w:colLast="0"/>
      <w:bookmarkEnd w:id="9"/>
      <w:r w:rsidRPr="00BF67E5">
        <w:rPr>
          <w:rFonts w:ascii="Palatino Linotype" w:eastAsia="Palatino Linotype" w:hAnsi="Palatino Linotype" w:cs="Palatino Linotype"/>
          <w:b/>
        </w:rPr>
        <w:t xml:space="preserve">SEGUNDO. </w:t>
      </w:r>
      <w:r w:rsidRPr="00BF67E5">
        <w:rPr>
          <w:rFonts w:ascii="Palatino Linotype" w:eastAsia="Palatino Linotype" w:hAnsi="Palatino Linotype" w:cs="Palatino Linotype"/>
          <w:color w:val="000000"/>
        </w:rPr>
        <w:t xml:space="preserve">Se </w:t>
      </w:r>
      <w:r w:rsidRPr="00BF67E5">
        <w:rPr>
          <w:rFonts w:ascii="Palatino Linotype" w:eastAsia="Palatino Linotype" w:hAnsi="Palatino Linotype" w:cs="Palatino Linotype"/>
          <w:b/>
          <w:color w:val="000000"/>
        </w:rPr>
        <w:t xml:space="preserve">REVOCAN </w:t>
      </w:r>
      <w:r w:rsidRPr="00BF67E5">
        <w:rPr>
          <w:rFonts w:ascii="Palatino Linotype" w:eastAsia="Palatino Linotype" w:hAnsi="Palatino Linotype" w:cs="Palatino Linotype"/>
          <w:color w:val="000000"/>
        </w:rPr>
        <w:t xml:space="preserve">las respuestas emitidas por el </w:t>
      </w:r>
      <w:r w:rsidRPr="00BF67E5">
        <w:rPr>
          <w:rFonts w:ascii="Palatino Linotype" w:eastAsia="Palatino Linotype" w:hAnsi="Palatino Linotype" w:cs="Palatino Linotype"/>
          <w:b/>
          <w:color w:val="000000"/>
        </w:rPr>
        <w:t xml:space="preserve">Ayuntamiento de Tenancingo   </w:t>
      </w:r>
      <w:r w:rsidRPr="00BF67E5">
        <w:rPr>
          <w:rFonts w:ascii="Palatino Linotype" w:eastAsia="Palatino Linotype" w:hAnsi="Palatino Linotype" w:cs="Palatino Linotype"/>
          <w:color w:val="000000"/>
        </w:rPr>
        <w:t xml:space="preserve">y se </w:t>
      </w:r>
      <w:r w:rsidRPr="00BF67E5">
        <w:rPr>
          <w:rFonts w:ascii="Palatino Linotype" w:eastAsia="Palatino Linotype" w:hAnsi="Palatino Linotype" w:cs="Palatino Linotype"/>
          <w:b/>
          <w:color w:val="000000"/>
        </w:rPr>
        <w:t>ORDENA</w:t>
      </w:r>
      <w:r w:rsidRPr="00BF67E5">
        <w:rPr>
          <w:rFonts w:ascii="Palatino Linotype" w:eastAsia="Palatino Linotype" w:hAnsi="Palatino Linotype" w:cs="Palatino Linotype"/>
          <w:color w:val="000000"/>
        </w:rPr>
        <w:t xml:space="preserve"> entregar vía Sistema de Acceso a la Información Mexiquense </w:t>
      </w:r>
      <w:r w:rsidRPr="00BF67E5">
        <w:rPr>
          <w:rFonts w:ascii="Palatino Linotype" w:eastAsia="Palatino Linotype" w:hAnsi="Palatino Linotype" w:cs="Palatino Linotype"/>
          <w:b/>
          <w:color w:val="000000"/>
        </w:rPr>
        <w:t>(SAIMEX)</w:t>
      </w:r>
      <w:r w:rsidRPr="00BF67E5">
        <w:rPr>
          <w:rFonts w:ascii="Palatino Linotype" w:eastAsia="Palatino Linotype" w:hAnsi="Palatino Linotype" w:cs="Palatino Linotype"/>
          <w:color w:val="000000"/>
        </w:rPr>
        <w:t xml:space="preserve">, en versión pública, la siguiente información. </w:t>
      </w:r>
    </w:p>
    <w:p w14:paraId="3FDAA353" w14:textId="77777777" w:rsidR="003D3C22" w:rsidRPr="00BF67E5" w:rsidRDefault="00BF67E5">
      <w:pPr>
        <w:spacing w:line="360" w:lineRule="auto"/>
        <w:ind w:left="1080"/>
        <w:jc w:val="both"/>
        <w:rPr>
          <w:rFonts w:ascii="Palatino Linotype" w:eastAsia="Palatino Linotype" w:hAnsi="Palatino Linotype" w:cs="Palatino Linotype"/>
          <w:b/>
        </w:rPr>
      </w:pPr>
      <w:r w:rsidRPr="00BF67E5">
        <w:rPr>
          <w:rFonts w:ascii="Palatino Linotype" w:eastAsia="Palatino Linotype" w:hAnsi="Palatino Linotype" w:cs="Palatino Linotype"/>
          <w:b/>
        </w:rPr>
        <w:t>Recibos de Nómina de todo el personal del Ayuntamiento</w:t>
      </w:r>
    </w:p>
    <w:p w14:paraId="41B87C1F" w14:textId="77777777" w:rsidR="003D3C22" w:rsidRPr="00BF67E5" w:rsidRDefault="00BF67E5">
      <w:pPr>
        <w:pBdr>
          <w:top w:val="nil"/>
          <w:left w:val="nil"/>
          <w:bottom w:val="nil"/>
          <w:right w:val="nil"/>
          <w:between w:val="nil"/>
        </w:pBdr>
        <w:spacing w:line="360" w:lineRule="auto"/>
        <w:ind w:left="1080"/>
        <w:jc w:val="both"/>
        <w:rPr>
          <w:rFonts w:ascii="Palatino Linotype" w:eastAsia="Palatino Linotype" w:hAnsi="Palatino Linotype" w:cs="Palatino Linotype"/>
          <w:b/>
        </w:rPr>
      </w:pPr>
      <w:r w:rsidRPr="00BF67E5">
        <w:rPr>
          <w:rFonts w:ascii="Palatino Linotype" w:eastAsia="Palatino Linotype" w:hAnsi="Palatino Linotype" w:cs="Palatino Linotype"/>
        </w:rPr>
        <w:t xml:space="preserve">a) </w:t>
      </w:r>
      <w:r w:rsidRPr="00BF67E5">
        <w:rPr>
          <w:rFonts w:ascii="Palatino Linotype" w:eastAsia="Palatino Linotype" w:hAnsi="Palatino Linotype" w:cs="Palatino Linotype"/>
          <w:color w:val="000000"/>
        </w:rPr>
        <w:t xml:space="preserve">De la primera y segunda quincena del mes de enero del año 2021, 2022 y 2024; </w:t>
      </w:r>
    </w:p>
    <w:p w14:paraId="5D7E8A5A" w14:textId="77777777" w:rsidR="003D3C22" w:rsidRPr="00BF67E5" w:rsidRDefault="00BF67E5">
      <w:pPr>
        <w:pBdr>
          <w:top w:val="nil"/>
          <w:left w:val="nil"/>
          <w:bottom w:val="nil"/>
          <w:right w:val="nil"/>
          <w:between w:val="nil"/>
        </w:pBdr>
        <w:spacing w:line="360" w:lineRule="auto"/>
        <w:ind w:left="108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rPr>
        <w:t xml:space="preserve">b) </w:t>
      </w:r>
      <w:r w:rsidRPr="00BF67E5">
        <w:rPr>
          <w:rFonts w:ascii="Palatino Linotype" w:eastAsia="Palatino Linotype" w:hAnsi="Palatino Linotype" w:cs="Palatino Linotype"/>
          <w:color w:val="000000"/>
        </w:rPr>
        <w:t>De la primera y segunda quincena del mes de diciembre del año 2023;</w:t>
      </w:r>
    </w:p>
    <w:p w14:paraId="5A8E7769" w14:textId="77777777" w:rsidR="003D3C22" w:rsidRPr="00BF67E5" w:rsidRDefault="003D3C22">
      <w:pPr>
        <w:pBdr>
          <w:top w:val="nil"/>
          <w:left w:val="nil"/>
          <w:bottom w:val="nil"/>
          <w:right w:val="nil"/>
          <w:between w:val="nil"/>
        </w:pBdr>
        <w:spacing w:line="360" w:lineRule="auto"/>
        <w:ind w:left="1080"/>
        <w:jc w:val="both"/>
        <w:rPr>
          <w:rFonts w:ascii="Palatino Linotype" w:eastAsia="Palatino Linotype" w:hAnsi="Palatino Linotype" w:cs="Palatino Linotype"/>
        </w:rPr>
      </w:pPr>
    </w:p>
    <w:p w14:paraId="2687D362" w14:textId="77777777" w:rsidR="003D3C22" w:rsidRPr="00BF67E5" w:rsidRDefault="00BF67E5">
      <w:pPr>
        <w:pBdr>
          <w:top w:val="nil"/>
          <w:left w:val="nil"/>
          <w:bottom w:val="nil"/>
          <w:right w:val="nil"/>
          <w:between w:val="nil"/>
        </w:pBdr>
        <w:spacing w:line="360" w:lineRule="auto"/>
        <w:ind w:left="1080"/>
        <w:jc w:val="both"/>
        <w:rPr>
          <w:rFonts w:ascii="Palatino Linotype" w:eastAsia="Palatino Linotype" w:hAnsi="Palatino Linotype" w:cs="Palatino Linotype"/>
          <w:b/>
          <w:color w:val="000000"/>
        </w:rPr>
      </w:pPr>
      <w:r w:rsidRPr="00BF67E5">
        <w:rPr>
          <w:rFonts w:ascii="Palatino Linotype" w:eastAsia="Palatino Linotype" w:hAnsi="Palatino Linotype" w:cs="Palatino Linotype"/>
          <w:b/>
          <w:color w:val="000000"/>
        </w:rPr>
        <w:t>Recibos de Nómina de los servidores públicos sindicalizados</w:t>
      </w:r>
    </w:p>
    <w:p w14:paraId="43C52115" w14:textId="77777777" w:rsidR="003D3C22" w:rsidRPr="00BF67E5" w:rsidRDefault="00BF67E5">
      <w:pPr>
        <w:pBdr>
          <w:top w:val="nil"/>
          <w:left w:val="nil"/>
          <w:bottom w:val="nil"/>
          <w:right w:val="nil"/>
          <w:between w:val="nil"/>
        </w:pBdr>
        <w:spacing w:line="360" w:lineRule="auto"/>
        <w:ind w:left="108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rPr>
        <w:t xml:space="preserve">c) </w:t>
      </w:r>
      <w:r w:rsidRPr="00BF67E5">
        <w:rPr>
          <w:rFonts w:ascii="Palatino Linotype" w:eastAsia="Palatino Linotype" w:hAnsi="Palatino Linotype" w:cs="Palatino Linotype"/>
          <w:color w:val="000000"/>
        </w:rPr>
        <w:t>De la primera y segunda quincena del mes de abril del año 2023 y 2024; y</w:t>
      </w:r>
    </w:p>
    <w:p w14:paraId="7C92EB3B" w14:textId="77777777" w:rsidR="003D3C22" w:rsidRPr="00BF67E5" w:rsidRDefault="003D3C22">
      <w:pPr>
        <w:pBdr>
          <w:top w:val="nil"/>
          <w:left w:val="nil"/>
          <w:bottom w:val="nil"/>
          <w:right w:val="nil"/>
          <w:between w:val="nil"/>
        </w:pBdr>
        <w:spacing w:line="360" w:lineRule="auto"/>
        <w:ind w:left="1080"/>
        <w:jc w:val="both"/>
        <w:rPr>
          <w:rFonts w:ascii="Palatino Linotype" w:eastAsia="Palatino Linotype" w:hAnsi="Palatino Linotype" w:cs="Palatino Linotype"/>
        </w:rPr>
      </w:pPr>
    </w:p>
    <w:p w14:paraId="2B573703" w14:textId="77777777" w:rsidR="003D3C22" w:rsidRPr="00BF67E5" w:rsidRDefault="00BF67E5">
      <w:pPr>
        <w:pBdr>
          <w:top w:val="nil"/>
          <w:left w:val="nil"/>
          <w:bottom w:val="nil"/>
          <w:right w:val="nil"/>
          <w:between w:val="nil"/>
        </w:pBdr>
        <w:spacing w:line="360" w:lineRule="auto"/>
        <w:ind w:left="1080"/>
        <w:jc w:val="both"/>
        <w:rPr>
          <w:rFonts w:ascii="Palatino Linotype" w:eastAsia="Palatino Linotype" w:hAnsi="Palatino Linotype" w:cs="Palatino Linotype"/>
          <w:b/>
        </w:rPr>
      </w:pPr>
      <w:r w:rsidRPr="00BF67E5">
        <w:rPr>
          <w:rFonts w:ascii="Palatino Linotype" w:eastAsia="Palatino Linotype" w:hAnsi="Palatino Linotype" w:cs="Palatino Linotype"/>
          <w:b/>
          <w:color w:val="000000"/>
        </w:rPr>
        <w:lastRenderedPageBreak/>
        <w:t xml:space="preserve">Recibos de Nómina de </w:t>
      </w:r>
      <w:r w:rsidRPr="00BF67E5">
        <w:rPr>
          <w:rFonts w:ascii="Palatino Linotype" w:eastAsia="Palatino Linotype" w:hAnsi="Palatino Linotype" w:cs="Palatino Linotype"/>
          <w:b/>
        </w:rPr>
        <w:t>todos</w:t>
      </w:r>
      <w:r w:rsidRPr="00BF67E5">
        <w:rPr>
          <w:rFonts w:ascii="Palatino Linotype" w:eastAsia="Palatino Linotype" w:hAnsi="Palatino Linotype" w:cs="Palatino Linotype"/>
          <w:b/>
          <w:color w:val="000000"/>
        </w:rPr>
        <w:t xml:space="preserve"> los Servido</w:t>
      </w:r>
      <w:r w:rsidRPr="00BF67E5">
        <w:rPr>
          <w:rFonts w:ascii="Palatino Linotype" w:eastAsia="Palatino Linotype" w:hAnsi="Palatino Linotype" w:cs="Palatino Linotype"/>
          <w:b/>
        </w:rPr>
        <w:t>res Públicos d</w:t>
      </w:r>
      <w:r w:rsidRPr="00BF67E5">
        <w:rPr>
          <w:rFonts w:ascii="Palatino Linotype" w:eastAsia="Palatino Linotype" w:hAnsi="Palatino Linotype" w:cs="Palatino Linotype"/>
        </w:rPr>
        <w:t xml:space="preserve">el </w:t>
      </w:r>
      <w:r w:rsidRPr="00BF67E5">
        <w:rPr>
          <w:rFonts w:ascii="Palatino Linotype" w:eastAsia="Palatino Linotype" w:hAnsi="Palatino Linotype" w:cs="Palatino Linotype"/>
          <w:b/>
        </w:rPr>
        <w:t>Ayuntamiento</w:t>
      </w:r>
    </w:p>
    <w:p w14:paraId="4BE63C3D" w14:textId="77777777" w:rsidR="003D3C22" w:rsidRPr="00BF67E5" w:rsidRDefault="00BF67E5">
      <w:pPr>
        <w:pBdr>
          <w:top w:val="nil"/>
          <w:left w:val="nil"/>
          <w:bottom w:val="nil"/>
          <w:right w:val="nil"/>
          <w:between w:val="nil"/>
        </w:pBdr>
        <w:spacing w:line="360" w:lineRule="auto"/>
        <w:ind w:left="1080"/>
        <w:jc w:val="both"/>
        <w:rPr>
          <w:rFonts w:ascii="Palatino Linotype" w:eastAsia="Palatino Linotype" w:hAnsi="Palatino Linotype" w:cs="Palatino Linotype"/>
          <w:color w:val="000000"/>
        </w:rPr>
      </w:pPr>
      <w:r w:rsidRPr="00BF67E5">
        <w:rPr>
          <w:rFonts w:ascii="Palatino Linotype" w:eastAsia="Palatino Linotype" w:hAnsi="Palatino Linotype" w:cs="Palatino Linotype"/>
        </w:rPr>
        <w:t xml:space="preserve">d) </w:t>
      </w:r>
      <w:r w:rsidRPr="00BF67E5">
        <w:rPr>
          <w:rFonts w:ascii="Palatino Linotype" w:eastAsia="Palatino Linotype" w:hAnsi="Palatino Linotype" w:cs="Palatino Linotype"/>
          <w:color w:val="000000"/>
        </w:rPr>
        <w:t>De la primera y segunda quincena del mes de diciembre del año 2023.</w:t>
      </w:r>
    </w:p>
    <w:p w14:paraId="5AA1DB4E" w14:textId="77777777" w:rsidR="003D3C22" w:rsidRPr="00BF67E5" w:rsidRDefault="003D3C22">
      <w:pPr>
        <w:spacing w:line="360" w:lineRule="auto"/>
        <w:jc w:val="both"/>
        <w:rPr>
          <w:rFonts w:ascii="Palatino Linotype" w:eastAsia="Palatino Linotype" w:hAnsi="Palatino Linotype" w:cs="Palatino Linotype"/>
        </w:rPr>
      </w:pPr>
    </w:p>
    <w:p w14:paraId="0E6735CD" w14:textId="77777777" w:rsidR="003D3C22" w:rsidRPr="00BF67E5" w:rsidRDefault="00BF67E5">
      <w:pPr>
        <w:spacing w:line="360" w:lineRule="auto"/>
        <w:jc w:val="both"/>
        <w:rPr>
          <w:rFonts w:ascii="Palatino Linotype" w:eastAsia="Palatino Linotype" w:hAnsi="Palatino Linotype" w:cs="Palatino Linotype"/>
          <w:b/>
        </w:rPr>
      </w:pPr>
      <w:r w:rsidRPr="00BF67E5">
        <w:rPr>
          <w:rFonts w:ascii="Palatino Linotype" w:eastAsia="Palatino Linotype" w:hAnsi="Palatino Linotype" w:cs="Palatino Linotype"/>
        </w:rPr>
        <w:t xml:space="preserve">Para efecto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del </w:t>
      </w:r>
      <w:r w:rsidRPr="00BF67E5">
        <w:rPr>
          <w:rFonts w:ascii="Palatino Linotype" w:eastAsia="Palatino Linotype" w:hAnsi="Palatino Linotype" w:cs="Palatino Linotype"/>
          <w:b/>
        </w:rPr>
        <w:t>RECURRENTE.</w:t>
      </w:r>
    </w:p>
    <w:p w14:paraId="2887B39E" w14:textId="77777777" w:rsidR="003D3C22" w:rsidRPr="00BF67E5" w:rsidRDefault="003D3C22">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14:paraId="79028C70" w14:textId="77777777" w:rsidR="003D3C22" w:rsidRPr="00BF67E5" w:rsidRDefault="00BF67E5" w:rsidP="00E01BE5">
      <w:pPr>
        <w:spacing w:line="312" w:lineRule="auto"/>
        <w:jc w:val="both"/>
        <w:rPr>
          <w:rFonts w:ascii="Palatino Linotype" w:eastAsia="Palatino Linotype" w:hAnsi="Palatino Linotype" w:cs="Palatino Linotype"/>
        </w:rPr>
      </w:pPr>
      <w:bookmarkStart w:id="10" w:name="_heading=h.2s8eyo1" w:colFirst="0" w:colLast="0"/>
      <w:bookmarkEnd w:id="10"/>
      <w:r w:rsidRPr="00BF67E5">
        <w:rPr>
          <w:rFonts w:ascii="Palatino Linotype" w:eastAsia="Palatino Linotype" w:hAnsi="Palatino Linotype" w:cs="Palatino Linotype"/>
          <w:b/>
        </w:rPr>
        <w:t xml:space="preserve">TERCERO. </w:t>
      </w:r>
      <w:r w:rsidRPr="00BF67E5">
        <w:rPr>
          <w:rFonts w:ascii="Palatino Linotype" w:eastAsia="Palatino Linotype" w:hAnsi="Palatino Linotype" w:cs="Palatino Linotype"/>
        </w:rPr>
        <w:t xml:space="preserve">NOTIFÍQUESE la presente resolución al Titular de la Unidad de Transparencia del Sujeto Obligado vía SAIMEX, para que conforme al artículo 186 último párrafo, 189 segundo párrafo y 194 de la Ley de Transparencia y Acceso a la Información Pública del Estado de México y Municipios; </w:t>
      </w:r>
      <w:r w:rsidRPr="00F75A09">
        <w:rPr>
          <w:rFonts w:ascii="Palatino Linotype" w:eastAsia="Palatino Linotype" w:hAnsi="Palatino Linotype" w:cs="Palatino Linotype"/>
          <w:b/>
        </w:rPr>
        <w:t>dé cumplimiento a lo ordenado dentro del plazo de diez días hábiles,</w:t>
      </w:r>
      <w:r w:rsidRPr="00BF67E5">
        <w:rPr>
          <w:rFonts w:ascii="Palatino Linotype" w:eastAsia="Palatino Linotype" w:hAnsi="Palatino Linotype" w:cs="Palatino Linotype"/>
        </w:rPr>
        <w:t xml:space="preserve">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71D28EEF" w14:textId="77777777" w:rsidR="003D3C22" w:rsidRPr="00BF67E5" w:rsidRDefault="003D3C22" w:rsidP="00E01BE5">
      <w:pPr>
        <w:tabs>
          <w:tab w:val="left" w:pos="8080"/>
        </w:tabs>
        <w:spacing w:line="312" w:lineRule="auto"/>
        <w:ind w:right="49"/>
        <w:jc w:val="both"/>
        <w:rPr>
          <w:rFonts w:ascii="Palatino Linotype" w:eastAsia="Palatino Linotype" w:hAnsi="Palatino Linotype" w:cs="Palatino Linotype"/>
          <w:highlight w:val="white"/>
        </w:rPr>
      </w:pPr>
    </w:p>
    <w:p w14:paraId="35C2568B" w14:textId="77777777" w:rsidR="003D3C22" w:rsidRPr="00BF67E5" w:rsidRDefault="00BF67E5" w:rsidP="00E01BE5">
      <w:pPr>
        <w:spacing w:line="312" w:lineRule="auto"/>
        <w:jc w:val="both"/>
        <w:rPr>
          <w:rFonts w:ascii="Palatino Linotype" w:eastAsia="Palatino Linotype" w:hAnsi="Palatino Linotype" w:cs="Palatino Linotype"/>
        </w:rPr>
      </w:pPr>
      <w:r w:rsidRPr="00BF67E5">
        <w:rPr>
          <w:rFonts w:ascii="Palatino Linotype" w:eastAsia="Palatino Linotype" w:hAnsi="Palatino Linotype" w:cs="Palatino Linotype"/>
          <w:b/>
        </w:rPr>
        <w:t xml:space="preserve">CUARTO. </w:t>
      </w:r>
      <w:r w:rsidRPr="00BF67E5">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procedente, el </w:t>
      </w:r>
      <w:r w:rsidRPr="00BF67E5">
        <w:rPr>
          <w:rFonts w:ascii="Palatino Linotype" w:eastAsia="Palatino Linotype" w:hAnsi="Palatino Linotype" w:cs="Palatino Linotype"/>
          <w:b/>
        </w:rPr>
        <w:t>SUJETO OBLIGADO</w:t>
      </w:r>
      <w:r w:rsidRPr="00BF67E5">
        <w:rPr>
          <w:rFonts w:ascii="Palatino Linotype" w:eastAsia="Palatino Linotype" w:hAnsi="Palatino Linotype" w:cs="Palatino Linotype"/>
        </w:rPr>
        <w:t xml:space="preserve"> de manera fundada y motivada, podrá solicitar una ampliación de plazo para el cumplimiento de la presente resolución.</w:t>
      </w:r>
    </w:p>
    <w:p w14:paraId="7B7EE5BD" w14:textId="77777777" w:rsidR="003D3C22" w:rsidRPr="00BF67E5" w:rsidRDefault="003D3C22" w:rsidP="00E01BE5">
      <w:pPr>
        <w:spacing w:line="312" w:lineRule="auto"/>
        <w:jc w:val="both"/>
        <w:rPr>
          <w:rFonts w:ascii="Palatino Linotype" w:eastAsia="Palatino Linotype" w:hAnsi="Palatino Linotype" w:cs="Palatino Linotype"/>
        </w:rPr>
      </w:pPr>
    </w:p>
    <w:p w14:paraId="4E407C4B" w14:textId="77777777" w:rsidR="003D3C22" w:rsidRPr="00BF67E5" w:rsidRDefault="00BF67E5" w:rsidP="00E01BE5">
      <w:pPr>
        <w:tabs>
          <w:tab w:val="left" w:pos="8080"/>
        </w:tabs>
        <w:spacing w:line="312" w:lineRule="auto"/>
        <w:ind w:right="49"/>
        <w:jc w:val="both"/>
        <w:rPr>
          <w:rFonts w:ascii="Palatino Linotype" w:eastAsia="Palatino Linotype" w:hAnsi="Palatino Linotype" w:cs="Palatino Linotype"/>
        </w:rPr>
      </w:pPr>
      <w:bookmarkStart w:id="11" w:name="_heading=h.17dp8vu" w:colFirst="0" w:colLast="0"/>
      <w:bookmarkEnd w:id="11"/>
      <w:r w:rsidRPr="00BF67E5">
        <w:rPr>
          <w:rFonts w:ascii="Palatino Linotype" w:eastAsia="Palatino Linotype" w:hAnsi="Palatino Linotype" w:cs="Palatino Linotype"/>
          <w:b/>
        </w:rPr>
        <w:t xml:space="preserve">QUINTO. </w:t>
      </w:r>
      <w:r w:rsidRPr="00BF67E5">
        <w:rPr>
          <w:rFonts w:ascii="Palatino Linotype" w:eastAsia="Palatino Linotype" w:hAnsi="Palatino Linotype" w:cs="Palatino Linotype"/>
        </w:rPr>
        <w:t xml:space="preserve">Notifíquese a </w:t>
      </w:r>
      <w:r w:rsidRPr="00BF67E5">
        <w:rPr>
          <w:rFonts w:ascii="Palatino Linotype" w:eastAsia="Palatino Linotype" w:hAnsi="Palatino Linotype" w:cs="Palatino Linotype"/>
          <w:b/>
        </w:rPr>
        <w:t>EL RECURRENTE</w:t>
      </w:r>
      <w:r w:rsidRPr="00BF67E5">
        <w:rPr>
          <w:rFonts w:ascii="Palatino Linotype" w:eastAsia="Palatino Linotype" w:hAnsi="Palatino Linotype" w:cs="Palatino Linotype"/>
        </w:rPr>
        <w:t xml:space="preserve"> la presente resolución, vía SAIMEX.</w:t>
      </w:r>
    </w:p>
    <w:p w14:paraId="1AED342C" w14:textId="77777777" w:rsidR="003D3C22" w:rsidRPr="00BF67E5" w:rsidRDefault="003D3C22" w:rsidP="00E01BE5">
      <w:pPr>
        <w:tabs>
          <w:tab w:val="left" w:pos="8080"/>
        </w:tabs>
        <w:spacing w:line="312" w:lineRule="auto"/>
        <w:ind w:right="49"/>
        <w:jc w:val="both"/>
        <w:rPr>
          <w:rFonts w:ascii="Palatino Linotype" w:eastAsia="Palatino Linotype" w:hAnsi="Palatino Linotype" w:cs="Palatino Linotype"/>
        </w:rPr>
      </w:pPr>
    </w:p>
    <w:p w14:paraId="18F7372E" w14:textId="77777777" w:rsidR="003D3C22" w:rsidRPr="00BF67E5" w:rsidRDefault="00BF67E5" w:rsidP="00E01BE5">
      <w:pPr>
        <w:shd w:val="clear" w:color="auto" w:fill="FFFFFF"/>
        <w:spacing w:line="312" w:lineRule="auto"/>
        <w:jc w:val="both"/>
        <w:rPr>
          <w:rFonts w:ascii="Palatino Linotype" w:eastAsia="Palatino Linotype" w:hAnsi="Palatino Linotype" w:cs="Palatino Linotype"/>
        </w:rPr>
      </w:pPr>
      <w:r w:rsidRPr="00BF67E5">
        <w:rPr>
          <w:rFonts w:ascii="Palatino Linotype" w:eastAsia="Palatino Linotype" w:hAnsi="Palatino Linotype" w:cs="Palatino Linotype"/>
          <w:b/>
        </w:rPr>
        <w:t>SEXTO.</w:t>
      </w:r>
      <w:r w:rsidRPr="00BF67E5">
        <w:rPr>
          <w:rFonts w:ascii="Palatino Linotype" w:eastAsia="Palatino Linotype" w:hAnsi="Palatino Linotype" w:cs="Palatino Linotype"/>
        </w:rPr>
        <w:t xml:space="preserve"> Se hace del conocimiento de </w:t>
      </w:r>
      <w:r w:rsidRPr="00BF67E5">
        <w:rPr>
          <w:rFonts w:ascii="Palatino Linotype" w:eastAsia="Palatino Linotype" w:hAnsi="Palatino Linotype" w:cs="Palatino Linotype"/>
          <w:b/>
        </w:rPr>
        <w:t>EL RECURRENTE</w:t>
      </w:r>
      <w:r w:rsidRPr="00BF67E5">
        <w:rPr>
          <w:rFonts w:ascii="Palatino Linotype" w:eastAsia="Palatino Linotype" w:hAnsi="Palatino Linotype" w:cs="Palatino Linotype"/>
        </w:rPr>
        <w:t xml:space="preserve"> que, de conformidad con lo establecido en el artículo 196 de la Ley de Transparencia y Acceso a la Información Pública del Estado de México y Municipios, en caso de que considere que la resolución le cause algún perjuicio podrá impugnarla vía juicio de amparo en los términos de las leyes aplicables.</w:t>
      </w:r>
    </w:p>
    <w:p w14:paraId="5F0CA638" w14:textId="77777777" w:rsidR="003D3C22" w:rsidRPr="00BF67E5" w:rsidRDefault="003D3C22" w:rsidP="00E01BE5">
      <w:pPr>
        <w:shd w:val="clear" w:color="auto" w:fill="FFFFFF"/>
        <w:spacing w:line="312" w:lineRule="auto"/>
        <w:jc w:val="both"/>
        <w:rPr>
          <w:rFonts w:ascii="Palatino Linotype" w:eastAsia="Palatino Linotype" w:hAnsi="Palatino Linotype" w:cs="Palatino Linotype"/>
        </w:rPr>
      </w:pPr>
    </w:p>
    <w:p w14:paraId="03518944" w14:textId="77777777" w:rsidR="00A11D9D" w:rsidRPr="003C7186" w:rsidRDefault="00A11D9D" w:rsidP="00E01BE5">
      <w:pPr>
        <w:spacing w:line="312" w:lineRule="auto"/>
        <w:ind w:left="-142" w:right="-234" w:firstLine="1"/>
        <w:jc w:val="both"/>
        <w:rPr>
          <w:rFonts w:ascii="Palatino Linotype" w:hAnsi="Palatino Linotype"/>
        </w:rPr>
      </w:pPr>
      <w:r w:rsidRPr="003C7186">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w:t>
      </w:r>
      <w:r w:rsidR="00864D04">
        <w:rPr>
          <w:rFonts w:ascii="Palatino Linotype" w:hAnsi="Palatino Linotype"/>
        </w:rPr>
        <w:t xml:space="preserve"> EMITIENDO VOTO PARTICULAR</w:t>
      </w:r>
      <w:r>
        <w:rPr>
          <w:rFonts w:ascii="Palatino Linotype" w:hAnsi="Palatino Linotype"/>
        </w:rPr>
        <w:t xml:space="preserve"> Y GUADALUPE RAMÍREZ PEÑA</w:t>
      </w:r>
      <w:r w:rsidR="00864D04">
        <w:rPr>
          <w:rFonts w:ascii="Palatino Linotype" w:hAnsi="Palatino Linotype"/>
        </w:rPr>
        <w:t xml:space="preserve"> EMITIENDO VOTO PARTICULAR</w:t>
      </w:r>
      <w:r>
        <w:rPr>
          <w:rFonts w:ascii="Palatino Linotype" w:hAnsi="Palatino Linotype"/>
        </w:rPr>
        <w:t xml:space="preserve">; </w:t>
      </w:r>
      <w:r w:rsidRPr="003C7186">
        <w:rPr>
          <w:rFonts w:ascii="Palatino Linotype" w:hAnsi="Palatino Linotype"/>
        </w:rPr>
        <w:t xml:space="preserve">EN LA </w:t>
      </w:r>
      <w:r>
        <w:rPr>
          <w:rFonts w:ascii="Palatino Linotype" w:hAnsi="Palatino Linotype"/>
        </w:rPr>
        <w:t>TRIGÉSIMA</w:t>
      </w:r>
      <w:r w:rsidRPr="003C7186">
        <w:rPr>
          <w:rFonts w:ascii="Palatino Linotype" w:hAnsi="Palatino Linotype"/>
        </w:rPr>
        <w:t xml:space="preserve"> </w:t>
      </w:r>
      <w:r>
        <w:rPr>
          <w:rFonts w:ascii="Palatino Linotype" w:hAnsi="Palatino Linotype"/>
        </w:rPr>
        <w:t xml:space="preserve">OCTAVA </w:t>
      </w:r>
      <w:r w:rsidRPr="003C7186">
        <w:rPr>
          <w:rFonts w:ascii="Palatino Linotype" w:hAnsi="Palatino Linotype"/>
        </w:rPr>
        <w:t xml:space="preserve">SESIÓN ORDINARIA CELEBRADA EL </w:t>
      </w:r>
      <w:r>
        <w:rPr>
          <w:rFonts w:ascii="Palatino Linotype" w:hAnsi="Palatino Linotype"/>
        </w:rPr>
        <w:t>SEIS</w:t>
      </w:r>
      <w:r w:rsidRPr="003C7186">
        <w:rPr>
          <w:rFonts w:ascii="Palatino Linotype" w:hAnsi="Palatino Linotype"/>
        </w:rPr>
        <w:t xml:space="preserve"> </w:t>
      </w:r>
      <w:r>
        <w:rPr>
          <w:rFonts w:ascii="Palatino Linotype" w:hAnsi="Palatino Linotype"/>
        </w:rPr>
        <w:t>(06) DE NOVIEMBRE</w:t>
      </w:r>
      <w:r w:rsidRPr="003C7186">
        <w:rPr>
          <w:rFonts w:ascii="Palatino Linotype" w:hAnsi="Palatino Linotype"/>
        </w:rPr>
        <w:t xml:space="preserve"> DE DOS MIL VEINTICUATRO, ANTE EL SECRETARIO TÉCNICO DEL PLENO ALEXIS TAPIA RAMÍREZ. </w:t>
      </w:r>
    </w:p>
    <w:p w14:paraId="6A0B9DCA" w14:textId="77777777" w:rsidR="00A11D9D" w:rsidRPr="00902BA4" w:rsidRDefault="00A11D9D" w:rsidP="00A11D9D">
      <w:pPr>
        <w:widowControl w:val="0"/>
        <w:autoSpaceDE w:val="0"/>
        <w:autoSpaceDN w:val="0"/>
        <w:adjustRightInd w:val="0"/>
        <w:spacing w:after="200" w:line="276" w:lineRule="auto"/>
        <w:ind w:left="-142" w:right="-234"/>
      </w:pPr>
    </w:p>
    <w:p w14:paraId="5AB12F0B" w14:textId="77777777" w:rsidR="00A11D9D" w:rsidRDefault="00A11D9D" w:rsidP="00A11D9D">
      <w:pPr>
        <w:spacing w:before="240" w:after="240" w:line="360" w:lineRule="auto"/>
        <w:ind w:firstLine="1"/>
        <w:jc w:val="both"/>
        <w:rPr>
          <w:rFonts w:ascii="Palatino Linotype" w:hAnsi="Palatino Linotype"/>
        </w:rPr>
      </w:pPr>
      <w:bookmarkStart w:id="12" w:name="_Hlk96506827"/>
    </w:p>
    <w:bookmarkEnd w:id="12"/>
    <w:p w14:paraId="5A668F9D" w14:textId="77777777" w:rsidR="003D3C22" w:rsidRPr="00BF67E5" w:rsidRDefault="003D3C22">
      <w:pPr>
        <w:shd w:val="clear" w:color="auto" w:fill="FFFFFF"/>
        <w:spacing w:line="360" w:lineRule="auto"/>
        <w:jc w:val="both"/>
        <w:rPr>
          <w:rFonts w:ascii="Palatino Linotype" w:eastAsia="Palatino Linotype" w:hAnsi="Palatino Linotype" w:cs="Palatino Linotype"/>
        </w:rPr>
      </w:pPr>
    </w:p>
    <w:p w14:paraId="2BA052FA" w14:textId="77777777" w:rsidR="003D3C22" w:rsidRPr="00BF67E5" w:rsidRDefault="003D3C22">
      <w:pPr>
        <w:shd w:val="clear" w:color="auto" w:fill="FFFFFF"/>
        <w:spacing w:line="360" w:lineRule="auto"/>
        <w:jc w:val="both"/>
        <w:rPr>
          <w:rFonts w:ascii="Palatino Linotype" w:eastAsia="Palatino Linotype" w:hAnsi="Palatino Linotype" w:cs="Palatino Linotype"/>
        </w:rPr>
      </w:pPr>
    </w:p>
    <w:p w14:paraId="409C0B99" w14:textId="77777777" w:rsidR="003D3C22" w:rsidRPr="00BF67E5" w:rsidRDefault="003D3C22">
      <w:pPr>
        <w:shd w:val="clear" w:color="auto" w:fill="FFFFFF"/>
        <w:spacing w:line="360" w:lineRule="auto"/>
        <w:jc w:val="both"/>
        <w:rPr>
          <w:rFonts w:ascii="Palatino Linotype" w:eastAsia="Palatino Linotype" w:hAnsi="Palatino Linotype" w:cs="Palatino Linotype"/>
        </w:rPr>
      </w:pPr>
    </w:p>
    <w:p w14:paraId="3D75D110" w14:textId="77777777" w:rsidR="003D3C22" w:rsidRPr="00BF67E5" w:rsidRDefault="003D3C22"/>
    <w:sectPr w:rsidR="003D3C22" w:rsidRPr="00BF67E5" w:rsidSect="00BF67E5">
      <w:headerReference w:type="default" r:id="rId17"/>
      <w:footerReference w:type="default" r:id="rId18"/>
      <w:headerReference w:type="first" r:id="rId19"/>
      <w:footerReference w:type="first" r:id="rId20"/>
      <w:pgSz w:w="12240" w:h="15840"/>
      <w:pgMar w:top="1691" w:right="900" w:bottom="1701" w:left="1701"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4F1F76" w14:textId="77777777" w:rsidR="0012056E" w:rsidRDefault="0012056E">
      <w:r>
        <w:separator/>
      </w:r>
    </w:p>
  </w:endnote>
  <w:endnote w:type="continuationSeparator" w:id="0">
    <w:p w14:paraId="2ACA1E61" w14:textId="77777777" w:rsidR="0012056E" w:rsidRDefault="001205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Noto Sans Symbols">
    <w:altName w:val="Segoe Print"/>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E0407" w14:textId="77777777" w:rsidR="00BF67E5" w:rsidRDefault="00BF67E5">
    <w:pPr>
      <w:pBdr>
        <w:top w:val="nil"/>
        <w:left w:val="nil"/>
        <w:bottom w:val="nil"/>
        <w:right w:val="nil"/>
        <w:between w:val="nil"/>
      </w:pBdr>
      <w:tabs>
        <w:tab w:val="center" w:pos="4252"/>
        <w:tab w:val="right" w:pos="8504"/>
      </w:tabs>
      <w:jc w:val="right"/>
      <w:rPr>
        <w:rFonts w:ascii="Palatino Linotype" w:eastAsia="Palatino Linotype" w:hAnsi="Palatino Linotype" w:cs="Palatino Linotype"/>
        <w:b/>
        <w:color w:val="000000"/>
        <w:sz w:val="22"/>
        <w:szCs w:val="22"/>
      </w:rPr>
    </w:pPr>
    <w:r>
      <w:rPr>
        <w:rFonts w:ascii="Palatino Linotype" w:eastAsia="Palatino Linotype" w:hAnsi="Palatino Linotype" w:cs="Palatino Linotype"/>
        <w:color w:val="000000"/>
        <w:sz w:val="22"/>
        <w:szCs w:val="22"/>
      </w:rPr>
      <w:t xml:space="preserve">Página </w:t>
    </w:r>
    <w:r>
      <w:rPr>
        <w:rFonts w:ascii="Palatino Linotype" w:eastAsia="Palatino Linotype" w:hAnsi="Palatino Linotype" w:cs="Palatino Linotype"/>
        <w:b/>
        <w:color w:val="000000"/>
        <w:sz w:val="22"/>
        <w:szCs w:val="22"/>
      </w:rPr>
      <w:fldChar w:fldCharType="begin"/>
    </w:r>
    <w:r>
      <w:rPr>
        <w:rFonts w:ascii="Palatino Linotype" w:eastAsia="Palatino Linotype" w:hAnsi="Palatino Linotype" w:cs="Palatino Linotype"/>
        <w:b/>
        <w:color w:val="000000"/>
        <w:sz w:val="22"/>
        <w:szCs w:val="22"/>
      </w:rPr>
      <w:instrText>PAGE</w:instrText>
    </w:r>
    <w:r>
      <w:rPr>
        <w:rFonts w:ascii="Palatino Linotype" w:eastAsia="Palatino Linotype" w:hAnsi="Palatino Linotype" w:cs="Palatino Linotype"/>
        <w:b/>
        <w:color w:val="000000"/>
        <w:sz w:val="22"/>
        <w:szCs w:val="22"/>
      </w:rPr>
      <w:fldChar w:fldCharType="separate"/>
    </w:r>
    <w:r w:rsidR="00B309A7">
      <w:rPr>
        <w:rFonts w:ascii="Palatino Linotype" w:eastAsia="Palatino Linotype" w:hAnsi="Palatino Linotype" w:cs="Palatino Linotype"/>
        <w:b/>
        <w:noProof/>
        <w:color w:val="000000"/>
        <w:sz w:val="22"/>
        <w:szCs w:val="22"/>
      </w:rPr>
      <w:t>55</w:t>
    </w:r>
    <w:r>
      <w:rPr>
        <w:rFonts w:ascii="Palatino Linotype" w:eastAsia="Palatino Linotype" w:hAnsi="Palatino Linotype" w:cs="Palatino Linotype"/>
        <w:b/>
        <w:color w:val="000000"/>
        <w:sz w:val="22"/>
        <w:szCs w:val="22"/>
      </w:rPr>
      <w:fldChar w:fldCharType="end"/>
    </w:r>
    <w:r>
      <w:rPr>
        <w:rFonts w:ascii="Palatino Linotype" w:eastAsia="Palatino Linotype" w:hAnsi="Palatino Linotype" w:cs="Palatino Linotype"/>
        <w:color w:val="000000"/>
        <w:sz w:val="22"/>
        <w:szCs w:val="22"/>
      </w:rPr>
      <w:t xml:space="preserve"> de </w:t>
    </w:r>
    <w:r>
      <w:rPr>
        <w:rFonts w:ascii="Palatino Linotype" w:eastAsia="Palatino Linotype" w:hAnsi="Palatino Linotype" w:cs="Palatino Linotype"/>
        <w:b/>
        <w:color w:val="000000"/>
        <w:sz w:val="22"/>
        <w:szCs w:val="22"/>
      </w:rPr>
      <w:fldChar w:fldCharType="begin"/>
    </w:r>
    <w:r>
      <w:rPr>
        <w:rFonts w:ascii="Palatino Linotype" w:eastAsia="Palatino Linotype" w:hAnsi="Palatino Linotype" w:cs="Palatino Linotype"/>
        <w:b/>
        <w:color w:val="000000"/>
        <w:sz w:val="22"/>
        <w:szCs w:val="22"/>
      </w:rPr>
      <w:instrText>NUMPAGES</w:instrText>
    </w:r>
    <w:r>
      <w:rPr>
        <w:rFonts w:ascii="Palatino Linotype" w:eastAsia="Palatino Linotype" w:hAnsi="Palatino Linotype" w:cs="Palatino Linotype"/>
        <w:b/>
        <w:color w:val="000000"/>
        <w:sz w:val="22"/>
        <w:szCs w:val="22"/>
      </w:rPr>
      <w:fldChar w:fldCharType="separate"/>
    </w:r>
    <w:r w:rsidR="00B309A7">
      <w:rPr>
        <w:rFonts w:ascii="Palatino Linotype" w:eastAsia="Palatino Linotype" w:hAnsi="Palatino Linotype" w:cs="Palatino Linotype"/>
        <w:b/>
        <w:noProof/>
        <w:color w:val="000000"/>
        <w:sz w:val="22"/>
        <w:szCs w:val="22"/>
      </w:rPr>
      <w:t>55</w:t>
    </w:r>
    <w:r>
      <w:rPr>
        <w:rFonts w:ascii="Palatino Linotype" w:eastAsia="Palatino Linotype" w:hAnsi="Palatino Linotype" w:cs="Palatino Linotype"/>
        <w:b/>
        <w:color w:val="000000"/>
        <w:sz w:val="22"/>
        <w:szCs w:val="22"/>
      </w:rPr>
      <w:fldChar w:fldCharType="end"/>
    </w:r>
  </w:p>
  <w:p w14:paraId="31CD27E2" w14:textId="77777777" w:rsidR="00BF67E5" w:rsidRDefault="00BF67E5">
    <w:pPr>
      <w:pBdr>
        <w:top w:val="nil"/>
        <w:left w:val="nil"/>
        <w:bottom w:val="nil"/>
        <w:right w:val="nil"/>
        <w:between w:val="nil"/>
      </w:pBdr>
      <w:tabs>
        <w:tab w:val="center" w:pos="4252"/>
        <w:tab w:val="right" w:pos="8504"/>
      </w:tabs>
      <w:rPr>
        <w:rFonts w:ascii="Palatino Linotype" w:eastAsia="Palatino Linotype" w:hAnsi="Palatino Linotype" w:cs="Palatino Linotype"/>
        <w:color w:val="000000"/>
        <w:sz w:val="28"/>
        <w:szCs w:val="28"/>
      </w:rPr>
    </w:pPr>
  </w:p>
  <w:p w14:paraId="267FCA71" w14:textId="77777777" w:rsidR="00BF67E5" w:rsidRDefault="00BF67E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9DF91" w14:textId="77777777" w:rsidR="00BF67E5" w:rsidRDefault="00BF67E5">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 xml:space="preserve">Página </w:t>
    </w:r>
    <w:r>
      <w:rPr>
        <w:rFonts w:ascii="Palatino Linotype" w:eastAsia="Palatino Linotype" w:hAnsi="Palatino Linotype" w:cs="Palatino Linotype"/>
        <w:color w:val="000000"/>
        <w:sz w:val="22"/>
        <w:szCs w:val="22"/>
      </w:rPr>
      <w:fldChar w:fldCharType="begin"/>
    </w:r>
    <w:r>
      <w:rPr>
        <w:rFonts w:ascii="Palatino Linotype" w:eastAsia="Palatino Linotype" w:hAnsi="Palatino Linotype" w:cs="Palatino Linotype"/>
        <w:color w:val="000000"/>
        <w:sz w:val="22"/>
        <w:szCs w:val="22"/>
      </w:rPr>
      <w:instrText>PAGE</w:instrText>
    </w:r>
    <w:r>
      <w:rPr>
        <w:rFonts w:ascii="Palatino Linotype" w:eastAsia="Palatino Linotype" w:hAnsi="Palatino Linotype" w:cs="Palatino Linotype"/>
        <w:color w:val="000000"/>
        <w:sz w:val="22"/>
        <w:szCs w:val="22"/>
      </w:rPr>
      <w:fldChar w:fldCharType="separate"/>
    </w:r>
    <w:r w:rsidR="00B309A7">
      <w:rPr>
        <w:rFonts w:ascii="Palatino Linotype" w:eastAsia="Palatino Linotype" w:hAnsi="Palatino Linotype" w:cs="Palatino Linotype"/>
        <w:noProof/>
        <w:color w:val="000000"/>
        <w:sz w:val="22"/>
        <w:szCs w:val="22"/>
      </w:rPr>
      <w:t>1</w:t>
    </w:r>
    <w:r>
      <w:rPr>
        <w:rFonts w:ascii="Palatino Linotype" w:eastAsia="Palatino Linotype" w:hAnsi="Palatino Linotype" w:cs="Palatino Linotype"/>
        <w:color w:val="000000"/>
        <w:sz w:val="22"/>
        <w:szCs w:val="22"/>
      </w:rPr>
      <w:fldChar w:fldCharType="end"/>
    </w:r>
    <w:r>
      <w:rPr>
        <w:rFonts w:ascii="Palatino Linotype" w:eastAsia="Palatino Linotype" w:hAnsi="Palatino Linotype" w:cs="Palatino Linotype"/>
        <w:color w:val="000000"/>
        <w:sz w:val="22"/>
        <w:szCs w:val="22"/>
      </w:rPr>
      <w:t xml:space="preserve"> de </w:t>
    </w:r>
    <w:r>
      <w:rPr>
        <w:rFonts w:ascii="Palatino Linotype" w:eastAsia="Palatino Linotype" w:hAnsi="Palatino Linotype" w:cs="Palatino Linotype"/>
        <w:color w:val="000000"/>
        <w:sz w:val="22"/>
        <w:szCs w:val="22"/>
      </w:rPr>
      <w:fldChar w:fldCharType="begin"/>
    </w:r>
    <w:r>
      <w:rPr>
        <w:rFonts w:ascii="Palatino Linotype" w:eastAsia="Palatino Linotype" w:hAnsi="Palatino Linotype" w:cs="Palatino Linotype"/>
        <w:color w:val="000000"/>
        <w:sz w:val="22"/>
        <w:szCs w:val="22"/>
      </w:rPr>
      <w:instrText>NUMPAGES</w:instrText>
    </w:r>
    <w:r>
      <w:rPr>
        <w:rFonts w:ascii="Palatino Linotype" w:eastAsia="Palatino Linotype" w:hAnsi="Palatino Linotype" w:cs="Palatino Linotype"/>
        <w:color w:val="000000"/>
        <w:sz w:val="22"/>
        <w:szCs w:val="22"/>
      </w:rPr>
      <w:fldChar w:fldCharType="separate"/>
    </w:r>
    <w:r w:rsidR="00B309A7">
      <w:rPr>
        <w:rFonts w:ascii="Palatino Linotype" w:eastAsia="Palatino Linotype" w:hAnsi="Palatino Linotype" w:cs="Palatino Linotype"/>
        <w:noProof/>
        <w:color w:val="000000"/>
        <w:sz w:val="22"/>
        <w:szCs w:val="22"/>
      </w:rPr>
      <w:t>55</w:t>
    </w:r>
    <w:r>
      <w:rPr>
        <w:rFonts w:ascii="Palatino Linotype" w:eastAsia="Palatino Linotype" w:hAnsi="Palatino Linotype" w:cs="Palatino Linotype"/>
        <w:color w:val="000000"/>
        <w:sz w:val="22"/>
        <w:szCs w:val="22"/>
      </w:rPr>
      <w:fldChar w:fldCharType="end"/>
    </w:r>
  </w:p>
  <w:p w14:paraId="7A4293B1" w14:textId="77777777" w:rsidR="00BF67E5" w:rsidRDefault="00BF67E5">
    <w:pPr>
      <w:pBdr>
        <w:top w:val="nil"/>
        <w:left w:val="nil"/>
        <w:bottom w:val="nil"/>
        <w:right w:val="nil"/>
        <w:between w:val="nil"/>
      </w:pBdr>
      <w:tabs>
        <w:tab w:val="center" w:pos="4252"/>
        <w:tab w:val="right" w:pos="8504"/>
      </w:tabs>
      <w:rPr>
        <w:rFonts w:ascii="Palatino Linotype" w:eastAsia="Palatino Linotype" w:hAnsi="Palatino Linotype" w:cs="Palatino Linotype"/>
        <w:color w:val="000000"/>
        <w:sz w:val="22"/>
        <w:szCs w:val="22"/>
      </w:rPr>
    </w:pPr>
  </w:p>
  <w:p w14:paraId="6728DB38" w14:textId="77777777" w:rsidR="00BF67E5" w:rsidRDefault="00BF67E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9975C" w14:textId="77777777" w:rsidR="0012056E" w:rsidRDefault="0012056E">
      <w:r>
        <w:separator/>
      </w:r>
    </w:p>
  </w:footnote>
  <w:footnote w:type="continuationSeparator" w:id="0">
    <w:p w14:paraId="6FE9204A" w14:textId="77777777" w:rsidR="0012056E" w:rsidRDefault="0012056E">
      <w:r>
        <w:continuationSeparator/>
      </w:r>
    </w:p>
  </w:footnote>
  <w:footnote w:id="1">
    <w:p w14:paraId="4B3A66E8" w14:textId="77777777" w:rsidR="00BF67E5" w:rsidRDefault="00BF67E5">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Emitidos por este Instituto y publicados en el Periódico Oficial del Gobierno del Estado de México “Gaceta del Gobierno” en fecha treinta de octubre de dos mil ocho.</w:t>
      </w:r>
    </w:p>
  </w:footnote>
  <w:footnote w:id="2">
    <w:p w14:paraId="1A8AA0CF" w14:textId="77777777" w:rsidR="00BF67E5" w:rsidRDefault="00BF67E5">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Convención Americana sobre Derechos Humanos. Artículo 13.</w:t>
      </w:r>
    </w:p>
  </w:footnote>
  <w:footnote w:id="3">
    <w:p w14:paraId="5347E676" w14:textId="77777777" w:rsidR="00BF67E5" w:rsidRDefault="00BF67E5">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Constitución Política de los Estados Unidos Mexicanos. Artículo sexto, sección A, fracción I.</w:t>
      </w:r>
    </w:p>
  </w:footnote>
  <w:footnote w:id="4">
    <w:p w14:paraId="08611EBA" w14:textId="77777777" w:rsidR="00BF67E5" w:rsidRDefault="00BF67E5">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Corte Interamericana de Derechos Humanos. Caso Claude Reyes y otros vs. Chile. Sentencia de 19 de septiembre de 2006. Serie C. No. 151. Párr. 86.</w:t>
      </w:r>
    </w:p>
  </w:footnote>
  <w:footnote w:id="5">
    <w:p w14:paraId="10E48197" w14:textId="77777777" w:rsidR="00BF67E5" w:rsidRDefault="00BF67E5">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w:t>
      </w:r>
      <w:proofErr w:type="spellStart"/>
      <w:r>
        <w:rPr>
          <w:color w:val="000000"/>
          <w:sz w:val="20"/>
          <w:szCs w:val="20"/>
        </w:rPr>
        <w:t>Ibídem</w:t>
      </w:r>
      <w:proofErr w:type="spellEnd"/>
      <w:r>
        <w:rPr>
          <w:color w:val="000000"/>
          <w:sz w:val="20"/>
          <w:szCs w:val="20"/>
        </w:rPr>
        <w:t xml:space="preserve">. </w:t>
      </w:r>
      <w:proofErr w:type="spellStart"/>
      <w:r>
        <w:rPr>
          <w:color w:val="000000"/>
          <w:sz w:val="20"/>
          <w:szCs w:val="20"/>
        </w:rPr>
        <w:t>Parr</w:t>
      </w:r>
      <w:proofErr w:type="spellEnd"/>
      <w:r>
        <w:rPr>
          <w:color w:val="000000"/>
          <w:sz w:val="20"/>
          <w:szCs w:val="20"/>
        </w:rPr>
        <w:t>. 87.</w:t>
      </w:r>
    </w:p>
  </w:footnote>
  <w:footnote w:id="6">
    <w:p w14:paraId="294C444A" w14:textId="77777777" w:rsidR="00BF67E5" w:rsidRDefault="00BF67E5">
      <w:pPr>
        <w:pBdr>
          <w:top w:val="nil"/>
          <w:left w:val="nil"/>
          <w:bottom w:val="nil"/>
          <w:right w:val="nil"/>
          <w:between w:val="nil"/>
        </w:pBdr>
        <w:rPr>
          <w:rFonts w:eastAsia="Calibri"/>
          <w:color w:val="000000"/>
          <w:sz w:val="20"/>
          <w:szCs w:val="20"/>
        </w:rPr>
      </w:pPr>
      <w:r>
        <w:rPr>
          <w:vertAlign w:val="superscript"/>
        </w:rPr>
        <w:footnoteRef/>
      </w:r>
      <w:r>
        <w:rPr>
          <w:rFonts w:eastAsia="Calibri"/>
          <w:color w:val="000000"/>
          <w:sz w:val="20"/>
          <w:szCs w:val="20"/>
        </w:rPr>
        <w:t xml:space="preserve"> Políticas Públicas y Cambio Climático. Angélica Rosas Huerta. Profesora- investigadora. Departamento Política y Cultura. División de Ciencias Sociales y Humanidades.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3"/>
      <w:tblW w:w="6987" w:type="dxa"/>
      <w:tblInd w:w="3078" w:type="dxa"/>
      <w:tblBorders>
        <w:top w:val="nil"/>
        <w:left w:val="nil"/>
        <w:bottom w:val="nil"/>
        <w:right w:val="nil"/>
        <w:insideH w:val="nil"/>
        <w:insideV w:val="nil"/>
      </w:tblBorders>
      <w:tblLayout w:type="fixed"/>
      <w:tblLook w:val="0400" w:firstRow="0" w:lastRow="0" w:firstColumn="0" w:lastColumn="0" w:noHBand="0" w:noVBand="1"/>
    </w:tblPr>
    <w:tblGrid>
      <w:gridCol w:w="2552"/>
      <w:gridCol w:w="4435"/>
    </w:tblGrid>
    <w:tr w:rsidR="00BF67E5" w:rsidRPr="00BF67E5" w14:paraId="28E07311" w14:textId="77777777" w:rsidTr="00BF67E5">
      <w:trPr>
        <w:trHeight w:val="138"/>
      </w:trPr>
      <w:tc>
        <w:tcPr>
          <w:tcW w:w="2552" w:type="dxa"/>
          <w:vAlign w:val="center"/>
        </w:tcPr>
        <w:p w14:paraId="17966634" w14:textId="77777777" w:rsidR="00BF67E5" w:rsidRPr="00BF67E5" w:rsidRDefault="00BF67E5">
          <w:pPr>
            <w:rPr>
              <w:rFonts w:ascii="Palatino Linotype" w:eastAsia="Palatino Linotype" w:hAnsi="Palatino Linotype" w:cs="Palatino Linotype"/>
              <w:b/>
              <w:sz w:val="22"/>
              <w:szCs w:val="22"/>
            </w:rPr>
          </w:pPr>
          <w:r w:rsidRPr="00BF67E5">
            <w:rPr>
              <w:rFonts w:ascii="Palatino Linotype" w:eastAsia="Palatino Linotype" w:hAnsi="Palatino Linotype" w:cs="Palatino Linotype"/>
              <w:b/>
              <w:sz w:val="22"/>
              <w:szCs w:val="22"/>
            </w:rPr>
            <w:t>Recurso de Revisión:</w:t>
          </w:r>
        </w:p>
      </w:tc>
      <w:tc>
        <w:tcPr>
          <w:tcW w:w="4435" w:type="dxa"/>
          <w:vAlign w:val="center"/>
        </w:tcPr>
        <w:p w14:paraId="7FDBA89C" w14:textId="77777777" w:rsidR="00BF67E5" w:rsidRPr="00BF67E5" w:rsidRDefault="00BF67E5" w:rsidP="00BF67E5">
          <w:pPr>
            <w:pBdr>
              <w:top w:val="nil"/>
              <w:left w:val="nil"/>
              <w:bottom w:val="nil"/>
              <w:right w:val="nil"/>
              <w:between w:val="nil"/>
            </w:pBdr>
            <w:tabs>
              <w:tab w:val="center" w:pos="4252"/>
              <w:tab w:val="right" w:pos="8504"/>
            </w:tabs>
            <w:rPr>
              <w:rFonts w:ascii="Palatino Linotype" w:eastAsia="Palatino Linotype" w:hAnsi="Palatino Linotype" w:cs="Palatino Linotype"/>
              <w:color w:val="000000"/>
              <w:sz w:val="22"/>
              <w:szCs w:val="22"/>
            </w:rPr>
          </w:pPr>
          <w:r w:rsidRPr="00BF67E5">
            <w:rPr>
              <w:rFonts w:ascii="Palatino Linotype" w:eastAsia="Palatino Linotype" w:hAnsi="Palatino Linotype" w:cs="Palatino Linotype"/>
              <w:color w:val="000000"/>
              <w:sz w:val="22"/>
              <w:szCs w:val="22"/>
            </w:rPr>
            <w:t xml:space="preserve">04578/INFOEM/IP/RR/2024 y </w:t>
          </w:r>
          <w:r>
            <w:rPr>
              <w:rFonts w:ascii="Palatino Linotype" w:eastAsia="Palatino Linotype" w:hAnsi="Palatino Linotype" w:cs="Palatino Linotype"/>
              <w:color w:val="000000"/>
              <w:sz w:val="22"/>
              <w:szCs w:val="22"/>
            </w:rPr>
            <w:t>A</w:t>
          </w:r>
          <w:r w:rsidRPr="00BF67E5">
            <w:rPr>
              <w:rFonts w:ascii="Palatino Linotype" w:eastAsia="Palatino Linotype" w:hAnsi="Palatino Linotype" w:cs="Palatino Linotype"/>
              <w:color w:val="000000"/>
              <w:sz w:val="22"/>
              <w:szCs w:val="22"/>
            </w:rPr>
            <w:t>cumulado</w:t>
          </w:r>
        </w:p>
      </w:tc>
    </w:tr>
    <w:tr w:rsidR="00BF67E5" w:rsidRPr="00BF67E5" w14:paraId="13EF4D72" w14:textId="77777777" w:rsidTr="00BF67E5">
      <w:trPr>
        <w:trHeight w:val="321"/>
      </w:trPr>
      <w:tc>
        <w:tcPr>
          <w:tcW w:w="2552" w:type="dxa"/>
          <w:vAlign w:val="center"/>
        </w:tcPr>
        <w:p w14:paraId="45AB1989" w14:textId="77777777" w:rsidR="00BF67E5" w:rsidRPr="00BF67E5" w:rsidRDefault="00BF67E5">
          <w:pPr>
            <w:rPr>
              <w:rFonts w:ascii="Palatino Linotype" w:eastAsia="Palatino Linotype" w:hAnsi="Palatino Linotype" w:cs="Palatino Linotype"/>
              <w:b/>
              <w:sz w:val="22"/>
              <w:szCs w:val="22"/>
            </w:rPr>
          </w:pPr>
          <w:r w:rsidRPr="00BF67E5">
            <w:rPr>
              <w:rFonts w:ascii="Palatino Linotype" w:eastAsia="Palatino Linotype" w:hAnsi="Palatino Linotype" w:cs="Palatino Linotype"/>
              <w:b/>
              <w:sz w:val="22"/>
              <w:szCs w:val="22"/>
            </w:rPr>
            <w:t>Sujeto Obligado:</w:t>
          </w:r>
        </w:p>
      </w:tc>
      <w:tc>
        <w:tcPr>
          <w:tcW w:w="4435" w:type="dxa"/>
          <w:vAlign w:val="center"/>
        </w:tcPr>
        <w:p w14:paraId="4FFF65C0" w14:textId="77777777" w:rsidR="00BF67E5" w:rsidRPr="00BF67E5" w:rsidRDefault="00BF67E5" w:rsidP="00BF67E5">
          <w:pPr>
            <w:rPr>
              <w:rFonts w:ascii="Palatino Linotype" w:eastAsia="Palatino Linotype" w:hAnsi="Palatino Linotype" w:cs="Palatino Linotype"/>
              <w:sz w:val="22"/>
              <w:szCs w:val="22"/>
            </w:rPr>
          </w:pPr>
          <w:r w:rsidRPr="00BF67E5">
            <w:rPr>
              <w:rFonts w:ascii="Palatino Linotype" w:eastAsia="Palatino Linotype" w:hAnsi="Palatino Linotype" w:cs="Palatino Linotype"/>
              <w:sz w:val="22"/>
              <w:szCs w:val="22"/>
            </w:rPr>
            <w:t>Ayuntamiento de Tenancingo</w:t>
          </w:r>
        </w:p>
      </w:tc>
    </w:tr>
    <w:tr w:rsidR="00BF67E5" w:rsidRPr="00BF67E5" w14:paraId="26BF9E09" w14:textId="77777777" w:rsidTr="00BF67E5">
      <w:trPr>
        <w:trHeight w:val="321"/>
      </w:trPr>
      <w:tc>
        <w:tcPr>
          <w:tcW w:w="2552" w:type="dxa"/>
          <w:vAlign w:val="center"/>
        </w:tcPr>
        <w:p w14:paraId="5E7AC7F5" w14:textId="77777777" w:rsidR="00BF67E5" w:rsidRPr="00BF67E5" w:rsidRDefault="00BF67E5">
          <w:pPr>
            <w:rPr>
              <w:rFonts w:ascii="Palatino Linotype" w:eastAsia="Palatino Linotype" w:hAnsi="Palatino Linotype" w:cs="Palatino Linotype"/>
              <w:b/>
              <w:sz w:val="22"/>
              <w:szCs w:val="22"/>
            </w:rPr>
          </w:pPr>
          <w:r w:rsidRPr="00BF67E5">
            <w:rPr>
              <w:rFonts w:ascii="Palatino Linotype" w:eastAsia="Palatino Linotype" w:hAnsi="Palatino Linotype" w:cs="Palatino Linotype"/>
              <w:b/>
              <w:sz w:val="22"/>
              <w:szCs w:val="22"/>
            </w:rPr>
            <w:t>Comisionada Ponente:</w:t>
          </w:r>
        </w:p>
      </w:tc>
      <w:tc>
        <w:tcPr>
          <w:tcW w:w="4435" w:type="dxa"/>
          <w:vAlign w:val="center"/>
        </w:tcPr>
        <w:p w14:paraId="2755EF07" w14:textId="77777777" w:rsidR="00BF67E5" w:rsidRPr="00BF67E5" w:rsidRDefault="00BF67E5" w:rsidP="00BF67E5">
          <w:pPr>
            <w:pBdr>
              <w:top w:val="nil"/>
              <w:left w:val="nil"/>
              <w:bottom w:val="nil"/>
              <w:right w:val="nil"/>
              <w:between w:val="nil"/>
            </w:pBdr>
            <w:tabs>
              <w:tab w:val="center" w:pos="4252"/>
              <w:tab w:val="right" w:pos="8504"/>
            </w:tabs>
            <w:rPr>
              <w:rFonts w:ascii="Palatino Linotype" w:eastAsia="Palatino Linotype" w:hAnsi="Palatino Linotype" w:cs="Palatino Linotype"/>
              <w:color w:val="000000"/>
              <w:sz w:val="22"/>
              <w:szCs w:val="22"/>
            </w:rPr>
          </w:pPr>
          <w:r w:rsidRPr="00BF67E5">
            <w:rPr>
              <w:rFonts w:ascii="Palatino Linotype" w:eastAsia="Palatino Linotype" w:hAnsi="Palatino Linotype" w:cs="Palatino Linotype"/>
              <w:color w:val="000000"/>
              <w:sz w:val="22"/>
              <w:szCs w:val="22"/>
            </w:rPr>
            <w:t>María del Rosario Mejía Ayala</w:t>
          </w:r>
        </w:p>
      </w:tc>
    </w:tr>
  </w:tbl>
  <w:p w14:paraId="201E857B" w14:textId="77777777" w:rsidR="00BF67E5" w:rsidRDefault="00BF67E5">
    <w:pPr>
      <w:pBdr>
        <w:top w:val="nil"/>
        <w:left w:val="nil"/>
        <w:bottom w:val="nil"/>
        <w:right w:val="nil"/>
        <w:between w:val="nil"/>
      </w:pBdr>
      <w:tabs>
        <w:tab w:val="center" w:pos="4252"/>
        <w:tab w:val="right" w:pos="8504"/>
      </w:tabs>
      <w:rPr>
        <w:rFonts w:eastAsia="Calibri"/>
        <w:color w:val="000000"/>
      </w:rPr>
    </w:pPr>
    <w:r>
      <w:rPr>
        <w:noProof/>
        <w:lang w:val="es-MX" w:eastAsia="es-MX"/>
      </w:rPr>
      <w:drawing>
        <wp:anchor distT="0" distB="0" distL="0" distR="0" simplePos="0" relativeHeight="251658240" behindDoc="1" locked="0" layoutInCell="1" hidden="0" allowOverlap="1" wp14:anchorId="6A639F88" wp14:editId="0AEC2630">
          <wp:simplePos x="0" y="0"/>
          <wp:positionH relativeFrom="column">
            <wp:posOffset>-863061</wp:posOffset>
          </wp:positionH>
          <wp:positionV relativeFrom="paragraph">
            <wp:posOffset>-1170713</wp:posOffset>
          </wp:positionV>
          <wp:extent cx="7809876" cy="10165823"/>
          <wp:effectExtent l="0" t="0" r="0" b="0"/>
          <wp:wrapNone/>
          <wp:docPr id="7"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
                  <a:srcRect/>
                  <a:stretch>
                    <a:fillRect/>
                  </a:stretch>
                </pic:blipFill>
                <pic:spPr>
                  <a:xfrm>
                    <a:off x="0" y="0"/>
                    <a:ext cx="7809876" cy="10165823"/>
                  </a:xfrm>
                  <a:prstGeom prst="rect">
                    <a:avLst/>
                  </a:prstGeom>
                  <a:ln/>
                </pic:spPr>
              </pic:pic>
            </a:graphicData>
          </a:graphic>
        </wp:anchor>
      </w:drawing>
    </w:r>
  </w:p>
  <w:p w14:paraId="4DF37ABA" w14:textId="77777777" w:rsidR="00BF67E5" w:rsidRDefault="00BF67E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4"/>
      <w:tblW w:w="7119" w:type="dxa"/>
      <w:tblInd w:w="279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00" w:firstRow="0" w:lastRow="0" w:firstColumn="0" w:lastColumn="0" w:noHBand="0" w:noVBand="1"/>
    </w:tblPr>
    <w:tblGrid>
      <w:gridCol w:w="2532"/>
      <w:gridCol w:w="236"/>
      <w:gridCol w:w="4351"/>
    </w:tblGrid>
    <w:tr w:rsidR="00BF67E5" w:rsidRPr="00BF67E5" w14:paraId="5B3A1A8F" w14:textId="77777777" w:rsidTr="00BF67E5">
      <w:trPr>
        <w:trHeight w:val="138"/>
      </w:trPr>
      <w:tc>
        <w:tcPr>
          <w:tcW w:w="2532" w:type="dxa"/>
          <w:vAlign w:val="center"/>
        </w:tcPr>
        <w:p w14:paraId="27CF4E05" w14:textId="77777777" w:rsidR="00BF67E5" w:rsidRPr="00BF67E5" w:rsidRDefault="00BF67E5">
          <w:pPr>
            <w:rPr>
              <w:rFonts w:ascii="Palatino Linotype" w:eastAsia="Palatino Linotype" w:hAnsi="Palatino Linotype" w:cs="Palatino Linotype"/>
              <w:b/>
              <w:sz w:val="22"/>
              <w:szCs w:val="22"/>
            </w:rPr>
          </w:pPr>
          <w:r w:rsidRPr="00BF67E5">
            <w:rPr>
              <w:rFonts w:ascii="Palatino Linotype" w:eastAsia="Palatino Linotype" w:hAnsi="Palatino Linotype" w:cs="Palatino Linotype"/>
              <w:b/>
              <w:sz w:val="22"/>
              <w:szCs w:val="22"/>
            </w:rPr>
            <w:t>Recurso de Revisión:</w:t>
          </w:r>
        </w:p>
      </w:tc>
      <w:tc>
        <w:tcPr>
          <w:tcW w:w="236" w:type="dxa"/>
          <w:vAlign w:val="center"/>
        </w:tcPr>
        <w:p w14:paraId="56F0EB02" w14:textId="77777777" w:rsidR="00BF67E5" w:rsidRPr="00BF67E5" w:rsidRDefault="00BF67E5">
          <w:pPr>
            <w:pBdr>
              <w:top w:val="nil"/>
              <w:left w:val="nil"/>
              <w:bottom w:val="nil"/>
              <w:right w:val="nil"/>
              <w:between w:val="nil"/>
            </w:pBdr>
            <w:tabs>
              <w:tab w:val="center" w:pos="4252"/>
              <w:tab w:val="right" w:pos="8504"/>
            </w:tabs>
            <w:jc w:val="center"/>
            <w:rPr>
              <w:rFonts w:ascii="Palatino Linotype" w:eastAsia="Palatino Linotype" w:hAnsi="Palatino Linotype" w:cs="Palatino Linotype"/>
              <w:b/>
              <w:color w:val="000000"/>
              <w:sz w:val="22"/>
              <w:szCs w:val="22"/>
            </w:rPr>
          </w:pPr>
        </w:p>
      </w:tc>
      <w:tc>
        <w:tcPr>
          <w:tcW w:w="4351" w:type="dxa"/>
          <w:vAlign w:val="center"/>
        </w:tcPr>
        <w:p w14:paraId="737499B8" w14:textId="77777777" w:rsidR="00BF67E5" w:rsidRPr="00BF67E5" w:rsidRDefault="00BF67E5">
          <w:pPr>
            <w:pBdr>
              <w:top w:val="nil"/>
              <w:left w:val="nil"/>
              <w:bottom w:val="nil"/>
              <w:right w:val="nil"/>
              <w:between w:val="nil"/>
            </w:pBdr>
            <w:tabs>
              <w:tab w:val="center" w:pos="4252"/>
              <w:tab w:val="right" w:pos="8504"/>
            </w:tabs>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04578/INFOEM/IP/RR/2024 y A</w:t>
          </w:r>
          <w:r w:rsidRPr="00BF67E5">
            <w:rPr>
              <w:rFonts w:ascii="Palatino Linotype" w:eastAsia="Palatino Linotype" w:hAnsi="Palatino Linotype" w:cs="Palatino Linotype"/>
              <w:color w:val="000000"/>
              <w:sz w:val="22"/>
              <w:szCs w:val="22"/>
            </w:rPr>
            <w:t>cumulado</w:t>
          </w:r>
        </w:p>
      </w:tc>
    </w:tr>
    <w:tr w:rsidR="00BF67E5" w:rsidRPr="00BF67E5" w14:paraId="02A0B65B" w14:textId="77777777" w:rsidTr="00BF67E5">
      <w:trPr>
        <w:trHeight w:val="227"/>
      </w:trPr>
      <w:tc>
        <w:tcPr>
          <w:tcW w:w="2532" w:type="dxa"/>
          <w:vAlign w:val="center"/>
        </w:tcPr>
        <w:p w14:paraId="5F19BD62" w14:textId="77777777" w:rsidR="00BF67E5" w:rsidRPr="00BF67E5" w:rsidRDefault="00BF67E5">
          <w:pPr>
            <w:rPr>
              <w:rFonts w:ascii="Palatino Linotype" w:eastAsia="Palatino Linotype" w:hAnsi="Palatino Linotype" w:cs="Palatino Linotype"/>
              <w:b/>
              <w:sz w:val="22"/>
              <w:szCs w:val="22"/>
            </w:rPr>
          </w:pPr>
          <w:r w:rsidRPr="00BF67E5">
            <w:rPr>
              <w:rFonts w:ascii="Palatino Linotype" w:eastAsia="Palatino Linotype" w:hAnsi="Palatino Linotype" w:cs="Palatino Linotype"/>
              <w:b/>
              <w:sz w:val="22"/>
              <w:szCs w:val="22"/>
            </w:rPr>
            <w:t>Recurrente:</w:t>
          </w:r>
        </w:p>
      </w:tc>
      <w:tc>
        <w:tcPr>
          <w:tcW w:w="236" w:type="dxa"/>
          <w:vAlign w:val="center"/>
        </w:tcPr>
        <w:p w14:paraId="798345D8" w14:textId="77777777" w:rsidR="00BF67E5" w:rsidRPr="00BF67E5" w:rsidRDefault="00BF67E5">
          <w:pPr>
            <w:pBdr>
              <w:top w:val="nil"/>
              <w:left w:val="nil"/>
              <w:bottom w:val="nil"/>
              <w:right w:val="nil"/>
              <w:between w:val="nil"/>
            </w:pBdr>
            <w:tabs>
              <w:tab w:val="center" w:pos="4252"/>
              <w:tab w:val="right" w:pos="8504"/>
            </w:tabs>
            <w:jc w:val="center"/>
            <w:rPr>
              <w:rFonts w:ascii="Palatino Linotype" w:eastAsia="Palatino Linotype" w:hAnsi="Palatino Linotype" w:cs="Palatino Linotype"/>
              <w:b/>
              <w:color w:val="000000"/>
              <w:sz w:val="22"/>
              <w:szCs w:val="22"/>
            </w:rPr>
          </w:pPr>
        </w:p>
      </w:tc>
      <w:tc>
        <w:tcPr>
          <w:tcW w:w="4351" w:type="dxa"/>
          <w:vAlign w:val="center"/>
        </w:tcPr>
        <w:p w14:paraId="3C1B693A" w14:textId="2E113384" w:rsidR="00BF67E5" w:rsidRPr="00BF67E5" w:rsidRDefault="00C867D6">
          <w:pPr>
            <w:pBdr>
              <w:top w:val="nil"/>
              <w:left w:val="nil"/>
              <w:bottom w:val="nil"/>
              <w:right w:val="nil"/>
              <w:between w:val="nil"/>
            </w:pBdr>
            <w:tabs>
              <w:tab w:val="center" w:pos="4252"/>
              <w:tab w:val="right" w:pos="8504"/>
            </w:tabs>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 xml:space="preserve">XXX </w:t>
          </w:r>
          <w:proofErr w:type="spellStart"/>
          <w:r>
            <w:rPr>
              <w:rFonts w:ascii="Palatino Linotype" w:eastAsia="Palatino Linotype" w:hAnsi="Palatino Linotype" w:cs="Palatino Linotype"/>
              <w:color w:val="000000"/>
              <w:sz w:val="22"/>
              <w:szCs w:val="22"/>
            </w:rPr>
            <w:t>XXX</w:t>
          </w:r>
          <w:proofErr w:type="spellEnd"/>
        </w:p>
      </w:tc>
    </w:tr>
    <w:tr w:rsidR="00BF67E5" w:rsidRPr="00BF67E5" w14:paraId="73657CF3" w14:textId="77777777" w:rsidTr="00BF67E5">
      <w:trPr>
        <w:trHeight w:val="232"/>
      </w:trPr>
      <w:tc>
        <w:tcPr>
          <w:tcW w:w="2532" w:type="dxa"/>
          <w:vAlign w:val="center"/>
        </w:tcPr>
        <w:p w14:paraId="6A808431" w14:textId="77777777" w:rsidR="00BF67E5" w:rsidRPr="00BF67E5" w:rsidRDefault="00BF67E5">
          <w:pPr>
            <w:rPr>
              <w:rFonts w:ascii="Palatino Linotype" w:eastAsia="Palatino Linotype" w:hAnsi="Palatino Linotype" w:cs="Palatino Linotype"/>
              <w:b/>
              <w:sz w:val="22"/>
              <w:szCs w:val="22"/>
            </w:rPr>
          </w:pPr>
          <w:r w:rsidRPr="00BF67E5">
            <w:rPr>
              <w:rFonts w:ascii="Palatino Linotype" w:eastAsia="Palatino Linotype" w:hAnsi="Palatino Linotype" w:cs="Palatino Linotype"/>
              <w:b/>
              <w:sz w:val="22"/>
              <w:szCs w:val="22"/>
            </w:rPr>
            <w:t>Sujeto Obligado:</w:t>
          </w:r>
        </w:p>
      </w:tc>
      <w:tc>
        <w:tcPr>
          <w:tcW w:w="236" w:type="dxa"/>
          <w:vAlign w:val="center"/>
        </w:tcPr>
        <w:p w14:paraId="5F5C426A" w14:textId="77777777" w:rsidR="00BF67E5" w:rsidRPr="00BF67E5" w:rsidRDefault="00BF67E5">
          <w:pPr>
            <w:pBdr>
              <w:top w:val="nil"/>
              <w:left w:val="nil"/>
              <w:bottom w:val="nil"/>
              <w:right w:val="nil"/>
              <w:between w:val="nil"/>
            </w:pBdr>
            <w:tabs>
              <w:tab w:val="center" w:pos="4252"/>
              <w:tab w:val="right" w:pos="8504"/>
            </w:tabs>
            <w:jc w:val="center"/>
            <w:rPr>
              <w:rFonts w:ascii="Palatino Linotype" w:eastAsia="Palatino Linotype" w:hAnsi="Palatino Linotype" w:cs="Palatino Linotype"/>
              <w:b/>
              <w:color w:val="000000"/>
              <w:sz w:val="22"/>
              <w:szCs w:val="22"/>
            </w:rPr>
          </w:pPr>
        </w:p>
      </w:tc>
      <w:tc>
        <w:tcPr>
          <w:tcW w:w="4351" w:type="dxa"/>
          <w:vAlign w:val="center"/>
        </w:tcPr>
        <w:p w14:paraId="716CBB97" w14:textId="77777777" w:rsidR="00BF67E5" w:rsidRPr="00BF67E5" w:rsidRDefault="00BF67E5">
          <w:pPr>
            <w:rPr>
              <w:sz w:val="22"/>
              <w:szCs w:val="22"/>
            </w:rPr>
          </w:pPr>
          <w:r w:rsidRPr="00BF67E5">
            <w:rPr>
              <w:rFonts w:ascii="Palatino Linotype" w:eastAsia="Palatino Linotype" w:hAnsi="Palatino Linotype" w:cs="Palatino Linotype"/>
              <w:sz w:val="22"/>
              <w:szCs w:val="22"/>
            </w:rPr>
            <w:t>Ayuntamiento de Tenancingo</w:t>
          </w:r>
        </w:p>
      </w:tc>
    </w:tr>
    <w:tr w:rsidR="00BF67E5" w:rsidRPr="00BF67E5" w14:paraId="78A4D6BD" w14:textId="77777777" w:rsidTr="00BF67E5">
      <w:trPr>
        <w:trHeight w:val="320"/>
      </w:trPr>
      <w:tc>
        <w:tcPr>
          <w:tcW w:w="2532" w:type="dxa"/>
          <w:vAlign w:val="center"/>
        </w:tcPr>
        <w:p w14:paraId="1777621A" w14:textId="77777777" w:rsidR="00BF67E5" w:rsidRPr="00BF67E5" w:rsidRDefault="00BF67E5">
          <w:pPr>
            <w:rPr>
              <w:rFonts w:ascii="Palatino Linotype" w:eastAsia="Palatino Linotype" w:hAnsi="Palatino Linotype" w:cs="Palatino Linotype"/>
              <w:b/>
              <w:sz w:val="22"/>
              <w:szCs w:val="22"/>
            </w:rPr>
          </w:pPr>
          <w:r w:rsidRPr="00BF67E5">
            <w:rPr>
              <w:rFonts w:ascii="Palatino Linotype" w:eastAsia="Palatino Linotype" w:hAnsi="Palatino Linotype" w:cs="Palatino Linotype"/>
              <w:b/>
              <w:sz w:val="22"/>
              <w:szCs w:val="22"/>
            </w:rPr>
            <w:t>Comisionada Ponente:</w:t>
          </w:r>
        </w:p>
      </w:tc>
      <w:tc>
        <w:tcPr>
          <w:tcW w:w="236" w:type="dxa"/>
          <w:vAlign w:val="center"/>
        </w:tcPr>
        <w:p w14:paraId="59FB419B" w14:textId="77777777" w:rsidR="00BF67E5" w:rsidRPr="00BF67E5" w:rsidRDefault="00BF67E5">
          <w:pPr>
            <w:pBdr>
              <w:top w:val="nil"/>
              <w:left w:val="nil"/>
              <w:bottom w:val="nil"/>
              <w:right w:val="nil"/>
              <w:between w:val="nil"/>
            </w:pBdr>
            <w:tabs>
              <w:tab w:val="center" w:pos="4252"/>
              <w:tab w:val="right" w:pos="8504"/>
            </w:tabs>
            <w:jc w:val="center"/>
            <w:rPr>
              <w:rFonts w:ascii="Palatino Linotype" w:eastAsia="Palatino Linotype" w:hAnsi="Palatino Linotype" w:cs="Palatino Linotype"/>
              <w:b/>
              <w:color w:val="000000"/>
              <w:sz w:val="22"/>
              <w:szCs w:val="22"/>
            </w:rPr>
          </w:pPr>
        </w:p>
      </w:tc>
      <w:tc>
        <w:tcPr>
          <w:tcW w:w="4351" w:type="dxa"/>
          <w:vAlign w:val="center"/>
        </w:tcPr>
        <w:p w14:paraId="1710C010" w14:textId="77777777" w:rsidR="00BF67E5" w:rsidRPr="00BF67E5" w:rsidRDefault="00BF67E5">
          <w:pPr>
            <w:pBdr>
              <w:top w:val="nil"/>
              <w:left w:val="nil"/>
              <w:bottom w:val="nil"/>
              <w:right w:val="nil"/>
              <w:between w:val="nil"/>
            </w:pBdr>
            <w:tabs>
              <w:tab w:val="center" w:pos="4252"/>
              <w:tab w:val="right" w:pos="8504"/>
            </w:tabs>
            <w:rPr>
              <w:rFonts w:ascii="Palatino Linotype" w:eastAsia="Palatino Linotype" w:hAnsi="Palatino Linotype" w:cs="Palatino Linotype"/>
              <w:color w:val="000000"/>
              <w:sz w:val="22"/>
              <w:szCs w:val="22"/>
            </w:rPr>
          </w:pPr>
          <w:r w:rsidRPr="00BF67E5">
            <w:rPr>
              <w:rFonts w:ascii="Palatino Linotype" w:eastAsia="Palatino Linotype" w:hAnsi="Palatino Linotype" w:cs="Palatino Linotype"/>
              <w:color w:val="000000"/>
              <w:sz w:val="22"/>
              <w:szCs w:val="22"/>
            </w:rPr>
            <w:t>María del Rosario Mejía Ayala</w:t>
          </w:r>
        </w:p>
      </w:tc>
    </w:tr>
  </w:tbl>
  <w:p w14:paraId="66CF01F3" w14:textId="77777777" w:rsidR="00BF67E5" w:rsidRDefault="00BF67E5">
    <w:pPr>
      <w:pBdr>
        <w:top w:val="nil"/>
        <w:left w:val="nil"/>
        <w:bottom w:val="nil"/>
        <w:right w:val="nil"/>
        <w:between w:val="nil"/>
      </w:pBdr>
      <w:tabs>
        <w:tab w:val="center" w:pos="4252"/>
        <w:tab w:val="right" w:pos="8504"/>
      </w:tabs>
      <w:rPr>
        <w:rFonts w:eastAsia="Calibri"/>
        <w:color w:val="000000"/>
      </w:rPr>
    </w:pPr>
    <w:r>
      <w:rPr>
        <w:noProof/>
        <w:lang w:val="es-MX" w:eastAsia="es-MX"/>
      </w:rPr>
      <w:drawing>
        <wp:anchor distT="0" distB="0" distL="0" distR="0" simplePos="0" relativeHeight="251659264" behindDoc="1" locked="0" layoutInCell="1" hidden="0" allowOverlap="1" wp14:anchorId="2081A3A1" wp14:editId="286F2710">
          <wp:simplePos x="0" y="0"/>
          <wp:positionH relativeFrom="column">
            <wp:posOffset>-999454</wp:posOffset>
          </wp:positionH>
          <wp:positionV relativeFrom="paragraph">
            <wp:posOffset>-1340593</wp:posOffset>
          </wp:positionV>
          <wp:extent cx="7809876" cy="10165823"/>
          <wp:effectExtent l="0" t="0" r="0" b="0"/>
          <wp:wrapNone/>
          <wp:docPr id="8"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
                  <a:srcRect/>
                  <a:stretch>
                    <a:fillRect/>
                  </a:stretch>
                </pic:blipFill>
                <pic:spPr>
                  <a:xfrm>
                    <a:off x="0" y="0"/>
                    <a:ext cx="7809876" cy="10165823"/>
                  </a:xfrm>
                  <a:prstGeom prst="rect">
                    <a:avLst/>
                  </a:prstGeom>
                  <a:ln/>
                </pic:spPr>
              </pic:pic>
            </a:graphicData>
          </a:graphic>
        </wp:anchor>
      </w:drawing>
    </w:r>
  </w:p>
  <w:p w14:paraId="2E8AB9B2" w14:textId="77777777" w:rsidR="00BF67E5" w:rsidRDefault="00BF67E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F3125"/>
    <w:multiLevelType w:val="multilevel"/>
    <w:tmpl w:val="48A41940"/>
    <w:lvl w:ilvl="0">
      <w:start w:val="1"/>
      <w:numFmt w:val="lowerLetter"/>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12974D51"/>
    <w:multiLevelType w:val="multilevel"/>
    <w:tmpl w:val="817A8A9C"/>
    <w:lvl w:ilvl="0">
      <w:start w:val="1"/>
      <w:numFmt w:val="decimal"/>
      <w:lvlText w:val="%1."/>
      <w:lvlJc w:val="left"/>
      <w:pPr>
        <w:ind w:left="928" w:hanging="360"/>
      </w:pPr>
      <w:rPr>
        <w:rFonts w:ascii="Palatino Linotype" w:hAnsi="Palatino Linotype" w:hint="default"/>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3BC3643C"/>
    <w:multiLevelType w:val="multilevel"/>
    <w:tmpl w:val="164E0CF8"/>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3" w15:restartNumberingAfterBreak="0">
    <w:nsid w:val="5C1D0B1B"/>
    <w:multiLevelType w:val="multilevel"/>
    <w:tmpl w:val="6AB03CA8"/>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DC808B2"/>
    <w:multiLevelType w:val="hybridMultilevel"/>
    <w:tmpl w:val="5CCC6FC4"/>
    <w:lvl w:ilvl="0" w:tplc="14F093B0">
      <w:start w:val="1"/>
      <w:numFmt w:val="upperRoman"/>
      <w:lvlText w:val="%1."/>
      <w:lvlJc w:val="left"/>
      <w:pPr>
        <w:ind w:left="1854" w:hanging="720"/>
      </w:pPr>
      <w:rPr>
        <w:rFonts w:hint="default"/>
        <w:b/>
      </w:rPr>
    </w:lvl>
    <w:lvl w:ilvl="1" w:tplc="080A0019" w:tentative="1">
      <w:start w:val="1"/>
      <w:numFmt w:val="lowerLetter"/>
      <w:lvlText w:val="%2."/>
      <w:lvlJc w:val="left"/>
      <w:pPr>
        <w:ind w:left="2214" w:hanging="360"/>
      </w:pPr>
    </w:lvl>
    <w:lvl w:ilvl="2" w:tplc="080A001B" w:tentative="1">
      <w:start w:val="1"/>
      <w:numFmt w:val="lowerRoman"/>
      <w:lvlText w:val="%3."/>
      <w:lvlJc w:val="right"/>
      <w:pPr>
        <w:ind w:left="2934" w:hanging="180"/>
      </w:pPr>
    </w:lvl>
    <w:lvl w:ilvl="3" w:tplc="080A000F" w:tentative="1">
      <w:start w:val="1"/>
      <w:numFmt w:val="decimal"/>
      <w:lvlText w:val="%4."/>
      <w:lvlJc w:val="left"/>
      <w:pPr>
        <w:ind w:left="3654" w:hanging="360"/>
      </w:pPr>
    </w:lvl>
    <w:lvl w:ilvl="4" w:tplc="080A0019" w:tentative="1">
      <w:start w:val="1"/>
      <w:numFmt w:val="lowerLetter"/>
      <w:lvlText w:val="%5."/>
      <w:lvlJc w:val="left"/>
      <w:pPr>
        <w:ind w:left="4374" w:hanging="360"/>
      </w:pPr>
    </w:lvl>
    <w:lvl w:ilvl="5" w:tplc="080A001B" w:tentative="1">
      <w:start w:val="1"/>
      <w:numFmt w:val="lowerRoman"/>
      <w:lvlText w:val="%6."/>
      <w:lvlJc w:val="right"/>
      <w:pPr>
        <w:ind w:left="5094" w:hanging="180"/>
      </w:pPr>
    </w:lvl>
    <w:lvl w:ilvl="6" w:tplc="080A000F" w:tentative="1">
      <w:start w:val="1"/>
      <w:numFmt w:val="decimal"/>
      <w:lvlText w:val="%7."/>
      <w:lvlJc w:val="left"/>
      <w:pPr>
        <w:ind w:left="5814" w:hanging="360"/>
      </w:pPr>
    </w:lvl>
    <w:lvl w:ilvl="7" w:tplc="080A0019" w:tentative="1">
      <w:start w:val="1"/>
      <w:numFmt w:val="lowerLetter"/>
      <w:lvlText w:val="%8."/>
      <w:lvlJc w:val="left"/>
      <w:pPr>
        <w:ind w:left="6534" w:hanging="360"/>
      </w:pPr>
    </w:lvl>
    <w:lvl w:ilvl="8" w:tplc="080A001B" w:tentative="1">
      <w:start w:val="1"/>
      <w:numFmt w:val="lowerRoman"/>
      <w:lvlText w:val="%9."/>
      <w:lvlJc w:val="right"/>
      <w:pPr>
        <w:ind w:left="7254" w:hanging="180"/>
      </w:pPr>
    </w:lvl>
  </w:abstractNum>
  <w:abstractNum w:abstractNumId="5" w15:restartNumberingAfterBreak="0">
    <w:nsid w:val="5FA501B3"/>
    <w:multiLevelType w:val="multilevel"/>
    <w:tmpl w:val="C2CE0E0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BB715BC"/>
    <w:multiLevelType w:val="multilevel"/>
    <w:tmpl w:val="FDD8074C"/>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7D81002E"/>
    <w:multiLevelType w:val="multilevel"/>
    <w:tmpl w:val="0666BA9E"/>
    <w:lvl w:ilvl="0">
      <w:start w:val="1"/>
      <w:numFmt w:val="lowerLetter"/>
      <w:lvlText w:val="%1)"/>
      <w:lvlJc w:val="left"/>
      <w:pPr>
        <w:ind w:left="1440" w:hanging="360"/>
      </w:pPr>
      <w:rPr>
        <w:b/>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16cid:durableId="245506145">
    <w:abstractNumId w:val="7"/>
  </w:num>
  <w:num w:numId="2" w16cid:durableId="766732626">
    <w:abstractNumId w:val="3"/>
  </w:num>
  <w:num w:numId="3" w16cid:durableId="1253970806">
    <w:abstractNumId w:val="2"/>
  </w:num>
  <w:num w:numId="4" w16cid:durableId="1448892571">
    <w:abstractNumId w:val="0"/>
  </w:num>
  <w:num w:numId="5" w16cid:durableId="2125690855">
    <w:abstractNumId w:val="1"/>
  </w:num>
  <w:num w:numId="6" w16cid:durableId="294258991">
    <w:abstractNumId w:val="5"/>
  </w:num>
  <w:num w:numId="7" w16cid:durableId="1105072757">
    <w:abstractNumId w:val="6"/>
  </w:num>
  <w:num w:numId="8" w16cid:durableId="13282482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3C22"/>
    <w:rsid w:val="0000156C"/>
    <w:rsid w:val="000C1DDC"/>
    <w:rsid w:val="001163DE"/>
    <w:rsid w:val="0012056E"/>
    <w:rsid w:val="001F7AFD"/>
    <w:rsid w:val="003D3C22"/>
    <w:rsid w:val="003E2CB5"/>
    <w:rsid w:val="004746B1"/>
    <w:rsid w:val="00555A36"/>
    <w:rsid w:val="006107CD"/>
    <w:rsid w:val="00663074"/>
    <w:rsid w:val="006F0811"/>
    <w:rsid w:val="00864D04"/>
    <w:rsid w:val="00A11D9D"/>
    <w:rsid w:val="00A22046"/>
    <w:rsid w:val="00B309A7"/>
    <w:rsid w:val="00BF67E5"/>
    <w:rsid w:val="00C867D6"/>
    <w:rsid w:val="00E01BE5"/>
    <w:rsid w:val="00F75A0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E2DAEC"/>
  <w15:docId w15:val="{EA31C4C7-41F1-444D-9F24-E2D6E7E21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s-ES_tradnl"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647A"/>
    <w:rPr>
      <w:rFonts w:eastAsiaTheme="minorEastAsia"/>
      <w:lang w:eastAsia="es-ES"/>
    </w:rPr>
  </w:style>
  <w:style w:type="paragraph" w:styleId="Ttulo1">
    <w:name w:val="heading 1"/>
    <w:basedOn w:val="Normal"/>
    <w:next w:val="Normal"/>
    <w:link w:val="Ttulo1Car"/>
    <w:uiPriority w:val="9"/>
    <w:qFormat/>
    <w:rsid w:val="0043647A"/>
    <w:pPr>
      <w:keepNext/>
      <w:keepLines/>
      <w:spacing w:before="240" w:line="259" w:lineRule="auto"/>
      <w:outlineLvl w:val="0"/>
    </w:pPr>
    <w:rPr>
      <w:rFonts w:ascii="Palatino Linotype" w:eastAsiaTheme="majorEastAsia" w:hAnsi="Palatino Linotype" w:cstheme="majorBidi"/>
      <w:b/>
      <w:color w:val="000000" w:themeColor="text1"/>
      <w:szCs w:val="32"/>
      <w:lang w:val="es-MX" w:eastAsia="en-US"/>
    </w:rPr>
  </w:style>
  <w:style w:type="paragraph" w:styleId="Ttulo2">
    <w:name w:val="heading 2"/>
    <w:basedOn w:val="Normal"/>
    <w:next w:val="Normal"/>
    <w:link w:val="Ttulo2Car"/>
    <w:uiPriority w:val="9"/>
    <w:unhideWhenUsed/>
    <w:qFormat/>
    <w:rsid w:val="0043647A"/>
    <w:pPr>
      <w:keepNext/>
      <w:keepLines/>
      <w:spacing w:before="40" w:line="259" w:lineRule="auto"/>
      <w:outlineLvl w:val="1"/>
    </w:pPr>
    <w:rPr>
      <w:rFonts w:ascii="Palatino Linotype" w:eastAsiaTheme="majorEastAsia" w:hAnsi="Palatino Linotype" w:cstheme="majorBidi"/>
      <w:b/>
      <w:color w:val="000000" w:themeColor="text1"/>
      <w:szCs w:val="26"/>
      <w:lang w:val="es-MX" w:eastAsia="en-US"/>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character" w:customStyle="1" w:styleId="Ttulo1Car">
    <w:name w:val="Título 1 Car"/>
    <w:basedOn w:val="Fuentedeprrafopredeter"/>
    <w:link w:val="Ttulo1"/>
    <w:uiPriority w:val="9"/>
    <w:rsid w:val="0043647A"/>
    <w:rPr>
      <w:rFonts w:ascii="Palatino Linotype" w:eastAsiaTheme="majorEastAsia" w:hAnsi="Palatino Linotype" w:cstheme="majorBidi"/>
      <w:b/>
      <w:color w:val="000000" w:themeColor="text1"/>
      <w:sz w:val="24"/>
      <w:szCs w:val="32"/>
    </w:rPr>
  </w:style>
  <w:style w:type="character" w:customStyle="1" w:styleId="Ttulo2Car">
    <w:name w:val="Título 2 Car"/>
    <w:basedOn w:val="Fuentedeprrafopredeter"/>
    <w:link w:val="Ttulo2"/>
    <w:uiPriority w:val="9"/>
    <w:rsid w:val="0043647A"/>
    <w:rPr>
      <w:rFonts w:ascii="Palatino Linotype" w:eastAsiaTheme="majorEastAsia" w:hAnsi="Palatino Linotype" w:cstheme="majorBidi"/>
      <w:b/>
      <w:color w:val="000000" w:themeColor="text1"/>
      <w:sz w:val="24"/>
      <w:szCs w:val="26"/>
    </w:rPr>
  </w:style>
  <w:style w:type="paragraph" w:styleId="Encabezado">
    <w:name w:val="header"/>
    <w:basedOn w:val="Normal"/>
    <w:link w:val="EncabezadoCar"/>
    <w:uiPriority w:val="99"/>
    <w:unhideWhenUsed/>
    <w:rsid w:val="0043647A"/>
    <w:pPr>
      <w:tabs>
        <w:tab w:val="center" w:pos="4252"/>
        <w:tab w:val="right" w:pos="8504"/>
      </w:tabs>
    </w:pPr>
  </w:style>
  <w:style w:type="character" w:customStyle="1" w:styleId="EncabezadoCar">
    <w:name w:val="Encabezado Car"/>
    <w:basedOn w:val="Fuentedeprrafopredeter"/>
    <w:link w:val="Encabezado"/>
    <w:uiPriority w:val="99"/>
    <w:rsid w:val="0043647A"/>
    <w:rPr>
      <w:rFonts w:eastAsiaTheme="minorEastAsia"/>
      <w:sz w:val="24"/>
      <w:szCs w:val="24"/>
      <w:lang w:val="es-ES_tradnl" w:eastAsia="es-ES"/>
    </w:rPr>
  </w:style>
  <w:style w:type="paragraph" w:styleId="Piedepgina">
    <w:name w:val="footer"/>
    <w:basedOn w:val="Normal"/>
    <w:link w:val="PiedepginaCar"/>
    <w:uiPriority w:val="99"/>
    <w:unhideWhenUsed/>
    <w:rsid w:val="0043647A"/>
    <w:pPr>
      <w:tabs>
        <w:tab w:val="center" w:pos="4252"/>
        <w:tab w:val="right" w:pos="8504"/>
      </w:tabs>
    </w:pPr>
  </w:style>
  <w:style w:type="character" w:customStyle="1" w:styleId="PiedepginaCar">
    <w:name w:val="Pie de página Car"/>
    <w:basedOn w:val="Fuentedeprrafopredeter"/>
    <w:link w:val="Piedepgina"/>
    <w:uiPriority w:val="99"/>
    <w:rsid w:val="0043647A"/>
    <w:rPr>
      <w:rFonts w:eastAsiaTheme="minorEastAsia"/>
      <w:sz w:val="24"/>
      <w:szCs w:val="24"/>
      <w:lang w:val="es-ES_tradnl" w:eastAsia="es-ES"/>
    </w:rPr>
  </w:style>
  <w:style w:type="table" w:styleId="Tablaconcuadrcula">
    <w:name w:val="Table Grid"/>
    <w:basedOn w:val="Tablanormal"/>
    <w:uiPriority w:val="59"/>
    <w:rsid w:val="0043647A"/>
    <w:rPr>
      <w:rFonts w:eastAsiaTheme="minorEastAsia"/>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43647A"/>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43647A"/>
    <w:rPr>
      <w:rFonts w:eastAsiaTheme="minorEastAsia"/>
      <w:sz w:val="24"/>
      <w:szCs w:val="24"/>
      <w:lang w:val="es-ES_tradnl" w:eastAsia="es-ES"/>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43647A"/>
    <w:rPr>
      <w:rFonts w:eastAsiaTheme="minorHAnsi"/>
      <w:sz w:val="20"/>
      <w:szCs w:val="20"/>
      <w:lang w:val="es-MX"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43647A"/>
    <w:rPr>
      <w:sz w:val="20"/>
      <w:szCs w:val="20"/>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f"/>
    <w:basedOn w:val="Fuentedeprrafopredeter"/>
    <w:uiPriority w:val="99"/>
    <w:unhideWhenUsed/>
    <w:qFormat/>
    <w:rsid w:val="0043647A"/>
    <w:rPr>
      <w:vertAlign w:val="superscript"/>
    </w:rPr>
  </w:style>
  <w:style w:type="paragraph" w:styleId="Sangradetextonormal">
    <w:name w:val="Body Text Indent"/>
    <w:basedOn w:val="Normal"/>
    <w:link w:val="SangradetextonormalCar"/>
    <w:uiPriority w:val="99"/>
    <w:semiHidden/>
    <w:unhideWhenUsed/>
    <w:rsid w:val="0043647A"/>
    <w:pPr>
      <w:spacing w:after="120"/>
      <w:ind w:left="283"/>
    </w:pPr>
  </w:style>
  <w:style w:type="character" w:customStyle="1" w:styleId="SangradetextonormalCar">
    <w:name w:val="Sangría de texto normal Car"/>
    <w:basedOn w:val="Fuentedeprrafopredeter"/>
    <w:link w:val="Sangradetextonormal"/>
    <w:uiPriority w:val="99"/>
    <w:semiHidden/>
    <w:rsid w:val="0043647A"/>
    <w:rPr>
      <w:rFonts w:eastAsiaTheme="minorEastAsia"/>
      <w:sz w:val="24"/>
      <w:szCs w:val="24"/>
      <w:lang w:val="es-ES_tradnl" w:eastAsia="es-ES"/>
    </w:rPr>
  </w:style>
  <w:style w:type="paragraph" w:styleId="Textoindependienteprimerasangra2">
    <w:name w:val="Body Text First Indent 2"/>
    <w:basedOn w:val="Sangradetextonormal"/>
    <w:link w:val="Textoindependienteprimerasangra2Car"/>
    <w:uiPriority w:val="99"/>
    <w:unhideWhenUsed/>
    <w:rsid w:val="0043647A"/>
    <w:pPr>
      <w:spacing w:after="0"/>
      <w:ind w:left="360" w:firstLine="360"/>
    </w:pPr>
    <w:rPr>
      <w:rFonts w:ascii="Times New Roman" w:eastAsia="Times New Roman" w:hAnsi="Times New Roman" w:cs="Times New Roman"/>
      <w:lang w:val="es-MX" w:eastAsia="es-MX"/>
    </w:rPr>
  </w:style>
  <w:style w:type="character" w:customStyle="1" w:styleId="Textoindependienteprimerasangra2Car">
    <w:name w:val="Texto independiente primera sangría 2 Car"/>
    <w:basedOn w:val="SangradetextonormalCar"/>
    <w:link w:val="Textoindependienteprimerasangra2"/>
    <w:uiPriority w:val="99"/>
    <w:rsid w:val="0043647A"/>
    <w:rPr>
      <w:rFonts w:ascii="Times New Roman" w:eastAsia="Times New Roman" w:hAnsi="Times New Roman" w:cs="Times New Roman"/>
      <w:sz w:val="24"/>
      <w:szCs w:val="24"/>
      <w:lang w:val="es-ES_tradnl" w:eastAsia="es-MX"/>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108" w:type="dxa"/>
        <w:right w:w="108" w:type="dxa"/>
      </w:tblCellMar>
    </w:tblPr>
  </w:style>
  <w:style w:type="table" w:customStyle="1" w:styleId="a1">
    <w:basedOn w:val="TableNormal"/>
    <w:tblPr>
      <w:tblStyleRowBandSize w:val="1"/>
      <w:tblStyleColBandSize w:val="1"/>
      <w:tblCellMar>
        <w:left w:w="108" w:type="dxa"/>
        <w:right w:w="108"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08" w:type="dxa"/>
        <w:right w:w="108" w:type="dxa"/>
      </w:tblCellMar>
    </w:tblPr>
  </w:style>
  <w:style w:type="table" w:customStyle="1" w:styleId="a4">
    <w:basedOn w:val="TableNormal"/>
    <w:tblPr>
      <w:tblStyleRowBandSize w:val="1"/>
      <w:tblStyleColBandSize w:val="1"/>
      <w:tblCellMar>
        <w:left w:w="108" w:type="dxa"/>
        <w:right w:w="108" w:type="dxa"/>
      </w:tblCellMar>
    </w:tblPr>
  </w:style>
  <w:style w:type="character" w:styleId="Referenciasutil">
    <w:name w:val="Subtle Reference"/>
    <w:basedOn w:val="Fuentedeprrafopredeter"/>
    <w:uiPriority w:val="31"/>
    <w:qFormat/>
    <w:rsid w:val="00F75A09"/>
    <w:rPr>
      <w:rFonts w:cs="Times New Roman"/>
      <w:smallCaps/>
      <w:color w:val="5A5A5A"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dof.gob.mx/nota_detalle.php?codigo=5492254&amp;fecha=28/07/2017"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s://portalanterior.ine.mx/archivos2/tutoriales/sistemas/ApoyoInstitucional/SIF/docs/candidatos/folioFiscalFactura.pdf" TargetMode="External"/><Relationship Id="rId10" Type="http://schemas.openxmlformats.org/officeDocument/2006/relationships/image" Target="media/image3.pn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Tu+7n7sfZiPiUU6SfH4lgbWdo8w==">CgMxLjAyCGguZ2pkZ3hzMgloLjMwajB6bGwyCWguMWZvYjl0ZTIJaC4zem55c2g3MgloLjJldDkycDAyCGgudHlqY3d0MgloLjNkeTZ2a20yCWguNGQzNG9nODIJaC4yczhleW8xMgloLjE3ZHA4dnUyCWguMXQzaDVzZjIIaC5sbnhiejkyCWguNGQzNG9nODIJaC4yczhleW8xMgloLjE3ZHA4dnU4AHIhMVJNVHV1TEJBSmhLa0JPZ1NNa09qZ1RwSFdRd2ZTR0R0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54</Pages>
  <Words>14397</Words>
  <Characters>79185</Characters>
  <Application>Microsoft Office Word</Application>
  <DocSecurity>0</DocSecurity>
  <Lines>659</Lines>
  <Paragraphs>186</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93396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INFOEM399</dc:creator>
  <cp:lastModifiedBy>inf03m612@outlook.com</cp:lastModifiedBy>
  <cp:revision>8</cp:revision>
  <cp:lastPrinted>2024-11-07T18:26:00Z</cp:lastPrinted>
  <dcterms:created xsi:type="dcterms:W3CDTF">2024-10-24T19:47:00Z</dcterms:created>
  <dcterms:modified xsi:type="dcterms:W3CDTF">2024-11-20T17:05:00Z</dcterms:modified>
</cp:coreProperties>
</file>