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1CE69" w14:textId="77777777" w:rsidR="00F77945" w:rsidRPr="00875B7E" w:rsidRDefault="00F77945" w:rsidP="00F7794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w:t>
      </w:r>
      <w:bookmarkStart w:id="0" w:name="_GoBack"/>
      <w:r w:rsidRPr="00875B7E">
        <w:rPr>
          <w:rFonts w:eastAsia="Palatino Linotype" w:cs="Palatino Linotype"/>
          <w:color w:val="000000"/>
          <w:szCs w:val="24"/>
        </w:rPr>
        <w:t>Transparencia, Acceso a la Información Pública y Protección de Datos Personales del Esta</w:t>
      </w:r>
      <w:bookmarkEnd w:id="0"/>
      <w:r w:rsidRPr="00875B7E">
        <w:rPr>
          <w:rFonts w:eastAsia="Palatino Linotype" w:cs="Palatino Linotype"/>
          <w:color w:val="000000"/>
          <w:szCs w:val="24"/>
        </w:rPr>
        <w:t xml:space="preserve">do de México y Municipios, con domicilio en Metepec, Estado de </w:t>
      </w:r>
      <w:r w:rsidRPr="006F000C">
        <w:rPr>
          <w:rFonts w:eastAsia="Palatino Linotype" w:cs="Palatino Linotype"/>
          <w:color w:val="000000"/>
          <w:szCs w:val="24"/>
        </w:rPr>
        <w:t>México, a</w:t>
      </w:r>
      <w:r w:rsidR="00197291">
        <w:rPr>
          <w:rFonts w:eastAsia="Palatino Linotype" w:cs="Palatino Linotype"/>
          <w:color w:val="000000"/>
          <w:szCs w:val="24"/>
        </w:rPr>
        <w:t xml:space="preserve"> </w:t>
      </w:r>
      <w:r w:rsidR="00E6703A">
        <w:rPr>
          <w:rFonts w:eastAsia="Palatino Linotype" w:cs="Palatino Linotype"/>
          <w:color w:val="000000"/>
          <w:szCs w:val="24"/>
        </w:rPr>
        <w:t xml:space="preserve">treinta y uno de enero </w:t>
      </w:r>
      <w:r w:rsidR="00197291">
        <w:rPr>
          <w:rFonts w:eastAsia="Palatino Linotype" w:cs="Palatino Linotype"/>
          <w:color w:val="000000"/>
          <w:szCs w:val="24"/>
        </w:rPr>
        <w:t>de dos mil veinticuatro</w:t>
      </w:r>
      <w:r w:rsidRPr="00875B7E">
        <w:rPr>
          <w:rFonts w:eastAsia="Palatino Linotype" w:cs="Palatino Linotype"/>
          <w:color w:val="000000"/>
          <w:szCs w:val="24"/>
        </w:rPr>
        <w:t>.</w:t>
      </w:r>
    </w:p>
    <w:p w14:paraId="10D87414" w14:textId="77777777" w:rsidR="00F77945" w:rsidRPr="00875B7E" w:rsidRDefault="00F77945" w:rsidP="00F77945">
      <w:pPr>
        <w:pBdr>
          <w:top w:val="nil"/>
          <w:left w:val="nil"/>
          <w:bottom w:val="nil"/>
          <w:right w:val="nil"/>
          <w:between w:val="nil"/>
        </w:pBdr>
        <w:contextualSpacing/>
        <w:rPr>
          <w:rFonts w:eastAsia="Palatino Linotype" w:cs="Palatino Linotype"/>
          <w:color w:val="000000"/>
          <w:szCs w:val="24"/>
        </w:rPr>
      </w:pPr>
    </w:p>
    <w:p w14:paraId="5AE9E640" w14:textId="18B76407" w:rsidR="00F77945" w:rsidRPr="00875B7E" w:rsidRDefault="00F77945" w:rsidP="00F7794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r w:rsidR="006D7E6A">
        <w:rPr>
          <w:rFonts w:eastAsia="Palatino Linotype" w:cs="Palatino Linotype"/>
          <w:b/>
          <w:color w:val="000000"/>
          <w:szCs w:val="24"/>
        </w:rPr>
        <w:t>06560</w:t>
      </w:r>
      <w:r>
        <w:rPr>
          <w:rFonts w:eastAsia="Palatino Linotype" w:cs="Palatino Linotype"/>
          <w:b/>
          <w:color w:val="000000"/>
          <w:szCs w:val="24"/>
        </w:rPr>
        <w:t>/</w:t>
      </w:r>
      <w:r w:rsidRPr="00875B7E">
        <w:rPr>
          <w:rFonts w:eastAsia="Palatino Linotype" w:cs="Palatino Linotype"/>
          <w:b/>
          <w:color w:val="000000"/>
          <w:szCs w:val="24"/>
        </w:rPr>
        <w:t>INFOEM/IP/RR/202</w:t>
      </w:r>
      <w:r>
        <w:rPr>
          <w:rFonts w:eastAsia="Palatino Linotype" w:cs="Palatino Linotype"/>
          <w:b/>
          <w:color w:val="000000"/>
          <w:szCs w:val="24"/>
        </w:rPr>
        <w:t>3</w:t>
      </w:r>
      <w:r w:rsidRPr="00875B7E">
        <w:rPr>
          <w:rFonts w:eastAsia="Palatino Linotype" w:cs="Palatino Linotype"/>
          <w:color w:val="000000"/>
          <w:szCs w:val="24"/>
        </w:rPr>
        <w:t>, interpuesto por</w:t>
      </w:r>
      <w:r w:rsidR="00E6703A">
        <w:rPr>
          <w:rFonts w:eastAsia="Palatino Linotype" w:cs="Palatino Linotype"/>
          <w:color w:val="000000"/>
          <w:szCs w:val="24"/>
        </w:rPr>
        <w:t xml:space="preserve"> </w:t>
      </w:r>
      <w:r w:rsidR="00D86784">
        <w:rPr>
          <w:rFonts w:cs="Arial"/>
          <w:b/>
          <w:szCs w:val="24"/>
        </w:rPr>
        <w:t>XXXXXXXXXXXXXXXXX</w:t>
      </w:r>
      <w:r>
        <w:rPr>
          <w:rFonts w:cs="Arial"/>
          <w:szCs w:val="24"/>
        </w:rPr>
        <w:t xml:space="preserve">, </w:t>
      </w:r>
      <w:r w:rsidRPr="00875B7E">
        <w:rPr>
          <w:rFonts w:eastAsia="Palatino Linotype" w:cs="Palatino Linotype"/>
          <w:color w:val="000000"/>
          <w:szCs w:val="24"/>
        </w:rPr>
        <w:t xml:space="preserve">en lo sucesivo el </w:t>
      </w:r>
      <w:r w:rsidRPr="00875B7E">
        <w:rPr>
          <w:rFonts w:eastAsia="Palatino Linotype" w:cs="Palatino Linotype"/>
          <w:b/>
          <w:color w:val="000000"/>
          <w:szCs w:val="24"/>
        </w:rPr>
        <w:t>Recurrente</w:t>
      </w:r>
      <w:r w:rsidRPr="00875B7E">
        <w:rPr>
          <w:rFonts w:eastAsia="Palatino Linotype" w:cs="Palatino Linotype"/>
          <w:color w:val="000000"/>
          <w:szCs w:val="24"/>
        </w:rPr>
        <w:t>, en contra de la respuesta del</w:t>
      </w:r>
      <w:r w:rsidR="00E6703A">
        <w:rPr>
          <w:rFonts w:eastAsia="Palatino Linotype" w:cs="Palatino Linotype"/>
          <w:color w:val="000000"/>
          <w:szCs w:val="24"/>
        </w:rPr>
        <w:t xml:space="preserve"> </w:t>
      </w:r>
      <w:r w:rsidR="00E6703A">
        <w:rPr>
          <w:b/>
          <w:bCs/>
          <w:color w:val="000000"/>
          <w:szCs w:val="24"/>
        </w:rPr>
        <w:t xml:space="preserve">Ayuntamiento de </w:t>
      </w:r>
      <w:proofErr w:type="spellStart"/>
      <w:r w:rsidR="00E6703A">
        <w:rPr>
          <w:b/>
          <w:bCs/>
          <w:color w:val="000000"/>
          <w:szCs w:val="24"/>
        </w:rPr>
        <w:t>Ocoyoacac</w:t>
      </w:r>
      <w:proofErr w:type="spellEnd"/>
      <w:r w:rsidRPr="00875B7E">
        <w:rPr>
          <w:rFonts w:eastAsia="Palatino Linotype" w:cs="Palatino Linotype"/>
          <w:color w:val="000000"/>
          <w:szCs w:val="24"/>
        </w:rPr>
        <w:t>, 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5A330DEC" w14:textId="77777777" w:rsidR="00F77945" w:rsidRPr="00875B7E" w:rsidRDefault="00F77945" w:rsidP="00F77945">
      <w:pPr>
        <w:pBdr>
          <w:top w:val="nil"/>
          <w:left w:val="nil"/>
          <w:bottom w:val="nil"/>
          <w:right w:val="nil"/>
          <w:between w:val="nil"/>
        </w:pBdr>
        <w:contextualSpacing/>
        <w:rPr>
          <w:rFonts w:eastAsia="Palatino Linotype" w:cs="Palatino Linotype"/>
          <w:color w:val="000000"/>
          <w:szCs w:val="24"/>
        </w:rPr>
      </w:pPr>
    </w:p>
    <w:p w14:paraId="73AA0D6B" w14:textId="77777777" w:rsidR="00F77945" w:rsidRPr="006922F5" w:rsidRDefault="00F77945" w:rsidP="00F77945">
      <w:pPr>
        <w:pStyle w:val="Ttulo1"/>
        <w:rPr>
          <w:rFonts w:eastAsia="Palatino Linotype"/>
          <w:lang w:val="es-ES_tradnl"/>
        </w:rPr>
      </w:pPr>
      <w:r w:rsidRPr="006922F5">
        <w:rPr>
          <w:rFonts w:eastAsia="Palatino Linotype"/>
          <w:lang w:val="es-ES_tradnl"/>
        </w:rPr>
        <w:t>A N T E C E D E N T E S</w:t>
      </w:r>
    </w:p>
    <w:p w14:paraId="5DD1B748" w14:textId="77777777" w:rsidR="00F77945" w:rsidRPr="00875B7E" w:rsidRDefault="00F77945" w:rsidP="00F77945">
      <w:pPr>
        <w:pBdr>
          <w:top w:val="nil"/>
          <w:left w:val="nil"/>
          <w:bottom w:val="nil"/>
          <w:right w:val="nil"/>
          <w:between w:val="nil"/>
        </w:pBdr>
        <w:contextualSpacing/>
        <w:rPr>
          <w:rFonts w:eastAsia="Palatino Linotype" w:cs="Palatino Linotype"/>
          <w:color w:val="000000"/>
          <w:szCs w:val="24"/>
        </w:rPr>
      </w:pPr>
    </w:p>
    <w:p w14:paraId="51713745" w14:textId="77777777" w:rsidR="00F77945" w:rsidRPr="006922F5" w:rsidRDefault="00F77945" w:rsidP="00F77945">
      <w:pPr>
        <w:pStyle w:val="Ttulo2"/>
        <w:rPr>
          <w:rFonts w:eastAsia="Palatino Linotype"/>
        </w:rPr>
      </w:pPr>
      <w:r w:rsidRPr="006922F5">
        <w:rPr>
          <w:rFonts w:eastAsia="Palatino Linotype"/>
        </w:rPr>
        <w:t>PRIMERO. De la Solicitud de Información.</w:t>
      </w:r>
    </w:p>
    <w:p w14:paraId="7F624467" w14:textId="77777777" w:rsidR="00F77945" w:rsidRPr="006922F5" w:rsidRDefault="00F77945" w:rsidP="00F7794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Pr>
          <w:rFonts w:eastAsia="Palatino Linotype" w:cs="Palatino Linotype"/>
          <w:color w:val="000000"/>
          <w:szCs w:val="24"/>
        </w:rPr>
        <w:t xml:space="preserve"> </w:t>
      </w:r>
      <w:r w:rsidR="00E6703A">
        <w:rPr>
          <w:rFonts w:eastAsia="Palatino Linotype" w:cs="Palatino Linotype"/>
          <w:color w:val="000000"/>
          <w:szCs w:val="24"/>
        </w:rPr>
        <w:t xml:space="preserve">seis de septiembre </w:t>
      </w:r>
      <w:r>
        <w:rPr>
          <w:rFonts w:eastAsia="Palatino Linotype" w:cs="Palatino Linotype"/>
          <w:color w:val="000000"/>
          <w:szCs w:val="24"/>
        </w:rPr>
        <w:t>de dos mil veintitrés</w:t>
      </w:r>
      <w:r w:rsidRPr="006922F5">
        <w:rPr>
          <w:rFonts w:eastAsia="Palatino Linotype" w:cs="Palatino Linotype"/>
          <w:color w:val="000000"/>
          <w:szCs w:val="24"/>
        </w:rPr>
        <w:t xml:space="preserve">, </w:t>
      </w:r>
      <w:r>
        <w:rPr>
          <w:rFonts w:eastAsia="Palatino Linotype" w:cs="Palatino Linotype"/>
          <w:color w:val="000000"/>
          <w:szCs w:val="24"/>
        </w:rPr>
        <w:t>el</w:t>
      </w:r>
      <w:r w:rsidRPr="006922F5">
        <w:rPr>
          <w:rFonts w:eastAsia="Palatino Linotype" w:cs="Palatino Linotype"/>
          <w:color w:val="000000"/>
          <w:szCs w:val="24"/>
        </w:rPr>
        <w:t xml:space="preserve"> Recurrente presentó mediante el Sistema de Acceso a la Información Mexiquense (SAIMEX), solicitud de información registrada con el número de </w:t>
      </w:r>
      <w:r w:rsidRPr="000147D3">
        <w:rPr>
          <w:rFonts w:eastAsia="Palatino Linotype" w:cs="Palatino Linotype"/>
          <w:szCs w:val="24"/>
        </w:rPr>
        <w:t>expediente</w:t>
      </w:r>
      <w:r>
        <w:rPr>
          <w:rFonts w:ascii="Verdana" w:hAnsi="Verdana"/>
          <w:b/>
          <w:bCs/>
          <w:color w:val="FF0000"/>
        </w:rPr>
        <w:t> </w:t>
      </w:r>
      <w:r w:rsidR="00E6703A" w:rsidRPr="00E6703A">
        <w:rPr>
          <w:b/>
          <w:bCs/>
        </w:rPr>
        <w:t>00088/OCOYOAC/IP/2023</w:t>
      </w:r>
      <w:r w:rsidRPr="00802B59">
        <w:rPr>
          <w:rFonts w:eastAsia="Palatino Linotype" w:cs="Palatino Linotype"/>
          <w:szCs w:val="24"/>
        </w:rPr>
        <w:t>,</w:t>
      </w:r>
      <w:r w:rsidRPr="00802B59">
        <w:rPr>
          <w:rFonts w:eastAsia="Palatino Linotype" w:cs="Palatino Linotype"/>
          <w:b/>
          <w:szCs w:val="24"/>
        </w:rPr>
        <w:t xml:space="preserve"> </w:t>
      </w:r>
      <w:r w:rsidRPr="006922F5">
        <w:rPr>
          <w:rFonts w:eastAsia="Palatino Linotype" w:cs="Palatino Linotype"/>
          <w:color w:val="000000"/>
          <w:szCs w:val="24"/>
        </w:rPr>
        <w:t>mediante la cual solicitó información en el tenor siguiente:</w:t>
      </w:r>
    </w:p>
    <w:p w14:paraId="77E72AA9" w14:textId="77777777" w:rsidR="00F77945" w:rsidRPr="00875B7E" w:rsidRDefault="00F77945" w:rsidP="00F77945">
      <w:pPr>
        <w:pBdr>
          <w:top w:val="nil"/>
          <w:left w:val="nil"/>
          <w:bottom w:val="nil"/>
          <w:right w:val="nil"/>
          <w:between w:val="nil"/>
        </w:pBdr>
        <w:contextualSpacing/>
        <w:rPr>
          <w:rFonts w:eastAsia="Palatino Linotype" w:cs="Palatino Linotype"/>
          <w:color w:val="000000"/>
          <w:szCs w:val="24"/>
        </w:rPr>
      </w:pPr>
    </w:p>
    <w:p w14:paraId="7A5C9059" w14:textId="77777777" w:rsidR="00F77945" w:rsidRPr="006922F5" w:rsidRDefault="00F77945" w:rsidP="00587992">
      <w:pPr>
        <w:pStyle w:val="Fundamentos"/>
        <w:spacing w:line="360" w:lineRule="auto"/>
      </w:pPr>
      <w:r w:rsidRPr="0018777B">
        <w:rPr>
          <w:szCs w:val="22"/>
        </w:rPr>
        <w:t>“</w:t>
      </w:r>
      <w:proofErr w:type="spellStart"/>
      <w:r w:rsidR="00E6703A" w:rsidRPr="00E6703A">
        <w:rPr>
          <w:sz w:val="24"/>
        </w:rPr>
        <w:t>titulo</w:t>
      </w:r>
      <w:proofErr w:type="spellEnd"/>
      <w:r w:rsidR="00E6703A" w:rsidRPr="00E6703A">
        <w:rPr>
          <w:sz w:val="24"/>
        </w:rPr>
        <w:t xml:space="preserve"> profesional y certificado de competencia laboral en materia de tesorería o similar de la persona titular de esta dirección</w:t>
      </w:r>
      <w:r w:rsidR="00E6703A">
        <w:rPr>
          <w:rFonts w:ascii="Verdana" w:hAnsi="Verdana"/>
          <w:sz w:val="14"/>
          <w:szCs w:val="14"/>
        </w:rPr>
        <w:t>.</w:t>
      </w:r>
      <w:r w:rsidRPr="0018777B">
        <w:rPr>
          <w:szCs w:val="22"/>
        </w:rPr>
        <w:t>”</w:t>
      </w:r>
      <w:r>
        <w:rPr>
          <w:rFonts w:ascii="Verdana" w:hAnsi="Verdana"/>
          <w:sz w:val="14"/>
          <w:szCs w:val="14"/>
        </w:rPr>
        <w:t xml:space="preserve"> </w:t>
      </w:r>
      <w:r>
        <w:t xml:space="preserve"> </w:t>
      </w:r>
      <w:r w:rsidRPr="006922F5">
        <w:t>(Sic)</w:t>
      </w:r>
    </w:p>
    <w:p w14:paraId="4C1AA962" w14:textId="77777777" w:rsidR="00F77945" w:rsidRPr="00875B7E" w:rsidRDefault="00F77945" w:rsidP="00F77945">
      <w:pPr>
        <w:pBdr>
          <w:top w:val="nil"/>
          <w:left w:val="nil"/>
          <w:bottom w:val="nil"/>
          <w:right w:val="nil"/>
          <w:between w:val="nil"/>
        </w:pBdr>
        <w:contextualSpacing/>
        <w:rPr>
          <w:rFonts w:eastAsia="Palatino Linotype" w:cs="Palatino Linotype"/>
          <w:color w:val="000000"/>
          <w:szCs w:val="24"/>
        </w:rPr>
      </w:pPr>
    </w:p>
    <w:p w14:paraId="35E0E29A" w14:textId="77777777" w:rsidR="00F77945" w:rsidRPr="006922F5" w:rsidRDefault="00F77945" w:rsidP="00F7794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0F620B29" w14:textId="77777777" w:rsidR="00F77945" w:rsidRDefault="00F77945" w:rsidP="00F77945">
      <w:pPr>
        <w:pBdr>
          <w:top w:val="nil"/>
          <w:left w:val="nil"/>
          <w:bottom w:val="nil"/>
          <w:right w:val="nil"/>
          <w:between w:val="nil"/>
        </w:pBdr>
        <w:contextualSpacing/>
        <w:rPr>
          <w:rFonts w:eastAsia="Palatino Linotype" w:cs="Palatino Linotype"/>
          <w:color w:val="000000"/>
          <w:szCs w:val="24"/>
        </w:rPr>
      </w:pPr>
    </w:p>
    <w:p w14:paraId="3F52D5DF" w14:textId="77777777" w:rsidR="00F77945" w:rsidRPr="0018777B" w:rsidRDefault="00F77945" w:rsidP="00F77945">
      <w:pPr>
        <w:pStyle w:val="Ttulo2"/>
        <w:rPr>
          <w:rFonts w:eastAsia="Palatino Linotype"/>
        </w:rPr>
      </w:pPr>
      <w:r>
        <w:rPr>
          <w:rFonts w:eastAsia="Palatino Linotype"/>
        </w:rPr>
        <w:lastRenderedPageBreak/>
        <w:t>SEGUNDO</w:t>
      </w:r>
      <w:r w:rsidRPr="006922F5">
        <w:rPr>
          <w:rFonts w:eastAsia="Palatino Linotype"/>
        </w:rPr>
        <w:t>. De la respuesta del Sujeto Obligado.</w:t>
      </w:r>
    </w:p>
    <w:p w14:paraId="67E3ABC5" w14:textId="77777777" w:rsidR="00F77945" w:rsidRDefault="00F77945" w:rsidP="00587992">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De las constancias que obran en el expediente electrónico, se observa que el </w:t>
      </w:r>
      <w:r>
        <w:rPr>
          <w:rFonts w:eastAsia="Palatino Linotype" w:cs="Palatino Linotype"/>
          <w:color w:val="000000"/>
          <w:szCs w:val="24"/>
        </w:rPr>
        <w:t xml:space="preserve">día </w:t>
      </w:r>
      <w:r w:rsidR="00E6703A">
        <w:rPr>
          <w:rFonts w:eastAsia="Palatino Linotype" w:cs="Palatino Linotype"/>
          <w:color w:val="000000"/>
          <w:szCs w:val="24"/>
        </w:rPr>
        <w:t xml:space="preserve">veintisiete de septiembre </w:t>
      </w:r>
      <w:r>
        <w:rPr>
          <w:rFonts w:eastAsia="Palatino Linotype" w:cs="Palatino Linotype"/>
          <w:color w:val="000000"/>
          <w:szCs w:val="24"/>
        </w:rPr>
        <w:t>de dos mil veintitrés</w:t>
      </w:r>
      <w:r w:rsidRPr="006922F5">
        <w:rPr>
          <w:rFonts w:eastAsia="Palatino Linotype" w:cs="Palatino Linotype"/>
          <w:color w:val="000000"/>
          <w:szCs w:val="24"/>
        </w:rPr>
        <w:t>, el Sujeto Obligado dio respuesta a la solicitud de información manifestando lo siguiente:</w:t>
      </w:r>
    </w:p>
    <w:p w14:paraId="244183A7" w14:textId="77777777" w:rsidR="00587992" w:rsidRPr="008B6A8F" w:rsidRDefault="00587992" w:rsidP="00587992">
      <w:pPr>
        <w:pBdr>
          <w:top w:val="nil"/>
          <w:left w:val="nil"/>
          <w:bottom w:val="nil"/>
          <w:right w:val="nil"/>
          <w:between w:val="nil"/>
        </w:pBdr>
        <w:contextualSpacing/>
        <w:rPr>
          <w:rFonts w:eastAsia="Palatino Linotype" w:cs="Palatino Linotype"/>
          <w:color w:val="000000"/>
          <w:szCs w:val="24"/>
        </w:rPr>
      </w:pPr>
    </w:p>
    <w:tbl>
      <w:tblPr>
        <w:tblW w:w="9178" w:type="dxa"/>
        <w:jc w:val="center"/>
        <w:tblCellSpacing w:w="0" w:type="dxa"/>
        <w:tblCellMar>
          <w:left w:w="0" w:type="dxa"/>
          <w:right w:w="0" w:type="dxa"/>
        </w:tblCellMar>
        <w:tblLook w:val="04A0" w:firstRow="1" w:lastRow="0" w:firstColumn="1" w:lastColumn="0" w:noHBand="0" w:noVBand="1"/>
      </w:tblPr>
      <w:tblGrid>
        <w:gridCol w:w="9178"/>
      </w:tblGrid>
      <w:tr w:rsidR="00E6703A" w:rsidRPr="00E6703A" w14:paraId="266C88E1" w14:textId="77777777" w:rsidTr="00E6703A">
        <w:trPr>
          <w:trHeight w:val="297"/>
          <w:tblCellSpacing w:w="0" w:type="dxa"/>
          <w:jc w:val="center"/>
        </w:trPr>
        <w:tc>
          <w:tcPr>
            <w:tcW w:w="0" w:type="auto"/>
            <w:vAlign w:val="center"/>
            <w:hideMark/>
          </w:tcPr>
          <w:p w14:paraId="00646468" w14:textId="77777777" w:rsidR="00E6703A" w:rsidRPr="00E6703A" w:rsidRDefault="00E6703A" w:rsidP="00E6703A">
            <w:pPr>
              <w:spacing w:line="240" w:lineRule="auto"/>
              <w:jc w:val="right"/>
              <w:rPr>
                <w:rFonts w:eastAsia="Times New Roman" w:cs="Times New Roman"/>
                <w:i/>
                <w:sz w:val="22"/>
                <w:lang w:val="es-MX"/>
              </w:rPr>
            </w:pPr>
            <w:proofErr w:type="spellStart"/>
            <w:r w:rsidRPr="00E6703A">
              <w:rPr>
                <w:rFonts w:eastAsia="Times New Roman" w:cs="Times New Roman"/>
                <w:i/>
                <w:sz w:val="22"/>
                <w:lang w:val="es-MX"/>
              </w:rPr>
              <w:t>Ocoyoacac</w:t>
            </w:r>
            <w:proofErr w:type="spellEnd"/>
            <w:r w:rsidRPr="00E6703A">
              <w:rPr>
                <w:rFonts w:eastAsia="Times New Roman" w:cs="Times New Roman"/>
                <w:i/>
                <w:sz w:val="22"/>
                <w:lang w:val="es-MX"/>
              </w:rPr>
              <w:t>, México a 27 de Septiembre de 2023</w:t>
            </w:r>
          </w:p>
        </w:tc>
      </w:tr>
      <w:tr w:rsidR="00E6703A" w:rsidRPr="00E6703A" w14:paraId="24A34BD2" w14:textId="77777777" w:rsidTr="00E6703A">
        <w:trPr>
          <w:trHeight w:val="297"/>
          <w:tblCellSpacing w:w="0" w:type="dxa"/>
          <w:jc w:val="center"/>
        </w:trPr>
        <w:tc>
          <w:tcPr>
            <w:tcW w:w="0" w:type="auto"/>
            <w:vAlign w:val="center"/>
            <w:hideMark/>
          </w:tcPr>
          <w:p w14:paraId="2CCBE1D4" w14:textId="77777777" w:rsidR="00E6703A" w:rsidRPr="00E6703A" w:rsidRDefault="00E6703A" w:rsidP="00E6703A">
            <w:pPr>
              <w:spacing w:line="240" w:lineRule="auto"/>
              <w:jc w:val="right"/>
              <w:rPr>
                <w:rFonts w:eastAsia="Times New Roman" w:cs="Times New Roman"/>
                <w:i/>
                <w:sz w:val="22"/>
                <w:lang w:val="es-MX"/>
              </w:rPr>
            </w:pPr>
            <w:r w:rsidRPr="00E6703A">
              <w:rPr>
                <w:rFonts w:eastAsia="Times New Roman" w:cs="Times New Roman"/>
                <w:i/>
                <w:sz w:val="22"/>
                <w:lang w:val="es-MX"/>
              </w:rPr>
              <w:t>Nombre del solicitante: C. Solicitante</w:t>
            </w:r>
          </w:p>
        </w:tc>
      </w:tr>
      <w:tr w:rsidR="00E6703A" w:rsidRPr="00E6703A" w14:paraId="5570D638" w14:textId="77777777" w:rsidTr="00E6703A">
        <w:trPr>
          <w:trHeight w:val="297"/>
          <w:tblCellSpacing w:w="0" w:type="dxa"/>
          <w:jc w:val="center"/>
        </w:trPr>
        <w:tc>
          <w:tcPr>
            <w:tcW w:w="0" w:type="auto"/>
            <w:vAlign w:val="center"/>
            <w:hideMark/>
          </w:tcPr>
          <w:p w14:paraId="27A08DE8" w14:textId="77777777" w:rsidR="00E6703A" w:rsidRPr="00E6703A" w:rsidRDefault="00E6703A" w:rsidP="00E6703A">
            <w:pPr>
              <w:spacing w:line="240" w:lineRule="auto"/>
              <w:jc w:val="right"/>
              <w:rPr>
                <w:rFonts w:eastAsia="Times New Roman" w:cs="Times New Roman"/>
                <w:i/>
                <w:sz w:val="22"/>
                <w:lang w:val="es-MX"/>
              </w:rPr>
            </w:pPr>
            <w:r w:rsidRPr="00E6703A">
              <w:rPr>
                <w:rFonts w:eastAsia="Times New Roman" w:cs="Times New Roman"/>
                <w:i/>
                <w:sz w:val="22"/>
                <w:lang w:val="es-MX"/>
              </w:rPr>
              <w:t>Folio de la solicitud: 00088/OCOYOAC/IP/2023</w:t>
            </w:r>
          </w:p>
        </w:tc>
      </w:tr>
      <w:tr w:rsidR="00E6703A" w:rsidRPr="00E6703A" w14:paraId="2A136087" w14:textId="77777777" w:rsidTr="00E6703A">
        <w:trPr>
          <w:trHeight w:val="446"/>
          <w:tblCellSpacing w:w="0" w:type="dxa"/>
          <w:jc w:val="center"/>
        </w:trPr>
        <w:tc>
          <w:tcPr>
            <w:tcW w:w="0" w:type="auto"/>
            <w:vAlign w:val="center"/>
            <w:hideMark/>
          </w:tcPr>
          <w:p w14:paraId="64D7137C" w14:textId="77777777" w:rsidR="00E6703A" w:rsidRPr="00E6703A" w:rsidRDefault="00E6703A" w:rsidP="00E6703A">
            <w:pPr>
              <w:spacing w:line="240" w:lineRule="auto"/>
              <w:jc w:val="right"/>
              <w:rPr>
                <w:rFonts w:eastAsia="Times New Roman" w:cs="Times New Roman"/>
                <w:i/>
                <w:sz w:val="22"/>
                <w:lang w:val="es-MX"/>
              </w:rPr>
            </w:pPr>
          </w:p>
        </w:tc>
      </w:tr>
      <w:tr w:rsidR="00E6703A" w:rsidRPr="00E6703A" w14:paraId="0614BDD5" w14:textId="77777777" w:rsidTr="00E6703A">
        <w:trPr>
          <w:trHeight w:val="148"/>
          <w:tblCellSpacing w:w="0" w:type="dxa"/>
          <w:jc w:val="center"/>
        </w:trPr>
        <w:tc>
          <w:tcPr>
            <w:tcW w:w="0" w:type="auto"/>
            <w:vAlign w:val="center"/>
            <w:hideMark/>
          </w:tcPr>
          <w:p w14:paraId="446AE4C6" w14:textId="77777777" w:rsidR="00E6703A" w:rsidRDefault="00E6703A" w:rsidP="00E6703A">
            <w:pPr>
              <w:spacing w:line="240" w:lineRule="auto"/>
              <w:rPr>
                <w:rFonts w:eastAsia="Times New Roman" w:cs="Times New Roman"/>
                <w:i/>
                <w:sz w:val="22"/>
                <w:lang w:val="es-MX"/>
              </w:rPr>
            </w:pPr>
            <w:r w:rsidRPr="00E6703A">
              <w:rPr>
                <w:rFonts w:eastAsia="Times New Roman" w:cs="Times New Roman"/>
                <w:i/>
                <w:sz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3D74F94" w14:textId="77777777" w:rsidR="00E6703A" w:rsidRPr="00E6703A" w:rsidRDefault="00E6703A" w:rsidP="00E6703A">
            <w:pPr>
              <w:spacing w:line="240" w:lineRule="auto"/>
              <w:rPr>
                <w:rFonts w:eastAsia="Times New Roman" w:cs="Times New Roman"/>
                <w:i/>
                <w:sz w:val="22"/>
                <w:lang w:val="es-MX"/>
              </w:rPr>
            </w:pPr>
            <w:r>
              <w:rPr>
                <w:rFonts w:eastAsia="Times New Roman" w:cs="Times New Roman"/>
                <w:i/>
                <w:sz w:val="22"/>
                <w:lang w:val="es-MX"/>
              </w:rPr>
              <w:t>(…)</w:t>
            </w:r>
          </w:p>
        </w:tc>
      </w:tr>
    </w:tbl>
    <w:p w14:paraId="64C3386B" w14:textId="77777777" w:rsidR="00F77945" w:rsidRPr="00E6703A" w:rsidRDefault="00F77945" w:rsidP="00F77945">
      <w:pPr>
        <w:pBdr>
          <w:top w:val="nil"/>
          <w:left w:val="nil"/>
          <w:bottom w:val="nil"/>
          <w:right w:val="nil"/>
          <w:between w:val="nil"/>
        </w:pBdr>
        <w:contextualSpacing/>
        <w:rPr>
          <w:rFonts w:eastAsia="Palatino Linotype" w:cs="Palatino Linotype"/>
          <w:color w:val="000000"/>
          <w:szCs w:val="24"/>
          <w:lang w:val="es-MX"/>
        </w:rPr>
      </w:pPr>
    </w:p>
    <w:p w14:paraId="305848DF" w14:textId="77777777" w:rsidR="00E6703A" w:rsidRPr="00E6703A" w:rsidRDefault="00E6703A" w:rsidP="00E6703A">
      <w:pPr>
        <w:contextualSpacing/>
        <w:rPr>
          <w:rFonts w:eastAsia="Times New Roman"/>
          <w:szCs w:val="24"/>
        </w:rPr>
      </w:pPr>
      <w:r w:rsidRPr="00E6703A">
        <w:rPr>
          <w:rFonts w:eastAsia="Times New Roman" w:cs="Palatino Linotype"/>
          <w:color w:val="000000"/>
          <w:szCs w:val="24"/>
        </w:rPr>
        <w:t>El Sujeto Obligado adjuntó a su respuesta el documento denominado</w:t>
      </w:r>
      <w:r w:rsidRPr="00E6703A">
        <w:rPr>
          <w:rFonts w:eastAsia="Times New Roman" w:cs="Palatino Linotype"/>
          <w:b/>
          <w:bCs/>
          <w:color w:val="000000"/>
          <w:szCs w:val="24"/>
        </w:rPr>
        <w:t xml:space="preserve"> </w:t>
      </w:r>
      <w:r w:rsidRPr="00E6703A">
        <w:rPr>
          <w:rFonts w:eastAsia="Times New Roman" w:cs="Palatino Linotype"/>
          <w:b/>
          <w:bCs/>
          <w:i/>
          <w:szCs w:val="24"/>
        </w:rPr>
        <w:t>“</w:t>
      </w:r>
      <w:r w:rsidRPr="00E6703A">
        <w:rPr>
          <w:rFonts w:cs="Arial"/>
          <w:b/>
          <w:bCs/>
          <w:szCs w:val="24"/>
        </w:rPr>
        <w:t>00088.OCOYOACAC.IP.2023.pdf</w:t>
      </w:r>
      <w:r w:rsidRPr="00E6703A">
        <w:rPr>
          <w:rFonts w:eastAsia="Times New Roman"/>
          <w:i/>
          <w:szCs w:val="24"/>
        </w:rPr>
        <w:t>”</w:t>
      </w:r>
      <w:r w:rsidRPr="00E6703A">
        <w:rPr>
          <w:rFonts w:eastAsia="Times New Roman" w:cs="Palatino Linotype"/>
          <w:szCs w:val="24"/>
        </w:rPr>
        <w:t xml:space="preserve">, </w:t>
      </w:r>
      <w:r w:rsidRPr="00E6703A">
        <w:rPr>
          <w:rFonts w:eastAsia="Times New Roman" w:cs="Palatino Linotype"/>
          <w:color w:val="000000"/>
          <w:szCs w:val="24"/>
        </w:rPr>
        <w:t>el cual no se reproduce por ser del conocimiento de las partes; no obstante, su contenido será motivo de análisis en el estudio correspondiente.</w:t>
      </w:r>
    </w:p>
    <w:p w14:paraId="45F07159" w14:textId="77777777" w:rsidR="00E6703A" w:rsidRDefault="00E6703A" w:rsidP="00F77945">
      <w:pPr>
        <w:pStyle w:val="Ttulo2"/>
        <w:rPr>
          <w:rFonts w:eastAsia="Palatino Linotype"/>
        </w:rPr>
      </w:pPr>
    </w:p>
    <w:p w14:paraId="3439311C" w14:textId="77777777" w:rsidR="00F77945" w:rsidRPr="006922F5" w:rsidRDefault="00F77945" w:rsidP="00F77945">
      <w:pPr>
        <w:pStyle w:val="Ttulo2"/>
        <w:rPr>
          <w:rFonts w:eastAsia="Palatino Linotype"/>
        </w:rPr>
      </w:pPr>
      <w:r>
        <w:rPr>
          <w:rFonts w:eastAsia="Palatino Linotype"/>
        </w:rPr>
        <w:t>TERCERO</w:t>
      </w:r>
      <w:r w:rsidRPr="006922F5">
        <w:rPr>
          <w:rFonts w:eastAsia="Palatino Linotype"/>
        </w:rPr>
        <w:t>. Del recurso de revisión.</w:t>
      </w:r>
    </w:p>
    <w:p w14:paraId="111DC77B" w14:textId="77777777" w:rsidR="00F77945" w:rsidRPr="006922F5" w:rsidRDefault="00F77945" w:rsidP="00F7794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Inconforme con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el </w:t>
      </w:r>
      <w:r>
        <w:rPr>
          <w:rFonts w:eastAsia="Palatino Linotype" w:cs="Palatino Linotype"/>
          <w:color w:val="000000"/>
          <w:szCs w:val="24"/>
        </w:rPr>
        <w:t xml:space="preserve">día </w:t>
      </w:r>
      <w:r w:rsidR="00E6703A">
        <w:rPr>
          <w:rFonts w:eastAsia="Palatino Linotype" w:cs="Palatino Linotype"/>
          <w:b/>
          <w:color w:val="000000"/>
          <w:szCs w:val="24"/>
        </w:rPr>
        <w:t xml:space="preserve">veintinueve de septiembre </w:t>
      </w:r>
      <w:r w:rsidRPr="00064EDC">
        <w:rPr>
          <w:rFonts w:eastAsia="Palatino Linotype" w:cs="Palatino Linotype"/>
          <w:b/>
          <w:color w:val="000000"/>
          <w:szCs w:val="24"/>
        </w:rPr>
        <w:t>de dos mil veintitrés</w:t>
      </w:r>
      <w:r w:rsidRPr="006922F5">
        <w:rPr>
          <w:rFonts w:eastAsia="Palatino Linotype" w:cs="Palatino Linotype"/>
          <w:color w:val="000000"/>
          <w:szCs w:val="24"/>
        </w:rPr>
        <w:t xml:space="preserve">, el cual se registró con el expediente número </w:t>
      </w:r>
      <w:r w:rsidR="00E6703A">
        <w:rPr>
          <w:rFonts w:eastAsia="Palatino Linotype" w:cs="Palatino Linotype"/>
          <w:b/>
          <w:color w:val="000000"/>
          <w:szCs w:val="24"/>
        </w:rPr>
        <w:t>06560</w:t>
      </w:r>
      <w:r>
        <w:rPr>
          <w:rFonts w:eastAsia="Palatino Linotype" w:cs="Palatino Linotype"/>
          <w:b/>
          <w:color w:val="000000"/>
          <w:szCs w:val="24"/>
        </w:rPr>
        <w:t>/INFOEM/IP/RR/2023</w:t>
      </w:r>
      <w:r w:rsidRPr="006922F5">
        <w:rPr>
          <w:rFonts w:eastAsia="Palatino Linotype" w:cs="Palatino Linotype"/>
          <w:color w:val="000000"/>
          <w:szCs w:val="24"/>
        </w:rPr>
        <w:t>, manifestando lo siguiente:</w:t>
      </w:r>
    </w:p>
    <w:p w14:paraId="3E7A7806" w14:textId="77777777" w:rsidR="00F77945" w:rsidRPr="006922F5" w:rsidRDefault="00F77945" w:rsidP="00F77945">
      <w:pPr>
        <w:pBdr>
          <w:top w:val="nil"/>
          <w:left w:val="nil"/>
          <w:bottom w:val="nil"/>
          <w:right w:val="nil"/>
          <w:between w:val="nil"/>
        </w:pBdr>
        <w:contextualSpacing/>
        <w:rPr>
          <w:rFonts w:eastAsia="Palatino Linotype" w:cs="Palatino Linotype"/>
          <w:color w:val="000000"/>
          <w:szCs w:val="24"/>
        </w:rPr>
      </w:pPr>
    </w:p>
    <w:p w14:paraId="7B5B5CD0" w14:textId="77777777" w:rsidR="00F77945" w:rsidRPr="006922F5" w:rsidRDefault="00F77945" w:rsidP="00F77945">
      <w:pPr>
        <w:contextualSpacing/>
        <w:rPr>
          <w:rFonts w:eastAsia="Palatino Linotype" w:cs="Palatino Linotype"/>
          <w:b/>
        </w:rPr>
      </w:pPr>
      <w:r w:rsidRPr="006922F5">
        <w:rPr>
          <w:rFonts w:eastAsia="Palatino Linotype" w:cs="Palatino Linotype"/>
          <w:b/>
        </w:rPr>
        <w:t xml:space="preserve">Acto Impugnado: </w:t>
      </w:r>
    </w:p>
    <w:p w14:paraId="7B048135" w14:textId="77777777" w:rsidR="00F77945" w:rsidRPr="00E6703A" w:rsidRDefault="00F77945" w:rsidP="00F77945">
      <w:pPr>
        <w:pStyle w:val="Fundamentos"/>
        <w:rPr>
          <w:b/>
          <w:color w:val="auto"/>
          <w:sz w:val="24"/>
        </w:rPr>
      </w:pPr>
      <w:r w:rsidRPr="00E6703A">
        <w:rPr>
          <w:color w:val="auto"/>
          <w:sz w:val="24"/>
        </w:rPr>
        <w:lastRenderedPageBreak/>
        <w:t>“</w:t>
      </w:r>
      <w:r w:rsidR="00E6703A" w:rsidRPr="00E6703A">
        <w:rPr>
          <w:color w:val="auto"/>
          <w:sz w:val="24"/>
        </w:rPr>
        <w:t>SOLICITÉ EL TÍTULO PROFESIONAL Y EL CERTIFICADO DE COMPETENCIA LABORAL</w:t>
      </w:r>
      <w:r w:rsidRPr="00E6703A">
        <w:rPr>
          <w:color w:val="auto"/>
          <w:sz w:val="24"/>
        </w:rPr>
        <w:t xml:space="preserve">” </w:t>
      </w:r>
      <w:r w:rsidR="00E6703A">
        <w:rPr>
          <w:color w:val="auto"/>
          <w:sz w:val="24"/>
        </w:rPr>
        <w:t>(</w:t>
      </w:r>
      <w:r w:rsidRPr="00E6703A">
        <w:rPr>
          <w:color w:val="auto"/>
          <w:sz w:val="24"/>
        </w:rPr>
        <w:t>Sic)</w:t>
      </w:r>
    </w:p>
    <w:p w14:paraId="76DDD2F3" w14:textId="77777777" w:rsidR="00F77945" w:rsidRPr="006922F5" w:rsidRDefault="00F77945" w:rsidP="00F77945">
      <w:pPr>
        <w:contextualSpacing/>
        <w:rPr>
          <w:rFonts w:eastAsia="Palatino Linotype" w:cs="Palatino Linotype"/>
          <w:iCs/>
          <w:szCs w:val="24"/>
        </w:rPr>
      </w:pPr>
    </w:p>
    <w:p w14:paraId="36F2A87E" w14:textId="77777777" w:rsidR="00F77945" w:rsidRPr="006922F5" w:rsidRDefault="00F77945" w:rsidP="00F77945">
      <w:pPr>
        <w:contextualSpacing/>
        <w:rPr>
          <w:rFonts w:eastAsia="Palatino Linotype" w:cs="Palatino Linotype"/>
        </w:rPr>
      </w:pPr>
      <w:r w:rsidRPr="006922F5">
        <w:rPr>
          <w:rFonts w:eastAsia="Palatino Linotype" w:cs="Palatino Linotype"/>
          <w:b/>
        </w:rPr>
        <w:t>Razones o Motivos de Inconformidad</w:t>
      </w:r>
      <w:r w:rsidRPr="006922F5">
        <w:rPr>
          <w:rFonts w:eastAsia="Palatino Linotype" w:cs="Palatino Linotype"/>
        </w:rPr>
        <w:t>:</w:t>
      </w:r>
    </w:p>
    <w:p w14:paraId="1636B920" w14:textId="77777777" w:rsidR="00F77945" w:rsidRPr="00951868" w:rsidRDefault="00F77945" w:rsidP="00F77945">
      <w:pPr>
        <w:pStyle w:val="Fundamentos"/>
        <w:rPr>
          <w:sz w:val="24"/>
        </w:rPr>
      </w:pPr>
      <w:r w:rsidRPr="00E6703A">
        <w:rPr>
          <w:sz w:val="24"/>
        </w:rPr>
        <w:t>“</w:t>
      </w:r>
      <w:r w:rsidR="00E6703A" w:rsidRPr="00E6703A">
        <w:rPr>
          <w:sz w:val="24"/>
        </w:rPr>
        <w:t>NO FUERON EXHIBIDOS LOS DOCUMENTOS SOLICITADOS</w:t>
      </w:r>
      <w:r w:rsidR="008720B7" w:rsidRPr="00E6703A">
        <w:rPr>
          <w:sz w:val="24"/>
        </w:rPr>
        <w:t>.</w:t>
      </w:r>
      <w:r w:rsidRPr="00E6703A">
        <w:rPr>
          <w:sz w:val="24"/>
        </w:rPr>
        <w:t>”</w:t>
      </w:r>
      <w:r w:rsidRPr="00C47FB8">
        <w:rPr>
          <w:szCs w:val="22"/>
        </w:rPr>
        <w:t xml:space="preserve"> </w:t>
      </w:r>
      <w:r w:rsidRPr="00951868">
        <w:rPr>
          <w:sz w:val="24"/>
        </w:rPr>
        <w:t>(Sic)</w:t>
      </w:r>
    </w:p>
    <w:p w14:paraId="4C68C1D0" w14:textId="77777777" w:rsidR="00F77945" w:rsidRPr="006922F5" w:rsidRDefault="00F77945" w:rsidP="00F77945">
      <w:pPr>
        <w:pBdr>
          <w:top w:val="nil"/>
          <w:left w:val="nil"/>
          <w:bottom w:val="nil"/>
          <w:right w:val="nil"/>
          <w:between w:val="nil"/>
        </w:pBdr>
        <w:contextualSpacing/>
        <w:rPr>
          <w:rFonts w:eastAsia="Palatino Linotype" w:cs="Palatino Linotype"/>
          <w:color w:val="000000"/>
          <w:szCs w:val="24"/>
        </w:rPr>
      </w:pPr>
    </w:p>
    <w:p w14:paraId="69E02373" w14:textId="77777777" w:rsidR="00F77945" w:rsidRPr="006922F5" w:rsidRDefault="00F77945" w:rsidP="00F77945">
      <w:pPr>
        <w:pStyle w:val="Ttulo2"/>
        <w:rPr>
          <w:rFonts w:eastAsia="Palatino Linotype"/>
        </w:rPr>
      </w:pPr>
      <w:r>
        <w:rPr>
          <w:rFonts w:eastAsia="Palatino Linotype"/>
        </w:rPr>
        <w:t>CUARTO</w:t>
      </w:r>
      <w:r w:rsidRPr="006922F5">
        <w:rPr>
          <w:rFonts w:eastAsia="Palatino Linotype"/>
        </w:rPr>
        <w:t>. Del turno y admisión del recurso de revisión.</w:t>
      </w:r>
    </w:p>
    <w:p w14:paraId="56BCD947" w14:textId="77777777" w:rsidR="00F77945" w:rsidRPr="006922F5" w:rsidRDefault="00F77945" w:rsidP="00F7794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Comisionado Presidente José Martínez Vilchis</w:t>
      </w:r>
      <w:r w:rsidRPr="006922F5">
        <w:rPr>
          <w:rFonts w:eastAsia="Palatino Linotype" w:cs="Palatino Linotype"/>
          <w:color w:val="000000"/>
          <w:szCs w:val="24"/>
        </w:rPr>
        <w:t>, por medio del sistema electrónico en términos del numeral 185 fracción I de la Ley de Transparencia y Acceso a la información Pública del Estado de México y Municipios, al cual recayó acuerdo de admisión de fecha</w:t>
      </w:r>
      <w:r>
        <w:rPr>
          <w:rFonts w:eastAsia="Palatino Linotype" w:cs="Palatino Linotype"/>
          <w:color w:val="000000"/>
          <w:szCs w:val="24"/>
        </w:rPr>
        <w:t xml:space="preserve"> </w:t>
      </w:r>
      <w:r w:rsidR="00E6703A">
        <w:rPr>
          <w:rFonts w:eastAsia="Palatino Linotype" w:cs="Palatino Linotype"/>
          <w:b/>
          <w:color w:val="000000"/>
          <w:szCs w:val="24"/>
        </w:rPr>
        <w:t xml:space="preserve">tres de octubre </w:t>
      </w:r>
      <w:r>
        <w:rPr>
          <w:rFonts w:eastAsia="Palatino Linotype" w:cs="Palatino Linotype"/>
          <w:color w:val="000000"/>
          <w:szCs w:val="24"/>
        </w:rPr>
        <w:t>de dos mil veintitrés</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p>
    <w:p w14:paraId="25E86537" w14:textId="77777777" w:rsidR="00F77945" w:rsidRPr="006922F5" w:rsidRDefault="00F77945" w:rsidP="00F77945">
      <w:pPr>
        <w:pBdr>
          <w:top w:val="nil"/>
          <w:left w:val="nil"/>
          <w:bottom w:val="nil"/>
          <w:right w:val="nil"/>
          <w:between w:val="nil"/>
        </w:pBdr>
        <w:contextualSpacing/>
        <w:rPr>
          <w:rFonts w:eastAsia="Palatino Linotype" w:cs="Palatino Linotype"/>
          <w:color w:val="000000"/>
          <w:szCs w:val="24"/>
        </w:rPr>
      </w:pPr>
    </w:p>
    <w:p w14:paraId="5F7FC273" w14:textId="77777777" w:rsidR="00F77945" w:rsidRPr="006922F5" w:rsidRDefault="00F77945" w:rsidP="00F77945">
      <w:pPr>
        <w:pStyle w:val="Ttulo2"/>
        <w:rPr>
          <w:rFonts w:eastAsia="Palatino Linotype"/>
        </w:rPr>
      </w:pPr>
      <w:r>
        <w:rPr>
          <w:rFonts w:eastAsia="Palatino Linotype"/>
        </w:rPr>
        <w:t>QUINTO</w:t>
      </w:r>
      <w:r w:rsidRPr="006922F5">
        <w:rPr>
          <w:rFonts w:eastAsia="Palatino Linotype"/>
        </w:rPr>
        <w:t>. De la etapa de instrucción.</w:t>
      </w:r>
    </w:p>
    <w:p w14:paraId="43539CF4" w14:textId="77777777" w:rsidR="00F77945" w:rsidRPr="009849E0" w:rsidRDefault="00F77945" w:rsidP="00F77945">
      <w:pPr>
        <w:pBdr>
          <w:top w:val="nil"/>
          <w:left w:val="nil"/>
          <w:bottom w:val="nil"/>
          <w:right w:val="nil"/>
          <w:between w:val="nil"/>
        </w:pBdr>
        <w:contextualSpacing/>
        <w:rPr>
          <w:rFonts w:eastAsia="Palatino Linotype" w:cs="Palatino Linotype"/>
          <w:color w:val="000000"/>
          <w:szCs w:val="24"/>
        </w:rPr>
      </w:pPr>
      <w:r w:rsidRPr="006F65AC">
        <w:rPr>
          <w:rFonts w:eastAsia="Palatino Linotype" w:cs="Palatino Linotype"/>
          <w:color w:val="000000"/>
          <w:szCs w:val="24"/>
        </w:rPr>
        <w:t>Una vez a</w:t>
      </w:r>
      <w:r>
        <w:rPr>
          <w:rFonts w:eastAsia="Palatino Linotype" w:cs="Palatino Linotype"/>
          <w:color w:val="000000"/>
          <w:szCs w:val="24"/>
        </w:rPr>
        <w:t>bierta la etapa de instruc</w:t>
      </w:r>
      <w:r w:rsidR="00E6703A">
        <w:rPr>
          <w:rFonts w:eastAsia="Palatino Linotype" w:cs="Palatino Linotype"/>
          <w:color w:val="000000"/>
          <w:szCs w:val="24"/>
        </w:rPr>
        <w:t>ción, el Sujeto Obligado fue omiso para rendir informe j</w:t>
      </w:r>
      <w:r w:rsidRPr="006F65AC">
        <w:rPr>
          <w:rFonts w:eastAsia="Palatino Linotype" w:cs="Palatino Linotype"/>
          <w:color w:val="000000"/>
          <w:szCs w:val="24"/>
        </w:rPr>
        <w:t>ustificado</w:t>
      </w:r>
      <w:r w:rsidR="00E6703A">
        <w:rPr>
          <w:rFonts w:eastAsia="Palatino Linotype" w:cs="Palatino Linotype"/>
          <w:color w:val="000000"/>
          <w:szCs w:val="24"/>
        </w:rPr>
        <w:t xml:space="preserve">. </w:t>
      </w:r>
      <w:r>
        <w:rPr>
          <w:rFonts w:eastAsia="Palatino Linotype" w:cs="Palatino Linotype"/>
          <w:color w:val="000000"/>
          <w:szCs w:val="24"/>
        </w:rPr>
        <w:t>Por su</w:t>
      </w:r>
      <w:r w:rsidRPr="006F65AC">
        <w:rPr>
          <w:rFonts w:eastAsia="Palatino Linotype" w:cs="Palatino Linotype"/>
          <w:color w:val="000000"/>
          <w:szCs w:val="24"/>
        </w:rPr>
        <w:t xml:space="preserve"> parte, </w:t>
      </w:r>
      <w:r>
        <w:rPr>
          <w:rFonts w:eastAsia="Palatino Linotype" w:cs="Palatino Linotype"/>
          <w:color w:val="000000"/>
          <w:szCs w:val="24"/>
        </w:rPr>
        <w:t>el Recurrente no realizó manifestaciones, vertió alegatos ni presentó pruebas que a su derecho convinieran. El contenido de los documentos referidos será analizado en el estudio correspondiente.</w:t>
      </w:r>
    </w:p>
    <w:p w14:paraId="79B91B0C" w14:textId="77777777" w:rsidR="00F77945" w:rsidRPr="006922F5" w:rsidRDefault="00F77945" w:rsidP="00F77945">
      <w:pPr>
        <w:pBdr>
          <w:top w:val="nil"/>
          <w:left w:val="nil"/>
          <w:bottom w:val="nil"/>
          <w:right w:val="nil"/>
          <w:between w:val="nil"/>
        </w:pBdr>
        <w:contextualSpacing/>
        <w:rPr>
          <w:rFonts w:eastAsia="Palatino Linotype" w:cs="Palatino Linotype"/>
          <w:color w:val="000000"/>
          <w:szCs w:val="24"/>
        </w:rPr>
      </w:pPr>
    </w:p>
    <w:p w14:paraId="4D4F9677" w14:textId="77777777" w:rsidR="00F77945" w:rsidRPr="006922F5" w:rsidRDefault="00F77945" w:rsidP="00F77945">
      <w:pPr>
        <w:pStyle w:val="Ttulo2"/>
        <w:rPr>
          <w:rFonts w:eastAsia="Palatino Linotype"/>
        </w:rPr>
      </w:pPr>
      <w:r w:rsidRPr="006922F5">
        <w:rPr>
          <w:rFonts w:eastAsia="Palatino Linotype"/>
        </w:rPr>
        <w:t>S</w:t>
      </w:r>
      <w:r>
        <w:rPr>
          <w:rFonts w:eastAsia="Palatino Linotype"/>
        </w:rPr>
        <w:t>EXTO</w:t>
      </w:r>
      <w:r w:rsidRPr="006922F5">
        <w:rPr>
          <w:rFonts w:eastAsia="Palatino Linotype"/>
        </w:rPr>
        <w:t>. Del cierre de instrucción.</w:t>
      </w:r>
    </w:p>
    <w:p w14:paraId="014C3DDC" w14:textId="77777777" w:rsidR="00F77945" w:rsidRPr="006922F5" w:rsidRDefault="00F77945" w:rsidP="00F7794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instrucción en fecha</w:t>
      </w:r>
      <w:r>
        <w:rPr>
          <w:rFonts w:eastAsia="Palatino Linotype" w:cs="Palatino Linotype"/>
          <w:color w:val="000000"/>
          <w:szCs w:val="24"/>
        </w:rPr>
        <w:t xml:space="preserve"> </w:t>
      </w:r>
      <w:r w:rsidR="00E6703A">
        <w:rPr>
          <w:rFonts w:eastAsia="Palatino Linotype" w:cs="Palatino Linotype"/>
          <w:b/>
          <w:color w:val="000000"/>
          <w:szCs w:val="24"/>
        </w:rPr>
        <w:t xml:space="preserve">catorce de diciembre </w:t>
      </w:r>
      <w:r>
        <w:rPr>
          <w:rFonts w:eastAsia="Palatino Linotype" w:cs="Palatino Linotype"/>
          <w:color w:val="000000"/>
          <w:szCs w:val="24"/>
        </w:rPr>
        <w:t>de dos mil veintitrés</w:t>
      </w:r>
      <w:r w:rsidRPr="006922F5">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64EDC03D" w14:textId="77777777" w:rsidR="00E6703A" w:rsidRPr="00E6703A" w:rsidRDefault="00E6703A" w:rsidP="00E6703A">
      <w:pPr>
        <w:keepNext/>
        <w:keepLines/>
        <w:outlineLvl w:val="1"/>
        <w:rPr>
          <w:rFonts w:eastAsia="Times New Roman" w:cs="Times New Roman"/>
          <w:b/>
          <w:color w:val="000000" w:themeColor="text1"/>
          <w:sz w:val="26"/>
          <w:szCs w:val="26"/>
          <w:lang w:eastAsia="en-US"/>
        </w:rPr>
      </w:pPr>
      <w:r w:rsidRPr="00E6703A">
        <w:rPr>
          <w:rFonts w:eastAsia="Times New Roman" w:cs="Times New Roman"/>
          <w:b/>
          <w:color w:val="000000" w:themeColor="text1"/>
          <w:sz w:val="26"/>
          <w:szCs w:val="26"/>
          <w:lang w:eastAsia="en-US"/>
        </w:rPr>
        <w:lastRenderedPageBreak/>
        <w:t>SÉPTIMO. De la ampliación del término para resolver.</w:t>
      </w:r>
    </w:p>
    <w:p w14:paraId="0FF4E185" w14:textId="77777777" w:rsidR="00E6703A" w:rsidRPr="00E6703A" w:rsidRDefault="00E6703A" w:rsidP="00E6703A">
      <w:pPr>
        <w:rPr>
          <w:rFonts w:eastAsia="Times New Roman" w:cs="Times New Roman"/>
          <w:szCs w:val="24"/>
          <w:lang w:eastAsia="en-US"/>
        </w:rPr>
      </w:pPr>
      <w:r w:rsidRPr="00E6703A">
        <w:rPr>
          <w:rFonts w:eastAsia="Times New Roman" w:cs="Times New Roman"/>
          <w:szCs w:val="24"/>
          <w:lang w:eastAsia="en-US"/>
        </w:rPr>
        <w:t>En fecha tres de noviembre de dos mil veintitrés, se amplió el término para resolver el recurso de revisión en términos del artículo 181 párrafo tercero de la Ley de Transparencia y Acceso a la Información Pública del Estado de México y Municipios.</w:t>
      </w:r>
    </w:p>
    <w:p w14:paraId="407C65D6" w14:textId="77777777" w:rsidR="00E6703A" w:rsidRPr="00E6703A" w:rsidRDefault="00E6703A" w:rsidP="00E6703A">
      <w:pPr>
        <w:contextualSpacing/>
        <w:rPr>
          <w:rFonts w:eastAsia="Times New Roman" w:cs="Palatino Linotype"/>
          <w:color w:val="000000"/>
          <w:szCs w:val="24"/>
        </w:rPr>
      </w:pPr>
    </w:p>
    <w:p w14:paraId="7F5B9742" w14:textId="77777777" w:rsidR="00E6703A" w:rsidRPr="00E6703A" w:rsidRDefault="00E6703A" w:rsidP="00E6703A">
      <w:pPr>
        <w:contextualSpacing/>
        <w:rPr>
          <w:rFonts w:eastAsia="Times New Roman" w:cs="Times New Roman"/>
          <w:szCs w:val="24"/>
          <w:lang w:eastAsia="en-US"/>
        </w:rPr>
      </w:pPr>
      <w:r w:rsidRPr="00E6703A">
        <w:rPr>
          <w:rFonts w:eastAsia="Times New Roman" w:cs="Times New Roman"/>
          <w:szCs w:val="24"/>
          <w:lang w:eastAsia="en-U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77C6BAFB" w14:textId="77777777" w:rsidR="00E6703A" w:rsidRPr="00E6703A" w:rsidRDefault="00E6703A" w:rsidP="00E6703A">
      <w:pPr>
        <w:contextualSpacing/>
        <w:rPr>
          <w:rFonts w:eastAsia="Times New Roman" w:cs="Times New Roman"/>
          <w:szCs w:val="24"/>
          <w:lang w:eastAsia="en-US"/>
        </w:rPr>
      </w:pPr>
      <w:r w:rsidRPr="00E6703A">
        <w:rPr>
          <w:rFonts w:eastAsia="Times New Roman" w:cs="Times New Roman"/>
          <w:szCs w:val="24"/>
          <w:lang w:eastAsia="en-US"/>
        </w:rPr>
        <w:t xml:space="preserve"> </w:t>
      </w:r>
    </w:p>
    <w:p w14:paraId="1E0020B4" w14:textId="77777777" w:rsidR="00E6703A" w:rsidRPr="00E6703A" w:rsidRDefault="00E6703A" w:rsidP="00E6703A">
      <w:pPr>
        <w:contextualSpacing/>
        <w:rPr>
          <w:rFonts w:eastAsia="Times New Roman" w:cs="Times New Roman"/>
          <w:szCs w:val="24"/>
          <w:lang w:eastAsia="en-US"/>
        </w:rPr>
      </w:pPr>
      <w:r w:rsidRPr="00E6703A">
        <w:rPr>
          <w:rFonts w:eastAsia="Times New Roman" w:cs="Times New Roman"/>
          <w:szCs w:val="24"/>
          <w:lang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5F35410" w14:textId="77777777" w:rsidR="00E6703A" w:rsidRPr="00E6703A" w:rsidRDefault="00E6703A" w:rsidP="00E6703A">
      <w:pPr>
        <w:contextualSpacing/>
        <w:rPr>
          <w:rFonts w:eastAsia="Times New Roman" w:cs="Times New Roman"/>
          <w:szCs w:val="24"/>
          <w:lang w:eastAsia="en-US"/>
        </w:rPr>
      </w:pPr>
      <w:r w:rsidRPr="00E6703A">
        <w:rPr>
          <w:rFonts w:eastAsia="Times New Roman" w:cs="Times New Roman"/>
          <w:szCs w:val="24"/>
          <w:lang w:eastAsia="en-US"/>
        </w:rPr>
        <w:t xml:space="preserve"> </w:t>
      </w:r>
    </w:p>
    <w:p w14:paraId="62ECA5E7" w14:textId="77777777" w:rsidR="00E6703A" w:rsidRPr="00E6703A" w:rsidRDefault="00E6703A" w:rsidP="00E6703A">
      <w:pPr>
        <w:contextualSpacing/>
        <w:rPr>
          <w:rFonts w:eastAsia="Times New Roman" w:cs="Times New Roman"/>
          <w:szCs w:val="24"/>
          <w:lang w:eastAsia="en-US"/>
        </w:rPr>
      </w:pPr>
      <w:r w:rsidRPr="00E6703A">
        <w:rPr>
          <w:rFonts w:eastAsia="Times New Roman" w:cs="Times New Roman"/>
          <w:szCs w:val="24"/>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BA582AF" w14:textId="77777777" w:rsidR="00E6703A" w:rsidRPr="00E6703A" w:rsidRDefault="00E6703A" w:rsidP="00E6703A">
      <w:pPr>
        <w:contextualSpacing/>
        <w:rPr>
          <w:rFonts w:eastAsia="Times New Roman" w:cs="Times New Roman"/>
          <w:szCs w:val="24"/>
          <w:lang w:eastAsia="en-US"/>
        </w:rPr>
      </w:pPr>
      <w:r w:rsidRPr="00E6703A">
        <w:rPr>
          <w:rFonts w:eastAsia="Times New Roman" w:cs="Times New Roman"/>
          <w:szCs w:val="24"/>
          <w:lang w:eastAsia="en-US"/>
        </w:rPr>
        <w:t xml:space="preserve"> </w:t>
      </w:r>
    </w:p>
    <w:p w14:paraId="07933F68" w14:textId="77777777" w:rsidR="00E6703A" w:rsidRPr="00E6703A" w:rsidRDefault="00E6703A" w:rsidP="00E6703A">
      <w:pPr>
        <w:contextualSpacing/>
        <w:rPr>
          <w:rFonts w:eastAsia="Times New Roman" w:cs="Times New Roman"/>
          <w:szCs w:val="24"/>
          <w:lang w:eastAsia="en-US"/>
        </w:rPr>
      </w:pPr>
      <w:r w:rsidRPr="00E6703A">
        <w:rPr>
          <w:rFonts w:eastAsia="Times New Roman" w:cs="Times New Roman"/>
          <w:szCs w:val="24"/>
          <w:lang w:eastAsia="en-US"/>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6F4255D" w14:textId="77777777" w:rsidR="00E6703A" w:rsidRPr="00E6703A" w:rsidRDefault="00E6703A" w:rsidP="00E6703A">
      <w:pPr>
        <w:contextualSpacing/>
        <w:rPr>
          <w:rFonts w:eastAsia="Times New Roman" w:cs="Times New Roman"/>
          <w:szCs w:val="24"/>
          <w:lang w:eastAsia="en-US"/>
        </w:rPr>
      </w:pPr>
      <w:r w:rsidRPr="00E6703A">
        <w:rPr>
          <w:rFonts w:eastAsia="Times New Roman" w:cs="Times New Roman"/>
          <w:szCs w:val="24"/>
          <w:lang w:eastAsia="en-US"/>
        </w:rPr>
        <w:t xml:space="preserve"> </w:t>
      </w:r>
    </w:p>
    <w:p w14:paraId="4F4A3D8C" w14:textId="77777777" w:rsidR="00E6703A" w:rsidRPr="00E6703A" w:rsidRDefault="00E6703A" w:rsidP="00E6703A">
      <w:pPr>
        <w:contextualSpacing/>
        <w:rPr>
          <w:rFonts w:eastAsia="Times New Roman" w:cs="Times New Roman"/>
          <w:szCs w:val="24"/>
          <w:lang w:eastAsia="en-US"/>
        </w:rPr>
      </w:pPr>
      <w:r w:rsidRPr="00E6703A">
        <w:rPr>
          <w:rFonts w:eastAsia="Times New Roman" w:cs="Times New Roman"/>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6E27F8C0" w14:textId="77777777" w:rsidR="00E6703A" w:rsidRPr="00E6703A" w:rsidRDefault="00E6703A" w:rsidP="00E6703A">
      <w:pPr>
        <w:contextualSpacing/>
        <w:rPr>
          <w:rFonts w:eastAsia="Times New Roman" w:cs="Times New Roman"/>
          <w:szCs w:val="24"/>
          <w:lang w:eastAsia="en-US"/>
        </w:rPr>
      </w:pPr>
    </w:p>
    <w:p w14:paraId="0E7ED63D" w14:textId="77777777" w:rsidR="00E6703A" w:rsidRPr="00E6703A" w:rsidRDefault="00E6703A" w:rsidP="00E6703A">
      <w:pPr>
        <w:numPr>
          <w:ilvl w:val="0"/>
          <w:numId w:val="8"/>
        </w:numPr>
        <w:contextualSpacing/>
        <w:rPr>
          <w:rFonts w:eastAsia="Times New Roman" w:cs="Times New Roman"/>
          <w:szCs w:val="24"/>
          <w:lang w:val="es-ES" w:eastAsia="en-US"/>
        </w:rPr>
      </w:pPr>
      <w:r w:rsidRPr="00E6703A">
        <w:rPr>
          <w:rFonts w:eastAsia="Times New Roman" w:cs="Times New Roman"/>
          <w:szCs w:val="24"/>
          <w:lang w:val="es-ES" w:eastAsia="en-US"/>
        </w:rPr>
        <w:t>Complejidad del asunto: La complejidad de la prueba, la pluralidad de sujetos procesales, el tiempo transcurrido, las características y contexto del recurso.</w:t>
      </w:r>
    </w:p>
    <w:p w14:paraId="32ED98A2" w14:textId="77777777" w:rsidR="00E6703A" w:rsidRPr="00E6703A" w:rsidRDefault="00E6703A" w:rsidP="00E6703A">
      <w:pPr>
        <w:numPr>
          <w:ilvl w:val="0"/>
          <w:numId w:val="8"/>
        </w:numPr>
        <w:contextualSpacing/>
        <w:rPr>
          <w:rFonts w:eastAsia="Times New Roman" w:cs="Times New Roman"/>
          <w:szCs w:val="24"/>
          <w:lang w:val="es-ES" w:eastAsia="en-US"/>
        </w:rPr>
      </w:pPr>
      <w:r w:rsidRPr="00E6703A">
        <w:rPr>
          <w:rFonts w:eastAsia="Times New Roman" w:cs="Times New Roman"/>
          <w:szCs w:val="24"/>
          <w:lang w:val="es-ES" w:eastAsia="en-US"/>
        </w:rPr>
        <w:t>Actividad Procesal del interesado: Acciones u omisiones del interesado.</w:t>
      </w:r>
    </w:p>
    <w:p w14:paraId="60055AB6" w14:textId="77777777" w:rsidR="00E6703A" w:rsidRPr="00E6703A" w:rsidRDefault="00E6703A" w:rsidP="00E6703A">
      <w:pPr>
        <w:numPr>
          <w:ilvl w:val="0"/>
          <w:numId w:val="8"/>
        </w:numPr>
        <w:contextualSpacing/>
        <w:rPr>
          <w:rFonts w:eastAsia="Times New Roman" w:cs="Times New Roman"/>
          <w:szCs w:val="24"/>
          <w:lang w:val="es-ES" w:eastAsia="en-US"/>
        </w:rPr>
      </w:pPr>
      <w:r w:rsidRPr="00E6703A">
        <w:rPr>
          <w:rFonts w:eastAsia="Times New Roman" w:cs="Times New Roman"/>
          <w:szCs w:val="24"/>
          <w:lang w:val="es-ES" w:eastAsia="en-US"/>
        </w:rPr>
        <w:t>Conducta de la Autoridad: Las Acciones u omisiones realizadas en el procedimiento. Así como si la autoridad actuó con la debida diligencia.</w:t>
      </w:r>
    </w:p>
    <w:p w14:paraId="4875EC7B" w14:textId="77777777" w:rsidR="00E6703A" w:rsidRPr="00E6703A" w:rsidRDefault="00E6703A" w:rsidP="00E6703A">
      <w:pPr>
        <w:numPr>
          <w:ilvl w:val="0"/>
          <w:numId w:val="8"/>
        </w:numPr>
        <w:contextualSpacing/>
        <w:rPr>
          <w:rFonts w:eastAsia="Times New Roman" w:cs="Times New Roman"/>
          <w:szCs w:val="24"/>
          <w:lang w:val="es-ES" w:eastAsia="en-US"/>
        </w:rPr>
      </w:pPr>
      <w:r w:rsidRPr="00E6703A">
        <w:rPr>
          <w:rFonts w:eastAsia="Times New Roman" w:cs="Times New Roman"/>
          <w:szCs w:val="24"/>
          <w:lang w:val="es-ES" w:eastAsia="en-US"/>
        </w:rPr>
        <w:t>La afectación generada en la situación jurídica de la persona involucrada en el proceso: Violación a sus derechos humanos.</w:t>
      </w:r>
    </w:p>
    <w:p w14:paraId="6EFE07E4" w14:textId="77777777" w:rsidR="00E6703A" w:rsidRPr="00E6703A" w:rsidRDefault="00E6703A" w:rsidP="00E6703A">
      <w:pPr>
        <w:contextualSpacing/>
        <w:rPr>
          <w:rFonts w:eastAsia="Times New Roman" w:cs="Times New Roman"/>
          <w:szCs w:val="24"/>
          <w:lang w:eastAsia="en-US"/>
        </w:rPr>
      </w:pPr>
    </w:p>
    <w:p w14:paraId="2281B489" w14:textId="77777777" w:rsidR="00E6703A" w:rsidRPr="00E6703A" w:rsidRDefault="00E6703A" w:rsidP="00E6703A">
      <w:pPr>
        <w:contextualSpacing/>
        <w:rPr>
          <w:rFonts w:eastAsia="Times New Roman" w:cs="Times New Roman"/>
          <w:szCs w:val="24"/>
          <w:lang w:eastAsia="en-US"/>
        </w:rPr>
      </w:pPr>
      <w:r w:rsidRPr="00E6703A">
        <w:rPr>
          <w:rFonts w:eastAsia="Times New Roman" w:cs="Times New Roman"/>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4F7A53D" w14:textId="77777777" w:rsidR="00E6703A" w:rsidRPr="00E6703A" w:rsidRDefault="00E6703A" w:rsidP="00E6703A">
      <w:pPr>
        <w:contextualSpacing/>
        <w:rPr>
          <w:rFonts w:eastAsia="Times New Roman" w:cs="Times New Roman"/>
          <w:szCs w:val="24"/>
          <w:lang w:eastAsia="en-US"/>
        </w:rPr>
      </w:pPr>
    </w:p>
    <w:p w14:paraId="0B8AFB37" w14:textId="77777777" w:rsidR="00E6703A" w:rsidRPr="00E6703A" w:rsidRDefault="00E6703A" w:rsidP="00E6703A">
      <w:pPr>
        <w:contextualSpacing/>
        <w:rPr>
          <w:rFonts w:eastAsia="Times New Roman" w:cs="Times New Roman"/>
          <w:szCs w:val="24"/>
          <w:lang w:eastAsia="en-US"/>
        </w:rPr>
      </w:pPr>
      <w:r w:rsidRPr="00E6703A">
        <w:rPr>
          <w:rFonts w:eastAsia="Times New Roman" w:cs="Times New Roman"/>
          <w:szCs w:val="24"/>
          <w:lang w:eastAsia="en-US"/>
        </w:rPr>
        <w:lastRenderedPageBreak/>
        <w:t>Argumento que encuentra sustento en la jurisprudencia P</w:t>
      </w:r>
      <w:proofErr w:type="gramStart"/>
      <w:r w:rsidRPr="00E6703A">
        <w:rPr>
          <w:rFonts w:eastAsia="Times New Roman" w:cs="Times New Roman"/>
          <w:szCs w:val="24"/>
          <w:lang w:eastAsia="en-US"/>
        </w:rPr>
        <w:t>./</w:t>
      </w:r>
      <w:proofErr w:type="gramEnd"/>
      <w:r w:rsidRPr="00E6703A">
        <w:rPr>
          <w:rFonts w:eastAsia="Times New Roman" w:cs="Times New Roman"/>
          <w:szCs w:val="24"/>
          <w:lang w:eastAsia="en-U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DD42F97" w14:textId="77777777" w:rsidR="00E6703A" w:rsidRPr="00E6703A" w:rsidRDefault="00E6703A" w:rsidP="00E6703A">
      <w:pPr>
        <w:contextualSpacing/>
        <w:rPr>
          <w:rFonts w:eastAsia="Times New Roman" w:cs="Times New Roman"/>
          <w:szCs w:val="24"/>
          <w:lang w:eastAsia="en-US"/>
        </w:rPr>
      </w:pPr>
    </w:p>
    <w:p w14:paraId="0032A00E" w14:textId="77777777" w:rsidR="00E6703A" w:rsidRPr="00E6703A" w:rsidRDefault="00E6703A" w:rsidP="00E6703A">
      <w:pPr>
        <w:contextualSpacing/>
        <w:rPr>
          <w:rFonts w:eastAsia="Times New Roman" w:cs="Times New Roman"/>
          <w:szCs w:val="24"/>
          <w:lang w:eastAsia="en-US"/>
        </w:rPr>
      </w:pPr>
      <w:r w:rsidRPr="00E6703A">
        <w:rPr>
          <w:rFonts w:eastAsia="Times New Roman" w:cs="Times New Roman"/>
          <w:szCs w:val="24"/>
          <w:lang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3132F7A7" w14:textId="77777777" w:rsidR="00E6703A" w:rsidRPr="00E6703A" w:rsidRDefault="00E6703A" w:rsidP="00E6703A">
      <w:pPr>
        <w:contextualSpacing/>
        <w:rPr>
          <w:rFonts w:eastAsia="Times New Roman" w:cs="Times New Roman"/>
          <w:szCs w:val="24"/>
          <w:lang w:eastAsia="en-US"/>
        </w:rPr>
      </w:pPr>
    </w:p>
    <w:p w14:paraId="0B538ED9" w14:textId="77777777" w:rsidR="00E6703A" w:rsidRPr="00E6703A" w:rsidRDefault="00E6703A" w:rsidP="00E6703A">
      <w:pPr>
        <w:contextualSpacing/>
        <w:rPr>
          <w:rFonts w:eastAsia="Times New Roman" w:cs="Times New Roman"/>
          <w:szCs w:val="24"/>
          <w:lang w:eastAsia="en-US"/>
        </w:rPr>
      </w:pPr>
      <w:r w:rsidRPr="00E6703A">
        <w:rPr>
          <w:rFonts w:eastAsia="Times New Roman" w:cs="Times New Roman"/>
          <w:szCs w:val="24"/>
          <w:lang w:eastAsia="en-US"/>
        </w:rPr>
        <w:t>«PLAZO RAZONABLE PARA RESOLVER. DIMENSIÓN Y EFECTOS DE ESTE CONCEPTO CUANDO SE ADUCE EXCESIVA CARGA DE TRABAJO», consultable en el Seminario Judicial de la Federación y su gaceta, con el registro digital 2002351.</w:t>
      </w:r>
    </w:p>
    <w:p w14:paraId="1F9BE025" w14:textId="77777777" w:rsidR="00E6703A" w:rsidRPr="00E6703A" w:rsidRDefault="00E6703A" w:rsidP="00E6703A">
      <w:pPr>
        <w:contextualSpacing/>
        <w:rPr>
          <w:rFonts w:eastAsia="Times New Roman" w:cs="Times New Roman"/>
          <w:szCs w:val="24"/>
          <w:lang w:eastAsia="en-US"/>
        </w:rPr>
      </w:pPr>
    </w:p>
    <w:p w14:paraId="39F29F98" w14:textId="77777777" w:rsidR="00E6703A" w:rsidRPr="00E6703A" w:rsidRDefault="00E6703A" w:rsidP="00E6703A">
      <w:pPr>
        <w:contextualSpacing/>
        <w:rPr>
          <w:rFonts w:eastAsia="Times New Roman" w:cs="Times New Roman"/>
          <w:szCs w:val="24"/>
          <w:lang w:eastAsia="en-US"/>
        </w:rPr>
      </w:pPr>
      <w:r w:rsidRPr="00E6703A">
        <w:rPr>
          <w:rFonts w:eastAsia="Times New Roman" w:cs="Times New Roman"/>
          <w:szCs w:val="24"/>
          <w:lang w:eastAsia="en-US"/>
        </w:rPr>
        <w:lastRenderedPageBreak/>
        <w:t>«PLAZO RAZONABLE PARA RESOLVER. CONCEPTO Y ELEMENTOS QUE LO INTEGRAN A LA LUZ DEL DERECHO INTERNACIONAL DE LOS DERECHOS HUMANOS», visible en el Seminario Judicial de la Federación y su gaceta, con el registro digital 2002350.</w:t>
      </w:r>
    </w:p>
    <w:p w14:paraId="2BE14DE1" w14:textId="77777777" w:rsidR="00F77945" w:rsidRPr="006E4D6F" w:rsidRDefault="00F77945" w:rsidP="00F77945">
      <w:pPr>
        <w:pBdr>
          <w:top w:val="nil"/>
          <w:left w:val="nil"/>
          <w:bottom w:val="nil"/>
          <w:right w:val="nil"/>
          <w:between w:val="nil"/>
        </w:pBdr>
        <w:contextualSpacing/>
        <w:rPr>
          <w:rFonts w:eastAsiaTheme="minorHAnsi" w:cstheme="minorBidi"/>
          <w:szCs w:val="24"/>
          <w:lang w:eastAsia="en-US"/>
        </w:rPr>
      </w:pPr>
    </w:p>
    <w:p w14:paraId="7D758B66" w14:textId="77777777" w:rsidR="00F77945" w:rsidRPr="006922F5" w:rsidRDefault="00F77945" w:rsidP="00F77945">
      <w:pPr>
        <w:pStyle w:val="Ttulo1"/>
        <w:rPr>
          <w:rFonts w:eastAsia="Palatino Linotype"/>
          <w:lang w:val="es-ES_tradnl"/>
        </w:rPr>
      </w:pPr>
      <w:r w:rsidRPr="006922F5">
        <w:rPr>
          <w:rFonts w:eastAsia="Palatino Linotype"/>
          <w:lang w:val="es-ES_tradnl"/>
        </w:rPr>
        <w:t>C O N S I D E R A N D O</w:t>
      </w:r>
    </w:p>
    <w:p w14:paraId="2171C004" w14:textId="77777777" w:rsidR="00F77945" w:rsidRPr="006922F5" w:rsidRDefault="00F77945" w:rsidP="00F77945">
      <w:pPr>
        <w:pBdr>
          <w:top w:val="nil"/>
          <w:left w:val="nil"/>
          <w:bottom w:val="nil"/>
          <w:right w:val="nil"/>
          <w:between w:val="nil"/>
        </w:pBdr>
        <w:contextualSpacing/>
        <w:rPr>
          <w:rFonts w:eastAsia="Palatino Linotype" w:cs="Palatino Linotype"/>
          <w:color w:val="000000"/>
          <w:szCs w:val="24"/>
        </w:rPr>
      </w:pPr>
    </w:p>
    <w:p w14:paraId="23E02BF4" w14:textId="77777777" w:rsidR="00F77945" w:rsidRPr="006922F5" w:rsidRDefault="00F77945" w:rsidP="00F77945">
      <w:pPr>
        <w:pStyle w:val="Ttulo2"/>
        <w:rPr>
          <w:rFonts w:eastAsia="Palatino Linotype"/>
        </w:rPr>
      </w:pPr>
      <w:r w:rsidRPr="006922F5">
        <w:rPr>
          <w:rFonts w:eastAsia="Palatino Linotype"/>
        </w:rPr>
        <w:t>PRIMERO. De la competencia.</w:t>
      </w:r>
    </w:p>
    <w:p w14:paraId="6A02E297" w14:textId="77777777" w:rsidR="00F77945" w:rsidRPr="006922F5" w:rsidRDefault="00F77945" w:rsidP="00F7794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BBBA87B" w14:textId="77777777" w:rsidR="00F77945" w:rsidRPr="006922F5" w:rsidRDefault="00F77945" w:rsidP="00F77945">
      <w:pPr>
        <w:pBdr>
          <w:top w:val="nil"/>
          <w:left w:val="nil"/>
          <w:bottom w:val="nil"/>
          <w:right w:val="nil"/>
          <w:between w:val="nil"/>
        </w:pBdr>
        <w:contextualSpacing/>
        <w:rPr>
          <w:rFonts w:eastAsia="Palatino Linotype" w:cs="Palatino Linotype"/>
          <w:color w:val="000000"/>
          <w:szCs w:val="24"/>
        </w:rPr>
      </w:pPr>
    </w:p>
    <w:p w14:paraId="393B2032" w14:textId="77777777" w:rsidR="00F77945" w:rsidRPr="006922F5" w:rsidRDefault="00F77945" w:rsidP="00F77945">
      <w:pPr>
        <w:pStyle w:val="Ttulo2"/>
        <w:rPr>
          <w:rFonts w:eastAsia="Palatino Linotype"/>
        </w:rPr>
      </w:pPr>
      <w:r w:rsidRPr="006922F5">
        <w:rPr>
          <w:rFonts w:eastAsia="Palatino Linotype"/>
        </w:rPr>
        <w:t xml:space="preserve">SEGUNDO. Sobre los alcances del recurso de revisión. </w:t>
      </w:r>
    </w:p>
    <w:p w14:paraId="2C4EE9C5" w14:textId="77777777" w:rsidR="00F77945" w:rsidRDefault="00F77945" w:rsidP="00F77945">
      <w:r w:rsidRPr="006922F5">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w:t>
      </w:r>
      <w:r w:rsidRPr="006922F5">
        <w:lastRenderedPageBreak/>
        <w:t>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A6AE89B" w14:textId="77777777" w:rsidR="00F77945" w:rsidRDefault="00F77945" w:rsidP="00F77945"/>
    <w:p w14:paraId="226A6B6F" w14:textId="77777777" w:rsidR="00F77945" w:rsidRPr="00CA1D2B" w:rsidRDefault="00F77945" w:rsidP="00CC2A8D">
      <w:pPr>
        <w:pStyle w:val="Prrafodelista"/>
        <w:autoSpaceDE w:val="0"/>
        <w:autoSpaceDN w:val="0"/>
        <w:adjustRightInd w:val="0"/>
        <w:spacing w:before="240" w:after="160"/>
        <w:ind w:left="0"/>
        <w:rPr>
          <w:rFonts w:cs="Arial"/>
          <w:b/>
          <w:sz w:val="28"/>
        </w:rPr>
      </w:pPr>
      <w:r>
        <w:rPr>
          <w:rFonts w:cs="Arial"/>
          <w:b/>
          <w:sz w:val="28"/>
        </w:rPr>
        <w:t xml:space="preserve">TERCERO. </w:t>
      </w:r>
      <w:r w:rsidRPr="00CA1D2B">
        <w:rPr>
          <w:rFonts w:cs="Arial"/>
          <w:b/>
          <w:sz w:val="28"/>
        </w:rPr>
        <w:t>De las causas de improcedencia.</w:t>
      </w:r>
    </w:p>
    <w:p w14:paraId="67A85518" w14:textId="77777777" w:rsidR="00F77945" w:rsidRDefault="00F77945" w:rsidP="00F77945">
      <w:pPr>
        <w:pStyle w:val="Prrafodelista"/>
        <w:autoSpaceDE w:val="0"/>
        <w:autoSpaceDN w:val="0"/>
        <w:adjustRightInd w:val="0"/>
        <w:ind w:left="0"/>
        <w:rPr>
          <w:rFonts w:cs="Arial"/>
        </w:rPr>
      </w:pPr>
      <w:r w:rsidRPr="00CA1D2B">
        <w:rPr>
          <w:rFonts w:cs="Arial"/>
        </w:rPr>
        <w:t xml:space="preserve">En el procedimiento de acceso a la información y de los medios de impugnación de la materia, se advierten diversos supuestos de </w:t>
      </w:r>
      <w:proofErr w:type="spellStart"/>
      <w:r w:rsidRPr="00CA1D2B">
        <w:rPr>
          <w:rFonts w:cs="Arial"/>
        </w:rPr>
        <w:t>procedibilidad</w:t>
      </w:r>
      <w:proofErr w:type="spellEnd"/>
      <w:r w:rsidRPr="00CA1D2B">
        <w:rPr>
          <w:rFonts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FD55668" w14:textId="77777777" w:rsidR="00F77945" w:rsidRPr="00CA1D2B" w:rsidRDefault="00F77945" w:rsidP="00F77945">
      <w:pPr>
        <w:pStyle w:val="Prrafodelista"/>
        <w:autoSpaceDE w:val="0"/>
        <w:autoSpaceDN w:val="0"/>
        <w:adjustRightInd w:val="0"/>
        <w:ind w:left="0"/>
        <w:rPr>
          <w:rFonts w:cs="Arial"/>
        </w:rPr>
      </w:pPr>
    </w:p>
    <w:p w14:paraId="7660A1B4" w14:textId="77777777" w:rsidR="00F77945" w:rsidRPr="00CA1D2B" w:rsidRDefault="00F77945" w:rsidP="00F77945">
      <w:pPr>
        <w:pStyle w:val="Prrafodelista"/>
        <w:autoSpaceDE w:val="0"/>
        <w:autoSpaceDN w:val="0"/>
        <w:adjustRightInd w:val="0"/>
        <w:ind w:left="0"/>
        <w:rPr>
          <w:rFonts w:cs="Arial"/>
        </w:rPr>
      </w:pPr>
      <w:r w:rsidRPr="00CA1D2B">
        <w:rPr>
          <w:rFonts w:cs="Arial"/>
        </w:rPr>
        <w:t xml:space="preserve">De lo anterior, el estudio de las causas de improcedencia que se hagan valer por las partes o que se advierta de oficio por este </w:t>
      </w:r>
      <w:proofErr w:type="spellStart"/>
      <w:r w:rsidRPr="00CA1D2B">
        <w:rPr>
          <w:rFonts w:cs="Arial"/>
        </w:rPr>
        <w:t>Resolutor</w:t>
      </w:r>
      <w:proofErr w:type="spellEnd"/>
      <w:r w:rsidRPr="00CA1D2B">
        <w:rPr>
          <w:rFonts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w:t>
      </w:r>
      <w:r w:rsidRPr="00CA1D2B">
        <w:rPr>
          <w:rFonts w:cs="Arial"/>
        </w:rPr>
        <w:lastRenderedPageBreak/>
        <w:t>justicia, ya que éste no se coarta por regular causas de improcedencia y sobreseimiento con tales fines</w:t>
      </w:r>
      <w:r w:rsidRPr="00CA1D2B">
        <w:rPr>
          <w:rStyle w:val="Refdenotaalpie"/>
          <w:rFonts w:cs="Arial"/>
        </w:rPr>
        <w:footnoteReference w:id="1"/>
      </w:r>
      <w:r w:rsidRPr="00CA1D2B">
        <w:rPr>
          <w:rFonts w:cs="Arial"/>
        </w:rPr>
        <w:t>.</w:t>
      </w:r>
    </w:p>
    <w:p w14:paraId="742872FE" w14:textId="77777777" w:rsidR="00F77945" w:rsidRPr="00CA1D2B" w:rsidRDefault="00F77945" w:rsidP="00F77945">
      <w:pPr>
        <w:pStyle w:val="Prrafodelista"/>
        <w:autoSpaceDE w:val="0"/>
        <w:autoSpaceDN w:val="0"/>
        <w:adjustRightInd w:val="0"/>
        <w:ind w:left="0"/>
        <w:rPr>
          <w:rFonts w:cs="Arial"/>
        </w:rPr>
      </w:pPr>
    </w:p>
    <w:p w14:paraId="4ED07D2C" w14:textId="77777777" w:rsidR="00F77945" w:rsidRDefault="00F77945" w:rsidP="00F77945">
      <w:pPr>
        <w:pStyle w:val="Prrafodelista"/>
        <w:autoSpaceDE w:val="0"/>
        <w:autoSpaceDN w:val="0"/>
        <w:adjustRightInd w:val="0"/>
        <w:ind w:left="0"/>
        <w:rPr>
          <w:rFonts w:cs="Arial"/>
        </w:rPr>
      </w:pPr>
      <w:r w:rsidRPr="00CA1D2B">
        <w:rPr>
          <w:rFonts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2F5EE76A" w14:textId="77777777" w:rsidR="00F77945" w:rsidRPr="00231378" w:rsidRDefault="00F77945" w:rsidP="00F77945">
      <w:pPr>
        <w:pStyle w:val="Prrafodelista"/>
        <w:autoSpaceDE w:val="0"/>
        <w:autoSpaceDN w:val="0"/>
        <w:adjustRightInd w:val="0"/>
        <w:ind w:left="0"/>
        <w:rPr>
          <w:rFonts w:cs="Arial"/>
        </w:rPr>
      </w:pPr>
    </w:p>
    <w:p w14:paraId="66E08C98" w14:textId="77777777" w:rsidR="00F77945" w:rsidRDefault="00CC2A8D" w:rsidP="00F77945">
      <w:pPr>
        <w:pStyle w:val="Ttulo2"/>
        <w:rPr>
          <w:rFonts w:eastAsia="Palatino Linotype"/>
        </w:rPr>
      </w:pPr>
      <w:r>
        <w:rPr>
          <w:rFonts w:eastAsia="Palatino Linotype"/>
        </w:rPr>
        <w:t>CUARTO.</w:t>
      </w:r>
      <w:r w:rsidR="00F77945">
        <w:rPr>
          <w:rFonts w:eastAsia="Palatino Linotype"/>
        </w:rPr>
        <w:t xml:space="preserve"> </w:t>
      </w:r>
      <w:r w:rsidR="00F77945" w:rsidRPr="006922F5">
        <w:rPr>
          <w:rFonts w:eastAsia="Palatino Linotype"/>
        </w:rPr>
        <w:t>Estudio y resolución del asunto.</w:t>
      </w:r>
    </w:p>
    <w:p w14:paraId="4F7EA12C" w14:textId="77777777" w:rsidR="00F77945" w:rsidRPr="00231378" w:rsidRDefault="00F77945" w:rsidP="00F77945"/>
    <w:p w14:paraId="47F9FBC9" w14:textId="77777777" w:rsidR="00F77945" w:rsidRPr="006922F5" w:rsidRDefault="00F77945" w:rsidP="00F7794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w:t>
      </w:r>
      <w:r w:rsidRPr="006922F5">
        <w:rPr>
          <w:rFonts w:eastAsia="Palatino Linotype" w:cs="Palatino Linotype"/>
          <w:color w:val="000000"/>
          <w:szCs w:val="24"/>
        </w:rPr>
        <w:lastRenderedPageBreak/>
        <w:t>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C3D2FF3" w14:textId="77777777" w:rsidR="00F77945" w:rsidRPr="006922F5" w:rsidRDefault="00F77945" w:rsidP="00F77945">
      <w:pPr>
        <w:pBdr>
          <w:top w:val="nil"/>
          <w:left w:val="nil"/>
          <w:bottom w:val="nil"/>
          <w:right w:val="nil"/>
          <w:between w:val="nil"/>
        </w:pBdr>
        <w:contextualSpacing/>
        <w:rPr>
          <w:rFonts w:eastAsia="Palatino Linotype" w:cs="Palatino Linotype"/>
          <w:color w:val="000000"/>
          <w:szCs w:val="24"/>
        </w:rPr>
      </w:pPr>
    </w:p>
    <w:p w14:paraId="326566A1" w14:textId="77777777" w:rsidR="00CC2A8D" w:rsidRDefault="00CC2A8D" w:rsidP="00CC2A8D">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requirió </w:t>
      </w:r>
      <w:r>
        <w:rPr>
          <w:rFonts w:eastAsia="Palatino Linotype" w:cs="Palatino Linotype"/>
          <w:color w:val="000000"/>
          <w:szCs w:val="24"/>
        </w:rPr>
        <w:t>del Sujeto Obligado, de la actual administración, lo siguiente:</w:t>
      </w:r>
    </w:p>
    <w:p w14:paraId="771EF0CC" w14:textId="77777777" w:rsidR="00CC2A8D" w:rsidRDefault="00CC2A8D" w:rsidP="00CC2A8D">
      <w:pPr>
        <w:pBdr>
          <w:top w:val="nil"/>
          <w:left w:val="nil"/>
          <w:bottom w:val="nil"/>
          <w:right w:val="nil"/>
          <w:between w:val="nil"/>
        </w:pBdr>
        <w:contextualSpacing/>
        <w:rPr>
          <w:rFonts w:eastAsia="Palatino Linotype" w:cs="Palatino Linotype"/>
          <w:color w:val="000000"/>
          <w:szCs w:val="24"/>
        </w:rPr>
      </w:pPr>
    </w:p>
    <w:p w14:paraId="7908B8CB" w14:textId="77777777" w:rsidR="00A739E5" w:rsidRPr="00E02E32" w:rsidRDefault="00E02E32" w:rsidP="00E02E32">
      <w:pPr>
        <w:pStyle w:val="Prrafodelista"/>
        <w:numPr>
          <w:ilvl w:val="0"/>
          <w:numId w:val="2"/>
        </w:numPr>
        <w:pBdr>
          <w:top w:val="nil"/>
          <w:left w:val="nil"/>
          <w:bottom w:val="nil"/>
          <w:right w:val="nil"/>
          <w:between w:val="nil"/>
        </w:pBdr>
        <w:contextualSpacing/>
        <w:rPr>
          <w:rFonts w:eastAsia="Palatino Linotype" w:cs="Palatino Linotype"/>
          <w:color w:val="000000"/>
        </w:rPr>
      </w:pPr>
      <w:r>
        <w:rPr>
          <w:i/>
          <w:color w:val="000000"/>
          <w:sz w:val="22"/>
          <w:szCs w:val="22"/>
        </w:rPr>
        <w:t xml:space="preserve">Título profesional y certificado de competencias laborales del Tesorero Municipal </w:t>
      </w:r>
    </w:p>
    <w:p w14:paraId="5EA63928" w14:textId="77777777" w:rsidR="00E02E32" w:rsidRPr="00197291" w:rsidRDefault="00E02E32" w:rsidP="00E02E32">
      <w:pPr>
        <w:pStyle w:val="Prrafodelista"/>
        <w:pBdr>
          <w:top w:val="nil"/>
          <w:left w:val="nil"/>
          <w:bottom w:val="nil"/>
          <w:right w:val="nil"/>
          <w:between w:val="nil"/>
        </w:pBdr>
        <w:ind w:left="1069"/>
        <w:contextualSpacing/>
        <w:rPr>
          <w:rFonts w:eastAsia="Palatino Linotype" w:cs="Palatino Linotype"/>
          <w:color w:val="000000"/>
        </w:rPr>
      </w:pPr>
    </w:p>
    <w:p w14:paraId="29EBA5A6" w14:textId="77777777" w:rsidR="00E02E32" w:rsidRDefault="00CC2A8D" w:rsidP="00CC2A8D">
      <w:pPr>
        <w:pBdr>
          <w:top w:val="nil"/>
          <w:left w:val="nil"/>
          <w:bottom w:val="nil"/>
          <w:right w:val="nil"/>
          <w:between w:val="nil"/>
        </w:pBdr>
        <w:contextualSpacing/>
      </w:pPr>
      <w:r>
        <w:rPr>
          <w:rFonts w:eastAsia="Palatino Linotype" w:cs="Palatino Linotype"/>
          <w:color w:val="000000"/>
          <w:szCs w:val="24"/>
        </w:rPr>
        <w:t>Por lo que atento a la solicitud de información el Sujeto Obligado</w:t>
      </w:r>
      <w:r>
        <w:t xml:space="preserve"> </w:t>
      </w:r>
      <w:r w:rsidR="00E02E32">
        <w:t>brindo respuesta en los temimos siguientes;</w:t>
      </w:r>
    </w:p>
    <w:p w14:paraId="503E9D48" w14:textId="77777777" w:rsidR="00E02E32" w:rsidRPr="00E02E32" w:rsidRDefault="00E02E32" w:rsidP="00E02E32">
      <w:pPr>
        <w:pStyle w:val="Prrafodelista"/>
        <w:numPr>
          <w:ilvl w:val="0"/>
          <w:numId w:val="9"/>
        </w:numPr>
        <w:pBdr>
          <w:top w:val="nil"/>
          <w:left w:val="nil"/>
          <w:bottom w:val="nil"/>
          <w:right w:val="nil"/>
          <w:between w:val="nil"/>
        </w:pBdr>
        <w:contextualSpacing/>
      </w:pPr>
      <w:r w:rsidRPr="00E02E32">
        <w:rPr>
          <w:rFonts w:eastAsiaTheme="majorEastAsia" w:cs="Arial"/>
          <w:b/>
          <w:bCs/>
        </w:rPr>
        <w:t>00088.OCOYOACAC.IP.2023.pdf</w:t>
      </w:r>
      <w:r>
        <w:rPr>
          <w:rFonts w:eastAsiaTheme="majorEastAsia" w:cs="Arial"/>
          <w:b/>
          <w:bCs/>
        </w:rPr>
        <w:t xml:space="preserve">: </w:t>
      </w:r>
      <w:r>
        <w:rPr>
          <w:rFonts w:eastAsiaTheme="majorEastAsia" w:cs="Arial"/>
          <w:bCs/>
        </w:rPr>
        <w:t xml:space="preserve">Documento que consta de una foja en formato PDF de fecha once de septiembre de dos mil veintitrés con número de oficio AYTO/OCOY/D.G.A/00271/2023 por medio del cual la Sub directora de Recursos Humanos informa que el titular de la tesorería municipal cuenta con título en administración y certificado de competencias laboral en la norma institucional “Administrar la Tesorería Municipal” </w:t>
      </w:r>
    </w:p>
    <w:p w14:paraId="0D24B40B" w14:textId="77777777" w:rsidR="00E02E32" w:rsidRDefault="00E02E32" w:rsidP="00CC2A8D">
      <w:pPr>
        <w:pBdr>
          <w:top w:val="nil"/>
          <w:left w:val="nil"/>
          <w:bottom w:val="nil"/>
          <w:right w:val="nil"/>
          <w:between w:val="nil"/>
        </w:pBdr>
        <w:contextualSpacing/>
      </w:pPr>
    </w:p>
    <w:p w14:paraId="541BB827" w14:textId="77777777" w:rsidR="00E02E32" w:rsidRPr="00E02E32" w:rsidRDefault="00CC2A8D" w:rsidP="00E02E32">
      <w:pPr>
        <w:pBdr>
          <w:top w:val="nil"/>
          <w:left w:val="nil"/>
          <w:bottom w:val="nil"/>
          <w:right w:val="nil"/>
          <w:between w:val="nil"/>
        </w:pBdr>
        <w:contextualSpacing/>
        <w:rPr>
          <w:rFonts w:eastAsia="Palatino Linotype" w:cs="Palatino Linotype"/>
          <w:color w:val="000000"/>
          <w:szCs w:val="24"/>
        </w:rPr>
      </w:pPr>
      <w:r w:rsidRPr="00E02E32">
        <w:rPr>
          <w:rFonts w:eastAsia="Palatino Linotype" w:cs="Palatino Linotype"/>
          <w:color w:val="000000"/>
        </w:rPr>
        <w:t>Ante la respuesta emitida por el Sujeto Obligado, el Recurrente consideró que su derecho a la información pública había sido conculcado, por lo que interpuso el recurso de revisión al rubro citado, señalando como acto impugnado</w:t>
      </w:r>
      <w:r w:rsidR="00A739E5" w:rsidRPr="00E02E32">
        <w:rPr>
          <w:rFonts w:eastAsia="Palatino Linotype" w:cs="Palatino Linotype"/>
          <w:color w:val="000000"/>
        </w:rPr>
        <w:t xml:space="preserve"> </w:t>
      </w:r>
      <w:r w:rsidR="00E02E32" w:rsidRPr="00E02E32">
        <w:rPr>
          <w:rFonts w:eastAsia="Palatino Linotype" w:cs="Palatino Linotype"/>
          <w:color w:val="000000"/>
        </w:rPr>
        <w:t>“</w:t>
      </w:r>
      <w:r w:rsidR="00E02E32" w:rsidRPr="00E02E32">
        <w:rPr>
          <w:rFonts w:eastAsia="Palatino Linotype" w:cs="Palatino Linotype"/>
          <w:i/>
          <w:color w:val="000000"/>
        </w:rPr>
        <w:t xml:space="preserve">solicite el título profesional y el </w:t>
      </w:r>
      <w:r w:rsidR="00E02E32" w:rsidRPr="00E02E32">
        <w:rPr>
          <w:rFonts w:eastAsia="Palatino Linotype" w:cs="Palatino Linotype"/>
          <w:i/>
          <w:color w:val="000000"/>
        </w:rPr>
        <w:lastRenderedPageBreak/>
        <w:t xml:space="preserve">certificado de competencias laboral” </w:t>
      </w:r>
      <w:r w:rsidR="00A739E5" w:rsidRPr="00E02E32">
        <w:rPr>
          <w:rFonts w:eastAsia="Palatino Linotype" w:cs="Palatino Linotype"/>
          <w:color w:val="000000"/>
        </w:rPr>
        <w:t xml:space="preserve">y como razones de inconformidad </w:t>
      </w:r>
      <w:r w:rsidR="00E02E32" w:rsidRPr="00E02E32">
        <w:rPr>
          <w:rFonts w:eastAsia="Palatino Linotype" w:cs="Palatino Linotype"/>
          <w:color w:val="000000"/>
        </w:rPr>
        <w:t>“</w:t>
      </w:r>
      <w:r w:rsidR="00E02E32" w:rsidRPr="00E02E32">
        <w:rPr>
          <w:rFonts w:eastAsia="Palatino Linotype" w:cs="Palatino Linotype"/>
          <w:i/>
          <w:color w:val="000000"/>
        </w:rPr>
        <w:t>no fueron exhibidos los documentos solicitados”</w:t>
      </w:r>
      <w:r w:rsidR="00CF626F">
        <w:rPr>
          <w:rFonts w:eastAsia="Palatino Linotype" w:cs="Palatino Linotype"/>
          <w:i/>
          <w:color w:val="000000"/>
        </w:rPr>
        <w:t xml:space="preserve"> </w:t>
      </w:r>
      <w:r w:rsidRPr="00E02E32">
        <w:rPr>
          <w:rFonts w:eastAsia="Palatino Linotype" w:cs="Palatino Linotype"/>
          <w:color w:val="000000"/>
        </w:rPr>
        <w:t>en este sentido</w:t>
      </w:r>
      <w:r w:rsidR="0089555E" w:rsidRPr="00E02E32">
        <w:rPr>
          <w:rFonts w:eastAsia="Palatino Linotype" w:cs="Palatino Linotype"/>
          <w:color w:val="000000"/>
        </w:rPr>
        <w:t xml:space="preserve"> el Recurrente considero que </w:t>
      </w:r>
      <w:r w:rsidR="00E02E32" w:rsidRPr="00E02E32">
        <w:rPr>
          <w:rFonts w:eastAsia="Palatino Linotype" w:cs="Palatino Linotype"/>
          <w:color w:val="000000"/>
        </w:rPr>
        <w:t>el ayunta</w:t>
      </w:r>
      <w:r w:rsidR="00CF626F">
        <w:rPr>
          <w:rFonts w:eastAsia="Palatino Linotype" w:cs="Palatino Linotype"/>
          <w:color w:val="000000"/>
        </w:rPr>
        <w:t xml:space="preserve">miento de </w:t>
      </w:r>
      <w:proofErr w:type="spellStart"/>
      <w:r w:rsidR="00CF626F">
        <w:rPr>
          <w:rFonts w:eastAsia="Palatino Linotype" w:cs="Palatino Linotype"/>
          <w:color w:val="000000"/>
        </w:rPr>
        <w:t>Ocoyoacac</w:t>
      </w:r>
      <w:proofErr w:type="spellEnd"/>
      <w:r w:rsidR="00CF626F">
        <w:rPr>
          <w:rFonts w:eastAsia="Palatino Linotype" w:cs="Palatino Linotype"/>
          <w:color w:val="000000"/>
        </w:rPr>
        <w:t xml:space="preserve"> no le brindó</w:t>
      </w:r>
      <w:r w:rsidR="00E02E32" w:rsidRPr="00E02E32">
        <w:rPr>
          <w:rFonts w:eastAsia="Palatino Linotype" w:cs="Palatino Linotype"/>
          <w:color w:val="000000"/>
        </w:rPr>
        <w:t xml:space="preserve"> </w:t>
      </w:r>
      <w:r w:rsidR="00E02E32">
        <w:rPr>
          <w:rFonts w:eastAsia="Palatino Linotype" w:cs="Palatino Linotype"/>
          <w:color w:val="000000"/>
        </w:rPr>
        <w:t>el t</w:t>
      </w:r>
      <w:r w:rsidR="00E02E32" w:rsidRPr="00E02E32">
        <w:rPr>
          <w:color w:val="000000"/>
          <w:szCs w:val="24"/>
        </w:rPr>
        <w:t>ítulo profesional y certificado de competencias laborales del Tesorero Municip</w:t>
      </w:r>
      <w:r w:rsidR="00E02E32">
        <w:rPr>
          <w:color w:val="000000"/>
          <w:szCs w:val="24"/>
        </w:rPr>
        <w:t>al.</w:t>
      </w:r>
    </w:p>
    <w:p w14:paraId="467485D0" w14:textId="77777777" w:rsidR="00E02E32" w:rsidRDefault="00E02E32" w:rsidP="00E02E32">
      <w:pPr>
        <w:pBdr>
          <w:top w:val="nil"/>
          <w:left w:val="nil"/>
          <w:bottom w:val="nil"/>
          <w:right w:val="nil"/>
          <w:between w:val="nil"/>
        </w:pBdr>
        <w:contextualSpacing/>
      </w:pPr>
    </w:p>
    <w:p w14:paraId="7F3E47A3" w14:textId="77777777" w:rsidR="0089555E" w:rsidRDefault="0089555E" w:rsidP="00CC2A8D">
      <w:pPr>
        <w:pBdr>
          <w:top w:val="nil"/>
          <w:left w:val="nil"/>
          <w:bottom w:val="nil"/>
          <w:right w:val="nil"/>
          <w:between w:val="nil"/>
        </w:pBdr>
        <w:contextualSpacing/>
      </w:pPr>
      <w:r>
        <w:t xml:space="preserve"> Como podemos apreciar de la documental en análisis, el sujeto obligado no niega contar con la información solicitada, por el contrario acepta de forma expresa poseerla, en consecuencia se omite el estudio de la fuente obligacional que impone al sujeto obligado a generarla, administrarla o poseerla.</w:t>
      </w:r>
    </w:p>
    <w:p w14:paraId="134F3892" w14:textId="77777777" w:rsidR="0089555E" w:rsidRDefault="0089555E" w:rsidP="00CC2A8D">
      <w:pPr>
        <w:pBdr>
          <w:top w:val="nil"/>
          <w:left w:val="nil"/>
          <w:bottom w:val="nil"/>
          <w:right w:val="nil"/>
          <w:between w:val="nil"/>
        </w:pBdr>
        <w:contextualSpacing/>
      </w:pPr>
    </w:p>
    <w:p w14:paraId="6139F25C" w14:textId="77777777" w:rsidR="0089555E" w:rsidRDefault="0089555E" w:rsidP="00CC2A8D">
      <w:pPr>
        <w:pBdr>
          <w:top w:val="nil"/>
          <w:left w:val="nil"/>
          <w:bottom w:val="nil"/>
          <w:right w:val="nil"/>
          <w:between w:val="nil"/>
        </w:pBdr>
        <w:contextualSpacing/>
      </w:pPr>
      <w:r>
        <w:t xml:space="preserve"> De lo anterior se colige que, el hecho de que el Sujeto Obligado haya manifestado al Recurrente que</w:t>
      </w:r>
      <w:r w:rsidR="00E02E32">
        <w:t xml:space="preserve"> </w:t>
      </w:r>
      <w:r w:rsidR="00E02E32">
        <w:rPr>
          <w:rFonts w:eastAsiaTheme="majorEastAsia" w:cs="Arial"/>
          <w:bCs/>
        </w:rPr>
        <w:t>el titular de la tesorería municipal cuenta con título en administración y certificado de competencias laboral en la norma institucional “Administrar la Tesorería Municipal”</w:t>
      </w:r>
      <w:r>
        <w:t xml:space="preserve">, comprueba fehacientemente que dicha autoridad acepta que la </w:t>
      </w:r>
      <w:r w:rsidR="00E02E32">
        <w:t>genera, posee y/o administra los</w:t>
      </w:r>
      <w:r>
        <w:t xml:space="preserve"> documentos solicitados, en ejercicio de sus funciones de derecho público, es decir, no niega la existencia de la información solicitada, por el contrario, se pronuncia respecto de la información requerida, es por ello que se reitera, se asume que posee la información; por lo tanto, el estudio en específico se obvia dado que a nada práctico llevaría el alcance del mismo. </w:t>
      </w:r>
    </w:p>
    <w:p w14:paraId="07138B8B" w14:textId="77777777" w:rsidR="0089555E" w:rsidRDefault="0089555E" w:rsidP="00CC2A8D">
      <w:pPr>
        <w:pBdr>
          <w:top w:val="nil"/>
          <w:left w:val="nil"/>
          <w:bottom w:val="nil"/>
          <w:right w:val="nil"/>
          <w:between w:val="nil"/>
        </w:pBdr>
        <w:contextualSpacing/>
      </w:pPr>
    </w:p>
    <w:p w14:paraId="13DCF7FD" w14:textId="77777777" w:rsidR="0089555E" w:rsidRDefault="0089555E" w:rsidP="00CC2A8D">
      <w:pPr>
        <w:pBdr>
          <w:top w:val="nil"/>
          <w:left w:val="nil"/>
          <w:bottom w:val="nil"/>
          <w:right w:val="nil"/>
          <w:between w:val="nil"/>
        </w:pBdr>
        <w:contextualSpacing/>
      </w:pPr>
      <w:r>
        <w:t xml:space="preserve">De hecho, el estudio de la naturaleza jurídica de la información pública solicitada, tiene por objeto determinar si ésta la genera, posee o administra el Sujeto Obligado; sin embargo, en aquellos casos en que éste la asume, implica en automático que la genera, </w:t>
      </w:r>
      <w:r>
        <w:lastRenderedPageBreak/>
        <w:t>posee o administra; por consiguiente, a nada práctico nos conduciría su estudio, ya que se insiste la información pública solicitada, ya fue asumida por el Sujeto Obligado.</w:t>
      </w:r>
    </w:p>
    <w:p w14:paraId="1F2269FF" w14:textId="77777777" w:rsidR="00E42356" w:rsidRDefault="00E42356" w:rsidP="00CC2A8D">
      <w:pPr>
        <w:pBdr>
          <w:top w:val="nil"/>
          <w:left w:val="nil"/>
          <w:bottom w:val="nil"/>
          <w:right w:val="nil"/>
          <w:between w:val="nil"/>
        </w:pBdr>
        <w:contextualSpacing/>
      </w:pPr>
    </w:p>
    <w:p w14:paraId="06492140" w14:textId="77777777" w:rsidR="00245FB3" w:rsidRPr="00711CB9" w:rsidRDefault="00245FB3" w:rsidP="00245FB3">
      <w:pPr>
        <w:pBdr>
          <w:top w:val="nil"/>
          <w:left w:val="nil"/>
          <w:bottom w:val="nil"/>
          <w:right w:val="nil"/>
          <w:between w:val="nil"/>
        </w:pBdr>
        <w:contextualSpacing/>
        <w:rPr>
          <w:rFonts w:eastAsia="Palatino Linotype" w:cs="Palatino Linotype"/>
          <w:color w:val="000000"/>
          <w:szCs w:val="24"/>
        </w:rPr>
      </w:pPr>
      <w:r w:rsidRPr="00245FB3">
        <w:rPr>
          <w:rFonts w:eastAsia="Arial Unicode MS" w:cs="Arial"/>
        </w:rPr>
        <w:t>En mérito de lo ex</w:t>
      </w:r>
      <w:r w:rsidRPr="00245FB3">
        <w:rPr>
          <w:rFonts w:cs="Arial"/>
        </w:rPr>
        <w:t>puesto en líneas anteriores</w:t>
      </w:r>
      <w:r>
        <w:t xml:space="preserve">, </w:t>
      </w:r>
      <w:r w:rsidRPr="009C569F">
        <w:rPr>
          <w:szCs w:val="24"/>
        </w:rPr>
        <w:t xml:space="preserve">se estima que las manifestaciones vertidas por </w:t>
      </w:r>
      <w:r w:rsidR="00D44D26">
        <w:rPr>
          <w:b/>
          <w:szCs w:val="24"/>
        </w:rPr>
        <w:t>el</w:t>
      </w:r>
      <w:r w:rsidRPr="009C569F">
        <w:rPr>
          <w:b/>
          <w:szCs w:val="24"/>
        </w:rPr>
        <w:t xml:space="preserve"> parte Recurrente </w:t>
      </w:r>
      <w:r w:rsidRPr="009C569F">
        <w:rPr>
          <w:bCs/>
          <w:szCs w:val="24"/>
        </w:rPr>
        <w:t>en</w:t>
      </w:r>
      <w:r w:rsidRPr="009C569F">
        <w:rPr>
          <w:szCs w:val="24"/>
        </w:rPr>
        <w:t xml:space="preserve"> el presente</w:t>
      </w:r>
      <w:r w:rsidR="00D44D26">
        <w:rPr>
          <w:szCs w:val="24"/>
        </w:rPr>
        <w:t xml:space="preserve"> recurso se encuentran fundadas, </w:t>
      </w:r>
      <w:r>
        <w:t xml:space="preserve">por lo que es dable ordenar </w:t>
      </w:r>
      <w:r w:rsidR="00D44D26">
        <w:t xml:space="preserve">al Sujeto Ordenado </w:t>
      </w:r>
      <w:r>
        <w:t>se hag</w:t>
      </w:r>
      <w:r w:rsidR="00711CB9">
        <w:t>a entrega en versión pública d</w:t>
      </w:r>
      <w:r w:rsidR="00711CB9">
        <w:rPr>
          <w:rFonts w:eastAsia="Palatino Linotype" w:cs="Palatino Linotype"/>
          <w:color w:val="000000"/>
        </w:rPr>
        <w:t>el t</w:t>
      </w:r>
      <w:r w:rsidR="00711CB9" w:rsidRPr="00E02E32">
        <w:rPr>
          <w:color w:val="000000"/>
          <w:szCs w:val="24"/>
        </w:rPr>
        <w:t>ítulo profesional y certificado de competencias laborales del Tesorero Municip</w:t>
      </w:r>
      <w:r w:rsidR="00711CB9">
        <w:rPr>
          <w:color w:val="000000"/>
          <w:szCs w:val="24"/>
        </w:rPr>
        <w:t xml:space="preserve">al </w:t>
      </w:r>
      <w:r>
        <w:rPr>
          <w:color w:val="000000"/>
        </w:rPr>
        <w:t>acompañados del acuerdo de clasificación emitido por el Comité de Transparencia</w:t>
      </w:r>
      <w:r w:rsidR="00711CB9">
        <w:rPr>
          <w:color w:val="000000"/>
        </w:rPr>
        <w:t>.</w:t>
      </w:r>
    </w:p>
    <w:p w14:paraId="3E8D3DE9" w14:textId="77777777" w:rsidR="00F77945" w:rsidRDefault="00F77945" w:rsidP="00F77945">
      <w:pPr>
        <w:pBdr>
          <w:top w:val="nil"/>
          <w:left w:val="nil"/>
          <w:bottom w:val="nil"/>
          <w:right w:val="nil"/>
          <w:between w:val="nil"/>
        </w:pBdr>
        <w:contextualSpacing/>
        <w:rPr>
          <w:szCs w:val="24"/>
        </w:rPr>
      </w:pPr>
    </w:p>
    <w:p w14:paraId="4B8CED2F" w14:textId="77777777" w:rsidR="00245FB3" w:rsidRDefault="00245FB3" w:rsidP="00245FB3">
      <w:pPr>
        <w:rPr>
          <w:rFonts w:eastAsia="Times New Roman" w:cs="Times New Roman"/>
          <w:b/>
          <w:bCs/>
          <w:i/>
          <w:iCs/>
          <w:szCs w:val="24"/>
          <w:u w:val="single"/>
        </w:rPr>
      </w:pPr>
      <w:r w:rsidRPr="00C6485C">
        <w:rPr>
          <w:rFonts w:eastAsia="Times New Roman" w:cs="Times New Roman"/>
          <w:b/>
          <w:bCs/>
          <w:i/>
          <w:iCs/>
          <w:szCs w:val="24"/>
          <w:u w:val="single"/>
        </w:rPr>
        <w:t>DE LA VERSIÓN PÚBLICA</w:t>
      </w:r>
    </w:p>
    <w:p w14:paraId="7874003C" w14:textId="77777777" w:rsidR="00245FB3" w:rsidRPr="00C6485C" w:rsidRDefault="00245FB3" w:rsidP="00245FB3">
      <w:pPr>
        <w:rPr>
          <w:rFonts w:eastAsia="Times New Roman" w:cs="Times New Roman"/>
          <w:b/>
          <w:bCs/>
          <w:i/>
          <w:iCs/>
          <w:szCs w:val="24"/>
          <w:u w:val="single"/>
        </w:rPr>
      </w:pPr>
    </w:p>
    <w:p w14:paraId="1539E7AC" w14:textId="77777777" w:rsidR="00245FB3" w:rsidRPr="00C6485C" w:rsidRDefault="00245FB3" w:rsidP="00245FB3">
      <w:pPr>
        <w:rPr>
          <w:rFonts w:eastAsia="Arial Unicode MS"/>
          <w:szCs w:val="24"/>
        </w:rPr>
      </w:pPr>
      <w:r w:rsidRPr="00C6485C">
        <w:rPr>
          <w:rFonts w:eastAsia="Arial Unicode MS"/>
          <w:szCs w:val="24"/>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69797E49" w14:textId="77777777" w:rsidR="00245FB3" w:rsidRPr="00C6485C" w:rsidRDefault="00245FB3" w:rsidP="00245FB3">
      <w:pPr>
        <w:rPr>
          <w:bCs/>
          <w:szCs w:val="24"/>
        </w:rPr>
      </w:pPr>
    </w:p>
    <w:p w14:paraId="74EE9753" w14:textId="77777777" w:rsidR="00245FB3" w:rsidRPr="00C6485C" w:rsidRDefault="00245FB3" w:rsidP="00245FB3">
      <w:pPr>
        <w:rPr>
          <w:szCs w:val="24"/>
        </w:rPr>
      </w:pPr>
      <w:r w:rsidRPr="00C6485C">
        <w:rPr>
          <w:bCs/>
          <w:szCs w:val="24"/>
        </w:rPr>
        <w:t>A este respecto, los</w:t>
      </w:r>
      <w:r w:rsidRPr="00C6485C">
        <w:rPr>
          <w:szCs w:val="24"/>
        </w:rPr>
        <w:t xml:space="preserve"> artículos 3, fracciones IX, XX, XXI y XLV; 51 y 52de la Ley de Transparencia y Acceso a la Información Pública del Estado de México y Municipios establecen:</w:t>
      </w:r>
    </w:p>
    <w:p w14:paraId="00303F12" w14:textId="77777777" w:rsidR="00245FB3" w:rsidRPr="004C77A2" w:rsidRDefault="00245FB3" w:rsidP="00245FB3">
      <w:pPr>
        <w:rPr>
          <w:noProof/>
          <w:sz w:val="22"/>
        </w:rPr>
      </w:pPr>
    </w:p>
    <w:p w14:paraId="55F04904" w14:textId="77777777" w:rsidR="00245FB3" w:rsidRPr="004C77A2" w:rsidRDefault="00245FB3" w:rsidP="00245FB3">
      <w:pPr>
        <w:ind w:left="567" w:right="616"/>
        <w:rPr>
          <w:i/>
          <w:sz w:val="22"/>
        </w:rPr>
      </w:pPr>
      <w:r w:rsidRPr="004C77A2">
        <w:rPr>
          <w:rFonts w:cs="Arial"/>
          <w:b/>
          <w:bCs/>
          <w:i/>
          <w:sz w:val="22"/>
        </w:rPr>
        <w:t xml:space="preserve">Artículo 3. </w:t>
      </w:r>
      <w:r w:rsidRPr="004C77A2">
        <w:rPr>
          <w:i/>
          <w:sz w:val="22"/>
        </w:rPr>
        <w:t xml:space="preserve">Para los efectos de la presente Ley se entenderá por: </w:t>
      </w:r>
    </w:p>
    <w:p w14:paraId="7E2DF01F" w14:textId="77777777" w:rsidR="00245FB3" w:rsidRPr="004C77A2" w:rsidRDefault="00245FB3" w:rsidP="00245FB3">
      <w:pPr>
        <w:ind w:left="567" w:right="616"/>
        <w:rPr>
          <w:i/>
          <w:sz w:val="22"/>
        </w:rPr>
      </w:pPr>
      <w:r w:rsidRPr="004C77A2">
        <w:rPr>
          <w:rFonts w:cs="Arial"/>
          <w:i/>
          <w:sz w:val="22"/>
        </w:rPr>
        <w:t>(…</w:t>
      </w:r>
      <w:r w:rsidRPr="004C77A2">
        <w:rPr>
          <w:i/>
          <w:sz w:val="22"/>
        </w:rPr>
        <w:t>)</w:t>
      </w:r>
    </w:p>
    <w:p w14:paraId="4361E367" w14:textId="77777777" w:rsidR="00245FB3" w:rsidRPr="004C77A2" w:rsidRDefault="00245FB3" w:rsidP="00245FB3">
      <w:pPr>
        <w:ind w:left="567" w:right="616"/>
        <w:rPr>
          <w:rFonts w:cs="Arial"/>
          <w:i/>
          <w:sz w:val="22"/>
        </w:rPr>
      </w:pPr>
      <w:r w:rsidRPr="004C77A2">
        <w:rPr>
          <w:rFonts w:cs="Arial"/>
          <w:b/>
          <w:i/>
          <w:sz w:val="22"/>
        </w:rPr>
        <w:lastRenderedPageBreak/>
        <w:t>IX.</w:t>
      </w:r>
      <w:r w:rsidRPr="004C77A2">
        <w:rPr>
          <w:rFonts w:cs="Arial"/>
          <w:i/>
          <w:sz w:val="22"/>
        </w:rPr>
        <w:t xml:space="preserve"> </w:t>
      </w:r>
      <w:r w:rsidRPr="004C77A2">
        <w:rPr>
          <w:rFonts w:cs="Arial"/>
          <w:b/>
          <w:i/>
          <w:sz w:val="22"/>
        </w:rPr>
        <w:t xml:space="preserve">Datos personales: </w:t>
      </w:r>
      <w:r w:rsidRPr="004C77A2">
        <w:rPr>
          <w:rFonts w:cs="Arial"/>
          <w:i/>
          <w:sz w:val="22"/>
        </w:rPr>
        <w:t xml:space="preserve">La información concerniente a una persona, identificada o identificable según lo dispuesto por la Ley de Protección de Datos Personales del Estado de México; </w:t>
      </w:r>
    </w:p>
    <w:p w14:paraId="1D5DAFED" w14:textId="77777777" w:rsidR="00245FB3" w:rsidRPr="004C77A2" w:rsidRDefault="00245FB3" w:rsidP="00245FB3">
      <w:pPr>
        <w:ind w:left="567" w:right="616"/>
        <w:rPr>
          <w:rFonts w:cs="Arial"/>
          <w:i/>
          <w:sz w:val="22"/>
        </w:rPr>
      </w:pPr>
      <w:r w:rsidRPr="004C77A2">
        <w:rPr>
          <w:rFonts w:cs="Arial"/>
          <w:i/>
          <w:sz w:val="22"/>
        </w:rPr>
        <w:t>(…)</w:t>
      </w:r>
    </w:p>
    <w:p w14:paraId="2E32D1D8" w14:textId="77777777" w:rsidR="00245FB3" w:rsidRPr="004C77A2" w:rsidRDefault="00245FB3" w:rsidP="00245FB3">
      <w:pPr>
        <w:ind w:left="567" w:right="616"/>
        <w:rPr>
          <w:rFonts w:cs="Arial"/>
          <w:i/>
          <w:sz w:val="22"/>
        </w:rPr>
      </w:pPr>
      <w:r w:rsidRPr="004C77A2">
        <w:rPr>
          <w:rFonts w:cs="Arial"/>
          <w:b/>
          <w:i/>
          <w:sz w:val="22"/>
        </w:rPr>
        <w:t>XX.</w:t>
      </w:r>
      <w:r w:rsidRPr="004C77A2">
        <w:rPr>
          <w:rFonts w:cs="Arial"/>
          <w:i/>
          <w:sz w:val="22"/>
        </w:rPr>
        <w:t xml:space="preserve"> </w:t>
      </w:r>
      <w:r w:rsidRPr="004C77A2">
        <w:rPr>
          <w:rFonts w:cs="Arial"/>
          <w:b/>
          <w:i/>
          <w:sz w:val="22"/>
        </w:rPr>
        <w:t>Información clasificada:</w:t>
      </w:r>
      <w:r w:rsidRPr="004C77A2">
        <w:rPr>
          <w:rFonts w:cs="Arial"/>
          <w:i/>
          <w:sz w:val="22"/>
        </w:rPr>
        <w:t xml:space="preserve"> Aquella considerada por la presente Ley como reservada o confidencial; </w:t>
      </w:r>
    </w:p>
    <w:p w14:paraId="6EA90E87" w14:textId="77777777" w:rsidR="00245FB3" w:rsidRPr="004C77A2" w:rsidRDefault="00245FB3" w:rsidP="00245FB3">
      <w:pPr>
        <w:ind w:left="567" w:right="616"/>
        <w:rPr>
          <w:rFonts w:cs="Arial"/>
          <w:i/>
          <w:sz w:val="22"/>
        </w:rPr>
      </w:pPr>
      <w:r w:rsidRPr="004C77A2">
        <w:rPr>
          <w:rFonts w:cs="Arial"/>
          <w:b/>
          <w:i/>
          <w:sz w:val="22"/>
        </w:rPr>
        <w:t>XXI.</w:t>
      </w:r>
      <w:r w:rsidRPr="004C77A2">
        <w:rPr>
          <w:rFonts w:cs="Arial"/>
          <w:i/>
          <w:sz w:val="22"/>
        </w:rPr>
        <w:t xml:space="preserve"> </w:t>
      </w:r>
      <w:r w:rsidRPr="004C77A2">
        <w:rPr>
          <w:rFonts w:cs="Arial"/>
          <w:b/>
          <w:i/>
          <w:sz w:val="22"/>
        </w:rPr>
        <w:t>Información confidencial</w:t>
      </w:r>
      <w:r w:rsidRPr="004C77A2">
        <w:rPr>
          <w:rFonts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69F40AF" w14:textId="77777777" w:rsidR="00245FB3" w:rsidRPr="004C77A2" w:rsidRDefault="00245FB3" w:rsidP="00245FB3">
      <w:pPr>
        <w:ind w:left="567" w:right="616"/>
        <w:rPr>
          <w:rFonts w:cs="Arial"/>
          <w:i/>
          <w:sz w:val="22"/>
        </w:rPr>
      </w:pPr>
      <w:r w:rsidRPr="004C77A2">
        <w:rPr>
          <w:rFonts w:cs="Arial"/>
          <w:i/>
          <w:sz w:val="22"/>
        </w:rPr>
        <w:t>(…)</w:t>
      </w:r>
    </w:p>
    <w:p w14:paraId="06816C4B" w14:textId="77777777" w:rsidR="00245FB3" w:rsidRPr="004C77A2" w:rsidRDefault="00245FB3" w:rsidP="00245FB3">
      <w:pPr>
        <w:ind w:left="567" w:right="616"/>
        <w:rPr>
          <w:rFonts w:cs="Arial"/>
          <w:i/>
          <w:sz w:val="22"/>
        </w:rPr>
      </w:pPr>
      <w:r w:rsidRPr="004C77A2">
        <w:rPr>
          <w:rFonts w:cs="Arial"/>
          <w:b/>
          <w:i/>
          <w:sz w:val="22"/>
        </w:rPr>
        <w:t>XLV. Versión pública:</w:t>
      </w:r>
      <w:r w:rsidRPr="004C77A2">
        <w:rPr>
          <w:rFonts w:cs="Arial"/>
          <w:i/>
          <w:sz w:val="22"/>
        </w:rPr>
        <w:t xml:space="preserve"> Documento en el que se elimine, suprime o borra la información clasificada como reservada o confidencial para permitir su acceso. </w:t>
      </w:r>
    </w:p>
    <w:p w14:paraId="2E24303F" w14:textId="77777777" w:rsidR="00245FB3" w:rsidRPr="004C77A2" w:rsidRDefault="00245FB3" w:rsidP="00245FB3">
      <w:pPr>
        <w:ind w:left="567" w:right="616"/>
        <w:rPr>
          <w:rFonts w:cs="Arial"/>
          <w:i/>
          <w:sz w:val="22"/>
        </w:rPr>
      </w:pPr>
    </w:p>
    <w:p w14:paraId="3D5BA0CD" w14:textId="77777777" w:rsidR="00245FB3" w:rsidRPr="004C77A2" w:rsidRDefault="00245FB3" w:rsidP="00245FB3">
      <w:pPr>
        <w:ind w:left="567" w:right="616"/>
        <w:rPr>
          <w:rFonts w:cs="Arial"/>
          <w:i/>
          <w:sz w:val="22"/>
        </w:rPr>
      </w:pPr>
      <w:r w:rsidRPr="004C77A2">
        <w:rPr>
          <w:rFonts w:cs="Arial"/>
          <w:b/>
          <w:i/>
          <w:sz w:val="22"/>
        </w:rPr>
        <w:t>Artículo 51.</w:t>
      </w:r>
      <w:r w:rsidRPr="004C77A2">
        <w:rPr>
          <w:rFonts w:cs="Arial"/>
          <w:i/>
          <w:sz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4C77A2">
        <w:rPr>
          <w:rFonts w:cs="Arial"/>
          <w:b/>
          <w:i/>
          <w:sz w:val="22"/>
        </w:rPr>
        <w:t xml:space="preserve">y tendrá la responsabilidad de verificar en cada caso que la misma no sea confidencial o reservada. </w:t>
      </w:r>
      <w:r w:rsidRPr="004C77A2">
        <w:rPr>
          <w:rFonts w:cs="Arial"/>
          <w:i/>
          <w:sz w:val="22"/>
        </w:rPr>
        <w:t xml:space="preserve">Dicha Unidad contará con las facultades internas necesarias para gestionar la atención a las solicitudes de información en los términos de la Ley General y la presente Ley. </w:t>
      </w:r>
    </w:p>
    <w:p w14:paraId="7F34AFFC" w14:textId="77777777" w:rsidR="00245FB3" w:rsidRPr="004C77A2" w:rsidRDefault="00245FB3" w:rsidP="00245FB3">
      <w:pPr>
        <w:ind w:left="567" w:right="616"/>
        <w:rPr>
          <w:rFonts w:cs="Arial"/>
          <w:i/>
          <w:sz w:val="22"/>
        </w:rPr>
      </w:pPr>
    </w:p>
    <w:p w14:paraId="23505CBF" w14:textId="77777777" w:rsidR="00245FB3" w:rsidRPr="004C77A2" w:rsidRDefault="00245FB3" w:rsidP="00245FB3">
      <w:pPr>
        <w:ind w:left="567" w:right="616"/>
        <w:rPr>
          <w:rFonts w:cs="Arial"/>
          <w:bCs/>
          <w:i/>
          <w:noProof/>
          <w:sz w:val="22"/>
        </w:rPr>
      </w:pPr>
      <w:r w:rsidRPr="004C77A2">
        <w:rPr>
          <w:rFonts w:cs="Arial"/>
          <w:b/>
          <w:i/>
          <w:sz w:val="22"/>
        </w:rPr>
        <w:t>Artículo 52.</w:t>
      </w:r>
      <w:r w:rsidRPr="004C77A2">
        <w:rPr>
          <w:rFonts w:cs="Arial"/>
          <w:i/>
          <w:sz w:val="22"/>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w:t>
      </w:r>
      <w:r w:rsidRPr="004C77A2">
        <w:rPr>
          <w:rFonts w:cs="Arial"/>
          <w:i/>
          <w:sz w:val="22"/>
        </w:rPr>
        <w:lastRenderedPageBreak/>
        <w:t>resolución de referencia se someta a un proceso de disociación, es decir, no haga identificable al titular de tales datos personales.</w:t>
      </w:r>
    </w:p>
    <w:p w14:paraId="5D02CB26" w14:textId="77777777" w:rsidR="00245FB3" w:rsidRPr="004C77A2" w:rsidRDefault="00245FB3" w:rsidP="00245FB3">
      <w:pPr>
        <w:rPr>
          <w:noProof/>
          <w:sz w:val="22"/>
        </w:rPr>
      </w:pPr>
    </w:p>
    <w:p w14:paraId="4F3860BF" w14:textId="77777777" w:rsidR="00245FB3" w:rsidRDefault="00245FB3" w:rsidP="004C77A2">
      <w:pPr>
        <w:rPr>
          <w:szCs w:val="24"/>
        </w:rPr>
      </w:pPr>
      <w:r w:rsidRPr="00C6485C">
        <w:rPr>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40E46776" w14:textId="77777777" w:rsidR="00711CB9" w:rsidRPr="004C77A2" w:rsidRDefault="00711CB9" w:rsidP="004C77A2">
      <w:pPr>
        <w:rPr>
          <w:szCs w:val="24"/>
        </w:rPr>
      </w:pPr>
    </w:p>
    <w:p w14:paraId="1561FF2C" w14:textId="77777777" w:rsidR="00245FB3" w:rsidRPr="004C77A2" w:rsidRDefault="00245FB3" w:rsidP="00245FB3">
      <w:pPr>
        <w:ind w:left="567" w:right="616"/>
        <w:rPr>
          <w:rFonts w:eastAsia="Arial Unicode MS" w:cs="Arial"/>
          <w:i/>
          <w:sz w:val="22"/>
        </w:rPr>
      </w:pPr>
      <w:r w:rsidRPr="004C77A2">
        <w:rPr>
          <w:rFonts w:eastAsia="Arial Unicode MS" w:cs="Arial"/>
          <w:b/>
          <w:i/>
          <w:sz w:val="22"/>
        </w:rPr>
        <w:t>Artículo</w:t>
      </w:r>
      <w:r w:rsidRPr="004C77A2">
        <w:rPr>
          <w:rFonts w:eastAsia="Arial Unicode MS" w:cs="Arial"/>
          <w:i/>
          <w:sz w:val="22"/>
        </w:rPr>
        <w:t xml:space="preserve"> </w:t>
      </w:r>
      <w:r w:rsidRPr="004C77A2">
        <w:rPr>
          <w:rFonts w:eastAsia="Arial Unicode MS" w:cs="Arial"/>
          <w:b/>
          <w:i/>
          <w:sz w:val="22"/>
        </w:rPr>
        <w:t>22</w:t>
      </w:r>
      <w:r w:rsidRPr="004C77A2">
        <w:rPr>
          <w:rFonts w:eastAsia="Arial Unicode MS" w:cs="Arial"/>
          <w:i/>
          <w:sz w:val="22"/>
        </w:rPr>
        <w:t>. Todo tratamiento de datos personales que efectúe el responsable deberá estar justificado por finalidades concretas, lícitas, explícitas y legítimas, relacionadas con las atribuciones que la normatividad aplicable les confiera.</w:t>
      </w:r>
    </w:p>
    <w:p w14:paraId="6B8704A3" w14:textId="77777777" w:rsidR="00245FB3" w:rsidRPr="004C77A2" w:rsidRDefault="00245FB3" w:rsidP="00245FB3">
      <w:pPr>
        <w:ind w:left="567" w:right="616"/>
        <w:rPr>
          <w:rFonts w:eastAsia="Arial Unicode MS" w:cs="Arial"/>
          <w:i/>
          <w:sz w:val="22"/>
        </w:rPr>
      </w:pPr>
    </w:p>
    <w:p w14:paraId="35C9D042" w14:textId="77777777" w:rsidR="00245FB3" w:rsidRPr="004C77A2" w:rsidRDefault="00245FB3" w:rsidP="00245FB3">
      <w:pPr>
        <w:ind w:left="567" w:right="616"/>
        <w:rPr>
          <w:rFonts w:eastAsia="Arial Unicode MS" w:cs="Arial"/>
          <w:i/>
          <w:sz w:val="22"/>
        </w:rPr>
      </w:pPr>
      <w:r w:rsidRPr="004C77A2">
        <w:rPr>
          <w:rFonts w:eastAsia="Arial Unicode MS" w:cs="Arial"/>
          <w:i/>
          <w:sz w:val="22"/>
        </w:rPr>
        <w:t>El responsable podrá tratar datos personales para finalidades distintas a aquéllas establecidas en el aviso de privacidad, en los casos siguientes:</w:t>
      </w:r>
    </w:p>
    <w:p w14:paraId="1A475550" w14:textId="77777777" w:rsidR="00245FB3" w:rsidRPr="004C77A2" w:rsidRDefault="00245FB3" w:rsidP="00245FB3">
      <w:pPr>
        <w:ind w:left="567" w:right="616"/>
        <w:rPr>
          <w:rFonts w:eastAsia="Arial Unicode MS" w:cs="Arial"/>
          <w:i/>
          <w:sz w:val="22"/>
        </w:rPr>
      </w:pPr>
    </w:p>
    <w:p w14:paraId="3DA08FAA" w14:textId="77777777" w:rsidR="00245FB3" w:rsidRPr="004C77A2" w:rsidRDefault="00245FB3" w:rsidP="00245FB3">
      <w:pPr>
        <w:ind w:left="567" w:right="616"/>
        <w:rPr>
          <w:rFonts w:eastAsia="Arial Unicode MS" w:cs="Arial"/>
          <w:i/>
          <w:sz w:val="22"/>
        </w:rPr>
      </w:pPr>
      <w:r w:rsidRPr="004C77A2">
        <w:rPr>
          <w:rFonts w:eastAsia="Arial Unicode MS" w:cs="Arial"/>
          <w:i/>
          <w:sz w:val="22"/>
        </w:rPr>
        <w:t>I. Cuente con atribuciones conferidas en ley y medie el consentimiento del titular.</w:t>
      </w:r>
    </w:p>
    <w:p w14:paraId="53B45009" w14:textId="77777777" w:rsidR="00245FB3" w:rsidRPr="004C77A2" w:rsidRDefault="00245FB3" w:rsidP="00245FB3">
      <w:pPr>
        <w:ind w:left="567" w:right="616"/>
        <w:rPr>
          <w:rFonts w:eastAsia="Arial Unicode MS" w:cs="Arial"/>
          <w:i/>
          <w:sz w:val="22"/>
        </w:rPr>
      </w:pPr>
      <w:r w:rsidRPr="004C77A2">
        <w:rPr>
          <w:rFonts w:eastAsia="Arial Unicode MS" w:cs="Arial"/>
          <w:i/>
          <w:sz w:val="22"/>
        </w:rPr>
        <w:t>II. Se trate de una persona reportada como desaparecida, en los términos previstos en la presente Ley y demás disposiciones legales aplicables...</w:t>
      </w:r>
    </w:p>
    <w:p w14:paraId="476F5CF5" w14:textId="77777777" w:rsidR="00245FB3" w:rsidRPr="004C77A2" w:rsidRDefault="00245FB3" w:rsidP="00245FB3">
      <w:pPr>
        <w:ind w:left="567" w:right="616"/>
        <w:rPr>
          <w:rFonts w:eastAsia="Arial Unicode MS" w:cs="Arial"/>
          <w:i/>
          <w:sz w:val="22"/>
        </w:rPr>
      </w:pPr>
    </w:p>
    <w:p w14:paraId="164E0E3B" w14:textId="77777777" w:rsidR="00245FB3" w:rsidRPr="004C77A2" w:rsidRDefault="00245FB3" w:rsidP="00245FB3">
      <w:pPr>
        <w:ind w:left="567" w:right="616"/>
        <w:rPr>
          <w:rFonts w:eastAsia="Arial Unicode MS" w:cs="Arial"/>
          <w:i/>
          <w:sz w:val="22"/>
        </w:rPr>
      </w:pPr>
      <w:r w:rsidRPr="004C77A2">
        <w:rPr>
          <w:rFonts w:eastAsia="Arial Unicode MS" w:cs="Arial"/>
          <w:b/>
          <w:i/>
          <w:sz w:val="22"/>
        </w:rPr>
        <w:t>Artículo</w:t>
      </w:r>
      <w:r w:rsidRPr="004C77A2">
        <w:rPr>
          <w:rFonts w:eastAsia="Arial Unicode MS" w:cs="Arial"/>
          <w:i/>
          <w:sz w:val="22"/>
        </w:rPr>
        <w:t xml:space="preserve"> </w:t>
      </w:r>
      <w:r w:rsidRPr="004C77A2">
        <w:rPr>
          <w:rFonts w:eastAsia="Arial Unicode MS" w:cs="Arial"/>
          <w:b/>
          <w:i/>
          <w:sz w:val="22"/>
        </w:rPr>
        <w:t>38</w:t>
      </w:r>
      <w:r w:rsidRPr="004C77A2">
        <w:rPr>
          <w:rFonts w:eastAsia="Arial Unicode MS" w:cs="Arial"/>
          <w:i/>
          <w:sz w:val="22"/>
        </w:rPr>
        <w:t xml:space="preserve">. Con independencia del tipo de sistema y base de datos en el que se encuentren los datos personales o el tipo de tratamiento que se efectúe, el responsable adoptará, establecerá, </w:t>
      </w:r>
      <w:r w:rsidRPr="004C77A2">
        <w:rPr>
          <w:rFonts w:eastAsia="Arial Unicode MS" w:cs="Arial"/>
          <w:i/>
          <w:sz w:val="22"/>
        </w:rPr>
        <w:lastRenderedPageBreak/>
        <w:t>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4B849E23" w14:textId="77777777" w:rsidR="00245FB3" w:rsidRPr="00BA3AF6" w:rsidRDefault="00245FB3" w:rsidP="00245FB3">
      <w:pPr>
        <w:ind w:left="567" w:right="616"/>
        <w:rPr>
          <w:rFonts w:eastAsia="Arial Unicode MS" w:cs="Arial"/>
          <w:i/>
        </w:rPr>
      </w:pPr>
    </w:p>
    <w:p w14:paraId="39B3811A" w14:textId="77777777" w:rsidR="00245FB3" w:rsidRPr="00C6485C" w:rsidRDefault="00245FB3" w:rsidP="00245FB3">
      <w:pPr>
        <w:rPr>
          <w:szCs w:val="24"/>
        </w:rPr>
      </w:pPr>
      <w:r w:rsidRPr="00C6485C">
        <w:rPr>
          <w:szCs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366C9ADD" w14:textId="77777777" w:rsidR="00245FB3" w:rsidRPr="00C6485C" w:rsidRDefault="00245FB3" w:rsidP="00245FB3">
      <w:pPr>
        <w:rPr>
          <w:szCs w:val="24"/>
        </w:rPr>
      </w:pPr>
    </w:p>
    <w:p w14:paraId="7F7DD0A5" w14:textId="77777777" w:rsidR="00245FB3" w:rsidRPr="00C6485C" w:rsidRDefault="00245FB3" w:rsidP="00245FB3">
      <w:pPr>
        <w:rPr>
          <w:rFonts w:eastAsia="Arial Unicode MS"/>
          <w:szCs w:val="24"/>
        </w:rPr>
      </w:pPr>
      <w:r w:rsidRPr="00C6485C">
        <w:rPr>
          <w:rFonts w:eastAsia="Arial Unicode MS"/>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C6485C">
        <w:rPr>
          <w:rFonts w:eastAsia="Arial Unicode MS"/>
          <w:color w:val="000000"/>
          <w:szCs w:val="24"/>
        </w:rPr>
        <w:t>el Sujeto Obligado</w:t>
      </w:r>
      <w:r w:rsidRPr="00C6485C">
        <w:rPr>
          <w:rFonts w:eastAsia="Arial Unicode MS"/>
          <w:szCs w:val="24"/>
        </w:rPr>
        <w:t xml:space="preserve">, en ese contexto, todo dato personal susceptible de clasificación debe ser protegido. </w:t>
      </w:r>
    </w:p>
    <w:p w14:paraId="18BA4B45" w14:textId="77777777" w:rsidR="00245FB3" w:rsidRPr="00C6485C" w:rsidRDefault="00245FB3" w:rsidP="00245FB3">
      <w:pPr>
        <w:rPr>
          <w:rFonts w:eastAsia="Arial Unicode MS"/>
          <w:szCs w:val="24"/>
        </w:rPr>
      </w:pPr>
    </w:p>
    <w:p w14:paraId="3DE65D53" w14:textId="77777777" w:rsidR="00245FB3" w:rsidRPr="00C6485C" w:rsidRDefault="00245FB3" w:rsidP="00245FB3">
      <w:pPr>
        <w:rPr>
          <w:szCs w:val="24"/>
        </w:rPr>
      </w:pPr>
      <w:r w:rsidRPr="00C6485C">
        <w:rPr>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w:t>
      </w:r>
      <w:r w:rsidRPr="00C6485C">
        <w:rPr>
          <w:szCs w:val="24"/>
        </w:rPr>
        <w:lastRenderedPageBreak/>
        <w:t xml:space="preserve">previstas en el artículo 137, de la Ley de Transparencia y Acceso a la Información Pública del Estado de México y Municipios, así como con los numerales aplicables de los </w:t>
      </w:r>
      <w:r w:rsidRPr="00C6485C">
        <w:rPr>
          <w:b/>
          <w:szCs w:val="24"/>
        </w:rPr>
        <w:t>Lineamientos Generales en Materia de Clasificación y Desclasificación de la Información, así como para la Elaboración de Versiones Públicas</w:t>
      </w:r>
      <w:r w:rsidRPr="00C6485C">
        <w:rPr>
          <w:szCs w:val="24"/>
        </w:rPr>
        <w:t>, publicados en el Diario Oficial de la Federación en fecha quince de abril del año dos mil dieciséis, mediante Acuerdo del Consejo Nacional del Sistema Nacional de Transparencia, Acceso a la Información Pública y Protección de Datos Personales.</w:t>
      </w:r>
    </w:p>
    <w:p w14:paraId="49970907" w14:textId="77777777" w:rsidR="00245FB3" w:rsidRPr="00C6485C" w:rsidRDefault="00245FB3" w:rsidP="00245FB3">
      <w:pPr>
        <w:rPr>
          <w:szCs w:val="24"/>
        </w:rPr>
      </w:pPr>
    </w:p>
    <w:p w14:paraId="42421D25" w14:textId="77777777" w:rsidR="00245FB3" w:rsidRPr="00C6485C" w:rsidRDefault="00245FB3" w:rsidP="00245FB3">
      <w:pPr>
        <w:rPr>
          <w:rFonts w:cs="Arial"/>
          <w:szCs w:val="24"/>
        </w:rPr>
      </w:pPr>
      <w:r w:rsidRPr="00C6485C">
        <w:rPr>
          <w:szCs w:val="24"/>
        </w:rPr>
        <w:t xml:space="preserve">Cabe señalar que también deberá considerarse lo dispuesto por </w:t>
      </w:r>
      <w:r w:rsidRPr="00C6485C">
        <w:rPr>
          <w:rFonts w:cs="Arial"/>
          <w:szCs w:val="24"/>
        </w:rPr>
        <w:t xml:space="preserve">el artículo 91 de la Ley de la Materia, en el que se dispone que el acceso a la información pública será restringido excepcionalmente, cuando ésta sea clasificada como reservada o confidencial. </w:t>
      </w:r>
    </w:p>
    <w:p w14:paraId="7D64F8D8" w14:textId="77777777" w:rsidR="00711CB9" w:rsidRDefault="00711CB9" w:rsidP="00245FB3">
      <w:pPr>
        <w:rPr>
          <w:rFonts w:cs="Arial"/>
          <w:szCs w:val="24"/>
        </w:rPr>
      </w:pPr>
    </w:p>
    <w:p w14:paraId="25AB5F98" w14:textId="77777777" w:rsidR="00711CB9" w:rsidRPr="00711CB9" w:rsidRDefault="00711CB9" w:rsidP="00711CB9">
      <w:pPr>
        <w:numPr>
          <w:ilvl w:val="0"/>
          <w:numId w:val="11"/>
        </w:numPr>
        <w:ind w:right="-93"/>
        <w:contextualSpacing/>
        <w:rPr>
          <w:rFonts w:eastAsia="Times New Roman" w:cs="Times New Roman"/>
          <w:b/>
          <w:bCs/>
          <w:color w:val="000000" w:themeColor="text1"/>
          <w:szCs w:val="24"/>
          <w:lang w:val="es-MX" w:eastAsia="es-ES"/>
        </w:rPr>
      </w:pPr>
      <w:r w:rsidRPr="00711CB9">
        <w:rPr>
          <w:rFonts w:eastAsia="Times New Roman" w:cs="Times New Roman"/>
          <w:b/>
          <w:bCs/>
          <w:color w:val="000000" w:themeColor="text1"/>
          <w:szCs w:val="24"/>
          <w:lang w:val="es-MX" w:eastAsia="es-ES"/>
        </w:rPr>
        <w:t>Fotografía</w:t>
      </w:r>
    </w:p>
    <w:p w14:paraId="3A7F1E10" w14:textId="77777777" w:rsidR="00711CB9" w:rsidRPr="00711CB9" w:rsidRDefault="00711CB9" w:rsidP="00711CB9">
      <w:pPr>
        <w:tabs>
          <w:tab w:val="left" w:pos="1050"/>
        </w:tabs>
        <w:rPr>
          <w:rFonts w:eastAsia="Times New Roman" w:cs="Tahoma"/>
          <w:bCs/>
          <w:szCs w:val="24"/>
          <w:lang w:val="es-MX" w:eastAsia="es-ES"/>
        </w:rPr>
      </w:pPr>
      <w:r w:rsidRPr="00711CB9">
        <w:rPr>
          <w:rFonts w:eastAsia="Times New Roman" w:cs="Tahoma"/>
          <w:bCs/>
          <w:szCs w:val="24"/>
          <w:lang w:val="es-MX" w:eastAsia="es-ES"/>
        </w:rPr>
        <w:tab/>
      </w:r>
    </w:p>
    <w:p w14:paraId="39B12F78" w14:textId="77777777" w:rsidR="00711CB9" w:rsidRPr="00711CB9" w:rsidRDefault="00711CB9" w:rsidP="00711CB9">
      <w:pPr>
        <w:rPr>
          <w:rFonts w:eastAsia="Times New Roman" w:cs="Times New Roman"/>
          <w:color w:val="000000" w:themeColor="text1"/>
          <w:szCs w:val="24"/>
          <w:lang w:val="es-MX" w:eastAsia="en-US"/>
        </w:rPr>
      </w:pPr>
      <w:r w:rsidRPr="00711CB9">
        <w:rPr>
          <w:rFonts w:eastAsia="Times New Roman" w:cs="Times New Roman"/>
          <w:color w:val="000000" w:themeColor="text1"/>
          <w:szCs w:val="24"/>
          <w:lang w:val="es-MX" w:eastAsia="en-US"/>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5D76D866" w14:textId="77777777" w:rsidR="00711CB9" w:rsidRPr="00711CB9" w:rsidRDefault="00711CB9" w:rsidP="00711CB9">
      <w:pPr>
        <w:rPr>
          <w:rFonts w:eastAsia="Times New Roman" w:cs="Times New Roman"/>
          <w:color w:val="000000" w:themeColor="text1"/>
          <w:szCs w:val="24"/>
          <w:lang w:val="es-MX" w:eastAsia="en-US"/>
        </w:rPr>
      </w:pPr>
    </w:p>
    <w:p w14:paraId="335897AC" w14:textId="77777777" w:rsidR="00711CB9" w:rsidRPr="00711CB9" w:rsidRDefault="00711CB9" w:rsidP="00711CB9">
      <w:pPr>
        <w:rPr>
          <w:rFonts w:eastAsia="Times New Roman" w:cs="Times New Roman"/>
          <w:color w:val="000000" w:themeColor="text1"/>
          <w:szCs w:val="24"/>
          <w:lang w:val="es-MX" w:eastAsia="en-US"/>
        </w:rPr>
      </w:pPr>
      <w:r w:rsidRPr="00711CB9">
        <w:rPr>
          <w:rFonts w:eastAsia="Times New Roman" w:cs="Times New Roman"/>
          <w:color w:val="000000" w:themeColor="text1"/>
          <w:szCs w:val="24"/>
          <w:lang w:val="es-MX" w:eastAsia="en-US"/>
        </w:rPr>
        <w:t xml:space="preserve">Así, dichos datos constituyen la reproducción fiel de las características físicas de una persona en un momento determinado, por lo que representan un instrumento de </w:t>
      </w:r>
      <w:r w:rsidRPr="00711CB9">
        <w:rPr>
          <w:rFonts w:eastAsia="Times New Roman" w:cs="Times New Roman"/>
          <w:color w:val="000000" w:themeColor="text1"/>
          <w:szCs w:val="24"/>
          <w:lang w:val="es-MX" w:eastAsia="en-US"/>
        </w:rPr>
        <w:lastRenderedPageBreak/>
        <w:t>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68BF7A6C" w14:textId="77777777" w:rsidR="00711CB9" w:rsidRPr="00711CB9" w:rsidRDefault="00711CB9" w:rsidP="00711CB9">
      <w:pPr>
        <w:rPr>
          <w:rFonts w:eastAsia="Times New Roman" w:cs="Times New Roman"/>
          <w:color w:val="000000" w:themeColor="text1"/>
          <w:szCs w:val="24"/>
          <w:lang w:val="es-MX" w:eastAsia="en-US"/>
        </w:rPr>
      </w:pPr>
    </w:p>
    <w:p w14:paraId="14C87261" w14:textId="77777777" w:rsidR="00711CB9" w:rsidRPr="00711CB9" w:rsidRDefault="00711CB9" w:rsidP="00711CB9">
      <w:pPr>
        <w:rPr>
          <w:rFonts w:eastAsia="Times New Roman" w:cs="Times New Roman"/>
          <w:color w:val="000000" w:themeColor="text1"/>
          <w:szCs w:val="24"/>
          <w:lang w:val="es-MX" w:eastAsia="en-US"/>
        </w:rPr>
      </w:pPr>
      <w:r w:rsidRPr="00711CB9">
        <w:rPr>
          <w:rFonts w:eastAsia="Times New Roman" w:cs="Times New Roman"/>
          <w:color w:val="000000" w:themeColor="text1"/>
          <w:szCs w:val="24"/>
          <w:lang w:val="es-MX" w:eastAsia="en-US"/>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68D8B15A" w14:textId="77777777" w:rsidR="00711CB9" w:rsidRPr="00711CB9" w:rsidRDefault="00711CB9" w:rsidP="00711CB9">
      <w:pPr>
        <w:rPr>
          <w:rFonts w:eastAsia="Times New Roman" w:cs="Tahoma"/>
          <w:bCs/>
          <w:szCs w:val="24"/>
          <w:lang w:val="es-ES" w:eastAsia="es-ES"/>
        </w:rPr>
      </w:pPr>
    </w:p>
    <w:p w14:paraId="5C18B9C9" w14:textId="77777777" w:rsidR="00711CB9" w:rsidRPr="00711CB9" w:rsidRDefault="00711CB9" w:rsidP="00711CB9">
      <w:pPr>
        <w:ind w:right="-93"/>
        <w:rPr>
          <w:rFonts w:eastAsia="Times New Roman" w:cs="Times New Roman"/>
          <w:color w:val="000000" w:themeColor="text1"/>
          <w:szCs w:val="24"/>
          <w:lang w:val="es-MX" w:eastAsia="en-US"/>
        </w:rPr>
      </w:pPr>
      <w:r w:rsidRPr="00711CB9">
        <w:rPr>
          <w:rFonts w:eastAsia="Times New Roman" w:cs="Times New Roman"/>
          <w:color w:val="000000" w:themeColor="text1"/>
          <w:szCs w:val="24"/>
          <w:lang w:val="es-MX" w:eastAsia="en-US"/>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3B9C4A08" w14:textId="77777777" w:rsidR="00711CB9" w:rsidRPr="00711CB9" w:rsidRDefault="00711CB9" w:rsidP="00711CB9">
      <w:pPr>
        <w:ind w:right="-93"/>
        <w:rPr>
          <w:rFonts w:eastAsia="Times New Roman" w:cs="Times New Roman"/>
          <w:color w:val="000000" w:themeColor="text1"/>
          <w:szCs w:val="24"/>
          <w:lang w:val="es-MX" w:eastAsia="en-US"/>
        </w:rPr>
      </w:pPr>
    </w:p>
    <w:p w14:paraId="75D0F1F7" w14:textId="77777777" w:rsidR="00711CB9" w:rsidRPr="00711CB9" w:rsidRDefault="00711CB9" w:rsidP="00711CB9">
      <w:pPr>
        <w:ind w:right="-93"/>
        <w:rPr>
          <w:rFonts w:eastAsia="Times New Roman" w:cs="Times New Roman"/>
          <w:color w:val="000000" w:themeColor="text1"/>
          <w:szCs w:val="24"/>
          <w:lang w:val="es-MX" w:eastAsia="en-US"/>
        </w:rPr>
      </w:pPr>
      <w:r w:rsidRPr="00711CB9">
        <w:rPr>
          <w:rFonts w:eastAsia="Times New Roman" w:cs="Times New Roman"/>
          <w:color w:val="000000" w:themeColor="text1"/>
          <w:szCs w:val="24"/>
          <w:lang w:val="es-MX" w:eastAsia="en-US"/>
        </w:rPr>
        <w:lastRenderedPageBreak/>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6BDF817F" w14:textId="77777777" w:rsidR="00711CB9" w:rsidRPr="00711CB9" w:rsidRDefault="00711CB9" w:rsidP="00711CB9">
      <w:pPr>
        <w:ind w:right="-93"/>
        <w:rPr>
          <w:rFonts w:eastAsia="Times New Roman" w:cs="Times New Roman"/>
          <w:color w:val="000000" w:themeColor="text1"/>
          <w:szCs w:val="24"/>
          <w:lang w:val="es-MX" w:eastAsia="en-US"/>
        </w:rPr>
      </w:pPr>
    </w:p>
    <w:p w14:paraId="7877CD36" w14:textId="77777777" w:rsidR="00711CB9" w:rsidRPr="00711CB9" w:rsidRDefault="00711CB9" w:rsidP="00711CB9">
      <w:pPr>
        <w:ind w:right="-93"/>
        <w:rPr>
          <w:rFonts w:eastAsia="Times New Roman" w:cs="Times New Roman"/>
          <w:color w:val="000000" w:themeColor="text1"/>
          <w:szCs w:val="24"/>
          <w:lang w:val="es-MX" w:eastAsia="en-US"/>
        </w:rPr>
      </w:pPr>
      <w:r w:rsidRPr="00711CB9">
        <w:rPr>
          <w:rFonts w:eastAsia="Times New Roman" w:cs="Times New Roman"/>
          <w:color w:val="000000" w:themeColor="text1"/>
          <w:szCs w:val="24"/>
          <w:lang w:val="es-MX" w:eastAsia="en-US"/>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270875FF" w14:textId="77777777" w:rsidR="00711CB9" w:rsidRPr="00711CB9" w:rsidRDefault="00711CB9" w:rsidP="00711CB9">
      <w:pPr>
        <w:ind w:right="-93"/>
        <w:rPr>
          <w:rFonts w:eastAsia="Times New Roman" w:cs="Times New Roman"/>
          <w:color w:val="000000" w:themeColor="text1"/>
          <w:szCs w:val="24"/>
          <w:lang w:val="es-MX" w:eastAsia="en-US"/>
        </w:rPr>
      </w:pPr>
    </w:p>
    <w:p w14:paraId="0AA38857" w14:textId="77777777" w:rsidR="00711CB9" w:rsidRPr="00711CB9" w:rsidRDefault="00711CB9" w:rsidP="00711CB9">
      <w:pPr>
        <w:ind w:right="-93"/>
        <w:rPr>
          <w:rFonts w:eastAsia="Times New Roman" w:cs="Times New Roman"/>
          <w:b/>
          <w:color w:val="000000" w:themeColor="text1"/>
          <w:szCs w:val="24"/>
          <w:lang w:val="es-MX" w:eastAsia="en-US"/>
        </w:rPr>
      </w:pPr>
      <w:r w:rsidRPr="00711CB9">
        <w:rPr>
          <w:rFonts w:eastAsia="Times New Roman" w:cs="Times New Roman"/>
          <w:color w:val="000000" w:themeColor="text1"/>
          <w:szCs w:val="24"/>
          <w:lang w:val="es-MX" w:eastAsia="en-US"/>
        </w:rPr>
        <w:t xml:space="preserve">De acuerdo con el argumento planteado, la determinación de esta resolución deja sin efectos el criterio adoptado anteriormente por el Pleno de este Instituto, con número 03/2019, en el que solo se consideraban como públicas las fotografías de mandos medios y/o superiores. Conforme a lo anterior, las fotografías de servidores públicos sin importar el nivel o rango guardan la naturaleza de públicas (con excepción del personal operativo en materia de seguridad) y no procede su clasificación, en términos del artículo 143, </w:t>
      </w:r>
      <w:r w:rsidRPr="00711CB9">
        <w:rPr>
          <w:rFonts w:eastAsia="Times New Roman" w:cs="Times New Roman"/>
          <w:color w:val="000000" w:themeColor="text1"/>
          <w:szCs w:val="24"/>
          <w:lang w:val="es-MX" w:eastAsia="en-US"/>
        </w:rPr>
        <w:lastRenderedPageBreak/>
        <w:t xml:space="preserve">fracción I, de la Ley de Transparencia y Acceso a la Información Pública del Estado de México y Municipios, por lo que en las versiones públicas que se ordenen, no podrá clasificarse esa información. </w:t>
      </w:r>
    </w:p>
    <w:p w14:paraId="3EB216C5" w14:textId="77777777" w:rsidR="00711CB9" w:rsidRPr="00711CB9" w:rsidRDefault="00711CB9" w:rsidP="00711CB9">
      <w:pPr>
        <w:rPr>
          <w:rFonts w:eastAsia="Times New Roman" w:cs="Tahoma"/>
          <w:bCs/>
          <w:szCs w:val="24"/>
          <w:lang w:val="es-MX" w:eastAsia="es-ES"/>
        </w:rPr>
      </w:pPr>
    </w:p>
    <w:p w14:paraId="51206100" w14:textId="77777777" w:rsidR="00711CB9" w:rsidRPr="00711CB9" w:rsidRDefault="00711CB9" w:rsidP="00711CB9">
      <w:pPr>
        <w:numPr>
          <w:ilvl w:val="0"/>
          <w:numId w:val="11"/>
        </w:numPr>
        <w:contextualSpacing/>
        <w:rPr>
          <w:rFonts w:eastAsia="Times New Roman" w:cs="Tahoma"/>
          <w:b/>
          <w:szCs w:val="24"/>
          <w:lang w:val="es-MX" w:eastAsia="es-ES"/>
        </w:rPr>
      </w:pPr>
      <w:r w:rsidRPr="00711CB9">
        <w:rPr>
          <w:rFonts w:eastAsia="Times New Roman" w:cs="Tahoma"/>
          <w:b/>
          <w:szCs w:val="24"/>
          <w:lang w:val="es-MX" w:eastAsia="es-ES"/>
        </w:rPr>
        <w:t>Firma</w:t>
      </w:r>
    </w:p>
    <w:p w14:paraId="62362A3E" w14:textId="77777777" w:rsidR="00711CB9" w:rsidRPr="00711CB9" w:rsidRDefault="00711CB9" w:rsidP="00711CB9">
      <w:pPr>
        <w:rPr>
          <w:rFonts w:eastAsia="Times New Roman" w:cs="Tahoma"/>
          <w:bCs/>
          <w:szCs w:val="24"/>
          <w:lang w:val="es-MX" w:eastAsia="es-ES"/>
        </w:rPr>
      </w:pPr>
    </w:p>
    <w:p w14:paraId="52FF8648" w14:textId="77777777" w:rsidR="00711CB9" w:rsidRPr="00711CB9" w:rsidRDefault="00711CB9" w:rsidP="00711CB9">
      <w:pPr>
        <w:rPr>
          <w:rFonts w:eastAsia="Times New Roman" w:cs="Tahoma"/>
          <w:bCs/>
          <w:szCs w:val="24"/>
          <w:lang w:val="es-MX" w:eastAsia="es-ES"/>
        </w:rPr>
      </w:pPr>
      <w:r w:rsidRPr="00711CB9">
        <w:rPr>
          <w:rFonts w:eastAsia="Times New Roman" w:cs="Times New Roman"/>
          <w:bCs/>
          <w:iCs/>
          <w:szCs w:val="24"/>
          <w:lang w:val="es-MX" w:eastAsia="es-ES"/>
        </w:rPr>
        <w:t>Sobre dicho dato, c</w:t>
      </w:r>
      <w:r w:rsidRPr="00711CB9">
        <w:rPr>
          <w:rFonts w:eastAsia="Times New Roman" w:cs="Tahoma"/>
          <w:bCs/>
          <w:szCs w:val="24"/>
          <w:lang w:val="es-MX" w:eastAsia="es-ES"/>
        </w:rPr>
        <w:t>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2FCF585E" w14:textId="77777777" w:rsidR="00711CB9" w:rsidRPr="00711CB9" w:rsidRDefault="00711CB9" w:rsidP="00711CB9">
      <w:pPr>
        <w:rPr>
          <w:rFonts w:eastAsia="Times New Roman" w:cs="Tahoma"/>
          <w:bCs/>
          <w:szCs w:val="24"/>
          <w:lang w:val="es-MX" w:eastAsia="es-ES"/>
        </w:rPr>
      </w:pPr>
    </w:p>
    <w:p w14:paraId="407DCA51" w14:textId="77777777" w:rsidR="00711CB9" w:rsidRPr="00711CB9" w:rsidRDefault="00711CB9" w:rsidP="00711CB9">
      <w:pPr>
        <w:rPr>
          <w:rFonts w:eastAsia="Times New Roman" w:cs="Tahoma"/>
          <w:bCs/>
          <w:szCs w:val="24"/>
          <w:lang w:val="es-MX" w:eastAsia="es-ES"/>
        </w:rPr>
      </w:pPr>
      <w:r w:rsidRPr="00711CB9">
        <w:rPr>
          <w:rFonts w:eastAsia="Times New Roman" w:cs="Tahoma"/>
          <w:bCs/>
          <w:szCs w:val="24"/>
          <w:lang w:val="es-MX" w:eastAsia="es-ES"/>
        </w:rPr>
        <w:t xml:space="preserve">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 </w:t>
      </w:r>
    </w:p>
    <w:p w14:paraId="34C759CC" w14:textId="77777777" w:rsidR="00711CB9" w:rsidRPr="00711CB9" w:rsidRDefault="00711CB9" w:rsidP="00711CB9">
      <w:pPr>
        <w:rPr>
          <w:rFonts w:eastAsia="Times New Roman" w:cs="Tahoma"/>
          <w:bCs/>
          <w:szCs w:val="24"/>
          <w:lang w:val="es-MX" w:eastAsia="es-ES"/>
        </w:rPr>
      </w:pPr>
    </w:p>
    <w:p w14:paraId="5ECCAED0" w14:textId="77777777" w:rsidR="00711CB9" w:rsidRPr="00711CB9" w:rsidRDefault="00711CB9" w:rsidP="00711CB9">
      <w:pPr>
        <w:rPr>
          <w:rFonts w:eastAsia="Times New Roman" w:cs="Tahoma"/>
          <w:bCs/>
          <w:szCs w:val="24"/>
          <w:lang w:val="es-MX" w:eastAsia="es-ES"/>
        </w:rPr>
      </w:pPr>
      <w:r w:rsidRPr="00711CB9">
        <w:rPr>
          <w:rFonts w:eastAsia="Times New Roman" w:cs="Tahoma"/>
          <w:bCs/>
          <w:szCs w:val="24"/>
          <w:lang w:val="es-MX" w:eastAsia="es-ES"/>
        </w:rPr>
        <w:t>La publicidad de dichos datos, se robustece, con el criterio de interpretación, con clave de control SO/002/2019, de la Segunda Época, emitido por el Instituto Nacional de Transparencia, Acceso a la Información y Protección de Datos Personales, que establece lo siguiente:</w:t>
      </w:r>
    </w:p>
    <w:p w14:paraId="6D5B5B3E" w14:textId="77777777" w:rsidR="00711CB9" w:rsidRPr="00711CB9" w:rsidRDefault="00711CB9" w:rsidP="00711CB9">
      <w:pPr>
        <w:rPr>
          <w:rFonts w:eastAsia="Times New Roman" w:cs="Tahoma"/>
          <w:bCs/>
          <w:szCs w:val="24"/>
          <w:lang w:val="es-MX" w:eastAsia="es-ES"/>
        </w:rPr>
      </w:pPr>
    </w:p>
    <w:p w14:paraId="64C85920" w14:textId="77777777" w:rsidR="00711CB9" w:rsidRPr="00711CB9" w:rsidRDefault="00711CB9" w:rsidP="00711CB9">
      <w:pPr>
        <w:ind w:left="567" w:right="567"/>
        <w:rPr>
          <w:rFonts w:eastAsia="Times New Roman" w:cs="Tahoma"/>
          <w:bCs/>
          <w:i/>
          <w:szCs w:val="24"/>
          <w:lang w:val="es-MX" w:eastAsia="es-ES"/>
        </w:rPr>
      </w:pPr>
      <w:r w:rsidRPr="00711CB9">
        <w:rPr>
          <w:rFonts w:eastAsia="Times New Roman" w:cs="Tahoma"/>
          <w:b/>
          <w:bCs/>
          <w:i/>
          <w:szCs w:val="24"/>
          <w:lang w:val="es-MX" w:eastAsia="es-ES"/>
        </w:rPr>
        <w:t>“Firma y rúbrica de servidores públicos.</w:t>
      </w:r>
      <w:r w:rsidRPr="00711CB9">
        <w:rPr>
          <w:rFonts w:eastAsia="Times New Roman" w:cs="Tahoma"/>
          <w:bCs/>
          <w:i/>
          <w:szCs w:val="24"/>
          <w:lang w:val="es-MX" w:eastAsia="es-ES"/>
        </w:rPr>
        <w:t xml:space="preserve"> Si bien la firma y la rúbrica son datos personales confidenciales, cuando un servidor público emite un acto como autoridad, </w:t>
      </w:r>
      <w:r w:rsidRPr="00711CB9">
        <w:rPr>
          <w:rFonts w:eastAsia="Times New Roman" w:cs="Tahoma"/>
          <w:bCs/>
          <w:i/>
          <w:szCs w:val="24"/>
          <w:lang w:val="es-MX" w:eastAsia="es-ES"/>
        </w:rPr>
        <w:lastRenderedPageBreak/>
        <w:t>en ejercicio de las funciones que tiene conferidas, la firma o rúbrica mediante la cual se valida dicho acto es pública.”</w:t>
      </w:r>
    </w:p>
    <w:p w14:paraId="75100759" w14:textId="77777777" w:rsidR="00711CB9" w:rsidRPr="00711CB9" w:rsidRDefault="00711CB9" w:rsidP="00711CB9">
      <w:pPr>
        <w:rPr>
          <w:rFonts w:eastAsia="Times New Roman" w:cs="Tahoma"/>
          <w:bCs/>
          <w:szCs w:val="24"/>
          <w:lang w:val="es-ES" w:eastAsia="es-ES"/>
        </w:rPr>
      </w:pPr>
    </w:p>
    <w:p w14:paraId="02F6E2AA" w14:textId="77777777" w:rsidR="00711CB9" w:rsidRPr="00711CB9" w:rsidRDefault="00711CB9" w:rsidP="00711CB9">
      <w:pPr>
        <w:rPr>
          <w:rFonts w:eastAsia="Times New Roman" w:cs="Tahoma"/>
          <w:bCs/>
          <w:szCs w:val="24"/>
          <w:lang w:val="es-ES" w:eastAsia="es-ES"/>
        </w:rPr>
      </w:pPr>
      <w:r w:rsidRPr="00711CB9">
        <w:rPr>
          <w:rFonts w:eastAsia="Times New Roman" w:cs="Tahoma"/>
          <w:bCs/>
          <w:szCs w:val="24"/>
          <w:lang w:val="es-ES" w:eastAsia="es-ES"/>
        </w:rPr>
        <w:t>Conforme a lo expuesto, en el presente caso, procede la clasificación, en términos del artículo 143, fracción I de la Ley de Transparencia y Acceso a la Información Pública del Estado de México y Municipios, de la firma localizada en la cédula profesional, pues da cuenta de la aceptación de un grado ante la Secretaría de Educación Pública.</w:t>
      </w:r>
    </w:p>
    <w:p w14:paraId="546234A7" w14:textId="77777777" w:rsidR="00711CB9" w:rsidRPr="00711CB9" w:rsidRDefault="00711CB9" w:rsidP="00711CB9">
      <w:pPr>
        <w:ind w:right="-93"/>
        <w:rPr>
          <w:rFonts w:eastAsia="Times New Roman" w:cs="Times New Roman"/>
          <w:color w:val="000000" w:themeColor="text1"/>
          <w:szCs w:val="24"/>
          <w:lang w:val="es-MX" w:eastAsia="en-US"/>
        </w:rPr>
      </w:pPr>
    </w:p>
    <w:p w14:paraId="568ABA8B" w14:textId="77777777" w:rsidR="00711CB9" w:rsidRPr="00711CB9" w:rsidRDefault="00711CB9" w:rsidP="00711CB9">
      <w:pPr>
        <w:ind w:right="-93"/>
        <w:rPr>
          <w:rFonts w:eastAsia="Times New Roman" w:cs="Times New Roman"/>
          <w:color w:val="000000" w:themeColor="text1"/>
          <w:szCs w:val="24"/>
          <w:lang w:val="es-MX" w:eastAsia="en-US"/>
        </w:rPr>
      </w:pPr>
      <w:r w:rsidRPr="00711CB9">
        <w:rPr>
          <w:rFonts w:eastAsia="Times New Roman" w:cs="Times New Roman"/>
          <w:color w:val="000000" w:themeColor="text1"/>
          <w:szCs w:val="24"/>
          <w:lang w:val="es-MX" w:eastAsia="en-US"/>
        </w:rPr>
        <w:t xml:space="preserve">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clasificada,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2323491B" w14:textId="77777777" w:rsidR="00711CB9" w:rsidRPr="00711CB9" w:rsidRDefault="00711CB9" w:rsidP="00711CB9">
      <w:pPr>
        <w:ind w:right="-93"/>
        <w:rPr>
          <w:rFonts w:eastAsia="Times New Roman" w:cs="Times New Roman"/>
          <w:color w:val="000000" w:themeColor="text1"/>
          <w:szCs w:val="24"/>
          <w:lang w:val="es-MX" w:eastAsia="en-US"/>
        </w:rPr>
      </w:pPr>
    </w:p>
    <w:p w14:paraId="1BB845C9" w14:textId="77777777" w:rsidR="00711CB9" w:rsidRPr="00711CB9" w:rsidRDefault="00711CB9" w:rsidP="00711CB9">
      <w:pPr>
        <w:ind w:right="-93"/>
        <w:rPr>
          <w:rFonts w:eastAsia="Times New Roman" w:cs="Times New Roman"/>
          <w:color w:val="000000" w:themeColor="text1"/>
          <w:szCs w:val="24"/>
          <w:lang w:val="es-MX" w:eastAsia="en-US"/>
        </w:rPr>
      </w:pPr>
      <w:r w:rsidRPr="00711CB9">
        <w:rPr>
          <w:rFonts w:eastAsia="Times New Roman" w:cs="Times New Roman"/>
          <w:color w:val="000000" w:themeColor="text1"/>
          <w:szCs w:val="24"/>
          <w:lang w:val="es-MX" w:eastAsia="en-U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0759F39C" w14:textId="77777777" w:rsidR="00711CB9" w:rsidRPr="00711CB9" w:rsidRDefault="00711CB9" w:rsidP="00245FB3">
      <w:pPr>
        <w:rPr>
          <w:rFonts w:cs="Arial"/>
          <w:szCs w:val="24"/>
          <w:lang w:val="es-MX"/>
        </w:rPr>
      </w:pPr>
    </w:p>
    <w:p w14:paraId="20E35501" w14:textId="77777777" w:rsidR="00245FB3" w:rsidRPr="00C6485C" w:rsidRDefault="00245FB3" w:rsidP="00245FB3">
      <w:pPr>
        <w:rPr>
          <w:szCs w:val="24"/>
        </w:rPr>
      </w:pPr>
      <w:r w:rsidRPr="00C6485C">
        <w:rPr>
          <w:rFonts w:cs="Arial"/>
          <w:szCs w:val="24"/>
        </w:rPr>
        <w:t xml:space="preserve">En el mismo sentido, en el </w:t>
      </w:r>
      <w:r w:rsidRPr="00C6485C">
        <w:rPr>
          <w:szCs w:val="24"/>
        </w:rPr>
        <w:t xml:space="preserve">caso específico, </w:t>
      </w:r>
      <w:r w:rsidRPr="00C6485C">
        <w:rPr>
          <w:rFonts w:cs="Arial"/>
          <w:szCs w:val="24"/>
        </w:rPr>
        <w:t xml:space="preserve">se advierte que </w:t>
      </w:r>
      <w:r w:rsidRPr="00C6485C">
        <w:rPr>
          <w:szCs w:val="24"/>
        </w:rPr>
        <w:t xml:space="preserve">en los documentos solicitados obran datos que son considerados confidenciales, cuyo acceso debe ser restringido, los </w:t>
      </w:r>
      <w:r w:rsidRPr="00C6485C">
        <w:rPr>
          <w:szCs w:val="24"/>
        </w:rPr>
        <w:lastRenderedPageBreak/>
        <w:t xml:space="preserve">cuales deben testarse al momento de la elaboración de versiones públicas, como es el caso del </w:t>
      </w:r>
      <w:r w:rsidRPr="00C6485C">
        <w:rPr>
          <w:b/>
          <w:szCs w:val="24"/>
        </w:rPr>
        <w:t>Registro Federal de Contribuyentes</w:t>
      </w:r>
      <w:r w:rsidRPr="00C6485C">
        <w:rPr>
          <w:szCs w:val="24"/>
        </w:rPr>
        <w:t xml:space="preserve"> (RFC), la </w:t>
      </w:r>
      <w:r w:rsidRPr="00C6485C">
        <w:rPr>
          <w:b/>
          <w:szCs w:val="24"/>
        </w:rPr>
        <w:t>Clave Única de Registro de Población</w:t>
      </w:r>
      <w:r w:rsidRPr="00C6485C">
        <w:rPr>
          <w:szCs w:val="24"/>
        </w:rPr>
        <w:t xml:space="preserve"> (CURP), la </w:t>
      </w:r>
      <w:r w:rsidRPr="00C6485C">
        <w:rPr>
          <w:b/>
          <w:szCs w:val="24"/>
        </w:rPr>
        <w:t>Clave de cualquier tipo de seguridad social</w:t>
      </w:r>
      <w:r w:rsidRPr="00C6485C">
        <w:rPr>
          <w:szCs w:val="24"/>
        </w:rPr>
        <w:t xml:space="preserve"> (ISSEMYM, u otros), así como, los </w:t>
      </w:r>
      <w:r w:rsidRPr="00C6485C">
        <w:rPr>
          <w:b/>
          <w:szCs w:val="24"/>
        </w:rPr>
        <w:t xml:space="preserve">préstamos o descuentos </w:t>
      </w:r>
      <w:r w:rsidRPr="00C6485C">
        <w:rPr>
          <w:szCs w:val="24"/>
        </w:rPr>
        <w:t xml:space="preserve">que se le hagan al servidor público, que no se encuentren relacionados con </w:t>
      </w:r>
      <w:r w:rsidRPr="00C6485C">
        <w:rPr>
          <w:b/>
          <w:szCs w:val="24"/>
        </w:rPr>
        <w:t>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C6485C">
        <w:rPr>
          <w:szCs w:val="24"/>
        </w:rPr>
        <w:t>, cuando de estos se desprendan o sean visibles datos personales correspondientes a los servidores públicos.</w:t>
      </w:r>
    </w:p>
    <w:p w14:paraId="4C40DD15" w14:textId="77777777" w:rsidR="00245FB3" w:rsidRPr="00C6485C" w:rsidRDefault="00245FB3" w:rsidP="00245FB3">
      <w:pPr>
        <w:rPr>
          <w:szCs w:val="24"/>
        </w:rPr>
      </w:pPr>
    </w:p>
    <w:p w14:paraId="6F6E40AC" w14:textId="77777777" w:rsidR="00245FB3" w:rsidRDefault="00245FB3" w:rsidP="00245FB3">
      <w:pPr>
        <w:rPr>
          <w:szCs w:val="24"/>
        </w:rPr>
      </w:pPr>
      <w:r w:rsidRPr="00C6485C">
        <w:rPr>
          <w:b/>
          <w:szCs w:val="24"/>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C6485C">
        <w:rPr>
          <w:szCs w:val="24"/>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w:t>
      </w:r>
      <w:r w:rsidR="00D72000">
        <w:rPr>
          <w:szCs w:val="24"/>
        </w:rPr>
        <w:t>da como se verá a continuación.</w:t>
      </w:r>
    </w:p>
    <w:p w14:paraId="73B402B6" w14:textId="77777777" w:rsidR="00D72000" w:rsidRPr="00C6485C" w:rsidRDefault="00D72000" w:rsidP="00245FB3">
      <w:pPr>
        <w:rPr>
          <w:szCs w:val="24"/>
        </w:rPr>
      </w:pPr>
    </w:p>
    <w:p w14:paraId="5BD9069D" w14:textId="77777777" w:rsidR="00245FB3" w:rsidRPr="00C6485C" w:rsidRDefault="00245FB3" w:rsidP="00245FB3">
      <w:pPr>
        <w:rPr>
          <w:szCs w:val="24"/>
        </w:rPr>
      </w:pPr>
      <w:r w:rsidRPr="00C6485C">
        <w:rPr>
          <w:szCs w:val="24"/>
        </w:rPr>
        <w:lastRenderedPageBreak/>
        <w:t xml:space="preserve">Por cuanto hace a la </w:t>
      </w:r>
      <w:r w:rsidRPr="00C6485C">
        <w:rPr>
          <w:b/>
          <w:szCs w:val="24"/>
        </w:rPr>
        <w:t xml:space="preserve">Clave Única de Registro de Población, </w:t>
      </w:r>
      <w:r w:rsidRPr="00C6485C">
        <w:rPr>
          <w:szCs w:val="24"/>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2FDF90AC" w14:textId="77777777" w:rsidR="00245FB3" w:rsidRPr="00C6485C" w:rsidRDefault="00245FB3" w:rsidP="00245FB3">
      <w:pPr>
        <w:rPr>
          <w:szCs w:val="24"/>
        </w:rPr>
      </w:pPr>
    </w:p>
    <w:p w14:paraId="2EBDF5F2" w14:textId="77777777" w:rsidR="00245FB3" w:rsidRPr="00C6485C" w:rsidRDefault="00245FB3" w:rsidP="00245FB3">
      <w:pPr>
        <w:rPr>
          <w:szCs w:val="24"/>
        </w:rPr>
      </w:pPr>
      <w:r w:rsidRPr="00C6485C">
        <w:rPr>
          <w:szCs w:val="24"/>
        </w:rPr>
        <w:t>Lo anterior, tiene sustento en los artículos 86 y 91, de la Ley General de Población, la cual señala lo siguiente:</w:t>
      </w:r>
    </w:p>
    <w:p w14:paraId="48910820" w14:textId="77777777" w:rsidR="00245FB3" w:rsidRPr="00C6485C" w:rsidRDefault="00245FB3" w:rsidP="00245FB3">
      <w:pPr>
        <w:ind w:left="709" w:right="757"/>
        <w:rPr>
          <w:rFonts w:cs="Arial,Bold"/>
          <w:b/>
          <w:bCs/>
          <w:i/>
          <w:szCs w:val="24"/>
        </w:rPr>
      </w:pPr>
    </w:p>
    <w:p w14:paraId="7EF18AD7" w14:textId="77777777" w:rsidR="00245FB3" w:rsidRPr="004C77A2" w:rsidRDefault="00245FB3" w:rsidP="00245FB3">
      <w:pPr>
        <w:ind w:left="709" w:right="757"/>
        <w:rPr>
          <w:rFonts w:cs="Arial"/>
          <w:i/>
          <w:sz w:val="22"/>
        </w:rPr>
      </w:pPr>
      <w:r w:rsidRPr="004C77A2">
        <w:rPr>
          <w:rFonts w:cs="Arial,Bold"/>
          <w:b/>
          <w:bCs/>
          <w:i/>
          <w:sz w:val="22"/>
        </w:rPr>
        <w:t xml:space="preserve">Artículo 86. </w:t>
      </w:r>
      <w:r w:rsidRPr="004C77A2">
        <w:rPr>
          <w:rFonts w:cs="Arial"/>
          <w:i/>
          <w:sz w:val="22"/>
        </w:rPr>
        <w:t>El Registro Nacional de Población tiene como finalidad registrar a cada una de las personas que integran la población del país, con los datos que permitan certificar y acreditar fehacientemente su identidad.</w:t>
      </w:r>
    </w:p>
    <w:p w14:paraId="1368446F" w14:textId="77777777" w:rsidR="00245FB3" w:rsidRPr="004C77A2" w:rsidRDefault="00245FB3" w:rsidP="00245FB3">
      <w:pPr>
        <w:ind w:left="709" w:right="757"/>
        <w:rPr>
          <w:rFonts w:cs="Arial"/>
          <w:i/>
          <w:sz w:val="22"/>
        </w:rPr>
      </w:pPr>
    </w:p>
    <w:p w14:paraId="22160036" w14:textId="77777777" w:rsidR="00245FB3" w:rsidRPr="004C77A2" w:rsidRDefault="00245FB3" w:rsidP="00245FB3">
      <w:pPr>
        <w:ind w:left="709" w:right="757"/>
        <w:rPr>
          <w:rFonts w:cs="Arial"/>
          <w:i/>
          <w:sz w:val="22"/>
        </w:rPr>
      </w:pPr>
      <w:r w:rsidRPr="004C77A2">
        <w:rPr>
          <w:rFonts w:cs="Arial,Bold"/>
          <w:b/>
          <w:bCs/>
          <w:i/>
          <w:sz w:val="22"/>
        </w:rPr>
        <w:t xml:space="preserve">Artículo 91. </w:t>
      </w:r>
      <w:r w:rsidRPr="004C77A2">
        <w:rPr>
          <w:rFonts w:cs="Arial"/>
          <w:i/>
          <w:sz w:val="22"/>
        </w:rPr>
        <w:t>Al incorporar a una persona en el Registro Nacional de Población, se le asignará una clave que se denominará Clave Única de Registro de Población. Esta servirá para registrarla e identificarla en forma individual.</w:t>
      </w:r>
    </w:p>
    <w:p w14:paraId="4112DFB3" w14:textId="77777777" w:rsidR="00245FB3" w:rsidRPr="00C6485C" w:rsidRDefault="00245FB3" w:rsidP="00245FB3">
      <w:pPr>
        <w:rPr>
          <w:szCs w:val="24"/>
        </w:rPr>
      </w:pPr>
    </w:p>
    <w:p w14:paraId="0C1CA5D4" w14:textId="77777777" w:rsidR="00245FB3" w:rsidRPr="00C6485C" w:rsidRDefault="00245FB3" w:rsidP="00245FB3">
      <w:pPr>
        <w:rPr>
          <w:szCs w:val="24"/>
        </w:rPr>
      </w:pPr>
      <w:r w:rsidRPr="00C6485C">
        <w:rPr>
          <w:szCs w:val="24"/>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w:t>
      </w:r>
      <w:r w:rsidRPr="00C6485C">
        <w:rPr>
          <w:szCs w:val="24"/>
        </w:rPr>
        <w:lastRenderedPageBreak/>
        <w:t xml:space="preserve">verificador, compuesto de dos elementos, con el que se evitan duplicaciones en la Clave, identifican el cambio de siglo y garantizan la correcta integración. </w:t>
      </w:r>
    </w:p>
    <w:p w14:paraId="42127AA6" w14:textId="77777777" w:rsidR="00245FB3" w:rsidRPr="00C6485C" w:rsidRDefault="00245FB3" w:rsidP="00245FB3">
      <w:pPr>
        <w:rPr>
          <w:szCs w:val="24"/>
        </w:rPr>
      </w:pPr>
    </w:p>
    <w:p w14:paraId="59F81AD4" w14:textId="77777777" w:rsidR="00245FB3" w:rsidRPr="00C6485C" w:rsidRDefault="00245FB3" w:rsidP="00245FB3">
      <w:pPr>
        <w:rPr>
          <w:szCs w:val="24"/>
        </w:rPr>
      </w:pPr>
      <w:r w:rsidRPr="00C6485C">
        <w:rPr>
          <w:szCs w:val="24"/>
        </w:rPr>
        <w:t>Al respecto, el Instituto Nacional de Transparencia, Acceso a la Información y Protección de Datos Personales (INAI) a través del Criterio 18/17, señala literalmente lo siguiente:</w:t>
      </w:r>
    </w:p>
    <w:p w14:paraId="1E2A1FC5" w14:textId="77777777" w:rsidR="00245FB3" w:rsidRPr="004C77A2" w:rsidRDefault="00245FB3" w:rsidP="00245FB3">
      <w:pPr>
        <w:rPr>
          <w:sz w:val="22"/>
        </w:rPr>
      </w:pPr>
    </w:p>
    <w:p w14:paraId="5111797E" w14:textId="77777777" w:rsidR="00245FB3" w:rsidRPr="004C77A2" w:rsidRDefault="00245FB3" w:rsidP="00245FB3">
      <w:pPr>
        <w:ind w:left="567" w:right="616"/>
        <w:rPr>
          <w:i/>
          <w:sz w:val="22"/>
        </w:rPr>
      </w:pPr>
      <w:r w:rsidRPr="004C77A2">
        <w:rPr>
          <w:b/>
          <w:i/>
          <w:sz w:val="22"/>
        </w:rPr>
        <w:t>Clave Única de Registro de Población (CURP)</w:t>
      </w:r>
      <w:r w:rsidRPr="004C77A2">
        <w:rPr>
          <w:i/>
          <w:sz w:val="22"/>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266EC811" w14:textId="77777777" w:rsidR="00245FB3" w:rsidRPr="004C77A2" w:rsidRDefault="00245FB3" w:rsidP="00245FB3">
      <w:pPr>
        <w:ind w:right="616"/>
        <w:rPr>
          <w:rFonts w:cs="Arial"/>
          <w:bCs/>
          <w:i/>
          <w:sz w:val="22"/>
        </w:rPr>
      </w:pPr>
    </w:p>
    <w:p w14:paraId="02FE003B" w14:textId="77777777" w:rsidR="00245FB3" w:rsidRPr="00C6485C" w:rsidRDefault="00245FB3" w:rsidP="00245FB3">
      <w:pPr>
        <w:rPr>
          <w:szCs w:val="24"/>
        </w:rPr>
      </w:pPr>
      <w:r w:rsidRPr="00C6485C">
        <w:rPr>
          <w:szCs w:val="24"/>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655B98EB" w14:textId="77777777" w:rsidR="00245FB3" w:rsidRDefault="00245FB3" w:rsidP="00245FB3">
      <w:pPr>
        <w:rPr>
          <w:szCs w:val="24"/>
        </w:rPr>
      </w:pPr>
    </w:p>
    <w:p w14:paraId="06066623" w14:textId="77777777" w:rsidR="00D72000" w:rsidRPr="00D72000" w:rsidRDefault="00D72000" w:rsidP="00D72000">
      <w:pPr>
        <w:numPr>
          <w:ilvl w:val="0"/>
          <w:numId w:val="12"/>
        </w:numPr>
        <w:tabs>
          <w:tab w:val="num" w:pos="720"/>
        </w:tabs>
        <w:contextualSpacing/>
        <w:jc w:val="left"/>
        <w:rPr>
          <w:rFonts w:eastAsia="Times New Roman" w:cs="Tahoma"/>
          <w:b/>
          <w:bCs/>
          <w:color w:val="000000" w:themeColor="text1"/>
          <w:sz w:val="22"/>
          <w:lang w:val="es-MX" w:eastAsia="es-ES"/>
        </w:rPr>
      </w:pPr>
      <w:r w:rsidRPr="00D72000">
        <w:rPr>
          <w:rFonts w:eastAsia="Times New Roman" w:cs="Tahoma"/>
          <w:b/>
          <w:bCs/>
          <w:color w:val="000000" w:themeColor="text1"/>
          <w:sz w:val="22"/>
          <w:lang w:val="es-MX" w:eastAsia="es-ES"/>
        </w:rPr>
        <w:t>Código bidimensional QR</w:t>
      </w:r>
    </w:p>
    <w:p w14:paraId="3E89135F" w14:textId="77777777" w:rsidR="00D72000" w:rsidRPr="00D72000" w:rsidRDefault="00D72000" w:rsidP="00D72000">
      <w:pPr>
        <w:rPr>
          <w:rFonts w:eastAsia="Times New Roman" w:cs="Tahoma"/>
          <w:b/>
          <w:bCs/>
          <w:color w:val="000000" w:themeColor="text1"/>
          <w:sz w:val="22"/>
          <w:lang w:val="es-MX" w:eastAsia="en-US"/>
        </w:rPr>
      </w:pPr>
    </w:p>
    <w:p w14:paraId="2BB9085E" w14:textId="77777777" w:rsidR="00D72000" w:rsidRPr="00D72000" w:rsidRDefault="00D72000" w:rsidP="00D72000">
      <w:pPr>
        <w:rPr>
          <w:rFonts w:eastAsia="Times New Roman" w:cs="Tahoma"/>
          <w:sz w:val="22"/>
          <w:lang w:val="es-MX" w:eastAsia="es-ES"/>
        </w:rPr>
      </w:pPr>
      <w:r w:rsidRPr="00D72000">
        <w:rPr>
          <w:rFonts w:eastAsia="Times New Roman" w:cs="Tahoma"/>
          <w:sz w:val="22"/>
          <w:lang w:val="es-MX" w:eastAsia="es-ES"/>
        </w:rPr>
        <w:t xml:space="preserve">Al respecto, este dato sirve para validar que la persona señalada en el Certificado fue efectivamente la aprobada por el </w:t>
      </w:r>
      <w:r w:rsidRPr="00D72000">
        <w:rPr>
          <w:rFonts w:eastAsia="Times New Roman" w:cs="Tahoma"/>
          <w:sz w:val="22"/>
          <w:lang w:val="es-ES" w:eastAsia="es-ES"/>
        </w:rPr>
        <w:t xml:space="preserve">Consejo Nacional de Normalización y Certificación de </w:t>
      </w:r>
      <w:r w:rsidRPr="00D72000">
        <w:rPr>
          <w:rFonts w:eastAsia="Times New Roman" w:cs="Tahoma"/>
          <w:sz w:val="22"/>
          <w:lang w:val="es-ES" w:eastAsia="es-ES"/>
        </w:rPr>
        <w:lastRenderedPageBreak/>
        <w:t>Competencias Laborales, pues da acceso al nombre completo de la persona certificada, el nombre del Estándar de Competencia Laboral y la clave de la entidad certificadora, que acreditó.</w:t>
      </w:r>
    </w:p>
    <w:p w14:paraId="7482C45A" w14:textId="77777777" w:rsidR="00D72000" w:rsidRPr="00D72000" w:rsidRDefault="00D72000" w:rsidP="00D72000">
      <w:pPr>
        <w:rPr>
          <w:rFonts w:eastAsia="Times New Roman" w:cs="Tahoma"/>
          <w:sz w:val="22"/>
          <w:lang w:val="es-MX" w:eastAsia="es-ES"/>
        </w:rPr>
      </w:pPr>
    </w:p>
    <w:p w14:paraId="57B3B877" w14:textId="77777777" w:rsidR="00D72000" w:rsidRPr="00D72000" w:rsidRDefault="00D72000" w:rsidP="00D72000">
      <w:pPr>
        <w:rPr>
          <w:rFonts w:eastAsia="Times New Roman" w:cs="Tahoma"/>
          <w:sz w:val="22"/>
          <w:lang w:val="es-MX" w:eastAsia="es-ES"/>
        </w:rPr>
      </w:pPr>
      <w:r w:rsidRPr="00D72000">
        <w:rPr>
          <w:rFonts w:eastAsia="Times New Roman" w:cs="Tahoma"/>
          <w:sz w:val="22"/>
          <w:lang w:val="es-MX" w:eastAsia="es-ES"/>
        </w:rPr>
        <w:t>Conforme a lo anterior y toda vez que el Código bidimensional en análisis no da acceso a datos personales, sino al contrario a información de naturaleza pública, aunado a que sirve para verificar la autenticidad del Certificado, al poder corroborar que la información contenida en el certificado, corresponde a la persona acreditada; por lo que, no procede su clasificación, en términos del artículo 143, fracción I, de la Ley de Transparencia y Acceso a la Información Pública del Estado de México y Municipios.</w:t>
      </w:r>
    </w:p>
    <w:p w14:paraId="24B88C2B" w14:textId="77777777" w:rsidR="00D72000" w:rsidRPr="00D72000" w:rsidRDefault="00D72000" w:rsidP="00D72000">
      <w:pPr>
        <w:rPr>
          <w:rFonts w:eastAsia="Times New Roman" w:cs="Tahoma"/>
          <w:sz w:val="22"/>
          <w:lang w:val="es-MX" w:eastAsia="es-ES"/>
        </w:rPr>
      </w:pPr>
    </w:p>
    <w:p w14:paraId="56E6066A" w14:textId="77777777" w:rsidR="00D72000" w:rsidRPr="00D72000" w:rsidRDefault="00D72000" w:rsidP="00D72000">
      <w:pPr>
        <w:numPr>
          <w:ilvl w:val="0"/>
          <w:numId w:val="12"/>
        </w:numPr>
        <w:contextualSpacing/>
        <w:rPr>
          <w:rFonts w:eastAsia="Times New Roman" w:cs="Tahoma"/>
          <w:b/>
          <w:bCs/>
          <w:szCs w:val="24"/>
          <w:lang w:val="es-MX" w:eastAsia="es-ES"/>
        </w:rPr>
      </w:pPr>
      <w:r w:rsidRPr="00D72000">
        <w:rPr>
          <w:rFonts w:eastAsia="Times New Roman" w:cs="Tahoma"/>
          <w:b/>
          <w:bCs/>
          <w:szCs w:val="24"/>
          <w:lang w:val="es-MX" w:eastAsia="es-ES"/>
        </w:rPr>
        <w:t>La clave o código</w:t>
      </w:r>
    </w:p>
    <w:p w14:paraId="51910492" w14:textId="77777777" w:rsidR="00D72000" w:rsidRPr="00D72000" w:rsidRDefault="00D72000" w:rsidP="00D72000">
      <w:pPr>
        <w:rPr>
          <w:rFonts w:eastAsia="Times New Roman" w:cs="Tahoma"/>
          <w:szCs w:val="24"/>
          <w:lang w:val="es-MX" w:eastAsia="en-US"/>
        </w:rPr>
      </w:pPr>
      <w:r w:rsidRPr="00D72000">
        <w:rPr>
          <w:rFonts w:eastAsia="Times New Roman" w:cs="Tahoma"/>
          <w:szCs w:val="24"/>
          <w:lang w:val="es-MX" w:eastAsia="en-US"/>
        </w:rPr>
        <w:t>La clave o código en el certificado de competencia laboral, sirve para identificar el tipo de estándar de competencia bajo el que fue evaluado el servidor público, es decir, sirve para identificar las habilidades, destrezas y comportamientos que requiere una persona para realizar actividades.</w:t>
      </w:r>
    </w:p>
    <w:p w14:paraId="43693CBD" w14:textId="77777777" w:rsidR="00D72000" w:rsidRPr="00D72000" w:rsidRDefault="00D72000" w:rsidP="00D72000">
      <w:pPr>
        <w:rPr>
          <w:rFonts w:eastAsia="Times New Roman" w:cs="Tahoma"/>
          <w:szCs w:val="24"/>
          <w:lang w:val="es-MX" w:eastAsia="en-US"/>
        </w:rPr>
      </w:pPr>
    </w:p>
    <w:p w14:paraId="374C077C" w14:textId="77777777" w:rsidR="00D72000" w:rsidRPr="00D72000" w:rsidRDefault="00D72000" w:rsidP="00D72000">
      <w:pPr>
        <w:rPr>
          <w:rFonts w:eastAsia="Times New Roman" w:cs="Tahoma"/>
          <w:szCs w:val="24"/>
          <w:lang w:val="es-MX" w:eastAsia="es-ES"/>
        </w:rPr>
      </w:pPr>
      <w:r w:rsidRPr="00D72000">
        <w:rPr>
          <w:rFonts w:eastAsia="Times New Roman" w:cs="Tahoma"/>
          <w:szCs w:val="24"/>
          <w:lang w:val="es-MX" w:eastAsia="es-ES"/>
        </w:rPr>
        <w:t>Conforme a lo anterior y toda vez que la clave o código en análisis no da acceso a datos personales, sino al contrario a información de naturaleza pública, aunado a que sirve para identificar el tipo de estándar de competencia bajo el que fue evaluada la persona a la que corresponde el certificado; por lo que, no procede su clasificación, en términos del artículo 143, fracción I, de la Ley de Transparencia y Acceso a la Información Pública del Estado de México y Municipios.</w:t>
      </w:r>
    </w:p>
    <w:p w14:paraId="7AC7FE4E" w14:textId="77777777" w:rsidR="00D72000" w:rsidRPr="00C6485C" w:rsidRDefault="00D72000" w:rsidP="00245FB3">
      <w:pPr>
        <w:rPr>
          <w:szCs w:val="24"/>
        </w:rPr>
      </w:pPr>
    </w:p>
    <w:p w14:paraId="6573E381" w14:textId="77777777" w:rsidR="00245FB3" w:rsidRPr="00C6485C" w:rsidRDefault="00245FB3" w:rsidP="00245FB3">
      <w:pPr>
        <w:rPr>
          <w:szCs w:val="24"/>
        </w:rPr>
      </w:pPr>
      <w:r w:rsidRPr="00C6485C">
        <w:rPr>
          <w:szCs w:val="24"/>
        </w:rPr>
        <w:t xml:space="preserve">Por ende, en el presente caso el Sujeto Obligado debe atender las disposiciones en materia de protección de datos, a fin de salvaguardar los datos de particulares testando estos y </w:t>
      </w:r>
      <w:r w:rsidRPr="00C6485C">
        <w:rPr>
          <w:szCs w:val="24"/>
        </w:rPr>
        <w:lastRenderedPageBreak/>
        <w:t>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29EBBEBB" w14:textId="77777777" w:rsidR="00245FB3" w:rsidRPr="00C6485C" w:rsidRDefault="00245FB3" w:rsidP="00245FB3">
      <w:pPr>
        <w:rPr>
          <w:szCs w:val="24"/>
        </w:rPr>
      </w:pPr>
    </w:p>
    <w:p w14:paraId="5400D0DE" w14:textId="77777777" w:rsidR="00245FB3" w:rsidRPr="00C6485C" w:rsidRDefault="00245FB3" w:rsidP="00245FB3">
      <w:pPr>
        <w:rPr>
          <w:szCs w:val="24"/>
        </w:rPr>
      </w:pPr>
      <w:r w:rsidRPr="00C6485C">
        <w:rPr>
          <w:szCs w:val="24"/>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3E59B2AF" w14:textId="77777777" w:rsidR="00245FB3" w:rsidRPr="00C6485C" w:rsidRDefault="00245FB3" w:rsidP="00245FB3">
      <w:pPr>
        <w:rPr>
          <w:szCs w:val="24"/>
        </w:rPr>
      </w:pPr>
    </w:p>
    <w:p w14:paraId="1228BBD8" w14:textId="77777777" w:rsidR="00245FB3" w:rsidRPr="00C6485C" w:rsidRDefault="00245FB3" w:rsidP="00245FB3">
      <w:pPr>
        <w:rPr>
          <w:szCs w:val="24"/>
        </w:rPr>
      </w:pPr>
      <w:r w:rsidRPr="00C6485C">
        <w:rPr>
          <w:szCs w:val="24"/>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w:t>
      </w:r>
      <w:r w:rsidRPr="00C6485C">
        <w:rPr>
          <w:szCs w:val="24"/>
        </w:rPr>
        <w:lastRenderedPageBreak/>
        <w:t>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3FBAFFE5" w14:textId="77777777" w:rsidR="00245FB3" w:rsidRPr="00772B4C" w:rsidRDefault="00245FB3" w:rsidP="00245FB3"/>
    <w:p w14:paraId="03F7D767" w14:textId="77777777" w:rsidR="00245FB3" w:rsidRPr="004C77A2" w:rsidRDefault="00245FB3" w:rsidP="00245FB3">
      <w:pPr>
        <w:ind w:left="567" w:right="616"/>
        <w:rPr>
          <w:i/>
          <w:sz w:val="22"/>
        </w:rPr>
      </w:pPr>
      <w:r w:rsidRPr="004C77A2">
        <w:rPr>
          <w:b/>
          <w:i/>
          <w:sz w:val="22"/>
        </w:rPr>
        <w:t xml:space="preserve">Artículo 49. </w:t>
      </w:r>
      <w:r w:rsidRPr="004C77A2">
        <w:rPr>
          <w:i/>
          <w:sz w:val="22"/>
        </w:rPr>
        <w:t>Los Comités de Transparencia tendrán las siguientes atribuciones:</w:t>
      </w:r>
    </w:p>
    <w:p w14:paraId="560F2A69" w14:textId="77777777" w:rsidR="00245FB3" w:rsidRPr="004C77A2" w:rsidRDefault="00245FB3" w:rsidP="00245FB3">
      <w:pPr>
        <w:ind w:left="567" w:right="616"/>
        <w:rPr>
          <w:bCs/>
          <w:i/>
          <w:sz w:val="22"/>
        </w:rPr>
      </w:pPr>
      <w:r w:rsidRPr="004C77A2">
        <w:rPr>
          <w:bCs/>
          <w:i/>
          <w:sz w:val="22"/>
        </w:rPr>
        <w:t>(…)</w:t>
      </w:r>
    </w:p>
    <w:p w14:paraId="1EDAED7E" w14:textId="77777777" w:rsidR="00245FB3" w:rsidRPr="004C77A2" w:rsidRDefault="00245FB3" w:rsidP="00245FB3">
      <w:pPr>
        <w:ind w:left="567" w:right="616"/>
        <w:rPr>
          <w:i/>
          <w:sz w:val="22"/>
        </w:rPr>
      </w:pPr>
      <w:r w:rsidRPr="004C77A2">
        <w:rPr>
          <w:b/>
          <w:i/>
          <w:sz w:val="22"/>
        </w:rPr>
        <w:t>VIII.</w:t>
      </w:r>
      <w:r w:rsidRPr="004C77A2">
        <w:rPr>
          <w:i/>
          <w:sz w:val="22"/>
        </w:rPr>
        <w:t xml:space="preserve"> Aprobar, modificar o revocar la clasificación de la información;</w:t>
      </w:r>
    </w:p>
    <w:p w14:paraId="4FD5AB1A" w14:textId="77777777" w:rsidR="00245FB3" w:rsidRPr="004C77A2" w:rsidRDefault="00245FB3" w:rsidP="00245FB3">
      <w:pPr>
        <w:ind w:left="567" w:right="616"/>
        <w:rPr>
          <w:bCs/>
          <w:i/>
          <w:sz w:val="22"/>
        </w:rPr>
      </w:pPr>
      <w:r w:rsidRPr="004C77A2">
        <w:rPr>
          <w:bCs/>
          <w:i/>
          <w:sz w:val="22"/>
        </w:rPr>
        <w:t>(…)</w:t>
      </w:r>
    </w:p>
    <w:p w14:paraId="5311E45A" w14:textId="77777777" w:rsidR="00245FB3" w:rsidRPr="004C77A2" w:rsidRDefault="00245FB3" w:rsidP="00245FB3">
      <w:pPr>
        <w:ind w:left="567" w:right="616"/>
        <w:rPr>
          <w:i/>
          <w:sz w:val="22"/>
        </w:rPr>
      </w:pPr>
    </w:p>
    <w:p w14:paraId="70723DB7" w14:textId="77777777" w:rsidR="00245FB3" w:rsidRPr="004C77A2" w:rsidRDefault="00245FB3" w:rsidP="00245FB3">
      <w:pPr>
        <w:ind w:left="567" w:right="616"/>
        <w:rPr>
          <w:i/>
          <w:sz w:val="22"/>
        </w:rPr>
      </w:pPr>
      <w:r w:rsidRPr="004C77A2">
        <w:rPr>
          <w:b/>
          <w:i/>
          <w:sz w:val="22"/>
        </w:rPr>
        <w:t>Artículo 132.</w:t>
      </w:r>
      <w:r w:rsidRPr="004C77A2">
        <w:rPr>
          <w:i/>
          <w:sz w:val="22"/>
        </w:rPr>
        <w:t xml:space="preserve"> La clasificación de la información se llevará a cabo en el momento en que:</w:t>
      </w:r>
    </w:p>
    <w:p w14:paraId="69B67A55" w14:textId="77777777" w:rsidR="00245FB3" w:rsidRPr="004C77A2" w:rsidRDefault="00245FB3" w:rsidP="00245FB3">
      <w:pPr>
        <w:ind w:left="567" w:right="616"/>
        <w:rPr>
          <w:b/>
          <w:i/>
          <w:sz w:val="22"/>
        </w:rPr>
      </w:pPr>
    </w:p>
    <w:p w14:paraId="187FFB9A" w14:textId="77777777" w:rsidR="00245FB3" w:rsidRPr="004C77A2" w:rsidRDefault="00245FB3" w:rsidP="00245FB3">
      <w:pPr>
        <w:ind w:left="567" w:right="616"/>
        <w:rPr>
          <w:i/>
          <w:sz w:val="22"/>
        </w:rPr>
      </w:pPr>
      <w:r w:rsidRPr="004C77A2">
        <w:rPr>
          <w:b/>
          <w:i/>
          <w:sz w:val="22"/>
        </w:rPr>
        <w:t>I.</w:t>
      </w:r>
      <w:r w:rsidRPr="004C77A2">
        <w:rPr>
          <w:i/>
          <w:sz w:val="22"/>
        </w:rPr>
        <w:t xml:space="preserve"> Se reciba una solicitud de acceso a la información;</w:t>
      </w:r>
    </w:p>
    <w:p w14:paraId="00E40BEE" w14:textId="77777777" w:rsidR="00245FB3" w:rsidRPr="004C77A2" w:rsidRDefault="00245FB3" w:rsidP="00245FB3">
      <w:pPr>
        <w:ind w:left="567" w:right="616"/>
        <w:rPr>
          <w:i/>
          <w:sz w:val="22"/>
        </w:rPr>
      </w:pPr>
      <w:r w:rsidRPr="004C77A2">
        <w:rPr>
          <w:b/>
          <w:i/>
          <w:sz w:val="22"/>
        </w:rPr>
        <w:t>II.</w:t>
      </w:r>
      <w:r w:rsidRPr="004C77A2">
        <w:rPr>
          <w:i/>
          <w:sz w:val="22"/>
        </w:rPr>
        <w:t xml:space="preserve"> Se determine mediante resolución de autoridad competente; o</w:t>
      </w:r>
    </w:p>
    <w:p w14:paraId="47AA59CA" w14:textId="77777777" w:rsidR="00245FB3" w:rsidRPr="004C77A2" w:rsidRDefault="00245FB3" w:rsidP="00245FB3">
      <w:pPr>
        <w:ind w:left="567" w:right="616"/>
        <w:rPr>
          <w:b/>
          <w:i/>
          <w:sz w:val="22"/>
        </w:rPr>
      </w:pPr>
      <w:r w:rsidRPr="004C77A2">
        <w:rPr>
          <w:b/>
          <w:bCs/>
          <w:i/>
          <w:sz w:val="22"/>
        </w:rPr>
        <w:t>III.</w:t>
      </w:r>
      <w:r w:rsidRPr="004C77A2">
        <w:rPr>
          <w:i/>
          <w:sz w:val="22"/>
        </w:rPr>
        <w:t xml:space="preserve"> Se generen versiones públicas para dar cumplimiento a las obligaciones de transparencia previstas en esta Ley.</w:t>
      </w:r>
      <w:r w:rsidRPr="004C77A2">
        <w:rPr>
          <w:b/>
          <w:i/>
          <w:sz w:val="22"/>
        </w:rPr>
        <w:t>”</w:t>
      </w:r>
    </w:p>
    <w:p w14:paraId="6D437A4A" w14:textId="77777777" w:rsidR="00245FB3" w:rsidRPr="004C77A2" w:rsidRDefault="00245FB3" w:rsidP="00245FB3">
      <w:pPr>
        <w:ind w:left="567" w:right="616"/>
        <w:rPr>
          <w:b/>
          <w:i/>
          <w:sz w:val="22"/>
        </w:rPr>
      </w:pPr>
    </w:p>
    <w:p w14:paraId="50B7615E" w14:textId="77777777" w:rsidR="00245FB3" w:rsidRPr="004C77A2" w:rsidRDefault="00245FB3" w:rsidP="00245FB3">
      <w:pPr>
        <w:ind w:left="567" w:right="616"/>
        <w:rPr>
          <w:i/>
          <w:sz w:val="22"/>
        </w:rPr>
      </w:pPr>
      <w:r w:rsidRPr="004C77A2">
        <w:rPr>
          <w:b/>
          <w:i/>
          <w:sz w:val="22"/>
        </w:rPr>
        <w:t>Segundo.-</w:t>
      </w:r>
      <w:r w:rsidRPr="004C77A2">
        <w:rPr>
          <w:i/>
          <w:sz w:val="22"/>
        </w:rPr>
        <w:t xml:space="preserve"> Para efectos de los presentes Lineamientos Generales, se entenderá por:</w:t>
      </w:r>
    </w:p>
    <w:p w14:paraId="261F2FFD" w14:textId="77777777" w:rsidR="00245FB3" w:rsidRPr="004C77A2" w:rsidRDefault="00245FB3" w:rsidP="00245FB3">
      <w:pPr>
        <w:ind w:left="567" w:right="616"/>
        <w:rPr>
          <w:i/>
          <w:sz w:val="22"/>
        </w:rPr>
      </w:pPr>
      <w:r w:rsidRPr="004C77A2">
        <w:rPr>
          <w:b/>
          <w:i/>
          <w:sz w:val="22"/>
        </w:rPr>
        <w:t>XVIII.</w:t>
      </w:r>
      <w:r w:rsidRPr="004C77A2">
        <w:rPr>
          <w:i/>
          <w:sz w:val="22"/>
        </w:rPr>
        <w:t xml:space="preserve"> </w:t>
      </w:r>
      <w:r w:rsidRPr="004C77A2">
        <w:rPr>
          <w:b/>
          <w:i/>
          <w:sz w:val="22"/>
        </w:rPr>
        <w:t>Versión pública:</w:t>
      </w:r>
      <w:r w:rsidRPr="004C77A2">
        <w:rPr>
          <w:i/>
          <w:sz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580B269" w14:textId="77777777" w:rsidR="00245FB3" w:rsidRPr="004C77A2" w:rsidRDefault="00245FB3" w:rsidP="00245FB3">
      <w:pPr>
        <w:ind w:left="567" w:right="616"/>
        <w:rPr>
          <w:b/>
          <w:i/>
          <w:sz w:val="22"/>
        </w:rPr>
      </w:pPr>
    </w:p>
    <w:p w14:paraId="05493426" w14:textId="77777777" w:rsidR="00245FB3" w:rsidRPr="004C77A2" w:rsidRDefault="00245FB3" w:rsidP="00245FB3">
      <w:pPr>
        <w:ind w:left="567" w:right="616"/>
        <w:rPr>
          <w:i/>
          <w:sz w:val="22"/>
        </w:rPr>
      </w:pPr>
      <w:r w:rsidRPr="004C77A2">
        <w:rPr>
          <w:b/>
          <w:i/>
          <w:sz w:val="22"/>
        </w:rPr>
        <w:t>Cuarto.</w:t>
      </w:r>
      <w:r w:rsidRPr="004C77A2">
        <w:rPr>
          <w:i/>
          <w:sz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w:t>
      </w:r>
      <w:r w:rsidRPr="004C77A2">
        <w:rPr>
          <w:i/>
          <w:sz w:val="22"/>
        </w:rPr>
        <w:lastRenderedPageBreak/>
        <w:t>así como en aquellas disposiciones legales aplicables a la materia en el ámbito de sus respectivas competencias, en tanto estas últimas no contravengan lo dispuesto en la Ley General.</w:t>
      </w:r>
    </w:p>
    <w:p w14:paraId="64624CA6" w14:textId="77777777" w:rsidR="00245FB3" w:rsidRPr="004C77A2" w:rsidRDefault="00245FB3" w:rsidP="00245FB3">
      <w:pPr>
        <w:ind w:left="567" w:right="616"/>
        <w:rPr>
          <w:i/>
          <w:sz w:val="22"/>
        </w:rPr>
      </w:pPr>
      <w:r w:rsidRPr="004C77A2">
        <w:rPr>
          <w:i/>
          <w:sz w:val="22"/>
        </w:rPr>
        <w:t>Los Sujetos Obligados deberán aplicar, de manera estricta, las excepciones al derecho de acceso a la información y sólo podrán invocarlas cuando acrediten su procedencia.</w:t>
      </w:r>
    </w:p>
    <w:p w14:paraId="2A237B03" w14:textId="77777777" w:rsidR="00245FB3" w:rsidRPr="004C77A2" w:rsidRDefault="00245FB3" w:rsidP="00245FB3">
      <w:pPr>
        <w:ind w:left="567" w:right="616"/>
        <w:rPr>
          <w:b/>
          <w:i/>
          <w:sz w:val="22"/>
        </w:rPr>
      </w:pPr>
    </w:p>
    <w:p w14:paraId="2E32DB7D" w14:textId="77777777" w:rsidR="00245FB3" w:rsidRPr="004C77A2" w:rsidRDefault="00245FB3" w:rsidP="00245FB3">
      <w:pPr>
        <w:ind w:left="567" w:right="616"/>
        <w:rPr>
          <w:i/>
          <w:sz w:val="22"/>
        </w:rPr>
      </w:pPr>
      <w:r w:rsidRPr="004C77A2">
        <w:rPr>
          <w:b/>
          <w:i/>
          <w:sz w:val="22"/>
        </w:rPr>
        <w:t>Quinto.</w:t>
      </w:r>
      <w:r w:rsidRPr="004C77A2">
        <w:rPr>
          <w:i/>
          <w:sz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01B0321" w14:textId="77777777" w:rsidR="00245FB3" w:rsidRPr="004C77A2" w:rsidRDefault="00245FB3" w:rsidP="00245FB3">
      <w:pPr>
        <w:ind w:left="567" w:right="616"/>
        <w:rPr>
          <w:b/>
          <w:i/>
          <w:sz w:val="22"/>
        </w:rPr>
      </w:pPr>
    </w:p>
    <w:p w14:paraId="5753F615" w14:textId="77777777" w:rsidR="00245FB3" w:rsidRPr="004C77A2" w:rsidRDefault="00245FB3" w:rsidP="00245FB3">
      <w:pPr>
        <w:ind w:left="567" w:right="616"/>
        <w:rPr>
          <w:i/>
          <w:sz w:val="22"/>
        </w:rPr>
      </w:pPr>
      <w:r w:rsidRPr="004C77A2">
        <w:rPr>
          <w:b/>
          <w:i/>
          <w:sz w:val="22"/>
        </w:rPr>
        <w:t>Sexto.</w:t>
      </w:r>
      <w:r w:rsidRPr="004C77A2">
        <w:rPr>
          <w:i/>
          <w:sz w:val="22"/>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4B146F73" w14:textId="77777777" w:rsidR="00245FB3" w:rsidRPr="004C77A2" w:rsidRDefault="00245FB3" w:rsidP="00245FB3">
      <w:pPr>
        <w:ind w:left="567" w:right="616"/>
        <w:rPr>
          <w:i/>
          <w:sz w:val="22"/>
        </w:rPr>
      </w:pPr>
      <w:r w:rsidRPr="004C77A2">
        <w:rPr>
          <w:i/>
          <w:sz w:val="22"/>
        </w:rPr>
        <w:t>La clasificación de información se realizará conforme a un análisis caso por caso, mediante la aplicación de la prueba de daño y de interés público.</w:t>
      </w:r>
    </w:p>
    <w:p w14:paraId="6A04773A" w14:textId="77777777" w:rsidR="00245FB3" w:rsidRPr="004C77A2" w:rsidRDefault="00245FB3" w:rsidP="00245FB3">
      <w:pPr>
        <w:ind w:left="567" w:right="616"/>
        <w:rPr>
          <w:b/>
          <w:i/>
          <w:sz w:val="22"/>
        </w:rPr>
      </w:pPr>
    </w:p>
    <w:p w14:paraId="485ECDDA" w14:textId="77777777" w:rsidR="00245FB3" w:rsidRPr="004C77A2" w:rsidRDefault="00245FB3" w:rsidP="00245FB3">
      <w:pPr>
        <w:ind w:left="567" w:right="616"/>
        <w:rPr>
          <w:i/>
          <w:sz w:val="22"/>
        </w:rPr>
      </w:pPr>
      <w:r w:rsidRPr="004C77A2">
        <w:rPr>
          <w:b/>
          <w:i/>
          <w:sz w:val="22"/>
        </w:rPr>
        <w:t>Séptimo.</w:t>
      </w:r>
      <w:r w:rsidRPr="004C77A2">
        <w:rPr>
          <w:i/>
          <w:sz w:val="22"/>
        </w:rPr>
        <w:t xml:space="preserve"> La clasificación de la información se llevará a cabo en el momento en que:</w:t>
      </w:r>
    </w:p>
    <w:p w14:paraId="780BFF9B" w14:textId="77777777" w:rsidR="00245FB3" w:rsidRPr="004C77A2" w:rsidRDefault="00245FB3" w:rsidP="00245FB3">
      <w:pPr>
        <w:ind w:left="567" w:right="616"/>
        <w:rPr>
          <w:i/>
          <w:sz w:val="22"/>
        </w:rPr>
      </w:pPr>
      <w:r w:rsidRPr="004C77A2">
        <w:rPr>
          <w:b/>
          <w:i/>
          <w:sz w:val="22"/>
        </w:rPr>
        <w:t>I.</w:t>
      </w:r>
      <w:r w:rsidRPr="004C77A2">
        <w:rPr>
          <w:i/>
          <w:sz w:val="22"/>
        </w:rPr>
        <w:t xml:space="preserve"> Se reciba una solicitud de acceso a la información;</w:t>
      </w:r>
    </w:p>
    <w:p w14:paraId="7F59CE39" w14:textId="77777777" w:rsidR="00245FB3" w:rsidRPr="004C77A2" w:rsidRDefault="00245FB3" w:rsidP="00245FB3">
      <w:pPr>
        <w:ind w:left="567" w:right="616"/>
        <w:rPr>
          <w:b/>
          <w:i/>
          <w:sz w:val="22"/>
        </w:rPr>
      </w:pPr>
    </w:p>
    <w:p w14:paraId="334956B8" w14:textId="77777777" w:rsidR="00245FB3" w:rsidRPr="004C77A2" w:rsidRDefault="00245FB3" w:rsidP="00245FB3">
      <w:pPr>
        <w:ind w:left="567" w:right="616"/>
        <w:rPr>
          <w:i/>
          <w:sz w:val="22"/>
        </w:rPr>
      </w:pPr>
      <w:r w:rsidRPr="004C77A2">
        <w:rPr>
          <w:b/>
          <w:i/>
          <w:sz w:val="22"/>
        </w:rPr>
        <w:t>II.</w:t>
      </w:r>
      <w:r w:rsidRPr="004C77A2">
        <w:rPr>
          <w:i/>
          <w:sz w:val="22"/>
        </w:rPr>
        <w:t xml:space="preserve"> Se determine mediante resolución de autoridad competente, o</w:t>
      </w:r>
    </w:p>
    <w:p w14:paraId="1F90ADFB" w14:textId="77777777" w:rsidR="00245FB3" w:rsidRPr="004C77A2" w:rsidRDefault="00245FB3" w:rsidP="00245FB3">
      <w:pPr>
        <w:ind w:left="567" w:right="616"/>
        <w:rPr>
          <w:i/>
          <w:sz w:val="22"/>
        </w:rPr>
      </w:pPr>
      <w:r w:rsidRPr="004C77A2">
        <w:rPr>
          <w:b/>
          <w:i/>
          <w:sz w:val="22"/>
        </w:rPr>
        <w:t>III.</w:t>
      </w:r>
      <w:r w:rsidRPr="004C77A2">
        <w:rPr>
          <w:i/>
          <w:sz w:val="22"/>
        </w:rPr>
        <w:t xml:space="preserve"> Se generen versiones públicas para dar cumplimiento a las obligaciones de transparencia previstas en la Ley General, la Ley Federal y las correspondientes de las entidades federativas.</w:t>
      </w:r>
    </w:p>
    <w:p w14:paraId="0C6F478F" w14:textId="77777777" w:rsidR="00245FB3" w:rsidRPr="004C77A2" w:rsidRDefault="00245FB3" w:rsidP="00245FB3">
      <w:pPr>
        <w:ind w:left="567" w:right="616"/>
        <w:rPr>
          <w:i/>
          <w:sz w:val="22"/>
        </w:rPr>
      </w:pPr>
      <w:r w:rsidRPr="004C77A2">
        <w:rPr>
          <w:i/>
          <w:sz w:val="22"/>
        </w:rPr>
        <w:lastRenderedPageBreak/>
        <w:t>Los titulares de las áreas deberán revisar la clasificación al momento de la recepción de una solicitud de acceso a la información, para verificar si encuadra en una causal de reserva o de confidencialidad.</w:t>
      </w:r>
    </w:p>
    <w:p w14:paraId="2418F678" w14:textId="77777777" w:rsidR="00245FB3" w:rsidRPr="004C77A2" w:rsidRDefault="00245FB3" w:rsidP="00245FB3">
      <w:pPr>
        <w:ind w:left="567" w:right="616"/>
        <w:rPr>
          <w:b/>
          <w:i/>
          <w:sz w:val="22"/>
        </w:rPr>
      </w:pPr>
    </w:p>
    <w:p w14:paraId="6CB411F0" w14:textId="77777777" w:rsidR="00245FB3" w:rsidRPr="004C77A2" w:rsidRDefault="00245FB3" w:rsidP="00245FB3">
      <w:pPr>
        <w:ind w:left="567" w:right="616"/>
        <w:rPr>
          <w:i/>
          <w:sz w:val="22"/>
        </w:rPr>
      </w:pPr>
      <w:r w:rsidRPr="004C77A2">
        <w:rPr>
          <w:b/>
          <w:i/>
          <w:sz w:val="22"/>
        </w:rPr>
        <w:t>Octavo.</w:t>
      </w:r>
      <w:r w:rsidRPr="004C77A2">
        <w:rPr>
          <w:i/>
          <w:sz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32114CE" w14:textId="77777777" w:rsidR="00245FB3" w:rsidRPr="004C77A2" w:rsidRDefault="00245FB3" w:rsidP="00245FB3">
      <w:pPr>
        <w:ind w:left="567" w:right="616"/>
        <w:rPr>
          <w:i/>
          <w:sz w:val="22"/>
        </w:rPr>
      </w:pPr>
      <w:r w:rsidRPr="004C77A2">
        <w:rPr>
          <w:i/>
          <w:sz w:val="22"/>
        </w:rPr>
        <w:t>Para motivar la clasificación se deberán señalar las razones o circunstancias especiales que lo llevaron a concluir que el caso particular se ajusta al supuesto previsto por la norma legal invocada como fundamento.</w:t>
      </w:r>
    </w:p>
    <w:p w14:paraId="3727FCFA" w14:textId="77777777" w:rsidR="00245FB3" w:rsidRPr="004C77A2" w:rsidRDefault="00245FB3" w:rsidP="00245FB3">
      <w:pPr>
        <w:ind w:left="567" w:right="616"/>
        <w:rPr>
          <w:i/>
          <w:sz w:val="22"/>
        </w:rPr>
      </w:pPr>
      <w:r w:rsidRPr="004C77A2">
        <w:rPr>
          <w:i/>
          <w:sz w:val="22"/>
        </w:rPr>
        <w:t>En caso de referirse a información reservada, la motivación de la clasificación también deberá comprender las circunstancias que justifican el establecimiento de determinado plazo de reserva.</w:t>
      </w:r>
    </w:p>
    <w:p w14:paraId="1420CA01" w14:textId="77777777" w:rsidR="00245FB3" w:rsidRPr="004C77A2" w:rsidRDefault="00245FB3" w:rsidP="00245FB3">
      <w:pPr>
        <w:ind w:left="567" w:right="616"/>
        <w:rPr>
          <w:i/>
          <w:sz w:val="22"/>
        </w:rPr>
      </w:pPr>
    </w:p>
    <w:p w14:paraId="48F25145" w14:textId="77777777" w:rsidR="00245FB3" w:rsidRPr="004C77A2" w:rsidRDefault="00245FB3" w:rsidP="00245FB3">
      <w:pPr>
        <w:ind w:left="567" w:right="616"/>
        <w:rPr>
          <w:i/>
          <w:sz w:val="22"/>
        </w:rPr>
      </w:pPr>
      <w:r w:rsidRPr="004C77A2">
        <w:rPr>
          <w:i/>
          <w:sz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132493CB" w14:textId="77777777" w:rsidR="00245FB3" w:rsidRPr="004C77A2" w:rsidRDefault="00245FB3" w:rsidP="00245FB3">
      <w:pPr>
        <w:ind w:left="567" w:right="616"/>
        <w:rPr>
          <w:i/>
          <w:sz w:val="22"/>
        </w:rPr>
      </w:pPr>
      <w:r w:rsidRPr="004C77A2">
        <w:rPr>
          <w:i/>
          <w:sz w:val="22"/>
        </w:rPr>
        <w:t>Los documentos contenidos en los archivos históricos y los identificados como históricos confidenciales no serán susceptibles de clasificación como reservados.</w:t>
      </w:r>
    </w:p>
    <w:p w14:paraId="7D469069" w14:textId="77777777" w:rsidR="00245FB3" w:rsidRPr="004C77A2" w:rsidRDefault="00245FB3" w:rsidP="00245FB3">
      <w:pPr>
        <w:ind w:left="567" w:right="616"/>
        <w:rPr>
          <w:b/>
          <w:i/>
          <w:sz w:val="22"/>
        </w:rPr>
      </w:pPr>
    </w:p>
    <w:p w14:paraId="171EF8CB" w14:textId="77777777" w:rsidR="00245FB3" w:rsidRPr="004C77A2" w:rsidRDefault="00245FB3" w:rsidP="00245FB3">
      <w:pPr>
        <w:ind w:left="567" w:right="616"/>
        <w:rPr>
          <w:i/>
          <w:sz w:val="22"/>
        </w:rPr>
      </w:pPr>
      <w:r w:rsidRPr="004C77A2">
        <w:rPr>
          <w:b/>
          <w:i/>
          <w:sz w:val="22"/>
        </w:rPr>
        <w:t>Noveno.</w:t>
      </w:r>
      <w:r w:rsidRPr="004C77A2">
        <w:rPr>
          <w:i/>
          <w:sz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A3B45E9" w14:textId="77777777" w:rsidR="00245FB3" w:rsidRPr="004C77A2" w:rsidRDefault="00245FB3" w:rsidP="00245FB3">
      <w:pPr>
        <w:ind w:left="567" w:right="616"/>
        <w:rPr>
          <w:b/>
          <w:i/>
          <w:sz w:val="22"/>
        </w:rPr>
      </w:pPr>
    </w:p>
    <w:p w14:paraId="6EF5BE07" w14:textId="77777777" w:rsidR="00245FB3" w:rsidRPr="004C77A2" w:rsidRDefault="00245FB3" w:rsidP="00245FB3">
      <w:pPr>
        <w:ind w:left="567" w:right="616"/>
        <w:rPr>
          <w:i/>
          <w:sz w:val="22"/>
        </w:rPr>
      </w:pPr>
      <w:r w:rsidRPr="004C77A2">
        <w:rPr>
          <w:b/>
          <w:i/>
          <w:sz w:val="22"/>
        </w:rPr>
        <w:lastRenderedPageBreak/>
        <w:t>Décimo.</w:t>
      </w:r>
      <w:r w:rsidRPr="004C77A2">
        <w:rPr>
          <w:i/>
          <w:sz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64881032" w14:textId="77777777" w:rsidR="00245FB3" w:rsidRPr="004C77A2" w:rsidRDefault="00245FB3" w:rsidP="00245FB3">
      <w:pPr>
        <w:ind w:left="567" w:right="616"/>
        <w:rPr>
          <w:i/>
          <w:sz w:val="22"/>
        </w:rPr>
      </w:pPr>
    </w:p>
    <w:p w14:paraId="52E23F88" w14:textId="77777777" w:rsidR="00245FB3" w:rsidRPr="004C77A2" w:rsidRDefault="00245FB3" w:rsidP="00245FB3">
      <w:pPr>
        <w:ind w:left="567" w:right="616"/>
        <w:rPr>
          <w:i/>
          <w:sz w:val="22"/>
        </w:rPr>
      </w:pPr>
      <w:r w:rsidRPr="004C77A2">
        <w:rPr>
          <w:i/>
          <w:sz w:val="22"/>
        </w:rPr>
        <w:t>En ausencia de los titulares de las áreas, la información será clasificada o desclasificada por la persona que lo supla, en términos de la normativa que rija la actuación del sujeto obligado.</w:t>
      </w:r>
    </w:p>
    <w:p w14:paraId="4CAC176D" w14:textId="77777777" w:rsidR="00245FB3" w:rsidRPr="004C77A2" w:rsidRDefault="00245FB3" w:rsidP="00245FB3">
      <w:pPr>
        <w:ind w:left="567" w:right="616"/>
        <w:rPr>
          <w:b/>
          <w:i/>
          <w:sz w:val="22"/>
        </w:rPr>
      </w:pPr>
    </w:p>
    <w:p w14:paraId="010B9455" w14:textId="77777777" w:rsidR="00245FB3" w:rsidRPr="004C77A2" w:rsidRDefault="00245FB3" w:rsidP="00245FB3">
      <w:pPr>
        <w:ind w:left="567" w:right="616"/>
        <w:rPr>
          <w:b/>
          <w:sz w:val="22"/>
        </w:rPr>
      </w:pPr>
      <w:r w:rsidRPr="004C77A2">
        <w:rPr>
          <w:b/>
          <w:i/>
          <w:sz w:val="22"/>
        </w:rPr>
        <w:t>Décimo primero.</w:t>
      </w:r>
      <w:r w:rsidRPr="004C77A2">
        <w:rPr>
          <w:i/>
          <w:sz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4462B4A" w14:textId="77777777" w:rsidR="00245FB3" w:rsidRPr="00C6485C" w:rsidRDefault="00245FB3" w:rsidP="00245FB3">
      <w:pPr>
        <w:rPr>
          <w:rFonts w:cs="Arial"/>
          <w:i/>
          <w:szCs w:val="24"/>
        </w:rPr>
      </w:pPr>
    </w:p>
    <w:p w14:paraId="02F78862" w14:textId="77777777" w:rsidR="00245FB3" w:rsidRPr="00C6485C" w:rsidRDefault="00245FB3" w:rsidP="00245FB3">
      <w:pPr>
        <w:rPr>
          <w:szCs w:val="24"/>
        </w:rPr>
      </w:pPr>
      <w:r w:rsidRPr="00C6485C">
        <w:rPr>
          <w:szCs w:val="24"/>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6D37D60D" w14:textId="77777777" w:rsidR="00245FB3" w:rsidRPr="00C6485C" w:rsidRDefault="00245FB3" w:rsidP="00245FB3">
      <w:pPr>
        <w:rPr>
          <w:szCs w:val="24"/>
        </w:rPr>
      </w:pPr>
    </w:p>
    <w:p w14:paraId="121BACFF" w14:textId="77777777" w:rsidR="00245FB3" w:rsidRPr="00C6485C" w:rsidRDefault="00245FB3" w:rsidP="00245FB3">
      <w:pPr>
        <w:rPr>
          <w:szCs w:val="24"/>
        </w:rPr>
      </w:pPr>
      <w:r w:rsidRPr="00C6485C">
        <w:rPr>
          <w:szCs w:val="24"/>
        </w:rPr>
        <w:lastRenderedPageBreak/>
        <w:t>Por tanto, la fundamentación y motivación consiste en la obligación que tiene todo ente público de expresar los preceptos jurídicos aplicables al asunto motivo del acto y las razones o argumentos de su actuar.</w:t>
      </w:r>
    </w:p>
    <w:p w14:paraId="4AC87399" w14:textId="77777777" w:rsidR="00245FB3" w:rsidRPr="00C6485C" w:rsidRDefault="00245FB3" w:rsidP="00245FB3">
      <w:pPr>
        <w:rPr>
          <w:szCs w:val="24"/>
        </w:rPr>
      </w:pPr>
    </w:p>
    <w:p w14:paraId="0707A0EF" w14:textId="77777777" w:rsidR="00245FB3" w:rsidRPr="00C6485C" w:rsidRDefault="00245FB3" w:rsidP="00245FB3">
      <w:pPr>
        <w:rPr>
          <w:szCs w:val="24"/>
        </w:rPr>
      </w:pPr>
      <w:r w:rsidRPr="00C6485C">
        <w:rPr>
          <w:szCs w:val="24"/>
        </w:rPr>
        <w:t>Al respecto, el máximo tribunal del país ha establecido jurisprudencia respecto a qué debe entenderse por fundamentación y motivación, en los siguientes términos:</w:t>
      </w:r>
    </w:p>
    <w:p w14:paraId="4AB596F6" w14:textId="77777777" w:rsidR="00245FB3" w:rsidRPr="00C6485C" w:rsidRDefault="00245FB3" w:rsidP="00245FB3">
      <w:pPr>
        <w:rPr>
          <w:szCs w:val="24"/>
        </w:rPr>
      </w:pPr>
    </w:p>
    <w:p w14:paraId="336D46AA" w14:textId="77777777" w:rsidR="00245FB3" w:rsidRPr="004C77A2" w:rsidRDefault="00245FB3" w:rsidP="00245FB3">
      <w:pPr>
        <w:ind w:left="567" w:right="616"/>
        <w:rPr>
          <w:b/>
          <w:i/>
          <w:sz w:val="22"/>
        </w:rPr>
      </w:pPr>
      <w:r w:rsidRPr="004C77A2">
        <w:rPr>
          <w:b/>
          <w:i/>
          <w:sz w:val="22"/>
        </w:rPr>
        <w:t xml:space="preserve">FUNDAMENTACIÓN Y MOTIVACIÓN. </w:t>
      </w:r>
    </w:p>
    <w:p w14:paraId="023CC5CC" w14:textId="77777777" w:rsidR="00245FB3" w:rsidRDefault="00245FB3" w:rsidP="004C77A2">
      <w:pPr>
        <w:ind w:left="567" w:right="616"/>
        <w:rPr>
          <w:i/>
          <w:sz w:val="22"/>
        </w:rPr>
      </w:pPr>
      <w:r w:rsidRPr="004C77A2">
        <w:rPr>
          <w:i/>
          <w:sz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07CD502" w14:textId="77777777" w:rsidR="00073E58" w:rsidRPr="004C77A2" w:rsidRDefault="00073E58" w:rsidP="004C77A2">
      <w:pPr>
        <w:ind w:left="567" w:right="616"/>
        <w:rPr>
          <w:i/>
          <w:sz w:val="22"/>
        </w:rPr>
      </w:pPr>
    </w:p>
    <w:p w14:paraId="0004ACE3" w14:textId="77777777" w:rsidR="00245FB3" w:rsidRPr="00C6485C" w:rsidRDefault="00245FB3" w:rsidP="00245FB3">
      <w:pPr>
        <w:rPr>
          <w:szCs w:val="24"/>
        </w:rPr>
      </w:pPr>
      <w:r w:rsidRPr="00C6485C">
        <w:rPr>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E692DF2" w14:textId="77777777" w:rsidR="00245FB3" w:rsidRPr="00C6485C" w:rsidRDefault="00245FB3" w:rsidP="00245FB3">
      <w:pPr>
        <w:rPr>
          <w:szCs w:val="24"/>
        </w:rPr>
      </w:pPr>
    </w:p>
    <w:p w14:paraId="34148092" w14:textId="77777777" w:rsidR="00245FB3" w:rsidRPr="00C6485C" w:rsidRDefault="00245FB3" w:rsidP="00245FB3">
      <w:pPr>
        <w:rPr>
          <w:szCs w:val="24"/>
        </w:rPr>
      </w:pPr>
      <w:r w:rsidRPr="00C6485C">
        <w:rPr>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119538B5" w14:textId="77777777" w:rsidR="00245FB3" w:rsidRPr="00C6485C" w:rsidRDefault="00245FB3" w:rsidP="00245FB3">
      <w:pPr>
        <w:rPr>
          <w:szCs w:val="24"/>
        </w:rPr>
      </w:pPr>
    </w:p>
    <w:p w14:paraId="24AD3F2A" w14:textId="77777777" w:rsidR="00245FB3" w:rsidRPr="004C77A2" w:rsidRDefault="00245FB3" w:rsidP="00245FB3">
      <w:pPr>
        <w:ind w:left="567" w:right="616"/>
        <w:rPr>
          <w:i/>
          <w:sz w:val="22"/>
        </w:rPr>
      </w:pPr>
      <w:r w:rsidRPr="004C77A2">
        <w:rPr>
          <w:b/>
          <w:i/>
          <w:sz w:val="22"/>
        </w:rPr>
        <w:t>FUNDAMENTACIÓN Y MOTIVACIÓN. EL ASPECTO FORMAL DE LA GARANTÍA Y SU FINALIDAD SE TRADUCEN EN EXPLICAR, JUSTIFICAR, POSIBILITAR LA DEFENSA Y COMUNICAR LA DECISIÓN</w:t>
      </w:r>
      <w:r w:rsidRPr="004C77A2">
        <w:rPr>
          <w:i/>
          <w:sz w:val="22"/>
        </w:rPr>
        <w:t xml:space="preserve">. </w:t>
      </w:r>
    </w:p>
    <w:p w14:paraId="255CE5B5" w14:textId="77777777" w:rsidR="00245FB3" w:rsidRPr="004C77A2" w:rsidRDefault="00245FB3" w:rsidP="00245FB3">
      <w:pPr>
        <w:ind w:left="567" w:right="616"/>
        <w:rPr>
          <w:i/>
          <w:sz w:val="22"/>
        </w:rPr>
      </w:pPr>
      <w:r w:rsidRPr="004C77A2">
        <w:rPr>
          <w:i/>
          <w:sz w:val="22"/>
        </w:rPr>
        <w:lastRenderedPageBreak/>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77E5141D" w14:textId="77777777" w:rsidR="00245FB3" w:rsidRPr="00C6485C" w:rsidRDefault="00245FB3" w:rsidP="00245FB3">
      <w:pPr>
        <w:rPr>
          <w:szCs w:val="24"/>
        </w:rPr>
      </w:pPr>
    </w:p>
    <w:p w14:paraId="2A4181B1" w14:textId="77777777" w:rsidR="00245FB3" w:rsidRPr="00C6485C" w:rsidRDefault="00245FB3" w:rsidP="00245FB3">
      <w:pPr>
        <w:rPr>
          <w:szCs w:val="24"/>
        </w:rPr>
      </w:pPr>
      <w:r w:rsidRPr="00C6485C">
        <w:rPr>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2E191F2B" w14:textId="77777777" w:rsidR="00245FB3" w:rsidRPr="00C6485C" w:rsidRDefault="00245FB3" w:rsidP="00245FB3">
      <w:pPr>
        <w:rPr>
          <w:szCs w:val="24"/>
        </w:rPr>
      </w:pPr>
    </w:p>
    <w:p w14:paraId="14CD937C" w14:textId="77777777" w:rsidR="00245FB3" w:rsidRDefault="00245FB3" w:rsidP="00245FB3">
      <w:pPr>
        <w:rPr>
          <w:szCs w:val="24"/>
        </w:rPr>
      </w:pPr>
      <w:r w:rsidRPr="00C6485C">
        <w:rPr>
          <w:szCs w:val="24"/>
        </w:rPr>
        <w:t>Por lo tanto, la entrega de documentos en su versión pública debe acompañarse necesariamente del Acuerdo del Comité de Transparencia del Sujeto Obligado</w:t>
      </w:r>
      <w:r w:rsidRPr="00C6485C">
        <w:rPr>
          <w:b/>
          <w:szCs w:val="24"/>
        </w:rPr>
        <w:t xml:space="preserve"> </w:t>
      </w:r>
      <w:r w:rsidRPr="00C6485C">
        <w:rPr>
          <w:szCs w:val="24"/>
        </w:rPr>
        <w:t xml:space="preserve">que la sustente, en el que se expongan los fundamentos y razones que llevaron a la autoridad a </w:t>
      </w:r>
      <w:r w:rsidRPr="00C6485C">
        <w:rPr>
          <w:szCs w:val="24"/>
        </w:rPr>
        <w:lastRenderedPageBreak/>
        <w:t>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2D9FADE0" w14:textId="77777777" w:rsidR="00245FB3" w:rsidRDefault="00245FB3" w:rsidP="00F77945">
      <w:pPr>
        <w:pBdr>
          <w:top w:val="nil"/>
          <w:left w:val="nil"/>
          <w:bottom w:val="nil"/>
          <w:right w:val="nil"/>
          <w:between w:val="nil"/>
        </w:pBdr>
        <w:contextualSpacing/>
        <w:rPr>
          <w:szCs w:val="24"/>
        </w:rPr>
      </w:pPr>
    </w:p>
    <w:p w14:paraId="61DE3C32" w14:textId="77777777" w:rsidR="00F77945" w:rsidRDefault="00245FB3" w:rsidP="00F77945">
      <w:pPr>
        <w:tabs>
          <w:tab w:val="left" w:pos="426"/>
        </w:tabs>
        <w:ind w:right="49"/>
        <w:contextualSpacing/>
        <w:rPr>
          <w:rFonts w:cs="Arial"/>
        </w:rPr>
      </w:pPr>
      <w:r>
        <w:t xml:space="preserve">En mérito de lo expuesto en líneas anteriores, resultan fundados los motivos de inconformidad que arguye el Recurrente en su medio de impugnación que fue materia de estudio, por ello con fundamento en la primera hipótesis de la fracción III, del artículo 186, de la Ley de Transparencia y Acceso a la Información Pública del Estado de México y Municipios, se </w:t>
      </w:r>
      <w:r w:rsidRPr="00197291">
        <w:rPr>
          <w:b/>
        </w:rPr>
        <w:t>REVOCA</w:t>
      </w:r>
      <w:r w:rsidRPr="00197291">
        <w:t xml:space="preserve"> la respuesta a la solicitud de información número </w:t>
      </w:r>
      <w:r w:rsidR="00D72000" w:rsidRPr="00D72000">
        <w:rPr>
          <w:b/>
          <w:bCs/>
        </w:rPr>
        <w:t>00088/OCOYOAC/IP/2023</w:t>
      </w:r>
      <w:r w:rsidR="00E97188" w:rsidRPr="00D72000">
        <w:rPr>
          <w:rFonts w:ascii="Verdana" w:hAnsi="Verdana"/>
          <w:b/>
          <w:bCs/>
        </w:rPr>
        <w:t xml:space="preserve"> </w:t>
      </w:r>
      <w:r>
        <w:t>que ha sido materia del presente fallo. Por lo antes expuesto y fundado es de resolverse y,</w:t>
      </w:r>
    </w:p>
    <w:p w14:paraId="25B8317E" w14:textId="77777777" w:rsidR="00E42356" w:rsidRDefault="00E42356" w:rsidP="00F77945">
      <w:pPr>
        <w:tabs>
          <w:tab w:val="left" w:pos="426"/>
        </w:tabs>
        <w:ind w:right="49"/>
        <w:contextualSpacing/>
        <w:rPr>
          <w:rFonts w:cs="Arial"/>
        </w:rPr>
      </w:pPr>
    </w:p>
    <w:p w14:paraId="264F74C2" w14:textId="77777777" w:rsidR="00245FB3" w:rsidRDefault="00245FB3" w:rsidP="00245FB3">
      <w:pPr>
        <w:tabs>
          <w:tab w:val="left" w:pos="426"/>
        </w:tabs>
        <w:ind w:right="49"/>
        <w:contextualSpacing/>
        <w:jc w:val="center"/>
      </w:pPr>
      <w:r w:rsidRPr="00197291">
        <w:t>S E        R E S U E L V E</w:t>
      </w:r>
    </w:p>
    <w:p w14:paraId="513F02FA" w14:textId="77777777" w:rsidR="00245FB3" w:rsidRDefault="00245FB3" w:rsidP="00245FB3">
      <w:pPr>
        <w:tabs>
          <w:tab w:val="left" w:pos="426"/>
        </w:tabs>
        <w:ind w:right="49"/>
        <w:contextualSpacing/>
      </w:pPr>
    </w:p>
    <w:p w14:paraId="79621C1D" w14:textId="77777777" w:rsidR="00E97188" w:rsidRDefault="00245FB3" w:rsidP="00245FB3">
      <w:pPr>
        <w:tabs>
          <w:tab w:val="left" w:pos="426"/>
        </w:tabs>
        <w:ind w:right="49"/>
        <w:contextualSpacing/>
      </w:pPr>
      <w:r>
        <w:t xml:space="preserve">PRIMERO. Se </w:t>
      </w:r>
      <w:r w:rsidRPr="00E97188">
        <w:rPr>
          <w:b/>
        </w:rPr>
        <w:t>REVOCA</w:t>
      </w:r>
      <w:r>
        <w:t xml:space="preserve"> la respuesta entregada por el Sujeto Obligado a la solicitud de información número </w:t>
      </w:r>
      <w:r w:rsidR="00D72000" w:rsidRPr="00D72000">
        <w:rPr>
          <w:b/>
          <w:bCs/>
        </w:rPr>
        <w:t>00088/OCOYOAC/IP/2023</w:t>
      </w:r>
      <w:r w:rsidR="00D72000" w:rsidRPr="00D72000">
        <w:rPr>
          <w:rFonts w:ascii="Verdana" w:hAnsi="Verdana"/>
          <w:b/>
          <w:bCs/>
        </w:rPr>
        <w:t xml:space="preserve"> </w:t>
      </w:r>
      <w:r>
        <w:t xml:space="preserve">al resultar fundadas las razones o motivos de inconformidad que manifestó El Recurrente, en términos del Considerando </w:t>
      </w:r>
      <w:r w:rsidRPr="00E97188">
        <w:rPr>
          <w:b/>
        </w:rPr>
        <w:t>CUARTO</w:t>
      </w:r>
      <w:r>
        <w:t xml:space="preserve"> de la presente resolución. </w:t>
      </w:r>
    </w:p>
    <w:p w14:paraId="43DD88EF" w14:textId="77777777" w:rsidR="00E97188" w:rsidRDefault="00E97188" w:rsidP="00245FB3">
      <w:pPr>
        <w:tabs>
          <w:tab w:val="left" w:pos="426"/>
        </w:tabs>
        <w:ind w:right="49"/>
        <w:contextualSpacing/>
      </w:pPr>
    </w:p>
    <w:p w14:paraId="24DB112B" w14:textId="77777777" w:rsidR="00E97188" w:rsidRDefault="00245FB3" w:rsidP="00245FB3">
      <w:pPr>
        <w:tabs>
          <w:tab w:val="left" w:pos="426"/>
        </w:tabs>
        <w:ind w:right="49"/>
        <w:contextualSpacing/>
      </w:pPr>
      <w:r w:rsidRPr="00197291">
        <w:rPr>
          <w:b/>
          <w:sz w:val="28"/>
          <w:szCs w:val="28"/>
        </w:rPr>
        <w:lastRenderedPageBreak/>
        <w:t>SEGUNDO</w:t>
      </w:r>
      <w:r>
        <w:t xml:space="preserve">. Se ordena al Sujeto Obligado, haga entrega a la recurrente en términos del Considerando </w:t>
      </w:r>
      <w:r w:rsidR="00073E58" w:rsidRPr="00073E58">
        <w:rPr>
          <w:b/>
        </w:rPr>
        <w:t>CUARTO</w:t>
      </w:r>
      <w:r>
        <w:t xml:space="preserve"> de la presente resolución, a través del Sistema de Acceso a la Información Mexiquense (SAIMEX), en versión pública de ser procedente, de lo siguiente: </w:t>
      </w:r>
    </w:p>
    <w:p w14:paraId="032E5805" w14:textId="77777777" w:rsidR="00E97188" w:rsidRDefault="00E97188" w:rsidP="00245FB3">
      <w:pPr>
        <w:tabs>
          <w:tab w:val="left" w:pos="426"/>
        </w:tabs>
        <w:ind w:right="49"/>
        <w:contextualSpacing/>
      </w:pPr>
    </w:p>
    <w:p w14:paraId="23F3708A" w14:textId="77777777" w:rsidR="00E97188" w:rsidRPr="00D72000" w:rsidRDefault="00D72000" w:rsidP="00D72000">
      <w:pPr>
        <w:pStyle w:val="Prrafodelista"/>
        <w:numPr>
          <w:ilvl w:val="0"/>
          <w:numId w:val="7"/>
        </w:numPr>
        <w:tabs>
          <w:tab w:val="left" w:pos="426"/>
        </w:tabs>
        <w:ind w:right="49"/>
        <w:contextualSpacing/>
        <w:rPr>
          <w:i/>
        </w:rPr>
      </w:pPr>
      <w:proofErr w:type="spellStart"/>
      <w:r>
        <w:rPr>
          <w:i/>
        </w:rPr>
        <w:t>Titulo</w:t>
      </w:r>
      <w:proofErr w:type="spellEnd"/>
      <w:r>
        <w:rPr>
          <w:i/>
        </w:rPr>
        <w:t xml:space="preserve"> Profesional y certificado de competencias del Titular de la Tesorería municipal</w:t>
      </w:r>
    </w:p>
    <w:p w14:paraId="4D3124DE" w14:textId="77777777" w:rsidR="00E97188" w:rsidRDefault="00E97188" w:rsidP="00E97188">
      <w:pPr>
        <w:pStyle w:val="Prrafodelista"/>
        <w:tabs>
          <w:tab w:val="left" w:pos="426"/>
        </w:tabs>
        <w:ind w:left="1071" w:right="49"/>
        <w:contextualSpacing/>
      </w:pPr>
    </w:p>
    <w:p w14:paraId="7160351B" w14:textId="77777777" w:rsidR="00E42356" w:rsidRPr="00E97188" w:rsidRDefault="00245FB3" w:rsidP="00E97188">
      <w:pPr>
        <w:pStyle w:val="Prrafodelista"/>
        <w:tabs>
          <w:tab w:val="left" w:pos="426"/>
        </w:tabs>
        <w:ind w:left="1071" w:right="49"/>
        <w:contextualSpacing/>
        <w:rPr>
          <w:rFonts w:eastAsia="MS Mincho"/>
          <w:i/>
          <w:color w:val="000000"/>
        </w:rPr>
      </w:pPr>
      <w:r w:rsidRPr="00E97188">
        <w:rPr>
          <w:i/>
        </w:rPr>
        <w:t>Para el caso de la clasificación de la información, se deberá emitir el Acuerdo del Comité de Transparencia en términos de los artículos 49, fracción VIII, 122 y 132 fracciones II y III de la Ley de Transparencia y Acceso a la Información Pública del Estado de México y Municipios, en el que funde y motive las razones sobre los datos</w:t>
      </w:r>
      <w:r w:rsidR="00E97188" w:rsidRPr="00E97188">
        <w:rPr>
          <w:i/>
        </w:rPr>
        <w:t xml:space="preserve"> que se supriman o eliminen dentro del soporte documental respectivo objeto de las versiones públicas que se formulen y se ponga a disposición de la recurrente.</w:t>
      </w:r>
    </w:p>
    <w:p w14:paraId="12E2528F" w14:textId="77777777" w:rsidR="00F77945" w:rsidRDefault="00F77945" w:rsidP="00F77945">
      <w:pPr>
        <w:rPr>
          <w:rFonts w:eastAsia="Arial Unicode MS" w:cs="Arial"/>
        </w:rPr>
      </w:pPr>
    </w:p>
    <w:p w14:paraId="0F85F445" w14:textId="77777777" w:rsidR="00E97188" w:rsidRPr="00E97188" w:rsidRDefault="00E97188" w:rsidP="00F77945">
      <w:pPr>
        <w:rPr>
          <w:b/>
        </w:rPr>
      </w:pPr>
      <w:r w:rsidRPr="00E97188">
        <w:rPr>
          <w:b/>
        </w:rPr>
        <w:t>TERCERO. Notifíquese</w:t>
      </w:r>
      <w:r>
        <w:t xml:space="preserve"> al Titular de la Unidad de Transparencia del </w:t>
      </w:r>
      <w:r w:rsidRPr="00E97188">
        <w:rPr>
          <w:b/>
        </w:rPr>
        <w:t>Sujeto Obligado</w:t>
      </w:r>
      <w: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y </w:t>
      </w:r>
      <w:r w:rsidRPr="00E97188">
        <w:rPr>
          <w:b/>
        </w:rPr>
        <w:t xml:space="preserve">se le apercibe que en caso de negarse a cumplir la presente resolución o hacerlo de manera parcial, se le impondrá una medida de apremio de conformidad con lo previsto en los artículos 198, 200, fracción III; 214, </w:t>
      </w:r>
      <w:r w:rsidRPr="00E97188">
        <w:rPr>
          <w:b/>
        </w:rPr>
        <w:lastRenderedPageBreak/>
        <w:t xml:space="preserve">215 y 216 de la Ley de Transparencia y Acceso a la Información Pública del Estado de México y Municipios. </w:t>
      </w:r>
    </w:p>
    <w:p w14:paraId="20F8B703" w14:textId="77777777" w:rsidR="00E97188" w:rsidRDefault="00E97188" w:rsidP="00F77945"/>
    <w:p w14:paraId="0091AD8F" w14:textId="77777777" w:rsidR="00E97188" w:rsidRDefault="00E97188" w:rsidP="00F77945">
      <w:r w:rsidRPr="00E97188">
        <w:rPr>
          <w:b/>
        </w:rPr>
        <w:t>CUARTO.</w:t>
      </w:r>
      <w: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 </w:t>
      </w:r>
    </w:p>
    <w:p w14:paraId="6FBBF4A7" w14:textId="77777777" w:rsidR="00E97188" w:rsidRDefault="00E97188" w:rsidP="00F77945"/>
    <w:p w14:paraId="18A5A33B" w14:textId="77777777" w:rsidR="00245FB3" w:rsidRDefault="00E97188" w:rsidP="00F77945">
      <w:pPr>
        <w:rPr>
          <w:rFonts w:eastAsia="Arial Unicode MS" w:cs="Arial"/>
        </w:rPr>
      </w:pPr>
      <w:r w:rsidRPr="00E97188">
        <w:rPr>
          <w:b/>
        </w:rPr>
        <w:t>QUINTO.</w:t>
      </w:r>
      <w:r>
        <w:t xml:space="preserve"> </w:t>
      </w:r>
      <w:r>
        <w:rPr>
          <w:b/>
        </w:rPr>
        <w:t xml:space="preserve">Notifíquese al </w:t>
      </w:r>
      <w:r w:rsidRPr="00E97188">
        <w:rPr>
          <w:b/>
        </w:rPr>
        <w:t>Recurrente</w:t>
      </w:r>
      <w:r>
        <w:t xml:space="preserve"> la presente resolución a través del Sistema de Acceso a la Información Mexiquense (SAIMEX),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2573D77E" w14:textId="77777777" w:rsidR="00245FB3" w:rsidRDefault="00245FB3" w:rsidP="00F77945">
      <w:pPr>
        <w:rPr>
          <w:rFonts w:cs="Arial"/>
          <w:color w:val="000000"/>
          <w:szCs w:val="24"/>
        </w:rPr>
      </w:pPr>
    </w:p>
    <w:p w14:paraId="2A111B87" w14:textId="22AFDA29" w:rsidR="00AE52C8" w:rsidRDefault="00F77945" w:rsidP="00AE52C8">
      <w:pPr>
        <w:rPr>
          <w:rFonts w:cs="Arial"/>
        </w:rPr>
      </w:pPr>
      <w:r>
        <w:rPr>
          <w:rFonts w:cs="Arial"/>
          <w:szCs w:val="24"/>
        </w:rPr>
        <w:t>ASÍ LO RESUELVE, POR UNANIMIDAD DE VOTOS EL PLENO DEL</w:t>
      </w:r>
      <w:r>
        <w:rPr>
          <w:rFonts w:eastAsia="Arial Unicode MS" w:cs="Arial"/>
          <w:szCs w:val="24"/>
        </w:rPr>
        <w:t xml:space="preserve"> INSTITUTO DE TRANSPARENCIA, ACCESO A LA INFORMACIÓN PÚBLICA Y PROTECCIÓN DE DATOS PERSONALES DEL ESTADO DE MÉXICO Y MUNICIPIOS</w:t>
      </w:r>
      <w:r>
        <w:rPr>
          <w:rFonts w:cs="Arial"/>
          <w:szCs w:val="24"/>
        </w:rPr>
        <w:t>, CONFORMADO POR LOS COMISIONADOS JOSÉ MARTÍNEZ VILCHIS, MARÍA DEL ROSARIO MEJÍA AYALA</w:t>
      </w:r>
      <w:r w:rsidR="00B85944">
        <w:rPr>
          <w:rFonts w:cs="Arial"/>
          <w:szCs w:val="24"/>
        </w:rPr>
        <w:t xml:space="preserve"> (</w:t>
      </w:r>
      <w:r w:rsidR="00AE52C8">
        <w:rPr>
          <w:rFonts w:cs="Arial"/>
          <w:szCs w:val="24"/>
        </w:rPr>
        <w:t xml:space="preserve">EMITIENDO </w:t>
      </w:r>
      <w:r w:rsidR="00B85944">
        <w:rPr>
          <w:rFonts w:cs="Arial"/>
          <w:szCs w:val="24"/>
        </w:rPr>
        <w:t xml:space="preserve">VOTO </w:t>
      </w:r>
      <w:r w:rsidR="00AE52C8">
        <w:rPr>
          <w:rFonts w:cs="Arial"/>
          <w:szCs w:val="24"/>
        </w:rPr>
        <w:t xml:space="preserve">PARTICULAR </w:t>
      </w:r>
      <w:r w:rsidR="00B85944">
        <w:rPr>
          <w:rFonts w:cs="Arial"/>
          <w:szCs w:val="24"/>
        </w:rPr>
        <w:t>CONCURRENTE)</w:t>
      </w:r>
      <w:r>
        <w:rPr>
          <w:rFonts w:cs="Arial"/>
          <w:szCs w:val="24"/>
        </w:rPr>
        <w:t>, SHARON CRISTINA MORALES MARTÍNEZ, LUIS GUSTAVO PARRA NORIEGA</w:t>
      </w:r>
      <w:r w:rsidR="00B85944">
        <w:rPr>
          <w:rFonts w:cs="Arial"/>
          <w:szCs w:val="24"/>
        </w:rPr>
        <w:t xml:space="preserve"> (</w:t>
      </w:r>
      <w:r w:rsidR="00AE52C8">
        <w:rPr>
          <w:rFonts w:cs="Arial"/>
          <w:szCs w:val="24"/>
        </w:rPr>
        <w:t xml:space="preserve">EMITIENDO </w:t>
      </w:r>
      <w:r w:rsidR="00B85944">
        <w:rPr>
          <w:rFonts w:cs="Arial"/>
          <w:szCs w:val="24"/>
        </w:rPr>
        <w:t xml:space="preserve">VOTO </w:t>
      </w:r>
      <w:r w:rsidR="00AE52C8">
        <w:rPr>
          <w:rFonts w:cs="Arial"/>
          <w:szCs w:val="24"/>
        </w:rPr>
        <w:t xml:space="preserve">PARTICULAR </w:t>
      </w:r>
      <w:r w:rsidR="00B85944">
        <w:rPr>
          <w:rFonts w:cs="Arial"/>
          <w:szCs w:val="24"/>
        </w:rPr>
        <w:t>CONCURRENTE)</w:t>
      </w:r>
      <w:r>
        <w:rPr>
          <w:rFonts w:cs="Arial"/>
          <w:szCs w:val="24"/>
        </w:rPr>
        <w:t xml:space="preserve"> Y GUADALUPE RAMÍREZ PEÑA</w:t>
      </w:r>
      <w:r w:rsidR="00B85944">
        <w:rPr>
          <w:rFonts w:cs="Arial"/>
          <w:szCs w:val="24"/>
        </w:rPr>
        <w:t xml:space="preserve"> (</w:t>
      </w:r>
      <w:r w:rsidR="00AE52C8">
        <w:rPr>
          <w:rFonts w:cs="Arial"/>
          <w:szCs w:val="24"/>
        </w:rPr>
        <w:t xml:space="preserve">EMITIENDO </w:t>
      </w:r>
      <w:r w:rsidR="00B85944">
        <w:rPr>
          <w:rFonts w:cs="Arial"/>
          <w:szCs w:val="24"/>
        </w:rPr>
        <w:t>VOTO PARTICULAR)</w:t>
      </w:r>
      <w:r>
        <w:rPr>
          <w:rFonts w:cs="Arial"/>
          <w:szCs w:val="24"/>
        </w:rPr>
        <w:t xml:space="preserve">, EN LA </w:t>
      </w:r>
      <w:r w:rsidR="00D72000">
        <w:rPr>
          <w:rFonts w:cs="Arial"/>
          <w:szCs w:val="24"/>
          <w:lang w:val="es-419"/>
        </w:rPr>
        <w:t xml:space="preserve">TERCERA SESIÓN ORDINARIA CELEBRADA EL TREINTA Y UNO </w:t>
      </w:r>
      <w:r w:rsidR="00197291">
        <w:rPr>
          <w:rFonts w:cs="Arial"/>
          <w:szCs w:val="24"/>
        </w:rPr>
        <w:t xml:space="preserve">DE ENERO </w:t>
      </w:r>
      <w:r>
        <w:rPr>
          <w:rFonts w:cs="Arial"/>
          <w:szCs w:val="24"/>
        </w:rPr>
        <w:t xml:space="preserve">DE DOS MIL </w:t>
      </w:r>
      <w:r>
        <w:rPr>
          <w:rFonts w:cs="Arial"/>
          <w:szCs w:val="24"/>
          <w:lang w:val="es-419"/>
        </w:rPr>
        <w:t>VE</w:t>
      </w:r>
      <w:r w:rsidR="00197291">
        <w:rPr>
          <w:rFonts w:cs="Arial"/>
          <w:szCs w:val="24"/>
          <w:lang w:val="es-419"/>
        </w:rPr>
        <w:t>INTICUATRO</w:t>
      </w:r>
      <w:r>
        <w:rPr>
          <w:rFonts w:cs="Arial"/>
          <w:szCs w:val="24"/>
        </w:rPr>
        <w:t xml:space="preserve">, ANTE EL SECRETARIO </w:t>
      </w:r>
      <w:r>
        <w:rPr>
          <w:rFonts w:cs="Arial"/>
          <w:szCs w:val="24"/>
        </w:rPr>
        <w:lastRenderedPageBreak/>
        <w:t>TÉCNICO DEL PLENO, ALEXIS TAPIA RAMÍREZ. --------------------------------------------------------------------------------------------------------------------------------------------------------------------</w:t>
      </w:r>
      <w:r w:rsidR="00AE52C8">
        <w:rPr>
          <w:rFonts w:cs="Arial"/>
        </w:rPr>
        <w:t>---------------------------------------------------------------------------------------------------------------------------------------------------------------------------------------------------------------------------------------------------------------------------------------------------------------------------------------------------------------------------------------------------------------------------------------------------------------------------------------------------------------------------------------------------------------------------------------------------------------------------------------------------------------------------------------------------------------------------------------------------------------------------------------------------------------------------------------------------------------------------------------------------------------------------------------------------------------------------------------------------------------------------------------------------------------------------------------------------------------------------------------------------------------------------------------------------------------------------------------------------------------------------------------------------------------------------------------------------------------------------------------------------------------------------------------------------------------------------------------------------------------------------------------------------------------------------------------------------------------------------------------------------------------------------------------------------------------------------------------------------------------------------------------------------------------------------------------------------------------------------------------------------------------------------------------------------------------------------------------------------------------------------------------------------------------------------------------------------------------------------------------------------------------------------------------------------------------------------------------------------------------------------------------------------------------------------------------------------------------------------------------------------------------------------------------------------------------------------------------------------------------------------------------------------------</w:t>
      </w:r>
    </w:p>
    <w:p w14:paraId="7456DAD7" w14:textId="413BB164" w:rsidR="00F77945" w:rsidRDefault="00F77945" w:rsidP="00AE52C8">
      <w:pPr>
        <w:rPr>
          <w:rFonts w:cs="Arial"/>
          <w:sz w:val="20"/>
        </w:rPr>
      </w:pPr>
      <w:r>
        <w:rPr>
          <w:rFonts w:cs="Arial"/>
          <w:sz w:val="20"/>
        </w:rPr>
        <w:t>JMV/CCR/NJMB</w:t>
      </w:r>
    </w:p>
    <w:p w14:paraId="4316545B" w14:textId="77777777" w:rsidR="00F77945" w:rsidRDefault="00F77945" w:rsidP="00F77945">
      <w:pPr>
        <w:rPr>
          <w:rFonts w:cs="Arial"/>
          <w:sz w:val="20"/>
        </w:rPr>
      </w:pPr>
    </w:p>
    <w:p w14:paraId="4AAEF06A" w14:textId="77777777" w:rsidR="00F77945" w:rsidRDefault="00F77945" w:rsidP="00F77945">
      <w:pPr>
        <w:rPr>
          <w:rFonts w:cs="Arial"/>
          <w:sz w:val="20"/>
        </w:rPr>
      </w:pPr>
    </w:p>
    <w:p w14:paraId="3449E5AE"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11FD0F84"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3449037C"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70177F4A"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507B3284"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214DDCE1"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431F5EEF"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2589BD55"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30313CCC"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6BF62C8F" w14:textId="77777777" w:rsidR="00F77945" w:rsidRPr="004B7011" w:rsidRDefault="00F77945" w:rsidP="00F77945"/>
    <w:p w14:paraId="5E184A9B" w14:textId="77777777" w:rsidR="00F77945" w:rsidRDefault="00F77945" w:rsidP="00F77945"/>
    <w:p w14:paraId="64F3026F" w14:textId="77777777" w:rsidR="00F77945" w:rsidRDefault="00F77945" w:rsidP="00F77945"/>
    <w:p w14:paraId="59B14C44" w14:textId="77777777" w:rsidR="0070643B" w:rsidRDefault="0070643B"/>
    <w:sectPr w:rsidR="0070643B" w:rsidSect="00E02E32">
      <w:headerReference w:type="even" r:id="rId7"/>
      <w:headerReference w:type="default" r:id="rId8"/>
      <w:footerReference w:type="default" r:id="rId9"/>
      <w:headerReference w:type="first" r:id="rId10"/>
      <w:footerReference w:type="first" r:id="rId11"/>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544C1" w14:textId="77777777" w:rsidR="00A52C74" w:rsidRDefault="00A52C74" w:rsidP="00F77945">
      <w:pPr>
        <w:spacing w:line="240" w:lineRule="auto"/>
      </w:pPr>
      <w:r>
        <w:separator/>
      </w:r>
    </w:p>
  </w:endnote>
  <w:endnote w:type="continuationSeparator" w:id="0">
    <w:p w14:paraId="34F882E1" w14:textId="77777777" w:rsidR="00A52C74" w:rsidRDefault="00A52C74" w:rsidP="00F77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E3506" w14:textId="77777777" w:rsidR="00E02E32" w:rsidRPr="00871A91" w:rsidRDefault="00E02E32" w:rsidP="00E02E32">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86784">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86784">
      <w:rPr>
        <w:rFonts w:ascii="Palatino Linotype" w:hAnsi="Palatino Linotype"/>
        <w:b/>
        <w:bCs/>
        <w:noProof/>
        <w:sz w:val="20"/>
      </w:rPr>
      <w:t>36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7D5B4" w14:textId="77777777" w:rsidR="00E02E32" w:rsidRPr="00871A91" w:rsidRDefault="00E02E32" w:rsidP="00E02E32">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86784">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86784">
      <w:rPr>
        <w:rFonts w:ascii="Palatino Linotype" w:hAnsi="Palatino Linotype"/>
        <w:b/>
        <w:bCs/>
        <w:noProof/>
        <w:sz w:val="20"/>
      </w:rPr>
      <w:t>36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0BDEA" w14:textId="77777777" w:rsidR="00A52C74" w:rsidRDefault="00A52C74" w:rsidP="00F77945">
      <w:pPr>
        <w:spacing w:line="240" w:lineRule="auto"/>
      </w:pPr>
      <w:r>
        <w:separator/>
      </w:r>
    </w:p>
  </w:footnote>
  <w:footnote w:type="continuationSeparator" w:id="0">
    <w:p w14:paraId="66F8BD72" w14:textId="77777777" w:rsidR="00A52C74" w:rsidRDefault="00A52C74" w:rsidP="00F77945">
      <w:pPr>
        <w:spacing w:line="240" w:lineRule="auto"/>
      </w:pPr>
      <w:r>
        <w:continuationSeparator/>
      </w:r>
    </w:p>
  </w:footnote>
  <w:footnote w:id="1">
    <w:p w14:paraId="5C8DBCAD" w14:textId="77777777" w:rsidR="00E02E32" w:rsidRPr="00481AAF" w:rsidRDefault="00E02E32" w:rsidP="00F77945">
      <w:pPr>
        <w:spacing w:line="240" w:lineRule="auto"/>
        <w:rPr>
          <w:rFonts w:eastAsia="Times New Roman"/>
          <w:b/>
          <w:bCs/>
          <w:i/>
          <w:sz w:val="20"/>
          <w:szCs w:val="20"/>
        </w:rPr>
      </w:pPr>
      <w:r>
        <w:rPr>
          <w:rStyle w:val="Refdenotaalpie"/>
        </w:rPr>
        <w:footnoteRef/>
      </w:r>
      <w:r>
        <w:t xml:space="preserve"> </w:t>
      </w:r>
      <w:r w:rsidRPr="00946E1F">
        <w:rPr>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b/>
          <w:bCs/>
          <w:i/>
          <w:sz w:val="20"/>
          <w:szCs w:val="20"/>
        </w:rPr>
        <w:t>DERECHOS HUMANOS.</w:t>
      </w:r>
    </w:p>
    <w:p w14:paraId="448C24E5" w14:textId="77777777" w:rsidR="00E02E32" w:rsidRPr="00946E1F" w:rsidRDefault="00E02E32" w:rsidP="00F77945">
      <w:pPr>
        <w:spacing w:line="240" w:lineRule="auto"/>
        <w:rPr>
          <w:i/>
          <w:sz w:val="20"/>
          <w:szCs w:val="20"/>
        </w:rPr>
      </w:pPr>
      <w:r w:rsidRPr="00481AAF">
        <w:rPr>
          <w:i/>
          <w:sz w:val="20"/>
          <w:szCs w:val="20"/>
        </w:rPr>
        <w:t>Del examen de compatibilidad de los artículos</w:t>
      </w:r>
      <w:r w:rsidRPr="00481AAF">
        <w:rPr>
          <w:rStyle w:val="apple-converted-space"/>
          <w:i/>
          <w:sz w:val="20"/>
          <w:szCs w:val="20"/>
        </w:rPr>
        <w:t> </w:t>
      </w:r>
      <w:hyperlink r:id="rId1" w:history="1">
        <w:r w:rsidRPr="00481AAF">
          <w:rPr>
            <w:rStyle w:val="Hipervnculo"/>
            <w:i/>
          </w:rPr>
          <w:t>73 y 74 de la Ley de Amparo</w:t>
        </w:r>
      </w:hyperlink>
      <w:r w:rsidRPr="00481AAF">
        <w:rPr>
          <w:rStyle w:val="apple-converted-space"/>
          <w:i/>
          <w:sz w:val="20"/>
          <w:szCs w:val="20"/>
        </w:rPr>
        <w:t> </w:t>
      </w:r>
      <w:r w:rsidRPr="00481AAF">
        <w:rPr>
          <w:i/>
          <w:sz w:val="20"/>
          <w:szCs w:val="20"/>
        </w:rPr>
        <w:t>con el artículo</w:t>
      </w:r>
      <w:r w:rsidRPr="00481AAF">
        <w:rPr>
          <w:rStyle w:val="apple-converted-space"/>
          <w:i/>
          <w:sz w:val="20"/>
          <w:szCs w:val="20"/>
        </w:rPr>
        <w:t> </w:t>
      </w:r>
      <w:hyperlink r:id="rId2" w:history="1">
        <w:r w:rsidRPr="00481AAF">
          <w:rPr>
            <w:rStyle w:val="Hipervnculo"/>
            <w:i/>
          </w:rPr>
          <w:t>25.1 de la Convención Americana sobre Derechos Humanos</w:t>
        </w:r>
      </w:hyperlink>
      <w:r w:rsidRPr="00481AAF">
        <w:rPr>
          <w:rStyle w:val="apple-converted-space"/>
          <w:i/>
          <w:sz w:val="20"/>
          <w:szCs w:val="20"/>
        </w:rPr>
        <w:t> </w:t>
      </w:r>
      <w:r w:rsidRPr="00481AAF">
        <w:rPr>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b/>
          <w:i/>
          <w:sz w:val="20"/>
          <w:szCs w:val="20"/>
          <w:u w:val="single"/>
        </w:rPr>
        <w:t>de amparo,</w:t>
      </w:r>
      <w:r w:rsidRPr="00946E1F">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i/>
          <w:sz w:val="20"/>
          <w:szCs w:val="20"/>
        </w:rPr>
        <w:t>concesoria</w:t>
      </w:r>
      <w:proofErr w:type="spellEnd"/>
      <w:r w:rsidRPr="00946E1F">
        <w:rPr>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0A334" w14:textId="77777777" w:rsidR="00E02E32" w:rsidRDefault="00D86784">
    <w:pPr>
      <w:pStyle w:val="Encabezado"/>
    </w:pPr>
    <w:r>
      <w:rPr>
        <w:noProof/>
        <w:lang w:val="es-MX" w:eastAsia="es-MX"/>
      </w:rPr>
      <w:pict w14:anchorId="1BD64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A7482FB16C984B6B927204498623FF92"/>
      </w:placeholder>
      <w:temporary/>
      <w:showingPlcHdr/>
      <w15:appearance w15:val="hidden"/>
    </w:sdtPr>
    <w:sdtEndPr/>
    <w:sdtContent>
      <w:p w14:paraId="35D8A194" w14:textId="77777777" w:rsidR="00E02E32" w:rsidRDefault="00E02E32">
        <w:pPr>
          <w:pStyle w:val="Encabezado"/>
        </w:pPr>
        <w:r>
          <w:t>[Escriba aquí]</w:t>
        </w:r>
      </w:p>
    </w:sdtContent>
  </w:sdt>
  <w:tbl>
    <w:tblPr>
      <w:tblW w:w="9498" w:type="dxa"/>
      <w:tblLayout w:type="fixed"/>
      <w:tblCellMar>
        <w:left w:w="70" w:type="dxa"/>
        <w:right w:w="70" w:type="dxa"/>
      </w:tblCellMar>
      <w:tblLook w:val="04A0" w:firstRow="1" w:lastRow="0" w:firstColumn="1" w:lastColumn="0" w:noHBand="0" w:noVBand="1"/>
    </w:tblPr>
    <w:tblGrid>
      <w:gridCol w:w="5103"/>
      <w:gridCol w:w="4395"/>
    </w:tblGrid>
    <w:tr w:rsidR="00E02E32" w:rsidRPr="00B17577" w14:paraId="074E22E4" w14:textId="77777777" w:rsidTr="00E02E32">
      <w:trPr>
        <w:trHeight w:val="227"/>
      </w:trPr>
      <w:tc>
        <w:tcPr>
          <w:tcW w:w="5103" w:type="dxa"/>
          <w:hideMark/>
        </w:tcPr>
        <w:p w14:paraId="52BB83B4" w14:textId="77777777" w:rsidR="00E02E32" w:rsidRPr="00096248" w:rsidRDefault="00E02E32" w:rsidP="00F77945">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7EB88187" w14:textId="77777777" w:rsidR="00E02E32" w:rsidRPr="00096248" w:rsidRDefault="00E02E32" w:rsidP="00F77945">
          <w:pPr>
            <w:spacing w:after="120" w:line="240" w:lineRule="auto"/>
            <w:ind w:right="71"/>
            <w:jc w:val="right"/>
            <w:rPr>
              <w:rFonts w:cs="Arial"/>
              <w:b/>
              <w:szCs w:val="24"/>
            </w:rPr>
          </w:pPr>
          <w:r>
            <w:rPr>
              <w:rFonts w:cs="Arial"/>
              <w:b/>
              <w:bCs/>
              <w:szCs w:val="24"/>
            </w:rPr>
            <w:t>06560</w:t>
          </w:r>
          <w:r w:rsidRPr="00096248">
            <w:rPr>
              <w:rFonts w:cs="Arial"/>
              <w:b/>
              <w:bCs/>
              <w:szCs w:val="24"/>
            </w:rPr>
            <w:t>/INFOEM/IP/RR/202</w:t>
          </w:r>
          <w:r>
            <w:rPr>
              <w:rFonts w:cs="Arial"/>
              <w:b/>
              <w:bCs/>
              <w:szCs w:val="24"/>
            </w:rPr>
            <w:t>3</w:t>
          </w:r>
        </w:p>
      </w:tc>
    </w:tr>
    <w:tr w:rsidR="00E02E32" w14:paraId="302CD384" w14:textId="77777777" w:rsidTr="00E02E32">
      <w:trPr>
        <w:trHeight w:val="242"/>
      </w:trPr>
      <w:tc>
        <w:tcPr>
          <w:tcW w:w="5103" w:type="dxa"/>
          <w:hideMark/>
        </w:tcPr>
        <w:p w14:paraId="5B9D2845" w14:textId="77777777" w:rsidR="00E02E32" w:rsidRPr="00096248" w:rsidRDefault="00E02E32" w:rsidP="00F77945">
          <w:pPr>
            <w:spacing w:after="120" w:line="240" w:lineRule="auto"/>
            <w:ind w:right="69"/>
            <w:jc w:val="right"/>
            <w:rPr>
              <w:rFonts w:cs="Arial"/>
              <w:b/>
              <w:szCs w:val="24"/>
            </w:rPr>
          </w:pPr>
          <w:r w:rsidRPr="00096248">
            <w:rPr>
              <w:rFonts w:cs="Arial"/>
              <w:b/>
              <w:szCs w:val="24"/>
            </w:rPr>
            <w:t>Sujeto Obligado:</w:t>
          </w:r>
        </w:p>
      </w:tc>
      <w:tc>
        <w:tcPr>
          <w:tcW w:w="4395" w:type="dxa"/>
          <w:hideMark/>
        </w:tcPr>
        <w:p w14:paraId="371EB5AF" w14:textId="77777777" w:rsidR="00E02E32" w:rsidRPr="00096248" w:rsidRDefault="00E02E32" w:rsidP="00E6703A">
          <w:pPr>
            <w:spacing w:after="120" w:line="240" w:lineRule="auto"/>
            <w:ind w:left="-81" w:right="71"/>
            <w:jc w:val="right"/>
            <w:rPr>
              <w:rFonts w:cs="Arial"/>
              <w:szCs w:val="24"/>
            </w:rPr>
          </w:pPr>
          <w:r>
            <w:rPr>
              <w:bCs/>
              <w:color w:val="000000"/>
              <w:szCs w:val="24"/>
            </w:rPr>
            <w:t xml:space="preserve">Ayuntamiento de </w:t>
          </w:r>
          <w:proofErr w:type="spellStart"/>
          <w:r>
            <w:rPr>
              <w:bCs/>
              <w:color w:val="000000"/>
              <w:szCs w:val="24"/>
            </w:rPr>
            <w:t>Ocoyoacac</w:t>
          </w:r>
          <w:proofErr w:type="spellEnd"/>
        </w:p>
      </w:tc>
    </w:tr>
    <w:tr w:rsidR="00E02E32" w:rsidRPr="00F63239" w14:paraId="611A46CF" w14:textId="77777777" w:rsidTr="00E02E32">
      <w:trPr>
        <w:trHeight w:val="342"/>
      </w:trPr>
      <w:tc>
        <w:tcPr>
          <w:tcW w:w="5103" w:type="dxa"/>
          <w:hideMark/>
        </w:tcPr>
        <w:p w14:paraId="42BB39BB" w14:textId="77777777" w:rsidR="00E02E32" w:rsidRPr="00096248" w:rsidRDefault="00E02E32" w:rsidP="00F77945">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23A29F6A" w14:textId="77777777" w:rsidR="00E02E32" w:rsidRDefault="00E02E32" w:rsidP="00F77945">
          <w:pPr>
            <w:spacing w:after="120" w:line="240" w:lineRule="auto"/>
            <w:ind w:left="-486" w:right="71" w:firstLine="567"/>
            <w:jc w:val="right"/>
            <w:rPr>
              <w:rFonts w:cs="Arial"/>
              <w:szCs w:val="24"/>
            </w:rPr>
          </w:pPr>
          <w:r w:rsidRPr="00096248">
            <w:rPr>
              <w:rFonts w:cs="Arial"/>
              <w:szCs w:val="24"/>
            </w:rPr>
            <w:t>José Martínez Vilchis</w:t>
          </w:r>
        </w:p>
        <w:p w14:paraId="30CA6F3D" w14:textId="77777777" w:rsidR="00E02E32" w:rsidRPr="00711916" w:rsidRDefault="00E02E32" w:rsidP="00F77945">
          <w:pPr>
            <w:spacing w:after="120" w:line="240" w:lineRule="auto"/>
            <w:ind w:left="-486" w:right="71" w:firstLine="567"/>
            <w:jc w:val="right"/>
            <w:rPr>
              <w:rFonts w:cs="Arial"/>
              <w:sz w:val="2"/>
              <w:szCs w:val="2"/>
            </w:rPr>
          </w:pPr>
        </w:p>
      </w:tc>
    </w:tr>
  </w:tbl>
  <w:p w14:paraId="481B5043" w14:textId="77777777" w:rsidR="00E02E32" w:rsidRPr="00871A91" w:rsidRDefault="00D86784">
    <w:pPr>
      <w:pStyle w:val="Encabezado"/>
      <w:rPr>
        <w:sz w:val="2"/>
      </w:rPr>
    </w:pPr>
    <w:r>
      <w:rPr>
        <w:noProof/>
        <w:lang w:val="es-MX" w:eastAsia="es-MX"/>
      </w:rPr>
      <w:pict w14:anchorId="06308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4pt;margin-top:-141.3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166BB" w14:textId="77777777" w:rsidR="00E02E32" w:rsidRDefault="00E02E32">
    <w:pPr>
      <w:pStyle w:val="Encabezado"/>
    </w:pPr>
  </w:p>
  <w:tbl>
    <w:tblPr>
      <w:tblW w:w="9356" w:type="dxa"/>
      <w:tblLayout w:type="fixed"/>
      <w:tblCellMar>
        <w:left w:w="70" w:type="dxa"/>
        <w:right w:w="70" w:type="dxa"/>
      </w:tblCellMar>
      <w:tblLook w:val="04A0" w:firstRow="1" w:lastRow="0" w:firstColumn="1" w:lastColumn="0" w:noHBand="0" w:noVBand="1"/>
    </w:tblPr>
    <w:tblGrid>
      <w:gridCol w:w="5103"/>
      <w:gridCol w:w="4253"/>
    </w:tblGrid>
    <w:tr w:rsidR="00E02E32" w14:paraId="6B95A0EB" w14:textId="77777777" w:rsidTr="00F77945">
      <w:trPr>
        <w:trHeight w:val="227"/>
      </w:trPr>
      <w:tc>
        <w:tcPr>
          <w:tcW w:w="5103" w:type="dxa"/>
          <w:hideMark/>
        </w:tcPr>
        <w:p w14:paraId="3B2EDC3D" w14:textId="77777777" w:rsidR="00E02E32" w:rsidRPr="00663A37" w:rsidRDefault="00E02E32" w:rsidP="00F77945">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253" w:type="dxa"/>
          <w:hideMark/>
        </w:tcPr>
        <w:p w14:paraId="0FC3F4DE" w14:textId="77777777" w:rsidR="00E02E32" w:rsidRPr="00C81ECD" w:rsidRDefault="00E02E32" w:rsidP="00F77945">
          <w:pPr>
            <w:spacing w:after="120" w:line="240" w:lineRule="auto"/>
            <w:ind w:left="-486" w:right="68" w:firstLine="558"/>
            <w:jc w:val="right"/>
            <w:rPr>
              <w:rFonts w:cs="Arial"/>
              <w:b/>
              <w:szCs w:val="24"/>
            </w:rPr>
          </w:pPr>
          <w:r>
            <w:rPr>
              <w:rFonts w:cs="Arial"/>
              <w:b/>
              <w:bCs/>
              <w:szCs w:val="24"/>
            </w:rPr>
            <w:t>06560/INFOEM/IP/RR/2023</w:t>
          </w:r>
        </w:p>
      </w:tc>
    </w:tr>
    <w:tr w:rsidR="00E02E32" w:rsidRPr="001F57CD" w14:paraId="538C14F1" w14:textId="77777777" w:rsidTr="00F77945">
      <w:trPr>
        <w:trHeight w:val="196"/>
      </w:trPr>
      <w:tc>
        <w:tcPr>
          <w:tcW w:w="5103" w:type="dxa"/>
          <w:hideMark/>
        </w:tcPr>
        <w:p w14:paraId="664B4105" w14:textId="77777777" w:rsidR="00E02E32" w:rsidRPr="00663A37" w:rsidRDefault="00E02E32" w:rsidP="00F77945">
          <w:pPr>
            <w:spacing w:after="120" w:line="240" w:lineRule="auto"/>
            <w:ind w:right="68"/>
            <w:jc w:val="right"/>
            <w:rPr>
              <w:rFonts w:cs="Arial"/>
              <w:b/>
              <w:szCs w:val="24"/>
            </w:rPr>
          </w:pPr>
          <w:r w:rsidRPr="00663A37">
            <w:rPr>
              <w:rFonts w:cs="Arial"/>
              <w:b/>
              <w:szCs w:val="24"/>
            </w:rPr>
            <w:t>Recurrente:</w:t>
          </w:r>
          <w:r>
            <w:rPr>
              <w:rFonts w:cs="Arial"/>
              <w:b/>
              <w:szCs w:val="24"/>
            </w:rPr>
            <w:t xml:space="preserve">     </w:t>
          </w:r>
        </w:p>
      </w:tc>
      <w:tc>
        <w:tcPr>
          <w:tcW w:w="4253" w:type="dxa"/>
          <w:hideMark/>
        </w:tcPr>
        <w:p w14:paraId="700A3B26" w14:textId="407A633D" w:rsidR="00E02E32" w:rsidRPr="00663A37" w:rsidRDefault="00D86784" w:rsidP="00F77945">
          <w:pPr>
            <w:spacing w:after="120" w:line="240" w:lineRule="auto"/>
            <w:ind w:right="68"/>
            <w:jc w:val="right"/>
            <w:rPr>
              <w:rFonts w:cs="Arial"/>
              <w:szCs w:val="24"/>
            </w:rPr>
          </w:pPr>
          <w:r>
            <w:rPr>
              <w:rFonts w:cs="Arial"/>
              <w:szCs w:val="24"/>
            </w:rPr>
            <w:t>XXXXXXXXXXXXXXXXXX</w:t>
          </w:r>
        </w:p>
      </w:tc>
    </w:tr>
    <w:tr w:rsidR="00E02E32" w14:paraId="07E7D3C7" w14:textId="77777777" w:rsidTr="00F77945">
      <w:trPr>
        <w:trHeight w:val="242"/>
      </w:trPr>
      <w:tc>
        <w:tcPr>
          <w:tcW w:w="5103" w:type="dxa"/>
          <w:hideMark/>
        </w:tcPr>
        <w:p w14:paraId="400C505F" w14:textId="77777777" w:rsidR="00E02E32" w:rsidRPr="00663A37" w:rsidRDefault="00E02E32" w:rsidP="00F77945">
          <w:pPr>
            <w:spacing w:after="120" w:line="240" w:lineRule="auto"/>
            <w:ind w:right="68"/>
            <w:jc w:val="right"/>
            <w:rPr>
              <w:rFonts w:cs="Arial"/>
              <w:b/>
              <w:szCs w:val="24"/>
            </w:rPr>
          </w:pPr>
          <w:r w:rsidRPr="00663A37">
            <w:rPr>
              <w:rFonts w:cs="Arial"/>
              <w:b/>
              <w:szCs w:val="24"/>
            </w:rPr>
            <w:t>Sujeto Obligado:</w:t>
          </w:r>
        </w:p>
      </w:tc>
      <w:tc>
        <w:tcPr>
          <w:tcW w:w="4253" w:type="dxa"/>
          <w:hideMark/>
        </w:tcPr>
        <w:p w14:paraId="337418CA" w14:textId="77777777" w:rsidR="00E02E32" w:rsidRPr="00F77945" w:rsidRDefault="00E02E32" w:rsidP="00E6703A">
          <w:pPr>
            <w:spacing w:after="120" w:line="240" w:lineRule="auto"/>
            <w:ind w:left="-70" w:right="68"/>
            <w:jc w:val="right"/>
            <w:rPr>
              <w:rFonts w:cs="Arial"/>
              <w:szCs w:val="24"/>
            </w:rPr>
          </w:pPr>
          <w:r>
            <w:rPr>
              <w:bCs/>
              <w:color w:val="000000"/>
              <w:szCs w:val="24"/>
            </w:rPr>
            <w:t xml:space="preserve">Ayuntamiento de </w:t>
          </w:r>
          <w:proofErr w:type="spellStart"/>
          <w:r>
            <w:rPr>
              <w:bCs/>
              <w:color w:val="000000"/>
              <w:szCs w:val="24"/>
            </w:rPr>
            <w:t>Ocoyoacac</w:t>
          </w:r>
          <w:proofErr w:type="spellEnd"/>
        </w:p>
      </w:tc>
    </w:tr>
    <w:tr w:rsidR="00E02E32" w14:paraId="161D8E64" w14:textId="77777777" w:rsidTr="00F77945">
      <w:trPr>
        <w:trHeight w:val="342"/>
      </w:trPr>
      <w:tc>
        <w:tcPr>
          <w:tcW w:w="5103" w:type="dxa"/>
          <w:hideMark/>
        </w:tcPr>
        <w:p w14:paraId="63B43D53" w14:textId="77777777" w:rsidR="00E02E32" w:rsidRPr="00663A37" w:rsidRDefault="00E02E32" w:rsidP="00F77945">
          <w:pPr>
            <w:tabs>
              <w:tab w:val="left" w:pos="4892"/>
            </w:tabs>
            <w:spacing w:after="120" w:line="240" w:lineRule="auto"/>
            <w:ind w:right="68"/>
            <w:jc w:val="right"/>
            <w:rPr>
              <w:rFonts w:cs="Arial"/>
              <w:b/>
              <w:szCs w:val="24"/>
            </w:rPr>
          </w:pPr>
          <w:r w:rsidRPr="00663A37">
            <w:rPr>
              <w:rFonts w:cs="Arial"/>
              <w:b/>
              <w:szCs w:val="24"/>
            </w:rPr>
            <w:t>Comisionado Ponente:</w:t>
          </w:r>
        </w:p>
      </w:tc>
      <w:tc>
        <w:tcPr>
          <w:tcW w:w="4253" w:type="dxa"/>
          <w:hideMark/>
        </w:tcPr>
        <w:p w14:paraId="14A196A9" w14:textId="77777777" w:rsidR="00E02E32" w:rsidRPr="00663A37" w:rsidRDefault="00E02E32" w:rsidP="00F77945">
          <w:pPr>
            <w:spacing w:after="120" w:line="240" w:lineRule="auto"/>
            <w:ind w:left="-486" w:right="68" w:firstLine="567"/>
            <w:jc w:val="right"/>
            <w:rPr>
              <w:rFonts w:cs="Arial"/>
              <w:szCs w:val="24"/>
            </w:rPr>
          </w:pPr>
          <w:r w:rsidRPr="00663A37">
            <w:rPr>
              <w:rFonts w:cs="Arial"/>
              <w:szCs w:val="24"/>
            </w:rPr>
            <w:t>José Martínez Vilchis</w:t>
          </w:r>
        </w:p>
      </w:tc>
    </w:tr>
  </w:tbl>
  <w:p w14:paraId="06EC4043" w14:textId="77777777" w:rsidR="00E02E32" w:rsidRPr="00871A91" w:rsidRDefault="00D86784">
    <w:pPr>
      <w:pStyle w:val="Encabezado"/>
      <w:rPr>
        <w:sz w:val="2"/>
      </w:rPr>
    </w:pPr>
    <w:r>
      <w:rPr>
        <w:noProof/>
        <w:sz w:val="2"/>
        <w:lang w:val="es-MX" w:eastAsia="es-MX"/>
        <w14:ligatures w14:val="standardContextual"/>
      </w:rPr>
      <w:pict w14:anchorId="0DED1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0;text-align:left;margin-left:-69.55pt;margin-top:-130.95pt;width:609.4pt;height:793.75pt;z-index:-251655168;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1580A"/>
    <w:multiLevelType w:val="hybridMultilevel"/>
    <w:tmpl w:val="515CAD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1FBA60E1"/>
    <w:multiLevelType w:val="hybridMultilevel"/>
    <w:tmpl w:val="2A62481A"/>
    <w:lvl w:ilvl="0" w:tplc="087AAEF6">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2DA70A11"/>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30543778"/>
    <w:multiLevelType w:val="hybridMultilevel"/>
    <w:tmpl w:val="E3E0C432"/>
    <w:lvl w:ilvl="0" w:tplc="FF668BF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420E5A80"/>
    <w:multiLevelType w:val="hybridMultilevel"/>
    <w:tmpl w:val="5426BDD4"/>
    <w:lvl w:ilvl="0" w:tplc="A4026EB4">
      <w:start w:val="1"/>
      <w:numFmt w:val="decimal"/>
      <w:lvlText w:val="%1."/>
      <w:lvlJc w:val="left"/>
      <w:pPr>
        <w:ind w:left="1431" w:hanging="360"/>
      </w:pPr>
      <w:rPr>
        <w:rFonts w:hint="default"/>
      </w:rPr>
    </w:lvl>
    <w:lvl w:ilvl="1" w:tplc="080A0019" w:tentative="1">
      <w:start w:val="1"/>
      <w:numFmt w:val="lowerLetter"/>
      <w:lvlText w:val="%2."/>
      <w:lvlJc w:val="left"/>
      <w:pPr>
        <w:ind w:left="2151" w:hanging="360"/>
      </w:pPr>
    </w:lvl>
    <w:lvl w:ilvl="2" w:tplc="080A001B" w:tentative="1">
      <w:start w:val="1"/>
      <w:numFmt w:val="lowerRoman"/>
      <w:lvlText w:val="%3."/>
      <w:lvlJc w:val="right"/>
      <w:pPr>
        <w:ind w:left="2871" w:hanging="180"/>
      </w:pPr>
    </w:lvl>
    <w:lvl w:ilvl="3" w:tplc="080A000F" w:tentative="1">
      <w:start w:val="1"/>
      <w:numFmt w:val="decimal"/>
      <w:lvlText w:val="%4."/>
      <w:lvlJc w:val="left"/>
      <w:pPr>
        <w:ind w:left="3591" w:hanging="360"/>
      </w:pPr>
    </w:lvl>
    <w:lvl w:ilvl="4" w:tplc="080A0019" w:tentative="1">
      <w:start w:val="1"/>
      <w:numFmt w:val="lowerLetter"/>
      <w:lvlText w:val="%5."/>
      <w:lvlJc w:val="left"/>
      <w:pPr>
        <w:ind w:left="4311" w:hanging="360"/>
      </w:pPr>
    </w:lvl>
    <w:lvl w:ilvl="5" w:tplc="080A001B" w:tentative="1">
      <w:start w:val="1"/>
      <w:numFmt w:val="lowerRoman"/>
      <w:lvlText w:val="%6."/>
      <w:lvlJc w:val="right"/>
      <w:pPr>
        <w:ind w:left="5031" w:hanging="180"/>
      </w:pPr>
    </w:lvl>
    <w:lvl w:ilvl="6" w:tplc="080A000F" w:tentative="1">
      <w:start w:val="1"/>
      <w:numFmt w:val="decimal"/>
      <w:lvlText w:val="%7."/>
      <w:lvlJc w:val="left"/>
      <w:pPr>
        <w:ind w:left="5751" w:hanging="360"/>
      </w:pPr>
    </w:lvl>
    <w:lvl w:ilvl="7" w:tplc="080A0019" w:tentative="1">
      <w:start w:val="1"/>
      <w:numFmt w:val="lowerLetter"/>
      <w:lvlText w:val="%8."/>
      <w:lvlJc w:val="left"/>
      <w:pPr>
        <w:ind w:left="6471" w:hanging="360"/>
      </w:pPr>
    </w:lvl>
    <w:lvl w:ilvl="8" w:tplc="080A001B" w:tentative="1">
      <w:start w:val="1"/>
      <w:numFmt w:val="lowerRoman"/>
      <w:lvlText w:val="%9."/>
      <w:lvlJc w:val="right"/>
      <w:pPr>
        <w:ind w:left="7191" w:hanging="180"/>
      </w:pPr>
    </w:lvl>
  </w:abstractNum>
  <w:abstractNum w:abstractNumId="6">
    <w:nsid w:val="49F9093B"/>
    <w:multiLevelType w:val="hybridMultilevel"/>
    <w:tmpl w:val="DB723316"/>
    <w:lvl w:ilvl="0" w:tplc="B31837AA">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3F406B1"/>
    <w:multiLevelType w:val="hybridMultilevel"/>
    <w:tmpl w:val="E2AA56B4"/>
    <w:lvl w:ilvl="0" w:tplc="C89821AA">
      <w:start w:val="53"/>
      <w:numFmt w:val="bullet"/>
      <w:lvlText w:val=""/>
      <w:lvlJc w:val="left"/>
      <w:pPr>
        <w:ind w:left="780" w:hanging="360"/>
      </w:pPr>
      <w:rPr>
        <w:rFonts w:ascii="Symbol" w:eastAsia="Times New Roman" w:hAnsi="Symbol" w:cs="Times New Roman"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nsid w:val="576D49CA"/>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6EFA2B1A"/>
    <w:multiLevelType w:val="hybridMultilevel"/>
    <w:tmpl w:val="FFFFFFFF"/>
    <w:lvl w:ilvl="0" w:tplc="8AAA2ED4">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72840C5A"/>
    <w:multiLevelType w:val="hybridMultilevel"/>
    <w:tmpl w:val="420070A0"/>
    <w:lvl w:ilvl="0" w:tplc="ED382E14">
      <w:start w:val="1"/>
      <w:numFmt w:val="decimal"/>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1">
    <w:nsid w:val="7D7F3A64"/>
    <w:multiLevelType w:val="hybridMultilevel"/>
    <w:tmpl w:val="7C5EB3C4"/>
    <w:lvl w:ilvl="0" w:tplc="09764048">
      <w:start w:val="4"/>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45"/>
    <w:rsid w:val="00073E58"/>
    <w:rsid w:val="000D1BBA"/>
    <w:rsid w:val="00197291"/>
    <w:rsid w:val="00245FB3"/>
    <w:rsid w:val="004C77A2"/>
    <w:rsid w:val="00587992"/>
    <w:rsid w:val="005C7A30"/>
    <w:rsid w:val="0061261B"/>
    <w:rsid w:val="006D7E6A"/>
    <w:rsid w:val="0070643B"/>
    <w:rsid w:val="00711CB9"/>
    <w:rsid w:val="00857F8C"/>
    <w:rsid w:val="008720B7"/>
    <w:rsid w:val="0089555E"/>
    <w:rsid w:val="009873E4"/>
    <w:rsid w:val="00A52C74"/>
    <w:rsid w:val="00A739E5"/>
    <w:rsid w:val="00AE52C8"/>
    <w:rsid w:val="00B26438"/>
    <w:rsid w:val="00B85944"/>
    <w:rsid w:val="00CC2A8D"/>
    <w:rsid w:val="00CF626F"/>
    <w:rsid w:val="00D44D26"/>
    <w:rsid w:val="00D72000"/>
    <w:rsid w:val="00D86784"/>
    <w:rsid w:val="00E02E32"/>
    <w:rsid w:val="00E42356"/>
    <w:rsid w:val="00E6703A"/>
    <w:rsid w:val="00E97188"/>
    <w:rsid w:val="00EB29B3"/>
    <w:rsid w:val="00F00A7D"/>
    <w:rsid w:val="00F779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033A4F"/>
  <w15:chartTrackingRefBased/>
  <w15:docId w15:val="{F246FBEB-2EC0-4F80-BA9D-EBDAB005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945"/>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F77945"/>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F77945"/>
    <w:pPr>
      <w:keepNext/>
      <w:keepLines/>
      <w:outlineLvl w:val="1"/>
    </w:pPr>
    <w:rPr>
      <w:rFonts w:eastAsiaTheme="majorEastAsia" w:cstheme="majorBidi"/>
      <w:b/>
      <w:color w:val="000000" w:themeColor="tex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F77945"/>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F77945"/>
    <w:rPr>
      <w:rFonts w:ascii="Palatino Linotype" w:eastAsiaTheme="majorEastAsia" w:hAnsi="Palatino Linotype" w:cstheme="majorBidi"/>
      <w:b/>
      <w:color w:val="000000" w:themeColor="text1"/>
      <w:sz w:val="26"/>
      <w:szCs w:val="26"/>
      <w:lang w:val="es-ES_tradnl" w:eastAsia="es-MX"/>
    </w:rPr>
  </w:style>
  <w:style w:type="paragraph" w:styleId="Encabezado">
    <w:name w:val="header"/>
    <w:basedOn w:val="Normal"/>
    <w:link w:val="EncabezadoCar"/>
    <w:uiPriority w:val="99"/>
    <w:unhideWhenUsed/>
    <w:rsid w:val="00F77945"/>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77945"/>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77945"/>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77945"/>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77945"/>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77945"/>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77945"/>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77945"/>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F77945"/>
    <w:rPr>
      <w:color w:val="0563C1" w:themeColor="hyperlink"/>
      <w:u w:val="single"/>
    </w:rPr>
  </w:style>
  <w:style w:type="paragraph" w:customStyle="1" w:styleId="Fundamentos">
    <w:name w:val="Fundamentos"/>
    <w:basedOn w:val="Normal"/>
    <w:qFormat/>
    <w:rsid w:val="00F77945"/>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styleId="Sinespaciado">
    <w:name w:val="No Spacing"/>
    <w:aliases w:val="Francesa,INAI"/>
    <w:link w:val="SinespaciadoCar"/>
    <w:uiPriority w:val="1"/>
    <w:qFormat/>
    <w:rsid w:val="00F77945"/>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F7794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66182">
      <w:bodyDiv w:val="1"/>
      <w:marLeft w:val="0"/>
      <w:marRight w:val="0"/>
      <w:marTop w:val="0"/>
      <w:marBottom w:val="0"/>
      <w:divBdr>
        <w:top w:val="none" w:sz="0" w:space="0" w:color="auto"/>
        <w:left w:val="none" w:sz="0" w:space="0" w:color="auto"/>
        <w:bottom w:val="none" w:sz="0" w:space="0" w:color="auto"/>
        <w:right w:val="none" w:sz="0" w:space="0" w:color="auto"/>
      </w:divBdr>
    </w:div>
    <w:div w:id="151437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482FB16C984B6B927204498623FF92"/>
        <w:category>
          <w:name w:val="General"/>
          <w:gallery w:val="placeholder"/>
        </w:category>
        <w:types>
          <w:type w:val="bbPlcHdr"/>
        </w:types>
        <w:behaviors>
          <w:behavior w:val="content"/>
        </w:behaviors>
        <w:guid w:val="{E8E485B1-1792-417C-BA52-7AD9FA2A8C97}"/>
      </w:docPartPr>
      <w:docPartBody>
        <w:p w:rsidR="00DF78A6" w:rsidRDefault="00495FAE" w:rsidP="00495FAE">
          <w:pPr>
            <w:pStyle w:val="A7482FB16C984B6B927204498623FF92"/>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AE"/>
    <w:rsid w:val="00495FAE"/>
    <w:rsid w:val="00546C1E"/>
    <w:rsid w:val="006B7022"/>
    <w:rsid w:val="006E3C79"/>
    <w:rsid w:val="007449CB"/>
    <w:rsid w:val="00C156E8"/>
    <w:rsid w:val="00DF78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7482FB16C984B6B927204498623FF92">
    <w:name w:val="A7482FB16C984B6B927204498623FF92"/>
    <w:rsid w:val="00495F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36</Pages>
  <Words>8421</Words>
  <Characters>46320</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INFOEM557</cp:lastModifiedBy>
  <cp:revision>6</cp:revision>
  <cp:lastPrinted>2024-02-01T18:56:00Z</cp:lastPrinted>
  <dcterms:created xsi:type="dcterms:W3CDTF">2024-01-31T23:01:00Z</dcterms:created>
  <dcterms:modified xsi:type="dcterms:W3CDTF">2024-02-08T14:49:00Z</dcterms:modified>
</cp:coreProperties>
</file>