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B7D18"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abril de dos mil veinticuatro. </w:t>
      </w:r>
    </w:p>
    <w:p w14:paraId="608AF2C9" w14:textId="757C425D"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VISTO</w:t>
      </w:r>
      <w:r w:rsidRPr="00CA39B3">
        <w:rPr>
          <w:rFonts w:ascii="Palatino Linotype" w:eastAsia="Palatino Linotype" w:hAnsi="Palatino Linotype" w:cs="Palatino Linotype"/>
        </w:rPr>
        <w:t xml:space="preserve"> el expediente formado con motivo del recurso de revisión </w:t>
      </w:r>
      <w:r w:rsidRPr="00CA39B3">
        <w:rPr>
          <w:rFonts w:ascii="Palatino Linotype" w:eastAsia="Palatino Linotype" w:hAnsi="Palatino Linotype" w:cs="Palatino Linotype"/>
          <w:b/>
        </w:rPr>
        <w:t>05429/INFOEM/IP/RR/2023</w:t>
      </w:r>
      <w:r w:rsidRPr="00CA39B3">
        <w:rPr>
          <w:rFonts w:ascii="Palatino Linotype" w:eastAsia="Palatino Linotype" w:hAnsi="Palatino Linotype" w:cs="Palatino Linotype"/>
        </w:rPr>
        <w:t>, interpuesto por</w:t>
      </w:r>
      <w:r w:rsidRPr="00CA39B3">
        <w:rPr>
          <w:rFonts w:ascii="Palatino Linotype" w:eastAsia="Palatino Linotype" w:hAnsi="Palatino Linotype" w:cs="Palatino Linotype"/>
          <w:b/>
        </w:rPr>
        <w:t xml:space="preserve"> </w:t>
      </w:r>
      <w:r w:rsidR="008B5AC0">
        <w:rPr>
          <w:rFonts w:ascii="Palatino Linotype" w:eastAsia="Palatino Linotype" w:hAnsi="Palatino Linotype" w:cs="Palatino Linotype"/>
          <w:b/>
        </w:rPr>
        <w:t>XXXXXXX XXXXXXXX XXXX</w:t>
      </w:r>
      <w:r w:rsidRPr="00CA39B3">
        <w:rPr>
          <w:rFonts w:ascii="Palatino Linotype" w:eastAsia="Palatino Linotype" w:hAnsi="Palatino Linotype" w:cs="Palatino Linotype"/>
          <w:b/>
        </w:rPr>
        <w:t>,</w:t>
      </w:r>
      <w:r w:rsidRPr="00CA39B3">
        <w:rPr>
          <w:rFonts w:ascii="Palatino Linotype" w:eastAsia="Palatino Linotype" w:hAnsi="Palatino Linotype" w:cs="Palatino Linotype"/>
        </w:rPr>
        <w:t xml:space="preserve"> en lo sucesivo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xml:space="preserve"> en contra de la respuesta a su solicitud de información con número de folio</w:t>
      </w:r>
      <w:r w:rsidRPr="00CA39B3">
        <w:rPr>
          <w:rFonts w:ascii="Palatino Linotype" w:eastAsia="Palatino Linotype" w:hAnsi="Palatino Linotype" w:cs="Palatino Linotype"/>
          <w:b/>
        </w:rPr>
        <w:t xml:space="preserve"> 00101/TEZOYUCA/IP/2023, </w:t>
      </w:r>
      <w:r w:rsidRPr="00CA39B3">
        <w:rPr>
          <w:rFonts w:ascii="Palatino Linotype" w:eastAsia="Palatino Linotype" w:hAnsi="Palatino Linotype" w:cs="Palatino Linotype"/>
        </w:rPr>
        <w:t xml:space="preserve">por parte del </w:t>
      </w:r>
      <w:r w:rsidRPr="00CA39B3">
        <w:rPr>
          <w:rFonts w:ascii="Palatino Linotype" w:eastAsia="Palatino Linotype" w:hAnsi="Palatino Linotype" w:cs="Palatino Linotype"/>
          <w:b/>
        </w:rPr>
        <w:t xml:space="preserve">Ayuntamiento de Tezoyuca, </w:t>
      </w:r>
      <w:r w:rsidRPr="00CA39B3">
        <w:rPr>
          <w:rFonts w:ascii="Palatino Linotype" w:eastAsia="Palatino Linotype" w:hAnsi="Palatino Linotype" w:cs="Palatino Linotype"/>
        </w:rPr>
        <w:t xml:space="preserve">en lo sucesivo el </w:t>
      </w:r>
      <w:r w:rsidRPr="00CA39B3">
        <w:rPr>
          <w:rFonts w:ascii="Palatino Linotype" w:eastAsia="Palatino Linotype" w:hAnsi="Palatino Linotype" w:cs="Palatino Linotype"/>
          <w:b/>
        </w:rPr>
        <w:t xml:space="preserve">SUJETO OBLIGADO, </w:t>
      </w:r>
      <w:r w:rsidRPr="00CA39B3">
        <w:rPr>
          <w:rFonts w:ascii="Palatino Linotype" w:eastAsia="Palatino Linotype" w:hAnsi="Palatino Linotype" w:cs="Palatino Linotype"/>
        </w:rPr>
        <w:t xml:space="preserve">se procede a dictar la presente resolución con base en los siguientes: </w:t>
      </w:r>
    </w:p>
    <w:p w14:paraId="4D90E69B" w14:textId="77777777" w:rsidR="004201D9" w:rsidRPr="00CA39B3" w:rsidRDefault="000668C9">
      <w:pPr>
        <w:spacing w:before="240" w:after="240" w:line="360" w:lineRule="auto"/>
        <w:jc w:val="center"/>
        <w:rPr>
          <w:rFonts w:ascii="Palatino Linotype" w:eastAsia="Palatino Linotype" w:hAnsi="Palatino Linotype" w:cs="Palatino Linotype"/>
          <w:b/>
        </w:rPr>
      </w:pPr>
      <w:r w:rsidRPr="00CA39B3">
        <w:rPr>
          <w:rFonts w:ascii="Palatino Linotype" w:eastAsia="Palatino Linotype" w:hAnsi="Palatino Linotype" w:cs="Palatino Linotype"/>
          <w:b/>
        </w:rPr>
        <w:t>I. A N T E C E D E N T E S</w:t>
      </w:r>
    </w:p>
    <w:p w14:paraId="4AEB9D21"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1. Solicitud de acceso a la información.</w:t>
      </w:r>
      <w:r w:rsidRPr="00CA39B3">
        <w:rPr>
          <w:rFonts w:ascii="Palatino Linotype" w:eastAsia="Palatino Linotype" w:hAnsi="Palatino Linotype" w:cs="Palatino Linotype"/>
        </w:rPr>
        <w:t xml:space="preserve"> Con fecha </w:t>
      </w:r>
      <w:r w:rsidRPr="00CA39B3">
        <w:rPr>
          <w:rFonts w:ascii="Palatino Linotype" w:eastAsia="Palatino Linotype" w:hAnsi="Palatino Linotype" w:cs="Palatino Linotype"/>
          <w:b/>
        </w:rPr>
        <w:t>catorce de agosto de dos mil veintitrés,</w:t>
      </w:r>
      <w:r w:rsidRPr="00CA39B3">
        <w:rPr>
          <w:rFonts w:ascii="Palatino Linotype" w:eastAsia="Palatino Linotype" w:hAnsi="Palatino Linotype" w:cs="Palatino Linotype"/>
        </w:rPr>
        <w:t xml:space="preserve"> la parte </w:t>
      </w:r>
      <w:r w:rsidRPr="00CA39B3">
        <w:rPr>
          <w:rFonts w:ascii="Palatino Linotype" w:eastAsia="Palatino Linotype" w:hAnsi="Palatino Linotype" w:cs="Palatino Linotype"/>
          <w:b/>
        </w:rPr>
        <w:t xml:space="preserve">RECURRENTE </w:t>
      </w:r>
      <w:r w:rsidRPr="00CA39B3">
        <w:rPr>
          <w:rFonts w:ascii="Palatino Linotype" w:eastAsia="Palatino Linotype" w:hAnsi="Palatino Linotype" w:cs="Palatino Linotype"/>
        </w:rPr>
        <w:t xml:space="preserve">presentó, a través del Sistema de Acceso a la Información Mexiquense, en lo subsecuente el </w:t>
      </w:r>
      <w:r w:rsidRPr="00CA39B3">
        <w:rPr>
          <w:rFonts w:ascii="Palatino Linotype" w:eastAsia="Palatino Linotype" w:hAnsi="Palatino Linotype" w:cs="Palatino Linotype"/>
          <w:b/>
        </w:rPr>
        <w:t>SAIMEX,</w:t>
      </w:r>
      <w:r w:rsidRPr="00CA39B3">
        <w:rPr>
          <w:rFonts w:ascii="Palatino Linotype" w:eastAsia="Palatino Linotype" w:hAnsi="Palatino Linotype" w:cs="Palatino Linotype"/>
        </w:rPr>
        <w:t xml:space="preserve"> ante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la solicitud de acceso a la información pública</w:t>
      </w:r>
      <w:r w:rsidRPr="00CA39B3">
        <w:rPr>
          <w:rFonts w:ascii="Palatino Linotype" w:eastAsia="Palatino Linotype" w:hAnsi="Palatino Linotype" w:cs="Palatino Linotype"/>
          <w:b/>
        </w:rPr>
        <w:t xml:space="preserve">, </w:t>
      </w:r>
      <w:r w:rsidRPr="00CA39B3">
        <w:rPr>
          <w:rFonts w:ascii="Palatino Linotype" w:eastAsia="Palatino Linotype" w:hAnsi="Palatino Linotype" w:cs="Palatino Linotype"/>
        </w:rPr>
        <w:t xml:space="preserve">mediante la cual requirió la información siguiente: </w:t>
      </w:r>
    </w:p>
    <w:p w14:paraId="4BF7C624" w14:textId="77777777" w:rsidR="004201D9" w:rsidRPr="00CA39B3" w:rsidRDefault="000668C9">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CA39B3">
        <w:rPr>
          <w:rFonts w:ascii="Palatino Linotype" w:eastAsia="Palatino Linotype" w:hAnsi="Palatino Linotype" w:cs="Palatino Linotype"/>
          <w:i/>
          <w:sz w:val="22"/>
          <w:szCs w:val="22"/>
        </w:rPr>
        <w:t>“SE ME INFORME A QUE PERSONA FÍSICA O JURÍDICA COLECTIVA (MORAL) LE COMPRAN EL MATERIAL DE OFICINA, ES DECIR, TODO AQUEL MATERIAL CON EL QUE TRABAJA EL PERSONAL ADMINISTRATIVO, CADA CUANTO LE SURTE EL MATERIAL AL AYUNTAMIENTO, COMO ES LA FORMA DE PAGO POR PARTE DEL AYUNTAMIENTO Y TOMANDO EN CUENTA DE QUE SE TRATA DE MATERIAL QUE SE SURTE AL AYUNTAMIENTO, EL PROCESO DE LICITACIÓN DONDE SE ACREDITE QUE FUE LA PERSONA CON MEJOR PRECIOS EN EL MATERIAL</w:t>
      </w:r>
      <w:r w:rsidRPr="00CA39B3">
        <w:rPr>
          <w:rFonts w:ascii="Palatino Linotype" w:eastAsia="Palatino Linotype" w:hAnsi="Palatino Linotype" w:cs="Palatino Linotype"/>
          <w:i/>
          <w:color w:val="C00000"/>
          <w:sz w:val="22"/>
          <w:szCs w:val="22"/>
        </w:rPr>
        <w:t xml:space="preserve"> </w:t>
      </w:r>
      <w:r w:rsidRPr="00CA39B3">
        <w:rPr>
          <w:rFonts w:ascii="Palatino Linotype" w:eastAsia="Palatino Linotype" w:hAnsi="Palatino Linotype" w:cs="Palatino Linotype"/>
          <w:i/>
          <w:sz w:val="22"/>
          <w:szCs w:val="22"/>
        </w:rPr>
        <w:t xml:space="preserve">O TODO AQUEL DOCUMENTO </w:t>
      </w:r>
      <w:r w:rsidRPr="00CA39B3">
        <w:rPr>
          <w:rFonts w:ascii="Palatino Linotype" w:eastAsia="Palatino Linotype" w:hAnsi="Palatino Linotype" w:cs="Palatino Linotype"/>
          <w:i/>
          <w:sz w:val="22"/>
          <w:szCs w:val="22"/>
        </w:rPr>
        <w:lastRenderedPageBreak/>
        <w:t>DONDE SE JUSTIFIQUE QUE LA PERSONA QUE SURTE EL MATERIAL ERA LA MEJOR OPCIÓN.” (Sic)</w:t>
      </w:r>
    </w:p>
    <w:p w14:paraId="7B793408" w14:textId="77777777" w:rsidR="004201D9" w:rsidRPr="00CA39B3" w:rsidRDefault="004201D9">
      <w:pPr>
        <w:spacing w:before="240"/>
        <w:ind w:left="851" w:right="902"/>
        <w:jc w:val="both"/>
        <w:rPr>
          <w:rFonts w:ascii="Palatino Linotype" w:eastAsia="Palatino Linotype" w:hAnsi="Palatino Linotype" w:cs="Palatino Linotype"/>
          <w:i/>
          <w:sz w:val="22"/>
          <w:szCs w:val="22"/>
        </w:rPr>
      </w:pPr>
    </w:p>
    <w:p w14:paraId="73CE18C1"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Modalidad de Entrega:</w:t>
      </w:r>
      <w:r w:rsidRPr="00CA39B3">
        <w:rPr>
          <w:rFonts w:ascii="Palatino Linotype" w:eastAsia="Palatino Linotype" w:hAnsi="Palatino Linotype" w:cs="Palatino Linotype"/>
        </w:rPr>
        <w:t xml:space="preserve"> A través de SAIMEX.</w:t>
      </w:r>
    </w:p>
    <w:p w14:paraId="44989C13" w14:textId="77777777" w:rsidR="004201D9" w:rsidRPr="00CA39B3" w:rsidRDefault="004201D9">
      <w:pPr>
        <w:spacing w:line="360" w:lineRule="auto"/>
        <w:jc w:val="both"/>
        <w:rPr>
          <w:rFonts w:ascii="Palatino Linotype" w:eastAsia="Palatino Linotype" w:hAnsi="Palatino Linotype" w:cs="Palatino Linotype"/>
        </w:rPr>
      </w:pPr>
    </w:p>
    <w:p w14:paraId="2DA85766" w14:textId="77777777" w:rsidR="004201D9" w:rsidRPr="00CA39B3" w:rsidRDefault="000668C9">
      <w:pPr>
        <w:spacing w:after="240" w:line="360" w:lineRule="auto"/>
        <w:jc w:val="both"/>
        <w:rPr>
          <w:rFonts w:ascii="Palatino Linotype" w:eastAsia="Palatino Linotype" w:hAnsi="Palatino Linotype" w:cs="Palatino Linotype"/>
          <w:b/>
        </w:rPr>
      </w:pPr>
      <w:r w:rsidRPr="00CA39B3">
        <w:rPr>
          <w:rFonts w:ascii="Palatino Linotype" w:eastAsia="Palatino Linotype" w:hAnsi="Palatino Linotype" w:cs="Palatino Linotype"/>
          <w:b/>
        </w:rPr>
        <w:t xml:space="preserve">2. Respuesta. </w:t>
      </w:r>
      <w:r w:rsidRPr="00CA39B3">
        <w:rPr>
          <w:rFonts w:ascii="Palatino Linotype" w:eastAsia="Palatino Linotype" w:hAnsi="Palatino Linotype" w:cs="Palatino Linotype"/>
        </w:rPr>
        <w:t xml:space="preserve">Con fecha </w:t>
      </w:r>
      <w:r w:rsidRPr="00CA39B3">
        <w:rPr>
          <w:rFonts w:ascii="Palatino Linotype" w:eastAsia="Palatino Linotype" w:hAnsi="Palatino Linotype" w:cs="Palatino Linotype"/>
          <w:b/>
        </w:rPr>
        <w:t>cuatro de septiembre de dos mil veintitrés</w:t>
      </w:r>
      <w:r w:rsidRPr="00CA39B3">
        <w:rPr>
          <w:rFonts w:ascii="Palatino Linotype" w:eastAsia="Palatino Linotype" w:hAnsi="Palatino Linotype" w:cs="Palatino Linotype"/>
        </w:rPr>
        <w:t xml:space="preserve">, el </w:t>
      </w:r>
      <w:r w:rsidRPr="00CA39B3">
        <w:rPr>
          <w:rFonts w:ascii="Palatino Linotype" w:eastAsia="Palatino Linotype" w:hAnsi="Palatino Linotype" w:cs="Palatino Linotype"/>
          <w:b/>
        </w:rPr>
        <w:t xml:space="preserve">SUJETO OBLIGADO </w:t>
      </w:r>
      <w:r w:rsidRPr="00CA39B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E2DBD5F" w14:textId="77777777" w:rsidR="004201D9" w:rsidRPr="00CA39B3" w:rsidRDefault="000668C9">
      <w:pPr>
        <w:spacing w:before="240"/>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“…Suscribe Lic. </w:t>
      </w:r>
      <w:proofErr w:type="spellStart"/>
      <w:r w:rsidRPr="00CA39B3">
        <w:rPr>
          <w:rFonts w:ascii="Palatino Linotype" w:eastAsia="Palatino Linotype" w:hAnsi="Palatino Linotype" w:cs="Palatino Linotype"/>
          <w:i/>
          <w:sz w:val="22"/>
          <w:szCs w:val="22"/>
        </w:rPr>
        <w:t>Maria</w:t>
      </w:r>
      <w:proofErr w:type="spellEnd"/>
      <w:r w:rsidRPr="00CA39B3">
        <w:rPr>
          <w:rFonts w:ascii="Palatino Linotype" w:eastAsia="Palatino Linotype" w:hAnsi="Palatino Linotype" w:cs="Palatino Linotype"/>
          <w:i/>
          <w:sz w:val="22"/>
          <w:szCs w:val="22"/>
        </w:rPr>
        <w:t xml:space="preserve"> Concepción Cruz Villafaña en mi carácter de Directora de la Unidad de Transparencia del H. Ayuntamiento de Tezoyuca, Estado de México le informo que su solicitud fue atendida y en este momento se le da una debida contestación en tiempo y en forma mediante un archivo PDF. sin </w:t>
      </w:r>
      <w:proofErr w:type="spellStart"/>
      <w:r w:rsidRPr="00CA39B3">
        <w:rPr>
          <w:rFonts w:ascii="Palatino Linotype" w:eastAsia="Palatino Linotype" w:hAnsi="Palatino Linotype" w:cs="Palatino Linotype"/>
          <w:i/>
          <w:sz w:val="22"/>
          <w:szCs w:val="22"/>
        </w:rPr>
        <w:t>mas</w:t>
      </w:r>
      <w:proofErr w:type="spellEnd"/>
      <w:r w:rsidRPr="00CA39B3">
        <w:rPr>
          <w:rFonts w:ascii="Palatino Linotype" w:eastAsia="Palatino Linotype" w:hAnsi="Palatino Linotype" w:cs="Palatino Linotype"/>
          <w:i/>
          <w:sz w:val="22"/>
          <w:szCs w:val="22"/>
        </w:rPr>
        <w:t xml:space="preserve"> por el momento me despido de usted quedando a sus </w:t>
      </w:r>
      <w:proofErr w:type="spellStart"/>
      <w:r w:rsidRPr="00CA39B3">
        <w:rPr>
          <w:rFonts w:ascii="Palatino Linotype" w:eastAsia="Palatino Linotype" w:hAnsi="Palatino Linotype" w:cs="Palatino Linotype"/>
          <w:i/>
          <w:sz w:val="22"/>
          <w:szCs w:val="22"/>
        </w:rPr>
        <w:t>ordenes</w:t>
      </w:r>
      <w:proofErr w:type="spellEnd"/>
      <w:r w:rsidRPr="00CA39B3">
        <w:rPr>
          <w:rFonts w:ascii="Palatino Linotype" w:eastAsia="Palatino Linotype" w:hAnsi="Palatino Linotype" w:cs="Palatino Linotype"/>
          <w:i/>
          <w:sz w:val="22"/>
          <w:szCs w:val="22"/>
        </w:rPr>
        <w:t xml:space="preserve"> para cualquier duda o aclaración…” (Sic)</w:t>
      </w:r>
    </w:p>
    <w:p w14:paraId="2BC6ACC5" w14:textId="77777777" w:rsidR="004201D9" w:rsidRPr="00CA39B3" w:rsidRDefault="000668C9">
      <w:pPr>
        <w:spacing w:before="240" w:after="240" w:line="360" w:lineRule="auto"/>
        <w:ind w:right="49"/>
        <w:jc w:val="both"/>
        <w:rPr>
          <w:rFonts w:ascii="Palatino Linotype" w:eastAsia="Palatino Linotype" w:hAnsi="Palatino Linotype" w:cs="Palatino Linotype"/>
          <w:b/>
        </w:rPr>
      </w:pPr>
      <w:r w:rsidRPr="00CA39B3">
        <w:rPr>
          <w:rFonts w:ascii="Palatino Linotype" w:eastAsia="Palatino Linotype" w:hAnsi="Palatino Linotype" w:cs="Palatino Linotype"/>
          <w:b/>
        </w:rPr>
        <w:t>El SUJETO OBLIGADO, adjuntó a su respuesta el siguiente archivo electrónico:</w:t>
      </w:r>
    </w:p>
    <w:p w14:paraId="7FDED170"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w:t>
      </w:r>
      <w:hyperlink r:id="rId8">
        <w:r w:rsidRPr="00CA39B3">
          <w:rPr>
            <w:rFonts w:ascii="Palatino Linotype" w:eastAsia="Palatino Linotype" w:hAnsi="Palatino Linotype" w:cs="Palatino Linotype"/>
          </w:rPr>
          <w:t>IMG_20230904_0001_NEW.pdf</w:t>
        </w:r>
      </w:hyperlink>
      <w:r w:rsidRPr="00CA39B3">
        <w:rPr>
          <w:rFonts w:ascii="Palatino Linotype" w:eastAsia="Palatino Linotype" w:hAnsi="Palatino Linotype" w:cs="Palatino Linotype"/>
        </w:rPr>
        <w:t>”, el cual contiene los siguientes documentos:</w:t>
      </w:r>
    </w:p>
    <w:p w14:paraId="2215A7A8" w14:textId="77777777" w:rsidR="004201D9" w:rsidRPr="00CA39B3" w:rsidRDefault="000668C9">
      <w:pPr>
        <w:spacing w:before="240" w:after="240" w:line="360" w:lineRule="auto"/>
        <w:ind w:right="49"/>
        <w:jc w:val="both"/>
        <w:rPr>
          <w:rFonts w:ascii="Palatino Linotype" w:eastAsia="Palatino Linotype" w:hAnsi="Palatino Linotype" w:cs="Palatino Linotype"/>
          <w:b/>
        </w:rPr>
      </w:pPr>
      <w:r w:rsidRPr="00CA39B3">
        <w:rPr>
          <w:rFonts w:ascii="Palatino Linotype" w:eastAsia="Palatino Linotype" w:hAnsi="Palatino Linotype" w:cs="Palatino Linotype"/>
        </w:rPr>
        <w:t xml:space="preserve">- Oficio sin número por medio del cual el Coordinador de Recursos Materiales, informó al Titular de la unidad de Transparencia, ambos del Ayuntamiento de Tezoyuca respecto de lo requerido en la solicitud número </w:t>
      </w:r>
      <w:r w:rsidRPr="00CA39B3">
        <w:rPr>
          <w:rFonts w:ascii="Palatino Linotype" w:eastAsia="Palatino Linotype" w:hAnsi="Palatino Linotype" w:cs="Palatino Linotype"/>
          <w:b/>
        </w:rPr>
        <w:t xml:space="preserve">00101/TEZOYUCA/IP/2023, que haciendo una búsqueda exhaustiva, no se encontró la información solicitada en el área a su cargo, por lo que solicitó se realizara una sesión por parte del Comité de Transparencia, por la inexistencia de la documentación requerida. </w:t>
      </w:r>
    </w:p>
    <w:p w14:paraId="33CD9626" w14:textId="77777777" w:rsidR="004201D9" w:rsidRPr="00CA39B3" w:rsidRDefault="000668C9">
      <w:pPr>
        <w:spacing w:before="240" w:after="240" w:line="360" w:lineRule="auto"/>
        <w:ind w:right="49"/>
        <w:jc w:val="both"/>
        <w:rPr>
          <w:rFonts w:ascii="Palatino Linotype" w:eastAsia="Palatino Linotype" w:hAnsi="Palatino Linotype" w:cs="Palatino Linotype"/>
          <w:b/>
        </w:rPr>
      </w:pPr>
      <w:r w:rsidRPr="00CA39B3">
        <w:rPr>
          <w:rFonts w:ascii="Palatino Linotype" w:eastAsia="Palatino Linotype" w:hAnsi="Palatino Linotype" w:cs="Palatino Linotype"/>
        </w:rPr>
        <w:lastRenderedPageBreak/>
        <w:t xml:space="preserve">- Acta de la Novena Sesión Ordinaria del Comité de Transparencia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por medio del cual declaró la inexistencia de la información requerida en la solicitud número </w:t>
      </w:r>
      <w:r w:rsidRPr="00CA39B3">
        <w:rPr>
          <w:rFonts w:ascii="Palatino Linotype" w:eastAsia="Palatino Linotype" w:hAnsi="Palatino Linotype" w:cs="Palatino Linotype"/>
          <w:b/>
        </w:rPr>
        <w:t xml:space="preserve">00101/TEZOYUCA/IP/2023. </w:t>
      </w:r>
    </w:p>
    <w:p w14:paraId="7105F988" w14:textId="77777777" w:rsidR="004201D9" w:rsidRPr="00CA39B3" w:rsidRDefault="000668C9">
      <w:pPr>
        <w:spacing w:before="240" w:after="240" w:line="360" w:lineRule="auto"/>
        <w:ind w:right="49"/>
        <w:jc w:val="both"/>
        <w:rPr>
          <w:rFonts w:ascii="Palatino Linotype" w:eastAsia="Palatino Linotype" w:hAnsi="Palatino Linotype" w:cs="Palatino Linotype"/>
          <w:b/>
        </w:rPr>
      </w:pPr>
      <w:r w:rsidRPr="00CA39B3">
        <w:rPr>
          <w:rFonts w:ascii="Palatino Linotype" w:eastAsia="Palatino Linotype" w:hAnsi="Palatino Linotype" w:cs="Palatino Linotype"/>
        </w:rPr>
        <w:t xml:space="preserve">- Oficio número TEZ/UTAIP/185/2023 por medio del cual la Directora de la Unidad de Transparencia informó al Contralor, ambos del Ayuntamiento de Tezoyuca, referente a la solicitud número </w:t>
      </w:r>
      <w:r w:rsidRPr="00CA39B3">
        <w:rPr>
          <w:rFonts w:ascii="Palatino Linotype" w:eastAsia="Palatino Linotype" w:hAnsi="Palatino Linotype" w:cs="Palatino Linotype"/>
          <w:b/>
        </w:rPr>
        <w:t>00101/TEZOYUCA/IP/2023</w:t>
      </w:r>
      <w:r w:rsidRPr="00CA39B3">
        <w:rPr>
          <w:rFonts w:ascii="Palatino Linotype" w:eastAsia="Palatino Linotype" w:hAnsi="Palatino Linotype" w:cs="Palatino Linotype"/>
        </w:rPr>
        <w:t>, lo siguiente:</w:t>
      </w:r>
    </w:p>
    <w:p w14:paraId="0D42CC6C"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noProof/>
          <w:lang w:val="es-MX"/>
        </w:rPr>
        <w:drawing>
          <wp:inline distT="0" distB="0" distL="0" distR="0" wp14:anchorId="7518F8D9" wp14:editId="5A0F868E">
            <wp:extent cx="5614012" cy="5203136"/>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4012" cy="5203136"/>
                    </a:xfrm>
                    <a:prstGeom prst="rect">
                      <a:avLst/>
                    </a:prstGeom>
                    <a:ln/>
                  </pic:spPr>
                </pic:pic>
              </a:graphicData>
            </a:graphic>
          </wp:inline>
        </w:drawing>
      </w:r>
    </w:p>
    <w:p w14:paraId="56A90202"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b/>
        </w:rPr>
        <w:lastRenderedPageBreak/>
        <w:t xml:space="preserve">3. Interposición del recurso de revisión. </w:t>
      </w:r>
      <w:r w:rsidRPr="00CA39B3">
        <w:rPr>
          <w:rFonts w:ascii="Palatino Linotype" w:eastAsia="Palatino Linotype" w:hAnsi="Palatino Linotype" w:cs="Palatino Linotype"/>
        </w:rPr>
        <w:t xml:space="preserve">Inconforme con los términos de la respuesta emitida por parte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el </w:t>
      </w:r>
      <w:r w:rsidRPr="00CA39B3">
        <w:rPr>
          <w:rFonts w:ascii="Palatino Linotype" w:eastAsia="Palatino Linotype" w:hAnsi="Palatino Linotype" w:cs="Palatino Linotype"/>
          <w:b/>
        </w:rPr>
        <w:t>cinco de septiembre del dos mil veintitrés,</w:t>
      </w:r>
      <w:r w:rsidRPr="00CA39B3">
        <w:rPr>
          <w:rFonts w:ascii="Palatino Linotype" w:eastAsia="Palatino Linotype" w:hAnsi="Palatino Linotype" w:cs="Palatino Linotype"/>
        </w:rPr>
        <w:t xml:space="preserve"> la parte recurrente interpuso el recurso de revisión a través de </w:t>
      </w:r>
      <w:r w:rsidRPr="00CA39B3">
        <w:rPr>
          <w:rFonts w:ascii="Palatino Linotype" w:eastAsia="Palatino Linotype" w:hAnsi="Palatino Linotype" w:cs="Palatino Linotype"/>
          <w:b/>
        </w:rPr>
        <w:t xml:space="preserve">SAIMEX, </w:t>
      </w:r>
      <w:r w:rsidRPr="00CA39B3">
        <w:rPr>
          <w:rFonts w:ascii="Palatino Linotype" w:eastAsia="Palatino Linotype" w:hAnsi="Palatino Linotype" w:cs="Palatino Linotype"/>
        </w:rPr>
        <w:t>en donde se manifestó de la siguiente manera:</w:t>
      </w:r>
    </w:p>
    <w:p w14:paraId="2CBED81A" w14:textId="77777777" w:rsidR="004201D9" w:rsidRPr="00CA39B3" w:rsidRDefault="000668C9">
      <w:pPr>
        <w:tabs>
          <w:tab w:val="left" w:pos="2745"/>
        </w:tabs>
        <w:spacing w:before="240" w:after="240" w:line="360" w:lineRule="auto"/>
        <w:jc w:val="both"/>
        <w:rPr>
          <w:rFonts w:ascii="Palatino Linotype" w:eastAsia="Palatino Linotype" w:hAnsi="Palatino Linotype" w:cs="Palatino Linotype"/>
          <w:b/>
        </w:rPr>
      </w:pPr>
      <w:r w:rsidRPr="00CA39B3">
        <w:rPr>
          <w:rFonts w:ascii="Palatino Linotype" w:eastAsia="Palatino Linotype" w:hAnsi="Palatino Linotype" w:cs="Palatino Linotype"/>
          <w:b/>
        </w:rPr>
        <w:t xml:space="preserve">Acto impugnado: </w:t>
      </w:r>
      <w:r w:rsidRPr="00CA39B3">
        <w:rPr>
          <w:rFonts w:ascii="Palatino Linotype" w:eastAsia="Palatino Linotype" w:hAnsi="Palatino Linotype" w:cs="Palatino Linotype"/>
          <w:b/>
        </w:rPr>
        <w:tab/>
      </w:r>
    </w:p>
    <w:p w14:paraId="30751AF6"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“LA RESPUESTA ENTREGADA EN LA SOLICITUD DE INFORMACIÓN NÚMERO 0101/TEZOYUCA/IP/2023” (Sic)</w:t>
      </w:r>
    </w:p>
    <w:p w14:paraId="17982E14" w14:textId="77777777" w:rsidR="004201D9" w:rsidRPr="00CA39B3" w:rsidRDefault="004201D9">
      <w:pPr>
        <w:ind w:left="851" w:right="902"/>
        <w:jc w:val="both"/>
        <w:rPr>
          <w:rFonts w:ascii="Palatino Linotype" w:eastAsia="Palatino Linotype" w:hAnsi="Palatino Linotype" w:cs="Palatino Linotype"/>
          <w:i/>
          <w:sz w:val="22"/>
          <w:szCs w:val="22"/>
        </w:rPr>
      </w:pPr>
    </w:p>
    <w:p w14:paraId="442C7F85"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Y Razones o motivos de inconformidad</w:t>
      </w:r>
      <w:r w:rsidRPr="00CA39B3">
        <w:rPr>
          <w:rFonts w:ascii="Palatino Linotype" w:eastAsia="Palatino Linotype" w:hAnsi="Palatino Linotype" w:cs="Palatino Linotype"/>
        </w:rPr>
        <w:t>:</w:t>
      </w:r>
    </w:p>
    <w:p w14:paraId="7A24EB61" w14:textId="77777777" w:rsidR="004201D9" w:rsidRPr="00CA39B3" w:rsidRDefault="000668C9">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CA39B3">
        <w:rPr>
          <w:rFonts w:ascii="Palatino Linotype" w:eastAsia="Palatino Linotype" w:hAnsi="Palatino Linotype" w:cs="Palatino Linotype"/>
          <w:i/>
          <w:sz w:val="22"/>
          <w:szCs w:val="22"/>
        </w:rPr>
        <w:t xml:space="preserve"> “COMO CIUDADANO SOLICITE LO SIGUIENTE: SE ME INFORME A QUE PERSONA FÍSICA O JURÍDICA COLECTIVA (MORAL) LE COMPRAN EL MATERIAL DE OFICINA, ES DECIR, TODO AQUEL MATERIAL CON EL QUE TRABAJA EL PERSONAL ADMINISTRATIVO, CADA CUANTO LE SURTE EL MATERIAL AL AYUNTAMIENTO, COMO ES LA FORMA DE PAGO POR PARTE DEL AYUNTAMIENTO Y TOMANDO EN CUENTA DE QUE SE TRATA DE MATERIAL QUE SE SURTE AL AYUNTAMIENTO, EL PROCESO DE LICITACIÓN DONDE SE ACREDITE QUE FUE LA PERSONA CON MEJOR PRECIOS EN EL MATERIAL O TODO AQUEL DOCUMENTO DONDE SE JUSTIFIQUE QUE LA PERSONA QUE SURTE EL MATERIAL ERA LA MEJOR OPCIÓN. EL AYUNTAMIENTO DE TEZOYUCA POR MEDIO DE SU UNIDAD DE TRANSPARENCIA REFIEREN QUE NO SE ENCONTRÓ LA INFORMACIÓN SOLICITADA Y PROCEDEN A DECLARAR LA INFORMACIÓN COMO INEXISTENTE, SIENDO QUE NO ES POSIBLE ESA CLASIFICACIÓN, TOMANDO EN CUENTA QUE EL AYUNTAMIENTO DE TEZOYUCA DEBE SABER A QUIEN LE COMPRA EL MATERIAL DE OFICINA, NO ES POSIBLE QUE SALGAN CON ESTA CONTESTACIÓN. DERIVADO DE LA NEGATIVA A ENTREGAR LA INFORMACIÓN, TAMBIÉN SOLICITO SE ME INFORME EL NOMBRE O DUEÑO DE LA EMPRESA O PERSONA FISCA A QUIEN LE COMPRAN EL MATERIAL DE OFICINA.” (Sic)</w:t>
      </w:r>
    </w:p>
    <w:p w14:paraId="7566CED0" w14:textId="77777777" w:rsidR="004201D9" w:rsidRPr="00CA39B3" w:rsidRDefault="004201D9">
      <w:pPr>
        <w:ind w:left="851" w:right="902"/>
        <w:jc w:val="both"/>
        <w:rPr>
          <w:rFonts w:ascii="Palatino Linotype" w:eastAsia="Palatino Linotype" w:hAnsi="Palatino Linotype" w:cs="Palatino Linotype"/>
          <w:i/>
          <w:sz w:val="22"/>
          <w:szCs w:val="22"/>
        </w:rPr>
      </w:pPr>
    </w:p>
    <w:p w14:paraId="0418F508" w14:textId="77777777" w:rsidR="004201D9" w:rsidRPr="00CA39B3" w:rsidRDefault="000668C9">
      <w:pPr>
        <w:spacing w:line="360" w:lineRule="auto"/>
        <w:ind w:right="51"/>
        <w:jc w:val="both"/>
        <w:rPr>
          <w:rFonts w:ascii="Palatino Linotype" w:eastAsia="Palatino Linotype" w:hAnsi="Palatino Linotype" w:cs="Palatino Linotype"/>
        </w:rPr>
      </w:pPr>
      <w:r w:rsidRPr="00CA39B3">
        <w:rPr>
          <w:rFonts w:ascii="Palatino Linotype" w:eastAsia="Palatino Linotype" w:hAnsi="Palatino Linotype" w:cs="Palatino Linotype"/>
          <w:b/>
        </w:rPr>
        <w:t xml:space="preserve">4. Turno. </w:t>
      </w:r>
      <w:r w:rsidRPr="00CA39B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CA39B3">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CA39B3">
        <w:rPr>
          <w:rFonts w:ascii="Palatino Linotype" w:eastAsia="Palatino Linotype" w:hAnsi="Palatino Linotype" w:cs="Palatino Linotype"/>
          <w:b/>
        </w:rPr>
        <w:t xml:space="preserve">Guadalupe Ramírez Peña, </w:t>
      </w:r>
      <w:r w:rsidRPr="00CA39B3">
        <w:rPr>
          <w:rFonts w:ascii="Palatino Linotype" w:eastAsia="Palatino Linotype" w:hAnsi="Palatino Linotype" w:cs="Palatino Linotype"/>
        </w:rPr>
        <w:t xml:space="preserve">a efecto de que analizara sobre su admisión o su </w:t>
      </w:r>
      <w:proofErr w:type="spellStart"/>
      <w:r w:rsidRPr="00CA39B3">
        <w:rPr>
          <w:rFonts w:ascii="Palatino Linotype" w:eastAsia="Palatino Linotype" w:hAnsi="Palatino Linotype" w:cs="Palatino Linotype"/>
        </w:rPr>
        <w:t>desechamiento</w:t>
      </w:r>
      <w:proofErr w:type="spellEnd"/>
      <w:r w:rsidRPr="00CA39B3">
        <w:rPr>
          <w:rFonts w:ascii="Palatino Linotype" w:eastAsia="Palatino Linotype" w:hAnsi="Palatino Linotype" w:cs="Palatino Linotype"/>
        </w:rPr>
        <w:t>.</w:t>
      </w:r>
    </w:p>
    <w:p w14:paraId="4C7CE3EF" w14:textId="77777777" w:rsidR="004201D9" w:rsidRPr="00CA39B3" w:rsidRDefault="004201D9">
      <w:pPr>
        <w:spacing w:line="360" w:lineRule="auto"/>
        <w:ind w:right="51"/>
        <w:jc w:val="both"/>
        <w:rPr>
          <w:rFonts w:ascii="Palatino Linotype" w:eastAsia="Palatino Linotype" w:hAnsi="Palatino Linotype" w:cs="Palatino Linotype"/>
        </w:rPr>
      </w:pPr>
    </w:p>
    <w:p w14:paraId="6E413238" w14:textId="77777777" w:rsidR="004201D9" w:rsidRPr="00CA39B3" w:rsidRDefault="000668C9">
      <w:pPr>
        <w:spacing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5. Admisión del Recurso de revisión.</w:t>
      </w:r>
      <w:r w:rsidRPr="00CA39B3">
        <w:rPr>
          <w:rFonts w:ascii="Palatino Linotype" w:eastAsia="Palatino Linotype" w:hAnsi="Palatino Linotype" w:cs="Palatino Linotype"/>
        </w:rPr>
        <w:t xml:space="preserve"> Con fecha</w:t>
      </w:r>
      <w:r w:rsidRPr="00CA39B3">
        <w:rPr>
          <w:rFonts w:ascii="Palatino Linotype" w:eastAsia="Palatino Linotype" w:hAnsi="Palatino Linotype" w:cs="Palatino Linotype"/>
          <w:b/>
        </w:rPr>
        <w:t xml:space="preserve"> ocho de septiembre de dos mil veintitrés, </w:t>
      </w:r>
      <w:r w:rsidRPr="00CA39B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A39B3">
        <w:rPr>
          <w:rFonts w:ascii="Palatino Linotype" w:eastAsia="Palatino Linotype" w:hAnsi="Palatino Linotype" w:cs="Palatino Linotype"/>
          <w:b/>
        </w:rPr>
        <w:t xml:space="preserve">SUJETO OBLIGADO </w:t>
      </w:r>
      <w:r w:rsidRPr="00CA39B3">
        <w:rPr>
          <w:rFonts w:ascii="Palatino Linotype" w:eastAsia="Palatino Linotype" w:hAnsi="Palatino Linotype" w:cs="Palatino Linotype"/>
        </w:rPr>
        <w:t>presentara su informe justificado.</w:t>
      </w:r>
    </w:p>
    <w:p w14:paraId="56308BD9" w14:textId="77777777" w:rsidR="004201D9" w:rsidRPr="00CA39B3" w:rsidRDefault="000668C9">
      <w:pPr>
        <w:spacing w:before="240" w:after="240" w:line="360" w:lineRule="auto"/>
        <w:jc w:val="both"/>
      </w:pPr>
      <w:r w:rsidRPr="00CA39B3">
        <w:rPr>
          <w:rFonts w:ascii="Palatino Linotype" w:eastAsia="Palatino Linotype" w:hAnsi="Palatino Linotype" w:cs="Palatino Linotype"/>
          <w:b/>
        </w:rPr>
        <w:t>6. Manifestaciones</w:t>
      </w:r>
      <w:r w:rsidRPr="00CA39B3">
        <w:rPr>
          <w:rFonts w:ascii="Palatino Linotype" w:eastAsia="Palatino Linotype" w:hAnsi="Palatino Linotype" w:cs="Palatino Linotype"/>
        </w:rPr>
        <w:t>. De las constancias que obran en el expediente electrónico del SAIMEX se desprende que la parte</w:t>
      </w:r>
      <w:r w:rsidRPr="00CA39B3">
        <w:rPr>
          <w:rFonts w:ascii="Palatino Linotype" w:eastAsia="Palatino Linotype" w:hAnsi="Palatino Linotype" w:cs="Palatino Linotype"/>
          <w:b/>
        </w:rPr>
        <w:t xml:space="preserve"> RECURRENTE</w:t>
      </w:r>
      <w:r w:rsidRPr="00CA39B3">
        <w:rPr>
          <w:rFonts w:ascii="Palatino Linotype" w:eastAsia="Palatino Linotype" w:hAnsi="Palatino Linotype" w:cs="Palatino Linotype"/>
        </w:rPr>
        <w:t xml:space="preserve"> omitió realizar manifestaciones.</w:t>
      </w:r>
    </w:p>
    <w:p w14:paraId="1F71E744"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Por su parte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el veinticinco de septiembre del año dos mil veintitrés, en vía de informe justificado remitió el siguiente documento:</w:t>
      </w:r>
    </w:p>
    <w:p w14:paraId="6FC1D09A"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w:t>
      </w:r>
      <w:hyperlink r:id="rId10">
        <w:r w:rsidRPr="00CA39B3">
          <w:rPr>
            <w:rFonts w:ascii="Palatino Linotype" w:eastAsia="Palatino Linotype" w:hAnsi="Palatino Linotype" w:cs="Palatino Linotype"/>
          </w:rPr>
          <w:t>IMG_20230904_0001_NEW (2).</w:t>
        </w:r>
        <w:proofErr w:type="spellStart"/>
        <w:r w:rsidRPr="00CA39B3">
          <w:rPr>
            <w:rFonts w:ascii="Palatino Linotype" w:eastAsia="Palatino Linotype" w:hAnsi="Palatino Linotype" w:cs="Palatino Linotype"/>
          </w:rPr>
          <w:t>pdf</w:t>
        </w:r>
        <w:proofErr w:type="spellEnd"/>
      </w:hyperlink>
      <w:r w:rsidRPr="00CA39B3">
        <w:rPr>
          <w:rFonts w:ascii="Palatino Linotype" w:eastAsia="Palatino Linotype" w:hAnsi="Palatino Linotype" w:cs="Palatino Linotype"/>
        </w:rPr>
        <w:t xml:space="preserve">”, el cual corresponde a la misma documentación que remitió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en respuesta descrito en el antecedente número dos de la presente resolución. </w:t>
      </w:r>
    </w:p>
    <w:p w14:paraId="796C86EC"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Archivo, que se puso a la vista de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538109FD" w14:textId="77777777" w:rsidR="004201D9" w:rsidRPr="00CA39B3" w:rsidRDefault="000668C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lastRenderedPageBreak/>
        <w:t>7. Ampliación del plazo.</w:t>
      </w:r>
      <w:r w:rsidRPr="00CA39B3">
        <w:rPr>
          <w:rFonts w:ascii="Palatino Linotype" w:eastAsia="Palatino Linotype" w:hAnsi="Palatino Linotype" w:cs="Palatino Linotype"/>
        </w:rPr>
        <w:t xml:space="preserve"> En fecha </w:t>
      </w:r>
      <w:r w:rsidRPr="00CA39B3">
        <w:rPr>
          <w:rFonts w:ascii="Palatino Linotype" w:eastAsia="Palatino Linotype" w:hAnsi="Palatino Linotype" w:cs="Palatino Linotype"/>
          <w:b/>
        </w:rPr>
        <w:t>veinte de marzo del año dos mil veinticuatro</w:t>
      </w:r>
      <w:r w:rsidRPr="00CA39B3">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8690B4D" w14:textId="77777777" w:rsidR="004201D9" w:rsidRPr="00CA39B3" w:rsidRDefault="000668C9">
      <w:pPr>
        <w:widowControl w:val="0"/>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0E33B07" w14:textId="77777777" w:rsidR="004201D9" w:rsidRPr="00CA39B3" w:rsidRDefault="004201D9">
      <w:pPr>
        <w:spacing w:line="360" w:lineRule="auto"/>
        <w:jc w:val="both"/>
        <w:rPr>
          <w:rFonts w:ascii="Palatino Linotype" w:eastAsia="Palatino Linotype" w:hAnsi="Palatino Linotype" w:cs="Palatino Linotype"/>
        </w:rPr>
      </w:pPr>
    </w:p>
    <w:p w14:paraId="785C3BE7"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5730E40" w14:textId="77777777" w:rsidR="004201D9" w:rsidRPr="00CA39B3" w:rsidRDefault="004201D9">
      <w:pPr>
        <w:spacing w:line="360" w:lineRule="auto"/>
        <w:jc w:val="both"/>
        <w:rPr>
          <w:rFonts w:ascii="Palatino Linotype" w:eastAsia="Palatino Linotype" w:hAnsi="Palatino Linotype" w:cs="Palatino Linotype"/>
        </w:rPr>
      </w:pPr>
    </w:p>
    <w:p w14:paraId="29F64E25"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20B150" w14:textId="77777777" w:rsidR="004201D9" w:rsidRPr="00CA39B3" w:rsidRDefault="004201D9">
      <w:pPr>
        <w:spacing w:line="360" w:lineRule="auto"/>
        <w:jc w:val="both"/>
        <w:rPr>
          <w:rFonts w:ascii="Palatino Linotype" w:eastAsia="Palatino Linotype" w:hAnsi="Palatino Linotype" w:cs="Palatino Linotype"/>
        </w:rPr>
      </w:pPr>
    </w:p>
    <w:p w14:paraId="263F3C08"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CA39B3">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62EEBCF2" w14:textId="77777777" w:rsidR="004201D9" w:rsidRPr="00CA39B3" w:rsidRDefault="004201D9">
      <w:pPr>
        <w:spacing w:line="360" w:lineRule="auto"/>
        <w:jc w:val="both"/>
        <w:rPr>
          <w:rFonts w:ascii="Palatino Linotype" w:eastAsia="Palatino Linotype" w:hAnsi="Palatino Linotype" w:cs="Palatino Linotype"/>
        </w:rPr>
      </w:pPr>
    </w:p>
    <w:p w14:paraId="7BD37909" w14:textId="77777777" w:rsidR="004201D9" w:rsidRPr="00CA39B3" w:rsidRDefault="000668C9">
      <w:pPr>
        <w:spacing w:line="360" w:lineRule="auto"/>
        <w:jc w:val="both"/>
        <w:rPr>
          <w:rFonts w:ascii="Palatino Linotype" w:eastAsia="Palatino Linotype" w:hAnsi="Palatino Linotype" w:cs="Palatino Linotype"/>
          <w:strike/>
          <w:color w:val="FF0000"/>
        </w:rPr>
      </w:pPr>
      <w:r w:rsidRPr="00CA39B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AD74866" w14:textId="77777777" w:rsidR="004201D9" w:rsidRPr="00CA39B3" w:rsidRDefault="004201D9">
      <w:pPr>
        <w:spacing w:line="360" w:lineRule="auto"/>
        <w:jc w:val="both"/>
        <w:rPr>
          <w:rFonts w:ascii="Palatino Linotype" w:eastAsia="Palatino Linotype" w:hAnsi="Palatino Linotype" w:cs="Palatino Linotype"/>
        </w:rPr>
      </w:pPr>
    </w:p>
    <w:p w14:paraId="30017441" w14:textId="77777777" w:rsidR="004201D9" w:rsidRPr="00CA39B3" w:rsidRDefault="000668C9">
      <w:pPr>
        <w:numPr>
          <w:ilvl w:val="0"/>
          <w:numId w:val="5"/>
        </w:numPr>
        <w:ind w:left="851"/>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2D5BD8D" w14:textId="77777777" w:rsidR="004201D9" w:rsidRPr="00CA39B3" w:rsidRDefault="004201D9">
      <w:pPr>
        <w:ind w:left="851" w:hanging="360"/>
        <w:jc w:val="both"/>
        <w:rPr>
          <w:rFonts w:ascii="Palatino Linotype" w:eastAsia="Palatino Linotype" w:hAnsi="Palatino Linotype" w:cs="Palatino Linotype"/>
        </w:rPr>
      </w:pPr>
    </w:p>
    <w:p w14:paraId="1CD59F32" w14:textId="77777777" w:rsidR="004201D9" w:rsidRPr="00CA39B3" w:rsidRDefault="000668C9">
      <w:pPr>
        <w:numPr>
          <w:ilvl w:val="0"/>
          <w:numId w:val="5"/>
        </w:numPr>
        <w:ind w:left="851"/>
        <w:jc w:val="both"/>
        <w:rPr>
          <w:rFonts w:ascii="Palatino Linotype" w:eastAsia="Palatino Linotype" w:hAnsi="Palatino Linotype" w:cs="Palatino Linotype"/>
        </w:rPr>
      </w:pPr>
      <w:r w:rsidRPr="00CA39B3">
        <w:rPr>
          <w:rFonts w:ascii="Palatino Linotype" w:eastAsia="Palatino Linotype" w:hAnsi="Palatino Linotype" w:cs="Palatino Linotype"/>
        </w:rPr>
        <w:t>Actividad Procesal del interesado. Acciones u omisiones del interesado.</w:t>
      </w:r>
    </w:p>
    <w:p w14:paraId="4A48F3E4" w14:textId="77777777" w:rsidR="004201D9" w:rsidRPr="00CA39B3" w:rsidRDefault="004201D9">
      <w:pPr>
        <w:ind w:left="851" w:hanging="360"/>
        <w:jc w:val="both"/>
        <w:rPr>
          <w:rFonts w:ascii="Palatino Linotype" w:eastAsia="Palatino Linotype" w:hAnsi="Palatino Linotype" w:cs="Palatino Linotype"/>
        </w:rPr>
      </w:pPr>
    </w:p>
    <w:p w14:paraId="6BC14A8A" w14:textId="77777777" w:rsidR="004201D9" w:rsidRPr="00CA39B3" w:rsidRDefault="000668C9">
      <w:pPr>
        <w:numPr>
          <w:ilvl w:val="0"/>
          <w:numId w:val="5"/>
        </w:numPr>
        <w:ind w:left="851"/>
        <w:jc w:val="both"/>
        <w:rPr>
          <w:rFonts w:ascii="Palatino Linotype" w:eastAsia="Palatino Linotype" w:hAnsi="Palatino Linotype" w:cs="Palatino Linotype"/>
        </w:rPr>
      </w:pPr>
      <w:r w:rsidRPr="00CA39B3">
        <w:rPr>
          <w:rFonts w:ascii="Palatino Linotype" w:eastAsia="Palatino Linotype" w:hAnsi="Palatino Linotype" w:cs="Palatino Linotype"/>
        </w:rPr>
        <w:t>Conducta de la Autoridad: Las Acciones u omisiones realizadas en el procedimiento. Así como si la autoridad actuó con la debida diligencia.</w:t>
      </w:r>
    </w:p>
    <w:p w14:paraId="715592BB" w14:textId="77777777" w:rsidR="004201D9" w:rsidRPr="00CA39B3" w:rsidRDefault="004201D9">
      <w:pPr>
        <w:ind w:left="851" w:hanging="360"/>
        <w:rPr>
          <w:rFonts w:ascii="Palatino Linotype" w:eastAsia="Palatino Linotype" w:hAnsi="Palatino Linotype" w:cs="Palatino Linotype"/>
        </w:rPr>
      </w:pPr>
    </w:p>
    <w:p w14:paraId="7AEB00D9" w14:textId="77777777" w:rsidR="004201D9" w:rsidRPr="00CA39B3" w:rsidRDefault="000668C9">
      <w:pPr>
        <w:ind w:left="851" w:hanging="360"/>
        <w:jc w:val="both"/>
        <w:rPr>
          <w:rFonts w:ascii="Palatino Linotype" w:eastAsia="Palatino Linotype" w:hAnsi="Palatino Linotype" w:cs="Palatino Linotype"/>
        </w:rPr>
      </w:pPr>
      <w:r w:rsidRPr="00CA39B3">
        <w:rPr>
          <w:rFonts w:ascii="Palatino Linotype" w:eastAsia="Palatino Linotype" w:hAnsi="Palatino Linotype" w:cs="Palatino Linotype"/>
        </w:rPr>
        <w:t>d) La afectación generada en la situación jurídica de la persona involucrada en el proceso: Violación a sus derechos humanos.</w:t>
      </w:r>
    </w:p>
    <w:p w14:paraId="248C7AD9" w14:textId="77777777" w:rsidR="004201D9" w:rsidRPr="00CA39B3" w:rsidRDefault="004201D9">
      <w:pPr>
        <w:spacing w:line="360" w:lineRule="auto"/>
        <w:jc w:val="both"/>
        <w:rPr>
          <w:rFonts w:ascii="Palatino Linotype" w:eastAsia="Palatino Linotype" w:hAnsi="Palatino Linotype" w:cs="Palatino Linotype"/>
        </w:rPr>
      </w:pPr>
    </w:p>
    <w:p w14:paraId="3C518D9B"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B244AF" w14:textId="77777777" w:rsidR="004201D9" w:rsidRPr="00CA39B3" w:rsidRDefault="004201D9">
      <w:pPr>
        <w:spacing w:line="360" w:lineRule="auto"/>
        <w:jc w:val="both"/>
        <w:rPr>
          <w:rFonts w:ascii="Palatino Linotype" w:eastAsia="Palatino Linotype" w:hAnsi="Palatino Linotype" w:cs="Palatino Linotype"/>
        </w:rPr>
      </w:pPr>
    </w:p>
    <w:p w14:paraId="1501AB18" w14:textId="77777777" w:rsidR="004201D9" w:rsidRPr="00CA39B3" w:rsidRDefault="000668C9">
      <w:pPr>
        <w:spacing w:line="360" w:lineRule="auto"/>
        <w:jc w:val="both"/>
        <w:rPr>
          <w:rFonts w:ascii="Palatino Linotype" w:eastAsia="Palatino Linotype" w:hAnsi="Palatino Linotype" w:cs="Palatino Linotype"/>
          <w:b/>
        </w:rPr>
      </w:pPr>
      <w:r w:rsidRPr="00CA39B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A39B3">
        <w:rPr>
          <w:rFonts w:ascii="Palatino Linotype" w:eastAsia="Palatino Linotype" w:hAnsi="Palatino Linotype" w:cs="Palatino Linotype"/>
          <w:i/>
        </w:rPr>
        <w:t xml:space="preserve">“TÉRMINOS </w:t>
      </w:r>
      <w:r w:rsidRPr="00CA39B3">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CA39B3">
        <w:rPr>
          <w:rFonts w:ascii="Palatino Linotype" w:eastAsia="Palatino Linotype" w:hAnsi="Palatino Linotype" w:cs="Palatino Linotype"/>
        </w:rPr>
        <w:t>, visible en la Gaceta del Seminario Judicial de la Federación con el registro digital 205635.</w:t>
      </w:r>
    </w:p>
    <w:p w14:paraId="7C0D7010" w14:textId="77777777" w:rsidR="004201D9" w:rsidRPr="00CA39B3" w:rsidRDefault="004201D9">
      <w:pPr>
        <w:spacing w:line="360" w:lineRule="auto"/>
        <w:jc w:val="both"/>
        <w:rPr>
          <w:rFonts w:ascii="Palatino Linotype" w:eastAsia="Palatino Linotype" w:hAnsi="Palatino Linotype" w:cs="Palatino Linotype"/>
        </w:rPr>
      </w:pPr>
    </w:p>
    <w:p w14:paraId="2A91066E"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B0841A" w14:textId="77777777" w:rsidR="004201D9" w:rsidRPr="00CA39B3" w:rsidRDefault="004201D9">
      <w:pPr>
        <w:spacing w:line="360" w:lineRule="auto"/>
        <w:jc w:val="both"/>
        <w:rPr>
          <w:rFonts w:ascii="Palatino Linotype" w:eastAsia="Palatino Linotype" w:hAnsi="Palatino Linotype" w:cs="Palatino Linotype"/>
        </w:rPr>
      </w:pPr>
    </w:p>
    <w:p w14:paraId="46C8A0A1"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9C70965" w14:textId="77777777" w:rsidR="004201D9" w:rsidRPr="00CA39B3" w:rsidRDefault="004201D9">
      <w:pPr>
        <w:spacing w:line="360" w:lineRule="auto"/>
        <w:jc w:val="both"/>
        <w:rPr>
          <w:rFonts w:ascii="Palatino Linotype" w:eastAsia="Palatino Linotype" w:hAnsi="Palatino Linotype" w:cs="Palatino Linotype"/>
        </w:rPr>
      </w:pPr>
    </w:p>
    <w:p w14:paraId="03C0376B"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 </w:t>
      </w:r>
      <w:r w:rsidRPr="00CA39B3">
        <w:rPr>
          <w:rFonts w:ascii="Palatino Linotype" w:eastAsia="Palatino Linotype" w:hAnsi="Palatino Linotype" w:cs="Palatino Linotype"/>
          <w:i/>
        </w:rPr>
        <w:t>“PLAZO RAZONABLE PARA RESOLVER. DIMENSIÓN Y EFECTOS DE ESTE CONCEPTO CUANDO SE ADUCE EXCESIVA CARGA DE TRABAJO.”</w:t>
      </w:r>
      <w:r w:rsidRPr="00CA39B3">
        <w:rPr>
          <w:rFonts w:ascii="Palatino Linotype" w:eastAsia="Palatino Linotype" w:hAnsi="Palatino Linotype" w:cs="Palatino Linotype"/>
        </w:rPr>
        <w:t xml:space="preserve"> consultable en el Seminario Judicial de la Federación y su gaceta, con el registro digital 2002351.</w:t>
      </w:r>
    </w:p>
    <w:p w14:paraId="001AC18B" w14:textId="77777777" w:rsidR="004201D9" w:rsidRPr="00CA39B3" w:rsidRDefault="004201D9">
      <w:pPr>
        <w:spacing w:line="360" w:lineRule="auto"/>
        <w:jc w:val="both"/>
        <w:rPr>
          <w:rFonts w:ascii="Palatino Linotype" w:eastAsia="Palatino Linotype" w:hAnsi="Palatino Linotype" w:cs="Palatino Linotype"/>
          <w:b/>
        </w:rPr>
      </w:pPr>
    </w:p>
    <w:p w14:paraId="1D7F916B"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i/>
        </w:rPr>
        <w:t>“PLAZO RAZONABLE PARA RESOLVER. CONCEPTO Y ELEMENTOS QUE LO INTEGRAN A LA LUZ DEL DERECHO INTERNACIONAL DE LOS DERECHOS HUMANOS.”</w:t>
      </w:r>
      <w:r w:rsidRPr="00CA39B3">
        <w:rPr>
          <w:rFonts w:ascii="Palatino Linotype" w:eastAsia="Palatino Linotype" w:hAnsi="Palatino Linotype" w:cs="Palatino Linotype"/>
        </w:rPr>
        <w:t>, visible en el Seminario Judicial de la Federación y su gaceta, con el registro digital 2002350.</w:t>
      </w:r>
    </w:p>
    <w:p w14:paraId="41FA77E2" w14:textId="77777777" w:rsidR="004201D9" w:rsidRPr="00CA39B3" w:rsidRDefault="004201D9">
      <w:pPr>
        <w:spacing w:line="360" w:lineRule="auto"/>
        <w:jc w:val="both"/>
        <w:rPr>
          <w:rFonts w:ascii="Palatino Linotype" w:eastAsia="Palatino Linotype" w:hAnsi="Palatino Linotype" w:cs="Palatino Linotype"/>
        </w:rPr>
      </w:pPr>
    </w:p>
    <w:p w14:paraId="40D6024D"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D231EB5"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 xml:space="preserve">8. Cierre de instrucción. </w:t>
      </w:r>
      <w:r w:rsidRPr="00CA39B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CA39B3">
        <w:rPr>
          <w:rFonts w:ascii="Palatino Linotype" w:eastAsia="Palatino Linotype" w:hAnsi="Palatino Linotype" w:cs="Palatino Linotype"/>
          <w:b/>
        </w:rPr>
        <w:t>dos de abril</w:t>
      </w:r>
      <w:r w:rsidRPr="00CA39B3">
        <w:rPr>
          <w:rFonts w:ascii="Palatino Linotype" w:eastAsia="Palatino Linotype" w:hAnsi="Palatino Linotype" w:cs="Palatino Linotype"/>
          <w:b/>
          <w:color w:val="FF0000"/>
        </w:rPr>
        <w:t xml:space="preserve"> </w:t>
      </w:r>
      <w:r w:rsidRPr="00CA39B3">
        <w:rPr>
          <w:rFonts w:ascii="Palatino Linotype" w:eastAsia="Palatino Linotype" w:hAnsi="Palatino Linotype" w:cs="Palatino Linotype"/>
          <w:b/>
        </w:rPr>
        <w:t>de dos mil veinticuatro</w:t>
      </w:r>
      <w:r w:rsidRPr="00CA39B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75E04AE"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CE67C06" w14:textId="77777777" w:rsidR="004201D9" w:rsidRPr="00CA39B3" w:rsidRDefault="000668C9">
      <w:pPr>
        <w:widowControl w:val="0"/>
        <w:spacing w:line="360" w:lineRule="auto"/>
        <w:jc w:val="center"/>
        <w:rPr>
          <w:rFonts w:ascii="Palatino Linotype" w:eastAsia="Palatino Linotype" w:hAnsi="Palatino Linotype" w:cs="Palatino Linotype"/>
          <w:b/>
        </w:rPr>
      </w:pPr>
      <w:r w:rsidRPr="00CA39B3">
        <w:rPr>
          <w:rFonts w:ascii="Palatino Linotype" w:eastAsia="Palatino Linotype" w:hAnsi="Palatino Linotype" w:cs="Palatino Linotype"/>
          <w:b/>
        </w:rPr>
        <w:t>II. C O N S I D E R A N D O S</w:t>
      </w:r>
    </w:p>
    <w:p w14:paraId="6130D2E9" w14:textId="77777777" w:rsidR="004201D9" w:rsidRPr="00CA39B3" w:rsidRDefault="004201D9">
      <w:pPr>
        <w:widowControl w:val="0"/>
        <w:spacing w:line="360" w:lineRule="auto"/>
        <w:jc w:val="center"/>
        <w:rPr>
          <w:rFonts w:ascii="Palatino Linotype" w:eastAsia="Palatino Linotype" w:hAnsi="Palatino Linotype" w:cs="Palatino Linotype"/>
          <w:b/>
        </w:rPr>
      </w:pPr>
    </w:p>
    <w:p w14:paraId="291821AB"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Primero. Competencia.</w:t>
      </w:r>
      <w:r w:rsidRPr="00CA39B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CA39B3">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DD05B9D" w14:textId="77777777" w:rsidR="004201D9" w:rsidRPr="00CA39B3" w:rsidRDefault="000668C9">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CA39B3">
        <w:rPr>
          <w:rFonts w:ascii="Palatino Linotype" w:eastAsia="Palatino Linotype" w:hAnsi="Palatino Linotype" w:cs="Palatino Linotype"/>
          <w:b/>
        </w:rPr>
        <w:t xml:space="preserve">Segundo. Oportunidad y Procedibilidad del Recurso de Revisión. </w:t>
      </w:r>
      <w:r w:rsidRPr="00CA39B3">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emitió su respuesta a la solicitud planteada por el solicitante el </w:t>
      </w:r>
      <w:r w:rsidRPr="00CA39B3">
        <w:rPr>
          <w:rFonts w:ascii="Palatino Linotype" w:eastAsia="Palatino Linotype" w:hAnsi="Palatino Linotype" w:cs="Palatino Linotype"/>
          <w:b/>
        </w:rPr>
        <w:t>cuatro de septiembre del año dos mil veintitrés</w:t>
      </w:r>
      <w:r w:rsidRPr="00CA39B3">
        <w:rPr>
          <w:rFonts w:ascii="Palatino Linotype" w:eastAsia="Palatino Linotype" w:hAnsi="Palatino Linotype" w:cs="Palatino Linotype"/>
        </w:rPr>
        <w:t xml:space="preserve"> y mientras que el recurso de revisión interpuesto por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xml:space="preserve">, se tuvo por presentado el día </w:t>
      </w:r>
      <w:r w:rsidRPr="00CA39B3">
        <w:rPr>
          <w:rFonts w:ascii="Palatino Linotype" w:eastAsia="Palatino Linotype" w:hAnsi="Palatino Linotype" w:cs="Palatino Linotype"/>
          <w:b/>
        </w:rPr>
        <w:t xml:space="preserve">cinco de septiembre del año dos mil veintitrés, </w:t>
      </w:r>
      <w:r w:rsidRPr="00CA39B3">
        <w:rPr>
          <w:rFonts w:ascii="Palatino Linotype" w:eastAsia="Palatino Linotype" w:hAnsi="Palatino Linotype" w:cs="Palatino Linotype"/>
        </w:rPr>
        <w:t>esto es, el siguiente día hábil en que tuvo conocimiento de la respuesta impugnada.</w:t>
      </w:r>
    </w:p>
    <w:p w14:paraId="5D575C3E" w14:textId="77777777" w:rsidR="004201D9" w:rsidRPr="00CA39B3" w:rsidRDefault="000668C9">
      <w:pPr>
        <w:spacing w:before="240" w:after="240" w:line="360" w:lineRule="auto"/>
        <w:ind w:right="49"/>
        <w:jc w:val="both"/>
        <w:rPr>
          <w:rFonts w:ascii="Palatino Linotype" w:eastAsia="Palatino Linotype" w:hAnsi="Palatino Linotype" w:cs="Palatino Linotype"/>
          <w:color w:val="000000"/>
        </w:rPr>
      </w:pPr>
      <w:r w:rsidRPr="00CA39B3">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B7A97ED"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y III</w:t>
      </w:r>
      <w:r w:rsidRPr="00CA39B3">
        <w:rPr>
          <w:rFonts w:ascii="Palatino Linotype" w:eastAsia="Palatino Linotype" w:hAnsi="Palatino Linotype" w:cs="Palatino Linotype"/>
          <w:color w:val="C00000"/>
        </w:rPr>
        <w:t xml:space="preserve"> </w:t>
      </w:r>
      <w:r w:rsidRPr="00CA39B3">
        <w:rPr>
          <w:rFonts w:ascii="Palatino Linotype" w:eastAsia="Palatino Linotype" w:hAnsi="Palatino Linotype" w:cs="Palatino Linotype"/>
        </w:rPr>
        <w:t>de la ley de la materia, que a la letra dice:</w:t>
      </w:r>
    </w:p>
    <w:p w14:paraId="29236466" w14:textId="77777777" w:rsidR="004201D9" w:rsidRPr="00CA39B3" w:rsidRDefault="000668C9">
      <w:pPr>
        <w:ind w:left="1276" w:right="175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r w:rsidRPr="00CA39B3">
        <w:rPr>
          <w:rFonts w:ascii="Palatino Linotype" w:eastAsia="Palatino Linotype" w:hAnsi="Palatino Linotype" w:cs="Palatino Linotype"/>
          <w:b/>
          <w:i/>
          <w:sz w:val="22"/>
          <w:szCs w:val="22"/>
        </w:rPr>
        <w:t xml:space="preserve">Artículo 179. </w:t>
      </w:r>
      <w:r w:rsidRPr="00CA39B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DCF55ED" w14:textId="77777777" w:rsidR="004201D9" w:rsidRPr="00CA39B3" w:rsidRDefault="000668C9">
      <w:pPr>
        <w:ind w:left="1276" w:right="175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I. La negativa de la información solicitada</w:t>
      </w:r>
    </w:p>
    <w:p w14:paraId="262039C5" w14:textId="77777777" w:rsidR="004201D9" w:rsidRPr="00CA39B3" w:rsidRDefault="000668C9">
      <w:pPr>
        <w:ind w:left="1276" w:right="175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p>
    <w:p w14:paraId="3D54F7C9" w14:textId="77777777" w:rsidR="004201D9" w:rsidRPr="00CA39B3" w:rsidRDefault="000668C9">
      <w:pPr>
        <w:ind w:left="1276" w:right="175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III. La declaración de inexistencia de la información</w:t>
      </w:r>
      <w:r w:rsidRPr="00CA39B3">
        <w:t>…</w:t>
      </w:r>
      <w:r w:rsidRPr="00CA39B3">
        <w:rPr>
          <w:rFonts w:ascii="Palatino Linotype" w:eastAsia="Palatino Linotype" w:hAnsi="Palatino Linotype" w:cs="Palatino Linotype"/>
          <w:i/>
          <w:sz w:val="22"/>
          <w:szCs w:val="22"/>
        </w:rPr>
        <w:t xml:space="preserve">”  </w:t>
      </w:r>
    </w:p>
    <w:p w14:paraId="7FB29CDA"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color w:val="000000"/>
        </w:rPr>
        <w:t>Tercero. Materia de Revisión</w:t>
      </w:r>
      <w:r w:rsidRPr="00CA39B3">
        <w:rPr>
          <w:rFonts w:ascii="Palatino Linotype" w:eastAsia="Palatino Linotype" w:hAnsi="Palatino Linotype" w:cs="Palatino Linotype"/>
          <w:color w:val="000000"/>
        </w:rPr>
        <w:t xml:space="preserve">: </w:t>
      </w:r>
      <w:r w:rsidRPr="00CA39B3">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CA39B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A39B3">
        <w:rPr>
          <w:rFonts w:ascii="Palatino Linotype" w:eastAsia="Palatino Linotype" w:hAnsi="Palatino Linotype" w:cs="Palatino Linotype"/>
        </w:rPr>
        <w:t xml:space="preserve">de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o en su defecto, en caso de ser procedente, ordenar la entrega de información.</w:t>
      </w:r>
    </w:p>
    <w:p w14:paraId="0238584D"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 xml:space="preserve">Cuarto. Estudio de fondo del asunto. </w:t>
      </w:r>
      <w:r w:rsidRPr="00CA39B3">
        <w:rPr>
          <w:rFonts w:ascii="Palatino Linotype" w:eastAsia="Palatino Linotype" w:hAnsi="Palatino Linotype" w:cs="Palatino Linotype"/>
        </w:rPr>
        <w:t xml:space="preserve">es conveniente analizar si la respuesta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CA39B3">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6A03440" w14:textId="77777777" w:rsidR="004201D9" w:rsidRPr="00CA39B3" w:rsidRDefault="000668C9">
      <w:pPr>
        <w:spacing w:before="240"/>
        <w:ind w:left="709" w:right="76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lastRenderedPageBreak/>
        <w:t>“</w:t>
      </w:r>
      <w:r w:rsidRPr="00CA39B3">
        <w:rPr>
          <w:rFonts w:ascii="Palatino Linotype" w:eastAsia="Palatino Linotype" w:hAnsi="Palatino Linotype" w:cs="Palatino Linotype"/>
          <w:b/>
          <w:i/>
          <w:sz w:val="22"/>
          <w:szCs w:val="22"/>
        </w:rPr>
        <w:t>Artículo 4.</w:t>
      </w:r>
      <w:r w:rsidRPr="00CA39B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B015086" w14:textId="77777777" w:rsidR="004201D9" w:rsidRPr="00CA39B3" w:rsidRDefault="000668C9">
      <w:pPr>
        <w:ind w:left="709" w:right="76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A39B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C7AE3EB" w14:textId="77777777" w:rsidR="004201D9" w:rsidRPr="00CA39B3" w:rsidRDefault="000668C9">
      <w:pPr>
        <w:ind w:left="709" w:right="76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A39B3">
        <w:rPr>
          <w:rFonts w:ascii="Palatino Linotype" w:eastAsia="Palatino Linotype" w:hAnsi="Palatino Linotype" w:cs="Palatino Linotype"/>
          <w:i/>
          <w:sz w:val="22"/>
          <w:szCs w:val="22"/>
        </w:rPr>
        <w:t>.”(Sic)</w:t>
      </w:r>
    </w:p>
    <w:p w14:paraId="218693E7"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2E4BD1D" w14:textId="77777777" w:rsidR="004201D9" w:rsidRPr="00CA39B3" w:rsidRDefault="000668C9">
      <w:pPr>
        <w:ind w:left="567" w:right="758"/>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r w:rsidRPr="00CA39B3">
        <w:rPr>
          <w:rFonts w:ascii="Palatino Linotype" w:eastAsia="Palatino Linotype" w:hAnsi="Palatino Linotype" w:cs="Palatino Linotype"/>
          <w:b/>
          <w:i/>
          <w:sz w:val="22"/>
          <w:szCs w:val="22"/>
        </w:rPr>
        <w:t>Artículo12.-</w:t>
      </w:r>
      <w:r w:rsidRPr="00CA39B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C37E437" w14:textId="77777777" w:rsidR="004201D9" w:rsidRPr="00CA39B3" w:rsidRDefault="000668C9">
      <w:pPr>
        <w:ind w:left="567" w:right="758"/>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A39B3">
        <w:rPr>
          <w:rFonts w:ascii="Palatino Linotype" w:eastAsia="Palatino Linotype" w:hAnsi="Palatino Linotype" w:cs="Palatino Linotype"/>
          <w:i/>
          <w:sz w:val="22"/>
          <w:szCs w:val="22"/>
        </w:rPr>
        <w:t xml:space="preserve">. </w:t>
      </w:r>
      <w:r w:rsidRPr="00CA39B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73AF449" w14:textId="77777777" w:rsidR="004201D9" w:rsidRPr="00CA39B3" w:rsidRDefault="004201D9">
      <w:pPr>
        <w:spacing w:line="360" w:lineRule="auto"/>
        <w:ind w:right="-93"/>
        <w:jc w:val="both"/>
        <w:rPr>
          <w:rFonts w:ascii="Palatino Linotype" w:eastAsia="Palatino Linotype" w:hAnsi="Palatino Linotype" w:cs="Palatino Linotype"/>
          <w:color w:val="000000"/>
        </w:rPr>
      </w:pPr>
    </w:p>
    <w:p w14:paraId="5BBA7A59" w14:textId="77777777" w:rsidR="004201D9" w:rsidRPr="00CA39B3" w:rsidRDefault="000668C9">
      <w:pPr>
        <w:spacing w:line="360" w:lineRule="auto"/>
        <w:ind w:right="-93"/>
        <w:jc w:val="both"/>
        <w:rPr>
          <w:rFonts w:ascii="Palatino Linotype" w:eastAsia="Palatino Linotype" w:hAnsi="Palatino Linotype" w:cs="Palatino Linotype"/>
          <w:color w:val="000000"/>
        </w:rPr>
      </w:pPr>
      <w:r w:rsidRPr="00CA39B3">
        <w:rPr>
          <w:rFonts w:ascii="Palatino Linotype" w:eastAsia="Palatino Linotype" w:hAnsi="Palatino Linotype" w:cs="Palatino Linotype"/>
          <w:color w:val="000000"/>
        </w:rPr>
        <w:lastRenderedPageBreak/>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1BF47C67" w14:textId="77777777" w:rsidR="004201D9" w:rsidRPr="00CA39B3" w:rsidRDefault="004201D9">
      <w:pPr>
        <w:spacing w:line="360" w:lineRule="auto"/>
        <w:jc w:val="both"/>
        <w:rPr>
          <w:rFonts w:ascii="Palatino Linotype" w:eastAsia="Palatino Linotype" w:hAnsi="Palatino Linotype" w:cs="Palatino Linotype"/>
          <w:color w:val="000000"/>
        </w:rPr>
      </w:pPr>
    </w:p>
    <w:p w14:paraId="0D554D9E" w14:textId="77777777" w:rsidR="004201D9" w:rsidRPr="00CA39B3" w:rsidRDefault="000668C9">
      <w:pPr>
        <w:spacing w:line="360" w:lineRule="auto"/>
        <w:jc w:val="both"/>
        <w:rPr>
          <w:rFonts w:ascii="Palatino Linotype" w:eastAsia="Palatino Linotype" w:hAnsi="Palatino Linotype" w:cs="Palatino Linotype"/>
          <w:color w:val="000000"/>
        </w:rPr>
      </w:pPr>
      <w:r w:rsidRPr="00CA39B3">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1C8F63D8" w14:textId="77777777" w:rsidR="004201D9" w:rsidRPr="00CA39B3" w:rsidRDefault="000668C9">
      <w:pPr>
        <w:spacing w:line="360" w:lineRule="auto"/>
        <w:jc w:val="both"/>
        <w:rPr>
          <w:rFonts w:ascii="Palatino Linotype" w:eastAsia="Palatino Linotype" w:hAnsi="Palatino Linotype" w:cs="Palatino Linotype"/>
          <w:b/>
          <w:color w:val="000000"/>
        </w:rPr>
      </w:pPr>
      <w:r w:rsidRPr="00CA39B3">
        <w:rPr>
          <w:rFonts w:ascii="Palatino Linotype" w:eastAsia="Palatino Linotype" w:hAnsi="Palatino Linotype" w:cs="Palatino Linotype"/>
          <w:b/>
          <w:color w:val="000000"/>
        </w:rPr>
        <w:t xml:space="preserve"> </w:t>
      </w:r>
    </w:p>
    <w:p w14:paraId="43F606D9" w14:textId="77777777" w:rsidR="004201D9" w:rsidRPr="00CA39B3" w:rsidRDefault="000668C9">
      <w:pPr>
        <w:ind w:left="851" w:right="901"/>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w:t>
      </w:r>
      <w:r w:rsidRPr="00CA39B3">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CA39B3">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0718135" w14:textId="77777777" w:rsidR="004201D9" w:rsidRPr="00CA39B3" w:rsidRDefault="000668C9">
      <w:pPr>
        <w:ind w:left="851" w:right="901"/>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 xml:space="preserve">Resoluciones: </w:t>
      </w:r>
    </w:p>
    <w:p w14:paraId="2D76A7F2" w14:textId="77777777" w:rsidR="004201D9" w:rsidRPr="00CA39B3" w:rsidRDefault="000668C9">
      <w:pPr>
        <w:ind w:left="851" w:right="901"/>
        <w:jc w:val="both"/>
        <w:rPr>
          <w:rFonts w:ascii="Palatino Linotype" w:eastAsia="Palatino Linotype" w:hAnsi="Palatino Linotype" w:cs="Palatino Linotype"/>
          <w:i/>
          <w:color w:val="000000"/>
          <w:sz w:val="22"/>
          <w:szCs w:val="22"/>
        </w:rPr>
      </w:pPr>
      <w:r w:rsidRPr="00CA39B3">
        <w:rPr>
          <w:rFonts w:ascii="Noto Sans Symbols" w:eastAsia="Noto Sans Symbols" w:hAnsi="Noto Sans Symbols" w:cs="Noto Sans Symbols"/>
          <w:i/>
          <w:color w:val="000000"/>
          <w:sz w:val="22"/>
          <w:szCs w:val="22"/>
        </w:rPr>
        <w:t>∙</w:t>
      </w:r>
      <w:r w:rsidRPr="00CA39B3">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3C15B2A6" w14:textId="77777777" w:rsidR="004201D9" w:rsidRPr="00CA39B3" w:rsidRDefault="000668C9">
      <w:pPr>
        <w:ind w:left="851" w:right="901"/>
        <w:jc w:val="both"/>
        <w:rPr>
          <w:rFonts w:ascii="Palatino Linotype" w:eastAsia="Palatino Linotype" w:hAnsi="Palatino Linotype" w:cs="Palatino Linotype"/>
          <w:i/>
          <w:color w:val="000000"/>
          <w:sz w:val="22"/>
          <w:szCs w:val="22"/>
        </w:rPr>
      </w:pPr>
      <w:r w:rsidRPr="00CA39B3">
        <w:rPr>
          <w:rFonts w:ascii="Noto Sans Symbols" w:eastAsia="Noto Sans Symbols" w:hAnsi="Noto Sans Symbols" w:cs="Noto Sans Symbols"/>
          <w:i/>
          <w:color w:val="000000"/>
          <w:sz w:val="22"/>
          <w:szCs w:val="22"/>
        </w:rPr>
        <w:t>∙</w:t>
      </w:r>
      <w:r w:rsidRPr="00CA39B3">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27736BF0" w14:textId="77777777" w:rsidR="004201D9" w:rsidRPr="00CA39B3" w:rsidRDefault="000668C9">
      <w:pPr>
        <w:ind w:left="851" w:right="901"/>
        <w:jc w:val="both"/>
        <w:rPr>
          <w:rFonts w:ascii="Palatino Linotype" w:eastAsia="Palatino Linotype" w:hAnsi="Palatino Linotype" w:cs="Palatino Linotype"/>
          <w:i/>
          <w:color w:val="000000"/>
          <w:sz w:val="22"/>
          <w:szCs w:val="22"/>
        </w:rPr>
      </w:pPr>
      <w:r w:rsidRPr="00CA39B3">
        <w:rPr>
          <w:rFonts w:ascii="Noto Sans Symbols" w:eastAsia="Noto Sans Symbols" w:hAnsi="Noto Sans Symbols" w:cs="Noto Sans Symbols"/>
          <w:i/>
          <w:color w:val="000000"/>
          <w:sz w:val="22"/>
          <w:szCs w:val="22"/>
        </w:rPr>
        <w:t>∙</w:t>
      </w:r>
      <w:r w:rsidRPr="00CA39B3">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1200A3AB" w14:textId="77777777" w:rsidR="004201D9" w:rsidRPr="00CA39B3" w:rsidRDefault="004201D9">
      <w:pPr>
        <w:spacing w:line="360" w:lineRule="auto"/>
        <w:jc w:val="both"/>
        <w:rPr>
          <w:rFonts w:ascii="Palatino Linotype" w:eastAsia="Palatino Linotype" w:hAnsi="Palatino Linotype" w:cs="Palatino Linotype"/>
        </w:rPr>
      </w:pPr>
    </w:p>
    <w:p w14:paraId="3D93838E" w14:textId="77777777" w:rsidR="004201D9" w:rsidRPr="00CA39B3" w:rsidRDefault="000668C9">
      <w:pPr>
        <w:spacing w:line="360" w:lineRule="auto"/>
        <w:jc w:val="both"/>
        <w:rPr>
          <w:rFonts w:ascii="Palatino Linotype" w:eastAsia="Palatino Linotype" w:hAnsi="Palatino Linotype" w:cs="Palatino Linotype"/>
          <w:strike/>
          <w:color w:val="FF0000"/>
        </w:rPr>
      </w:pPr>
      <w:r w:rsidRPr="00CA39B3">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sidRPr="00CA39B3">
        <w:rPr>
          <w:rFonts w:ascii="Palatino Linotype" w:eastAsia="Palatino Linotype" w:hAnsi="Palatino Linotype" w:cs="Palatino Linotype"/>
          <w:color w:val="000000"/>
        </w:rPr>
        <w:t xml:space="preserve">sólo proporcionarán la información pública que </w:t>
      </w:r>
      <w:r w:rsidRPr="00CA39B3">
        <w:rPr>
          <w:rFonts w:ascii="Palatino Linotype" w:eastAsia="Palatino Linotype" w:hAnsi="Palatino Linotype" w:cs="Palatino Linotype"/>
        </w:rPr>
        <w:t>generen</w:t>
      </w:r>
      <w:r w:rsidRPr="00CA39B3">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5F2AAD69" w14:textId="77777777" w:rsidR="004201D9" w:rsidRPr="00CA39B3" w:rsidRDefault="004201D9">
      <w:pPr>
        <w:spacing w:line="360" w:lineRule="auto"/>
        <w:jc w:val="both"/>
        <w:rPr>
          <w:rFonts w:ascii="Palatino Linotype" w:eastAsia="Palatino Linotype" w:hAnsi="Palatino Linotype" w:cs="Palatino Linotype"/>
          <w:color w:val="000000"/>
        </w:rPr>
      </w:pPr>
    </w:p>
    <w:p w14:paraId="034B7249" w14:textId="77777777" w:rsidR="004201D9" w:rsidRPr="00CA39B3" w:rsidRDefault="000668C9">
      <w:pPr>
        <w:spacing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6C0588" w14:textId="77777777" w:rsidR="004201D9" w:rsidRPr="00CA39B3" w:rsidRDefault="004201D9">
      <w:pPr>
        <w:spacing w:line="360" w:lineRule="auto"/>
        <w:ind w:right="49"/>
        <w:jc w:val="both"/>
        <w:rPr>
          <w:rFonts w:ascii="Palatino Linotype" w:eastAsia="Palatino Linotype" w:hAnsi="Palatino Linotype" w:cs="Palatino Linotype"/>
        </w:rPr>
      </w:pPr>
    </w:p>
    <w:p w14:paraId="4B1CEFED"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CA39B3">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302D2671" w14:textId="77777777" w:rsidR="004201D9" w:rsidRPr="00CA39B3" w:rsidRDefault="004201D9">
      <w:pPr>
        <w:ind w:left="851" w:right="899"/>
        <w:jc w:val="both"/>
        <w:rPr>
          <w:rFonts w:ascii="Palatino Linotype" w:eastAsia="Palatino Linotype" w:hAnsi="Palatino Linotype" w:cs="Palatino Linotype"/>
          <w:i/>
          <w:sz w:val="22"/>
          <w:szCs w:val="22"/>
        </w:rPr>
      </w:pPr>
    </w:p>
    <w:p w14:paraId="4F28917F"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r w:rsidRPr="00CA39B3">
        <w:rPr>
          <w:rFonts w:ascii="Palatino Linotype" w:eastAsia="Palatino Linotype" w:hAnsi="Palatino Linotype" w:cs="Palatino Linotype"/>
          <w:b/>
          <w:i/>
          <w:sz w:val="22"/>
          <w:szCs w:val="22"/>
        </w:rPr>
        <w:t xml:space="preserve">Artículo 3. </w:t>
      </w:r>
      <w:r w:rsidRPr="00CA39B3">
        <w:rPr>
          <w:rFonts w:ascii="Palatino Linotype" w:eastAsia="Palatino Linotype" w:hAnsi="Palatino Linotype" w:cs="Palatino Linotype"/>
          <w:i/>
          <w:sz w:val="22"/>
          <w:szCs w:val="22"/>
        </w:rPr>
        <w:t>Para los efectos de la presente Ley se entenderá por:</w:t>
      </w:r>
    </w:p>
    <w:p w14:paraId="626283CF"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p>
    <w:p w14:paraId="786791C2" w14:textId="77777777" w:rsidR="004201D9" w:rsidRPr="00CA39B3" w:rsidRDefault="000668C9">
      <w:pPr>
        <w:ind w:left="851" w:right="89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b/>
          <w:i/>
          <w:color w:val="000000"/>
          <w:sz w:val="22"/>
          <w:szCs w:val="22"/>
        </w:rPr>
        <w:t>XI. Documento:</w:t>
      </w:r>
      <w:r w:rsidRPr="00CA39B3">
        <w:rPr>
          <w:rFonts w:ascii="Palatino Linotype" w:eastAsia="Palatino Linotype" w:hAnsi="Palatino Linotype" w:cs="Palatino Linotype"/>
          <w:i/>
          <w:color w:val="000000"/>
          <w:sz w:val="22"/>
          <w:szCs w:val="22"/>
        </w:rPr>
        <w:t xml:space="preserve"> Los expedientes, reportes, estudios, actas</w:t>
      </w:r>
      <w:r w:rsidRPr="00CA39B3">
        <w:rPr>
          <w:rFonts w:ascii="Palatino Linotype" w:eastAsia="Palatino Linotype" w:hAnsi="Palatino Linotype" w:cs="Palatino Linotype"/>
          <w:b/>
          <w:i/>
          <w:color w:val="000000"/>
          <w:sz w:val="22"/>
          <w:szCs w:val="22"/>
        </w:rPr>
        <w:t>,</w:t>
      </w:r>
      <w:r w:rsidRPr="00CA39B3">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84FBF74" w14:textId="77777777" w:rsidR="004201D9" w:rsidRPr="00CA39B3" w:rsidRDefault="004201D9">
      <w:pPr>
        <w:ind w:left="851" w:right="899"/>
        <w:jc w:val="both"/>
        <w:rPr>
          <w:rFonts w:ascii="Palatino Linotype" w:eastAsia="Palatino Linotype" w:hAnsi="Palatino Linotype" w:cs="Palatino Linotype"/>
          <w:sz w:val="22"/>
          <w:szCs w:val="22"/>
        </w:rPr>
      </w:pPr>
    </w:p>
    <w:p w14:paraId="6670A845"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AF444D3" w14:textId="77777777" w:rsidR="004201D9" w:rsidRPr="00CA39B3" w:rsidRDefault="004201D9">
      <w:pPr>
        <w:ind w:left="851" w:right="899"/>
        <w:jc w:val="both"/>
        <w:rPr>
          <w:rFonts w:ascii="Palatino Linotype" w:eastAsia="Palatino Linotype" w:hAnsi="Palatino Linotype" w:cs="Palatino Linotype"/>
        </w:rPr>
      </w:pPr>
    </w:p>
    <w:p w14:paraId="5800F964"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sz w:val="22"/>
          <w:szCs w:val="22"/>
        </w:rPr>
        <w:t>“</w:t>
      </w:r>
      <w:r w:rsidRPr="00CA39B3">
        <w:rPr>
          <w:rFonts w:ascii="Palatino Linotype" w:eastAsia="Palatino Linotype" w:hAnsi="Palatino Linotype" w:cs="Palatino Linotype"/>
          <w:b/>
          <w:i/>
          <w:sz w:val="22"/>
          <w:szCs w:val="22"/>
        </w:rPr>
        <w:t>CRITERIO 0002-11</w:t>
      </w:r>
    </w:p>
    <w:p w14:paraId="386C47A5"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A39B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D05685F"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381DFC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87291E8"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E546F77"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Obligados.”(Sic)</w:t>
      </w:r>
    </w:p>
    <w:p w14:paraId="5844D736"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al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lo siguiente</w:t>
      </w:r>
    </w:p>
    <w:p w14:paraId="6401082F" w14:textId="77777777" w:rsidR="004201D9" w:rsidRPr="00CA39B3" w:rsidRDefault="000668C9">
      <w:pPr>
        <w:numPr>
          <w:ilvl w:val="0"/>
          <w:numId w:val="6"/>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 xml:space="preserve">SE ME INFORME A QUE PERSONA FÍSICA O JURÍDICA COLECTIVA (MORAL) LE COMPRAN EL MATERIAL DE OFICINA, ES DECIR, TODO AQUEL MATERIAL CON EL QUE TRABAJA EL PERSONAL ADMINISTRATIVO, CADA CUANTO LE SURTE EL MATERIAL AL AYUNTAMIENTO, </w:t>
      </w:r>
      <w:r w:rsidRPr="00CA39B3">
        <w:rPr>
          <w:rFonts w:ascii="Palatino Linotype" w:eastAsia="Palatino Linotype" w:hAnsi="Palatino Linotype" w:cs="Palatino Linotype"/>
          <w:b/>
          <w:i/>
          <w:color w:val="000000"/>
          <w:sz w:val="22"/>
          <w:szCs w:val="22"/>
        </w:rPr>
        <w:t>COMO ES LA FORMA DE PAGO POR PARTE DEL AYUNTAMIENTO</w:t>
      </w:r>
      <w:r w:rsidRPr="00CA39B3">
        <w:rPr>
          <w:rFonts w:ascii="Palatino Linotype" w:eastAsia="Palatino Linotype" w:hAnsi="Palatino Linotype" w:cs="Palatino Linotype"/>
          <w:i/>
          <w:color w:val="000000"/>
          <w:sz w:val="22"/>
          <w:szCs w:val="22"/>
        </w:rPr>
        <w:t xml:space="preserve"> Y TOMANDO EN CUENTA DE QUE SE TRATA DE MATERIAL QUE SE SURTE AL AYUNTAMIENTO, EL PROCESO DE LICITACIÓN DONDE SE ACREDITE QUE FUE LA PERSONA CON MEJOR PRECIOS EN EL MATERIAL O TODO AQUEL DOCUMENTO DONDE SE JUSTIFIQUE QUE LA PERSONA QUE SURTE EL MATERIAL ERA LA MEJOR OPCIÓN.</w:t>
      </w:r>
    </w:p>
    <w:p w14:paraId="16A3DD8D" w14:textId="77777777" w:rsidR="004201D9" w:rsidRPr="00CA39B3" w:rsidRDefault="000668C9">
      <w:pPr>
        <w:spacing w:before="240" w:after="240" w:line="360" w:lineRule="auto"/>
        <w:ind w:right="49"/>
        <w:jc w:val="both"/>
        <w:rPr>
          <w:rFonts w:ascii="Palatino Linotype" w:eastAsia="Palatino Linotype" w:hAnsi="Palatino Linotype" w:cs="Palatino Linotype"/>
          <w:b/>
        </w:rPr>
      </w:pPr>
      <w:r w:rsidRPr="00CA39B3">
        <w:rPr>
          <w:rFonts w:ascii="Palatino Linotype" w:eastAsia="Palatino Linotype" w:hAnsi="Palatino Linotype" w:cs="Palatino Linotype"/>
        </w:rPr>
        <w:t xml:space="preserve">En respuesta, el </w:t>
      </w:r>
      <w:r w:rsidRPr="00CA39B3">
        <w:rPr>
          <w:rFonts w:ascii="Palatino Linotype" w:eastAsia="Palatino Linotype" w:hAnsi="Palatino Linotype" w:cs="Palatino Linotype"/>
          <w:b/>
        </w:rPr>
        <w:t xml:space="preserve">SUJETO OBLIGADO </w:t>
      </w:r>
      <w:r w:rsidRPr="00CA39B3">
        <w:rPr>
          <w:rFonts w:ascii="Palatino Linotype" w:eastAsia="Palatino Linotype" w:hAnsi="Palatino Linotype" w:cs="Palatino Linotype"/>
        </w:rPr>
        <w:t xml:space="preserve">a través de su Coordinador de Recursos Materiales, informó que respecto de lo requerido en la solicitud número </w:t>
      </w:r>
      <w:r w:rsidRPr="00CA39B3">
        <w:rPr>
          <w:rFonts w:ascii="Palatino Linotype" w:eastAsia="Palatino Linotype" w:hAnsi="Palatino Linotype" w:cs="Palatino Linotype"/>
          <w:b/>
        </w:rPr>
        <w:t xml:space="preserve">00101/TEZOYUCA/IP/2023,  haciendo una búsqueda exhaustiva, no se encontró la información solicitada en esta área, por lo que solicitó se realice una sesión por parte del Comité de Transparencia, por la inexistencia de la documentación requerida. </w:t>
      </w:r>
    </w:p>
    <w:p w14:paraId="277721F9"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Circunstancia que se tuvo por hecho al remitir el Acta de la Novena Sesión Ordinaria del Comité de Transparencia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por medio del cual declaró la inexistencia de la información requerida en la solicitud número </w:t>
      </w:r>
      <w:r w:rsidRPr="00CA39B3">
        <w:rPr>
          <w:rFonts w:ascii="Palatino Linotype" w:eastAsia="Palatino Linotype" w:hAnsi="Palatino Linotype" w:cs="Palatino Linotype"/>
          <w:b/>
        </w:rPr>
        <w:t>00101/TEZOYUCA/IP/2023;</w:t>
      </w:r>
      <w:r w:rsidRPr="00CA39B3">
        <w:rPr>
          <w:rFonts w:ascii="Palatino Linotype" w:eastAsia="Palatino Linotype" w:hAnsi="Palatino Linotype" w:cs="Palatino Linotype"/>
        </w:rPr>
        <w:t xml:space="preserve"> asimismo,</w:t>
      </w:r>
      <w:r w:rsidRPr="00CA39B3">
        <w:rPr>
          <w:rFonts w:ascii="Palatino Linotype" w:eastAsia="Palatino Linotype" w:hAnsi="Palatino Linotype" w:cs="Palatino Linotype"/>
          <w:b/>
        </w:rPr>
        <w:t xml:space="preserve"> </w:t>
      </w:r>
      <w:r w:rsidRPr="00CA39B3">
        <w:rPr>
          <w:rFonts w:ascii="Palatino Linotype" w:eastAsia="Palatino Linotype" w:hAnsi="Palatino Linotype" w:cs="Palatino Linotype"/>
        </w:rPr>
        <w:t xml:space="preserve">remitió el oficio por medio del cual la </w:t>
      </w:r>
      <w:r w:rsidRPr="00CA39B3">
        <w:rPr>
          <w:rFonts w:ascii="Palatino Linotype" w:eastAsia="Palatino Linotype" w:hAnsi="Palatino Linotype" w:cs="Palatino Linotype"/>
        </w:rPr>
        <w:lastRenderedPageBreak/>
        <w:t>Directora de la Unidad de Transparencia</w:t>
      </w:r>
      <w:r w:rsidRPr="00CA39B3">
        <w:rPr>
          <w:rFonts w:ascii="Palatino Linotype" w:eastAsia="Palatino Linotype" w:hAnsi="Palatino Linotype" w:cs="Palatino Linotype"/>
          <w:strike/>
          <w:color w:val="C00000"/>
        </w:rPr>
        <w:t xml:space="preserve">, </w:t>
      </w:r>
      <w:r w:rsidRPr="00CA39B3">
        <w:rPr>
          <w:rFonts w:ascii="Palatino Linotype" w:eastAsia="Palatino Linotype" w:hAnsi="Palatino Linotype" w:cs="Palatino Linotype"/>
        </w:rPr>
        <w:t xml:space="preserve">informó al Contralor, ambos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inicie el procedimiento de responsabilidad correspondiente.</w:t>
      </w:r>
    </w:p>
    <w:p w14:paraId="205F0654"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No conforme con la respuesta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xml:space="preserve"> interpuso el recurso de revisión que se analiza en el presente asunto, por medio del cual se inconformó en lo medular por la negativa de la información solicitada y la declaratoria de inexistencia.</w:t>
      </w:r>
    </w:p>
    <w:p w14:paraId="7882992E"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Ante la interposición del recurso de revisión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este rindió su informe justificado por medio del cual ratificó su respuesta inicial. </w:t>
      </w:r>
    </w:p>
    <w:p w14:paraId="453B83A7" w14:textId="77777777" w:rsidR="004201D9" w:rsidRPr="00CA39B3" w:rsidRDefault="004201D9">
      <w:pPr>
        <w:spacing w:line="360" w:lineRule="auto"/>
        <w:jc w:val="both"/>
        <w:rPr>
          <w:rFonts w:ascii="Palatino Linotype" w:eastAsia="Palatino Linotype" w:hAnsi="Palatino Linotype" w:cs="Palatino Linotype"/>
        </w:rPr>
      </w:pPr>
    </w:p>
    <w:p w14:paraId="173686F2"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color w:val="000000"/>
        </w:rPr>
        <w:t>Con base en lo precedente</w:t>
      </w:r>
      <w:r w:rsidRPr="00CA39B3">
        <w:rPr>
          <w:rFonts w:ascii="Palatino Linotype" w:eastAsia="Palatino Linotype" w:hAnsi="Palatino Linotype" w:cs="Palatino Linotype"/>
        </w:rPr>
        <w:t xml:space="preserve">, se determina que la información proporcionada por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en su respuesta, cumple parcialmente con lo establecido por los artículos 4, 12, 24 último párrafo y 162 de la Ley de Transparencia y Acceso a la Información Pública del Estado de México y Municipios; por ello, los motivos de inconformidad acontecen fundados para modificar la respuesta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en razón de las consideraciones de derecho que a continuación se exponen:</w:t>
      </w:r>
    </w:p>
    <w:p w14:paraId="21E3AD42"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Antes del estudio de fondo, se debe precisar que de los motivos de inconformidad de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en donde solicitó “…</w:t>
      </w:r>
      <w:r w:rsidRPr="00CA39B3">
        <w:rPr>
          <w:rFonts w:ascii="Palatino Linotype" w:eastAsia="Palatino Linotype" w:hAnsi="Palatino Linotype" w:cs="Palatino Linotype"/>
          <w:i/>
        </w:rPr>
        <w:t>también solicito se me informe el nombre o dueño de la empresa a quien le compran el material de oficina</w:t>
      </w:r>
      <w:r w:rsidRPr="00CA39B3">
        <w:rPr>
          <w:rFonts w:ascii="Verdana" w:eastAsia="Verdana" w:hAnsi="Verdana" w:cs="Verdana"/>
          <w:color w:val="000000"/>
          <w:sz w:val="14"/>
          <w:szCs w:val="14"/>
        </w:rPr>
        <w:t>.</w:t>
      </w:r>
      <w:r w:rsidRPr="00CA39B3">
        <w:rPr>
          <w:rFonts w:ascii="Palatino Linotype" w:eastAsia="Palatino Linotype" w:hAnsi="Palatino Linotype" w:cs="Palatino Linotype"/>
        </w:rPr>
        <w:t xml:space="preserve">…”  (Sic), se aprecia que requiere nuevo requerimiento de información que de la solicitud de información se advierte que dicho documento no fue solicitado, como se desprende del antecedente marcado con el numeral 1 de la presente resolución, por lo que constituye en su totalidad nuevo requerimiento de información, configurándose así </w:t>
      </w:r>
      <w:r w:rsidRPr="00CA39B3">
        <w:rPr>
          <w:rFonts w:ascii="Palatino Linotype" w:eastAsia="Palatino Linotype" w:hAnsi="Palatino Linotype" w:cs="Palatino Linotype"/>
        </w:rPr>
        <w:lastRenderedPageBreak/>
        <w:t xml:space="preserve">lo que se conoce como </w:t>
      </w:r>
      <w:r w:rsidRPr="00CA39B3">
        <w:rPr>
          <w:rFonts w:ascii="Palatino Linotype" w:eastAsia="Palatino Linotype" w:hAnsi="Palatino Linotype" w:cs="Palatino Linotype"/>
          <w:i/>
        </w:rPr>
        <w:t xml:space="preserve">plus </w:t>
      </w:r>
      <w:proofErr w:type="spellStart"/>
      <w:r w:rsidRPr="00CA39B3">
        <w:rPr>
          <w:rFonts w:ascii="Palatino Linotype" w:eastAsia="Palatino Linotype" w:hAnsi="Palatino Linotype" w:cs="Palatino Linotype"/>
          <w:i/>
        </w:rPr>
        <w:t>petitio</w:t>
      </w:r>
      <w:proofErr w:type="spellEnd"/>
      <w:r w:rsidRPr="00CA39B3">
        <w:rPr>
          <w:rFonts w:ascii="Palatino Linotype" w:eastAsia="Palatino Linotype" w:hAnsi="Palatino Linotype" w:cs="Palatino Linotype"/>
          <w:b/>
          <w:i/>
        </w:rPr>
        <w:t xml:space="preserve">, </w:t>
      </w:r>
      <w:r w:rsidRPr="00CA39B3">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xml:space="preserve"> formuló un nuevo cuestionamiento, en los que solicitó información que no formó parte de su solicitud inicial y por lo tanto son inatendibles a través del recurso de revisión. </w:t>
      </w:r>
    </w:p>
    <w:p w14:paraId="367A916C" w14:textId="77777777" w:rsidR="004201D9" w:rsidRPr="00CA39B3" w:rsidRDefault="000668C9">
      <w:pPr>
        <w:spacing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En este tenor, es posible determinar que para el caso que nos ocupa, el argumento formulado como motivos o razones de inconformidad son una ampliación a la solicitud inicial y corresponden a un nuevo requerimiento de información, que no se encuentra relacionado con lo solicitado en un primer momento.</w:t>
      </w:r>
    </w:p>
    <w:p w14:paraId="1729AAE9"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En este orden de ideas, una vez formulada su solicitud inicial,</w:t>
      </w:r>
      <w:r w:rsidRPr="00CA39B3">
        <w:rPr>
          <w:rFonts w:ascii="Palatino Linotype" w:eastAsia="Palatino Linotype" w:hAnsi="Palatino Linotype" w:cs="Palatino Linotype"/>
          <w:i/>
        </w:rPr>
        <w:t xml:space="preserve"> </w:t>
      </w:r>
      <w:r w:rsidRPr="00CA39B3">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48E7BD8" w14:textId="77777777" w:rsidR="004201D9" w:rsidRPr="00CA39B3" w:rsidRDefault="000668C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A39B3">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5931E715" w14:textId="77777777" w:rsidR="004201D9" w:rsidRPr="00CA39B3" w:rsidRDefault="000668C9">
      <w:pPr>
        <w:spacing w:before="240" w:after="240"/>
        <w:ind w:left="851" w:right="900"/>
        <w:jc w:val="both"/>
        <w:rPr>
          <w:rFonts w:ascii="Palatino Linotype" w:eastAsia="Palatino Linotype" w:hAnsi="Palatino Linotype" w:cs="Palatino Linotype"/>
        </w:rPr>
      </w:pPr>
      <w:r w:rsidRPr="00CA39B3">
        <w:rPr>
          <w:rFonts w:ascii="Palatino Linotype" w:eastAsia="Palatino Linotype" w:hAnsi="Palatino Linotype" w:cs="Palatino Linotype"/>
          <w:i/>
          <w:sz w:val="22"/>
          <w:szCs w:val="22"/>
        </w:rPr>
        <w:t>“</w:t>
      </w:r>
      <w:r w:rsidRPr="00CA39B3">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CA39B3">
        <w:rPr>
          <w:rFonts w:ascii="Palatino Linotype" w:eastAsia="Palatino Linotype" w:hAnsi="Palatino Linotype" w:cs="Palatino Linotype"/>
          <w:i/>
          <w:sz w:val="22"/>
          <w:szCs w:val="22"/>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w:t>
      </w:r>
      <w:r w:rsidRPr="00CA39B3">
        <w:rPr>
          <w:rFonts w:ascii="Palatino Linotype" w:eastAsia="Palatino Linotype" w:hAnsi="Palatino Linotype" w:cs="Palatino Linotype"/>
          <w:i/>
          <w:sz w:val="22"/>
          <w:szCs w:val="22"/>
        </w:rPr>
        <w:lastRenderedPageBreak/>
        <w:t>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A39B3">
        <w:rPr>
          <w:rFonts w:ascii="Palatino Linotype" w:eastAsia="Palatino Linotype" w:hAnsi="Palatino Linotype" w:cs="Palatino Linotype"/>
          <w:b/>
          <w:i/>
          <w:sz w:val="22"/>
          <w:szCs w:val="22"/>
        </w:rPr>
        <w:t>.</w:t>
      </w:r>
      <w:r w:rsidRPr="00CA39B3">
        <w:rPr>
          <w:rFonts w:ascii="Palatino Linotype" w:eastAsia="Palatino Linotype" w:hAnsi="Palatino Linotype" w:cs="Palatino Linotype"/>
          <w:i/>
          <w:sz w:val="22"/>
          <w:szCs w:val="22"/>
        </w:rPr>
        <w:t>”</w:t>
      </w:r>
    </w:p>
    <w:p w14:paraId="6A7AF3C2" w14:textId="77777777" w:rsidR="004201D9" w:rsidRPr="00CA39B3" w:rsidRDefault="000668C9">
      <w:pP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Ahora bien, sobre la naturaleza de la información solicitada, los artículos 1°, fracción I, y 4°de la Ley de la de Contratación Pública del Estado de México y Municipios, especifica que los Municipios del Estado de México, serán los encargados de realizar los actos relativos a la planeación, programación, presupuestación, ejecución y control de la adquisición, arrendamiento de bienes y </w:t>
      </w:r>
      <w:r w:rsidRPr="00CA39B3">
        <w:rPr>
          <w:rFonts w:ascii="Palatino Linotype" w:eastAsia="Palatino Linotype" w:hAnsi="Palatino Linotype" w:cs="Palatino Linotype"/>
          <w:b/>
        </w:rPr>
        <w:t>la contratación de servicios de cualquier naturaleza</w:t>
      </w:r>
      <w:r w:rsidRPr="00CA39B3">
        <w:rPr>
          <w:rFonts w:ascii="Palatino Linotype" w:eastAsia="Palatino Linotype" w:hAnsi="Palatino Linotype" w:cs="Palatino Linotype"/>
        </w:rPr>
        <w:t>, que realicen los Ayuntamientos del Estado de México; que señalan al respecto lo siguiente:</w:t>
      </w:r>
    </w:p>
    <w:p w14:paraId="09E63F3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1.- Esta Ley tiene por objeto regular los actos relativos a la planeación, programación, presupuestación, ejecución y control de la adquisición, enajenación y arrendamiento de bienes, y la contratación de servicios de cualquier naturaleza, que realicen: </w:t>
      </w:r>
    </w:p>
    <w:p w14:paraId="61148788"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I.</w:t>
      </w:r>
      <w:r w:rsidRPr="00CA39B3">
        <w:rPr>
          <w:rFonts w:ascii="Palatino Linotype" w:eastAsia="Palatino Linotype" w:hAnsi="Palatino Linotype" w:cs="Palatino Linotype"/>
          <w:b/>
          <w:i/>
          <w:sz w:val="22"/>
          <w:szCs w:val="22"/>
        </w:rPr>
        <w:t xml:space="preserve"> </w:t>
      </w:r>
      <w:r w:rsidRPr="00CA39B3">
        <w:rPr>
          <w:rFonts w:ascii="Palatino Linotype" w:eastAsia="Palatino Linotype" w:hAnsi="Palatino Linotype" w:cs="Palatino Linotype"/>
          <w:i/>
          <w:sz w:val="22"/>
          <w:szCs w:val="22"/>
        </w:rPr>
        <w:t xml:space="preserve">Las secretarías y las unidades administrativas del Poder Ejecutivo del Estado. </w:t>
      </w:r>
    </w:p>
    <w:p w14:paraId="6BA0691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 Derogada. </w:t>
      </w:r>
    </w:p>
    <w:p w14:paraId="03EC546D"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III. Los ayuntamientos de los municipios del Estado. </w:t>
      </w:r>
    </w:p>
    <w:p w14:paraId="1C6F8E93"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IV. Los organismos auxiliares y fideicomisos públicos, de carácter estatal o municipal. </w:t>
      </w:r>
    </w:p>
    <w:p w14:paraId="7EBD60F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 Los tribunales administrativos. </w:t>
      </w:r>
    </w:p>
    <w:p w14:paraId="423E9D9B"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Los actos a los que se refiere este artículo que se realicen con cargo total o parcial a fondos del Gobierno del Estado de México, se estarán a lo dispuesto por esta Ley. </w:t>
      </w:r>
    </w:p>
    <w:p w14:paraId="77311919"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Los actos a que se refiere este artículo que se realicen con cargo total o parcial a fondos del Gobierno Federal, estarán a lo dispuesto por la legislación federal. También serán aplicables las disposiciones de esta Ley a los particulares que participen en los procedimientos, operaciones o contratos regulados en esta Ley. </w:t>
      </w:r>
    </w:p>
    <w:p w14:paraId="319CD37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Los poderes Legislativo y Judicial, así como los organismos autónomos aplicarán las disposiciones de esta Ley en lo que no se oponga a los ordenamientos legales que los regulan, sujetándose a sus propios órganos de control. No será aplicable lo dispuesto por esta Ley en los actos objeto del mismo, derivados de convenios celebrados entre dependencias, entidades y ayuntamientos, entre sí o con los de otros estados o de la Federación, excepto cuando sea parte un particular en los procedimientos o contratos respectivos. </w:t>
      </w:r>
    </w:p>
    <w:p w14:paraId="6869279D"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lastRenderedPageBreak/>
        <w:t xml:space="preserve">Tampoco serán aplicables las disposiciones de esta Ley en los actos que realicen los fideicomisos públicos en los que el Gobierno del Estado no sea fideicomitente único. </w:t>
      </w:r>
    </w:p>
    <w:p w14:paraId="25219265"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p>
    <w:p w14:paraId="13F9F6C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Artículo 4.- Para los efectos de esta Ley, en las adquisiciones</w:t>
      </w:r>
      <w:r w:rsidRPr="00CA39B3">
        <w:rPr>
          <w:rFonts w:ascii="Palatino Linotype" w:eastAsia="Palatino Linotype" w:hAnsi="Palatino Linotype" w:cs="Palatino Linotype"/>
          <w:i/>
          <w:sz w:val="22"/>
          <w:szCs w:val="22"/>
        </w:rPr>
        <w:t xml:space="preserve">, enajenaciones, arrendamientos </w:t>
      </w:r>
      <w:r w:rsidRPr="00CA39B3">
        <w:rPr>
          <w:rFonts w:ascii="Palatino Linotype" w:eastAsia="Palatino Linotype" w:hAnsi="Palatino Linotype" w:cs="Palatino Linotype"/>
          <w:b/>
          <w:i/>
          <w:sz w:val="22"/>
          <w:szCs w:val="22"/>
        </w:rPr>
        <w:t>y servicios, quedan comprendidos</w:t>
      </w:r>
      <w:r w:rsidRPr="00CA39B3">
        <w:rPr>
          <w:rFonts w:ascii="Palatino Linotype" w:eastAsia="Palatino Linotype" w:hAnsi="Palatino Linotype" w:cs="Palatino Linotype"/>
          <w:i/>
          <w:sz w:val="22"/>
          <w:szCs w:val="22"/>
        </w:rPr>
        <w:t>:</w:t>
      </w:r>
    </w:p>
    <w:p w14:paraId="777DBC3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 La adquisición de bienes muebles. </w:t>
      </w:r>
    </w:p>
    <w:p w14:paraId="2DAB389E"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 La adquisición de bienes inmuebles, a través de compraventa. </w:t>
      </w:r>
    </w:p>
    <w:p w14:paraId="1CA7D1C1"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III. La enajenación de bienes muebles e inmuebles. </w:t>
      </w:r>
    </w:p>
    <w:p w14:paraId="6D26901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IV. El arrendamiento de bienes muebles e inmuebles. </w:t>
      </w:r>
    </w:p>
    <w:p w14:paraId="7B736872"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 La contratación de los servicios, relacionados con bienes muebles que se encuentran incorporados o adheridos a bienes inmuebles, cuya instalación o mantenimiento no implique modificación al bien inmueble. </w:t>
      </w:r>
    </w:p>
    <w:p w14:paraId="157ADB5F"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 La contratación de los servicios de reconstrucción y mantenimiento de bienes muebles. </w:t>
      </w:r>
    </w:p>
    <w:p w14:paraId="253E8C07"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VII. La contratación de los servicios de maquila, seguros y transportación, así como de los de limpieza y vigilancia de bienes inmuebles. </w:t>
      </w:r>
    </w:p>
    <w:p w14:paraId="6B8EAB14"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5B46037E"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En general, otros actos que impliquen la contratación de servicios de cualquier naturaleza. </w:t>
      </w:r>
    </w:p>
    <w:p w14:paraId="2800E1E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No aplicarán las disposiciones de la presente Ley a la operación, administración, uso, goce, disposición o cualquier otro acto jurídico sobre bienes muebles o inmuebles que pudieren regularse por esta Ley, si dichos actos derivan de la prestación de servicios bajo la modalidad de proyectos para prestación de servicios; en estos casos, aplicarán las disposiciones del Libro Décimo Sexto del Código Administrativo del Estado de México. La contratación de seguros de garantía financiera, así como de servicios profesionales, consultorías, asesorías, estudios e investigaciones en relación con créditos, empréstitos, préstamos o financiamientos de cualquier naturaleza, incluyendo la emisión de valores, o cualquier otro servicio financiero no estarán sujetos a lo dispuesto por esta Ley. Tampoco aplicará esta ley a la contratación de servicios financieros relacionados con la apertura de cuentas bancarias para la recepción y manejo, inversión y pago de recursos públicos.” (Sic)</w:t>
      </w:r>
    </w:p>
    <w:p w14:paraId="44E70853"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Asimismo, conforme a los artículos 26 y 27 de la Ley de la de Contratación Pública del Estado de México y Municipios, las adquisiciones, arrendamientos y servicios, </w:t>
      </w:r>
      <w:r w:rsidRPr="00CA39B3">
        <w:rPr>
          <w:rFonts w:ascii="Palatino Linotype" w:eastAsia="Palatino Linotype" w:hAnsi="Palatino Linotype" w:cs="Palatino Linotype"/>
        </w:rPr>
        <w:lastRenderedPageBreak/>
        <w:t xml:space="preserve">se adjudicarán a través de procedimientos de </w:t>
      </w:r>
      <w:r w:rsidRPr="00CA39B3">
        <w:rPr>
          <w:rFonts w:ascii="Palatino Linotype" w:eastAsia="Palatino Linotype" w:hAnsi="Palatino Linotype" w:cs="Palatino Linotype"/>
          <w:b/>
        </w:rPr>
        <w:t>licitación pública</w:t>
      </w:r>
      <w:r w:rsidRPr="00CA39B3">
        <w:rPr>
          <w:rFonts w:ascii="Palatino Linotype" w:eastAsia="Palatino Linotype" w:hAnsi="Palatino Linotype" w:cs="Palatino Linotype"/>
        </w:rPr>
        <w:t>, invitación restringida y adjudicación directa, que señalan:</w:t>
      </w:r>
    </w:p>
    <w:p w14:paraId="6E3734D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26.- Las adquisiciones, arrendamientos y servicios se adjudicarán a través </w:t>
      </w:r>
      <w:r w:rsidRPr="00CA39B3">
        <w:rPr>
          <w:rFonts w:ascii="Palatino Linotype" w:eastAsia="Palatino Linotype" w:hAnsi="Palatino Linotype" w:cs="Palatino Linotype"/>
          <w:b/>
          <w:i/>
          <w:sz w:val="22"/>
          <w:szCs w:val="22"/>
        </w:rPr>
        <w:t>de licitaciones públicas</w:t>
      </w:r>
      <w:r w:rsidRPr="00CA39B3">
        <w:rPr>
          <w:rFonts w:ascii="Palatino Linotype" w:eastAsia="Palatino Linotype" w:hAnsi="Palatino Linotype" w:cs="Palatino Linotype"/>
          <w:i/>
          <w:sz w:val="22"/>
          <w:szCs w:val="22"/>
        </w:rPr>
        <w:t xml:space="preserve">, mediante convocatoria pública. </w:t>
      </w:r>
    </w:p>
    <w:p w14:paraId="56F2EA08"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Artículo 27.- La Secretaría, las entidades, los tribunales administrativos y los ayuntamientos podrán adjudicar adquisiciones, arrendamientos y servicios, mediante las excepciones al procedimiento de licitación que a continuación se señalan: I. Invitación restringida. II. Adjudicación directa” (Sic)</w:t>
      </w:r>
    </w:p>
    <w:p w14:paraId="40090B26" w14:textId="77777777" w:rsidR="004201D9" w:rsidRPr="00CA39B3" w:rsidRDefault="004201D9">
      <w:pPr>
        <w:ind w:left="851" w:right="899"/>
        <w:jc w:val="both"/>
        <w:rPr>
          <w:rFonts w:ascii="Palatino Linotype" w:eastAsia="Palatino Linotype" w:hAnsi="Palatino Linotype" w:cs="Palatino Linotype"/>
          <w:i/>
          <w:sz w:val="22"/>
          <w:szCs w:val="22"/>
        </w:rPr>
      </w:pPr>
    </w:p>
    <w:p w14:paraId="35FD8D44"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En donde se destaca el procedimiento de licitación pública, el cual consiste el siguiente en términos de lo señalado por los artículos 29 al 42 de la Ley de la de Contratación Pública del Estado de México y Municipios, que señalan:</w:t>
      </w:r>
    </w:p>
    <w:p w14:paraId="5B21491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29.- </w:t>
      </w:r>
      <w:r w:rsidRPr="00CA39B3">
        <w:rPr>
          <w:rFonts w:ascii="Palatino Linotype" w:eastAsia="Palatino Linotype" w:hAnsi="Palatino Linotype" w:cs="Palatino Linotype"/>
          <w:b/>
          <w:i/>
          <w:sz w:val="22"/>
          <w:szCs w:val="22"/>
        </w:rPr>
        <w:t>En el procedimiento de licitación pública</w:t>
      </w:r>
      <w:r w:rsidRPr="00CA39B3">
        <w:rPr>
          <w:rFonts w:ascii="Palatino Linotype" w:eastAsia="Palatino Linotype" w:hAnsi="Palatino Linotype" w:cs="Palatino Linotype"/>
          <w:i/>
          <w:sz w:val="22"/>
          <w:szCs w:val="22"/>
        </w:rPr>
        <w:t xml:space="preserve"> deberán establecerse los mismos requisitos y condiciones para todos los licitantes.</w:t>
      </w:r>
    </w:p>
    <w:p w14:paraId="26FDB39A"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6DDFCFEB"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Artículo 30.- Las licitaciones públicas podrán ser: </w:t>
      </w:r>
    </w:p>
    <w:p w14:paraId="3E385452"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 Nacionales, cuando únicamente puedan participar personas de nacionalidad mexicana. </w:t>
      </w:r>
    </w:p>
    <w:p w14:paraId="1207A1A3"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 Internacionales, cuando puedan participar tanto personas de nacionalidad mexicana como extranjera. </w:t>
      </w:r>
    </w:p>
    <w:p w14:paraId="49D0A782"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31.- Solamente se podrán llevar a cabo licitaciones internacionales cuando: Previa investigación de mercado que realice la convocante, no exista el bien o el servicio en el mercado nacional y no existan ofertas de empresas nacionales; o sea, convenientes en términos de precio, calidad, financiamiento y oportunidad. Resulte obligatorio por los tratados internacionales en que México sea parte o por convenios celebrados por el Gobierno del Estado. </w:t>
      </w:r>
    </w:p>
    <w:p w14:paraId="64B6F007"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 xml:space="preserve">Artículo 32.- </w:t>
      </w:r>
      <w:r w:rsidRPr="00CA39B3">
        <w:rPr>
          <w:rFonts w:ascii="Palatino Linotype" w:eastAsia="Palatino Linotype" w:hAnsi="Palatino Linotype" w:cs="Palatino Linotype"/>
          <w:i/>
          <w:sz w:val="22"/>
          <w:szCs w:val="22"/>
        </w:rPr>
        <w:t xml:space="preserve">La Secretaría, las entidades, los tribunales administrativos y </w:t>
      </w:r>
      <w:r w:rsidRPr="00CA39B3">
        <w:rPr>
          <w:rFonts w:ascii="Palatino Linotype" w:eastAsia="Palatino Linotype" w:hAnsi="Palatino Linotype" w:cs="Palatino Linotype"/>
          <w:b/>
          <w:i/>
          <w:sz w:val="22"/>
          <w:szCs w:val="22"/>
        </w:rPr>
        <w:t>los ayuntamientos</w:t>
      </w:r>
      <w:r w:rsidRPr="00CA39B3">
        <w:rPr>
          <w:rFonts w:ascii="Palatino Linotype" w:eastAsia="Palatino Linotype" w:hAnsi="Palatino Linotype" w:cs="Palatino Linotype"/>
          <w:i/>
          <w:sz w:val="22"/>
          <w:szCs w:val="22"/>
        </w:rPr>
        <w:t xml:space="preserve">, en términos de esta Ley, serán los responsables de llevar a cabo el procedimiento de licitación pública. </w:t>
      </w:r>
    </w:p>
    <w:p w14:paraId="5923398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lastRenderedPageBreak/>
        <w:t xml:space="preserve">Artículo 33.- 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 </w:t>
      </w:r>
    </w:p>
    <w:p w14:paraId="3762A29F"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 El nombre de la convocante. </w:t>
      </w:r>
    </w:p>
    <w:p w14:paraId="5E05788A"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 La descripción genérica de los bienes o servicios objeto de la licitación, así como la descripción especifica de por los menos cinco partidas o conceptos de mayor monto, de ser el caso. </w:t>
      </w:r>
    </w:p>
    <w:p w14:paraId="12EE2A9D"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III. La indicación de si la licitación es nacional o internacional, así como que las propuestas deberá presentarse en idioma español. </w:t>
      </w:r>
    </w:p>
    <w:p w14:paraId="55E592C3"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IV. El origen de los recursos. </w:t>
      </w:r>
    </w:p>
    <w:p w14:paraId="633C38DA"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 El lugar y plazo de entrega, así como las condiciones de pago. </w:t>
      </w:r>
    </w:p>
    <w:p w14:paraId="185DE042"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 La indicación de los lugares, fechas, horarios y medios electrónicos en que los interesados podrán obtener las bases de licitación y, en su caso, el costo, forma de pago y si la licitación será presencial, electrónica o mixta. </w:t>
      </w:r>
    </w:p>
    <w:p w14:paraId="64710E61"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VII. La fecha, hora y lugar de la o las juntas aclaratorias, en su caso. </w:t>
      </w:r>
    </w:p>
    <w:p w14:paraId="6041873D"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VIII. La fecha, hora y lugar de celebración del acto de presentación, apertura y evaluación de propuestas, dictamen y fallo. </w:t>
      </w:r>
    </w:p>
    <w:p w14:paraId="4CEE0D7F"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IX. En el caso de contratos abiertos, las cantidades y plazos mínimos y máximos</w:t>
      </w:r>
    </w:p>
    <w:p w14:paraId="63888EE9"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X. La indicación de las personas que estén impedidas a participar, conforme a las disposiciones de esta Ley. </w:t>
      </w:r>
    </w:p>
    <w:p w14:paraId="08DF6F51"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XI. La garantía que deberá otorgarse para asegurar la seriedad de la postura, tratándose de subasta. </w:t>
      </w:r>
    </w:p>
    <w:p w14:paraId="7EBE34C3"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XII. En su caso, la garantía de defectos o vicios ocultos de los bienes según lo determine la convocante, debiendo justificar dicho requisito. </w:t>
      </w:r>
    </w:p>
    <w:p w14:paraId="61FB21D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XIII. Los criterios específicos que se utilizarán para la evaluación de las propuestas y adjudicación de los contratos. </w:t>
      </w:r>
    </w:p>
    <w:p w14:paraId="7A4DF87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XIV. La justificación para no aceptar proposiciones conjuntas. </w:t>
      </w:r>
    </w:p>
    <w:p w14:paraId="1C41D263"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XV. Los demás requisitos generales que deberán cumplir los interesados, según las características y magnitud de los bienes y servicios. </w:t>
      </w:r>
    </w:p>
    <w:p w14:paraId="2430DBD6"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i/>
          <w:sz w:val="22"/>
          <w:szCs w:val="22"/>
        </w:rPr>
        <w:t xml:space="preserve">En la convocatoria deberá especificarse si en la licitación aplicará la modalidad de subasta inversa. La Secretaría de la Contraloría hará pública la información referente a los procedimientos de adquisición, a través de su portal de internet. Artículo 34.- </w:t>
      </w:r>
      <w:r w:rsidRPr="00CA39B3">
        <w:rPr>
          <w:rFonts w:ascii="Palatino Linotype" w:eastAsia="Palatino Linotype" w:hAnsi="Palatino Linotype" w:cs="Palatino Linotype"/>
          <w:b/>
          <w:i/>
          <w:sz w:val="22"/>
          <w:szCs w:val="22"/>
        </w:rPr>
        <w:t xml:space="preserve">Las bases de la licitación pública tendrán un costo de recuperación y contendrán los requisitos que se establezcan en el reglamento de esta Ley. </w:t>
      </w:r>
    </w:p>
    <w:p w14:paraId="016E593E"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i/>
          <w:sz w:val="22"/>
          <w:szCs w:val="22"/>
        </w:rPr>
        <w:t xml:space="preserve">Artículo 35.- En los </w:t>
      </w:r>
      <w:r w:rsidRPr="00CA39B3">
        <w:rPr>
          <w:rFonts w:ascii="Palatino Linotype" w:eastAsia="Palatino Linotype" w:hAnsi="Palatino Linotype" w:cs="Palatino Linotype"/>
          <w:b/>
          <w:i/>
          <w:sz w:val="22"/>
          <w:szCs w:val="22"/>
        </w:rPr>
        <w:t>procedimientos de licitación pública</w:t>
      </w:r>
      <w:r w:rsidRPr="00CA39B3">
        <w:rPr>
          <w:rFonts w:ascii="Palatino Linotype" w:eastAsia="Palatino Linotype" w:hAnsi="Palatino Linotype" w:cs="Palatino Linotype"/>
          <w:i/>
          <w:sz w:val="22"/>
          <w:szCs w:val="22"/>
        </w:rPr>
        <w:t xml:space="preserve"> se observará lo siguiente: </w:t>
      </w:r>
      <w:r w:rsidRPr="00CA39B3">
        <w:rPr>
          <w:rFonts w:ascii="Palatino Linotype" w:eastAsia="Palatino Linotype" w:hAnsi="Palatino Linotype" w:cs="Palatino Linotype"/>
          <w:b/>
          <w:i/>
          <w:sz w:val="22"/>
          <w:szCs w:val="22"/>
        </w:rPr>
        <w:t xml:space="preserve">I. El acto de presentación y apertura de propuestas se llevará a cabo por el servidor público que designe la convocante, conforme al procedimiento que se establezca en el reglamento de esta Ley. </w:t>
      </w:r>
    </w:p>
    <w:p w14:paraId="0162515B"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lastRenderedPageBreak/>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33D7BB85"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7641A9C7"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r w:rsidRPr="00CA39B3">
        <w:rPr>
          <w:rFonts w:ascii="Palatino Linotype" w:eastAsia="Palatino Linotype" w:hAnsi="Palatino Linotype" w:cs="Palatino Linotype"/>
          <w:i/>
          <w:sz w:val="22"/>
          <w:szCs w:val="22"/>
        </w:rPr>
        <w:t xml:space="preserve">. </w:t>
      </w:r>
    </w:p>
    <w:p w14:paraId="501B1B49"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V. Las modificaciones no podrán limitar el número de licitantes, sustituir o variar sustancialmente los bienes o servicios convocados originalmente, ni adicionar otros distintos. </w:t>
      </w:r>
    </w:p>
    <w:p w14:paraId="3AF2959D"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VI. Las modificaciones a la convocatoria o a las bases se harán del conocimiento de los interesados hasta tres días hábiles antes de la fecha señalada para el acto de presentación y apertura de propuestas. </w:t>
      </w:r>
    </w:p>
    <w:p w14:paraId="07627690"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VII. Se emitirá el fallo dentro de los 15 días hábiles siguientes a la publicación de la convocatoria. </w:t>
      </w:r>
    </w:p>
    <w:p w14:paraId="676B3393" w14:textId="77777777" w:rsidR="004201D9" w:rsidRPr="00CA39B3" w:rsidRDefault="000668C9">
      <w:pPr>
        <w:ind w:left="851" w:right="899"/>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VIII. Los licitantes se podrán registrar hasta el día y la hora fijados para el acto de presentación y apertura de propuestas.</w:t>
      </w:r>
    </w:p>
    <w:p w14:paraId="16A67043"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36.- El acto de presentación y apertura de propuestas se celebrará de manera pública y en presencia de todos los oferentes, en la forma siguiente: </w:t>
      </w:r>
    </w:p>
    <w:p w14:paraId="0A2D765C" w14:textId="77777777" w:rsidR="004201D9" w:rsidRPr="00CA39B3" w:rsidRDefault="000668C9">
      <w:pPr>
        <w:ind w:left="851" w:right="899"/>
        <w:jc w:val="both"/>
        <w:rPr>
          <w:rFonts w:ascii="Palatino Linotype" w:eastAsia="Palatino Linotype" w:hAnsi="Palatino Linotype" w:cs="Palatino Linotype"/>
          <w:i/>
          <w:sz w:val="22"/>
          <w:szCs w:val="22"/>
          <w:u w:val="single"/>
        </w:rPr>
      </w:pPr>
      <w:r w:rsidRPr="00CA39B3">
        <w:rPr>
          <w:rFonts w:ascii="Palatino Linotype" w:eastAsia="Palatino Linotype" w:hAnsi="Palatino Linotype" w:cs="Palatino Linotype"/>
          <w:i/>
          <w:sz w:val="22"/>
          <w:szCs w:val="22"/>
          <w:u w:val="single"/>
        </w:rPr>
        <w:t xml:space="preserve">I. Los licitantes presentarán, por escrito y en sobre cerrado por separado, sus propuestas técnica y económica, así como los demás documentos requeridos en las bases de la licitación. </w:t>
      </w:r>
    </w:p>
    <w:p w14:paraId="0D226DD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 La apertura de propuestas podrá efectuarse cuando se haya presentado una propuesta cuando menos. </w:t>
      </w:r>
    </w:p>
    <w:p w14:paraId="7CDD3A81"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III.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14:paraId="4E1A5FC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IV. Se procederá a la apertura de las propuestas económicas de los licitantes cuyas propuestas técnicas fueron aceptadas cuantitativamente. </w:t>
      </w:r>
    </w:p>
    <w:p w14:paraId="64D9F58A"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 Se desecharán las propuestas económicas que cuantitativamente no cumplan con cualquiera de los requisitos establecidos en las bases de la licitación, poniéndolas a disposición del interesado. </w:t>
      </w:r>
    </w:p>
    <w:p w14:paraId="18ADA692"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 Una vez efectuada la apertura de las propuestas técnicas y económicas, se elaborará el acta relativa a esta etapa del procedimiento y, posteriormente, se </w:t>
      </w:r>
      <w:r w:rsidRPr="00CA39B3">
        <w:rPr>
          <w:rFonts w:ascii="Palatino Linotype" w:eastAsia="Palatino Linotype" w:hAnsi="Palatino Linotype" w:cs="Palatino Linotype"/>
          <w:i/>
          <w:sz w:val="22"/>
          <w:szCs w:val="22"/>
        </w:rPr>
        <w:lastRenderedPageBreak/>
        <w:t xml:space="preserve">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14:paraId="58DBF70B"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VII.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14:paraId="09A15031"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VIII. 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14:paraId="0C8E308F"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El reglamento de esta Ley establecerá los criterios para la evaluación de las propuestas, así como el procedimiento para los actos de presentación y apertura de propuestas y de fallo. 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w:t>
      </w:r>
    </w:p>
    <w:p w14:paraId="45E99FB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En este supuesto, la propuesta deberá ser firmada por el representante común que, para ese acto, haya sido designado por el grupo de personas, ya sea autógrafamente o por los medios de identificación electrónica autorizados por la Ley de Gobierno Digital. </w:t>
      </w:r>
    </w:p>
    <w:p w14:paraId="2EA1DB92"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 </w:t>
      </w:r>
    </w:p>
    <w:p w14:paraId="12713593"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14:paraId="1C211176"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37.- El comité de adquisiciones y servicios realizará el análisis y evaluación de las propuestas, mediante la verificación del cumplimiento de la información y de la documentación solicitada en las bases de la licitación y conforme al criterio establecidas en las mismas. </w:t>
      </w:r>
    </w:p>
    <w:p w14:paraId="3BA7932A"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Una vez efectuado el análisis cualitativo de las propuestas presentadas, emitirá el dictamen de adjudicación a favor del oferente u oferentes que reúnan los requisitos administrativos, financieros, legales y técnicos requeridos por la convocante; </w:t>
      </w:r>
      <w:r w:rsidRPr="00CA39B3">
        <w:rPr>
          <w:rFonts w:ascii="Palatino Linotype" w:eastAsia="Palatino Linotype" w:hAnsi="Palatino Linotype" w:cs="Palatino Linotype"/>
          <w:i/>
          <w:sz w:val="22"/>
          <w:szCs w:val="22"/>
        </w:rPr>
        <w:lastRenderedPageBreak/>
        <w:t xml:space="preserve">garantizando en todo momento la obtención de las mejores condiciones en cuanto a precio, calidad, financiamiento, oportunidad y demás circunstancias pertinentes. </w:t>
      </w:r>
    </w:p>
    <w:p w14:paraId="26C58E0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38.-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14:paraId="03E72965"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 Artículo 39.- Para cada uno de los actos del procedimiento adquisitivo se levantará el acta respectiva, la cual será firmada por los participantes, sin que la falta de firma de alguno de ellos invalide su contenido y efectos. </w:t>
      </w:r>
    </w:p>
    <w:p w14:paraId="562BC2A9"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40.- En los casos en que las propuestas económicas estén por arriba del precio de mercado, la convocante lo hará de conocimiento de los participantes, a fin de que reduzcan los precios de sus propuestas hasta que se presente alguna que esté dentro del precio del estudio de mercado; en caso contrario, se declarará desierta la licitación. </w:t>
      </w:r>
    </w:p>
    <w:p w14:paraId="67D7A55C"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La convocante procederá a adjudicar el contrato al licitante que presente la propuesta que, estando dentro del precio de mercado, sea la más baja o haya obtenido el mejor puntaje en la evaluación, atendiendo al criterio utilizado, debiendo dar preferencia, en igualdad de condiciones, a las presentadas por micro, pequeñas y medianas empresas. </w:t>
      </w:r>
    </w:p>
    <w:p w14:paraId="56EF9DB3"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Si fuera el caso de que éstas hubieren presentado una misma oferta económica, se asignará a la que, a juicio del comité de adquisiciones y servicios, represente mayores ventajas para el convocante en cuanto a precio, fechas de entrega de bienes y/o prestación de servicios, así como otros criterios de valoración objetiva. Lo establecido en este artículo será aplicable en el procedimiento de invitación restringida. </w:t>
      </w:r>
    </w:p>
    <w:p w14:paraId="4181CFB8"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41.- La Secretaría, las entidades, los tribunales administrativos y los ayuntamientos procederán a declarar desierta la licitación en los procedimientos que tramiten, cuando no reciban propuesta alguna o las presentadas no reúnan los requisitos exigidos en las bases de licitación. Podrá declararse desierta una licitación parcialmente, cuando no se hubiese recibido propuesta alguna o las presentadas no reúnan los requisitos, respecto de una o varias partidas o conceptos. </w:t>
      </w:r>
    </w:p>
    <w:p w14:paraId="2C0A8AB4"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42.- La convocante podrá cancelar una licitación por caso fortuito o por causa de fuerza mayor, o cuando existan circunstancias debidamente justificadas que produzcan la extinción de la necesidad de adquirir los bienes y los servicios </w:t>
      </w:r>
      <w:r w:rsidRPr="00CA39B3">
        <w:rPr>
          <w:rFonts w:ascii="Palatino Linotype" w:eastAsia="Palatino Linotype" w:hAnsi="Palatino Linotype" w:cs="Palatino Linotype"/>
          <w:i/>
          <w:sz w:val="22"/>
          <w:szCs w:val="22"/>
        </w:rPr>
        <w:lastRenderedPageBreak/>
        <w:t xml:space="preserve">de que se trate, o que de continuarse con el procedimiento de licitación o contratación en su caso, se pudiera ocasionar un daño o perjuicio a la administración pública estatal o municipal. </w:t>
      </w:r>
    </w:p>
    <w:p w14:paraId="2B77F275"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Las convocantes deberán comunicar la cancelación a los interesados, mediante escrito en el que se justifique la causa o causas de la misma. </w:t>
      </w:r>
    </w:p>
    <w:p w14:paraId="339D4EE4" w14:textId="77777777" w:rsidR="004201D9" w:rsidRPr="00CA39B3" w:rsidRDefault="000668C9">
      <w:pPr>
        <w:ind w:left="851" w:right="899"/>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En estos casos, la cancelación no implicará ninguna responsabilidad de carácter económico para las convocantes.” (Sic)</w:t>
      </w:r>
    </w:p>
    <w:p w14:paraId="34E8593F"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De lo anterior se advierte que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como un Ayuntamiento del  Estado de México, conoce de toda la información generada con motivo de la licitación pública, invitación restringida y adjudicación directa en las que sea parte.</w:t>
      </w:r>
    </w:p>
    <w:p w14:paraId="50B48640"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Máxime, que la información solicitada se trata de una obligación de transparencia, en términos del artículo 92, fracción XXIX, en donde establece que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aquella que se relacione con los procesos y resultados sobre procedimientos de adjudicación directa, invitación restringida y licitación de cualquier naturaleza, como se lee enseguida: </w:t>
      </w:r>
    </w:p>
    <w:p w14:paraId="388F2037" w14:textId="77777777" w:rsidR="004201D9" w:rsidRPr="00CA39B3" w:rsidRDefault="000668C9">
      <w:pPr>
        <w:ind w:left="1276"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r w:rsidRPr="00CA39B3">
        <w:rPr>
          <w:rFonts w:ascii="Palatino Linotype" w:eastAsia="Palatino Linotype" w:hAnsi="Palatino Linotype" w:cs="Palatino Linotype"/>
          <w:b/>
          <w:i/>
          <w:sz w:val="22"/>
          <w:szCs w:val="22"/>
        </w:rPr>
        <w:t>Artículo 92</w:t>
      </w:r>
      <w:r w:rsidRPr="00CA39B3">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D3A516" w14:textId="77777777" w:rsidR="004201D9" w:rsidRPr="00CA39B3" w:rsidRDefault="000668C9">
      <w:pPr>
        <w:tabs>
          <w:tab w:val="left" w:pos="426"/>
        </w:tabs>
        <w:spacing w:before="120" w:after="120"/>
        <w:ind w:left="1276"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p>
    <w:p w14:paraId="0371254C" w14:textId="77777777" w:rsidR="004201D9" w:rsidRPr="00CA39B3" w:rsidRDefault="000668C9">
      <w:pPr>
        <w:tabs>
          <w:tab w:val="left" w:pos="426"/>
        </w:tabs>
        <w:spacing w:before="120" w:after="120"/>
        <w:ind w:left="1276"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XXIX.</w:t>
      </w:r>
      <w:r w:rsidRPr="00CA39B3">
        <w:rPr>
          <w:rFonts w:ascii="Palatino Linotype" w:eastAsia="Palatino Linotype" w:hAnsi="Palatino Linotype" w:cs="Palatino Linotype"/>
          <w:i/>
          <w:sz w:val="22"/>
          <w:szCs w:val="22"/>
        </w:rPr>
        <w:t xml:space="preserve"> La </w:t>
      </w:r>
      <w:r w:rsidRPr="00CA39B3">
        <w:rPr>
          <w:rFonts w:ascii="Palatino Linotype" w:eastAsia="Palatino Linotype" w:hAnsi="Palatino Linotype" w:cs="Palatino Linotype"/>
          <w:b/>
          <w:i/>
          <w:sz w:val="22"/>
          <w:szCs w:val="22"/>
        </w:rPr>
        <w:t>información sobre los procesos y resultados sobre procedimientos de adjudicación directa, invitación restringida</w:t>
      </w:r>
      <w:r w:rsidRPr="00CA39B3">
        <w:rPr>
          <w:rFonts w:ascii="Palatino Linotype" w:eastAsia="Palatino Linotype" w:hAnsi="Palatino Linotype" w:cs="Palatino Linotype"/>
          <w:b/>
          <w:i/>
          <w:sz w:val="22"/>
          <w:szCs w:val="22"/>
          <w:u w:val="single"/>
        </w:rPr>
        <w:t xml:space="preserve"> y licitación de cualquier naturaleza</w:t>
      </w:r>
      <w:r w:rsidRPr="00CA39B3">
        <w:rPr>
          <w:rFonts w:ascii="Palatino Linotype" w:eastAsia="Palatino Linotype" w:hAnsi="Palatino Linotype" w:cs="Palatino Linotype"/>
          <w:i/>
          <w:sz w:val="22"/>
          <w:szCs w:val="22"/>
          <w:u w:val="single"/>
        </w:rPr>
        <w:t xml:space="preserve">, </w:t>
      </w:r>
      <w:r w:rsidRPr="00CA39B3">
        <w:rPr>
          <w:rFonts w:ascii="Palatino Linotype" w:eastAsia="Palatino Linotype" w:hAnsi="Palatino Linotype" w:cs="Palatino Linotype"/>
          <w:b/>
          <w:i/>
          <w:sz w:val="22"/>
          <w:szCs w:val="22"/>
        </w:rPr>
        <w:t>incluyendo la versión pública</w:t>
      </w:r>
      <w:r w:rsidRPr="00CA39B3">
        <w:rPr>
          <w:rFonts w:ascii="Palatino Linotype" w:eastAsia="Palatino Linotype" w:hAnsi="Palatino Linotype" w:cs="Palatino Linotype"/>
          <w:i/>
          <w:sz w:val="22"/>
          <w:szCs w:val="22"/>
        </w:rPr>
        <w:t xml:space="preserve"> </w:t>
      </w:r>
      <w:r w:rsidRPr="00CA39B3">
        <w:rPr>
          <w:rFonts w:ascii="Palatino Linotype" w:eastAsia="Palatino Linotype" w:hAnsi="Palatino Linotype" w:cs="Palatino Linotype"/>
          <w:b/>
          <w:i/>
          <w:sz w:val="22"/>
          <w:szCs w:val="22"/>
          <w:u w:val="single"/>
        </w:rPr>
        <w:t xml:space="preserve">del expediente respectivo </w:t>
      </w:r>
      <w:r w:rsidRPr="00CA39B3">
        <w:rPr>
          <w:rFonts w:ascii="Palatino Linotype" w:eastAsia="Palatino Linotype" w:hAnsi="Palatino Linotype" w:cs="Palatino Linotype"/>
          <w:i/>
          <w:sz w:val="22"/>
          <w:szCs w:val="22"/>
        </w:rPr>
        <w:t>y de los contratos celebrados, que deberán contener, por los menos, lo siguiente:</w:t>
      </w:r>
    </w:p>
    <w:p w14:paraId="26B08218"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lastRenderedPageBreak/>
        <w:t>a) De licitaciones públicas o procedimientos de invitación restringida:</w:t>
      </w:r>
    </w:p>
    <w:p w14:paraId="5C7B9002"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b/>
        </w:rPr>
        <w:t>1</w:t>
      </w:r>
      <w:r w:rsidRPr="00CA39B3">
        <w:rPr>
          <w:rFonts w:ascii="Palatino Linotype" w:eastAsia="Palatino Linotype" w:hAnsi="Palatino Linotype" w:cs="Palatino Linotype"/>
          <w:b/>
          <w:i/>
          <w:sz w:val="22"/>
          <w:szCs w:val="22"/>
        </w:rPr>
        <w:t xml:space="preserve">) La convocatoria o invitación emitida, así como los fundamentos legales aplicados para llevarla a cabo; </w:t>
      </w:r>
    </w:p>
    <w:p w14:paraId="0B508CE6"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2) Los nombres de los participantes o invitados; </w:t>
      </w:r>
    </w:p>
    <w:p w14:paraId="2C3A03CF"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3) El nombre del ganador y las razones que lo justifican; </w:t>
      </w:r>
    </w:p>
    <w:p w14:paraId="48B0F524"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4) El área solicitante y la responsable de su ejecución; </w:t>
      </w:r>
    </w:p>
    <w:p w14:paraId="47B930DB"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5) Las convocatorias e invitaciones emitidas; </w:t>
      </w:r>
    </w:p>
    <w:p w14:paraId="2694260A"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6) Los dictámenes y fallo de adjudicación;</w:t>
      </w:r>
    </w:p>
    <w:p w14:paraId="1C84175D"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 7) El contrato y, en su caso, sus anexos; </w:t>
      </w:r>
    </w:p>
    <w:p w14:paraId="12811A70"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7DDFF162"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133C2D5F"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10) Origen de los recursos especificando si son federales, estatales o municipales, así como el tipo de fondo de participación o aportación respectiva; </w:t>
      </w:r>
    </w:p>
    <w:p w14:paraId="06A5573A"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11) Los convenios modificatorios que, en su caso, sean firmados, precisando el objeto y la fecha de celebración; </w:t>
      </w:r>
    </w:p>
    <w:p w14:paraId="10100B03"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12) Los informes de avance físico y financiero sobre las obras o servicios contratados; </w:t>
      </w:r>
    </w:p>
    <w:p w14:paraId="52833BBE"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13) El convenio de terminación; y </w:t>
      </w:r>
    </w:p>
    <w:p w14:paraId="0F97D712"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14) El finiquito.</w:t>
      </w:r>
    </w:p>
    <w:p w14:paraId="4F22885B"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b) De las adjudicaciones directas: </w:t>
      </w:r>
    </w:p>
    <w:p w14:paraId="7AD5FB73"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 La propuesta enviada por el participante; </w:t>
      </w:r>
    </w:p>
    <w:p w14:paraId="7E1C564C"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2) Los motivos y fundamentos legales aplicados para llevarla a cabo; </w:t>
      </w:r>
    </w:p>
    <w:p w14:paraId="202794A0"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3) La autorización del ejercicio de la opción; </w:t>
      </w:r>
    </w:p>
    <w:p w14:paraId="297D9113"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4) En su caso, las cotizaciones consideradas, especificando los nombres de los proveedores y sus montos; </w:t>
      </w:r>
    </w:p>
    <w:p w14:paraId="51333C4D"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5) El nombre de la persona física o jurídica colectiva adjudicada; </w:t>
      </w:r>
    </w:p>
    <w:p w14:paraId="359D2ADE"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lastRenderedPageBreak/>
        <w:t xml:space="preserve">6) La unidad administrativa solicitante y la responsable de su ejecución; </w:t>
      </w:r>
    </w:p>
    <w:p w14:paraId="698258C5"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48945A67"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7E5CFD47"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9) Los informes de avance sobre las obras o servicios contratados; 10) El convenio de terminación; y </w:t>
      </w:r>
    </w:p>
    <w:p w14:paraId="506D8128" w14:textId="77777777" w:rsidR="004201D9" w:rsidRPr="00CA39B3" w:rsidRDefault="000668C9">
      <w:pPr>
        <w:tabs>
          <w:tab w:val="left" w:pos="426"/>
        </w:tabs>
        <w:spacing w:before="120" w:after="120"/>
        <w:ind w:left="1418"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11) El finiquito” (Sic)</w:t>
      </w:r>
    </w:p>
    <w:p w14:paraId="1400B8D2" w14:textId="77777777" w:rsidR="004201D9" w:rsidRPr="00CA39B3" w:rsidRDefault="004201D9">
      <w:pPr>
        <w:spacing w:line="360" w:lineRule="auto"/>
        <w:jc w:val="both"/>
        <w:rPr>
          <w:rFonts w:ascii="Palatino Linotype" w:eastAsia="Palatino Linotype" w:hAnsi="Palatino Linotype" w:cs="Palatino Linotype"/>
        </w:rPr>
      </w:pPr>
    </w:p>
    <w:p w14:paraId="7ABF093B"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Lo que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0DD21E70" w14:textId="77777777" w:rsidR="004201D9" w:rsidRPr="00CA39B3" w:rsidRDefault="004201D9">
      <w:pPr>
        <w:spacing w:line="360" w:lineRule="auto"/>
        <w:jc w:val="both"/>
        <w:rPr>
          <w:rFonts w:ascii="Palatino Linotype" w:eastAsia="Palatino Linotype" w:hAnsi="Palatino Linotype" w:cs="Palatino Linotype"/>
        </w:rPr>
      </w:pPr>
    </w:p>
    <w:p w14:paraId="50E667DB" w14:textId="77777777" w:rsidR="004201D9" w:rsidRPr="00CA39B3" w:rsidRDefault="000668C9">
      <w:pPr>
        <w:spacing w:line="276" w:lineRule="auto"/>
        <w:ind w:left="851" w:right="900"/>
        <w:jc w:val="center"/>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OBLIGACIONES DE TRANSPARENCIA COMUNES</w:t>
      </w:r>
    </w:p>
    <w:p w14:paraId="322B2D1A" w14:textId="77777777" w:rsidR="004201D9" w:rsidRPr="00CA39B3" w:rsidRDefault="000668C9">
      <w:pPr>
        <w:spacing w:line="276" w:lineRule="auto"/>
        <w:ind w:left="851" w:right="900"/>
        <w:jc w:val="center"/>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TODOS LOS SUJETOS OBLIGADOS</w:t>
      </w:r>
    </w:p>
    <w:p w14:paraId="3D6E118B"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Criterios para las obligaciones de transparencia comunes</w:t>
      </w:r>
    </w:p>
    <w:p w14:paraId="42A3C5D5"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1FE94908"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53A38AC7"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El artículo 70 dice a la letra:</w:t>
      </w:r>
    </w:p>
    <w:p w14:paraId="440FCA16"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lastRenderedPageBreak/>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CC88702"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p>
    <w:p w14:paraId="23F0297A"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Periodo de actualización: trimestral</w:t>
      </w:r>
    </w:p>
    <w:p w14:paraId="4F73E750"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Conservar en el sitio de Internet: información del ejercicio en curso y la correspondiente a dos ejercicios anteriores</w:t>
      </w:r>
    </w:p>
    <w:p w14:paraId="2C7DD888" w14:textId="77777777" w:rsidR="004201D9" w:rsidRPr="00CA39B3" w:rsidRDefault="000668C9">
      <w:pPr>
        <w:spacing w:line="276" w:lineRule="auto"/>
        <w:ind w:left="851" w:right="90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Aplica a: todos los sujetos obligados</w:t>
      </w:r>
    </w:p>
    <w:p w14:paraId="72E8A588"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62234139"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a) De licitaciones públicas o procedimientos de invitación restringida: </w:t>
      </w:r>
    </w:p>
    <w:p w14:paraId="7D8A1A6B"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 La convocatoria o invitación emitida, así como los fundamentos legales aplicados para llevarla a cabo; </w:t>
      </w:r>
    </w:p>
    <w:p w14:paraId="36247E99"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2. Los nombres de los participantes o invitados; </w:t>
      </w:r>
    </w:p>
    <w:p w14:paraId="311973A6"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3. El nombre del ganador y las razones que lo justifican; </w:t>
      </w:r>
    </w:p>
    <w:p w14:paraId="38766665"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4. El área solicitante y la responsable de su ejecución; </w:t>
      </w:r>
    </w:p>
    <w:p w14:paraId="31430849"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5. Las convocatorias e invitaciones emitidas; </w:t>
      </w:r>
    </w:p>
    <w:p w14:paraId="73A198F4"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6. Los dictámenes y fallo de adjudicación; </w:t>
      </w:r>
    </w:p>
    <w:p w14:paraId="1975D0F0"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7. El contrato y, en su caso, sus anexos; </w:t>
      </w:r>
    </w:p>
    <w:p w14:paraId="57DD4A3F"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5F764287"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56E3279B"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10. Origen de los recursos especificando si son federales, estatales o municipales, así como el tipo de fondo de participación o aportación respectiva; </w:t>
      </w:r>
    </w:p>
    <w:p w14:paraId="63735B18"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11. Los convenios modificatorios que, en su caso, sean firmados, precisando el objeto y la fecha de celebración; </w:t>
      </w:r>
    </w:p>
    <w:p w14:paraId="5B7A963D"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12. Los informes de avance físico y financiero sobre las obras o servicios contratados; </w:t>
      </w:r>
    </w:p>
    <w:p w14:paraId="08E278EE"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13. El convenio de terminación; y </w:t>
      </w:r>
    </w:p>
    <w:p w14:paraId="734602F9"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14. El finiquito</w:t>
      </w:r>
    </w:p>
    <w:p w14:paraId="5FECF35B"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b) De las adjudicaciones directas: </w:t>
      </w:r>
    </w:p>
    <w:p w14:paraId="2040CF4A"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 La propuesta enviada por el participante; </w:t>
      </w:r>
    </w:p>
    <w:p w14:paraId="715D0C91"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lastRenderedPageBreak/>
        <w:t xml:space="preserve">2. Los motivos y fundamentos legales aplicados para llevarla a cabo; </w:t>
      </w:r>
    </w:p>
    <w:p w14:paraId="19B809D8"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3. La autorización del ejercicio de la opción; </w:t>
      </w:r>
    </w:p>
    <w:p w14:paraId="445E5DFD"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4. En su caso, las cotizaciones consideradas, especificando los nombres de los proveedores y los montos; </w:t>
      </w:r>
    </w:p>
    <w:p w14:paraId="7348876D"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5. El nombre de la persona física o moral adjudicada; </w:t>
      </w:r>
    </w:p>
    <w:p w14:paraId="40805C9B"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6. La unidad administrativa solicitante y la responsable de su ejecución; </w:t>
      </w:r>
    </w:p>
    <w:p w14:paraId="176D7177"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5CA69CD3"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7EDB2623"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9. Los informes de avance sobre las obras o servicios contratados;</w:t>
      </w:r>
    </w:p>
    <w:p w14:paraId="3853049A"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10. El convenio de terminación; y </w:t>
      </w:r>
    </w:p>
    <w:p w14:paraId="63E45365" w14:textId="77777777" w:rsidR="004201D9" w:rsidRPr="00CA39B3" w:rsidRDefault="000668C9">
      <w:pPr>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11. El finiquito.” (Sic)</w:t>
      </w:r>
    </w:p>
    <w:p w14:paraId="49604686" w14:textId="77777777" w:rsidR="004201D9" w:rsidRPr="00CA39B3" w:rsidRDefault="000668C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Sin embargo, regresando con la respuesta se advierte que el área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que se pronunció fue el Coordinador de Recursos Materiales que en términos de lo señalado por el artículo 124 del Bando Municipal del Ayuntamiento de Tezoyuca, tiene las siguientes atribuciones:</w:t>
      </w:r>
    </w:p>
    <w:p w14:paraId="0D7E4DB0" w14:textId="77777777" w:rsidR="004201D9" w:rsidRPr="00CA39B3" w:rsidRDefault="000668C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noProof/>
          <w:lang w:val="es-MX"/>
        </w:rPr>
        <w:drawing>
          <wp:inline distT="0" distB="0" distL="0" distR="0" wp14:anchorId="20A9DAD1" wp14:editId="2F3C469D">
            <wp:extent cx="5612130" cy="253111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2531110"/>
                    </a:xfrm>
                    <a:prstGeom prst="rect">
                      <a:avLst/>
                    </a:prstGeom>
                    <a:ln/>
                  </pic:spPr>
                </pic:pic>
              </a:graphicData>
            </a:graphic>
          </wp:inline>
        </w:drawing>
      </w:r>
    </w:p>
    <w:p w14:paraId="41770598" w14:textId="77777777" w:rsidR="004201D9" w:rsidRPr="00CA39B3" w:rsidRDefault="000668C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De las cuales se advierte, que le compete el de llevar a cabo las acciones tendientes al control y suministro de los materiales necesarios que dispongan las unidades administrativas para el cumplimiento de sus funciones.</w:t>
      </w:r>
    </w:p>
    <w:p w14:paraId="0E1E7BF4" w14:textId="77777777" w:rsidR="004201D9" w:rsidRPr="00CA39B3" w:rsidRDefault="000668C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lastRenderedPageBreak/>
        <w:t>En donde informó,  que de una búsqueda exhaustiva, no se encontró la información solicitada en esta área, determinando la INEXISTENCIA a través del Comité de Transparencia del Ayuntamiento de Tezoyuca.</w:t>
      </w:r>
    </w:p>
    <w:p w14:paraId="4285EA0D" w14:textId="77777777" w:rsidR="004201D9" w:rsidRPr="00CA39B3" w:rsidRDefault="000668C9">
      <w:pPr>
        <w:spacing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Adjuntando para tal efecto el acta de la Novena Sesión Ordinaria del Comité de Transparencia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por medio del cual declaró la inexistencia de la información requerida en la solicitud número </w:t>
      </w:r>
      <w:r w:rsidRPr="00CA39B3">
        <w:rPr>
          <w:rFonts w:ascii="Palatino Linotype" w:eastAsia="Palatino Linotype" w:hAnsi="Palatino Linotype" w:cs="Palatino Linotype"/>
          <w:b/>
        </w:rPr>
        <w:t>00101/TEZOYUCA/IP/2023.</w:t>
      </w:r>
    </w:p>
    <w:p w14:paraId="2670C738" w14:textId="77777777" w:rsidR="004201D9" w:rsidRPr="00CA39B3" w:rsidRDefault="000668C9">
      <w:pPr>
        <w:tabs>
          <w:tab w:val="left" w:pos="7938"/>
        </w:tabs>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Al respecto, cabe precisar que conforme al artículo 20 de la Ley de Transparencia y Acceso a la Información Pública del Estado de México y Municipios, ante la negativa de acceso a la información o su inexistencia,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deberá demostrar que se encuentra en alguna de las excepciones establecidas en la normatividad aplicable. </w:t>
      </w:r>
    </w:p>
    <w:p w14:paraId="4F9788A8" w14:textId="77777777" w:rsidR="004201D9" w:rsidRPr="00CA39B3" w:rsidRDefault="004201D9">
      <w:pPr>
        <w:tabs>
          <w:tab w:val="left" w:pos="7938"/>
        </w:tabs>
        <w:spacing w:line="360" w:lineRule="auto"/>
        <w:jc w:val="both"/>
        <w:rPr>
          <w:rFonts w:ascii="Palatino Linotype" w:eastAsia="Palatino Linotype" w:hAnsi="Palatino Linotype" w:cs="Palatino Linotype"/>
        </w:rPr>
      </w:pPr>
    </w:p>
    <w:p w14:paraId="036282A8" w14:textId="77777777" w:rsidR="004201D9" w:rsidRPr="00CA39B3" w:rsidRDefault="000668C9">
      <w:pPr>
        <w:spacing w:line="360" w:lineRule="auto"/>
        <w:jc w:val="both"/>
        <w:rPr>
          <w:rFonts w:ascii="Palatino Linotype" w:eastAsia="Palatino Linotype" w:hAnsi="Palatino Linotype" w:cs="Palatino Linotype"/>
          <w:color w:val="0D0D0D"/>
        </w:rPr>
      </w:pPr>
      <w:r w:rsidRPr="00CA39B3">
        <w:rPr>
          <w:rFonts w:ascii="Palatino Linotype" w:eastAsia="Palatino Linotype" w:hAnsi="Palatino Linotype" w:cs="Palatino Linotype"/>
          <w:color w:val="0D0D0D"/>
        </w:rPr>
        <w:t xml:space="preserve">En ese sentido, según Trujillo, Humberto (2019), en el “Diccionario de Transparencia y Acceso a la Información Pública” (p. 201), </w:t>
      </w:r>
      <w:r w:rsidRPr="00CA39B3">
        <w:rPr>
          <w:rFonts w:ascii="Palatino Linotype" w:eastAsia="Palatino Linotype" w:hAnsi="Palatino Linotype" w:cs="Palatino Linotype"/>
          <w:b/>
          <w:color w:val="0D0D0D"/>
        </w:rPr>
        <w:t xml:space="preserve">la negativa de acceso a la información </w:t>
      </w:r>
      <w:r w:rsidRPr="00CA39B3">
        <w:rPr>
          <w:rFonts w:ascii="Palatino Linotype" w:eastAsia="Palatino Linotype" w:hAnsi="Palatino Linotype" w:cs="Palatino Linotype"/>
          <w:color w:val="0D0D0D"/>
        </w:rPr>
        <w:t xml:space="preserve">ocurre cuando de manera fundada y motivada, una autoridad la niega o la limita, por alguna de las siguientes razones: </w:t>
      </w:r>
    </w:p>
    <w:p w14:paraId="753B108A" w14:textId="77777777" w:rsidR="004201D9" w:rsidRPr="00CA39B3" w:rsidRDefault="004201D9">
      <w:pPr>
        <w:spacing w:line="360" w:lineRule="auto"/>
        <w:jc w:val="both"/>
        <w:rPr>
          <w:rFonts w:ascii="Palatino Linotype" w:eastAsia="Palatino Linotype" w:hAnsi="Palatino Linotype" w:cs="Palatino Linotype"/>
          <w:color w:val="0D0D0D"/>
          <w:sz w:val="22"/>
          <w:szCs w:val="22"/>
        </w:rPr>
      </w:pPr>
    </w:p>
    <w:p w14:paraId="75F67019" w14:textId="77777777" w:rsidR="004201D9" w:rsidRPr="00CA39B3" w:rsidRDefault="000668C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D0D0D"/>
        </w:rPr>
      </w:pPr>
      <w:r w:rsidRPr="00CA39B3">
        <w:rPr>
          <w:rFonts w:ascii="Palatino Linotype" w:eastAsia="Palatino Linotype" w:hAnsi="Palatino Linotype" w:cs="Palatino Linotype"/>
          <w:b/>
          <w:color w:val="0D0D0D"/>
        </w:rPr>
        <w:t>La inexistencia de la información (p. 171): Sucede cuando la información solicitada no se encuentra en los archivos públicos o clasificado de los entes sujetos a las Leyes de Transparencia.</w:t>
      </w:r>
    </w:p>
    <w:p w14:paraId="0A375391" w14:textId="77777777" w:rsidR="004201D9" w:rsidRPr="00CA39B3" w:rsidRDefault="004201D9">
      <w:pPr>
        <w:pBdr>
          <w:top w:val="nil"/>
          <w:left w:val="nil"/>
          <w:bottom w:val="nil"/>
          <w:right w:val="nil"/>
          <w:between w:val="nil"/>
        </w:pBdr>
        <w:spacing w:line="360" w:lineRule="auto"/>
        <w:ind w:left="720"/>
        <w:jc w:val="both"/>
        <w:rPr>
          <w:rFonts w:ascii="Palatino Linotype" w:eastAsia="Palatino Linotype" w:hAnsi="Palatino Linotype" w:cs="Palatino Linotype"/>
          <w:b/>
          <w:color w:val="0D0D0D"/>
        </w:rPr>
      </w:pPr>
    </w:p>
    <w:p w14:paraId="078D851F" w14:textId="77777777" w:rsidR="004201D9" w:rsidRPr="00CA39B3" w:rsidRDefault="000668C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D0D0D"/>
        </w:rPr>
      </w:pPr>
      <w:r w:rsidRPr="00CA39B3">
        <w:rPr>
          <w:rFonts w:ascii="Palatino Linotype" w:eastAsia="Palatino Linotype" w:hAnsi="Palatino Linotype" w:cs="Palatino Linotype"/>
          <w:b/>
          <w:color w:val="0D0D0D"/>
        </w:rPr>
        <w:t xml:space="preserve">La incompetencia del Sujeto Obligado (p. 171): </w:t>
      </w:r>
      <w:r w:rsidRPr="00CA39B3">
        <w:rPr>
          <w:rFonts w:ascii="Palatino Linotype" w:eastAsia="Palatino Linotype" w:hAnsi="Palatino Linotype" w:cs="Palatino Linotype"/>
          <w:color w:val="0D0D0D"/>
        </w:rPr>
        <w:t>Ocurre cuando el Sujeto Obligado carece de atribuciones para poseer la información peticionada.</w:t>
      </w:r>
    </w:p>
    <w:p w14:paraId="5B38A684" w14:textId="77777777" w:rsidR="004201D9" w:rsidRPr="00CA39B3" w:rsidRDefault="004201D9">
      <w:pPr>
        <w:pBdr>
          <w:top w:val="nil"/>
          <w:left w:val="nil"/>
          <w:bottom w:val="nil"/>
          <w:right w:val="nil"/>
          <w:between w:val="nil"/>
        </w:pBdr>
        <w:spacing w:line="360" w:lineRule="auto"/>
        <w:ind w:left="720"/>
        <w:rPr>
          <w:rFonts w:ascii="Palatino Linotype" w:eastAsia="Palatino Linotype" w:hAnsi="Palatino Linotype" w:cs="Palatino Linotype"/>
          <w:b/>
          <w:color w:val="0D0D0D"/>
        </w:rPr>
      </w:pPr>
    </w:p>
    <w:p w14:paraId="2758EEE5" w14:textId="77777777" w:rsidR="004201D9" w:rsidRPr="00CA39B3" w:rsidRDefault="000668C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D0D0D"/>
        </w:rPr>
      </w:pPr>
      <w:r w:rsidRPr="00CA39B3">
        <w:rPr>
          <w:rFonts w:ascii="Palatino Linotype" w:eastAsia="Palatino Linotype" w:hAnsi="Palatino Linotype" w:cs="Palatino Linotype"/>
          <w:b/>
          <w:color w:val="0D0D0D"/>
        </w:rPr>
        <w:lastRenderedPageBreak/>
        <w:t xml:space="preserve">La clasificación de la información (p. 70): </w:t>
      </w:r>
      <w:r w:rsidRPr="00CA39B3">
        <w:rPr>
          <w:rFonts w:ascii="Palatino Linotype" w:eastAsia="Palatino Linotype" w:hAnsi="Palatino Linotype" w:cs="Palatino Linotype"/>
          <w:color w:val="0D0D0D"/>
        </w:rPr>
        <w:t>Es el proceso o conjunto de acciones que realizan los sujetos obligados para establecer que determinada información se encuentra en alguno de los supuestos de reserva o confidencialidad establecidos en la legislación en materia de transparencia.</w:t>
      </w:r>
    </w:p>
    <w:p w14:paraId="19D191F9" w14:textId="77777777" w:rsidR="004201D9" w:rsidRPr="00CA39B3" w:rsidRDefault="004201D9">
      <w:pPr>
        <w:spacing w:line="360" w:lineRule="auto"/>
        <w:jc w:val="both"/>
        <w:rPr>
          <w:rFonts w:ascii="Palatino Linotype" w:eastAsia="Palatino Linotype" w:hAnsi="Palatino Linotype" w:cs="Palatino Linotype"/>
          <w:color w:val="0D0D0D"/>
          <w:sz w:val="22"/>
          <w:szCs w:val="22"/>
        </w:rPr>
      </w:pPr>
    </w:p>
    <w:p w14:paraId="17D9BB93" w14:textId="77777777" w:rsidR="004201D9" w:rsidRPr="00CA39B3" w:rsidRDefault="000668C9">
      <w:pPr>
        <w:spacing w:line="360" w:lineRule="auto"/>
        <w:jc w:val="both"/>
        <w:rPr>
          <w:rFonts w:ascii="Palatino Linotype" w:eastAsia="Palatino Linotype" w:hAnsi="Palatino Linotype" w:cs="Palatino Linotype"/>
          <w:color w:val="0D0D0D"/>
        </w:rPr>
      </w:pPr>
      <w:r w:rsidRPr="00CA39B3">
        <w:rPr>
          <w:rFonts w:ascii="Palatino Linotype" w:eastAsia="Palatino Linotype" w:hAnsi="Palatino Linotype" w:cs="Palatino Linotype"/>
          <w:color w:val="0D0D0D"/>
        </w:rPr>
        <w:t xml:space="preserve">En ese orden de ideas, es de señalar que las excepciones al derecho de acceso a la información consisten en que la documentación sea </w:t>
      </w:r>
      <w:r w:rsidRPr="00CA39B3">
        <w:rPr>
          <w:rFonts w:ascii="Palatino Linotype" w:eastAsia="Palatino Linotype" w:hAnsi="Palatino Linotype" w:cs="Palatino Linotype"/>
          <w:b/>
          <w:color w:val="0D0D0D"/>
          <w:u w:val="single"/>
        </w:rPr>
        <w:t>inexistente</w:t>
      </w:r>
      <w:r w:rsidRPr="00CA39B3">
        <w:rPr>
          <w:rFonts w:ascii="Palatino Linotype" w:eastAsia="Palatino Linotype" w:hAnsi="Palatino Linotype" w:cs="Palatino Linotype"/>
          <w:color w:val="0D0D0D"/>
        </w:rPr>
        <w:t xml:space="preserve">, se encuentre clasificada, o bien, el Sujeto Obligado sea incompetente para contar con esta; esto es, la negativa de acceso a la información </w:t>
      </w:r>
      <w:r w:rsidRPr="00CA39B3">
        <w:rPr>
          <w:rFonts w:ascii="Palatino Linotype" w:eastAsia="Palatino Linotype" w:hAnsi="Palatino Linotype" w:cs="Palatino Linotype"/>
          <w:b/>
          <w:color w:val="0D0D0D"/>
          <w:u w:val="single"/>
        </w:rPr>
        <w:t>recae cuando la documentación no se encuentre en los archivos del SUJETO OBLIGADO</w:t>
      </w:r>
      <w:r w:rsidRPr="00CA39B3">
        <w:rPr>
          <w:rFonts w:ascii="Palatino Linotype" w:eastAsia="Palatino Linotype" w:hAnsi="Palatino Linotype" w:cs="Palatino Linotype"/>
          <w:color w:val="0D0D0D"/>
        </w:rPr>
        <w:t>, o bien exista, pero no pueda proporcionarse por contener datos confidenciales o reservados.</w:t>
      </w:r>
    </w:p>
    <w:p w14:paraId="16FDC022" w14:textId="77777777" w:rsidR="004201D9" w:rsidRPr="00CA39B3" w:rsidRDefault="004201D9">
      <w:pPr>
        <w:spacing w:line="360" w:lineRule="auto"/>
        <w:jc w:val="both"/>
        <w:rPr>
          <w:rFonts w:ascii="Palatino Linotype" w:eastAsia="Palatino Linotype" w:hAnsi="Palatino Linotype" w:cs="Palatino Linotype"/>
          <w:color w:val="0D0D0D"/>
        </w:rPr>
      </w:pPr>
    </w:p>
    <w:p w14:paraId="1FC0A801" w14:textId="77777777" w:rsidR="004201D9" w:rsidRPr="00CA39B3" w:rsidRDefault="000668C9">
      <w:pPr>
        <w:spacing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En ese sentido, toda vez que el Ayuntamiento de Tezoyuca, remitió el acta de la Novena Sesión Ordinaria de su Comité de Transparencia, por medio del cual declaró la inexistencia de la información requerida en la solicitud número </w:t>
      </w:r>
      <w:r w:rsidRPr="00CA39B3">
        <w:rPr>
          <w:rFonts w:ascii="Palatino Linotype" w:eastAsia="Palatino Linotype" w:hAnsi="Palatino Linotype" w:cs="Palatino Linotype"/>
          <w:b/>
        </w:rPr>
        <w:t>00101/TEZOYUCA/IP/2023</w:t>
      </w:r>
      <w:r w:rsidRPr="00CA39B3">
        <w:rPr>
          <w:rFonts w:ascii="Palatino Linotype" w:eastAsia="Palatino Linotype" w:hAnsi="Palatino Linotype" w:cs="Palatino Linotype"/>
        </w:rPr>
        <w:t xml:space="preserve">, resulta necesario analizar el contenido vertido por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en dicha Acta, a fin de establecer si el Comité de Transparencia cumplió cabalmente con las formalidades exigidas por la Ley de Transparencia y Acceso a la Información Pública del Estado de México y Municipios, al tenor de lo siguiente: </w:t>
      </w:r>
    </w:p>
    <w:tbl>
      <w:tblPr>
        <w:tblStyle w:val="a1"/>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4201D9" w:rsidRPr="00CA39B3" w14:paraId="05851586" w14:textId="77777777">
        <w:tc>
          <w:tcPr>
            <w:tcW w:w="1744" w:type="dxa"/>
            <w:tcBorders>
              <w:top w:val="nil"/>
              <w:left w:val="nil"/>
            </w:tcBorders>
          </w:tcPr>
          <w:p w14:paraId="3CF9E510" w14:textId="77777777" w:rsidR="004201D9" w:rsidRPr="00CA39B3" w:rsidRDefault="004201D9">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297" w:type="dxa"/>
            <w:tcBorders>
              <w:bottom w:val="single" w:sz="4" w:space="0" w:color="000000"/>
            </w:tcBorders>
            <w:shd w:val="clear" w:color="auto" w:fill="DBE5F1"/>
            <w:vAlign w:val="bottom"/>
          </w:tcPr>
          <w:p w14:paraId="59D56137" w14:textId="77777777" w:rsidR="004201D9" w:rsidRPr="00CA39B3" w:rsidRDefault="000668C9">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CA39B3">
              <w:rPr>
                <w:rFonts w:ascii="Palatino Linotype" w:eastAsia="Palatino Linotype" w:hAnsi="Palatino Linotype" w:cs="Palatino Linotype"/>
                <w:b/>
                <w:color w:val="000000"/>
                <w:sz w:val="20"/>
                <w:szCs w:val="20"/>
              </w:rPr>
              <w:t>Cumplió:</w:t>
            </w:r>
          </w:p>
        </w:tc>
        <w:tc>
          <w:tcPr>
            <w:tcW w:w="5464" w:type="dxa"/>
            <w:tcBorders>
              <w:bottom w:val="single" w:sz="4" w:space="0" w:color="000000"/>
            </w:tcBorders>
            <w:shd w:val="clear" w:color="auto" w:fill="DBE5F1"/>
            <w:vAlign w:val="bottom"/>
          </w:tcPr>
          <w:p w14:paraId="69FF62FB" w14:textId="77777777" w:rsidR="004201D9" w:rsidRPr="00CA39B3" w:rsidRDefault="000668C9">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CA39B3">
              <w:rPr>
                <w:rFonts w:ascii="Palatino Linotype" w:eastAsia="Palatino Linotype" w:hAnsi="Palatino Linotype" w:cs="Palatino Linotype"/>
                <w:b/>
                <w:color w:val="000000"/>
                <w:sz w:val="20"/>
                <w:szCs w:val="20"/>
              </w:rPr>
              <w:t>Contenido</w:t>
            </w:r>
          </w:p>
        </w:tc>
      </w:tr>
      <w:tr w:rsidR="004201D9" w:rsidRPr="00CA39B3" w14:paraId="4218CE05" w14:textId="77777777">
        <w:tc>
          <w:tcPr>
            <w:tcW w:w="1744" w:type="dxa"/>
            <w:vAlign w:val="center"/>
          </w:tcPr>
          <w:p w14:paraId="5D975D17" w14:textId="77777777" w:rsidR="004201D9" w:rsidRPr="00CA39B3" w:rsidRDefault="000668C9">
            <w:pPr>
              <w:spacing w:after="120"/>
              <w:jc w:val="both"/>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sz w:val="20"/>
                <w:szCs w:val="20"/>
              </w:rPr>
              <w:t>Número de folio de la solicitud.</w:t>
            </w:r>
          </w:p>
        </w:tc>
        <w:tc>
          <w:tcPr>
            <w:tcW w:w="1297" w:type="dxa"/>
            <w:tcBorders>
              <w:top w:val="single" w:sz="4" w:space="0" w:color="000000"/>
            </w:tcBorders>
            <w:vAlign w:val="center"/>
          </w:tcPr>
          <w:p w14:paraId="12DB2A07" w14:textId="77777777" w:rsidR="004201D9" w:rsidRPr="00CA39B3" w:rsidRDefault="000668C9">
            <w:pPr>
              <w:spacing w:after="120"/>
              <w:ind w:left="47"/>
              <w:jc w:val="center"/>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sz w:val="20"/>
                <w:szCs w:val="20"/>
              </w:rPr>
              <w:t>Sí</w:t>
            </w:r>
          </w:p>
        </w:tc>
        <w:tc>
          <w:tcPr>
            <w:tcW w:w="5464" w:type="dxa"/>
            <w:tcBorders>
              <w:top w:val="single" w:sz="4" w:space="0" w:color="000000"/>
            </w:tcBorders>
            <w:vAlign w:val="center"/>
          </w:tcPr>
          <w:p w14:paraId="7CE80CE1" w14:textId="77777777" w:rsidR="004201D9" w:rsidRPr="00CA39B3" w:rsidRDefault="004201D9">
            <w:pPr>
              <w:spacing w:after="120"/>
              <w:jc w:val="both"/>
              <w:rPr>
                <w:rFonts w:ascii="Palatino Linotype" w:eastAsia="Palatino Linotype" w:hAnsi="Palatino Linotype" w:cs="Palatino Linotype"/>
                <w:sz w:val="20"/>
                <w:szCs w:val="20"/>
              </w:rPr>
            </w:pPr>
          </w:p>
          <w:p w14:paraId="6D4318BC" w14:textId="77777777" w:rsidR="004201D9" w:rsidRPr="00CA39B3" w:rsidRDefault="000668C9">
            <w:pPr>
              <w:spacing w:after="120"/>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noProof/>
                <w:sz w:val="20"/>
                <w:szCs w:val="20"/>
                <w:lang w:val="es-MX"/>
              </w:rPr>
              <w:lastRenderedPageBreak/>
              <w:drawing>
                <wp:inline distT="0" distB="0" distL="0" distR="0" wp14:anchorId="366DC1D6" wp14:editId="2BB20F8D">
                  <wp:extent cx="3332480" cy="104013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332480" cy="1040130"/>
                          </a:xfrm>
                          <a:prstGeom prst="rect">
                            <a:avLst/>
                          </a:prstGeom>
                          <a:ln/>
                        </pic:spPr>
                      </pic:pic>
                    </a:graphicData>
                  </a:graphic>
                </wp:inline>
              </w:drawing>
            </w:r>
          </w:p>
        </w:tc>
      </w:tr>
      <w:tr w:rsidR="004201D9" w:rsidRPr="00CA39B3" w14:paraId="296648B4" w14:textId="77777777">
        <w:tc>
          <w:tcPr>
            <w:tcW w:w="1744" w:type="dxa"/>
            <w:vAlign w:val="center"/>
          </w:tcPr>
          <w:p w14:paraId="4CA47B0B" w14:textId="77777777" w:rsidR="004201D9" w:rsidRPr="00CA39B3" w:rsidRDefault="000668C9">
            <w:pPr>
              <w:spacing w:after="120"/>
              <w:jc w:val="both"/>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sz w:val="20"/>
                <w:szCs w:val="20"/>
              </w:rPr>
              <w:lastRenderedPageBreak/>
              <w:t>Referencia de la información solicitada.</w:t>
            </w:r>
          </w:p>
        </w:tc>
        <w:tc>
          <w:tcPr>
            <w:tcW w:w="1297" w:type="dxa"/>
            <w:vAlign w:val="center"/>
          </w:tcPr>
          <w:p w14:paraId="5D113E0B" w14:textId="77777777" w:rsidR="004201D9" w:rsidRPr="00CA39B3" w:rsidRDefault="000668C9">
            <w:pPr>
              <w:spacing w:after="120"/>
              <w:ind w:left="47"/>
              <w:jc w:val="center"/>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sz w:val="20"/>
                <w:szCs w:val="20"/>
              </w:rPr>
              <w:t>Sí</w:t>
            </w:r>
          </w:p>
        </w:tc>
        <w:tc>
          <w:tcPr>
            <w:tcW w:w="5464" w:type="dxa"/>
            <w:vAlign w:val="center"/>
          </w:tcPr>
          <w:p w14:paraId="79861F28" w14:textId="77777777" w:rsidR="004201D9" w:rsidRPr="00CA39B3" w:rsidRDefault="000668C9">
            <w:pPr>
              <w:spacing w:after="120"/>
              <w:jc w:val="both"/>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noProof/>
                <w:sz w:val="20"/>
                <w:szCs w:val="20"/>
                <w:lang w:val="es-MX"/>
              </w:rPr>
              <w:drawing>
                <wp:inline distT="0" distB="0" distL="0" distR="0" wp14:anchorId="690B61C5" wp14:editId="74B2C2B1">
                  <wp:extent cx="3332480" cy="104013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332480" cy="1040130"/>
                          </a:xfrm>
                          <a:prstGeom prst="rect">
                            <a:avLst/>
                          </a:prstGeom>
                          <a:ln/>
                        </pic:spPr>
                      </pic:pic>
                    </a:graphicData>
                  </a:graphic>
                </wp:inline>
              </w:drawing>
            </w:r>
          </w:p>
        </w:tc>
      </w:tr>
      <w:tr w:rsidR="004201D9" w:rsidRPr="00CA39B3" w14:paraId="212C1CBA" w14:textId="77777777">
        <w:tc>
          <w:tcPr>
            <w:tcW w:w="1744" w:type="dxa"/>
            <w:vAlign w:val="center"/>
          </w:tcPr>
          <w:p w14:paraId="53FFEEF1" w14:textId="77777777" w:rsidR="004201D9" w:rsidRPr="00CA39B3" w:rsidRDefault="000668C9">
            <w:pPr>
              <w:tabs>
                <w:tab w:val="left" w:pos="317"/>
              </w:tabs>
              <w:spacing w:after="120"/>
              <w:jc w:val="both"/>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sz w:val="20"/>
                <w:szCs w:val="20"/>
              </w:rPr>
              <w:t>Fundamento y Motivación Legal.</w:t>
            </w:r>
          </w:p>
        </w:tc>
        <w:tc>
          <w:tcPr>
            <w:tcW w:w="1297" w:type="dxa"/>
            <w:vAlign w:val="center"/>
          </w:tcPr>
          <w:p w14:paraId="1C7E6D51" w14:textId="77777777" w:rsidR="004201D9" w:rsidRPr="00CA39B3" w:rsidRDefault="000668C9">
            <w:pPr>
              <w:spacing w:after="120"/>
              <w:ind w:left="47"/>
              <w:jc w:val="center"/>
              <w:rPr>
                <w:rFonts w:ascii="Palatino Linotype" w:eastAsia="Palatino Linotype" w:hAnsi="Palatino Linotype" w:cs="Palatino Linotype"/>
                <w:b/>
                <w:sz w:val="16"/>
                <w:szCs w:val="16"/>
              </w:rPr>
            </w:pPr>
            <w:r w:rsidRPr="00CA39B3">
              <w:rPr>
                <w:rFonts w:ascii="Palatino Linotype" w:eastAsia="Palatino Linotype" w:hAnsi="Palatino Linotype" w:cs="Palatino Linotype"/>
                <w:b/>
                <w:sz w:val="16"/>
                <w:szCs w:val="16"/>
              </w:rPr>
              <w:t xml:space="preserve">Parcialmente </w:t>
            </w:r>
          </w:p>
          <w:p w14:paraId="39348721" w14:textId="77777777" w:rsidR="004201D9" w:rsidRPr="00CA39B3" w:rsidRDefault="000668C9">
            <w:pPr>
              <w:spacing w:after="120"/>
              <w:ind w:left="47"/>
              <w:jc w:val="both"/>
              <w:rPr>
                <w:rFonts w:ascii="Palatino Linotype" w:eastAsia="Palatino Linotype" w:hAnsi="Palatino Linotype" w:cs="Palatino Linotype"/>
                <w:b/>
                <w:sz w:val="16"/>
                <w:szCs w:val="16"/>
              </w:rPr>
            </w:pPr>
            <w:r w:rsidRPr="00CA39B3">
              <w:rPr>
                <w:rFonts w:ascii="Palatino Linotype" w:eastAsia="Palatino Linotype" w:hAnsi="Palatino Linotype" w:cs="Palatino Linotype"/>
                <w:b/>
                <w:sz w:val="16"/>
                <w:szCs w:val="16"/>
              </w:rPr>
              <w:t xml:space="preserve">El SUJETO OBLIGADO, no señaló puntualmente  los motivos por los cuales no cuenta con la información solicitada. </w:t>
            </w:r>
          </w:p>
        </w:tc>
        <w:tc>
          <w:tcPr>
            <w:tcW w:w="5464" w:type="dxa"/>
          </w:tcPr>
          <w:p w14:paraId="2F30DA80" w14:textId="77777777" w:rsidR="004201D9" w:rsidRPr="00CA39B3" w:rsidRDefault="004201D9">
            <w:pPr>
              <w:spacing w:after="120"/>
              <w:ind w:left="-31"/>
              <w:jc w:val="center"/>
              <w:rPr>
                <w:sz w:val="20"/>
                <w:szCs w:val="20"/>
              </w:rPr>
            </w:pPr>
          </w:p>
          <w:p w14:paraId="003B2E5B" w14:textId="77777777" w:rsidR="004201D9" w:rsidRPr="00CA39B3" w:rsidRDefault="000668C9">
            <w:pPr>
              <w:spacing w:after="120"/>
              <w:ind w:left="-31"/>
              <w:jc w:val="center"/>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noProof/>
                <w:sz w:val="20"/>
                <w:szCs w:val="20"/>
                <w:lang w:val="es-MX"/>
              </w:rPr>
              <w:drawing>
                <wp:inline distT="0" distB="0" distL="0" distR="0" wp14:anchorId="08E3F15F" wp14:editId="2BAF80BC">
                  <wp:extent cx="3332480" cy="51244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332480" cy="512445"/>
                          </a:xfrm>
                          <a:prstGeom prst="rect">
                            <a:avLst/>
                          </a:prstGeom>
                          <a:ln/>
                        </pic:spPr>
                      </pic:pic>
                    </a:graphicData>
                  </a:graphic>
                </wp:inline>
              </w:drawing>
            </w:r>
          </w:p>
          <w:p w14:paraId="796E01F7" w14:textId="77777777" w:rsidR="004201D9" w:rsidRPr="00CA39B3" w:rsidRDefault="000668C9">
            <w:pPr>
              <w:spacing w:after="120"/>
              <w:ind w:left="-31"/>
              <w:jc w:val="center"/>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noProof/>
                <w:sz w:val="20"/>
                <w:szCs w:val="20"/>
                <w:lang w:val="es-MX"/>
              </w:rPr>
              <w:drawing>
                <wp:inline distT="0" distB="0" distL="0" distR="0" wp14:anchorId="06EA811F" wp14:editId="6D68270D">
                  <wp:extent cx="3332480" cy="1295400"/>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332480" cy="1295400"/>
                          </a:xfrm>
                          <a:prstGeom prst="rect">
                            <a:avLst/>
                          </a:prstGeom>
                          <a:ln/>
                        </pic:spPr>
                      </pic:pic>
                    </a:graphicData>
                  </a:graphic>
                </wp:inline>
              </w:drawing>
            </w:r>
          </w:p>
          <w:p w14:paraId="0C4E67AE" w14:textId="77777777" w:rsidR="004201D9" w:rsidRPr="00CA39B3" w:rsidRDefault="000668C9">
            <w:pPr>
              <w:spacing w:after="120"/>
              <w:ind w:left="-31"/>
              <w:jc w:val="center"/>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noProof/>
                <w:sz w:val="20"/>
                <w:szCs w:val="20"/>
                <w:lang w:val="es-MX"/>
              </w:rPr>
              <w:lastRenderedPageBreak/>
              <w:drawing>
                <wp:inline distT="0" distB="0" distL="0" distR="0" wp14:anchorId="4FAEFEAE" wp14:editId="076D34DA">
                  <wp:extent cx="3332480" cy="4439285"/>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332480" cy="4439285"/>
                          </a:xfrm>
                          <a:prstGeom prst="rect">
                            <a:avLst/>
                          </a:prstGeom>
                          <a:ln/>
                        </pic:spPr>
                      </pic:pic>
                    </a:graphicData>
                  </a:graphic>
                </wp:inline>
              </w:drawing>
            </w:r>
          </w:p>
          <w:p w14:paraId="36EC4552" w14:textId="77777777" w:rsidR="004201D9" w:rsidRPr="00CA39B3" w:rsidRDefault="000668C9">
            <w:pPr>
              <w:spacing w:after="120"/>
              <w:ind w:left="-31"/>
              <w:jc w:val="center"/>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noProof/>
                <w:sz w:val="20"/>
                <w:szCs w:val="20"/>
                <w:lang w:val="es-MX"/>
              </w:rPr>
              <w:lastRenderedPageBreak/>
              <w:drawing>
                <wp:inline distT="0" distB="0" distL="0" distR="0" wp14:anchorId="0391484B" wp14:editId="778F2874">
                  <wp:extent cx="3332480" cy="3795395"/>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332480" cy="3795395"/>
                          </a:xfrm>
                          <a:prstGeom prst="rect">
                            <a:avLst/>
                          </a:prstGeom>
                          <a:ln/>
                        </pic:spPr>
                      </pic:pic>
                    </a:graphicData>
                  </a:graphic>
                </wp:inline>
              </w:drawing>
            </w:r>
          </w:p>
        </w:tc>
      </w:tr>
      <w:tr w:rsidR="004201D9" w:rsidRPr="00CA39B3" w14:paraId="47C5B34B" w14:textId="77777777">
        <w:tc>
          <w:tcPr>
            <w:tcW w:w="1744" w:type="dxa"/>
            <w:vAlign w:val="center"/>
          </w:tcPr>
          <w:p w14:paraId="3456DF6B" w14:textId="77777777" w:rsidR="004201D9" w:rsidRPr="00CA39B3" w:rsidRDefault="000668C9">
            <w:pPr>
              <w:spacing w:after="120"/>
              <w:jc w:val="both"/>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sz w:val="20"/>
                <w:szCs w:val="20"/>
              </w:rPr>
              <w:lastRenderedPageBreak/>
              <w:t>Conexión entre los fundamentos y motivos que dieron origen a la inexistencia de la información.</w:t>
            </w:r>
          </w:p>
        </w:tc>
        <w:tc>
          <w:tcPr>
            <w:tcW w:w="1297" w:type="dxa"/>
            <w:vAlign w:val="center"/>
          </w:tcPr>
          <w:p w14:paraId="03C5C92B" w14:textId="77777777" w:rsidR="004201D9" w:rsidRPr="00CA39B3" w:rsidRDefault="000668C9">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CA39B3">
              <w:rPr>
                <w:rFonts w:ascii="Palatino Linotype" w:eastAsia="Palatino Linotype" w:hAnsi="Palatino Linotype" w:cs="Palatino Linotype"/>
                <w:b/>
                <w:sz w:val="16"/>
                <w:szCs w:val="16"/>
              </w:rPr>
              <w:t>No</w:t>
            </w:r>
          </w:p>
        </w:tc>
        <w:tc>
          <w:tcPr>
            <w:tcW w:w="5464" w:type="dxa"/>
            <w:vAlign w:val="center"/>
          </w:tcPr>
          <w:p w14:paraId="55C31A10" w14:textId="77777777" w:rsidR="004201D9" w:rsidRPr="00CA39B3" w:rsidRDefault="000668C9">
            <w:pPr>
              <w:pBdr>
                <w:top w:val="nil"/>
                <w:left w:val="nil"/>
                <w:bottom w:val="nil"/>
                <w:right w:val="nil"/>
                <w:between w:val="nil"/>
              </w:pBdr>
              <w:spacing w:after="120"/>
              <w:ind w:left="29" w:firstLine="18"/>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El Sujeto Obligado no hizo la conexión entre los motivos que originaron la inexistencia de la información que se solicita.</w:t>
            </w:r>
          </w:p>
          <w:p w14:paraId="38CBAE6E" w14:textId="77777777" w:rsidR="004201D9" w:rsidRPr="00CA39B3" w:rsidRDefault="000668C9">
            <w:pPr>
              <w:pBdr>
                <w:top w:val="nil"/>
                <w:left w:val="nil"/>
                <w:bottom w:val="nil"/>
                <w:right w:val="nil"/>
                <w:between w:val="nil"/>
              </w:pBdr>
              <w:spacing w:after="120"/>
              <w:ind w:left="29" w:firstLine="18"/>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Sólo se concretó a señalar el fundamento legal y que la Coordinación de Recursos Materiales efectuó una búsqueda exhaustiva, haciendo mención que lo peticionado no obra en los archivos de dicha área.</w:t>
            </w:r>
          </w:p>
          <w:p w14:paraId="78EF8AE6" w14:textId="77777777" w:rsidR="004201D9" w:rsidRPr="00CA39B3" w:rsidRDefault="004201D9">
            <w:pPr>
              <w:pBdr>
                <w:top w:val="nil"/>
                <w:left w:val="nil"/>
                <w:bottom w:val="nil"/>
                <w:right w:val="nil"/>
                <w:between w:val="nil"/>
              </w:pBdr>
              <w:spacing w:after="120"/>
              <w:ind w:left="29" w:firstLine="18"/>
              <w:jc w:val="both"/>
              <w:rPr>
                <w:rFonts w:ascii="Palatino Linotype" w:eastAsia="Palatino Linotype" w:hAnsi="Palatino Linotype" w:cs="Palatino Linotype"/>
                <w:sz w:val="20"/>
                <w:szCs w:val="20"/>
              </w:rPr>
            </w:pPr>
          </w:p>
          <w:p w14:paraId="18B08AB3" w14:textId="77777777" w:rsidR="004201D9" w:rsidRPr="00CA39B3" w:rsidRDefault="004201D9">
            <w:pPr>
              <w:pBdr>
                <w:top w:val="nil"/>
                <w:left w:val="nil"/>
                <w:bottom w:val="nil"/>
                <w:right w:val="nil"/>
                <w:between w:val="nil"/>
              </w:pBdr>
              <w:spacing w:after="120"/>
              <w:ind w:left="29" w:firstLine="18"/>
              <w:jc w:val="both"/>
              <w:rPr>
                <w:rFonts w:ascii="Palatino Linotype" w:eastAsia="Palatino Linotype" w:hAnsi="Palatino Linotype" w:cs="Palatino Linotype"/>
                <w:color w:val="000000"/>
                <w:sz w:val="20"/>
                <w:szCs w:val="20"/>
              </w:rPr>
            </w:pPr>
          </w:p>
        </w:tc>
      </w:tr>
      <w:tr w:rsidR="004201D9" w:rsidRPr="00CA39B3" w14:paraId="6297EC26" w14:textId="77777777">
        <w:tc>
          <w:tcPr>
            <w:tcW w:w="1744" w:type="dxa"/>
            <w:vAlign w:val="center"/>
          </w:tcPr>
          <w:p w14:paraId="067C1BEB" w14:textId="77777777" w:rsidR="004201D9" w:rsidRPr="00CA39B3" w:rsidRDefault="000668C9">
            <w:pPr>
              <w:tabs>
                <w:tab w:val="left" w:pos="317"/>
              </w:tabs>
              <w:spacing w:after="120"/>
              <w:jc w:val="both"/>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sz w:val="20"/>
                <w:szCs w:val="20"/>
              </w:rPr>
              <w:t xml:space="preserve">Notificación al órgano interno de control o equivalente del sujeto obligado quien, en su caso, deberá iniciar el procedimiento de </w:t>
            </w:r>
            <w:r w:rsidRPr="00CA39B3">
              <w:rPr>
                <w:rFonts w:ascii="Palatino Linotype" w:eastAsia="Palatino Linotype" w:hAnsi="Palatino Linotype" w:cs="Palatino Linotype"/>
                <w:b/>
                <w:sz w:val="20"/>
                <w:szCs w:val="20"/>
              </w:rPr>
              <w:lastRenderedPageBreak/>
              <w:t>responsabilidad administrativa que corresponda.</w:t>
            </w:r>
          </w:p>
        </w:tc>
        <w:tc>
          <w:tcPr>
            <w:tcW w:w="1297" w:type="dxa"/>
            <w:vAlign w:val="center"/>
          </w:tcPr>
          <w:p w14:paraId="6247A76A" w14:textId="77777777" w:rsidR="004201D9" w:rsidRPr="00CA39B3" w:rsidRDefault="000668C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0"/>
                <w:szCs w:val="20"/>
              </w:rPr>
            </w:pPr>
            <w:r w:rsidRPr="00CA39B3">
              <w:rPr>
                <w:rFonts w:ascii="Palatino Linotype" w:eastAsia="Palatino Linotype" w:hAnsi="Palatino Linotype" w:cs="Palatino Linotype"/>
                <w:b/>
                <w:color w:val="000000"/>
                <w:sz w:val="18"/>
                <w:szCs w:val="18"/>
              </w:rPr>
              <w:lastRenderedPageBreak/>
              <w:t xml:space="preserve">Sí </w:t>
            </w:r>
          </w:p>
        </w:tc>
        <w:tc>
          <w:tcPr>
            <w:tcW w:w="5464" w:type="dxa"/>
            <w:vAlign w:val="center"/>
          </w:tcPr>
          <w:p w14:paraId="71EE6B51" w14:textId="77777777" w:rsidR="004201D9" w:rsidRPr="00CA39B3" w:rsidRDefault="000668C9">
            <w:pPr>
              <w:pBdr>
                <w:top w:val="nil"/>
                <w:left w:val="nil"/>
                <w:bottom w:val="nil"/>
                <w:right w:val="nil"/>
                <w:between w:val="nil"/>
              </w:pBdr>
              <w:spacing w:after="120"/>
              <w:ind w:left="29" w:firstLine="18"/>
              <w:jc w:val="both"/>
              <w:rPr>
                <w:rFonts w:ascii="Palatino Linotype" w:eastAsia="Palatino Linotype" w:hAnsi="Palatino Linotype" w:cs="Palatino Linotype"/>
                <w:color w:val="000000"/>
                <w:sz w:val="20"/>
                <w:szCs w:val="20"/>
              </w:rPr>
            </w:pPr>
            <w:r w:rsidRPr="00CA39B3">
              <w:rPr>
                <w:rFonts w:ascii="Palatino Linotype" w:eastAsia="Palatino Linotype" w:hAnsi="Palatino Linotype" w:cs="Palatino Linotype"/>
                <w:noProof/>
                <w:color w:val="000000"/>
                <w:sz w:val="20"/>
                <w:szCs w:val="20"/>
                <w:lang w:val="es-MX"/>
              </w:rPr>
              <w:drawing>
                <wp:inline distT="0" distB="0" distL="0" distR="0" wp14:anchorId="4A0FE7B8" wp14:editId="5F39682A">
                  <wp:extent cx="3332480" cy="385445"/>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332480" cy="385445"/>
                          </a:xfrm>
                          <a:prstGeom prst="rect">
                            <a:avLst/>
                          </a:prstGeom>
                          <a:ln/>
                        </pic:spPr>
                      </pic:pic>
                    </a:graphicData>
                  </a:graphic>
                </wp:inline>
              </w:drawing>
            </w:r>
          </w:p>
        </w:tc>
      </w:tr>
      <w:tr w:rsidR="004201D9" w:rsidRPr="00CA39B3" w14:paraId="42F2E863" w14:textId="77777777">
        <w:trPr>
          <w:trHeight w:val="3517"/>
        </w:trPr>
        <w:tc>
          <w:tcPr>
            <w:tcW w:w="1744" w:type="dxa"/>
            <w:vAlign w:val="center"/>
          </w:tcPr>
          <w:p w14:paraId="794B5308" w14:textId="77777777" w:rsidR="004201D9" w:rsidRPr="00CA39B3" w:rsidRDefault="000668C9">
            <w:pPr>
              <w:tabs>
                <w:tab w:val="left" w:pos="317"/>
              </w:tabs>
              <w:spacing w:after="120"/>
              <w:jc w:val="center"/>
              <w:rPr>
                <w:rFonts w:ascii="Palatino Linotype" w:eastAsia="Palatino Linotype" w:hAnsi="Palatino Linotype" w:cs="Palatino Linotype"/>
                <w:b/>
                <w:sz w:val="20"/>
                <w:szCs w:val="20"/>
              </w:rPr>
            </w:pPr>
            <w:r w:rsidRPr="00CA39B3">
              <w:rPr>
                <w:rFonts w:ascii="Palatino Linotype" w:eastAsia="Palatino Linotype" w:hAnsi="Palatino Linotype" w:cs="Palatino Linotype"/>
                <w:b/>
                <w:sz w:val="20"/>
                <w:szCs w:val="20"/>
              </w:rPr>
              <w:t>Autoridades competentes.</w:t>
            </w:r>
          </w:p>
        </w:tc>
        <w:tc>
          <w:tcPr>
            <w:tcW w:w="1297" w:type="dxa"/>
            <w:vAlign w:val="center"/>
          </w:tcPr>
          <w:p w14:paraId="59BD42F4" w14:textId="77777777" w:rsidR="004201D9" w:rsidRPr="00CA39B3" w:rsidRDefault="000668C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0"/>
                <w:szCs w:val="20"/>
              </w:rPr>
            </w:pPr>
            <w:r w:rsidRPr="00CA39B3">
              <w:rPr>
                <w:rFonts w:ascii="Palatino Linotype" w:eastAsia="Palatino Linotype" w:hAnsi="Palatino Linotype" w:cs="Palatino Linotype"/>
                <w:b/>
                <w:color w:val="000000"/>
                <w:sz w:val="20"/>
                <w:szCs w:val="20"/>
              </w:rPr>
              <w:t>Sí</w:t>
            </w:r>
          </w:p>
        </w:tc>
        <w:tc>
          <w:tcPr>
            <w:tcW w:w="5464" w:type="dxa"/>
          </w:tcPr>
          <w:p w14:paraId="4CBE7DF4" w14:textId="77777777" w:rsidR="004201D9" w:rsidRPr="00CA39B3" w:rsidRDefault="000668C9">
            <w:pPr>
              <w:jc w:val="center"/>
              <w:rPr>
                <w:sz w:val="20"/>
                <w:szCs w:val="20"/>
              </w:rPr>
            </w:pPr>
            <w:r w:rsidRPr="00CA39B3">
              <w:rPr>
                <w:noProof/>
                <w:sz w:val="20"/>
                <w:szCs w:val="20"/>
                <w:lang w:val="es-MX"/>
              </w:rPr>
              <w:drawing>
                <wp:inline distT="0" distB="0" distL="0" distR="0" wp14:anchorId="385E09CC" wp14:editId="0AAA983A">
                  <wp:extent cx="3332480" cy="2990850"/>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332480" cy="2990850"/>
                          </a:xfrm>
                          <a:prstGeom prst="rect">
                            <a:avLst/>
                          </a:prstGeom>
                          <a:ln/>
                        </pic:spPr>
                      </pic:pic>
                    </a:graphicData>
                  </a:graphic>
                </wp:inline>
              </w:drawing>
            </w:r>
          </w:p>
        </w:tc>
      </w:tr>
    </w:tbl>
    <w:p w14:paraId="7BC9E345" w14:textId="77777777" w:rsidR="004201D9" w:rsidRPr="00CA39B3" w:rsidRDefault="004201D9">
      <w:pPr>
        <w:spacing w:after="240" w:line="360" w:lineRule="auto"/>
        <w:jc w:val="both"/>
        <w:rPr>
          <w:rFonts w:ascii="Palatino Linotype" w:eastAsia="Palatino Linotype" w:hAnsi="Palatino Linotype" w:cs="Palatino Linotype"/>
        </w:rPr>
      </w:pPr>
    </w:p>
    <w:p w14:paraId="0B20CEF2" w14:textId="77777777" w:rsidR="004201D9" w:rsidRPr="00CA39B3" w:rsidRDefault="000668C9">
      <w:pPr>
        <w:spacing w:line="360" w:lineRule="auto"/>
        <w:ind w:right="141"/>
        <w:jc w:val="both"/>
        <w:rPr>
          <w:rFonts w:ascii="Palatino Linotype" w:eastAsia="Palatino Linotype" w:hAnsi="Palatino Linotype" w:cs="Palatino Linotype"/>
        </w:rPr>
      </w:pPr>
      <w:r w:rsidRPr="00CA39B3">
        <w:rPr>
          <w:rFonts w:ascii="Palatino Linotype" w:eastAsia="Palatino Linotype" w:hAnsi="Palatino Linotype" w:cs="Palatino Linotype"/>
        </w:rPr>
        <w:t>En efecto, se procedió a analizar el acta remitida a fin de determinar si el Comité de Transparencia cumplió cabalmente con las formalidades exigidas por la Ley de Transparencia y Acceso a la Información Pública del Estado de México y Municipios</w:t>
      </w:r>
      <w:r w:rsidRPr="00CA39B3">
        <w:rPr>
          <w:rFonts w:ascii="Palatino Linotype" w:eastAsia="Palatino Linotype" w:hAnsi="Palatino Linotype" w:cs="Palatino Linotype"/>
          <w:i/>
        </w:rPr>
        <w:t xml:space="preserve">, </w:t>
      </w:r>
      <w:r w:rsidRPr="00CA39B3">
        <w:rPr>
          <w:rFonts w:ascii="Palatino Linotype" w:eastAsia="Palatino Linotype" w:hAnsi="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04AFDD94" w14:textId="77777777" w:rsidR="004201D9" w:rsidRPr="00CA39B3" w:rsidRDefault="004201D9">
      <w:pPr>
        <w:spacing w:line="360" w:lineRule="auto"/>
        <w:ind w:left="567" w:right="567"/>
        <w:jc w:val="both"/>
        <w:rPr>
          <w:rFonts w:ascii="Palatino Linotype" w:eastAsia="Palatino Linotype" w:hAnsi="Palatino Linotype" w:cs="Palatino Linotype"/>
          <w:b/>
          <w:i/>
          <w:color w:val="000000"/>
          <w:sz w:val="22"/>
          <w:szCs w:val="22"/>
        </w:rPr>
      </w:pPr>
    </w:p>
    <w:p w14:paraId="69D42B10" w14:textId="77777777" w:rsidR="004201D9" w:rsidRPr="00CA39B3" w:rsidRDefault="000668C9">
      <w:pPr>
        <w:ind w:left="567"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b/>
          <w:i/>
          <w:color w:val="000000"/>
          <w:sz w:val="22"/>
          <w:szCs w:val="22"/>
        </w:rPr>
        <w:t>INEXISTENCIA, CONCEPTO DE, EN MATERIA DE TRANSPARENCIA</w:t>
      </w:r>
      <w:r w:rsidRPr="00CA39B3">
        <w:rPr>
          <w:rFonts w:ascii="Palatino Linotype" w:eastAsia="Palatino Linotype" w:hAnsi="Palatino Linotype" w:cs="Palatino Linotype"/>
          <w:i/>
          <w:color w:val="000000"/>
          <w:sz w:val="22"/>
          <w:szCs w:val="22"/>
        </w:rPr>
        <w:t xml:space="preserve">. La interpretación sistemática de los artículos 29 y 30, fracción VIII, de la Ley de Transparencia y Acceso a la Información Pública del Estado de México y Municipios, </w:t>
      </w:r>
      <w:r w:rsidRPr="00CA39B3">
        <w:rPr>
          <w:rFonts w:ascii="Palatino Linotype" w:eastAsia="Palatino Linotype" w:hAnsi="Palatino Linotype" w:cs="Palatino Linotype"/>
          <w:i/>
          <w:color w:val="000000"/>
          <w:sz w:val="22"/>
          <w:szCs w:val="22"/>
        </w:rPr>
        <w:lastRenderedPageBreak/>
        <w:t>permite concluir que la inexistencia de la información en el derecho de acceso a la información pública conlleva necesariamente a los siguientes supuestos:</w:t>
      </w:r>
    </w:p>
    <w:p w14:paraId="0B84FCC7" w14:textId="77777777" w:rsidR="004201D9" w:rsidRPr="00CA39B3" w:rsidRDefault="004201D9">
      <w:pPr>
        <w:ind w:left="567" w:right="567"/>
        <w:jc w:val="both"/>
        <w:rPr>
          <w:rFonts w:ascii="Palatino Linotype" w:eastAsia="Palatino Linotype" w:hAnsi="Palatino Linotype" w:cs="Palatino Linotype"/>
          <w:i/>
          <w:color w:val="000000"/>
          <w:sz w:val="22"/>
          <w:szCs w:val="22"/>
        </w:rPr>
      </w:pPr>
    </w:p>
    <w:p w14:paraId="07E20A5B" w14:textId="77777777" w:rsidR="004201D9" w:rsidRPr="00CA39B3" w:rsidRDefault="000668C9">
      <w:pPr>
        <w:ind w:left="567" w:right="567"/>
        <w:jc w:val="both"/>
        <w:rPr>
          <w:rFonts w:ascii="Palatino Linotype" w:eastAsia="Palatino Linotype" w:hAnsi="Palatino Linotype" w:cs="Palatino Linotype"/>
          <w:b/>
          <w:i/>
          <w:color w:val="000000"/>
          <w:sz w:val="22"/>
          <w:szCs w:val="22"/>
        </w:rPr>
      </w:pPr>
      <w:r w:rsidRPr="00CA39B3">
        <w:rPr>
          <w:rFonts w:ascii="Palatino Linotype" w:eastAsia="Palatino Linotype" w:hAnsi="Palatino Linotype" w:cs="Palatino Linotype"/>
          <w:b/>
          <w:i/>
          <w:color w:val="000000"/>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5B3F10C" w14:textId="77777777" w:rsidR="004201D9" w:rsidRPr="00CA39B3" w:rsidRDefault="000668C9">
      <w:pPr>
        <w:ind w:left="567" w:right="567"/>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b) En los casos en que por las atribuciones conferidas al Sujeto Obligado éste debió generar, administrar o poseer la información, pero en incumplimiento a la normatividad respectiva no llevó a cabo ninguna de esas acciones.</w:t>
      </w:r>
    </w:p>
    <w:p w14:paraId="6332FE5F" w14:textId="77777777" w:rsidR="004201D9" w:rsidRPr="00CA39B3" w:rsidRDefault="004201D9">
      <w:pPr>
        <w:ind w:left="567" w:right="567"/>
        <w:jc w:val="both"/>
        <w:rPr>
          <w:rFonts w:ascii="Palatino Linotype" w:eastAsia="Palatino Linotype" w:hAnsi="Palatino Linotype" w:cs="Palatino Linotype"/>
          <w:i/>
          <w:color w:val="000000"/>
          <w:sz w:val="22"/>
          <w:szCs w:val="22"/>
        </w:rPr>
      </w:pPr>
    </w:p>
    <w:p w14:paraId="36557860" w14:textId="77777777" w:rsidR="004201D9" w:rsidRPr="00CA39B3" w:rsidRDefault="000668C9">
      <w:pPr>
        <w:ind w:left="567" w:right="567"/>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7F7CA01" w14:textId="77777777" w:rsidR="004201D9" w:rsidRPr="00CA39B3" w:rsidRDefault="004201D9">
      <w:pPr>
        <w:ind w:left="567" w:right="567"/>
        <w:jc w:val="both"/>
        <w:rPr>
          <w:rFonts w:ascii="Palatino Linotype" w:eastAsia="Palatino Linotype" w:hAnsi="Palatino Linotype" w:cs="Palatino Linotype"/>
          <w:i/>
          <w:color w:val="000000"/>
          <w:sz w:val="22"/>
          <w:szCs w:val="22"/>
        </w:rPr>
      </w:pPr>
    </w:p>
    <w:p w14:paraId="480D34A5" w14:textId="77777777" w:rsidR="004201D9" w:rsidRPr="00CA39B3" w:rsidRDefault="000668C9">
      <w:pPr>
        <w:ind w:left="567" w:right="567"/>
        <w:jc w:val="center"/>
        <w:rPr>
          <w:rFonts w:ascii="Palatino Linotype" w:eastAsia="Palatino Linotype" w:hAnsi="Palatino Linotype" w:cs="Palatino Linotype"/>
          <w:b/>
          <w:i/>
          <w:color w:val="000000"/>
          <w:sz w:val="22"/>
          <w:szCs w:val="22"/>
        </w:rPr>
      </w:pPr>
      <w:r w:rsidRPr="00CA39B3">
        <w:rPr>
          <w:rFonts w:ascii="Palatino Linotype" w:eastAsia="Palatino Linotype" w:hAnsi="Palatino Linotype" w:cs="Palatino Linotype"/>
          <w:b/>
          <w:i/>
          <w:color w:val="000000"/>
          <w:sz w:val="22"/>
          <w:szCs w:val="22"/>
        </w:rPr>
        <w:t>CRITERIO 0004-11</w:t>
      </w:r>
    </w:p>
    <w:p w14:paraId="3DA98531" w14:textId="77777777" w:rsidR="004201D9" w:rsidRPr="00CA39B3" w:rsidRDefault="004201D9">
      <w:pPr>
        <w:ind w:left="567" w:right="567"/>
        <w:jc w:val="both"/>
        <w:rPr>
          <w:rFonts w:ascii="Palatino Linotype" w:eastAsia="Palatino Linotype" w:hAnsi="Palatino Linotype" w:cs="Palatino Linotype"/>
          <w:b/>
          <w:i/>
          <w:color w:val="000000"/>
          <w:sz w:val="22"/>
          <w:szCs w:val="22"/>
        </w:rPr>
      </w:pPr>
    </w:p>
    <w:p w14:paraId="2B678E2E" w14:textId="77777777" w:rsidR="004201D9" w:rsidRPr="00CA39B3" w:rsidRDefault="000668C9">
      <w:pPr>
        <w:ind w:left="567" w:right="567"/>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b/>
          <w:i/>
          <w:color w:val="000000"/>
          <w:sz w:val="22"/>
          <w:szCs w:val="22"/>
        </w:rPr>
        <w:t>INEXISTENCIA. DECLARATORIA DE LA. ALCANCES Y PROCEDIMIENTOS</w:t>
      </w:r>
      <w:r w:rsidRPr="00CA39B3">
        <w:rPr>
          <w:rFonts w:ascii="Palatino Linotype" w:eastAsia="Palatino Linotype" w:hAnsi="Palatino Linotype" w:cs="Palatino Linotype"/>
          <w:i/>
          <w:color w:val="000000"/>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EC64B56" w14:textId="77777777" w:rsidR="004201D9" w:rsidRPr="00CA39B3" w:rsidRDefault="004201D9">
      <w:pPr>
        <w:ind w:left="567" w:right="567"/>
        <w:jc w:val="both"/>
        <w:rPr>
          <w:rFonts w:ascii="Palatino Linotype" w:eastAsia="Palatino Linotype" w:hAnsi="Palatino Linotype" w:cs="Palatino Linotype"/>
          <w:i/>
          <w:color w:val="000000"/>
          <w:sz w:val="22"/>
          <w:szCs w:val="22"/>
        </w:rPr>
      </w:pPr>
    </w:p>
    <w:p w14:paraId="5844E6CD" w14:textId="77777777" w:rsidR="004201D9" w:rsidRPr="00CA39B3" w:rsidRDefault="000668C9">
      <w:pPr>
        <w:ind w:left="567" w:right="567"/>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Bajo el entendido de que dicha búsqueda exhaustiva permitirá dos determinaciones:</w:t>
      </w:r>
    </w:p>
    <w:p w14:paraId="66572807" w14:textId="77777777" w:rsidR="004201D9" w:rsidRPr="00CA39B3" w:rsidRDefault="004201D9">
      <w:pPr>
        <w:ind w:left="567" w:right="567"/>
        <w:jc w:val="both"/>
        <w:rPr>
          <w:rFonts w:ascii="Palatino Linotype" w:eastAsia="Palatino Linotype" w:hAnsi="Palatino Linotype" w:cs="Palatino Linotype"/>
          <w:i/>
          <w:color w:val="000000"/>
          <w:sz w:val="22"/>
          <w:szCs w:val="22"/>
        </w:rPr>
      </w:pPr>
    </w:p>
    <w:p w14:paraId="38A7816A" w14:textId="77777777" w:rsidR="004201D9" w:rsidRPr="00CA39B3" w:rsidRDefault="000668C9">
      <w:pPr>
        <w:ind w:left="567" w:right="567"/>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lastRenderedPageBreak/>
        <w:t>1ª) Que se localice la documentación que contenga la información solicitada y de ser así la información pueda entregarse al solicitante en la forma en que se encuentra disponible, o</w:t>
      </w:r>
    </w:p>
    <w:p w14:paraId="0D1C966E" w14:textId="77777777" w:rsidR="004201D9" w:rsidRPr="00CA39B3" w:rsidRDefault="000668C9">
      <w:pPr>
        <w:ind w:left="567" w:right="567"/>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CC3A20D" w14:textId="77777777" w:rsidR="004201D9" w:rsidRPr="00CA39B3" w:rsidRDefault="004201D9">
      <w:pPr>
        <w:ind w:left="567" w:right="567"/>
        <w:jc w:val="both"/>
        <w:rPr>
          <w:rFonts w:ascii="Palatino Linotype" w:eastAsia="Palatino Linotype" w:hAnsi="Palatino Linotype" w:cs="Palatino Linotype"/>
          <w:i/>
          <w:color w:val="000000"/>
          <w:sz w:val="22"/>
          <w:szCs w:val="22"/>
        </w:rPr>
      </w:pPr>
    </w:p>
    <w:p w14:paraId="182C8705" w14:textId="77777777" w:rsidR="004201D9" w:rsidRPr="00CA39B3" w:rsidRDefault="000668C9">
      <w:pPr>
        <w:ind w:left="567" w:right="567"/>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F448A6D" w14:textId="77777777" w:rsidR="004201D9" w:rsidRPr="00CA39B3" w:rsidRDefault="004201D9">
      <w:pPr>
        <w:spacing w:line="360" w:lineRule="auto"/>
        <w:ind w:right="567"/>
        <w:jc w:val="both"/>
        <w:rPr>
          <w:rFonts w:ascii="Palatino Linotype" w:eastAsia="Palatino Linotype" w:hAnsi="Palatino Linotype" w:cs="Palatino Linotype"/>
        </w:rPr>
      </w:pPr>
    </w:p>
    <w:p w14:paraId="037F7FF9" w14:textId="77777777" w:rsidR="004201D9" w:rsidRPr="00CA39B3" w:rsidRDefault="000668C9">
      <w:pPr>
        <w:spacing w:line="360" w:lineRule="auto"/>
        <w:ind w:right="49"/>
        <w:jc w:val="both"/>
        <w:rPr>
          <w:rFonts w:ascii="Palatino Linotype" w:eastAsia="Palatino Linotype" w:hAnsi="Palatino Linotype" w:cs="Palatino Linotype"/>
          <w:u w:val="single"/>
        </w:rPr>
      </w:pPr>
      <w:r w:rsidRPr="00CA39B3">
        <w:rPr>
          <w:rFonts w:ascii="Palatino Linotype" w:eastAsia="Palatino Linotype" w:hAnsi="Palatino Linotype" w:cs="Palatino Linotype"/>
        </w:rPr>
        <w:t xml:space="preserve">Así, debe señalarse que de acuerdo al criterio de interpretación en el orden administrativo emitido por este Instituto número 0004-11, la inexistencia de la información en el derecho de acceso a la información pública conlleva como supuestos: </w:t>
      </w:r>
      <w:r w:rsidRPr="00CA39B3">
        <w:rPr>
          <w:rFonts w:ascii="Palatino Linotype" w:eastAsia="Palatino Linotype" w:hAnsi="Palatino Linotype" w:cs="Palatino Linotype"/>
          <w:u w:val="single"/>
        </w:rPr>
        <w:t xml:space="preserve">la existencia previa de la documentación y la falta posterior de la misma en los archivos del </w:t>
      </w:r>
      <w:r w:rsidRPr="00CA39B3">
        <w:rPr>
          <w:rFonts w:ascii="Palatino Linotype" w:eastAsia="Palatino Linotype" w:hAnsi="Palatino Linotype" w:cs="Palatino Linotype"/>
          <w:b/>
          <w:u w:val="single"/>
        </w:rPr>
        <w:t>SUJETO OBLIGADO</w:t>
      </w:r>
      <w:r w:rsidRPr="00CA39B3">
        <w:rPr>
          <w:rFonts w:ascii="Palatino Linotype" w:eastAsia="Palatino Linotype" w:hAnsi="Palatino Linotype" w:cs="Palatino Linotype"/>
          <w:u w:val="single"/>
        </w:rPr>
        <w:t xml:space="preserve">, en otras palabras la información se generó, administró o poseyó en el marco de sus atribuciones pero no la conserva por distintas razones como pudieran ser, </w:t>
      </w:r>
      <w:r w:rsidRPr="00CA39B3">
        <w:rPr>
          <w:rFonts w:ascii="Palatino Linotype" w:eastAsia="Palatino Linotype" w:hAnsi="Palatino Linotype" w:cs="Palatino Linotype"/>
          <w:b/>
          <w:u w:val="single"/>
        </w:rPr>
        <w:t>destrucción o desaparición física, sustracción ilícita, baja documental o cualquier otra</w:t>
      </w:r>
      <w:r w:rsidRPr="00CA39B3">
        <w:rPr>
          <w:rFonts w:ascii="Palatino Linotype" w:eastAsia="Palatino Linotype" w:hAnsi="Palatino Linotype" w:cs="Palatino Linotype"/>
          <w:b/>
        </w:rPr>
        <w:t xml:space="preserve">; </w:t>
      </w:r>
      <w:r w:rsidRPr="00CA39B3">
        <w:rPr>
          <w:rFonts w:ascii="Palatino Linotype" w:eastAsia="Palatino Linotype" w:hAnsi="Palatino Linotype" w:cs="Palatino Linotype"/>
        </w:rPr>
        <w:t xml:space="preserve">o el </w:t>
      </w:r>
      <w:r w:rsidRPr="00CA39B3">
        <w:rPr>
          <w:rFonts w:ascii="Palatino Linotype" w:eastAsia="Palatino Linotype" w:hAnsi="Palatino Linotype" w:cs="Palatino Linotype"/>
          <w:u w:val="single"/>
        </w:rPr>
        <w:t xml:space="preserve">segundo de los supuestos sería que el Sujeto Obligado debió de haber generado, administrado o poseído la información pero en incumplimiento a la norma no lo llevo a cabo. </w:t>
      </w:r>
    </w:p>
    <w:p w14:paraId="4D5D170C" w14:textId="77777777" w:rsidR="004201D9" w:rsidRPr="00CA39B3" w:rsidRDefault="004201D9">
      <w:pPr>
        <w:spacing w:line="360" w:lineRule="auto"/>
        <w:ind w:right="49"/>
        <w:jc w:val="both"/>
        <w:rPr>
          <w:rFonts w:ascii="Palatino Linotype" w:eastAsia="Palatino Linotype" w:hAnsi="Palatino Linotype" w:cs="Palatino Linotype"/>
        </w:rPr>
      </w:pPr>
    </w:p>
    <w:p w14:paraId="074A0BEB"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En ese sentido, del acuerdo de inexistencia que se analiza se observa que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w:t>
      </w:r>
      <w:r w:rsidRPr="00CA39B3">
        <w:rPr>
          <w:rFonts w:ascii="Palatino Linotype" w:eastAsia="Palatino Linotype" w:hAnsi="Palatino Linotype" w:cs="Palatino Linotype"/>
          <w:b/>
          <w:u w:val="single"/>
        </w:rPr>
        <w:t>no expresó las razones o motivos por las cuales no cuenta con la información requerida</w:t>
      </w:r>
      <w:r w:rsidRPr="00CA39B3">
        <w:rPr>
          <w:rFonts w:ascii="Palatino Linotype" w:eastAsia="Palatino Linotype" w:hAnsi="Palatino Linotype" w:cs="Palatino Linotype"/>
        </w:rPr>
        <w:t xml:space="preserve">; ya que, no señaló de manera clara sí la información que es del interés de la persona solicitante, se generó o no, y en caso de haberse generado, </w:t>
      </w:r>
      <w:r w:rsidRPr="00CA39B3">
        <w:rPr>
          <w:rFonts w:ascii="Palatino Linotype" w:eastAsia="Palatino Linotype" w:hAnsi="Palatino Linotype" w:cs="Palatino Linotype"/>
        </w:rPr>
        <w:lastRenderedPageBreak/>
        <w:t>los motivos por los cuales no se cuenta con ella, pudiendo ser la destrucción o desaparición física, la sustracción, entre otros supuestos, de ahí que, dicho acuerdo incumplió con las formalidades señaladas por el artículo 169 de la Ley de la Materia.</w:t>
      </w:r>
    </w:p>
    <w:p w14:paraId="3EB7E0B5" w14:textId="77777777" w:rsidR="004201D9" w:rsidRPr="00CA39B3" w:rsidRDefault="004201D9">
      <w:pPr>
        <w:spacing w:line="360" w:lineRule="auto"/>
        <w:jc w:val="both"/>
        <w:rPr>
          <w:rFonts w:ascii="Palatino Linotype" w:eastAsia="Palatino Linotype" w:hAnsi="Palatino Linotype" w:cs="Palatino Linotype"/>
        </w:rPr>
      </w:pPr>
    </w:p>
    <w:p w14:paraId="2F344B48"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Por otro lado, no escapa de la óptica de este Organismo Garante que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no siguió el procedimiento establecido por el artículo 162</w:t>
      </w:r>
      <w:r w:rsidRPr="00CA39B3">
        <w:rPr>
          <w:rFonts w:ascii="Palatino Linotype" w:eastAsia="Palatino Linotype" w:hAnsi="Palatino Linotype" w:cs="Palatino Linotype"/>
          <w:color w:val="FF0000"/>
        </w:rPr>
        <w:t xml:space="preserve"> </w:t>
      </w:r>
      <w:r w:rsidRPr="00CA39B3">
        <w:rPr>
          <w:rFonts w:ascii="Palatino Linotype" w:eastAsia="Palatino Linotype" w:hAnsi="Palatino Linotype" w:cs="Palatino Linotype"/>
        </w:rPr>
        <w:t xml:space="preserve">de la Ley de Transparencia y Acceso a la Información Pública del Estado de México y Municipios, ya que, no se puede perder de vista que para otorgar respuesta a la solicitud inicial,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0438E699" w14:textId="77777777" w:rsidR="004201D9" w:rsidRPr="00CA39B3" w:rsidRDefault="000668C9">
      <w:pPr>
        <w:spacing w:before="240" w:after="240"/>
        <w:ind w:left="709"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15F31C1B" w14:textId="77777777" w:rsidR="004201D9" w:rsidRPr="00CA39B3" w:rsidRDefault="000668C9">
      <w:pPr>
        <w:shd w:val="clear" w:color="auto" w:fill="FFFFFF"/>
        <w:spacing w:before="240" w:after="240" w:line="360" w:lineRule="auto"/>
        <w:jc w:val="both"/>
        <w:rPr>
          <w:color w:val="222222"/>
        </w:rPr>
      </w:pPr>
      <w:r w:rsidRPr="00CA39B3">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CA39B3">
        <w:rPr>
          <w:rFonts w:ascii="Palatino Linotype" w:eastAsia="Palatino Linotype" w:hAnsi="Palatino Linotype" w:cs="Palatino Linotype"/>
          <w:color w:val="000000"/>
        </w:rPr>
        <w:t>de Transparencia y Acceso a la Información Pública del Estado de México y Municipios, el cual menciona lo siguiente:</w:t>
      </w:r>
    </w:p>
    <w:p w14:paraId="2A89E4D8" w14:textId="77777777" w:rsidR="004201D9" w:rsidRPr="00CA39B3" w:rsidRDefault="000668C9">
      <w:pPr>
        <w:shd w:val="clear" w:color="auto" w:fill="FFFFFF"/>
        <w:spacing w:after="240" w:line="276" w:lineRule="auto"/>
        <w:ind w:left="993" w:right="1041"/>
        <w:jc w:val="both"/>
        <w:rPr>
          <w:color w:val="222222"/>
        </w:rPr>
      </w:pPr>
      <w:r w:rsidRPr="00CA39B3">
        <w:rPr>
          <w:rFonts w:ascii="Palatino Linotype" w:eastAsia="Palatino Linotype" w:hAnsi="Palatino Linotype" w:cs="Palatino Linotype"/>
          <w:b/>
          <w:i/>
          <w:color w:val="222222"/>
          <w:sz w:val="22"/>
          <w:szCs w:val="22"/>
        </w:rPr>
        <w:t>“Artículo 162.</w:t>
      </w:r>
      <w:r w:rsidRPr="00CA39B3">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071CEC51" w14:textId="77777777" w:rsidR="004201D9" w:rsidRPr="00CA39B3" w:rsidRDefault="000668C9">
      <w:pPr>
        <w:shd w:val="clear" w:color="auto" w:fill="FFFFFF"/>
        <w:spacing w:line="360" w:lineRule="auto"/>
        <w:jc w:val="both"/>
        <w:rPr>
          <w:color w:val="222222"/>
        </w:rPr>
      </w:pPr>
      <w:r w:rsidRPr="00CA39B3">
        <w:rPr>
          <w:rFonts w:ascii="Palatino Linotype" w:eastAsia="Palatino Linotype" w:hAnsi="Palatino Linotype" w:cs="Palatino Linotype"/>
          <w:color w:val="222222"/>
        </w:rPr>
        <w:lastRenderedPageBreak/>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CA39B3">
        <w:rPr>
          <w:rFonts w:ascii="Palatino Linotype" w:eastAsia="Palatino Linotype" w:hAnsi="Palatino Linotype" w:cs="Palatino Linotype"/>
          <w:color w:val="222222"/>
          <w:vertAlign w:val="superscript"/>
        </w:rPr>
        <w:footnoteReference w:id="1"/>
      </w:r>
      <w:r w:rsidRPr="00CA39B3">
        <w:rPr>
          <w:rFonts w:ascii="Palatino Linotype" w:eastAsia="Palatino Linotype" w:hAnsi="Palatino Linotype" w:cs="Palatino Linotype"/>
          <w:color w:val="2222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 solicitud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BA29B97" w14:textId="77777777" w:rsidR="004201D9" w:rsidRPr="00CA39B3" w:rsidRDefault="004201D9">
      <w:pPr>
        <w:shd w:val="clear" w:color="auto" w:fill="FFFFFF"/>
        <w:ind w:left="993" w:right="1041"/>
        <w:jc w:val="both"/>
        <w:rPr>
          <w:rFonts w:ascii="Palatino Linotype" w:eastAsia="Palatino Linotype" w:hAnsi="Palatino Linotype" w:cs="Palatino Linotype"/>
          <w:b/>
          <w:i/>
          <w:color w:val="222222"/>
          <w:sz w:val="22"/>
          <w:szCs w:val="22"/>
        </w:rPr>
      </w:pPr>
    </w:p>
    <w:p w14:paraId="2837EA97" w14:textId="77777777" w:rsidR="004201D9" w:rsidRPr="00CA39B3" w:rsidRDefault="000668C9">
      <w:pPr>
        <w:shd w:val="clear" w:color="auto" w:fill="FFFFFF"/>
        <w:ind w:left="993" w:right="1041"/>
        <w:jc w:val="both"/>
        <w:rPr>
          <w:color w:val="222222"/>
        </w:rPr>
      </w:pPr>
      <w:r w:rsidRPr="00CA39B3">
        <w:rPr>
          <w:rFonts w:ascii="Palatino Linotype" w:eastAsia="Palatino Linotype" w:hAnsi="Palatino Linotype" w:cs="Palatino Linotype"/>
          <w:b/>
          <w:i/>
          <w:color w:val="222222"/>
          <w:sz w:val="22"/>
          <w:szCs w:val="22"/>
        </w:rPr>
        <w:t>“Artículo 160. </w:t>
      </w:r>
      <w:r w:rsidRPr="00CA39B3">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42F6AB7" w14:textId="77777777" w:rsidR="004201D9" w:rsidRPr="00CA39B3" w:rsidRDefault="000668C9">
      <w:pPr>
        <w:shd w:val="clear" w:color="auto" w:fill="FFFFFF"/>
        <w:ind w:left="993" w:right="1041"/>
        <w:jc w:val="both"/>
        <w:rPr>
          <w:color w:val="222222"/>
        </w:rPr>
      </w:pPr>
      <w:r w:rsidRPr="00CA39B3">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2A1DA960" w14:textId="77777777" w:rsidR="004201D9" w:rsidRPr="00CA39B3" w:rsidRDefault="000668C9">
      <w:pPr>
        <w:shd w:val="clear" w:color="auto" w:fill="FFFFFF"/>
        <w:ind w:left="993" w:right="1041"/>
        <w:jc w:val="both"/>
        <w:rPr>
          <w:color w:val="222222"/>
        </w:rPr>
      </w:pPr>
      <w:r w:rsidRPr="00CA39B3">
        <w:rPr>
          <w:rFonts w:ascii="Palatino Linotype" w:eastAsia="Palatino Linotype" w:hAnsi="Palatino Linotype" w:cs="Palatino Linotype"/>
          <w:b/>
          <w:i/>
          <w:color w:val="222222"/>
          <w:sz w:val="22"/>
          <w:szCs w:val="22"/>
        </w:rPr>
        <w:t>Artículo 163.</w:t>
      </w:r>
      <w:r w:rsidRPr="00CA39B3">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4EF798DF" w14:textId="77777777" w:rsidR="004201D9" w:rsidRPr="00CA39B3" w:rsidRDefault="000668C9">
      <w:pPr>
        <w:shd w:val="clear" w:color="auto" w:fill="FFFFFF"/>
        <w:ind w:left="993" w:right="1041"/>
        <w:jc w:val="both"/>
        <w:rPr>
          <w:color w:val="222222"/>
        </w:rPr>
      </w:pPr>
      <w:r w:rsidRPr="00CA39B3">
        <w:rPr>
          <w:rFonts w:ascii="Palatino Linotype" w:eastAsia="Palatino Linotype" w:hAnsi="Palatino Linotype" w:cs="Palatino Linotype"/>
          <w:i/>
          <w:color w:val="222222"/>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w:t>
      </w:r>
      <w:r w:rsidRPr="00CA39B3">
        <w:rPr>
          <w:rFonts w:ascii="Palatino Linotype" w:eastAsia="Palatino Linotype" w:hAnsi="Palatino Linotype" w:cs="Palatino Linotype"/>
          <w:i/>
          <w:color w:val="222222"/>
          <w:sz w:val="22"/>
          <w:szCs w:val="22"/>
        </w:rPr>
        <w:lastRenderedPageBreak/>
        <w:t>del plazo motivos que supongan negligencia o descuido del sujeto obligado en el desahogo de la solicitud.</w:t>
      </w:r>
    </w:p>
    <w:p w14:paraId="0BB08A6B" w14:textId="77777777" w:rsidR="004201D9" w:rsidRPr="00CA39B3" w:rsidRDefault="000668C9">
      <w:pPr>
        <w:shd w:val="clear" w:color="auto" w:fill="FFFFFF"/>
        <w:ind w:left="993" w:right="1041"/>
        <w:jc w:val="both"/>
        <w:rPr>
          <w:color w:val="222222"/>
        </w:rPr>
      </w:pPr>
      <w:r w:rsidRPr="00CA39B3">
        <w:rPr>
          <w:rFonts w:ascii="Palatino Linotype" w:eastAsia="Palatino Linotype" w:hAnsi="Palatino Linotype" w:cs="Palatino Linotype"/>
          <w:b/>
          <w:i/>
          <w:color w:val="222222"/>
          <w:sz w:val="22"/>
          <w:szCs w:val="22"/>
        </w:rPr>
        <w:t>Artículo 165.</w:t>
      </w:r>
      <w:r w:rsidRPr="00CA39B3">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0EBAD176" w14:textId="77777777" w:rsidR="004201D9" w:rsidRPr="00CA39B3" w:rsidRDefault="000668C9">
      <w:pPr>
        <w:shd w:val="clear" w:color="auto" w:fill="FFFFFF"/>
        <w:ind w:left="993" w:right="1041"/>
        <w:jc w:val="both"/>
        <w:rPr>
          <w:color w:val="222222"/>
        </w:rPr>
      </w:pPr>
      <w:r w:rsidRPr="00CA39B3">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30026440" w14:textId="77777777" w:rsidR="004201D9" w:rsidRPr="00CA39B3" w:rsidRDefault="000668C9">
      <w:pPr>
        <w:shd w:val="clear" w:color="auto" w:fill="FFFFFF"/>
        <w:spacing w:after="240"/>
        <w:ind w:left="993" w:right="1041"/>
        <w:jc w:val="both"/>
        <w:rPr>
          <w:color w:val="222222"/>
        </w:rPr>
      </w:pPr>
      <w:r w:rsidRPr="00CA39B3">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14:paraId="66CCB08E" w14:textId="77777777" w:rsidR="004201D9" w:rsidRPr="00CA39B3" w:rsidRDefault="000668C9">
      <w:pPr>
        <w:shd w:val="clear" w:color="auto" w:fill="FFFFFF"/>
        <w:spacing w:before="240" w:after="240" w:line="360" w:lineRule="auto"/>
        <w:jc w:val="both"/>
        <w:rPr>
          <w:rFonts w:ascii="Palatino Linotype" w:eastAsia="Palatino Linotype" w:hAnsi="Palatino Linotype" w:cs="Palatino Linotype"/>
          <w:color w:val="222222"/>
        </w:rPr>
      </w:pPr>
      <w:r w:rsidRPr="00CA39B3">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CA39B3">
        <w:rPr>
          <w:rFonts w:ascii="Palatino Linotype" w:eastAsia="Palatino Linotype" w:hAnsi="Palatino Linotype" w:cs="Palatino Linotype"/>
          <w:color w:val="222222"/>
          <w:vertAlign w:val="superscript"/>
        </w:rPr>
        <w:footnoteReference w:id="2"/>
      </w:r>
      <w:r w:rsidRPr="00CA39B3">
        <w:rPr>
          <w:rFonts w:ascii="Palatino Linotype" w:eastAsia="Palatino Linotype" w:hAnsi="Palatino Linotype" w:cs="Palatino Linotype"/>
          <w:color w:val="222222"/>
        </w:rPr>
        <w:t xml:space="preserve">, situación que no se advierte en el presente caso, toda vez que el </w:t>
      </w:r>
      <w:r w:rsidRPr="00CA39B3">
        <w:rPr>
          <w:rFonts w:ascii="Palatino Linotype" w:eastAsia="Palatino Linotype" w:hAnsi="Palatino Linotype" w:cs="Palatino Linotype"/>
          <w:b/>
          <w:color w:val="222222"/>
        </w:rPr>
        <w:t>SUJETO OBLIGADO</w:t>
      </w:r>
      <w:r w:rsidRPr="00CA39B3">
        <w:rPr>
          <w:rFonts w:ascii="Palatino Linotype" w:eastAsia="Palatino Linotype" w:hAnsi="Palatino Linotype" w:cs="Palatino Linotype"/>
          <w:color w:val="222222"/>
        </w:rPr>
        <w:t xml:space="preserve">, a través de su </w:t>
      </w:r>
      <w:r w:rsidRPr="00CA39B3">
        <w:rPr>
          <w:rFonts w:ascii="Palatino Linotype" w:eastAsia="Palatino Linotype" w:hAnsi="Palatino Linotype" w:cs="Palatino Linotype"/>
          <w:color w:val="000000"/>
        </w:rPr>
        <w:t xml:space="preserve">Unidad de Transparencia </w:t>
      </w:r>
      <w:r w:rsidRPr="00CA39B3">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559E3876" w14:textId="77777777" w:rsidR="004201D9" w:rsidRPr="00CA39B3" w:rsidRDefault="000668C9">
      <w:pPr>
        <w:spacing w:line="360" w:lineRule="auto"/>
        <w:jc w:val="both"/>
        <w:rPr>
          <w:rFonts w:ascii="Palatino Linotype" w:eastAsia="Palatino Linotype" w:hAnsi="Palatino Linotype" w:cs="Palatino Linotype"/>
          <w:color w:val="222222"/>
        </w:rPr>
      </w:pPr>
      <w:r w:rsidRPr="00CA39B3">
        <w:rPr>
          <w:rFonts w:ascii="Palatino Linotype" w:eastAsia="Palatino Linotype" w:hAnsi="Palatino Linotype" w:cs="Palatino Linotype"/>
          <w:color w:val="222222"/>
        </w:rPr>
        <w:t xml:space="preserve">Lo anterior se afirma así en virtud de que del análisis de la normativa  aplicable al caso concreto, se advierte que el </w:t>
      </w:r>
      <w:r w:rsidRPr="00CA39B3">
        <w:rPr>
          <w:rFonts w:ascii="Palatino Linotype" w:eastAsia="Palatino Linotype" w:hAnsi="Palatino Linotype" w:cs="Palatino Linotype"/>
          <w:b/>
          <w:color w:val="222222"/>
        </w:rPr>
        <w:t>SUJETO OBLIGADO</w:t>
      </w:r>
      <w:r w:rsidRPr="00CA39B3">
        <w:rPr>
          <w:rFonts w:ascii="Palatino Linotype" w:eastAsia="Palatino Linotype" w:hAnsi="Palatino Linotype" w:cs="Palatino Linotype"/>
          <w:color w:val="222222"/>
        </w:rPr>
        <w:t xml:space="preserve"> cuenta con otra área que cuenta con atribuciones para generar, administrar o poseer la información materia de la solicitud, esto es el área encargada de la contabilidad y el gasto público, en </w:t>
      </w:r>
      <w:r w:rsidRPr="00CA39B3">
        <w:rPr>
          <w:rFonts w:ascii="Palatino Linotype" w:eastAsia="Palatino Linotype" w:hAnsi="Palatino Linotype" w:cs="Palatino Linotype"/>
          <w:color w:val="222222"/>
        </w:rPr>
        <w:lastRenderedPageBreak/>
        <w:t>términos de lo señalado por los artículo 117 al 123 del Bando Municipal del Ayuntamiento de Tezoyuca, que señalan:</w:t>
      </w:r>
    </w:p>
    <w:p w14:paraId="31E8F0E4" w14:textId="77777777" w:rsidR="004201D9" w:rsidRPr="00CA39B3" w:rsidRDefault="004201D9">
      <w:pPr>
        <w:spacing w:line="360" w:lineRule="auto"/>
        <w:jc w:val="both"/>
        <w:rPr>
          <w:rFonts w:ascii="Palatino Linotype" w:eastAsia="Palatino Linotype" w:hAnsi="Palatino Linotype" w:cs="Palatino Linotype"/>
          <w:color w:val="222222"/>
        </w:rPr>
      </w:pPr>
    </w:p>
    <w:p w14:paraId="506E357E" w14:textId="77777777" w:rsidR="004201D9" w:rsidRPr="00CA39B3" w:rsidRDefault="000668C9">
      <w:pPr>
        <w:spacing w:line="360" w:lineRule="auto"/>
        <w:jc w:val="both"/>
        <w:rPr>
          <w:rFonts w:ascii="Palatino Linotype" w:eastAsia="Palatino Linotype" w:hAnsi="Palatino Linotype" w:cs="Palatino Linotype"/>
          <w:color w:val="222222"/>
        </w:rPr>
      </w:pPr>
      <w:r w:rsidRPr="00CA39B3">
        <w:rPr>
          <w:rFonts w:ascii="Palatino Linotype" w:eastAsia="Palatino Linotype" w:hAnsi="Palatino Linotype" w:cs="Palatino Linotype"/>
          <w:noProof/>
          <w:color w:val="222222"/>
          <w:lang w:val="es-MX"/>
        </w:rPr>
        <w:drawing>
          <wp:inline distT="0" distB="0" distL="0" distR="0" wp14:anchorId="4D9E96A0" wp14:editId="580562BF">
            <wp:extent cx="5612130" cy="279781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612130" cy="2797810"/>
                    </a:xfrm>
                    <a:prstGeom prst="rect">
                      <a:avLst/>
                    </a:prstGeom>
                    <a:ln/>
                  </pic:spPr>
                </pic:pic>
              </a:graphicData>
            </a:graphic>
          </wp:inline>
        </w:drawing>
      </w:r>
    </w:p>
    <w:p w14:paraId="2F06F45F" w14:textId="77777777" w:rsidR="004201D9" w:rsidRPr="00CA39B3" w:rsidRDefault="000668C9">
      <w:pPr>
        <w:spacing w:line="360" w:lineRule="auto"/>
        <w:jc w:val="both"/>
        <w:rPr>
          <w:rFonts w:ascii="Palatino Linotype" w:eastAsia="Palatino Linotype" w:hAnsi="Palatino Linotype" w:cs="Palatino Linotype"/>
          <w:color w:val="222222"/>
        </w:rPr>
      </w:pPr>
      <w:r w:rsidRPr="00CA39B3">
        <w:rPr>
          <w:rFonts w:ascii="Palatino Linotype" w:eastAsia="Palatino Linotype" w:hAnsi="Palatino Linotype" w:cs="Palatino Linotype"/>
          <w:noProof/>
          <w:color w:val="222222"/>
          <w:lang w:val="es-MX"/>
        </w:rPr>
        <w:drawing>
          <wp:inline distT="0" distB="0" distL="0" distR="0" wp14:anchorId="61AA256E" wp14:editId="576AEA51">
            <wp:extent cx="5612130" cy="2514600"/>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612130" cy="2514600"/>
                    </a:xfrm>
                    <a:prstGeom prst="rect">
                      <a:avLst/>
                    </a:prstGeom>
                    <a:ln/>
                  </pic:spPr>
                </pic:pic>
              </a:graphicData>
            </a:graphic>
          </wp:inline>
        </w:drawing>
      </w:r>
    </w:p>
    <w:p w14:paraId="38D9B2EF" w14:textId="77777777" w:rsidR="004201D9" w:rsidRPr="00CA39B3" w:rsidRDefault="000668C9">
      <w:pPr>
        <w:spacing w:line="360" w:lineRule="auto"/>
        <w:jc w:val="both"/>
        <w:rPr>
          <w:rFonts w:ascii="Palatino Linotype" w:eastAsia="Palatino Linotype" w:hAnsi="Palatino Linotype" w:cs="Palatino Linotype"/>
          <w:color w:val="222222"/>
        </w:rPr>
      </w:pPr>
      <w:r w:rsidRPr="00CA39B3">
        <w:rPr>
          <w:rFonts w:ascii="Palatino Linotype" w:eastAsia="Palatino Linotype" w:hAnsi="Palatino Linotype" w:cs="Palatino Linotype"/>
          <w:color w:val="222222"/>
        </w:rPr>
        <w:t>En donde se establece que la Tesorería Municipal del Ayuntamiento de Tezoyuca, es el área competente para conocer sobre los gastos públicos realizados en los procesos de adquisiciones y compras de bienes y servicios.</w:t>
      </w:r>
    </w:p>
    <w:p w14:paraId="12B24D2C" w14:textId="77777777" w:rsidR="004201D9" w:rsidRPr="00CA39B3" w:rsidRDefault="004201D9">
      <w:pPr>
        <w:spacing w:line="360" w:lineRule="auto"/>
        <w:jc w:val="both"/>
        <w:rPr>
          <w:rFonts w:ascii="Palatino Linotype" w:eastAsia="Palatino Linotype" w:hAnsi="Palatino Linotype" w:cs="Palatino Linotype"/>
          <w:color w:val="222222"/>
        </w:rPr>
      </w:pPr>
    </w:p>
    <w:p w14:paraId="5D475C5C" w14:textId="77777777" w:rsidR="004201D9" w:rsidRPr="00CA39B3" w:rsidRDefault="000668C9">
      <w:pPr>
        <w:spacing w:line="360" w:lineRule="auto"/>
        <w:jc w:val="both"/>
        <w:rPr>
          <w:rFonts w:ascii="Palatino Linotype" w:eastAsia="Palatino Linotype" w:hAnsi="Palatino Linotype" w:cs="Palatino Linotype"/>
          <w:color w:val="222222"/>
        </w:rPr>
      </w:pPr>
      <w:r w:rsidRPr="00CA39B3">
        <w:rPr>
          <w:rFonts w:ascii="Palatino Linotype" w:eastAsia="Palatino Linotype" w:hAnsi="Palatino Linotype" w:cs="Palatino Linotype"/>
          <w:color w:val="222222"/>
        </w:rPr>
        <w:lastRenderedPageBreak/>
        <w:t>Además de acuerdo a su Organigrama del Ayuntamiento de Tezoyuca, que tiene publicado en su página oficial de la información pública de oficio mexiquense (IPOMEX), se advierte que Tesorería Municipal, además del área de Recursos Materiales, cuenta con un área de Contabilidad, como se observa a continuación:</w:t>
      </w:r>
    </w:p>
    <w:p w14:paraId="15AF2B49" w14:textId="77777777" w:rsidR="004201D9" w:rsidRPr="00CA39B3" w:rsidRDefault="004201D9">
      <w:pPr>
        <w:spacing w:line="360" w:lineRule="auto"/>
        <w:jc w:val="both"/>
        <w:rPr>
          <w:rFonts w:ascii="Palatino Linotype" w:eastAsia="Palatino Linotype" w:hAnsi="Palatino Linotype" w:cs="Palatino Linotype"/>
          <w:color w:val="222222"/>
        </w:rPr>
      </w:pPr>
    </w:p>
    <w:p w14:paraId="7C1C5EA4" w14:textId="77777777" w:rsidR="004201D9" w:rsidRPr="00CA39B3" w:rsidRDefault="000668C9">
      <w:pPr>
        <w:spacing w:line="360" w:lineRule="auto"/>
        <w:jc w:val="center"/>
        <w:rPr>
          <w:rFonts w:ascii="Palatino Linotype" w:eastAsia="Palatino Linotype" w:hAnsi="Palatino Linotype" w:cs="Palatino Linotype"/>
          <w:color w:val="222222"/>
        </w:rPr>
      </w:pPr>
      <w:r w:rsidRPr="00CA39B3">
        <w:rPr>
          <w:rFonts w:ascii="Palatino Linotype" w:eastAsia="Palatino Linotype" w:hAnsi="Palatino Linotype" w:cs="Palatino Linotype"/>
          <w:noProof/>
          <w:color w:val="222222"/>
          <w:lang w:val="es-MX"/>
        </w:rPr>
        <w:drawing>
          <wp:inline distT="0" distB="0" distL="0" distR="0" wp14:anchorId="3BABFAD8" wp14:editId="4FC30D01">
            <wp:extent cx="1879867" cy="2076745"/>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t="6611" r="7209" b="3306"/>
                    <a:stretch>
                      <a:fillRect/>
                    </a:stretch>
                  </pic:blipFill>
                  <pic:spPr>
                    <a:xfrm>
                      <a:off x="0" y="0"/>
                      <a:ext cx="1879867" cy="2076745"/>
                    </a:xfrm>
                    <a:prstGeom prst="rect">
                      <a:avLst/>
                    </a:prstGeom>
                    <a:ln/>
                  </pic:spPr>
                </pic:pic>
              </a:graphicData>
            </a:graphic>
          </wp:inline>
        </w:drawing>
      </w:r>
    </w:p>
    <w:p w14:paraId="6767B296" w14:textId="77777777" w:rsidR="004201D9" w:rsidRPr="00CA39B3" w:rsidRDefault="000668C9">
      <w:pPr>
        <w:spacing w:line="360" w:lineRule="auto"/>
        <w:ind w:right="51"/>
        <w:jc w:val="both"/>
        <w:rPr>
          <w:rFonts w:ascii="Palatino Linotype" w:eastAsia="Palatino Linotype" w:hAnsi="Palatino Linotype" w:cs="Palatino Linotype"/>
          <w:color w:val="222222"/>
        </w:rPr>
      </w:pPr>
      <w:r w:rsidRPr="00CA39B3">
        <w:rPr>
          <w:rFonts w:ascii="Palatino Linotype" w:eastAsia="Palatino Linotype" w:hAnsi="Palatino Linotype" w:cs="Palatino Linotype"/>
          <w:color w:val="222222"/>
        </w:rPr>
        <w:t xml:space="preserve">En mérito de lo anterior, se colige que el </w:t>
      </w:r>
      <w:r w:rsidRPr="00CA39B3">
        <w:rPr>
          <w:rFonts w:ascii="Palatino Linotype" w:eastAsia="Palatino Linotype" w:hAnsi="Palatino Linotype" w:cs="Palatino Linotype"/>
          <w:b/>
          <w:color w:val="222222"/>
        </w:rPr>
        <w:t>SUJETO OBLIGADO</w:t>
      </w:r>
      <w:r w:rsidRPr="00CA39B3">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de manera enunciativa más no limitativa el área de Contabilidad perteneciente a la Tesorería Municipal.</w:t>
      </w:r>
    </w:p>
    <w:p w14:paraId="103B0BD2" w14:textId="77777777" w:rsidR="004201D9" w:rsidRPr="00CA39B3" w:rsidRDefault="004201D9">
      <w:pPr>
        <w:spacing w:line="360" w:lineRule="auto"/>
        <w:ind w:right="51"/>
        <w:jc w:val="both"/>
        <w:rPr>
          <w:rFonts w:ascii="Palatino Linotype" w:eastAsia="Palatino Linotype" w:hAnsi="Palatino Linotype" w:cs="Palatino Linotype"/>
          <w:color w:val="222222"/>
        </w:rPr>
      </w:pPr>
    </w:p>
    <w:p w14:paraId="44413D46" w14:textId="77777777" w:rsidR="004201D9" w:rsidRPr="00CA39B3" w:rsidRDefault="000668C9">
      <w:pPr>
        <w:spacing w:line="360" w:lineRule="auto"/>
        <w:ind w:right="51"/>
        <w:jc w:val="both"/>
        <w:rPr>
          <w:rFonts w:ascii="Palatino Linotype" w:eastAsia="Palatino Linotype" w:hAnsi="Palatino Linotype" w:cs="Palatino Linotype"/>
          <w:color w:val="222222"/>
        </w:rPr>
      </w:pPr>
      <w:r w:rsidRPr="00CA39B3">
        <w:rPr>
          <w:rFonts w:ascii="Palatino Linotype" w:eastAsia="Palatino Linotype" w:hAnsi="Palatino Linotype" w:cs="Palatino Linotype"/>
          <w:color w:val="222222"/>
        </w:rPr>
        <w:t xml:space="preserve">Ahora bien, es pertinente señalar que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no señaló una temporalidad de la información que requiere, por lo que en términos del criterio de interpretación 03/19 emitido por el Instituto Nacional de Transparencia Acceso a la Información y Protección de Datos Personales, INAI, en el cual es del tenor literal siguiente:</w:t>
      </w:r>
    </w:p>
    <w:p w14:paraId="15D872EF" w14:textId="77777777" w:rsidR="004201D9" w:rsidRPr="00CA39B3" w:rsidRDefault="000668C9">
      <w:pPr>
        <w:pBdr>
          <w:top w:val="nil"/>
          <w:left w:val="nil"/>
          <w:bottom w:val="nil"/>
          <w:right w:val="nil"/>
          <w:between w:val="nil"/>
        </w:pBdr>
        <w:spacing w:before="240" w:after="240"/>
        <w:ind w:left="851" w:right="900"/>
        <w:jc w:val="both"/>
        <w:rPr>
          <w:color w:val="000000"/>
        </w:rPr>
      </w:pPr>
      <w:r w:rsidRPr="00CA39B3">
        <w:rPr>
          <w:rFonts w:ascii="Palatino Linotype" w:eastAsia="Palatino Linotype" w:hAnsi="Palatino Linotype" w:cs="Palatino Linotype"/>
          <w:i/>
          <w:color w:val="000000"/>
          <w:sz w:val="22"/>
          <w:szCs w:val="22"/>
        </w:rPr>
        <w:lastRenderedPageBreak/>
        <w:t>“</w:t>
      </w:r>
      <w:r w:rsidRPr="00CA39B3">
        <w:rPr>
          <w:rFonts w:ascii="Palatino Linotype" w:eastAsia="Palatino Linotype" w:hAnsi="Palatino Linotype" w:cs="Palatino Linotype"/>
          <w:b/>
          <w:i/>
          <w:color w:val="000000"/>
          <w:sz w:val="22"/>
          <w:szCs w:val="22"/>
        </w:rPr>
        <w:t>Periodo de búsqueda de la información</w:t>
      </w:r>
      <w:r w:rsidRPr="00CA39B3">
        <w:rPr>
          <w:rFonts w:ascii="Palatino Linotype" w:eastAsia="Palatino Linotype" w:hAnsi="Palatino Linotype" w:cs="Palatino Linotype"/>
          <w:i/>
          <w:color w:val="000000"/>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(Sic)</w:t>
      </w:r>
    </w:p>
    <w:p w14:paraId="2BBDFFC3" w14:textId="77777777" w:rsidR="004201D9" w:rsidRPr="00CA39B3" w:rsidRDefault="004201D9">
      <w:pPr>
        <w:spacing w:line="360" w:lineRule="auto"/>
        <w:jc w:val="both"/>
        <w:rPr>
          <w:rFonts w:ascii="Palatino Linotype" w:eastAsia="Palatino Linotype" w:hAnsi="Palatino Linotype" w:cs="Palatino Linotype"/>
        </w:rPr>
      </w:pPr>
    </w:p>
    <w:p w14:paraId="33099383"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Se determina que, la información que es susceptible de entrega, en su caso, corresponde a la que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hubiera generado, administre o posea en el año inmediato anterior contado a partir de la fecha de presentación de la solicitud, es decir, del catorce de agosto de dos mil veintidós al catorce de agosto de dos mil veintitrés. </w:t>
      </w:r>
    </w:p>
    <w:p w14:paraId="116CE0DC" w14:textId="77777777" w:rsidR="004201D9" w:rsidRPr="00CA39B3" w:rsidRDefault="004201D9">
      <w:pPr>
        <w:spacing w:line="360" w:lineRule="auto"/>
        <w:ind w:right="51"/>
        <w:jc w:val="both"/>
        <w:rPr>
          <w:rFonts w:ascii="Palatino Linotype" w:eastAsia="Palatino Linotype" w:hAnsi="Palatino Linotype" w:cs="Palatino Linotype"/>
          <w:color w:val="222222"/>
        </w:rPr>
      </w:pPr>
    </w:p>
    <w:p w14:paraId="18FB0A5A"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Ahora bien, los documentos en donde pudiera contar lo solicitado serían de manera enunciativa más no limitada sería el contrato principalmente o las facturas de pago, por ello es necesario precisar, que en términos del artículo 92, fracción XXIX, de la Ley de Transparencia y Acceso a la Información Pública del Estado de México y Municipios, es información que es pública de oficio, la documentación sobre los procesos y resultados sobre procedimientos de adjudicación directa, invitación restringida y licitación de pública, que incluye la versión pública del expediente respectivo y de los contratos celebrados, a saber, la siguiente:</w:t>
      </w:r>
    </w:p>
    <w:p w14:paraId="71C8DB89" w14:textId="77777777" w:rsidR="004201D9" w:rsidRPr="00CA39B3" w:rsidRDefault="004201D9">
      <w:pPr>
        <w:spacing w:line="360" w:lineRule="auto"/>
        <w:jc w:val="both"/>
        <w:rPr>
          <w:rFonts w:ascii="Palatino Linotype" w:eastAsia="Palatino Linotype" w:hAnsi="Palatino Linotype" w:cs="Palatino Linotype"/>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942"/>
        <w:gridCol w:w="2943"/>
      </w:tblGrid>
      <w:tr w:rsidR="004201D9" w:rsidRPr="00CA39B3" w14:paraId="78272BC8" w14:textId="77777777">
        <w:tc>
          <w:tcPr>
            <w:tcW w:w="2943" w:type="dxa"/>
            <w:shd w:val="clear" w:color="auto" w:fill="D9D9D9"/>
          </w:tcPr>
          <w:p w14:paraId="419B037E"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Licitación Pública</w:t>
            </w:r>
          </w:p>
        </w:tc>
        <w:tc>
          <w:tcPr>
            <w:tcW w:w="2942" w:type="dxa"/>
            <w:shd w:val="clear" w:color="auto" w:fill="D9D9D9"/>
          </w:tcPr>
          <w:p w14:paraId="72E1C1D3"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Invitación Restringida</w:t>
            </w:r>
          </w:p>
        </w:tc>
        <w:tc>
          <w:tcPr>
            <w:tcW w:w="2943" w:type="dxa"/>
            <w:shd w:val="clear" w:color="auto" w:fill="D9D9D9"/>
          </w:tcPr>
          <w:p w14:paraId="59D5BFAD"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Adjudicación Directa</w:t>
            </w:r>
          </w:p>
        </w:tc>
      </w:tr>
      <w:tr w:rsidR="004201D9" w:rsidRPr="00CA39B3" w14:paraId="1E378980" w14:textId="77777777">
        <w:tc>
          <w:tcPr>
            <w:tcW w:w="2943" w:type="dxa"/>
          </w:tcPr>
          <w:p w14:paraId="11C792FE"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lastRenderedPageBreak/>
              <w:t>Convocatoria y fundamentos legales</w:t>
            </w:r>
          </w:p>
        </w:tc>
        <w:tc>
          <w:tcPr>
            <w:tcW w:w="2942" w:type="dxa"/>
          </w:tcPr>
          <w:p w14:paraId="305ECD27"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Invitación y fundamentos legales</w:t>
            </w:r>
          </w:p>
        </w:tc>
        <w:tc>
          <w:tcPr>
            <w:tcW w:w="2943" w:type="dxa"/>
          </w:tcPr>
          <w:p w14:paraId="3FF11175"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Propuesta enviada por el participante</w:t>
            </w:r>
          </w:p>
        </w:tc>
      </w:tr>
      <w:tr w:rsidR="004201D9" w:rsidRPr="00CA39B3" w14:paraId="785B1EC2" w14:textId="77777777">
        <w:tc>
          <w:tcPr>
            <w:tcW w:w="2943" w:type="dxa"/>
          </w:tcPr>
          <w:p w14:paraId="53A2BEBA"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Nombre de los participantes</w:t>
            </w:r>
          </w:p>
        </w:tc>
        <w:tc>
          <w:tcPr>
            <w:tcW w:w="2942" w:type="dxa"/>
          </w:tcPr>
          <w:p w14:paraId="257BCD7F"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Nombre de los invitados</w:t>
            </w:r>
          </w:p>
        </w:tc>
        <w:tc>
          <w:tcPr>
            <w:tcW w:w="2943" w:type="dxa"/>
          </w:tcPr>
          <w:p w14:paraId="19875881"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Motivos y fundamentos legales aplicados para llevar a cabo la adjudicación</w:t>
            </w:r>
          </w:p>
        </w:tc>
      </w:tr>
      <w:tr w:rsidR="004201D9" w:rsidRPr="00CA39B3" w14:paraId="61382689" w14:textId="77777777">
        <w:tc>
          <w:tcPr>
            <w:tcW w:w="2943" w:type="dxa"/>
          </w:tcPr>
          <w:p w14:paraId="5AB7E6C5"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Nombre del ganador y razones que lo justifican</w:t>
            </w:r>
          </w:p>
        </w:tc>
        <w:tc>
          <w:tcPr>
            <w:tcW w:w="2942" w:type="dxa"/>
          </w:tcPr>
          <w:p w14:paraId="5C1CFBCA"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Nombre del ganador y razones que lo justifican</w:t>
            </w:r>
          </w:p>
        </w:tc>
        <w:tc>
          <w:tcPr>
            <w:tcW w:w="2943" w:type="dxa"/>
          </w:tcPr>
          <w:p w14:paraId="5EF4679F"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Autorización del ejercicio de la opción</w:t>
            </w:r>
          </w:p>
        </w:tc>
      </w:tr>
      <w:tr w:rsidR="004201D9" w:rsidRPr="00CA39B3" w14:paraId="3222D50F" w14:textId="77777777">
        <w:tc>
          <w:tcPr>
            <w:tcW w:w="2943" w:type="dxa"/>
          </w:tcPr>
          <w:p w14:paraId="422B4590"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La unidad administrativa solicitante y responsable de la ejecución</w:t>
            </w:r>
          </w:p>
        </w:tc>
        <w:tc>
          <w:tcPr>
            <w:tcW w:w="2942" w:type="dxa"/>
          </w:tcPr>
          <w:p w14:paraId="11187F74"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La unidad administrativa solicitante y responsable de la ejecución</w:t>
            </w:r>
          </w:p>
        </w:tc>
        <w:tc>
          <w:tcPr>
            <w:tcW w:w="2943" w:type="dxa"/>
          </w:tcPr>
          <w:p w14:paraId="73DE4C52"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Cotizaciones consideradas, especificando el nombre de los proveedores y sus montos</w:t>
            </w:r>
          </w:p>
        </w:tc>
      </w:tr>
      <w:tr w:rsidR="004201D9" w:rsidRPr="00CA39B3" w14:paraId="516973E0" w14:textId="77777777">
        <w:tc>
          <w:tcPr>
            <w:tcW w:w="2943" w:type="dxa"/>
          </w:tcPr>
          <w:p w14:paraId="7D54703F"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Convocatorias emitidas</w:t>
            </w:r>
          </w:p>
        </w:tc>
        <w:tc>
          <w:tcPr>
            <w:tcW w:w="2942" w:type="dxa"/>
          </w:tcPr>
          <w:p w14:paraId="2B630BE3"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Invitaciones emitidas</w:t>
            </w:r>
          </w:p>
        </w:tc>
        <w:tc>
          <w:tcPr>
            <w:tcW w:w="2943" w:type="dxa"/>
          </w:tcPr>
          <w:p w14:paraId="11CBC5A1"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Nombre de la persona física o jurídica colectiva adjudicada</w:t>
            </w:r>
          </w:p>
        </w:tc>
      </w:tr>
      <w:tr w:rsidR="004201D9" w:rsidRPr="00CA39B3" w14:paraId="686687DA" w14:textId="77777777">
        <w:tc>
          <w:tcPr>
            <w:tcW w:w="2943" w:type="dxa"/>
          </w:tcPr>
          <w:p w14:paraId="558F2FAA"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Dictámenes y fallos</w:t>
            </w:r>
          </w:p>
        </w:tc>
        <w:tc>
          <w:tcPr>
            <w:tcW w:w="2942" w:type="dxa"/>
          </w:tcPr>
          <w:p w14:paraId="71247E0C"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Dictámenes y fallos</w:t>
            </w:r>
          </w:p>
        </w:tc>
        <w:tc>
          <w:tcPr>
            <w:tcW w:w="2943" w:type="dxa"/>
          </w:tcPr>
          <w:p w14:paraId="200484C7"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La unidad administrativa solicitante y responsable de la ejecución</w:t>
            </w:r>
          </w:p>
        </w:tc>
      </w:tr>
      <w:tr w:rsidR="004201D9" w:rsidRPr="00CA39B3" w14:paraId="083A24E8" w14:textId="77777777">
        <w:tc>
          <w:tcPr>
            <w:tcW w:w="2943" w:type="dxa"/>
          </w:tcPr>
          <w:p w14:paraId="4076B3ED"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Contrato y anexos</w:t>
            </w:r>
          </w:p>
        </w:tc>
        <w:tc>
          <w:tcPr>
            <w:tcW w:w="2942" w:type="dxa"/>
          </w:tcPr>
          <w:p w14:paraId="24E15CFF"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Contrato y anexos</w:t>
            </w:r>
          </w:p>
        </w:tc>
        <w:tc>
          <w:tcPr>
            <w:tcW w:w="2943" w:type="dxa"/>
          </w:tcPr>
          <w:p w14:paraId="74B96A91"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Número, fecha, monto del contrato, el plazo de entrega o de ejecución de los servicios de obra.</w:t>
            </w:r>
          </w:p>
        </w:tc>
      </w:tr>
      <w:tr w:rsidR="004201D9" w:rsidRPr="00CA39B3" w14:paraId="253DA384" w14:textId="77777777">
        <w:tc>
          <w:tcPr>
            <w:tcW w:w="2943" w:type="dxa"/>
          </w:tcPr>
          <w:p w14:paraId="39A67EDF"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lastRenderedPageBreak/>
              <w:t>Los mecanismos de vigilancia y supervisión</w:t>
            </w:r>
          </w:p>
        </w:tc>
        <w:tc>
          <w:tcPr>
            <w:tcW w:w="2942" w:type="dxa"/>
          </w:tcPr>
          <w:p w14:paraId="435DF964"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Los mecanismos de vigilancia y supervisión</w:t>
            </w:r>
          </w:p>
        </w:tc>
        <w:tc>
          <w:tcPr>
            <w:tcW w:w="2943" w:type="dxa"/>
          </w:tcPr>
          <w:p w14:paraId="07355D01"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Los mecanismos de vigilancia y supervisión</w:t>
            </w:r>
          </w:p>
        </w:tc>
      </w:tr>
      <w:tr w:rsidR="004201D9" w:rsidRPr="00CA39B3" w14:paraId="7E32538B" w14:textId="77777777">
        <w:tc>
          <w:tcPr>
            <w:tcW w:w="2943" w:type="dxa"/>
          </w:tcPr>
          <w:p w14:paraId="48B6C29D"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La partida presupuestal</w:t>
            </w:r>
          </w:p>
        </w:tc>
        <w:tc>
          <w:tcPr>
            <w:tcW w:w="2942" w:type="dxa"/>
          </w:tcPr>
          <w:p w14:paraId="2654DBB3"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La partida presupuestal</w:t>
            </w:r>
          </w:p>
        </w:tc>
        <w:tc>
          <w:tcPr>
            <w:tcW w:w="2943" w:type="dxa"/>
          </w:tcPr>
          <w:p w14:paraId="207D33A0"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Informes de avances físicos y financieros</w:t>
            </w:r>
          </w:p>
        </w:tc>
      </w:tr>
      <w:tr w:rsidR="004201D9" w:rsidRPr="00CA39B3" w14:paraId="4A7FF395" w14:textId="77777777">
        <w:tc>
          <w:tcPr>
            <w:tcW w:w="2943" w:type="dxa"/>
          </w:tcPr>
          <w:p w14:paraId="6BBBF434"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Origen de los recursos, así como el tipo de fondo de participación o aportación respectiva</w:t>
            </w:r>
          </w:p>
        </w:tc>
        <w:tc>
          <w:tcPr>
            <w:tcW w:w="2942" w:type="dxa"/>
          </w:tcPr>
          <w:p w14:paraId="249460B5"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Origen de los recursos, así como el tipo de fondo de participación o aportación respectiva</w:t>
            </w:r>
          </w:p>
        </w:tc>
        <w:tc>
          <w:tcPr>
            <w:tcW w:w="2943" w:type="dxa"/>
          </w:tcPr>
          <w:p w14:paraId="6B4ED64B"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Convenio de terminación</w:t>
            </w:r>
          </w:p>
        </w:tc>
      </w:tr>
      <w:tr w:rsidR="004201D9" w:rsidRPr="00CA39B3" w14:paraId="2F7C2752" w14:textId="77777777">
        <w:tc>
          <w:tcPr>
            <w:tcW w:w="2943" w:type="dxa"/>
          </w:tcPr>
          <w:p w14:paraId="29B06A2E"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Convenios modificatorios</w:t>
            </w:r>
          </w:p>
        </w:tc>
        <w:tc>
          <w:tcPr>
            <w:tcW w:w="2942" w:type="dxa"/>
          </w:tcPr>
          <w:p w14:paraId="6FE63263"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Convenios modificatorios</w:t>
            </w:r>
          </w:p>
        </w:tc>
        <w:tc>
          <w:tcPr>
            <w:tcW w:w="2943" w:type="dxa"/>
          </w:tcPr>
          <w:p w14:paraId="6D27EB56"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Finiquito</w:t>
            </w:r>
          </w:p>
        </w:tc>
      </w:tr>
      <w:tr w:rsidR="004201D9" w:rsidRPr="00CA39B3" w14:paraId="3E9E3065" w14:textId="77777777">
        <w:tc>
          <w:tcPr>
            <w:tcW w:w="2943" w:type="dxa"/>
          </w:tcPr>
          <w:p w14:paraId="48FD4FFA"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Informes de avances físicos y financieros</w:t>
            </w:r>
          </w:p>
        </w:tc>
        <w:tc>
          <w:tcPr>
            <w:tcW w:w="2942" w:type="dxa"/>
          </w:tcPr>
          <w:p w14:paraId="38F205D5"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Informes de avances físicos y financieros</w:t>
            </w:r>
          </w:p>
        </w:tc>
        <w:tc>
          <w:tcPr>
            <w:tcW w:w="2943" w:type="dxa"/>
          </w:tcPr>
          <w:p w14:paraId="37D69851" w14:textId="77777777" w:rsidR="004201D9" w:rsidRPr="00CA39B3" w:rsidRDefault="004201D9">
            <w:pPr>
              <w:spacing w:before="240" w:after="240" w:line="360" w:lineRule="auto"/>
              <w:jc w:val="both"/>
              <w:rPr>
                <w:rFonts w:ascii="Palatino Linotype" w:eastAsia="Palatino Linotype" w:hAnsi="Palatino Linotype" w:cs="Palatino Linotype"/>
                <w:sz w:val="20"/>
                <w:szCs w:val="20"/>
              </w:rPr>
            </w:pPr>
          </w:p>
        </w:tc>
      </w:tr>
      <w:tr w:rsidR="004201D9" w:rsidRPr="00CA39B3" w14:paraId="6295783A" w14:textId="77777777">
        <w:tc>
          <w:tcPr>
            <w:tcW w:w="2943" w:type="dxa"/>
          </w:tcPr>
          <w:p w14:paraId="55B36BC8"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Convenio de terminación</w:t>
            </w:r>
          </w:p>
        </w:tc>
        <w:tc>
          <w:tcPr>
            <w:tcW w:w="2942" w:type="dxa"/>
          </w:tcPr>
          <w:p w14:paraId="5F3AB05F"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Convenio de terminación</w:t>
            </w:r>
          </w:p>
        </w:tc>
        <w:tc>
          <w:tcPr>
            <w:tcW w:w="2943" w:type="dxa"/>
          </w:tcPr>
          <w:p w14:paraId="698D08BF" w14:textId="77777777" w:rsidR="004201D9" w:rsidRPr="00CA39B3" w:rsidRDefault="004201D9">
            <w:pPr>
              <w:spacing w:before="240" w:after="240" w:line="360" w:lineRule="auto"/>
              <w:jc w:val="both"/>
              <w:rPr>
                <w:rFonts w:ascii="Palatino Linotype" w:eastAsia="Palatino Linotype" w:hAnsi="Palatino Linotype" w:cs="Palatino Linotype"/>
                <w:sz w:val="20"/>
                <w:szCs w:val="20"/>
              </w:rPr>
            </w:pPr>
          </w:p>
        </w:tc>
      </w:tr>
      <w:tr w:rsidR="004201D9" w:rsidRPr="00CA39B3" w14:paraId="5D894B68" w14:textId="77777777">
        <w:tc>
          <w:tcPr>
            <w:tcW w:w="2943" w:type="dxa"/>
          </w:tcPr>
          <w:p w14:paraId="1B32380B"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Finiquito</w:t>
            </w:r>
          </w:p>
        </w:tc>
        <w:tc>
          <w:tcPr>
            <w:tcW w:w="2942" w:type="dxa"/>
          </w:tcPr>
          <w:p w14:paraId="709CB1D8" w14:textId="77777777" w:rsidR="004201D9" w:rsidRPr="00CA39B3" w:rsidRDefault="000668C9">
            <w:pPr>
              <w:spacing w:before="240" w:after="240" w:line="360" w:lineRule="auto"/>
              <w:jc w:val="both"/>
              <w:rPr>
                <w:rFonts w:ascii="Palatino Linotype" w:eastAsia="Palatino Linotype" w:hAnsi="Palatino Linotype" w:cs="Palatino Linotype"/>
                <w:sz w:val="20"/>
                <w:szCs w:val="20"/>
              </w:rPr>
            </w:pPr>
            <w:r w:rsidRPr="00CA39B3">
              <w:rPr>
                <w:rFonts w:ascii="Palatino Linotype" w:eastAsia="Palatino Linotype" w:hAnsi="Palatino Linotype" w:cs="Palatino Linotype"/>
                <w:sz w:val="20"/>
                <w:szCs w:val="20"/>
              </w:rPr>
              <w:t>Finiquito</w:t>
            </w:r>
          </w:p>
        </w:tc>
        <w:tc>
          <w:tcPr>
            <w:tcW w:w="2943" w:type="dxa"/>
          </w:tcPr>
          <w:p w14:paraId="465F9FFB" w14:textId="77777777" w:rsidR="004201D9" w:rsidRPr="00CA39B3" w:rsidRDefault="004201D9">
            <w:pPr>
              <w:spacing w:before="240" w:after="240" w:line="360" w:lineRule="auto"/>
              <w:jc w:val="both"/>
              <w:rPr>
                <w:rFonts w:ascii="Palatino Linotype" w:eastAsia="Palatino Linotype" w:hAnsi="Palatino Linotype" w:cs="Palatino Linotype"/>
                <w:sz w:val="20"/>
                <w:szCs w:val="20"/>
              </w:rPr>
            </w:pPr>
          </w:p>
        </w:tc>
      </w:tr>
    </w:tbl>
    <w:p w14:paraId="771EABD8" w14:textId="77777777" w:rsidR="004201D9" w:rsidRPr="00CA39B3" w:rsidRDefault="004201D9">
      <w:pPr>
        <w:spacing w:line="360" w:lineRule="auto"/>
        <w:rPr>
          <w:strike/>
          <w:color w:val="FF0000"/>
        </w:rPr>
      </w:pPr>
    </w:p>
    <w:p w14:paraId="6EB38037"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Al respecto, sobre el contrato, el Código Civil del Estado de México, en su artículo 7.31, lo define como los convenios que crean o transfieren obligaciones y derechos, reciben el nombre de contratos; además, el artículo 65 de la Ley de Contratación Pública del Estado de México y Municipios, establece que la adjudicación de un procedimiento de adquisición de bienes o de contratación de servicios, se realizará mediante la suscripción de un contrato, entre el Ayuntamiento y la persona a la cual </w:t>
      </w:r>
      <w:r w:rsidRPr="00CA39B3">
        <w:rPr>
          <w:rFonts w:ascii="Palatino Linotype" w:eastAsia="Palatino Linotype" w:hAnsi="Palatino Linotype" w:cs="Palatino Linotype"/>
        </w:rPr>
        <w:lastRenderedPageBreak/>
        <w:t xml:space="preserve">haya ganado el procedimiento licitatorio, dentro de los diez días hábiles siguientes a la notificación del fallo. </w:t>
      </w:r>
    </w:p>
    <w:p w14:paraId="774ABCD5" w14:textId="77777777" w:rsidR="004201D9" w:rsidRPr="00CA39B3" w:rsidRDefault="004201D9">
      <w:pPr>
        <w:spacing w:line="360" w:lineRule="auto"/>
        <w:jc w:val="both"/>
        <w:rPr>
          <w:rFonts w:ascii="Palatino Linotype" w:eastAsia="Palatino Linotype" w:hAnsi="Palatino Linotype" w:cs="Palatino Linotype"/>
        </w:rPr>
      </w:pPr>
    </w:p>
    <w:p w14:paraId="093B2527"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En ese orden de ideas, conforme al artículo 120 del Reglamento de la Ley de Contratación Pública del Estado de México y Municipios, dichos actos jurídicos se conforman por diversos datos, entre los cuales, se encuentran los datos de identificación de las partes y del contrato, objeto, importe total y origen de los recursos, fecha de suministro de bienes o prestación del servicio, porcentajes, número y fechas de las exhibiciones, entre otros.</w:t>
      </w:r>
    </w:p>
    <w:p w14:paraId="3D0D00B1" w14:textId="77777777" w:rsidR="004201D9" w:rsidRPr="00CA39B3" w:rsidRDefault="004201D9">
      <w:pPr>
        <w:spacing w:line="360" w:lineRule="auto"/>
        <w:jc w:val="both"/>
        <w:rPr>
          <w:rFonts w:ascii="Palatino Linotype" w:eastAsia="Palatino Linotype" w:hAnsi="Palatino Linotype" w:cs="Palatino Linotype"/>
        </w:rPr>
      </w:pPr>
    </w:p>
    <w:p w14:paraId="36E050A1" w14:textId="77777777" w:rsidR="004201D9" w:rsidRPr="00CA39B3" w:rsidRDefault="000668C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color w:val="000000"/>
        </w:rPr>
        <w:t>En cuanto a la</w:t>
      </w:r>
      <w:r w:rsidRPr="00CA39B3">
        <w:rPr>
          <w:rFonts w:ascii="Palatino Linotype" w:eastAsia="Palatino Linotype" w:hAnsi="Palatino Linotype" w:cs="Palatino Linotype"/>
        </w:rPr>
        <w:t xml:space="preserve"> factura, en términos de lo señalado por los artículos 342, 343, 344 y 345 del Código Financiero del Estado de México y Municipios, disponen el sistema y las políticas que deben seguirse para llevar el registro contable y presupuestal de las operaciones financieras, en los siguientes términos:</w:t>
      </w:r>
    </w:p>
    <w:p w14:paraId="56821185" w14:textId="77777777" w:rsidR="004201D9" w:rsidRPr="00CA39B3" w:rsidRDefault="004201D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rPr>
      </w:pPr>
    </w:p>
    <w:p w14:paraId="56E6FDC5" w14:textId="77777777" w:rsidR="004201D9" w:rsidRPr="00CA39B3" w:rsidRDefault="000668C9">
      <w:pPr>
        <w:ind w:left="851" w:right="85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color w:val="000000"/>
          <w:sz w:val="22"/>
          <w:szCs w:val="22"/>
        </w:rPr>
        <w:t>“</w:t>
      </w:r>
      <w:r w:rsidRPr="00CA39B3">
        <w:rPr>
          <w:rFonts w:ascii="Palatino Linotype" w:eastAsia="Palatino Linotype" w:hAnsi="Palatino Linotype" w:cs="Palatino Linotype"/>
          <w:b/>
          <w:i/>
          <w:sz w:val="22"/>
          <w:szCs w:val="22"/>
        </w:rPr>
        <w:t>Artículo 342.-</w:t>
      </w:r>
      <w:r w:rsidRPr="00CA39B3">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w:t>
      </w:r>
      <w:r w:rsidRPr="00CA39B3">
        <w:rPr>
          <w:rFonts w:ascii="Palatino Linotype" w:eastAsia="Palatino Linotype" w:hAnsi="Palatino Linotype" w:cs="Palatino Linotype"/>
          <w:i/>
          <w:color w:val="000000"/>
          <w:sz w:val="22"/>
          <w:szCs w:val="22"/>
        </w:rPr>
        <w:t>planeación</w:t>
      </w:r>
      <w:r w:rsidRPr="00CA39B3">
        <w:rPr>
          <w:rFonts w:ascii="Palatino Linotype" w:eastAsia="Palatino Linotype" w:hAnsi="Palatino Linotype" w:cs="Palatino Linotype"/>
          <w:i/>
          <w:sz w:val="22"/>
          <w:szCs w:val="22"/>
        </w:rPr>
        <w:t xml:space="preserve">, programación, presupuestación, evaluación y </w:t>
      </w:r>
      <w:r w:rsidRPr="00CA39B3">
        <w:rPr>
          <w:rFonts w:ascii="Palatino Linotype" w:eastAsia="Palatino Linotype" w:hAnsi="Palatino Linotype" w:cs="Palatino Linotype"/>
          <w:i/>
          <w:color w:val="000000"/>
          <w:sz w:val="22"/>
          <w:szCs w:val="22"/>
        </w:rPr>
        <w:t>contabilidad</w:t>
      </w:r>
      <w:r w:rsidRPr="00CA39B3">
        <w:rPr>
          <w:rFonts w:ascii="Palatino Linotype" w:eastAsia="Palatino Linotype" w:hAnsi="Palatino Linotype" w:cs="Palatino Linotype"/>
          <w:i/>
          <w:sz w:val="22"/>
          <w:szCs w:val="22"/>
        </w:rPr>
        <w:t xml:space="preserve"> gubernamental. </w:t>
      </w:r>
    </w:p>
    <w:p w14:paraId="76A26254" w14:textId="77777777" w:rsidR="004201D9" w:rsidRPr="00CA39B3" w:rsidRDefault="000668C9">
      <w:pPr>
        <w:ind w:left="851" w:right="850"/>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color w:val="000000"/>
          <w:sz w:val="22"/>
          <w:szCs w:val="22"/>
        </w:rPr>
        <w:t>…</w:t>
      </w:r>
    </w:p>
    <w:p w14:paraId="4EA322B5" w14:textId="77777777" w:rsidR="004201D9" w:rsidRPr="00CA39B3" w:rsidRDefault="000668C9">
      <w:pPr>
        <w:ind w:left="851" w:right="85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Artículo 343.-</w:t>
      </w:r>
      <w:r w:rsidRPr="00CA39B3">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3774CB3" w14:textId="77777777" w:rsidR="004201D9" w:rsidRPr="00CA39B3" w:rsidRDefault="000668C9">
      <w:pPr>
        <w:ind w:left="851" w:right="85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72C64BC9" w14:textId="77777777" w:rsidR="004201D9" w:rsidRPr="00CA39B3" w:rsidRDefault="000668C9">
      <w:pPr>
        <w:ind w:left="851" w:right="85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w:t>
      </w:r>
      <w:r w:rsidRPr="00CA39B3">
        <w:rPr>
          <w:rFonts w:ascii="Palatino Linotype" w:eastAsia="Palatino Linotype" w:hAnsi="Palatino Linotype" w:cs="Palatino Linotype"/>
          <w:b/>
          <w:i/>
          <w:sz w:val="22"/>
          <w:szCs w:val="22"/>
        </w:rPr>
        <w:lastRenderedPageBreak/>
        <w:t xml:space="preserve">en que ocurran, con base en el sistema y políticas de registro establecidas, </w:t>
      </w:r>
      <w:r w:rsidRPr="00CA39B3">
        <w:rPr>
          <w:rFonts w:ascii="Palatino Linotype" w:eastAsia="Palatino Linotype" w:hAnsi="Palatino Linotype" w:cs="Palatino Linotype"/>
          <w:i/>
          <w:sz w:val="22"/>
          <w:szCs w:val="22"/>
        </w:rPr>
        <w:t xml:space="preserve">en el caso de </w:t>
      </w:r>
      <w:r w:rsidRPr="00CA39B3">
        <w:rPr>
          <w:rFonts w:ascii="Palatino Linotype" w:eastAsia="Palatino Linotype" w:hAnsi="Palatino Linotype" w:cs="Palatino Linotype"/>
          <w:b/>
          <w:i/>
          <w:sz w:val="22"/>
          <w:szCs w:val="22"/>
          <w:u w:val="single"/>
        </w:rPr>
        <w:t>los Municipios se hará por la Tesorería</w:t>
      </w:r>
      <w:r w:rsidRPr="00CA39B3">
        <w:rPr>
          <w:rFonts w:ascii="Palatino Linotype" w:eastAsia="Palatino Linotype" w:hAnsi="Palatino Linotype" w:cs="Palatino Linotype"/>
          <w:i/>
          <w:sz w:val="22"/>
          <w:szCs w:val="22"/>
        </w:rPr>
        <w:t xml:space="preserve">. </w:t>
      </w:r>
    </w:p>
    <w:p w14:paraId="3C565947" w14:textId="77777777" w:rsidR="004201D9" w:rsidRPr="00CA39B3" w:rsidRDefault="000668C9">
      <w:pPr>
        <w:ind w:left="851" w:right="5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Derogado. </w:t>
      </w:r>
    </w:p>
    <w:p w14:paraId="57ABCAFD" w14:textId="77777777" w:rsidR="004201D9" w:rsidRPr="00CA39B3" w:rsidRDefault="000668C9">
      <w:pPr>
        <w:ind w:left="851" w:right="85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CA39B3">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74972FB6" w14:textId="77777777" w:rsidR="004201D9" w:rsidRPr="00CA39B3" w:rsidRDefault="000668C9">
      <w:pPr>
        <w:ind w:left="851" w:right="5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p>
    <w:p w14:paraId="670E5738" w14:textId="77777777" w:rsidR="004201D9" w:rsidRPr="00CA39B3" w:rsidRDefault="000668C9">
      <w:pPr>
        <w:ind w:left="851" w:right="850"/>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Artículo 345.-</w:t>
      </w:r>
      <w:r w:rsidRPr="00CA39B3">
        <w:rPr>
          <w:rFonts w:ascii="Palatino Linotype" w:eastAsia="Palatino Linotype" w:hAnsi="Palatino Linotype" w:cs="Palatino Linotype"/>
          <w:i/>
          <w:sz w:val="22"/>
          <w:szCs w:val="22"/>
        </w:rPr>
        <w:t xml:space="preserve"> </w:t>
      </w:r>
      <w:r w:rsidRPr="00CA39B3">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CA39B3">
        <w:rPr>
          <w:rFonts w:ascii="Palatino Linotype" w:eastAsia="Palatino Linotype" w:hAnsi="Palatino Linotype" w:cs="Palatino Linotype"/>
          <w:i/>
          <w:sz w:val="22"/>
          <w:szCs w:val="22"/>
        </w:rPr>
        <w:t xml:space="preserve">, la remitirán en un plazo que no excederá de seis meses al Archivo Contable Gubernamental. </w:t>
      </w:r>
      <w:r w:rsidRPr="00CA39B3">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CA39B3">
        <w:rPr>
          <w:rFonts w:ascii="Palatino Linotype" w:eastAsia="Palatino Linotype" w:hAnsi="Palatino Linotype" w:cs="Palatino Linotype"/>
          <w:i/>
          <w:sz w:val="22"/>
          <w:szCs w:val="22"/>
        </w:rPr>
        <w:t xml:space="preserve">. </w:t>
      </w:r>
    </w:p>
    <w:p w14:paraId="2C34F429" w14:textId="77777777" w:rsidR="004201D9" w:rsidRPr="00CA39B3" w:rsidRDefault="000668C9">
      <w:pPr>
        <w:spacing w:after="120"/>
        <w:ind w:left="851" w:right="850"/>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w:t>
      </w:r>
      <w:r w:rsidRPr="00CA39B3">
        <w:rPr>
          <w:rFonts w:ascii="Palatino Linotype" w:eastAsia="Palatino Linotype" w:hAnsi="Palatino Linotype" w:cs="Palatino Linotype"/>
          <w:i/>
          <w:color w:val="000000"/>
          <w:sz w:val="22"/>
          <w:szCs w:val="22"/>
        </w:rPr>
        <w:t xml:space="preserve"> “</w:t>
      </w:r>
    </w:p>
    <w:p w14:paraId="06878331" w14:textId="77777777" w:rsidR="004201D9" w:rsidRPr="00CA39B3" w:rsidRDefault="004201D9">
      <w:pPr>
        <w:spacing w:before="120" w:after="240" w:line="360" w:lineRule="auto"/>
        <w:jc w:val="both"/>
        <w:rPr>
          <w:rFonts w:ascii="Palatino Linotype" w:eastAsia="Palatino Linotype" w:hAnsi="Palatino Linotype" w:cs="Palatino Linotype"/>
        </w:rPr>
      </w:pPr>
    </w:p>
    <w:p w14:paraId="17C0AE6B" w14:textId="77777777" w:rsidR="004201D9" w:rsidRPr="00CA39B3" w:rsidRDefault="000668C9">
      <w:pPr>
        <w:spacing w:before="240" w:after="240" w:line="360" w:lineRule="auto"/>
        <w:jc w:val="both"/>
        <w:rPr>
          <w:rFonts w:ascii="Palatino Linotype" w:eastAsia="Palatino Linotype" w:hAnsi="Palatino Linotype" w:cs="Palatino Linotype"/>
          <w:color w:val="000000"/>
        </w:rPr>
      </w:pPr>
      <w:r w:rsidRPr="00CA39B3">
        <w:rPr>
          <w:rFonts w:ascii="Palatino Linotype" w:eastAsia="Palatino Linotype" w:hAnsi="Palatino Linotype" w:cs="Palatino Linotype"/>
        </w:rPr>
        <w:t>De una interpretación sistemática de los artículos transcritos, se desprende primeramente que el</w:t>
      </w:r>
      <w:r w:rsidRPr="00CA39B3">
        <w:rPr>
          <w:rFonts w:ascii="Palatino Linotype" w:eastAsia="Palatino Linotype" w:hAnsi="Palatino Linotype" w:cs="Palatino Linotype"/>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 y deberá estar soportado con los documentos comprobatorios originales.</w:t>
      </w:r>
    </w:p>
    <w:p w14:paraId="55EFFA83" w14:textId="77777777" w:rsidR="004201D9" w:rsidRPr="00CA39B3" w:rsidRDefault="000668C9">
      <w:pPr>
        <w:spacing w:before="240" w:after="240" w:line="360" w:lineRule="auto"/>
        <w:ind w:right="-232"/>
        <w:jc w:val="both"/>
        <w:rPr>
          <w:rFonts w:ascii="Palatino Linotype" w:eastAsia="Palatino Linotype" w:hAnsi="Palatino Linotype" w:cs="Palatino Linotype"/>
        </w:rPr>
      </w:pPr>
      <w:r w:rsidRPr="00CA39B3">
        <w:rPr>
          <w:rFonts w:ascii="Palatino Linotype" w:eastAsia="Palatino Linotype" w:hAnsi="Palatino Linotype" w:cs="Palatino Linotype"/>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726A63E8" w14:textId="77777777" w:rsidR="004201D9" w:rsidRPr="00CA39B3" w:rsidRDefault="000668C9">
      <w:pPr>
        <w:spacing w:before="120"/>
        <w:ind w:left="851" w:right="902"/>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i/>
          <w:sz w:val="22"/>
          <w:szCs w:val="22"/>
        </w:rPr>
        <w:lastRenderedPageBreak/>
        <w:t>“</w:t>
      </w:r>
      <w:r w:rsidRPr="00CA39B3">
        <w:rPr>
          <w:rFonts w:ascii="Palatino Linotype" w:eastAsia="Palatino Linotype" w:hAnsi="Palatino Linotype" w:cs="Palatino Linotype"/>
          <w:b/>
          <w:i/>
          <w:sz w:val="22"/>
          <w:szCs w:val="22"/>
        </w:rPr>
        <w:t>FACTURA</w:t>
      </w:r>
    </w:p>
    <w:p w14:paraId="76879FD5"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4C0BA597" w14:textId="77777777" w:rsidR="004201D9" w:rsidRPr="00CA39B3" w:rsidRDefault="004201D9">
      <w:pPr>
        <w:spacing w:line="360" w:lineRule="auto"/>
        <w:jc w:val="both"/>
        <w:rPr>
          <w:rFonts w:ascii="Palatino Linotype" w:eastAsia="Palatino Linotype" w:hAnsi="Palatino Linotype" w:cs="Palatino Linotype"/>
        </w:rPr>
      </w:pPr>
    </w:p>
    <w:p w14:paraId="75DC6B64"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Asimismo, del cuadro comparativo anterior se advierte que tanto en la licitación pública e invitación restringida debe existir un documento en donde conste el nombre del ganador y las razones que los justifican, y dictámenes y fallos.</w:t>
      </w:r>
    </w:p>
    <w:p w14:paraId="2410DDDB" w14:textId="77777777" w:rsidR="004201D9" w:rsidRPr="00CA39B3" w:rsidRDefault="004201D9">
      <w:pPr>
        <w:spacing w:line="360" w:lineRule="auto"/>
        <w:jc w:val="both"/>
        <w:rPr>
          <w:rFonts w:ascii="Palatino Linotype" w:eastAsia="Palatino Linotype" w:hAnsi="Palatino Linotype" w:cs="Palatino Linotype"/>
        </w:rPr>
      </w:pPr>
    </w:p>
    <w:p w14:paraId="361BDE38"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En la adjudicación directa, debe existir un documento en donde consten las Cotizaciones consideradas, especificando el nombre de los proveedores y sus montos, y nombre de la persona física o jurídica colectiva adjudicada.</w:t>
      </w:r>
    </w:p>
    <w:p w14:paraId="6628E501" w14:textId="77777777" w:rsidR="004201D9" w:rsidRPr="00CA39B3" w:rsidRDefault="004201D9">
      <w:pPr>
        <w:spacing w:line="360" w:lineRule="auto"/>
        <w:jc w:val="both"/>
        <w:rPr>
          <w:rFonts w:ascii="Palatino Linotype" w:eastAsia="Palatino Linotype" w:hAnsi="Palatino Linotype" w:cs="Palatino Linotype"/>
        </w:rPr>
      </w:pPr>
    </w:p>
    <w:p w14:paraId="49E64F53"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Documentos que daría cuenta del requerimiento de información de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xml:space="preserve">, en donde solicitó “el proceso de licitación donde se acredite  que fue la persona con mejor precios en el material o todo aquel documento donde se justifique que la persona que surte el material era la mejor opción.” (Sic), lo anterior se robustece con lo señalado por los artículos 37 de la Ley de Contratación Pública del Estado de México y 94 del Reglamento de la Ley de Contratación Pública del Estado de México y Municipios, que señala: </w:t>
      </w:r>
    </w:p>
    <w:p w14:paraId="237DF593" w14:textId="77777777" w:rsidR="004201D9" w:rsidRPr="00CA39B3" w:rsidRDefault="004201D9">
      <w:pPr>
        <w:spacing w:line="360" w:lineRule="auto"/>
        <w:jc w:val="both"/>
        <w:rPr>
          <w:rFonts w:ascii="Palatino Linotype" w:eastAsia="Palatino Linotype" w:hAnsi="Palatino Linotype" w:cs="Palatino Linotype"/>
        </w:rPr>
      </w:pPr>
    </w:p>
    <w:p w14:paraId="3242DAC0"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37.-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w:t>
      </w:r>
      <w:r w:rsidRPr="00CA39B3">
        <w:rPr>
          <w:rFonts w:ascii="Palatino Linotype" w:eastAsia="Palatino Linotype" w:hAnsi="Palatino Linotype" w:cs="Palatino Linotype"/>
          <w:b/>
          <w:i/>
          <w:sz w:val="22"/>
          <w:szCs w:val="22"/>
        </w:rPr>
        <w:t xml:space="preserve">emitirá el dictamen de adjudicación a favor del oferente u oferentes que reúnan los requisitos administrativos, financieros, legales y técnicos requeridos por la convocante; garantizando en todo momento la obtención de las mejores </w:t>
      </w:r>
      <w:r w:rsidRPr="00CA39B3">
        <w:rPr>
          <w:rFonts w:ascii="Palatino Linotype" w:eastAsia="Palatino Linotype" w:hAnsi="Palatino Linotype" w:cs="Palatino Linotype"/>
          <w:b/>
          <w:i/>
          <w:sz w:val="22"/>
          <w:szCs w:val="22"/>
        </w:rPr>
        <w:lastRenderedPageBreak/>
        <w:t>condiciones en cuanto a precio, calidad, financiamiento, oportunidad y demás circunstancias pertinentes</w:t>
      </w:r>
      <w:r w:rsidRPr="00CA39B3">
        <w:rPr>
          <w:rFonts w:ascii="Palatino Linotype" w:eastAsia="Palatino Linotype" w:hAnsi="Palatino Linotype" w:cs="Palatino Linotype"/>
          <w:i/>
          <w:sz w:val="22"/>
          <w:szCs w:val="22"/>
        </w:rPr>
        <w:t>.</w:t>
      </w:r>
    </w:p>
    <w:p w14:paraId="49CEC321"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p>
    <w:p w14:paraId="1C20987D"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Artículo 94.- </w:t>
      </w:r>
      <w:r w:rsidRPr="00CA39B3">
        <w:rPr>
          <w:rFonts w:ascii="Palatino Linotype" w:eastAsia="Palatino Linotype" w:hAnsi="Palatino Linotype" w:cs="Palatino Linotype"/>
          <w:b/>
          <w:i/>
          <w:sz w:val="22"/>
          <w:szCs w:val="22"/>
        </w:rPr>
        <w:t>En el procedimiento de adjudicación directa</w:t>
      </w:r>
      <w:r w:rsidRPr="00CA39B3">
        <w:rPr>
          <w:rFonts w:ascii="Palatino Linotype" w:eastAsia="Palatino Linotype" w:hAnsi="Palatino Linotype" w:cs="Palatino Linotype"/>
          <w:i/>
          <w:sz w:val="22"/>
          <w:szCs w:val="22"/>
        </w:rPr>
        <w:t xml:space="preserve"> se observará lo siguiente:</w:t>
      </w:r>
    </w:p>
    <w:p w14:paraId="2986C289"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31E1D46B"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II. Se considerará a la persona que atendiendo al bien o servicio que se pretenda adquirir o contratar, pueda suministrarlo o prestarlo en las mejores condiciones disponibles en cuanto a precio, calidad, financiamiento, oportunidad y demás circunstancias pertinentes</w:t>
      </w:r>
      <w:r w:rsidRPr="00CA39B3">
        <w:rPr>
          <w:rFonts w:ascii="Palatino Linotype" w:eastAsia="Palatino Linotype" w:hAnsi="Palatino Linotype" w:cs="Palatino Linotype"/>
          <w:i/>
          <w:sz w:val="22"/>
          <w:szCs w:val="22"/>
        </w:rPr>
        <w:t xml:space="preserve">; </w:t>
      </w:r>
    </w:p>
    <w:p w14:paraId="3F9ECDC2"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III. La solicitud de participación contendrá, como mínimo, la descripción y cantidad de los bienes o servicios requeridos, lugar, plazo de entrega o duración del servicio y forma de pago; </w:t>
      </w:r>
    </w:p>
    <w:p w14:paraId="4A4870DB"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IV. La solicitud de participación deberá señalar el día, hora y lugar en que tendrá verificativo el acto de presentación y apertura de ofertas; </w:t>
      </w:r>
    </w:p>
    <w:p w14:paraId="581E522E"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 Atendiendo a la naturaleza de los bienes o servicios, la convocante podrá optar entre celebrar o no junta de aclaraciones, en términos de lo dispuesto por este Reglamento; </w:t>
      </w:r>
    </w:p>
    <w:p w14:paraId="1E4399A3"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 El servidor público designado por la convocante será el responsable de llevar a cabo el acto de presentación y apertura de propuestas; </w:t>
      </w:r>
    </w:p>
    <w:p w14:paraId="2269BD69"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VII. Se observarán, en lo conducente, las disposiciones relativas a la contraoferta; y </w:t>
      </w:r>
    </w:p>
    <w:p w14:paraId="4D942BA7" w14:textId="77777777" w:rsidR="004201D9" w:rsidRPr="00CA39B3" w:rsidRDefault="000668C9">
      <w:pPr>
        <w:ind w:left="851" w:right="902"/>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 xml:space="preserve">VIII. </w:t>
      </w:r>
      <w:r w:rsidRPr="00CA39B3">
        <w:rPr>
          <w:rFonts w:ascii="Palatino Linotype" w:eastAsia="Palatino Linotype" w:hAnsi="Palatino Linotype" w:cs="Palatino Linotype"/>
          <w:b/>
          <w:i/>
          <w:sz w:val="22"/>
          <w:szCs w:val="22"/>
        </w:rPr>
        <w:t>El comité será responsable de emitir el dictamen de adjudicación</w:t>
      </w:r>
      <w:r w:rsidRPr="00CA39B3">
        <w:rPr>
          <w:rFonts w:ascii="Palatino Linotype" w:eastAsia="Palatino Linotype" w:hAnsi="Palatino Linotype" w:cs="Palatino Linotype"/>
          <w:i/>
          <w:sz w:val="22"/>
          <w:szCs w:val="22"/>
        </w:rPr>
        <w:t xml:space="preserve"> que servirá de base para el fallo de adjudicación; correspondiendo a la convocante emitir dicho fallo, quien lo hará del conocimiento de los licitantes</w:t>
      </w:r>
    </w:p>
    <w:p w14:paraId="485B7C96" w14:textId="77777777" w:rsidR="004201D9" w:rsidRPr="00CA39B3" w:rsidRDefault="004201D9">
      <w:pPr>
        <w:spacing w:line="360" w:lineRule="auto"/>
        <w:jc w:val="both"/>
        <w:rPr>
          <w:rFonts w:ascii="Palatino Linotype" w:eastAsia="Palatino Linotype" w:hAnsi="Palatino Linotype" w:cs="Palatino Linotype"/>
        </w:rPr>
      </w:pPr>
    </w:p>
    <w:p w14:paraId="78C754F0"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Razones por las cuales lo procedente es ordenar una nueva búsqueda exhaustiva y razonable del catorce de agosto de dos mil veintidós al catorce de agosto de dos mil veintitrés, del documento o documentos en donde conste lo siguiente:</w:t>
      </w:r>
    </w:p>
    <w:p w14:paraId="12128236" w14:textId="77777777" w:rsidR="004201D9" w:rsidRPr="00CA39B3" w:rsidRDefault="004201D9">
      <w:pPr>
        <w:spacing w:line="360" w:lineRule="auto"/>
        <w:jc w:val="both"/>
        <w:rPr>
          <w:rFonts w:ascii="Palatino Linotype" w:eastAsia="Palatino Linotype" w:hAnsi="Palatino Linotype" w:cs="Palatino Linotype"/>
        </w:rPr>
      </w:pPr>
    </w:p>
    <w:p w14:paraId="6B1A1161" w14:textId="77777777" w:rsidR="004201D9" w:rsidRPr="00CA39B3" w:rsidRDefault="000668C9">
      <w:pPr>
        <w:numPr>
          <w:ilvl w:val="0"/>
          <w:numId w:val="3"/>
        </w:num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lastRenderedPageBreak/>
        <w:t>La persona física o jurídica colectiva (moral) proveedora del material de oficina y la periodicidad de la entrega de los materiales.</w:t>
      </w:r>
    </w:p>
    <w:p w14:paraId="6219A62E" w14:textId="77777777" w:rsidR="004201D9" w:rsidRPr="00CA39B3" w:rsidRDefault="000668C9">
      <w:pPr>
        <w:numPr>
          <w:ilvl w:val="0"/>
          <w:numId w:val="3"/>
        </w:num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La forma de pago a la persona física o jurídica colectiva (moral) proveedora</w:t>
      </w:r>
    </w:p>
    <w:p w14:paraId="0D091AF1" w14:textId="77777777" w:rsidR="004201D9" w:rsidRPr="00CA39B3" w:rsidRDefault="000668C9">
      <w:pPr>
        <w:numPr>
          <w:ilvl w:val="0"/>
          <w:numId w:val="3"/>
        </w:num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Todo aquel que justifique la elección de la persona física o jurídica colectiva (moral) adjudicada.</w:t>
      </w:r>
    </w:p>
    <w:p w14:paraId="315B3611" w14:textId="77777777" w:rsidR="004201D9" w:rsidRPr="00CA39B3" w:rsidRDefault="004201D9">
      <w:pPr>
        <w:spacing w:line="360" w:lineRule="auto"/>
        <w:jc w:val="both"/>
        <w:rPr>
          <w:rFonts w:ascii="Palatino Linotype" w:eastAsia="Palatino Linotype" w:hAnsi="Palatino Linotype" w:cs="Palatino Linotype"/>
          <w:color w:val="C00000"/>
        </w:rPr>
      </w:pPr>
    </w:p>
    <w:p w14:paraId="1335EB97"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En versión pública conforme a lo señalado por el considerando quinto del presente fallo. </w:t>
      </w:r>
    </w:p>
    <w:p w14:paraId="169BC94A" w14:textId="77777777" w:rsidR="004201D9" w:rsidRPr="00CA39B3" w:rsidRDefault="00656B95">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rPr>
        <w:t>Para el caso de que derivado de la búsqueda exhaustiva y razonable, no se localizara</w:t>
      </w:r>
      <w:r w:rsidR="000668C9" w:rsidRPr="00CA39B3">
        <w:rPr>
          <w:rFonts w:ascii="Palatino Linotype" w:eastAsia="Palatino Linotype" w:hAnsi="Palatino Linotype" w:cs="Palatino Linotype"/>
        </w:rPr>
        <w:t xml:space="preserve"> la información </w:t>
      </w:r>
      <w:r w:rsidRPr="00CA39B3">
        <w:rPr>
          <w:rFonts w:ascii="Palatino Linotype" w:eastAsia="Palatino Linotype" w:hAnsi="Palatino Linotype" w:cs="Palatino Linotype"/>
        </w:rPr>
        <w:t>que se ordena;</w:t>
      </w:r>
      <w:r w:rsidR="000668C9" w:rsidRPr="00CA39B3">
        <w:rPr>
          <w:rFonts w:ascii="Palatino Linotype" w:eastAsia="Palatino Linotype" w:hAnsi="Palatino Linotype" w:cs="Palatino Linotype"/>
        </w:rPr>
        <w:t xml:space="preserve"> por no haberse generado, poseído, o administrado, es decir, que dentro del catorce de agosto de dos mil veintidós al catorce de agosto de dos mil veintitrés, no se hayan adquirido material de oficina,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185CFA8" w14:textId="77777777" w:rsidR="004201D9" w:rsidRPr="00CA39B3" w:rsidRDefault="000668C9">
      <w:pPr>
        <w:spacing w:line="276" w:lineRule="auto"/>
        <w:ind w:left="567" w:right="900"/>
        <w:jc w:val="both"/>
        <w:rPr>
          <w:rFonts w:ascii="Palatino Linotype" w:eastAsia="Palatino Linotype" w:hAnsi="Palatino Linotype" w:cs="Palatino Linotype"/>
          <w:i/>
        </w:rPr>
      </w:pPr>
      <w:r w:rsidRPr="00CA39B3">
        <w:rPr>
          <w:rFonts w:ascii="Palatino Linotype" w:eastAsia="Palatino Linotype" w:hAnsi="Palatino Linotype" w:cs="Palatino Linotype"/>
          <w:i/>
        </w:rPr>
        <w:t>“Artículo 19…</w:t>
      </w:r>
    </w:p>
    <w:p w14:paraId="357C4D94" w14:textId="77777777" w:rsidR="004201D9" w:rsidRPr="00CA39B3" w:rsidRDefault="000668C9">
      <w:pPr>
        <w:spacing w:line="276" w:lineRule="auto"/>
        <w:ind w:left="567" w:right="900"/>
        <w:jc w:val="both"/>
        <w:rPr>
          <w:rFonts w:ascii="Palatino Linotype" w:eastAsia="Palatino Linotype" w:hAnsi="Palatino Linotype" w:cs="Palatino Linotype"/>
          <w:i/>
        </w:rPr>
      </w:pPr>
      <w:r w:rsidRPr="00CA39B3">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7CB8EFD1" w14:textId="77777777" w:rsidR="004201D9" w:rsidRPr="00CA39B3" w:rsidRDefault="004201D9">
      <w:pPr>
        <w:spacing w:line="276" w:lineRule="auto"/>
        <w:ind w:left="567" w:right="900"/>
        <w:jc w:val="both"/>
        <w:rPr>
          <w:rFonts w:ascii="Palatino Linotype" w:eastAsia="Palatino Linotype" w:hAnsi="Palatino Linotype" w:cs="Palatino Linotype"/>
          <w:i/>
        </w:rPr>
      </w:pPr>
    </w:p>
    <w:p w14:paraId="5DD528F3" w14:textId="77777777" w:rsidR="004201D9" w:rsidRPr="00CA39B3" w:rsidRDefault="000668C9">
      <w:pPr>
        <w:spacing w:before="240" w:after="240" w:line="360" w:lineRule="auto"/>
        <w:ind w:right="49"/>
        <w:jc w:val="both"/>
        <w:rPr>
          <w:rFonts w:ascii="Palatino Linotype" w:eastAsia="Palatino Linotype" w:hAnsi="Palatino Linotype" w:cs="Palatino Linotype"/>
        </w:rPr>
      </w:pPr>
      <w:r w:rsidRPr="00CA39B3">
        <w:rPr>
          <w:rFonts w:ascii="Palatino Linotype" w:eastAsia="Palatino Linotype" w:hAnsi="Palatino Linotype" w:cs="Palatino Linotype"/>
          <w:b/>
        </w:rPr>
        <w:t xml:space="preserve">Quinto. Versión Pública. </w:t>
      </w:r>
      <w:r w:rsidRPr="00CA39B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Pr="00CA39B3">
        <w:rPr>
          <w:rFonts w:ascii="Palatino Linotype" w:eastAsia="Palatino Linotype" w:hAnsi="Palatino Linotype" w:cs="Palatino Linotype"/>
        </w:rPr>
        <w:lastRenderedPageBreak/>
        <w:t xml:space="preserve">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xml:space="preserve"> sin menoscabar el derecho a la protección de los datos personales de terceros.</w:t>
      </w:r>
    </w:p>
    <w:p w14:paraId="5590CE37" w14:textId="77777777" w:rsidR="004201D9" w:rsidRPr="00CA39B3" w:rsidRDefault="000668C9">
      <w:pPr>
        <w:spacing w:after="240" w:line="360" w:lineRule="auto"/>
        <w:ind w:right="50"/>
        <w:jc w:val="both"/>
        <w:rPr>
          <w:rFonts w:ascii="Palatino Linotype" w:eastAsia="Palatino Linotype" w:hAnsi="Palatino Linotype" w:cs="Palatino Linotype"/>
        </w:rPr>
      </w:pPr>
      <w:r w:rsidRPr="00CA39B3">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F43E8F3" w14:textId="77777777" w:rsidR="004201D9" w:rsidRPr="00CA39B3" w:rsidRDefault="000668C9">
      <w:pPr>
        <w:ind w:left="993" w:right="1041"/>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 xml:space="preserve"> “Artículo 3. Para los efectos de la presente Ley se entenderá por:</w:t>
      </w:r>
    </w:p>
    <w:p w14:paraId="5B4C8B5E"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IX. Datos personales:</w:t>
      </w:r>
      <w:r w:rsidRPr="00CA39B3">
        <w:rPr>
          <w:rFonts w:ascii="Palatino Linotype" w:eastAsia="Palatino Linotype" w:hAnsi="Palatino Linotype" w:cs="Palatino Linotype"/>
          <w:i/>
          <w:sz w:val="22"/>
          <w:szCs w:val="22"/>
        </w:rPr>
        <w:t xml:space="preserve"> </w:t>
      </w:r>
      <w:r w:rsidRPr="00CA39B3">
        <w:rPr>
          <w:rFonts w:ascii="Palatino Linotype" w:eastAsia="Palatino Linotype" w:hAnsi="Palatino Linotype" w:cs="Palatino Linotype"/>
          <w:b/>
          <w:i/>
          <w:sz w:val="22"/>
          <w:szCs w:val="22"/>
        </w:rPr>
        <w:t>La información concerniente a una persona, identificada o identificable</w:t>
      </w:r>
      <w:r w:rsidRPr="00CA39B3">
        <w:rPr>
          <w:rFonts w:ascii="Palatino Linotype" w:eastAsia="Palatino Linotype" w:hAnsi="Palatino Linotype" w:cs="Palatino Linotype"/>
          <w:i/>
          <w:sz w:val="22"/>
          <w:szCs w:val="22"/>
        </w:rPr>
        <w:t xml:space="preserve"> según lo dispuesto por la Ley de Protección de Datos Personales del Estado de México;</w:t>
      </w:r>
    </w:p>
    <w:p w14:paraId="228B6DDE"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XX. Información clasificada:</w:t>
      </w:r>
      <w:r w:rsidRPr="00CA39B3">
        <w:rPr>
          <w:rFonts w:ascii="Palatino Linotype" w:eastAsia="Palatino Linotype" w:hAnsi="Palatino Linotype" w:cs="Palatino Linotype"/>
          <w:i/>
          <w:sz w:val="22"/>
          <w:szCs w:val="22"/>
        </w:rPr>
        <w:t xml:space="preserve"> Aquella considerada por la presente Ley como reservada o confidencial;</w:t>
      </w:r>
    </w:p>
    <w:p w14:paraId="5A029385"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XXXII. Protección de Datos Personales:</w:t>
      </w:r>
      <w:r w:rsidRPr="00CA39B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FE24629"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XLV. Versión pública</w:t>
      </w:r>
      <w:r w:rsidRPr="00CA39B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6AA5B81" w14:textId="77777777" w:rsidR="004201D9" w:rsidRPr="00CA39B3" w:rsidRDefault="004201D9">
      <w:pPr>
        <w:ind w:left="993" w:right="1041"/>
        <w:jc w:val="both"/>
        <w:rPr>
          <w:rFonts w:ascii="Palatino Linotype" w:eastAsia="Palatino Linotype" w:hAnsi="Palatino Linotype" w:cs="Palatino Linotype"/>
          <w:i/>
          <w:sz w:val="22"/>
          <w:szCs w:val="22"/>
        </w:rPr>
      </w:pPr>
    </w:p>
    <w:p w14:paraId="208517B7"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“Artículo 6.</w:t>
      </w:r>
      <w:r w:rsidRPr="00CA39B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CEB95A2" w14:textId="77777777" w:rsidR="004201D9" w:rsidRPr="00CA39B3" w:rsidRDefault="004201D9">
      <w:pPr>
        <w:ind w:left="993" w:right="1041"/>
        <w:jc w:val="both"/>
        <w:rPr>
          <w:rFonts w:ascii="Palatino Linotype" w:eastAsia="Palatino Linotype" w:hAnsi="Palatino Linotype" w:cs="Palatino Linotype"/>
          <w:i/>
          <w:sz w:val="22"/>
          <w:szCs w:val="22"/>
        </w:rPr>
      </w:pPr>
    </w:p>
    <w:p w14:paraId="64D82CA2" w14:textId="77777777" w:rsidR="004201D9" w:rsidRPr="00CA39B3" w:rsidRDefault="000668C9">
      <w:pPr>
        <w:ind w:left="993" w:right="1041"/>
        <w:jc w:val="both"/>
        <w:rPr>
          <w:rFonts w:ascii="Palatino Linotype" w:eastAsia="Palatino Linotype" w:hAnsi="Palatino Linotype" w:cs="Palatino Linotype"/>
          <w:b/>
          <w:i/>
          <w:sz w:val="22"/>
          <w:szCs w:val="22"/>
        </w:rPr>
      </w:pPr>
      <w:r w:rsidRPr="00CA39B3">
        <w:rPr>
          <w:rFonts w:ascii="Palatino Linotype" w:eastAsia="Palatino Linotype" w:hAnsi="Palatino Linotype" w:cs="Palatino Linotype"/>
          <w:b/>
          <w:i/>
          <w:sz w:val="22"/>
          <w:szCs w:val="22"/>
        </w:rPr>
        <w:t>“Artículo 137.</w:t>
      </w:r>
      <w:r w:rsidRPr="00CA39B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w:t>
      </w:r>
      <w:r w:rsidRPr="00CA39B3">
        <w:rPr>
          <w:rFonts w:ascii="Palatino Linotype" w:eastAsia="Palatino Linotype" w:hAnsi="Palatino Linotype" w:cs="Palatino Linotype"/>
          <w:i/>
          <w:sz w:val="22"/>
          <w:szCs w:val="22"/>
        </w:rPr>
        <w:lastRenderedPageBreak/>
        <w:t>para efectos de atender una solicitud de información, deberán elaborar una versión pública en la que se testen las partes o secciones clasificadas, indicando su contenido de manera genérica y fundando y motivando su clasificación.”</w:t>
      </w:r>
    </w:p>
    <w:p w14:paraId="54353950" w14:textId="77777777" w:rsidR="004201D9" w:rsidRPr="00CA39B3" w:rsidRDefault="004201D9">
      <w:pPr>
        <w:ind w:left="993" w:right="1041"/>
        <w:jc w:val="both"/>
        <w:rPr>
          <w:rFonts w:ascii="Palatino Linotype" w:eastAsia="Palatino Linotype" w:hAnsi="Palatino Linotype" w:cs="Palatino Linotype"/>
          <w:b/>
          <w:i/>
          <w:sz w:val="22"/>
          <w:szCs w:val="22"/>
        </w:rPr>
      </w:pPr>
    </w:p>
    <w:p w14:paraId="18E49293"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“Artículo 143</w:t>
      </w:r>
      <w:r w:rsidRPr="00CA39B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3D7C315"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I.</w:t>
      </w:r>
      <w:r w:rsidRPr="00CA39B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763C083"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8DD5129" w14:textId="77777777" w:rsidR="004201D9" w:rsidRPr="00CA39B3" w:rsidRDefault="000668C9">
      <w:pPr>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D7F5721" w14:textId="77777777" w:rsidR="004201D9" w:rsidRPr="00CA39B3" w:rsidRDefault="004201D9">
      <w:pPr>
        <w:ind w:left="993" w:right="1041"/>
        <w:jc w:val="both"/>
        <w:rPr>
          <w:rFonts w:ascii="Palatino Linotype" w:eastAsia="Palatino Linotype" w:hAnsi="Palatino Linotype" w:cs="Palatino Linotype"/>
          <w:i/>
          <w:sz w:val="22"/>
          <w:szCs w:val="22"/>
        </w:rPr>
      </w:pPr>
    </w:p>
    <w:p w14:paraId="293E6089" w14:textId="77777777" w:rsidR="004201D9" w:rsidRPr="00CA39B3" w:rsidRDefault="000668C9">
      <w:pPr>
        <w:spacing w:line="360" w:lineRule="auto"/>
        <w:ind w:right="51"/>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90A2F8D" w14:textId="77777777" w:rsidR="004201D9" w:rsidRPr="00CA39B3" w:rsidRDefault="004201D9">
      <w:pPr>
        <w:spacing w:line="360" w:lineRule="auto"/>
        <w:ind w:right="51"/>
        <w:jc w:val="both"/>
        <w:rPr>
          <w:rFonts w:ascii="Palatino Linotype" w:eastAsia="Palatino Linotype" w:hAnsi="Palatino Linotype" w:cs="Palatino Linotype"/>
        </w:rPr>
      </w:pPr>
    </w:p>
    <w:p w14:paraId="76CF0E82" w14:textId="77777777" w:rsidR="004201D9" w:rsidRPr="00CA39B3" w:rsidRDefault="000668C9">
      <w:pPr>
        <w:spacing w:line="360" w:lineRule="auto"/>
        <w:ind w:right="50"/>
        <w:jc w:val="both"/>
        <w:rPr>
          <w:rFonts w:ascii="Palatino Linotype" w:eastAsia="Palatino Linotype" w:hAnsi="Palatino Linotype" w:cs="Palatino Linotype"/>
        </w:rPr>
      </w:pPr>
      <w:r w:rsidRPr="00CA39B3">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06C8CB6" w14:textId="77777777" w:rsidR="004201D9" w:rsidRPr="00CA39B3" w:rsidRDefault="004201D9">
      <w:pPr>
        <w:spacing w:line="360" w:lineRule="auto"/>
        <w:ind w:right="51"/>
        <w:jc w:val="both"/>
        <w:rPr>
          <w:rFonts w:ascii="Palatino Linotype" w:eastAsia="Palatino Linotype" w:hAnsi="Palatino Linotype" w:cs="Palatino Linotype"/>
        </w:rPr>
      </w:pPr>
    </w:p>
    <w:p w14:paraId="5F5EE2C7" w14:textId="77777777" w:rsidR="004201D9" w:rsidRPr="00CA39B3" w:rsidRDefault="000668C9">
      <w:pPr>
        <w:spacing w:line="360" w:lineRule="auto"/>
        <w:ind w:right="51"/>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562EE321" w14:textId="77777777" w:rsidR="004201D9" w:rsidRPr="00CA39B3" w:rsidRDefault="004201D9">
      <w:pPr>
        <w:spacing w:line="360" w:lineRule="auto"/>
        <w:ind w:right="51"/>
        <w:jc w:val="both"/>
        <w:rPr>
          <w:rFonts w:ascii="Palatino Linotype" w:eastAsia="Palatino Linotype" w:hAnsi="Palatino Linotype" w:cs="Palatino Linotype"/>
        </w:rPr>
      </w:pPr>
    </w:p>
    <w:p w14:paraId="5FCC5170" w14:textId="77777777" w:rsidR="004201D9" w:rsidRPr="00CA39B3" w:rsidRDefault="000668C9">
      <w:pPr>
        <w:ind w:left="992" w:right="1043"/>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“Artículo 49.</w:t>
      </w:r>
      <w:r w:rsidRPr="00CA39B3">
        <w:rPr>
          <w:rFonts w:ascii="Palatino Linotype" w:eastAsia="Palatino Linotype" w:hAnsi="Palatino Linotype" w:cs="Palatino Linotype"/>
          <w:i/>
          <w:sz w:val="22"/>
          <w:szCs w:val="22"/>
        </w:rPr>
        <w:t xml:space="preserve"> </w:t>
      </w:r>
      <w:r w:rsidRPr="00CA39B3">
        <w:rPr>
          <w:rFonts w:ascii="Palatino Linotype" w:eastAsia="Palatino Linotype" w:hAnsi="Palatino Linotype" w:cs="Palatino Linotype"/>
          <w:b/>
          <w:i/>
          <w:sz w:val="22"/>
          <w:szCs w:val="22"/>
        </w:rPr>
        <w:t>Los Comités de Transparencia</w:t>
      </w:r>
      <w:r w:rsidRPr="00CA39B3">
        <w:rPr>
          <w:rFonts w:ascii="Palatino Linotype" w:eastAsia="Palatino Linotype" w:hAnsi="Palatino Linotype" w:cs="Palatino Linotype"/>
          <w:i/>
          <w:sz w:val="22"/>
          <w:szCs w:val="22"/>
        </w:rPr>
        <w:t xml:space="preserve"> tendrán las siguientes atribuciones:</w:t>
      </w:r>
    </w:p>
    <w:p w14:paraId="3C5D1778" w14:textId="77777777" w:rsidR="004201D9" w:rsidRPr="00CA39B3" w:rsidRDefault="000668C9">
      <w:pPr>
        <w:ind w:left="992" w:right="1043"/>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VIII. Aprobar, modificar o revocar la clasificación de la información</w:t>
      </w:r>
      <w:r w:rsidRPr="00CA39B3">
        <w:rPr>
          <w:rFonts w:ascii="Palatino Linotype" w:eastAsia="Palatino Linotype" w:hAnsi="Palatino Linotype" w:cs="Palatino Linotype"/>
          <w:i/>
          <w:sz w:val="22"/>
          <w:szCs w:val="22"/>
        </w:rPr>
        <w:t>…”</w:t>
      </w:r>
    </w:p>
    <w:p w14:paraId="5A5A3201" w14:textId="77777777" w:rsidR="004201D9" w:rsidRPr="00CA39B3" w:rsidRDefault="000668C9">
      <w:pPr>
        <w:ind w:left="992" w:right="1043"/>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r w:rsidRPr="00CA39B3">
        <w:rPr>
          <w:rFonts w:ascii="Palatino Linotype" w:eastAsia="Palatino Linotype" w:hAnsi="Palatino Linotype" w:cs="Palatino Linotype"/>
          <w:b/>
          <w:i/>
          <w:sz w:val="22"/>
          <w:szCs w:val="22"/>
        </w:rPr>
        <w:t>Artículo 53.</w:t>
      </w:r>
      <w:r w:rsidRPr="00CA39B3">
        <w:rPr>
          <w:rFonts w:ascii="Palatino Linotype" w:eastAsia="Palatino Linotype" w:hAnsi="Palatino Linotype" w:cs="Palatino Linotype"/>
          <w:i/>
          <w:sz w:val="22"/>
          <w:szCs w:val="22"/>
        </w:rPr>
        <w:t xml:space="preserve"> Las </w:t>
      </w:r>
      <w:r w:rsidRPr="00CA39B3">
        <w:rPr>
          <w:rFonts w:ascii="Palatino Linotype" w:eastAsia="Palatino Linotype" w:hAnsi="Palatino Linotype" w:cs="Palatino Linotype"/>
          <w:b/>
          <w:i/>
          <w:sz w:val="22"/>
          <w:szCs w:val="22"/>
        </w:rPr>
        <w:t>Unidades de Transparencia</w:t>
      </w:r>
      <w:r w:rsidRPr="00CA39B3">
        <w:rPr>
          <w:rFonts w:ascii="Palatino Linotype" w:eastAsia="Palatino Linotype" w:hAnsi="Palatino Linotype" w:cs="Palatino Linotype"/>
          <w:i/>
          <w:sz w:val="22"/>
          <w:szCs w:val="22"/>
        </w:rPr>
        <w:t xml:space="preserve"> tendrán las siguientes </w:t>
      </w:r>
      <w:r w:rsidRPr="00CA39B3">
        <w:rPr>
          <w:rFonts w:ascii="Palatino Linotype" w:eastAsia="Palatino Linotype" w:hAnsi="Palatino Linotype" w:cs="Palatino Linotype"/>
          <w:b/>
          <w:i/>
          <w:sz w:val="22"/>
          <w:szCs w:val="22"/>
        </w:rPr>
        <w:t>funciones</w:t>
      </w:r>
      <w:r w:rsidRPr="00CA39B3">
        <w:rPr>
          <w:rFonts w:ascii="Palatino Linotype" w:eastAsia="Palatino Linotype" w:hAnsi="Palatino Linotype" w:cs="Palatino Linotype"/>
          <w:i/>
          <w:sz w:val="22"/>
          <w:szCs w:val="22"/>
        </w:rPr>
        <w:t>:</w:t>
      </w:r>
    </w:p>
    <w:p w14:paraId="513D4148" w14:textId="77777777" w:rsidR="004201D9" w:rsidRPr="00CA39B3" w:rsidRDefault="000668C9">
      <w:pPr>
        <w:ind w:left="992" w:right="1043"/>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X. Presentar ante el Comité, el proyecto de clasificación de información</w:t>
      </w:r>
      <w:r w:rsidRPr="00CA39B3">
        <w:rPr>
          <w:rFonts w:ascii="Palatino Linotype" w:eastAsia="Palatino Linotype" w:hAnsi="Palatino Linotype" w:cs="Palatino Linotype"/>
          <w:i/>
          <w:sz w:val="22"/>
          <w:szCs w:val="22"/>
        </w:rPr>
        <w:t xml:space="preserve">…” </w:t>
      </w:r>
    </w:p>
    <w:p w14:paraId="35FE36BB" w14:textId="77777777" w:rsidR="004201D9" w:rsidRPr="00CA39B3" w:rsidRDefault="000668C9">
      <w:pPr>
        <w:ind w:left="992" w:right="1043"/>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“Artículo 59.</w:t>
      </w:r>
      <w:r w:rsidRPr="00CA39B3">
        <w:rPr>
          <w:rFonts w:ascii="Palatino Linotype" w:eastAsia="Palatino Linotype" w:hAnsi="Palatino Linotype" w:cs="Palatino Linotype"/>
          <w:i/>
          <w:sz w:val="22"/>
          <w:szCs w:val="22"/>
        </w:rPr>
        <w:t xml:space="preserve"> Los </w:t>
      </w:r>
      <w:r w:rsidRPr="00CA39B3">
        <w:rPr>
          <w:rFonts w:ascii="Palatino Linotype" w:eastAsia="Palatino Linotype" w:hAnsi="Palatino Linotype" w:cs="Palatino Linotype"/>
          <w:b/>
          <w:i/>
          <w:sz w:val="22"/>
          <w:szCs w:val="22"/>
        </w:rPr>
        <w:t>servidores públicos habilitados</w:t>
      </w:r>
      <w:r w:rsidRPr="00CA39B3">
        <w:rPr>
          <w:rFonts w:ascii="Palatino Linotype" w:eastAsia="Palatino Linotype" w:hAnsi="Palatino Linotype" w:cs="Palatino Linotype"/>
          <w:i/>
          <w:sz w:val="22"/>
          <w:szCs w:val="22"/>
        </w:rPr>
        <w:t xml:space="preserve"> tendrán las </w:t>
      </w:r>
      <w:r w:rsidRPr="00CA39B3">
        <w:rPr>
          <w:rFonts w:ascii="Palatino Linotype" w:eastAsia="Palatino Linotype" w:hAnsi="Palatino Linotype" w:cs="Palatino Linotype"/>
          <w:b/>
          <w:i/>
          <w:sz w:val="22"/>
          <w:szCs w:val="22"/>
        </w:rPr>
        <w:t>funciones</w:t>
      </w:r>
      <w:r w:rsidRPr="00CA39B3">
        <w:rPr>
          <w:rFonts w:ascii="Palatino Linotype" w:eastAsia="Palatino Linotype" w:hAnsi="Palatino Linotype" w:cs="Palatino Linotype"/>
          <w:i/>
          <w:sz w:val="22"/>
          <w:szCs w:val="22"/>
        </w:rPr>
        <w:t xml:space="preserve"> siguientes:</w:t>
      </w:r>
    </w:p>
    <w:p w14:paraId="74867A06" w14:textId="77777777" w:rsidR="004201D9" w:rsidRPr="00CA39B3" w:rsidRDefault="000668C9">
      <w:pPr>
        <w:ind w:left="992" w:right="1043"/>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A39B3">
        <w:rPr>
          <w:rFonts w:ascii="Palatino Linotype" w:eastAsia="Palatino Linotype" w:hAnsi="Palatino Linotype" w:cs="Palatino Linotype"/>
          <w:i/>
          <w:sz w:val="22"/>
          <w:szCs w:val="22"/>
        </w:rPr>
        <w:t>, la cual tendrá los fundamentos y argumentos en que se basa dicha propuesta…” (Sic)</w:t>
      </w:r>
    </w:p>
    <w:p w14:paraId="66042D11" w14:textId="77777777" w:rsidR="004201D9" w:rsidRPr="00CA39B3" w:rsidRDefault="004201D9">
      <w:pPr>
        <w:ind w:left="992" w:right="1043"/>
        <w:jc w:val="both"/>
        <w:rPr>
          <w:rFonts w:ascii="Palatino Linotype" w:eastAsia="Palatino Linotype" w:hAnsi="Palatino Linotype" w:cs="Palatino Linotype"/>
          <w:i/>
          <w:sz w:val="22"/>
          <w:szCs w:val="22"/>
        </w:rPr>
      </w:pPr>
    </w:p>
    <w:p w14:paraId="4941CCCD"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CA39B3">
        <w:rPr>
          <w:rFonts w:ascii="Palatino Linotype" w:eastAsia="Palatino Linotype" w:hAnsi="Palatino Linotype" w:cs="Palatino Linotype"/>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C5AB653" w14:textId="77777777" w:rsidR="004201D9" w:rsidRPr="00CA39B3" w:rsidRDefault="004201D9">
      <w:pPr>
        <w:spacing w:line="360" w:lineRule="auto"/>
        <w:jc w:val="both"/>
        <w:rPr>
          <w:rFonts w:ascii="Palatino Linotype" w:eastAsia="Palatino Linotype" w:hAnsi="Palatino Linotype" w:cs="Palatino Linotype"/>
        </w:rPr>
      </w:pPr>
    </w:p>
    <w:p w14:paraId="3F1196E6"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0D6BC10" w14:textId="77777777" w:rsidR="004201D9" w:rsidRPr="00CA39B3" w:rsidRDefault="004201D9">
      <w:pPr>
        <w:spacing w:line="360" w:lineRule="auto"/>
        <w:jc w:val="both"/>
        <w:rPr>
          <w:rFonts w:ascii="Palatino Linotype" w:eastAsia="Palatino Linotype" w:hAnsi="Palatino Linotype" w:cs="Palatino Linotype"/>
        </w:rPr>
      </w:pPr>
    </w:p>
    <w:p w14:paraId="68F988BA" w14:textId="77777777" w:rsidR="004201D9" w:rsidRPr="00CA39B3" w:rsidRDefault="000668C9">
      <w:pPr>
        <w:spacing w:after="240"/>
        <w:ind w:left="993" w:right="1041"/>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r w:rsidRPr="00CA39B3">
        <w:rPr>
          <w:rFonts w:ascii="Palatino Linotype" w:eastAsia="Palatino Linotype" w:hAnsi="Palatino Linotype" w:cs="Palatino Linotype"/>
          <w:b/>
          <w:i/>
          <w:sz w:val="22"/>
          <w:szCs w:val="22"/>
        </w:rPr>
        <w:t>Artículo 149.</w:t>
      </w:r>
      <w:r w:rsidRPr="00CA39B3">
        <w:rPr>
          <w:rFonts w:ascii="Palatino Linotype" w:eastAsia="Palatino Linotype" w:hAnsi="Palatino Linotype" w:cs="Palatino Linotype"/>
          <w:i/>
          <w:sz w:val="22"/>
          <w:szCs w:val="22"/>
        </w:rPr>
        <w:t xml:space="preserve"> El </w:t>
      </w:r>
      <w:r w:rsidRPr="00CA39B3">
        <w:rPr>
          <w:rFonts w:ascii="Palatino Linotype" w:eastAsia="Palatino Linotype" w:hAnsi="Palatino Linotype" w:cs="Palatino Linotype"/>
          <w:b/>
          <w:i/>
          <w:sz w:val="22"/>
          <w:szCs w:val="22"/>
        </w:rPr>
        <w:t>acuerdo que clasifique la información como confidencial</w:t>
      </w:r>
      <w:r w:rsidRPr="00CA39B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47FF3C62" w14:textId="77777777" w:rsidR="004201D9" w:rsidRPr="00CA39B3" w:rsidRDefault="004201D9">
      <w:pPr>
        <w:spacing w:before="240" w:line="360" w:lineRule="auto"/>
        <w:ind w:right="51"/>
        <w:jc w:val="both"/>
        <w:rPr>
          <w:rFonts w:ascii="Palatino Linotype" w:eastAsia="Palatino Linotype" w:hAnsi="Palatino Linotype" w:cs="Palatino Linotype"/>
          <w:i/>
          <w:sz w:val="22"/>
          <w:szCs w:val="22"/>
        </w:rPr>
      </w:pPr>
    </w:p>
    <w:p w14:paraId="25BC5C43" w14:textId="77777777" w:rsidR="004201D9" w:rsidRPr="00CA39B3" w:rsidRDefault="000668C9">
      <w:pPr>
        <w:spacing w:line="360" w:lineRule="auto"/>
        <w:ind w:right="51"/>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Es decir,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62C35F4" w14:textId="77777777" w:rsidR="004201D9" w:rsidRPr="00CA39B3" w:rsidRDefault="004201D9">
      <w:pPr>
        <w:spacing w:line="360" w:lineRule="auto"/>
        <w:ind w:right="51"/>
        <w:jc w:val="both"/>
        <w:rPr>
          <w:rFonts w:ascii="Palatino Linotype" w:eastAsia="Palatino Linotype" w:hAnsi="Palatino Linotype" w:cs="Palatino Linotype"/>
        </w:rPr>
      </w:pPr>
    </w:p>
    <w:p w14:paraId="291EB3A6"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Es así,</w:t>
      </w:r>
      <w:r w:rsidRPr="00CA39B3">
        <w:rPr>
          <w:rFonts w:ascii="Palatino Linotype" w:eastAsia="Palatino Linotype" w:hAnsi="Palatino Linotype" w:cs="Palatino Linotype"/>
          <w:sz w:val="22"/>
          <w:szCs w:val="22"/>
        </w:rPr>
        <w:t xml:space="preserve"> que </w:t>
      </w:r>
      <w:r w:rsidRPr="00CA39B3">
        <w:rPr>
          <w:rFonts w:ascii="Palatino Linotype" w:eastAsia="Palatino Linotype" w:hAnsi="Palatino Linotype" w:cs="Palatino Linotype"/>
        </w:rPr>
        <w:t xml:space="preserve">por cuanto hace al número de cuenta bancaria de los particulares debe ser clasificado como confidencial con fundamento en las fracciones I y II del artículo 143 </w:t>
      </w:r>
      <w:r w:rsidRPr="00CA39B3">
        <w:rPr>
          <w:rFonts w:ascii="Palatino Linotype" w:eastAsia="Palatino Linotype" w:hAnsi="Palatino Linotype" w:cs="Palatino Linotype"/>
        </w:rPr>
        <w:lastRenderedPageBreak/>
        <w:t>de la Ley de la Materia de la Entidad; en razón de que, con su difusión se estaría poniendo en riesgo la seguridad de su titular.</w:t>
      </w:r>
    </w:p>
    <w:p w14:paraId="19DEB143" w14:textId="77777777" w:rsidR="004201D9" w:rsidRPr="00CA39B3" w:rsidRDefault="004201D9">
      <w:pPr>
        <w:spacing w:line="360" w:lineRule="auto"/>
        <w:ind w:right="50"/>
        <w:jc w:val="both"/>
        <w:rPr>
          <w:rFonts w:ascii="Palatino Linotype" w:eastAsia="Palatino Linotype" w:hAnsi="Palatino Linotype" w:cs="Palatino Linotype"/>
        </w:rPr>
      </w:pPr>
    </w:p>
    <w:p w14:paraId="0F431589" w14:textId="77777777" w:rsidR="004201D9" w:rsidRPr="00CA39B3" w:rsidRDefault="000668C9">
      <w:pPr>
        <w:spacing w:line="360" w:lineRule="auto"/>
        <w:ind w:right="51"/>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B9DD31B" w14:textId="77777777" w:rsidR="004201D9" w:rsidRPr="00CA39B3" w:rsidRDefault="004201D9">
      <w:pPr>
        <w:spacing w:line="360" w:lineRule="auto"/>
        <w:ind w:right="51"/>
        <w:jc w:val="both"/>
        <w:rPr>
          <w:rFonts w:ascii="Palatino Linotype" w:eastAsia="Palatino Linotype" w:hAnsi="Palatino Linotype" w:cs="Palatino Linotype"/>
        </w:rPr>
      </w:pPr>
    </w:p>
    <w:p w14:paraId="10B87E57" w14:textId="77777777" w:rsidR="004201D9" w:rsidRPr="00CA39B3" w:rsidRDefault="000668C9">
      <w:pPr>
        <w:spacing w:line="360" w:lineRule="auto"/>
        <w:ind w:right="50"/>
        <w:jc w:val="both"/>
        <w:rPr>
          <w:rFonts w:ascii="Palatino Linotype" w:eastAsia="Palatino Linotype" w:hAnsi="Palatino Linotype" w:cs="Palatino Linotype"/>
        </w:rPr>
      </w:pPr>
      <w:r w:rsidRPr="00CA39B3">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10D386AE" w14:textId="77777777" w:rsidR="004201D9" w:rsidRPr="00CA39B3" w:rsidRDefault="004201D9">
      <w:pPr>
        <w:ind w:right="50"/>
        <w:jc w:val="both"/>
        <w:rPr>
          <w:rFonts w:ascii="Palatino Linotype" w:eastAsia="Palatino Linotype" w:hAnsi="Palatino Linotype" w:cs="Palatino Linotype"/>
        </w:rPr>
      </w:pPr>
    </w:p>
    <w:p w14:paraId="1DE28818" w14:textId="77777777" w:rsidR="004201D9" w:rsidRPr="00CA39B3" w:rsidRDefault="000668C9">
      <w:pPr>
        <w:ind w:left="851" w:right="1134"/>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b/>
          <w:i/>
          <w:sz w:val="22"/>
          <w:szCs w:val="22"/>
        </w:rPr>
        <w:t>“Cuentas bancarias y/o CLABE interbancaria de personas físicas y morales privadas.</w:t>
      </w:r>
      <w:r w:rsidRPr="00CA39B3">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68BD41E" w14:textId="77777777" w:rsidR="004201D9" w:rsidRPr="00CA39B3" w:rsidRDefault="004201D9">
      <w:pPr>
        <w:ind w:left="851" w:right="899"/>
        <w:jc w:val="center"/>
        <w:rPr>
          <w:rFonts w:ascii="Palatino Linotype" w:eastAsia="Palatino Linotype" w:hAnsi="Palatino Linotype" w:cs="Palatino Linotype"/>
          <w:b/>
          <w:i/>
          <w:sz w:val="22"/>
          <w:szCs w:val="22"/>
        </w:rPr>
      </w:pPr>
    </w:p>
    <w:p w14:paraId="0D553CBF" w14:textId="77777777" w:rsidR="004201D9" w:rsidRPr="00CA39B3" w:rsidRDefault="000668C9">
      <w:pPr>
        <w:spacing w:line="360" w:lineRule="auto"/>
        <w:ind w:right="50"/>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Ahora bien, por cuanto hace a las cuentas bancarias de los Sujetos obligados, dicha información no puede considerarse como confidencial, pues la difusión de dichas cuentas o claves interbancarias, favorecen a la rendición de cuentas; ello tiene </w:t>
      </w:r>
      <w:r w:rsidRPr="00CA39B3">
        <w:rPr>
          <w:rFonts w:ascii="Palatino Linotype" w:eastAsia="Palatino Linotype" w:hAnsi="Palatino Linotype" w:cs="Palatino Linotype"/>
        </w:rPr>
        <w:lastRenderedPageBreak/>
        <w:t>sustento en el criterio 11/17, emitido por el Instituto Nacional de Transparencia y Acceso a la Información Pública del Estado de México y Municipios, el cual para mayor referencia se inserta a continuación:</w:t>
      </w:r>
    </w:p>
    <w:p w14:paraId="1A08278F" w14:textId="77777777" w:rsidR="004201D9" w:rsidRPr="00CA39B3" w:rsidRDefault="004201D9">
      <w:pPr>
        <w:ind w:right="50"/>
        <w:jc w:val="both"/>
        <w:rPr>
          <w:rFonts w:ascii="Palatino Linotype" w:eastAsia="Palatino Linotype" w:hAnsi="Palatino Linotype" w:cs="Palatino Linotype"/>
        </w:rPr>
      </w:pPr>
    </w:p>
    <w:p w14:paraId="45E246F5" w14:textId="77777777" w:rsidR="004201D9" w:rsidRPr="00CA39B3" w:rsidRDefault="000668C9">
      <w:pPr>
        <w:ind w:left="851" w:right="1134"/>
        <w:jc w:val="both"/>
        <w:rPr>
          <w:rFonts w:ascii="Palatino Linotype" w:eastAsia="Palatino Linotype" w:hAnsi="Palatino Linotype" w:cs="Palatino Linotype"/>
          <w:i/>
          <w:sz w:val="22"/>
          <w:szCs w:val="22"/>
        </w:rPr>
      </w:pPr>
      <w:r w:rsidRPr="00CA39B3">
        <w:rPr>
          <w:rFonts w:ascii="Palatino Linotype" w:eastAsia="Palatino Linotype" w:hAnsi="Palatino Linotype" w:cs="Palatino Linotype"/>
          <w:i/>
          <w:sz w:val="22"/>
          <w:szCs w:val="22"/>
        </w:rPr>
        <w:t>“</w:t>
      </w:r>
      <w:r w:rsidRPr="00CA39B3">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CA39B3">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4C8ECB7" w14:textId="77777777" w:rsidR="004201D9" w:rsidRPr="00CA39B3" w:rsidRDefault="000668C9">
      <w:pPr>
        <w:spacing w:before="240" w:after="240" w:line="360" w:lineRule="auto"/>
        <w:ind w:right="50"/>
        <w:jc w:val="both"/>
        <w:rPr>
          <w:rFonts w:ascii="Palatino Linotype" w:eastAsia="Palatino Linotype" w:hAnsi="Palatino Linotype" w:cs="Palatino Linotype"/>
        </w:rPr>
      </w:pPr>
      <w:r w:rsidRPr="00CA39B3">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B2DD56F" w14:textId="77777777" w:rsidR="004201D9" w:rsidRPr="00CA39B3" w:rsidRDefault="000668C9">
      <w:pPr>
        <w:spacing w:before="240" w:after="240" w:line="360" w:lineRule="auto"/>
        <w:ind w:right="50"/>
        <w:jc w:val="both"/>
        <w:rPr>
          <w:rFonts w:ascii="Palatino Linotype" w:eastAsia="Palatino Linotype" w:hAnsi="Palatino Linotype" w:cs="Palatino Linotype"/>
        </w:rPr>
      </w:pPr>
      <w:r w:rsidRPr="00CA39B3">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86202EE" w14:textId="77777777" w:rsidR="004201D9" w:rsidRPr="00CA39B3" w:rsidRDefault="000668C9">
      <w:pPr>
        <w:spacing w:before="240" w:after="240" w:line="360" w:lineRule="auto"/>
        <w:ind w:right="50"/>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w:t>
      </w:r>
      <w:r w:rsidRPr="00CA39B3">
        <w:rPr>
          <w:rFonts w:ascii="Palatino Linotype" w:eastAsia="Palatino Linotype" w:hAnsi="Palatino Linotype" w:cs="Palatino Linotype"/>
        </w:rPr>
        <w:lastRenderedPageBreak/>
        <w:t>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531724D3"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Al respecto, se destaca que la versión pública que elabore 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CA39B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CA39B3">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9EC8D9E" w14:textId="77777777" w:rsidR="004201D9" w:rsidRPr="00CA39B3" w:rsidRDefault="004201D9">
      <w:pPr>
        <w:ind w:left="709" w:right="709"/>
        <w:jc w:val="both"/>
        <w:rPr>
          <w:rFonts w:ascii="Palatino Linotype" w:eastAsia="Palatino Linotype" w:hAnsi="Palatino Linotype" w:cs="Palatino Linotype"/>
          <w:b/>
          <w:i/>
          <w:sz w:val="22"/>
          <w:szCs w:val="22"/>
        </w:rPr>
      </w:pPr>
    </w:p>
    <w:p w14:paraId="4301AD81"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326A162A"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i/>
          <w:color w:val="000000"/>
          <w:sz w:val="22"/>
          <w:szCs w:val="22"/>
        </w:rPr>
        <w:t>“</w:t>
      </w:r>
      <w:r w:rsidRPr="00CA39B3">
        <w:rPr>
          <w:rFonts w:ascii="Palatino Linotype" w:eastAsia="Palatino Linotype" w:hAnsi="Palatino Linotype" w:cs="Palatino Linotype"/>
          <w:b/>
          <w:i/>
          <w:color w:val="000000"/>
          <w:sz w:val="22"/>
          <w:szCs w:val="22"/>
        </w:rPr>
        <w:t>Segundo.-</w:t>
      </w:r>
      <w:r w:rsidRPr="00CA39B3">
        <w:rPr>
          <w:rFonts w:ascii="Palatino Linotype" w:eastAsia="Palatino Linotype" w:hAnsi="Palatino Linotype" w:cs="Palatino Linotype"/>
          <w:i/>
          <w:color w:val="000000"/>
          <w:sz w:val="22"/>
          <w:szCs w:val="22"/>
        </w:rPr>
        <w:t xml:space="preserve"> Para efectos de los presentes Lineamientos Generales, se entenderá por:</w:t>
      </w:r>
    </w:p>
    <w:p w14:paraId="2AE11D1B"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XVIII.</w:t>
      </w:r>
      <w:r w:rsidRPr="00CA39B3">
        <w:rPr>
          <w:rFonts w:ascii="Palatino Linotype" w:eastAsia="Palatino Linotype" w:hAnsi="Palatino Linotype" w:cs="Palatino Linotype"/>
          <w:i/>
          <w:color w:val="000000"/>
          <w:sz w:val="22"/>
          <w:szCs w:val="22"/>
        </w:rPr>
        <w:t xml:space="preserve"> </w:t>
      </w:r>
      <w:r w:rsidRPr="00CA39B3">
        <w:rPr>
          <w:rFonts w:ascii="Palatino Linotype" w:eastAsia="Palatino Linotype" w:hAnsi="Palatino Linotype" w:cs="Palatino Linotype"/>
          <w:b/>
          <w:i/>
          <w:color w:val="000000"/>
          <w:sz w:val="22"/>
          <w:szCs w:val="22"/>
        </w:rPr>
        <w:t>Versión pública:</w:t>
      </w:r>
      <w:r w:rsidRPr="00CA39B3">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CA39B3">
        <w:rPr>
          <w:rFonts w:ascii="Palatino Linotype" w:eastAsia="Palatino Linotype" w:hAnsi="Palatino Linotype" w:cs="Palatino Linotype"/>
          <w:b/>
          <w:i/>
          <w:color w:val="000000"/>
          <w:sz w:val="22"/>
          <w:szCs w:val="22"/>
          <w:u w:val="single"/>
        </w:rPr>
        <w:t>fundando y motivando la</w:t>
      </w:r>
      <w:r w:rsidRPr="00CA39B3">
        <w:rPr>
          <w:rFonts w:ascii="Palatino Linotype" w:eastAsia="Palatino Linotype" w:hAnsi="Palatino Linotype" w:cs="Palatino Linotype"/>
          <w:i/>
          <w:color w:val="000000"/>
          <w:sz w:val="22"/>
          <w:szCs w:val="22"/>
        </w:rPr>
        <w:t xml:space="preserve"> reserva o </w:t>
      </w:r>
      <w:r w:rsidRPr="00CA39B3">
        <w:rPr>
          <w:rFonts w:ascii="Palatino Linotype" w:eastAsia="Palatino Linotype" w:hAnsi="Palatino Linotype" w:cs="Palatino Linotype"/>
          <w:b/>
          <w:i/>
          <w:color w:val="000000"/>
          <w:sz w:val="22"/>
          <w:szCs w:val="22"/>
          <w:u w:val="single"/>
        </w:rPr>
        <w:t>confidencialidad</w:t>
      </w:r>
      <w:r w:rsidRPr="00CA39B3">
        <w:rPr>
          <w:rFonts w:ascii="Palatino Linotype" w:eastAsia="Palatino Linotype" w:hAnsi="Palatino Linotype" w:cs="Palatino Linotype"/>
          <w:i/>
          <w:color w:val="000000"/>
          <w:sz w:val="22"/>
          <w:szCs w:val="22"/>
        </w:rPr>
        <w:t>, a través de la resolución que para tal efecto emita el Comité de Transparencia.</w:t>
      </w:r>
    </w:p>
    <w:p w14:paraId="1926521A"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lastRenderedPageBreak/>
        <w:t>Cuarto.</w:t>
      </w:r>
      <w:r w:rsidRPr="00CA39B3">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28793F"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21C062DF"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Quinto.</w:t>
      </w:r>
      <w:r w:rsidRPr="00CA39B3">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C9DB796"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w:t>
      </w:r>
    </w:p>
    <w:p w14:paraId="7998E6A1"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Séptimo.</w:t>
      </w:r>
      <w:r w:rsidRPr="00CA39B3">
        <w:rPr>
          <w:rFonts w:ascii="Palatino Linotype" w:eastAsia="Palatino Linotype" w:hAnsi="Palatino Linotype" w:cs="Palatino Linotype"/>
          <w:i/>
          <w:color w:val="000000"/>
          <w:sz w:val="22"/>
          <w:szCs w:val="22"/>
        </w:rPr>
        <w:t xml:space="preserve"> La clasificación de la información se llevará a cabo en el momento en que:</w:t>
      </w:r>
    </w:p>
    <w:p w14:paraId="79D4B97A"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I.</w:t>
      </w:r>
      <w:r w:rsidRPr="00CA39B3">
        <w:rPr>
          <w:rFonts w:ascii="Palatino Linotype" w:eastAsia="Palatino Linotype" w:hAnsi="Palatino Linotype" w:cs="Palatino Linotype"/>
          <w:i/>
          <w:color w:val="000000"/>
          <w:sz w:val="22"/>
          <w:szCs w:val="22"/>
        </w:rPr>
        <w:t xml:space="preserve"> Se reciba una solicitud de acceso a la información;</w:t>
      </w:r>
    </w:p>
    <w:p w14:paraId="70DC7B6C" w14:textId="77777777" w:rsidR="004201D9" w:rsidRPr="00CA39B3" w:rsidRDefault="000668C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b/>
          <w:i/>
          <w:color w:val="000000"/>
          <w:sz w:val="22"/>
          <w:szCs w:val="22"/>
        </w:rPr>
        <w:t>II.</w:t>
      </w:r>
      <w:r w:rsidRPr="00CA39B3">
        <w:rPr>
          <w:rFonts w:ascii="Palatino Linotype" w:eastAsia="Palatino Linotype" w:hAnsi="Palatino Linotype" w:cs="Palatino Linotype"/>
          <w:i/>
          <w:color w:val="000000"/>
          <w:sz w:val="22"/>
          <w:szCs w:val="22"/>
        </w:rPr>
        <w:t xml:space="preserve"> Se  determine mediante resolución del Comité de Transparencia, el órgano garante </w:t>
      </w:r>
    </w:p>
    <w:p w14:paraId="5577D30C"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i/>
          <w:color w:val="000000"/>
          <w:sz w:val="22"/>
          <w:szCs w:val="22"/>
        </w:rPr>
        <w:t>competente, o en cumplimiento a una sentencia del Poder Judicial; o</w:t>
      </w:r>
    </w:p>
    <w:p w14:paraId="70E85417"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III.</w:t>
      </w:r>
      <w:r w:rsidRPr="00CA39B3">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1BEEE34E"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3692DF02"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Octavo.</w:t>
      </w:r>
      <w:r w:rsidRPr="00CA39B3">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B8227FE"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0B451411" w14:textId="77777777" w:rsidR="004201D9" w:rsidRPr="00CA39B3" w:rsidRDefault="000668C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41F8D04"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Noveno.</w:t>
      </w:r>
      <w:r w:rsidRPr="00CA39B3">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CA39B3">
        <w:rPr>
          <w:rFonts w:ascii="Palatino Linotype" w:eastAsia="Palatino Linotype" w:hAnsi="Palatino Linotype" w:cs="Palatino Linotype"/>
          <w:i/>
          <w:color w:val="000000"/>
          <w:sz w:val="22"/>
          <w:szCs w:val="22"/>
        </w:rPr>
        <w:lastRenderedPageBreak/>
        <w:t>siguiendo los procedimientos establecidos en el Capítulo IX de los presentes lineamientos.</w:t>
      </w:r>
    </w:p>
    <w:p w14:paraId="7971BF2C"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b/>
          <w:i/>
          <w:color w:val="000000"/>
          <w:sz w:val="22"/>
          <w:szCs w:val="22"/>
        </w:rPr>
        <w:t>Décimo.</w:t>
      </w:r>
      <w:r w:rsidRPr="00CA39B3">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BBFEA68"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2C904F28" w14:textId="77777777" w:rsidR="004201D9" w:rsidRPr="00CA39B3" w:rsidRDefault="000668C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b/>
          <w:i/>
          <w:color w:val="000000"/>
          <w:sz w:val="22"/>
          <w:szCs w:val="22"/>
        </w:rPr>
        <w:t>Décimo primero.</w:t>
      </w:r>
      <w:r w:rsidRPr="00CA39B3">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7396DED" w14:textId="77777777" w:rsidR="004201D9" w:rsidRPr="00CA39B3" w:rsidRDefault="004201D9">
      <w:pPr>
        <w:pBdr>
          <w:top w:val="nil"/>
          <w:left w:val="nil"/>
          <w:bottom w:val="nil"/>
          <w:right w:val="nil"/>
          <w:between w:val="nil"/>
        </w:pBdr>
        <w:ind w:right="709"/>
        <w:jc w:val="both"/>
        <w:rPr>
          <w:color w:val="000000"/>
        </w:rPr>
      </w:pPr>
    </w:p>
    <w:p w14:paraId="313AE003" w14:textId="77777777" w:rsidR="004201D9" w:rsidRPr="00CA39B3" w:rsidRDefault="000668C9">
      <w:pPr>
        <w:pBdr>
          <w:top w:val="nil"/>
          <w:left w:val="nil"/>
          <w:bottom w:val="nil"/>
          <w:right w:val="nil"/>
          <w:between w:val="nil"/>
        </w:pBdr>
        <w:ind w:left="709" w:right="709"/>
        <w:jc w:val="both"/>
        <w:rPr>
          <w:color w:val="000000"/>
        </w:rPr>
      </w:pPr>
      <w:r w:rsidRPr="00CA39B3">
        <w:rPr>
          <w:rFonts w:ascii="Palatino Linotype" w:eastAsia="Palatino Linotype" w:hAnsi="Palatino Linotype" w:cs="Palatino Linotype"/>
          <w:i/>
          <w:color w:val="000000"/>
          <w:sz w:val="22"/>
          <w:szCs w:val="22"/>
        </w:rPr>
        <w:t>[…]</w:t>
      </w:r>
    </w:p>
    <w:p w14:paraId="3AB08E6F" w14:textId="77777777" w:rsidR="004201D9" w:rsidRPr="00CA39B3" w:rsidRDefault="000668C9">
      <w:pPr>
        <w:pBdr>
          <w:top w:val="nil"/>
          <w:left w:val="nil"/>
          <w:bottom w:val="nil"/>
          <w:right w:val="nil"/>
          <w:between w:val="nil"/>
        </w:pBdr>
        <w:ind w:left="709" w:right="709"/>
        <w:jc w:val="center"/>
        <w:rPr>
          <w:color w:val="000000"/>
        </w:rPr>
      </w:pPr>
      <w:r w:rsidRPr="00CA39B3">
        <w:rPr>
          <w:rFonts w:ascii="Palatino Linotype" w:eastAsia="Palatino Linotype" w:hAnsi="Palatino Linotype" w:cs="Palatino Linotype"/>
          <w:b/>
          <w:i/>
          <w:color w:val="000000"/>
          <w:sz w:val="22"/>
          <w:szCs w:val="22"/>
        </w:rPr>
        <w:t>CAPÍTULO VIII</w:t>
      </w:r>
    </w:p>
    <w:p w14:paraId="22550CC5" w14:textId="77777777" w:rsidR="004201D9" w:rsidRPr="00CA39B3" w:rsidRDefault="000668C9">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CA39B3">
        <w:rPr>
          <w:rFonts w:ascii="Palatino Linotype" w:eastAsia="Palatino Linotype" w:hAnsi="Palatino Linotype" w:cs="Palatino Linotype"/>
          <w:b/>
          <w:i/>
          <w:color w:val="000000"/>
          <w:sz w:val="22"/>
          <w:szCs w:val="22"/>
        </w:rPr>
        <w:t>DE LOS ELEMENTOS PARA LA CLASIFICACIÓN</w:t>
      </w:r>
    </w:p>
    <w:p w14:paraId="33D7B03E"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b/>
          <w:i/>
          <w:color w:val="000000"/>
          <w:sz w:val="22"/>
          <w:szCs w:val="22"/>
        </w:rPr>
        <w:t>Quincuagésimo</w:t>
      </w:r>
      <w:r w:rsidRPr="00CA39B3">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49109B8"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b/>
          <w:i/>
          <w:color w:val="000000"/>
          <w:sz w:val="22"/>
          <w:szCs w:val="22"/>
        </w:rPr>
        <w:t>Quincuagésimo primero</w:t>
      </w:r>
      <w:r w:rsidRPr="00CA39B3">
        <w:rPr>
          <w:rFonts w:ascii="Palatino Linotype" w:eastAsia="Palatino Linotype" w:hAnsi="Palatino Linotype" w:cs="Palatino Linotype"/>
          <w:i/>
          <w:color w:val="000000"/>
          <w:sz w:val="22"/>
          <w:szCs w:val="22"/>
        </w:rPr>
        <w:t>. Toda acta del Comité de Transparencia deberá contener:</w:t>
      </w:r>
    </w:p>
    <w:p w14:paraId="7B2ED7D1"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 xml:space="preserve">I. El número de sesión y fecha; </w:t>
      </w:r>
    </w:p>
    <w:p w14:paraId="4F1A766B"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II. El nombre del área que solicitó la clasificación de información;</w:t>
      </w:r>
    </w:p>
    <w:p w14:paraId="453DCCB3"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III. La fundamentación legal y motivación correspondiente;</w:t>
      </w:r>
    </w:p>
    <w:p w14:paraId="6EE2C318"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IV. La resolución o resoluciones aprobadas; y</w:t>
      </w:r>
    </w:p>
    <w:p w14:paraId="0C636848"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 xml:space="preserve">V. La rúbrica o firma digital de cada integrante del Comité de Transparencia. </w:t>
      </w:r>
    </w:p>
    <w:p w14:paraId="5CA44FAC"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26915832"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30F1406B"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II. Descripción de las partes o secciones reservadas, en caso de clasificación parcial;</w:t>
      </w:r>
    </w:p>
    <w:p w14:paraId="324122F0"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lastRenderedPageBreak/>
        <w:t>III. El periodo por el que mantendrá su clasificación y fecha de expiración; y</w:t>
      </w:r>
    </w:p>
    <w:p w14:paraId="07E61168"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20366972"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627809C3"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21B6564"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b/>
          <w:i/>
          <w:color w:val="000000"/>
          <w:sz w:val="22"/>
          <w:szCs w:val="22"/>
        </w:rPr>
        <w:t>Quincuagésimo segundo</w:t>
      </w:r>
      <w:r w:rsidRPr="00CA39B3">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00D8837"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022F8C7D"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752D371A"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62A7DA47"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III. Señalar las personas o instancias autorizadas a acceder a la información clasificada.</w:t>
      </w:r>
    </w:p>
    <w:p w14:paraId="5C6DD40C"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7C6CACAB" w14:textId="77777777" w:rsidR="004201D9" w:rsidRPr="00CA39B3" w:rsidRDefault="000668C9">
      <w:pPr>
        <w:pBdr>
          <w:top w:val="nil"/>
          <w:left w:val="nil"/>
          <w:bottom w:val="nil"/>
          <w:right w:val="nil"/>
          <w:between w:val="nil"/>
        </w:pBdr>
        <w:spacing w:after="160"/>
        <w:ind w:left="709" w:right="709"/>
        <w:jc w:val="both"/>
        <w:rPr>
          <w:color w:val="000000"/>
        </w:rPr>
      </w:pPr>
      <w:r w:rsidRPr="00CA39B3">
        <w:rPr>
          <w:rFonts w:ascii="Palatino Linotype" w:eastAsia="Palatino Linotype" w:hAnsi="Palatino Linotype" w:cs="Palatino Linotype"/>
          <w:b/>
          <w:i/>
          <w:color w:val="000000"/>
          <w:sz w:val="22"/>
          <w:szCs w:val="22"/>
        </w:rPr>
        <w:t xml:space="preserve">Quincuagésimo tercero. </w:t>
      </w:r>
      <w:r w:rsidRPr="00CA39B3">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Pr="00CA39B3">
        <w:rPr>
          <w:rFonts w:ascii="Palatino Linotype" w:eastAsia="Palatino Linotype" w:hAnsi="Palatino Linotype" w:cs="Palatino Linotype"/>
          <w:b/>
          <w:i/>
          <w:color w:val="000000"/>
          <w:sz w:val="22"/>
          <w:szCs w:val="22"/>
          <w:u w:val="single"/>
        </w:rPr>
        <w:t>siguiente:</w:t>
      </w:r>
      <w:r w:rsidRPr="00CA39B3">
        <w:rPr>
          <w:rFonts w:ascii="Palatino Linotype" w:eastAsia="Palatino Linotype" w:hAnsi="Palatino Linotype" w:cs="Palatino Linotype"/>
          <w:i/>
          <w:color w:val="000000"/>
          <w:sz w:val="22"/>
          <w:szCs w:val="22"/>
        </w:rPr>
        <w:t>:</w:t>
      </w:r>
      <w:proofErr w:type="gramEnd"/>
    </w:p>
    <w:tbl>
      <w:tblPr>
        <w:tblStyle w:val="a3"/>
        <w:tblW w:w="8833" w:type="dxa"/>
        <w:jc w:val="center"/>
        <w:tblInd w:w="0" w:type="dxa"/>
        <w:tblLayout w:type="fixed"/>
        <w:tblLook w:val="0400" w:firstRow="0" w:lastRow="0" w:firstColumn="0" w:lastColumn="0" w:noHBand="0" w:noVBand="1"/>
      </w:tblPr>
      <w:tblGrid>
        <w:gridCol w:w="1660"/>
        <w:gridCol w:w="1980"/>
        <w:gridCol w:w="5193"/>
      </w:tblGrid>
      <w:tr w:rsidR="004201D9" w:rsidRPr="00CA39B3" w14:paraId="5E6AD459"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702913EE" w14:textId="77777777" w:rsidR="004201D9" w:rsidRPr="00CA39B3" w:rsidRDefault="004201D9">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E7C61"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69D3C"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b/>
                <w:i/>
                <w:color w:val="000000"/>
              </w:rPr>
              <w:t>Dónde:</w:t>
            </w:r>
          </w:p>
        </w:tc>
      </w:tr>
      <w:tr w:rsidR="004201D9" w:rsidRPr="00CA39B3" w14:paraId="24CD5043"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13419"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86DCA"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389587"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4201D9" w:rsidRPr="00CA39B3" w14:paraId="2B778A6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8CDA40" w14:textId="77777777" w:rsidR="004201D9" w:rsidRPr="00CA39B3" w:rsidRDefault="004201D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DC720"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D1CD3"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Se señalará el nombre del área del cual es titular quien clasifica.</w:t>
            </w:r>
          </w:p>
        </w:tc>
      </w:tr>
      <w:tr w:rsidR="004201D9" w:rsidRPr="00CA39B3" w14:paraId="5C4B872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05F474" w14:textId="77777777" w:rsidR="004201D9" w:rsidRPr="00CA39B3" w:rsidRDefault="004201D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7FC7DB"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2DB80"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4201D9" w:rsidRPr="00CA39B3" w14:paraId="0A99260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8CD236" w14:textId="77777777" w:rsidR="004201D9" w:rsidRPr="00CA39B3" w:rsidRDefault="004201D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942CD"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47C81"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4201D9" w:rsidRPr="00CA39B3" w14:paraId="592375C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480C2" w14:textId="77777777" w:rsidR="004201D9" w:rsidRPr="00CA39B3" w:rsidRDefault="004201D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C5E61"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D8928"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4201D9" w:rsidRPr="00CA39B3" w14:paraId="525CCF6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B5B78" w14:textId="77777777" w:rsidR="004201D9" w:rsidRPr="00CA39B3" w:rsidRDefault="004201D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0D931"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B91B65"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4201D9" w:rsidRPr="00CA39B3" w14:paraId="01A5EFE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8E6B5A" w14:textId="77777777" w:rsidR="004201D9" w:rsidRPr="00CA39B3" w:rsidRDefault="004201D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944F8"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7BFCD"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Rúbrica autógrafa o firma digital de quien clasifica.</w:t>
            </w:r>
          </w:p>
        </w:tc>
      </w:tr>
      <w:tr w:rsidR="004201D9" w:rsidRPr="00CA39B3" w14:paraId="34FFFEA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1D90B" w14:textId="77777777" w:rsidR="004201D9" w:rsidRPr="00CA39B3" w:rsidRDefault="004201D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20708F"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B0308"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Se anotará la fecha en que se desclasifica el documento.</w:t>
            </w:r>
          </w:p>
        </w:tc>
      </w:tr>
      <w:tr w:rsidR="004201D9" w:rsidRPr="00CA39B3" w14:paraId="6232E6F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D94813" w14:textId="77777777" w:rsidR="004201D9" w:rsidRPr="00CA39B3" w:rsidRDefault="004201D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AEE0F6" w14:textId="77777777" w:rsidR="004201D9" w:rsidRPr="00CA39B3" w:rsidRDefault="000668C9">
            <w:pPr>
              <w:pBdr>
                <w:top w:val="nil"/>
                <w:left w:val="nil"/>
                <w:bottom w:val="nil"/>
                <w:right w:val="nil"/>
                <w:between w:val="nil"/>
              </w:pBdr>
              <w:jc w:val="center"/>
              <w:rPr>
                <w:color w:val="000000"/>
              </w:rPr>
            </w:pPr>
            <w:r w:rsidRPr="00CA39B3">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911F7" w14:textId="77777777" w:rsidR="004201D9" w:rsidRPr="00CA39B3" w:rsidRDefault="000668C9">
            <w:pPr>
              <w:pBdr>
                <w:top w:val="nil"/>
                <w:left w:val="nil"/>
                <w:bottom w:val="nil"/>
                <w:right w:val="nil"/>
                <w:between w:val="nil"/>
              </w:pBdr>
              <w:jc w:val="both"/>
              <w:rPr>
                <w:color w:val="000000"/>
              </w:rPr>
            </w:pPr>
            <w:r w:rsidRPr="00CA39B3">
              <w:rPr>
                <w:rFonts w:ascii="Palatino Linotype" w:eastAsia="Palatino Linotype" w:hAnsi="Palatino Linotype" w:cs="Palatino Linotype"/>
                <w:i/>
                <w:color w:val="000000"/>
              </w:rPr>
              <w:t>Rúbrica autógrafa o firma digital de quien desclasifica.</w:t>
            </w:r>
          </w:p>
        </w:tc>
      </w:tr>
      <w:tr w:rsidR="004201D9" w:rsidRPr="00CA39B3" w14:paraId="3EFD2971"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D3F224" w14:textId="77777777" w:rsidR="004201D9" w:rsidRPr="00CA39B3" w:rsidRDefault="004201D9">
            <w:pPr>
              <w:widowControl w:val="0"/>
              <w:pBdr>
                <w:top w:val="nil"/>
                <w:left w:val="nil"/>
                <w:bottom w:val="nil"/>
                <w:right w:val="nil"/>
                <w:between w:val="nil"/>
              </w:pBdr>
              <w:spacing w:line="276" w:lineRule="auto"/>
              <w:rPr>
                <w:color w:val="000000"/>
              </w:rPr>
            </w:pPr>
          </w:p>
        </w:tc>
      </w:tr>
    </w:tbl>
    <w:p w14:paraId="112BB024" w14:textId="77777777" w:rsidR="004201D9" w:rsidRPr="00CA39B3" w:rsidRDefault="000668C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411119F" w14:textId="77777777" w:rsidR="004201D9" w:rsidRPr="00CA39B3" w:rsidRDefault="000668C9">
      <w:pPr>
        <w:pBdr>
          <w:top w:val="nil"/>
          <w:left w:val="nil"/>
          <w:bottom w:val="nil"/>
          <w:right w:val="nil"/>
          <w:between w:val="nil"/>
        </w:pBdr>
        <w:spacing w:after="160"/>
        <w:ind w:left="709" w:right="709"/>
        <w:jc w:val="both"/>
      </w:pPr>
      <w:r w:rsidRPr="00CA39B3">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CA39B3">
        <w:rPr>
          <w:rFonts w:ascii="Palatino Linotype" w:eastAsia="Palatino Linotype" w:hAnsi="Palatino Linotype" w:cs="Palatino Linotype"/>
          <w:i/>
          <w:color w:val="000000"/>
          <w:sz w:val="22"/>
          <w:szCs w:val="22"/>
        </w:rPr>
        <w:t>testado</w:t>
      </w:r>
      <w:proofErr w:type="spellEnd"/>
      <w:r w:rsidRPr="00CA39B3">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2DDDD19C" w14:textId="77777777" w:rsidR="004201D9" w:rsidRPr="00CA39B3" w:rsidRDefault="004201D9">
      <w:pPr>
        <w:jc w:val="both"/>
      </w:pPr>
    </w:p>
    <w:p w14:paraId="31BF2723" w14:textId="77777777" w:rsidR="004201D9" w:rsidRPr="00CA39B3" w:rsidRDefault="004201D9">
      <w:pPr>
        <w:rPr>
          <w:color w:val="000000"/>
        </w:rPr>
      </w:pPr>
    </w:p>
    <w:p w14:paraId="0D4D3EE9"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67733846" w14:textId="77777777" w:rsidR="004201D9" w:rsidRPr="00CA39B3" w:rsidRDefault="004201D9">
      <w:pPr>
        <w:spacing w:line="360" w:lineRule="auto"/>
        <w:jc w:val="both"/>
        <w:rPr>
          <w:rFonts w:ascii="Palatino Linotype" w:eastAsia="Palatino Linotype" w:hAnsi="Palatino Linotype" w:cs="Palatino Linotype"/>
        </w:rPr>
      </w:pPr>
    </w:p>
    <w:p w14:paraId="4A42C825" w14:textId="77777777" w:rsidR="004201D9" w:rsidRPr="00CA39B3" w:rsidRDefault="000668C9">
      <w:pPr>
        <w:shd w:val="clear" w:color="auto" w:fill="FFFFFF"/>
        <w:spacing w:line="360" w:lineRule="auto"/>
        <w:ind w:right="51"/>
        <w:jc w:val="both"/>
        <w:rPr>
          <w:rFonts w:ascii="Palatino Linotype" w:eastAsia="Palatino Linotype" w:hAnsi="Palatino Linotype" w:cs="Palatino Linotype"/>
        </w:rPr>
      </w:pPr>
      <w:r w:rsidRPr="00CA39B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w:t>
      </w:r>
    </w:p>
    <w:p w14:paraId="7F0510CC" w14:textId="77777777" w:rsidR="004201D9" w:rsidRPr="00CA39B3" w:rsidRDefault="004201D9">
      <w:pPr>
        <w:spacing w:line="360" w:lineRule="auto"/>
        <w:jc w:val="both"/>
        <w:rPr>
          <w:rFonts w:ascii="Palatino Linotype" w:eastAsia="Palatino Linotype" w:hAnsi="Palatino Linotype" w:cs="Palatino Linotype"/>
        </w:rPr>
      </w:pPr>
    </w:p>
    <w:p w14:paraId="00626EC1" w14:textId="0EE264F6"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1E47E8AB" w14:textId="77777777" w:rsidR="006F3077" w:rsidRPr="00CA39B3" w:rsidRDefault="006F3077">
      <w:pPr>
        <w:spacing w:line="360" w:lineRule="auto"/>
        <w:jc w:val="both"/>
        <w:rPr>
          <w:rFonts w:ascii="Palatino Linotype" w:eastAsia="Palatino Linotype" w:hAnsi="Palatino Linotype" w:cs="Palatino Linotype"/>
        </w:rPr>
      </w:pPr>
    </w:p>
    <w:p w14:paraId="5B3F9357" w14:textId="77777777" w:rsidR="004201D9" w:rsidRPr="00CA39B3" w:rsidRDefault="004201D9">
      <w:pPr>
        <w:spacing w:line="360" w:lineRule="auto"/>
        <w:jc w:val="both"/>
        <w:rPr>
          <w:rFonts w:ascii="Palatino Linotype" w:eastAsia="Palatino Linotype" w:hAnsi="Palatino Linotype" w:cs="Palatino Linotype"/>
        </w:rPr>
      </w:pPr>
    </w:p>
    <w:p w14:paraId="31045769" w14:textId="77777777" w:rsidR="004201D9" w:rsidRPr="00CA39B3" w:rsidRDefault="000668C9">
      <w:pPr>
        <w:widowControl w:val="0"/>
        <w:spacing w:line="360" w:lineRule="auto"/>
        <w:jc w:val="center"/>
        <w:rPr>
          <w:rFonts w:ascii="Palatino Linotype" w:eastAsia="Palatino Linotype" w:hAnsi="Palatino Linotype" w:cs="Palatino Linotype"/>
          <w:b/>
          <w:color w:val="000000"/>
        </w:rPr>
      </w:pPr>
      <w:r w:rsidRPr="00CA39B3">
        <w:rPr>
          <w:rFonts w:ascii="Palatino Linotype" w:eastAsia="Palatino Linotype" w:hAnsi="Palatino Linotype" w:cs="Palatino Linotype"/>
          <w:b/>
          <w:color w:val="000000"/>
        </w:rPr>
        <w:lastRenderedPageBreak/>
        <w:t>III. R E S U E L V E:</w:t>
      </w:r>
    </w:p>
    <w:p w14:paraId="0E9A211A" w14:textId="77777777" w:rsidR="004201D9" w:rsidRPr="00CA39B3" w:rsidRDefault="004201D9">
      <w:pPr>
        <w:spacing w:line="360" w:lineRule="auto"/>
        <w:jc w:val="both"/>
        <w:rPr>
          <w:rFonts w:ascii="Palatino Linotype" w:eastAsia="Palatino Linotype" w:hAnsi="Palatino Linotype" w:cs="Palatino Linotype"/>
          <w:b/>
          <w:u w:val="single"/>
        </w:rPr>
      </w:pPr>
    </w:p>
    <w:p w14:paraId="49F4A0A3"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 xml:space="preserve">PRIMERO. </w:t>
      </w:r>
      <w:r w:rsidRPr="00CA39B3">
        <w:rPr>
          <w:rFonts w:ascii="Palatino Linotype" w:eastAsia="Palatino Linotype" w:hAnsi="Palatino Linotype" w:cs="Palatino Linotype"/>
        </w:rPr>
        <w:t>Se</w:t>
      </w:r>
      <w:r w:rsidRPr="00CA39B3">
        <w:t xml:space="preserve"> </w:t>
      </w:r>
      <w:r w:rsidRPr="00CA39B3">
        <w:rPr>
          <w:rFonts w:ascii="Palatino Linotype" w:eastAsia="Palatino Linotype" w:hAnsi="Palatino Linotype" w:cs="Palatino Linotype"/>
          <w:b/>
        </w:rPr>
        <w:t xml:space="preserve">MODIFICA </w:t>
      </w:r>
      <w:r w:rsidRPr="00CA39B3">
        <w:rPr>
          <w:rFonts w:ascii="Palatino Linotype" w:eastAsia="Palatino Linotype" w:hAnsi="Palatino Linotype" w:cs="Palatino Linotype"/>
        </w:rPr>
        <w:t xml:space="preserve">la respuesta entregada por </w:t>
      </w:r>
      <w:r w:rsidRPr="00CA39B3">
        <w:rPr>
          <w:rFonts w:ascii="Palatino Linotype" w:eastAsia="Palatino Linotype" w:hAnsi="Palatino Linotype" w:cs="Palatino Linotype"/>
          <w:b/>
        </w:rPr>
        <w:t xml:space="preserve">EL SUJETO OBLIGADO </w:t>
      </w:r>
      <w:r w:rsidRPr="00CA39B3">
        <w:rPr>
          <w:rFonts w:ascii="Palatino Linotype" w:eastAsia="Palatino Linotype" w:hAnsi="Palatino Linotype" w:cs="Palatino Linotype"/>
        </w:rPr>
        <w:t xml:space="preserve">a la solicitud de información </w:t>
      </w:r>
      <w:r w:rsidRPr="00CA39B3">
        <w:rPr>
          <w:rFonts w:ascii="Palatino Linotype" w:eastAsia="Palatino Linotype" w:hAnsi="Palatino Linotype" w:cs="Palatino Linotype"/>
          <w:b/>
        </w:rPr>
        <w:t xml:space="preserve">00101/TEZOYUCA/IP/2023, </w:t>
      </w:r>
      <w:r w:rsidRPr="00CA39B3">
        <w:rPr>
          <w:rFonts w:ascii="Palatino Linotype" w:eastAsia="Palatino Linotype" w:hAnsi="Palatino Linotype" w:cs="Palatino Linotype"/>
        </w:rPr>
        <w:t xml:space="preserve">por resultar parcialmente fundadas las razones o motivos de inconformidad hechos valer por </w:t>
      </w:r>
      <w:r w:rsidRPr="00CA39B3">
        <w:rPr>
          <w:rFonts w:ascii="Palatino Linotype" w:eastAsia="Palatino Linotype" w:hAnsi="Palatino Linotype" w:cs="Palatino Linotype"/>
          <w:b/>
        </w:rPr>
        <w:t xml:space="preserve">la parte RECURRENTE, </w:t>
      </w:r>
      <w:r w:rsidRPr="00CA39B3">
        <w:rPr>
          <w:rFonts w:ascii="Palatino Linotype" w:eastAsia="Palatino Linotype" w:hAnsi="Palatino Linotype" w:cs="Palatino Linotype"/>
        </w:rPr>
        <w:t xml:space="preserve">en el recurso de revisión </w:t>
      </w:r>
      <w:r w:rsidRPr="00CA39B3">
        <w:rPr>
          <w:rFonts w:ascii="Palatino Linotype" w:eastAsia="Palatino Linotype" w:hAnsi="Palatino Linotype" w:cs="Palatino Linotype"/>
          <w:b/>
        </w:rPr>
        <w:t>05429/INFOEM/IP/RR/2023,</w:t>
      </w:r>
      <w:r w:rsidRPr="00CA39B3">
        <w:rPr>
          <w:rFonts w:ascii="Palatino Linotype" w:eastAsia="Palatino Linotype" w:hAnsi="Palatino Linotype" w:cs="Palatino Linotype"/>
        </w:rPr>
        <w:t xml:space="preserve"> en términos del considerando </w:t>
      </w:r>
      <w:r w:rsidRPr="00CA39B3">
        <w:rPr>
          <w:rFonts w:ascii="Palatino Linotype" w:eastAsia="Palatino Linotype" w:hAnsi="Palatino Linotype" w:cs="Palatino Linotype"/>
          <w:b/>
        </w:rPr>
        <w:t>Cuarto</w:t>
      </w:r>
      <w:r w:rsidRPr="00CA39B3">
        <w:rPr>
          <w:rFonts w:ascii="Palatino Linotype" w:eastAsia="Palatino Linotype" w:hAnsi="Palatino Linotype" w:cs="Palatino Linotype"/>
        </w:rPr>
        <w:t xml:space="preserve"> de la presente Resolución.</w:t>
      </w:r>
    </w:p>
    <w:p w14:paraId="48C35DEA" w14:textId="77777777" w:rsidR="004201D9" w:rsidRPr="00CA39B3" w:rsidRDefault="004201D9">
      <w:pPr>
        <w:spacing w:line="360" w:lineRule="auto"/>
        <w:jc w:val="both"/>
        <w:rPr>
          <w:rFonts w:ascii="Palatino Linotype" w:eastAsia="Palatino Linotype" w:hAnsi="Palatino Linotype" w:cs="Palatino Linotype"/>
        </w:rPr>
      </w:pPr>
    </w:p>
    <w:p w14:paraId="09F6A58A" w14:textId="77777777" w:rsidR="004201D9" w:rsidRPr="00CA39B3" w:rsidRDefault="000668C9">
      <w:pPr>
        <w:pBdr>
          <w:top w:val="nil"/>
          <w:left w:val="nil"/>
          <w:bottom w:val="nil"/>
          <w:right w:val="nil"/>
          <w:between w:val="nil"/>
        </w:pBd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 xml:space="preserve">SEGUNDO. </w:t>
      </w:r>
      <w:r w:rsidRPr="00CA39B3">
        <w:rPr>
          <w:rFonts w:ascii="Palatino Linotype" w:eastAsia="Palatino Linotype" w:hAnsi="Palatino Linotype" w:cs="Palatino Linotype"/>
        </w:rPr>
        <w:t>Se</w:t>
      </w:r>
      <w:r w:rsidRPr="00CA39B3">
        <w:rPr>
          <w:rFonts w:ascii="Palatino Linotype" w:eastAsia="Palatino Linotype" w:hAnsi="Palatino Linotype" w:cs="Palatino Linotype"/>
          <w:b/>
        </w:rPr>
        <w:t xml:space="preserve"> ORDENA </w:t>
      </w:r>
      <w:r w:rsidRPr="00CA39B3">
        <w:rPr>
          <w:rFonts w:ascii="Palatino Linotype" w:eastAsia="Palatino Linotype" w:hAnsi="Palatino Linotype" w:cs="Palatino Linotype"/>
        </w:rPr>
        <w:t xml:space="preserve">al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xml:space="preserve"> a que,</w:t>
      </w:r>
      <w:r w:rsidRPr="00CA39B3">
        <w:rPr>
          <w:rFonts w:ascii="Palatino Linotype" w:eastAsia="Palatino Linotype" w:hAnsi="Palatino Linotype" w:cs="Palatino Linotype"/>
          <w:b/>
        </w:rPr>
        <w:t xml:space="preserve"> </w:t>
      </w:r>
      <w:r w:rsidRPr="00CA39B3">
        <w:rPr>
          <w:rFonts w:ascii="Palatino Linotype" w:eastAsia="Palatino Linotype" w:hAnsi="Palatino Linotype" w:cs="Palatino Linotype"/>
        </w:rPr>
        <w:t xml:space="preserve">en términos del Considerando </w:t>
      </w:r>
      <w:r w:rsidRPr="00CA39B3">
        <w:rPr>
          <w:rFonts w:ascii="Palatino Linotype" w:eastAsia="Palatino Linotype" w:hAnsi="Palatino Linotype" w:cs="Palatino Linotype"/>
          <w:b/>
        </w:rPr>
        <w:t xml:space="preserve">Cuarto </w:t>
      </w:r>
      <w:r w:rsidRPr="00CA39B3">
        <w:rPr>
          <w:rFonts w:ascii="Palatino Linotype" w:eastAsia="Palatino Linotype" w:hAnsi="Palatino Linotype" w:cs="Palatino Linotype"/>
        </w:rPr>
        <w:t xml:space="preserve">y </w:t>
      </w:r>
      <w:r w:rsidRPr="00CA39B3">
        <w:rPr>
          <w:rFonts w:ascii="Palatino Linotype" w:eastAsia="Palatino Linotype" w:hAnsi="Palatino Linotype" w:cs="Palatino Linotype"/>
          <w:b/>
        </w:rPr>
        <w:t>Quinto,</w:t>
      </w:r>
      <w:r w:rsidRPr="00CA39B3">
        <w:rPr>
          <w:rFonts w:ascii="Palatino Linotype" w:eastAsia="Palatino Linotype" w:hAnsi="Palatino Linotype" w:cs="Palatino Linotype"/>
        </w:rPr>
        <w:t xml:space="preserve"> haga entrega vía Sistema de Acceso a la Información Mexiquense (SAIMEX), previa búsqueda exhaustiva y razonable del periodo comprendido del catorce de agosto de dos mil veintidós al catorce de agosto de dos mil veintitrés, en su caso, en versión pública, del documento o documentos en donde conste lo siguiente:</w:t>
      </w:r>
    </w:p>
    <w:p w14:paraId="56395634" w14:textId="77777777" w:rsidR="004201D9" w:rsidRPr="00CA39B3" w:rsidRDefault="004201D9">
      <w:pPr>
        <w:spacing w:line="360" w:lineRule="auto"/>
        <w:jc w:val="both"/>
        <w:rPr>
          <w:rFonts w:ascii="Palatino Linotype" w:eastAsia="Palatino Linotype" w:hAnsi="Palatino Linotype" w:cs="Palatino Linotype"/>
        </w:rPr>
      </w:pPr>
    </w:p>
    <w:p w14:paraId="70ACF622" w14:textId="77777777" w:rsidR="004201D9" w:rsidRPr="00CA39B3" w:rsidRDefault="000668C9">
      <w:pPr>
        <w:numPr>
          <w:ilvl w:val="0"/>
          <w:numId w:val="3"/>
        </w:num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La persona física o jurídica colectiva (moral) proveedora del material de oficina y la periodicidad de la entrega de los materiales.</w:t>
      </w:r>
    </w:p>
    <w:p w14:paraId="366B701C" w14:textId="77777777" w:rsidR="004201D9" w:rsidRPr="00CA39B3" w:rsidRDefault="000668C9">
      <w:pPr>
        <w:numPr>
          <w:ilvl w:val="0"/>
          <w:numId w:val="3"/>
        </w:num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La forma de pago a la persona física o jurídica colectiva (moral) proveedora</w:t>
      </w:r>
    </w:p>
    <w:p w14:paraId="52B8C274" w14:textId="77777777" w:rsidR="004201D9" w:rsidRPr="00CA39B3" w:rsidRDefault="000668C9">
      <w:pPr>
        <w:numPr>
          <w:ilvl w:val="0"/>
          <w:numId w:val="3"/>
        </w:num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Justificación de la elección de la persona física o jurídica colectiva (moral) adjudicada.</w:t>
      </w:r>
    </w:p>
    <w:p w14:paraId="1508C5A5" w14:textId="77777777" w:rsidR="004201D9" w:rsidRPr="00CA39B3" w:rsidRDefault="004201D9">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rPr>
      </w:pPr>
    </w:p>
    <w:p w14:paraId="0C92F4D4" w14:textId="77777777" w:rsidR="004201D9" w:rsidRPr="00CA39B3" w:rsidRDefault="000668C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7CC73118" w14:textId="77777777" w:rsidR="004201D9" w:rsidRPr="00CA39B3" w:rsidRDefault="004201D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p>
    <w:p w14:paraId="00B35BE3" w14:textId="77777777" w:rsidR="004201D9" w:rsidRPr="00CA39B3" w:rsidRDefault="000668C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r w:rsidRPr="00CA39B3">
        <w:rPr>
          <w:rFonts w:ascii="Palatino Linotype" w:eastAsia="Palatino Linotype" w:hAnsi="Palatino Linotype" w:cs="Palatino Linotype"/>
          <w:i/>
          <w:color w:val="000000"/>
          <w:sz w:val="22"/>
          <w:szCs w:val="22"/>
        </w:rPr>
        <w:lastRenderedPageBreak/>
        <w:t>En el supuesto que la información ordenada, no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BD8B1CF" w14:textId="77777777" w:rsidR="004201D9" w:rsidRPr="00CA39B3" w:rsidRDefault="004201D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p>
    <w:p w14:paraId="432A41B2" w14:textId="77777777" w:rsidR="004201D9" w:rsidRPr="00CA39B3" w:rsidRDefault="004201D9">
      <w:pPr>
        <w:spacing w:line="360" w:lineRule="auto"/>
        <w:ind w:right="-93"/>
        <w:jc w:val="both"/>
        <w:rPr>
          <w:rFonts w:ascii="Palatino Linotype" w:eastAsia="Palatino Linotype" w:hAnsi="Palatino Linotype" w:cs="Palatino Linotype"/>
          <w:b/>
        </w:rPr>
      </w:pPr>
    </w:p>
    <w:p w14:paraId="47271378" w14:textId="77777777" w:rsidR="004201D9" w:rsidRPr="00CA39B3" w:rsidRDefault="000668C9">
      <w:pPr>
        <w:spacing w:line="360" w:lineRule="auto"/>
        <w:ind w:right="-93"/>
        <w:jc w:val="both"/>
        <w:rPr>
          <w:rFonts w:ascii="Palatino Linotype" w:eastAsia="Palatino Linotype" w:hAnsi="Palatino Linotype" w:cs="Palatino Linotype"/>
        </w:rPr>
      </w:pPr>
      <w:r w:rsidRPr="00CA39B3">
        <w:rPr>
          <w:rFonts w:ascii="Palatino Linotype" w:eastAsia="Palatino Linotype" w:hAnsi="Palatino Linotype" w:cs="Palatino Linotype"/>
          <w:b/>
        </w:rPr>
        <w:t xml:space="preserve">TERCERO. </w:t>
      </w:r>
      <w:r w:rsidRPr="00CA39B3">
        <w:rPr>
          <w:rFonts w:ascii="Palatino Linotype" w:eastAsia="Palatino Linotype" w:hAnsi="Palatino Linotype" w:cs="Palatino Linotype"/>
          <w:b/>
          <w:color w:val="000000"/>
        </w:rPr>
        <w:t xml:space="preserve">Notifíquese, </w:t>
      </w:r>
      <w:r w:rsidRPr="00CA39B3">
        <w:rPr>
          <w:rFonts w:ascii="Palatino Linotype" w:eastAsia="Palatino Linotype" w:hAnsi="Palatino Linotype" w:cs="Palatino Linotype"/>
          <w:color w:val="000000"/>
        </w:rPr>
        <w:t xml:space="preserve">vía </w:t>
      </w:r>
      <w:r w:rsidRPr="00CA39B3">
        <w:rPr>
          <w:rFonts w:ascii="Palatino Linotype" w:eastAsia="Palatino Linotype" w:hAnsi="Palatino Linotype" w:cs="Palatino Linotype"/>
          <w:b/>
          <w:color w:val="000000"/>
        </w:rPr>
        <w:t>SAIMEX,</w:t>
      </w:r>
      <w:r w:rsidRPr="00CA39B3">
        <w:rPr>
          <w:rFonts w:ascii="Palatino Linotype" w:eastAsia="Palatino Linotype" w:hAnsi="Palatino Linotype" w:cs="Palatino Linotype"/>
          <w:b/>
        </w:rPr>
        <w:t xml:space="preserve"> </w:t>
      </w:r>
      <w:r w:rsidRPr="00CA39B3">
        <w:rPr>
          <w:rFonts w:ascii="Palatino Linotype" w:eastAsia="Palatino Linotype" w:hAnsi="Palatino Linotype" w:cs="Palatino Linotype"/>
        </w:rPr>
        <w:t>la presente resolución al T</w:t>
      </w:r>
      <w:r w:rsidRPr="00CA39B3">
        <w:rPr>
          <w:rFonts w:ascii="Palatino Linotype" w:eastAsia="Palatino Linotype" w:hAnsi="Palatino Linotype" w:cs="Palatino Linotype"/>
          <w:b/>
        </w:rPr>
        <w:t xml:space="preserve">itular de la Unidad de Transparencia </w:t>
      </w:r>
      <w:r w:rsidRPr="00CA39B3">
        <w:rPr>
          <w:rFonts w:ascii="Palatino Linotype" w:eastAsia="Palatino Linotype" w:hAnsi="Palatino Linotype" w:cs="Palatino Linotype"/>
        </w:rPr>
        <w:t xml:space="preserve">del </w:t>
      </w:r>
      <w:r w:rsidRPr="00CA39B3">
        <w:rPr>
          <w:rFonts w:ascii="Palatino Linotype" w:eastAsia="Palatino Linotype" w:hAnsi="Palatino Linotype" w:cs="Palatino Linotype"/>
          <w:b/>
        </w:rPr>
        <w:t>SUJETO OBLIGADO</w:t>
      </w:r>
      <w:r w:rsidRPr="00CA39B3">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22B936" w14:textId="77777777" w:rsidR="004201D9" w:rsidRPr="00CA39B3" w:rsidRDefault="004201D9">
      <w:pPr>
        <w:spacing w:line="360" w:lineRule="auto"/>
        <w:ind w:right="-93"/>
        <w:jc w:val="both"/>
        <w:rPr>
          <w:rFonts w:ascii="Palatino Linotype" w:eastAsia="Palatino Linotype" w:hAnsi="Palatino Linotype" w:cs="Palatino Linotype"/>
        </w:rPr>
      </w:pPr>
    </w:p>
    <w:p w14:paraId="6C28258E" w14:textId="77777777" w:rsidR="004201D9" w:rsidRPr="00CA39B3" w:rsidRDefault="000668C9">
      <w:pPr>
        <w:spacing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b/>
        </w:rPr>
        <w:t xml:space="preserve">CUARTO. </w:t>
      </w:r>
      <w:r w:rsidRPr="00CA39B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CA39B3">
        <w:rPr>
          <w:rFonts w:ascii="Palatino Linotype" w:eastAsia="Palatino Linotype" w:hAnsi="Palatino Linotype" w:cs="Palatino Linotype"/>
          <w:b/>
        </w:rPr>
        <w:t>EL SUJETO OBLIGADO</w:t>
      </w:r>
      <w:r w:rsidRPr="00CA39B3">
        <w:rPr>
          <w:rFonts w:ascii="Palatino Linotype" w:eastAsia="Palatino Linotype" w:hAnsi="Palatino Linotype" w:cs="Palatino Linotype"/>
        </w:rPr>
        <w:t xml:space="preserve"> de manera fundada y motivada, podrá solicitar una ampliación de plazo para el cumplimiento de la presente resolución.</w:t>
      </w:r>
    </w:p>
    <w:p w14:paraId="5B35A9BA" w14:textId="77777777" w:rsidR="004201D9" w:rsidRPr="00CA39B3" w:rsidRDefault="004201D9">
      <w:pPr>
        <w:spacing w:line="360" w:lineRule="auto"/>
        <w:jc w:val="both"/>
        <w:rPr>
          <w:rFonts w:ascii="Palatino Linotype" w:eastAsia="Palatino Linotype" w:hAnsi="Palatino Linotype" w:cs="Palatino Linotype"/>
        </w:rPr>
      </w:pPr>
    </w:p>
    <w:p w14:paraId="34BD2933" w14:textId="77777777" w:rsidR="004201D9" w:rsidRPr="00CA39B3" w:rsidRDefault="000668C9">
      <w:pPr>
        <w:spacing w:line="360" w:lineRule="auto"/>
        <w:ind w:right="49"/>
        <w:jc w:val="both"/>
        <w:rPr>
          <w:rFonts w:ascii="Palatino Linotype" w:eastAsia="Palatino Linotype" w:hAnsi="Palatino Linotype" w:cs="Palatino Linotype"/>
        </w:rPr>
      </w:pPr>
      <w:bookmarkStart w:id="3" w:name="_heading=h.1t3h5sf" w:colFirst="0" w:colLast="0"/>
      <w:bookmarkEnd w:id="3"/>
      <w:r w:rsidRPr="00CA39B3">
        <w:rPr>
          <w:rFonts w:ascii="Palatino Linotype" w:eastAsia="Palatino Linotype" w:hAnsi="Palatino Linotype" w:cs="Palatino Linotype"/>
          <w:b/>
        </w:rPr>
        <w:t>QUINTO. Notifíquese vía SAIMEX</w:t>
      </w:r>
      <w:r w:rsidRPr="00CA39B3">
        <w:rPr>
          <w:rFonts w:ascii="Palatino Linotype" w:eastAsia="Palatino Linotype" w:hAnsi="Palatino Linotype" w:cs="Palatino Linotype"/>
        </w:rPr>
        <w:t xml:space="preserve">, a la parte </w:t>
      </w:r>
      <w:r w:rsidRPr="00CA39B3">
        <w:rPr>
          <w:rFonts w:ascii="Palatino Linotype" w:eastAsia="Palatino Linotype" w:hAnsi="Palatino Linotype" w:cs="Palatino Linotype"/>
          <w:b/>
        </w:rPr>
        <w:t>RECURRENTE</w:t>
      </w:r>
      <w:r w:rsidRPr="00CA39B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sidRPr="00CA39B3">
        <w:rPr>
          <w:rFonts w:ascii="Palatino Linotype" w:eastAsia="Palatino Linotype" w:hAnsi="Palatino Linotype" w:cs="Palatino Linotype"/>
        </w:rPr>
        <w:lastRenderedPageBreak/>
        <w:t>Municipios, podrá impugnar la presente resolución vía Juicio de Amparo en los términos de las leyes aplicables.</w:t>
      </w:r>
    </w:p>
    <w:p w14:paraId="57E26131" w14:textId="77777777" w:rsidR="004201D9" w:rsidRPr="00CA39B3" w:rsidRDefault="004201D9">
      <w:pPr>
        <w:spacing w:line="360" w:lineRule="auto"/>
        <w:ind w:right="49"/>
        <w:jc w:val="both"/>
        <w:rPr>
          <w:rFonts w:ascii="Palatino Linotype" w:eastAsia="Palatino Linotype" w:hAnsi="Palatino Linotype" w:cs="Palatino Linotype"/>
        </w:rPr>
      </w:pPr>
    </w:p>
    <w:p w14:paraId="22B78293" w14:textId="5D72215C" w:rsidR="004201D9" w:rsidRDefault="000668C9">
      <w:pPr>
        <w:spacing w:after="240" w:line="360" w:lineRule="auto"/>
        <w:jc w:val="both"/>
        <w:rPr>
          <w:rFonts w:ascii="Palatino Linotype" w:eastAsia="Palatino Linotype" w:hAnsi="Palatino Linotype" w:cs="Palatino Linotype"/>
        </w:rPr>
      </w:pPr>
      <w:r w:rsidRPr="00CA39B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 DOS MIL VEINTICUATRO, ANTE EL SECRETARIO TÉCNICO DEL PLENO ALEXIS TAPIA RAMÍREZ.</w:t>
      </w:r>
      <w:r>
        <w:rPr>
          <w:rFonts w:ascii="Palatino Linotype" w:eastAsia="Palatino Linotype" w:hAnsi="Palatino Linotype" w:cs="Palatino Linotype"/>
        </w:rPr>
        <w:t xml:space="preserve">  </w:t>
      </w:r>
    </w:p>
    <w:p w14:paraId="7E76BC48" w14:textId="2C220BA5" w:rsidR="006F3077" w:rsidRDefault="006F3077">
      <w:pPr>
        <w:spacing w:after="240" w:line="360" w:lineRule="auto"/>
        <w:jc w:val="both"/>
        <w:rPr>
          <w:rFonts w:ascii="Palatino Linotype" w:eastAsia="Palatino Linotype" w:hAnsi="Palatino Linotype" w:cs="Palatino Linotype"/>
        </w:rPr>
      </w:pPr>
    </w:p>
    <w:p w14:paraId="31258B97" w14:textId="0868E0BF" w:rsidR="006F3077" w:rsidRDefault="006F3077">
      <w:pPr>
        <w:spacing w:after="240" w:line="360" w:lineRule="auto"/>
        <w:jc w:val="both"/>
        <w:rPr>
          <w:rFonts w:ascii="Palatino Linotype" w:eastAsia="Palatino Linotype" w:hAnsi="Palatino Linotype" w:cs="Palatino Linotype"/>
        </w:rPr>
      </w:pPr>
    </w:p>
    <w:p w14:paraId="3A82BE67" w14:textId="44CF460A" w:rsidR="006F3077" w:rsidRDefault="006F3077">
      <w:pPr>
        <w:spacing w:after="240" w:line="360" w:lineRule="auto"/>
        <w:jc w:val="both"/>
        <w:rPr>
          <w:rFonts w:ascii="Palatino Linotype" w:eastAsia="Palatino Linotype" w:hAnsi="Palatino Linotype" w:cs="Palatino Linotype"/>
        </w:rPr>
      </w:pPr>
    </w:p>
    <w:p w14:paraId="5EBED88E" w14:textId="5A86A124" w:rsidR="006F3077" w:rsidRDefault="006F3077">
      <w:pPr>
        <w:spacing w:after="240" w:line="360" w:lineRule="auto"/>
        <w:jc w:val="both"/>
        <w:rPr>
          <w:rFonts w:ascii="Palatino Linotype" w:eastAsia="Palatino Linotype" w:hAnsi="Palatino Linotype" w:cs="Palatino Linotype"/>
        </w:rPr>
      </w:pPr>
    </w:p>
    <w:p w14:paraId="79E0CEF2" w14:textId="40701732" w:rsidR="006F3077" w:rsidRDefault="006F3077">
      <w:pPr>
        <w:spacing w:after="240" w:line="360" w:lineRule="auto"/>
        <w:jc w:val="both"/>
        <w:rPr>
          <w:rFonts w:ascii="Palatino Linotype" w:eastAsia="Palatino Linotype" w:hAnsi="Palatino Linotype" w:cs="Palatino Linotype"/>
        </w:rPr>
      </w:pPr>
    </w:p>
    <w:p w14:paraId="2736A79E" w14:textId="76C912B1" w:rsidR="006F3077" w:rsidRDefault="006F3077">
      <w:pPr>
        <w:spacing w:after="240" w:line="360" w:lineRule="auto"/>
        <w:jc w:val="both"/>
        <w:rPr>
          <w:rFonts w:ascii="Palatino Linotype" w:eastAsia="Palatino Linotype" w:hAnsi="Palatino Linotype" w:cs="Palatino Linotype"/>
        </w:rPr>
      </w:pPr>
    </w:p>
    <w:p w14:paraId="1ADEF648" w14:textId="769AE3DF" w:rsidR="006F3077" w:rsidRDefault="006F3077">
      <w:pPr>
        <w:spacing w:after="240" w:line="360" w:lineRule="auto"/>
        <w:jc w:val="both"/>
        <w:rPr>
          <w:rFonts w:ascii="Palatino Linotype" w:eastAsia="Palatino Linotype" w:hAnsi="Palatino Linotype" w:cs="Palatino Linotype"/>
        </w:rPr>
      </w:pPr>
    </w:p>
    <w:p w14:paraId="2F24D94D" w14:textId="33B1190B" w:rsidR="006F3077" w:rsidRDefault="006F3077">
      <w:pPr>
        <w:spacing w:after="240" w:line="360" w:lineRule="auto"/>
        <w:jc w:val="both"/>
        <w:rPr>
          <w:rFonts w:ascii="Palatino Linotype" w:eastAsia="Palatino Linotype" w:hAnsi="Palatino Linotype" w:cs="Palatino Linotype"/>
        </w:rPr>
      </w:pPr>
    </w:p>
    <w:p w14:paraId="2C1A8C12" w14:textId="117C568C" w:rsidR="006F3077" w:rsidRDefault="006F3077">
      <w:pPr>
        <w:spacing w:after="240" w:line="360" w:lineRule="auto"/>
        <w:jc w:val="both"/>
        <w:rPr>
          <w:rFonts w:ascii="Palatino Linotype" w:eastAsia="Palatino Linotype" w:hAnsi="Palatino Linotype" w:cs="Palatino Linotype"/>
        </w:rPr>
      </w:pPr>
    </w:p>
    <w:p w14:paraId="6A1101B0" w14:textId="297AAC0F" w:rsidR="006F3077" w:rsidRDefault="006F3077">
      <w:pPr>
        <w:spacing w:after="240" w:line="360" w:lineRule="auto"/>
        <w:jc w:val="both"/>
        <w:rPr>
          <w:rFonts w:ascii="Palatino Linotype" w:eastAsia="Palatino Linotype" w:hAnsi="Palatino Linotype" w:cs="Palatino Linotype"/>
        </w:rPr>
      </w:pPr>
    </w:p>
    <w:p w14:paraId="62277D3C" w14:textId="1FFC5312" w:rsidR="006F3077" w:rsidRDefault="006F3077">
      <w:pPr>
        <w:spacing w:after="240" w:line="360" w:lineRule="auto"/>
        <w:jc w:val="both"/>
        <w:rPr>
          <w:rFonts w:ascii="Palatino Linotype" w:eastAsia="Palatino Linotype" w:hAnsi="Palatino Linotype" w:cs="Palatino Linotype"/>
        </w:rPr>
      </w:pPr>
    </w:p>
    <w:p w14:paraId="2E0B9F13" w14:textId="77777777" w:rsidR="006F3077" w:rsidRDefault="006F3077">
      <w:pPr>
        <w:spacing w:after="240" w:line="360" w:lineRule="auto"/>
        <w:jc w:val="both"/>
        <w:rPr>
          <w:rFonts w:ascii="Palatino Linotype" w:eastAsia="Palatino Linotype" w:hAnsi="Palatino Linotype" w:cs="Palatino Linotype"/>
        </w:rPr>
      </w:pPr>
    </w:p>
    <w:sectPr w:rsidR="006F3077">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3D164" w14:textId="77777777" w:rsidR="007C141D" w:rsidRDefault="007C141D">
      <w:r>
        <w:separator/>
      </w:r>
    </w:p>
  </w:endnote>
  <w:endnote w:type="continuationSeparator" w:id="0">
    <w:p w14:paraId="6131D5E5" w14:textId="77777777" w:rsidR="007C141D" w:rsidRDefault="007C1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9818" w14:textId="77777777" w:rsidR="004201D9" w:rsidRDefault="000668C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24144">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24144">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p>
  <w:p w14:paraId="51DCC11C" w14:textId="77777777" w:rsidR="004201D9" w:rsidRDefault="004201D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5155" w14:textId="77777777" w:rsidR="004201D9" w:rsidRDefault="000668C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2414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24144">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p>
  <w:p w14:paraId="5737EE70" w14:textId="77777777" w:rsidR="004201D9" w:rsidRDefault="004201D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EF7A4" w14:textId="77777777" w:rsidR="007C141D" w:rsidRDefault="007C141D">
      <w:r>
        <w:separator/>
      </w:r>
    </w:p>
  </w:footnote>
  <w:footnote w:type="continuationSeparator" w:id="0">
    <w:p w14:paraId="18F882AF" w14:textId="77777777" w:rsidR="007C141D" w:rsidRDefault="007C141D">
      <w:r>
        <w:continuationSeparator/>
      </w:r>
    </w:p>
  </w:footnote>
  <w:footnote w:id="1">
    <w:p w14:paraId="594A6D56" w14:textId="77777777" w:rsidR="004201D9" w:rsidRDefault="000668C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17516C90" w14:textId="77777777" w:rsidR="004201D9" w:rsidRDefault="000668C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2DF0" w14:textId="77777777" w:rsidR="004201D9" w:rsidRDefault="000668C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52C149B" wp14:editId="171F7320">
          <wp:simplePos x="0" y="0"/>
          <wp:positionH relativeFrom="column">
            <wp:posOffset>-1080131</wp:posOffset>
          </wp:positionH>
          <wp:positionV relativeFrom="paragraph">
            <wp:posOffset>-488311</wp:posOffset>
          </wp:positionV>
          <wp:extent cx="7809865" cy="10165715"/>
          <wp:effectExtent l="0" t="0" r="0" b="0"/>
          <wp:wrapNone/>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4201D9" w14:paraId="23856CEE" w14:textId="77777777">
      <w:tc>
        <w:tcPr>
          <w:tcW w:w="2489" w:type="dxa"/>
          <w:shd w:val="clear" w:color="auto" w:fill="auto"/>
        </w:tcPr>
        <w:p w14:paraId="209320BD" w14:textId="77777777" w:rsidR="004201D9" w:rsidRDefault="000668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75BB040" w14:textId="77777777" w:rsidR="004201D9" w:rsidRDefault="000668C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05429/INFOEM/IP/RR/2023</w:t>
          </w:r>
        </w:p>
      </w:tc>
    </w:tr>
    <w:tr w:rsidR="004201D9" w14:paraId="5EB09916" w14:textId="77777777">
      <w:trPr>
        <w:trHeight w:val="228"/>
      </w:trPr>
      <w:tc>
        <w:tcPr>
          <w:tcW w:w="2489" w:type="dxa"/>
          <w:shd w:val="clear" w:color="auto" w:fill="auto"/>
          <w:vAlign w:val="center"/>
        </w:tcPr>
        <w:p w14:paraId="50B0AC98" w14:textId="77777777" w:rsidR="004201D9" w:rsidRDefault="000668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4DA1DA9" w14:textId="77777777" w:rsidR="004201D9" w:rsidRDefault="000668C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Tezoyuca.</w:t>
          </w:r>
        </w:p>
      </w:tc>
    </w:tr>
    <w:tr w:rsidR="004201D9" w14:paraId="3E7DCBE5" w14:textId="77777777">
      <w:tc>
        <w:tcPr>
          <w:tcW w:w="2489" w:type="dxa"/>
          <w:shd w:val="clear" w:color="auto" w:fill="auto"/>
          <w:vAlign w:val="center"/>
        </w:tcPr>
        <w:p w14:paraId="37EDBFC7" w14:textId="77777777" w:rsidR="004201D9" w:rsidRDefault="000668C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6E30684" w14:textId="77777777" w:rsidR="004201D9" w:rsidRDefault="000668C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03F724" w14:textId="77777777" w:rsidR="004201D9" w:rsidRDefault="000668C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D8B3E" w14:textId="77777777" w:rsidR="004201D9" w:rsidRDefault="004201D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670" w:type="dxa"/>
      <w:tblInd w:w="3261" w:type="dxa"/>
      <w:tblLayout w:type="fixed"/>
      <w:tblLook w:val="0400" w:firstRow="0" w:lastRow="0" w:firstColumn="0" w:lastColumn="0" w:noHBand="0" w:noVBand="1"/>
    </w:tblPr>
    <w:tblGrid>
      <w:gridCol w:w="2551"/>
      <w:gridCol w:w="3119"/>
    </w:tblGrid>
    <w:tr w:rsidR="004201D9" w14:paraId="10558A3C" w14:textId="77777777">
      <w:tc>
        <w:tcPr>
          <w:tcW w:w="2551" w:type="dxa"/>
          <w:shd w:val="clear" w:color="auto" w:fill="auto"/>
          <w:vAlign w:val="center"/>
        </w:tcPr>
        <w:p w14:paraId="7D53956C" w14:textId="77777777" w:rsidR="004201D9" w:rsidRDefault="000668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A985084" w14:textId="77777777" w:rsidR="004201D9" w:rsidRDefault="000668C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05429/INFOEM/IP/RR/2023</w:t>
          </w:r>
        </w:p>
      </w:tc>
    </w:tr>
    <w:tr w:rsidR="004201D9" w14:paraId="5BABE181" w14:textId="77777777">
      <w:trPr>
        <w:trHeight w:val="130"/>
      </w:trPr>
      <w:tc>
        <w:tcPr>
          <w:tcW w:w="2551" w:type="dxa"/>
          <w:shd w:val="clear" w:color="auto" w:fill="auto"/>
          <w:vAlign w:val="center"/>
        </w:tcPr>
        <w:p w14:paraId="3CA4CEB4" w14:textId="77777777" w:rsidR="004201D9" w:rsidRDefault="000668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99A9DFE" w14:textId="7F7D173B" w:rsidR="004201D9" w:rsidRDefault="008B5AC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 XXXX</w:t>
          </w:r>
        </w:p>
      </w:tc>
    </w:tr>
    <w:tr w:rsidR="004201D9" w14:paraId="2C5103AB" w14:textId="77777777">
      <w:trPr>
        <w:trHeight w:val="228"/>
      </w:trPr>
      <w:tc>
        <w:tcPr>
          <w:tcW w:w="2551" w:type="dxa"/>
          <w:shd w:val="clear" w:color="auto" w:fill="auto"/>
          <w:vAlign w:val="center"/>
        </w:tcPr>
        <w:p w14:paraId="6BF6EF99" w14:textId="77777777" w:rsidR="004201D9" w:rsidRDefault="000668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B52A356" w14:textId="77777777" w:rsidR="004201D9" w:rsidRDefault="000668C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Tezoyuca</w:t>
          </w:r>
        </w:p>
      </w:tc>
    </w:tr>
    <w:tr w:rsidR="004201D9" w14:paraId="3808FC14" w14:textId="77777777">
      <w:tc>
        <w:tcPr>
          <w:tcW w:w="2551" w:type="dxa"/>
          <w:shd w:val="clear" w:color="auto" w:fill="auto"/>
          <w:vAlign w:val="center"/>
        </w:tcPr>
        <w:p w14:paraId="3B06807A" w14:textId="77777777" w:rsidR="004201D9" w:rsidRDefault="000668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37B9B7F" w14:textId="77777777" w:rsidR="004201D9" w:rsidRDefault="000668C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BB53CC" w14:textId="77777777" w:rsidR="004201D9" w:rsidRDefault="000668C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C904CEC" wp14:editId="36E3B959">
          <wp:simplePos x="0" y="0"/>
          <wp:positionH relativeFrom="column">
            <wp:posOffset>-1089656</wp:posOffset>
          </wp:positionH>
          <wp:positionV relativeFrom="paragraph">
            <wp:posOffset>-1169666</wp:posOffset>
          </wp:positionV>
          <wp:extent cx="7809865" cy="10165715"/>
          <wp:effectExtent l="0" t="0" r="0" b="0"/>
          <wp:wrapNone/>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8DF"/>
    <w:multiLevelType w:val="multilevel"/>
    <w:tmpl w:val="8B00F6C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7BE708B"/>
    <w:multiLevelType w:val="multilevel"/>
    <w:tmpl w:val="91E8E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ED2466"/>
    <w:multiLevelType w:val="multilevel"/>
    <w:tmpl w:val="3DA07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7A66D0"/>
    <w:multiLevelType w:val="multilevel"/>
    <w:tmpl w:val="00FE7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451CCB"/>
    <w:multiLevelType w:val="multilevel"/>
    <w:tmpl w:val="AB427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C572D1"/>
    <w:multiLevelType w:val="multilevel"/>
    <w:tmpl w:val="3BCA0B8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1D9"/>
    <w:rsid w:val="000668C9"/>
    <w:rsid w:val="000841AC"/>
    <w:rsid w:val="000B3333"/>
    <w:rsid w:val="004201D9"/>
    <w:rsid w:val="00656B95"/>
    <w:rsid w:val="006F3077"/>
    <w:rsid w:val="007C141D"/>
    <w:rsid w:val="008B5AC0"/>
    <w:rsid w:val="00A531A1"/>
    <w:rsid w:val="00AF1E27"/>
    <w:rsid w:val="00CA39B3"/>
    <w:rsid w:val="00D241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14ED8"/>
  <w15:docId w15:val="{DE3CD3DA-DF3B-415A-A7B0-341AEE57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5E3D1F"/>
    <w:pPr>
      <w:tabs>
        <w:tab w:val="center" w:pos="4419"/>
        <w:tab w:val="right" w:pos="8838"/>
      </w:tabs>
    </w:pPr>
  </w:style>
  <w:style w:type="character" w:customStyle="1" w:styleId="EncabezadoCar">
    <w:name w:val="Encabezado Car"/>
    <w:basedOn w:val="Fuentedeprrafopredeter"/>
    <w:link w:val="Encabezado"/>
    <w:uiPriority w:val="99"/>
    <w:rsid w:val="005E3D1F"/>
  </w:style>
  <w:style w:type="paragraph" w:styleId="Piedepgina">
    <w:name w:val="footer"/>
    <w:basedOn w:val="Normal"/>
    <w:link w:val="PiedepginaCar"/>
    <w:uiPriority w:val="99"/>
    <w:unhideWhenUsed/>
    <w:rsid w:val="005E3D1F"/>
    <w:pPr>
      <w:tabs>
        <w:tab w:val="center" w:pos="4419"/>
        <w:tab w:val="right" w:pos="8838"/>
      </w:tabs>
    </w:pPr>
  </w:style>
  <w:style w:type="character" w:customStyle="1" w:styleId="PiedepginaCar">
    <w:name w:val="Pie de página Car"/>
    <w:basedOn w:val="Fuentedeprrafopredeter"/>
    <w:link w:val="Piedepgina"/>
    <w:uiPriority w:val="99"/>
    <w:rsid w:val="005E3D1F"/>
  </w:style>
  <w:style w:type="character" w:styleId="Hipervnculo">
    <w:name w:val="Hyperlink"/>
    <w:basedOn w:val="Fuentedeprrafopredeter"/>
    <w:uiPriority w:val="99"/>
    <w:semiHidden/>
    <w:unhideWhenUsed/>
    <w:rsid w:val="005E3D1F"/>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0F6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011D2"/>
  </w:style>
  <w:style w:type="paragraph" w:styleId="NormalWeb">
    <w:name w:val="Normal (Web)"/>
    <w:basedOn w:val="Normal"/>
    <w:uiPriority w:val="99"/>
    <w:rsid w:val="005F1BF9"/>
    <w:pPr>
      <w:spacing w:before="100" w:beforeAutospacing="1" w:after="100" w:afterAutospacing="1"/>
    </w:pPr>
  </w:style>
  <w:style w:type="table" w:styleId="Tablaconcuadrcula">
    <w:name w:val="Table Grid"/>
    <w:basedOn w:val="Tablanormal"/>
    <w:uiPriority w:val="59"/>
    <w:rsid w:val="00A1607D"/>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81294.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saimex.org.mx/saimex/solicitud/downloadAttach/1903682.p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MDWvAFz2RVRwJiv3GkbjDuU9Q==">CgMxLjAyCGguZ2pkZ3hzMgloLjMwajB6bGwyCGgudHlqY3d0MgloLjF0M2g1c2Y4AHIhMXpqcWh2QzVyWkhENDBUVWRHR0FmRm9DdGtlU3F1ZUdv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17206</Words>
  <Characters>94637</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2024-04-05T19:12:00Z</cp:lastPrinted>
  <dcterms:created xsi:type="dcterms:W3CDTF">2024-04-22T20:36:00Z</dcterms:created>
  <dcterms:modified xsi:type="dcterms:W3CDTF">2024-04-22T20:36:00Z</dcterms:modified>
</cp:coreProperties>
</file>