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234CCC" w:rsidRDefault="00AE3DA7" w:rsidP="00234CCC">
          <w:pPr>
            <w:pStyle w:val="TtulodeTDC"/>
            <w:spacing w:before="0" w:line="240" w:lineRule="auto"/>
            <w:rPr>
              <w:rFonts w:ascii="Palatino Linotype" w:hAnsi="Palatino Linotype"/>
              <w:color w:val="auto"/>
              <w:sz w:val="24"/>
              <w:szCs w:val="24"/>
              <w:lang w:val="es-ES"/>
            </w:rPr>
          </w:pPr>
          <w:r w:rsidRPr="00234CCC">
            <w:rPr>
              <w:rFonts w:ascii="Palatino Linotype" w:hAnsi="Palatino Linotype"/>
              <w:color w:val="auto"/>
              <w:sz w:val="24"/>
              <w:szCs w:val="24"/>
              <w:lang w:val="es-ES"/>
            </w:rPr>
            <w:t>Contenido</w:t>
          </w:r>
        </w:p>
        <w:p w14:paraId="3EB312A7" w14:textId="77777777" w:rsidR="00AA6EA9" w:rsidRPr="00234CCC" w:rsidRDefault="00AA6EA9" w:rsidP="00234CCC">
          <w:pPr>
            <w:spacing w:line="240" w:lineRule="auto"/>
            <w:rPr>
              <w:sz w:val="16"/>
              <w:szCs w:val="16"/>
              <w:lang w:val="es-ES" w:eastAsia="es-MX"/>
            </w:rPr>
          </w:pPr>
        </w:p>
        <w:p w14:paraId="1ECB6339" w14:textId="0042F184" w:rsidR="00234CCC" w:rsidRPr="00234CCC" w:rsidRDefault="00AE3DA7" w:rsidP="00234CCC">
          <w:pPr>
            <w:pStyle w:val="TDC1"/>
            <w:tabs>
              <w:tab w:val="right" w:leader="dot" w:pos="9034"/>
            </w:tabs>
            <w:rPr>
              <w:rFonts w:asciiTheme="minorHAnsi" w:eastAsiaTheme="minorEastAsia" w:hAnsiTheme="minorHAnsi" w:cstheme="minorBidi"/>
              <w:noProof/>
              <w:szCs w:val="22"/>
              <w:lang w:eastAsia="es-MX"/>
            </w:rPr>
          </w:pPr>
          <w:r w:rsidRPr="00234CCC">
            <w:rPr>
              <w:sz w:val="16"/>
              <w:szCs w:val="16"/>
            </w:rPr>
            <w:fldChar w:fldCharType="begin"/>
          </w:r>
          <w:r w:rsidRPr="00234CCC">
            <w:rPr>
              <w:sz w:val="16"/>
              <w:szCs w:val="16"/>
            </w:rPr>
            <w:instrText xml:space="preserve"> TOC \o "1-3" \h \z \u </w:instrText>
          </w:r>
          <w:r w:rsidRPr="00234CCC">
            <w:rPr>
              <w:sz w:val="16"/>
              <w:szCs w:val="16"/>
            </w:rPr>
            <w:fldChar w:fldCharType="separate"/>
          </w:r>
          <w:hyperlink w:anchor="_Toc178874617" w:history="1">
            <w:r w:rsidR="00234CCC" w:rsidRPr="00234CCC">
              <w:rPr>
                <w:rStyle w:val="Hipervnculo"/>
                <w:noProof/>
                <w:color w:val="auto"/>
              </w:rPr>
              <w:t>ANTECEDENTES</w:t>
            </w:r>
            <w:r w:rsidR="00234CCC" w:rsidRPr="00234CCC">
              <w:rPr>
                <w:noProof/>
                <w:webHidden/>
              </w:rPr>
              <w:tab/>
            </w:r>
            <w:r w:rsidR="00234CCC" w:rsidRPr="00234CCC">
              <w:rPr>
                <w:noProof/>
                <w:webHidden/>
              </w:rPr>
              <w:fldChar w:fldCharType="begin"/>
            </w:r>
            <w:r w:rsidR="00234CCC" w:rsidRPr="00234CCC">
              <w:rPr>
                <w:noProof/>
                <w:webHidden/>
              </w:rPr>
              <w:instrText xml:space="preserve"> PAGEREF _Toc178874617 \h </w:instrText>
            </w:r>
            <w:r w:rsidR="00234CCC" w:rsidRPr="00234CCC">
              <w:rPr>
                <w:noProof/>
                <w:webHidden/>
              </w:rPr>
            </w:r>
            <w:r w:rsidR="00234CCC" w:rsidRPr="00234CCC">
              <w:rPr>
                <w:noProof/>
                <w:webHidden/>
              </w:rPr>
              <w:fldChar w:fldCharType="separate"/>
            </w:r>
            <w:r w:rsidR="00BD140A">
              <w:rPr>
                <w:noProof/>
                <w:webHidden/>
              </w:rPr>
              <w:t>1</w:t>
            </w:r>
            <w:r w:rsidR="00234CCC" w:rsidRPr="00234CCC">
              <w:rPr>
                <w:noProof/>
                <w:webHidden/>
              </w:rPr>
              <w:fldChar w:fldCharType="end"/>
            </w:r>
          </w:hyperlink>
        </w:p>
        <w:p w14:paraId="7BAA5134" w14:textId="6A2C01A8" w:rsidR="00234CCC" w:rsidRPr="00234CCC" w:rsidRDefault="004E314F" w:rsidP="00234CCC">
          <w:pPr>
            <w:pStyle w:val="TDC2"/>
            <w:rPr>
              <w:rFonts w:asciiTheme="minorHAnsi" w:eastAsiaTheme="minorEastAsia" w:hAnsiTheme="minorHAnsi" w:cstheme="minorBidi"/>
              <w:noProof/>
              <w:szCs w:val="22"/>
              <w:lang w:eastAsia="es-MX"/>
            </w:rPr>
          </w:pPr>
          <w:hyperlink w:anchor="_Toc178874618" w:history="1">
            <w:r w:rsidR="00234CCC" w:rsidRPr="00234CCC">
              <w:rPr>
                <w:rStyle w:val="Hipervnculo"/>
                <w:noProof/>
                <w:color w:val="auto"/>
              </w:rPr>
              <w:t>DE LA SOLICITUD DE INFORMACIÓN</w:t>
            </w:r>
            <w:r w:rsidR="00234CCC" w:rsidRPr="00234CCC">
              <w:rPr>
                <w:noProof/>
                <w:webHidden/>
              </w:rPr>
              <w:tab/>
            </w:r>
            <w:r w:rsidR="00234CCC" w:rsidRPr="00234CCC">
              <w:rPr>
                <w:noProof/>
                <w:webHidden/>
              </w:rPr>
              <w:fldChar w:fldCharType="begin"/>
            </w:r>
            <w:r w:rsidR="00234CCC" w:rsidRPr="00234CCC">
              <w:rPr>
                <w:noProof/>
                <w:webHidden/>
              </w:rPr>
              <w:instrText xml:space="preserve"> PAGEREF _Toc178874618 \h </w:instrText>
            </w:r>
            <w:r w:rsidR="00234CCC" w:rsidRPr="00234CCC">
              <w:rPr>
                <w:noProof/>
                <w:webHidden/>
              </w:rPr>
            </w:r>
            <w:r w:rsidR="00234CCC" w:rsidRPr="00234CCC">
              <w:rPr>
                <w:noProof/>
                <w:webHidden/>
              </w:rPr>
              <w:fldChar w:fldCharType="separate"/>
            </w:r>
            <w:r w:rsidR="00BD140A">
              <w:rPr>
                <w:noProof/>
                <w:webHidden/>
              </w:rPr>
              <w:t>1</w:t>
            </w:r>
            <w:r w:rsidR="00234CCC" w:rsidRPr="00234CCC">
              <w:rPr>
                <w:noProof/>
                <w:webHidden/>
              </w:rPr>
              <w:fldChar w:fldCharType="end"/>
            </w:r>
          </w:hyperlink>
        </w:p>
        <w:p w14:paraId="4FFA2D61" w14:textId="7DBD305A" w:rsidR="00234CCC" w:rsidRPr="00234CCC" w:rsidRDefault="004E314F" w:rsidP="00234CCC">
          <w:pPr>
            <w:pStyle w:val="TDC3"/>
            <w:rPr>
              <w:rFonts w:asciiTheme="minorHAnsi" w:eastAsiaTheme="minorEastAsia" w:hAnsiTheme="minorHAnsi" w:cstheme="minorBidi"/>
              <w:noProof/>
              <w:szCs w:val="22"/>
              <w:lang w:eastAsia="es-MX"/>
            </w:rPr>
          </w:pPr>
          <w:hyperlink w:anchor="_Toc178874619" w:history="1">
            <w:r w:rsidR="00234CCC" w:rsidRPr="00234CCC">
              <w:rPr>
                <w:rStyle w:val="Hipervnculo"/>
                <w:noProof/>
                <w:color w:val="auto"/>
              </w:rPr>
              <w:t>a) Solicitud de información</w:t>
            </w:r>
            <w:r w:rsidR="00234CCC" w:rsidRPr="00234CCC">
              <w:rPr>
                <w:noProof/>
                <w:webHidden/>
              </w:rPr>
              <w:tab/>
            </w:r>
            <w:r w:rsidR="00234CCC" w:rsidRPr="00234CCC">
              <w:rPr>
                <w:noProof/>
                <w:webHidden/>
              </w:rPr>
              <w:fldChar w:fldCharType="begin"/>
            </w:r>
            <w:r w:rsidR="00234CCC" w:rsidRPr="00234CCC">
              <w:rPr>
                <w:noProof/>
                <w:webHidden/>
              </w:rPr>
              <w:instrText xml:space="preserve"> PAGEREF _Toc178874619 \h </w:instrText>
            </w:r>
            <w:r w:rsidR="00234CCC" w:rsidRPr="00234CCC">
              <w:rPr>
                <w:noProof/>
                <w:webHidden/>
              </w:rPr>
            </w:r>
            <w:r w:rsidR="00234CCC" w:rsidRPr="00234CCC">
              <w:rPr>
                <w:noProof/>
                <w:webHidden/>
              </w:rPr>
              <w:fldChar w:fldCharType="separate"/>
            </w:r>
            <w:r w:rsidR="00BD140A">
              <w:rPr>
                <w:noProof/>
                <w:webHidden/>
              </w:rPr>
              <w:t>1</w:t>
            </w:r>
            <w:r w:rsidR="00234CCC" w:rsidRPr="00234CCC">
              <w:rPr>
                <w:noProof/>
                <w:webHidden/>
              </w:rPr>
              <w:fldChar w:fldCharType="end"/>
            </w:r>
          </w:hyperlink>
        </w:p>
        <w:p w14:paraId="4BABB4E2" w14:textId="3BD5A6D0" w:rsidR="00234CCC" w:rsidRPr="00234CCC" w:rsidRDefault="004E314F" w:rsidP="00234CCC">
          <w:pPr>
            <w:pStyle w:val="TDC3"/>
            <w:rPr>
              <w:rFonts w:asciiTheme="minorHAnsi" w:eastAsiaTheme="minorEastAsia" w:hAnsiTheme="minorHAnsi" w:cstheme="minorBidi"/>
              <w:noProof/>
              <w:szCs w:val="22"/>
              <w:lang w:eastAsia="es-MX"/>
            </w:rPr>
          </w:pPr>
          <w:hyperlink w:anchor="_Toc178874620" w:history="1">
            <w:r w:rsidR="00234CCC" w:rsidRPr="00234CCC">
              <w:rPr>
                <w:rStyle w:val="Hipervnculo"/>
                <w:noProof/>
                <w:color w:val="auto"/>
              </w:rPr>
              <w:t>b) Turno de la solicitud de información</w:t>
            </w:r>
            <w:r w:rsidR="00234CCC" w:rsidRPr="00234CCC">
              <w:rPr>
                <w:noProof/>
                <w:webHidden/>
              </w:rPr>
              <w:tab/>
            </w:r>
            <w:r w:rsidR="00234CCC" w:rsidRPr="00234CCC">
              <w:rPr>
                <w:noProof/>
                <w:webHidden/>
              </w:rPr>
              <w:fldChar w:fldCharType="begin"/>
            </w:r>
            <w:r w:rsidR="00234CCC" w:rsidRPr="00234CCC">
              <w:rPr>
                <w:noProof/>
                <w:webHidden/>
              </w:rPr>
              <w:instrText xml:space="preserve"> PAGEREF _Toc178874620 \h </w:instrText>
            </w:r>
            <w:r w:rsidR="00234CCC" w:rsidRPr="00234CCC">
              <w:rPr>
                <w:noProof/>
                <w:webHidden/>
              </w:rPr>
            </w:r>
            <w:r w:rsidR="00234CCC" w:rsidRPr="00234CCC">
              <w:rPr>
                <w:noProof/>
                <w:webHidden/>
              </w:rPr>
              <w:fldChar w:fldCharType="separate"/>
            </w:r>
            <w:r w:rsidR="00BD140A">
              <w:rPr>
                <w:noProof/>
                <w:webHidden/>
              </w:rPr>
              <w:t>2</w:t>
            </w:r>
            <w:r w:rsidR="00234CCC" w:rsidRPr="00234CCC">
              <w:rPr>
                <w:noProof/>
                <w:webHidden/>
              </w:rPr>
              <w:fldChar w:fldCharType="end"/>
            </w:r>
          </w:hyperlink>
        </w:p>
        <w:p w14:paraId="1547295B" w14:textId="33DC7EC3" w:rsidR="00234CCC" w:rsidRPr="00234CCC" w:rsidRDefault="004E314F" w:rsidP="00234CCC">
          <w:pPr>
            <w:pStyle w:val="TDC3"/>
            <w:rPr>
              <w:rFonts w:asciiTheme="minorHAnsi" w:eastAsiaTheme="minorEastAsia" w:hAnsiTheme="minorHAnsi" w:cstheme="minorBidi"/>
              <w:noProof/>
              <w:szCs w:val="22"/>
              <w:lang w:eastAsia="es-MX"/>
            </w:rPr>
          </w:pPr>
          <w:hyperlink w:anchor="_Toc178874621" w:history="1">
            <w:r w:rsidR="00234CCC" w:rsidRPr="00234CCC">
              <w:rPr>
                <w:rStyle w:val="Hipervnculo"/>
                <w:noProof/>
                <w:color w:val="auto"/>
                <w:lang w:val="es-ES"/>
              </w:rPr>
              <w:t>c) Prórroga</w:t>
            </w:r>
            <w:r w:rsidR="00234CCC" w:rsidRPr="00234CCC">
              <w:rPr>
                <w:noProof/>
                <w:webHidden/>
              </w:rPr>
              <w:tab/>
            </w:r>
            <w:r w:rsidR="00234CCC" w:rsidRPr="00234CCC">
              <w:rPr>
                <w:noProof/>
                <w:webHidden/>
              </w:rPr>
              <w:fldChar w:fldCharType="begin"/>
            </w:r>
            <w:r w:rsidR="00234CCC" w:rsidRPr="00234CCC">
              <w:rPr>
                <w:noProof/>
                <w:webHidden/>
              </w:rPr>
              <w:instrText xml:space="preserve"> PAGEREF _Toc178874621 \h </w:instrText>
            </w:r>
            <w:r w:rsidR="00234CCC" w:rsidRPr="00234CCC">
              <w:rPr>
                <w:noProof/>
                <w:webHidden/>
              </w:rPr>
            </w:r>
            <w:r w:rsidR="00234CCC" w:rsidRPr="00234CCC">
              <w:rPr>
                <w:noProof/>
                <w:webHidden/>
              </w:rPr>
              <w:fldChar w:fldCharType="separate"/>
            </w:r>
            <w:r w:rsidR="00BD140A">
              <w:rPr>
                <w:noProof/>
                <w:webHidden/>
              </w:rPr>
              <w:t>2</w:t>
            </w:r>
            <w:r w:rsidR="00234CCC" w:rsidRPr="00234CCC">
              <w:rPr>
                <w:noProof/>
                <w:webHidden/>
              </w:rPr>
              <w:fldChar w:fldCharType="end"/>
            </w:r>
          </w:hyperlink>
        </w:p>
        <w:p w14:paraId="660A4712" w14:textId="17044735" w:rsidR="00234CCC" w:rsidRPr="00234CCC" w:rsidRDefault="004E314F" w:rsidP="00234CCC">
          <w:pPr>
            <w:pStyle w:val="TDC3"/>
            <w:rPr>
              <w:rFonts w:asciiTheme="minorHAnsi" w:eastAsiaTheme="minorEastAsia" w:hAnsiTheme="minorHAnsi" w:cstheme="minorBidi"/>
              <w:noProof/>
              <w:szCs w:val="22"/>
              <w:lang w:eastAsia="es-MX"/>
            </w:rPr>
          </w:pPr>
          <w:hyperlink w:anchor="_Toc178874622" w:history="1">
            <w:r w:rsidR="00234CCC" w:rsidRPr="00234CCC">
              <w:rPr>
                <w:rStyle w:val="Hipervnculo"/>
                <w:noProof/>
                <w:color w:val="auto"/>
              </w:rPr>
              <w:t xml:space="preserve">d) </w:t>
            </w:r>
            <w:r w:rsidR="00234CCC" w:rsidRPr="00234CCC">
              <w:rPr>
                <w:rStyle w:val="Hipervnculo"/>
                <w:noProof/>
                <w:color w:val="auto"/>
                <w:lang w:val="es-ES"/>
              </w:rPr>
              <w:t xml:space="preserve">Respuesta </w:t>
            </w:r>
            <w:r w:rsidR="00234CCC" w:rsidRPr="00234CCC">
              <w:rPr>
                <w:rStyle w:val="Hipervnculo"/>
                <w:rFonts w:eastAsia="Calibri"/>
                <w:noProof/>
                <w:color w:val="auto"/>
                <w:lang w:eastAsia="en-US"/>
              </w:rPr>
              <w:t>del Sujeto Obligado</w:t>
            </w:r>
            <w:r w:rsidR="00234CCC" w:rsidRPr="00234CCC">
              <w:rPr>
                <w:noProof/>
                <w:webHidden/>
              </w:rPr>
              <w:tab/>
            </w:r>
            <w:r w:rsidR="00234CCC" w:rsidRPr="00234CCC">
              <w:rPr>
                <w:noProof/>
                <w:webHidden/>
              </w:rPr>
              <w:fldChar w:fldCharType="begin"/>
            </w:r>
            <w:r w:rsidR="00234CCC" w:rsidRPr="00234CCC">
              <w:rPr>
                <w:noProof/>
                <w:webHidden/>
              </w:rPr>
              <w:instrText xml:space="preserve"> PAGEREF _Toc178874622 \h </w:instrText>
            </w:r>
            <w:r w:rsidR="00234CCC" w:rsidRPr="00234CCC">
              <w:rPr>
                <w:noProof/>
                <w:webHidden/>
              </w:rPr>
            </w:r>
            <w:r w:rsidR="00234CCC" w:rsidRPr="00234CCC">
              <w:rPr>
                <w:noProof/>
                <w:webHidden/>
              </w:rPr>
              <w:fldChar w:fldCharType="separate"/>
            </w:r>
            <w:r w:rsidR="00BD140A">
              <w:rPr>
                <w:noProof/>
                <w:webHidden/>
              </w:rPr>
              <w:t>3</w:t>
            </w:r>
            <w:r w:rsidR="00234CCC" w:rsidRPr="00234CCC">
              <w:rPr>
                <w:noProof/>
                <w:webHidden/>
              </w:rPr>
              <w:fldChar w:fldCharType="end"/>
            </w:r>
          </w:hyperlink>
        </w:p>
        <w:p w14:paraId="33557487" w14:textId="5CB26168" w:rsidR="00234CCC" w:rsidRPr="00234CCC" w:rsidRDefault="004E314F" w:rsidP="00234CCC">
          <w:pPr>
            <w:pStyle w:val="TDC2"/>
            <w:rPr>
              <w:rFonts w:asciiTheme="minorHAnsi" w:eastAsiaTheme="minorEastAsia" w:hAnsiTheme="minorHAnsi" w:cstheme="minorBidi"/>
              <w:noProof/>
              <w:szCs w:val="22"/>
              <w:lang w:eastAsia="es-MX"/>
            </w:rPr>
          </w:pPr>
          <w:hyperlink w:anchor="_Toc178874623" w:history="1">
            <w:r w:rsidR="00234CCC" w:rsidRPr="00234CCC">
              <w:rPr>
                <w:rStyle w:val="Hipervnculo"/>
                <w:noProof/>
                <w:color w:val="auto"/>
              </w:rPr>
              <w:t>DEL RECURSO DE REVISIÓN</w:t>
            </w:r>
            <w:r w:rsidR="00234CCC" w:rsidRPr="00234CCC">
              <w:rPr>
                <w:noProof/>
                <w:webHidden/>
              </w:rPr>
              <w:tab/>
            </w:r>
            <w:r w:rsidR="00234CCC" w:rsidRPr="00234CCC">
              <w:rPr>
                <w:noProof/>
                <w:webHidden/>
              </w:rPr>
              <w:fldChar w:fldCharType="begin"/>
            </w:r>
            <w:r w:rsidR="00234CCC" w:rsidRPr="00234CCC">
              <w:rPr>
                <w:noProof/>
                <w:webHidden/>
              </w:rPr>
              <w:instrText xml:space="preserve"> PAGEREF _Toc178874623 \h </w:instrText>
            </w:r>
            <w:r w:rsidR="00234CCC" w:rsidRPr="00234CCC">
              <w:rPr>
                <w:noProof/>
                <w:webHidden/>
              </w:rPr>
            </w:r>
            <w:r w:rsidR="00234CCC" w:rsidRPr="00234CCC">
              <w:rPr>
                <w:noProof/>
                <w:webHidden/>
              </w:rPr>
              <w:fldChar w:fldCharType="separate"/>
            </w:r>
            <w:r w:rsidR="00BD140A">
              <w:rPr>
                <w:noProof/>
                <w:webHidden/>
              </w:rPr>
              <w:t>5</w:t>
            </w:r>
            <w:r w:rsidR="00234CCC" w:rsidRPr="00234CCC">
              <w:rPr>
                <w:noProof/>
                <w:webHidden/>
              </w:rPr>
              <w:fldChar w:fldCharType="end"/>
            </w:r>
          </w:hyperlink>
        </w:p>
        <w:p w14:paraId="7064239A" w14:textId="08234238" w:rsidR="00234CCC" w:rsidRPr="00234CCC" w:rsidRDefault="004E314F" w:rsidP="00234CCC">
          <w:pPr>
            <w:pStyle w:val="TDC3"/>
            <w:rPr>
              <w:rFonts w:asciiTheme="minorHAnsi" w:eastAsiaTheme="minorEastAsia" w:hAnsiTheme="minorHAnsi" w:cstheme="minorBidi"/>
              <w:noProof/>
              <w:szCs w:val="22"/>
              <w:lang w:eastAsia="es-MX"/>
            </w:rPr>
          </w:pPr>
          <w:hyperlink w:anchor="_Toc178874624" w:history="1">
            <w:r w:rsidR="00234CCC" w:rsidRPr="00234CCC">
              <w:rPr>
                <w:rStyle w:val="Hipervnculo"/>
                <w:noProof/>
                <w:color w:val="auto"/>
              </w:rPr>
              <w:t>a) Interposición del Recurso de Revisión</w:t>
            </w:r>
            <w:r w:rsidR="00234CCC" w:rsidRPr="00234CCC">
              <w:rPr>
                <w:noProof/>
                <w:webHidden/>
              </w:rPr>
              <w:tab/>
            </w:r>
            <w:r w:rsidR="00234CCC" w:rsidRPr="00234CCC">
              <w:rPr>
                <w:noProof/>
                <w:webHidden/>
              </w:rPr>
              <w:fldChar w:fldCharType="begin"/>
            </w:r>
            <w:r w:rsidR="00234CCC" w:rsidRPr="00234CCC">
              <w:rPr>
                <w:noProof/>
                <w:webHidden/>
              </w:rPr>
              <w:instrText xml:space="preserve"> PAGEREF _Toc178874624 \h </w:instrText>
            </w:r>
            <w:r w:rsidR="00234CCC" w:rsidRPr="00234CCC">
              <w:rPr>
                <w:noProof/>
                <w:webHidden/>
              </w:rPr>
            </w:r>
            <w:r w:rsidR="00234CCC" w:rsidRPr="00234CCC">
              <w:rPr>
                <w:noProof/>
                <w:webHidden/>
              </w:rPr>
              <w:fldChar w:fldCharType="separate"/>
            </w:r>
            <w:r w:rsidR="00BD140A">
              <w:rPr>
                <w:noProof/>
                <w:webHidden/>
              </w:rPr>
              <w:t>5</w:t>
            </w:r>
            <w:r w:rsidR="00234CCC" w:rsidRPr="00234CCC">
              <w:rPr>
                <w:noProof/>
                <w:webHidden/>
              </w:rPr>
              <w:fldChar w:fldCharType="end"/>
            </w:r>
          </w:hyperlink>
        </w:p>
        <w:p w14:paraId="4CB6AC80" w14:textId="23EE7512" w:rsidR="00234CCC" w:rsidRPr="00234CCC" w:rsidRDefault="004E314F" w:rsidP="00234CCC">
          <w:pPr>
            <w:pStyle w:val="TDC3"/>
            <w:rPr>
              <w:rFonts w:asciiTheme="minorHAnsi" w:eastAsiaTheme="minorEastAsia" w:hAnsiTheme="minorHAnsi" w:cstheme="minorBidi"/>
              <w:noProof/>
              <w:szCs w:val="22"/>
              <w:lang w:eastAsia="es-MX"/>
            </w:rPr>
          </w:pPr>
          <w:hyperlink w:anchor="_Toc178874625" w:history="1">
            <w:r w:rsidR="00234CCC" w:rsidRPr="00234CCC">
              <w:rPr>
                <w:rStyle w:val="Hipervnculo"/>
                <w:noProof/>
                <w:color w:val="auto"/>
              </w:rPr>
              <w:t>b) Turno del Recurso de Revisión</w:t>
            </w:r>
            <w:r w:rsidR="00234CCC" w:rsidRPr="00234CCC">
              <w:rPr>
                <w:noProof/>
                <w:webHidden/>
              </w:rPr>
              <w:tab/>
            </w:r>
            <w:r w:rsidR="00234CCC" w:rsidRPr="00234CCC">
              <w:rPr>
                <w:noProof/>
                <w:webHidden/>
              </w:rPr>
              <w:fldChar w:fldCharType="begin"/>
            </w:r>
            <w:r w:rsidR="00234CCC" w:rsidRPr="00234CCC">
              <w:rPr>
                <w:noProof/>
                <w:webHidden/>
              </w:rPr>
              <w:instrText xml:space="preserve"> PAGEREF _Toc178874625 \h </w:instrText>
            </w:r>
            <w:r w:rsidR="00234CCC" w:rsidRPr="00234CCC">
              <w:rPr>
                <w:noProof/>
                <w:webHidden/>
              </w:rPr>
            </w:r>
            <w:r w:rsidR="00234CCC" w:rsidRPr="00234CCC">
              <w:rPr>
                <w:noProof/>
                <w:webHidden/>
              </w:rPr>
              <w:fldChar w:fldCharType="separate"/>
            </w:r>
            <w:r w:rsidR="00BD140A">
              <w:rPr>
                <w:noProof/>
                <w:webHidden/>
              </w:rPr>
              <w:t>5</w:t>
            </w:r>
            <w:r w:rsidR="00234CCC" w:rsidRPr="00234CCC">
              <w:rPr>
                <w:noProof/>
                <w:webHidden/>
              </w:rPr>
              <w:fldChar w:fldCharType="end"/>
            </w:r>
          </w:hyperlink>
        </w:p>
        <w:p w14:paraId="17049786" w14:textId="70007D22" w:rsidR="00234CCC" w:rsidRPr="00234CCC" w:rsidRDefault="004E314F" w:rsidP="00234CCC">
          <w:pPr>
            <w:pStyle w:val="TDC3"/>
            <w:rPr>
              <w:rFonts w:asciiTheme="minorHAnsi" w:eastAsiaTheme="minorEastAsia" w:hAnsiTheme="minorHAnsi" w:cstheme="minorBidi"/>
              <w:noProof/>
              <w:szCs w:val="22"/>
              <w:lang w:eastAsia="es-MX"/>
            </w:rPr>
          </w:pPr>
          <w:hyperlink w:anchor="_Toc178874626" w:history="1">
            <w:r w:rsidR="00234CCC" w:rsidRPr="00234CCC">
              <w:rPr>
                <w:rStyle w:val="Hipervnculo"/>
                <w:noProof/>
                <w:color w:val="auto"/>
              </w:rPr>
              <w:t>c) Admisión del Recurso de Revisión</w:t>
            </w:r>
            <w:r w:rsidR="00234CCC" w:rsidRPr="00234CCC">
              <w:rPr>
                <w:noProof/>
                <w:webHidden/>
              </w:rPr>
              <w:tab/>
            </w:r>
            <w:r w:rsidR="00234CCC" w:rsidRPr="00234CCC">
              <w:rPr>
                <w:noProof/>
                <w:webHidden/>
              </w:rPr>
              <w:fldChar w:fldCharType="begin"/>
            </w:r>
            <w:r w:rsidR="00234CCC" w:rsidRPr="00234CCC">
              <w:rPr>
                <w:noProof/>
                <w:webHidden/>
              </w:rPr>
              <w:instrText xml:space="preserve"> PAGEREF _Toc178874626 \h </w:instrText>
            </w:r>
            <w:r w:rsidR="00234CCC" w:rsidRPr="00234CCC">
              <w:rPr>
                <w:noProof/>
                <w:webHidden/>
              </w:rPr>
            </w:r>
            <w:r w:rsidR="00234CCC" w:rsidRPr="00234CCC">
              <w:rPr>
                <w:noProof/>
                <w:webHidden/>
              </w:rPr>
              <w:fldChar w:fldCharType="separate"/>
            </w:r>
            <w:r w:rsidR="00BD140A">
              <w:rPr>
                <w:noProof/>
                <w:webHidden/>
              </w:rPr>
              <w:t>6</w:t>
            </w:r>
            <w:r w:rsidR="00234CCC" w:rsidRPr="00234CCC">
              <w:rPr>
                <w:noProof/>
                <w:webHidden/>
              </w:rPr>
              <w:fldChar w:fldCharType="end"/>
            </w:r>
          </w:hyperlink>
        </w:p>
        <w:p w14:paraId="2635AE2C" w14:textId="4A4401EA" w:rsidR="00234CCC" w:rsidRPr="00234CCC" w:rsidRDefault="004E314F" w:rsidP="00234CCC">
          <w:pPr>
            <w:pStyle w:val="TDC3"/>
            <w:rPr>
              <w:rFonts w:asciiTheme="minorHAnsi" w:eastAsiaTheme="minorEastAsia" w:hAnsiTheme="minorHAnsi" w:cstheme="minorBidi"/>
              <w:noProof/>
              <w:szCs w:val="22"/>
              <w:lang w:eastAsia="es-MX"/>
            </w:rPr>
          </w:pPr>
          <w:hyperlink w:anchor="_Toc178874627" w:history="1">
            <w:r w:rsidR="00234CCC" w:rsidRPr="00234CCC">
              <w:rPr>
                <w:rStyle w:val="Hipervnculo"/>
                <w:noProof/>
                <w:color w:val="auto"/>
              </w:rPr>
              <w:t>d) Informe Justificado del Sujeto Obligado</w:t>
            </w:r>
            <w:r w:rsidR="00234CCC" w:rsidRPr="00234CCC">
              <w:rPr>
                <w:noProof/>
                <w:webHidden/>
              </w:rPr>
              <w:tab/>
            </w:r>
            <w:r w:rsidR="00234CCC" w:rsidRPr="00234CCC">
              <w:rPr>
                <w:noProof/>
                <w:webHidden/>
              </w:rPr>
              <w:fldChar w:fldCharType="begin"/>
            </w:r>
            <w:r w:rsidR="00234CCC" w:rsidRPr="00234CCC">
              <w:rPr>
                <w:noProof/>
                <w:webHidden/>
              </w:rPr>
              <w:instrText xml:space="preserve"> PAGEREF _Toc178874627 \h </w:instrText>
            </w:r>
            <w:r w:rsidR="00234CCC" w:rsidRPr="00234CCC">
              <w:rPr>
                <w:noProof/>
                <w:webHidden/>
              </w:rPr>
            </w:r>
            <w:r w:rsidR="00234CCC" w:rsidRPr="00234CCC">
              <w:rPr>
                <w:noProof/>
                <w:webHidden/>
              </w:rPr>
              <w:fldChar w:fldCharType="separate"/>
            </w:r>
            <w:r w:rsidR="00BD140A">
              <w:rPr>
                <w:noProof/>
                <w:webHidden/>
              </w:rPr>
              <w:t>6</w:t>
            </w:r>
            <w:r w:rsidR="00234CCC" w:rsidRPr="00234CCC">
              <w:rPr>
                <w:noProof/>
                <w:webHidden/>
              </w:rPr>
              <w:fldChar w:fldCharType="end"/>
            </w:r>
          </w:hyperlink>
        </w:p>
        <w:p w14:paraId="74679430" w14:textId="4444C33F" w:rsidR="00234CCC" w:rsidRPr="00234CCC" w:rsidRDefault="004E314F" w:rsidP="00234CCC">
          <w:pPr>
            <w:pStyle w:val="TDC3"/>
            <w:rPr>
              <w:rFonts w:asciiTheme="minorHAnsi" w:eastAsiaTheme="minorEastAsia" w:hAnsiTheme="minorHAnsi" w:cstheme="minorBidi"/>
              <w:noProof/>
              <w:szCs w:val="22"/>
              <w:lang w:eastAsia="es-MX"/>
            </w:rPr>
          </w:pPr>
          <w:hyperlink w:anchor="_Toc178874628" w:history="1">
            <w:r w:rsidR="00234CCC" w:rsidRPr="00234CCC">
              <w:rPr>
                <w:rStyle w:val="Hipervnculo"/>
                <w:rFonts w:eastAsia="Calibri"/>
                <w:bCs/>
                <w:noProof/>
                <w:color w:val="auto"/>
                <w:lang w:eastAsia="en-US"/>
              </w:rPr>
              <w:t>e)</w:t>
            </w:r>
            <w:r w:rsidR="00234CCC" w:rsidRPr="00234CCC">
              <w:rPr>
                <w:rStyle w:val="Hipervnculo"/>
                <w:noProof/>
                <w:color w:val="auto"/>
              </w:rPr>
              <w:t xml:space="preserve"> </w:t>
            </w:r>
            <w:r w:rsidR="00234CCC" w:rsidRPr="00234CCC">
              <w:rPr>
                <w:rStyle w:val="Hipervnculo"/>
                <w:noProof/>
                <w:color w:val="auto"/>
                <w:lang w:val="es-ES"/>
              </w:rPr>
              <w:t>Manifestaciones de la Parte Recurrente</w:t>
            </w:r>
            <w:r w:rsidR="00234CCC" w:rsidRPr="00234CCC">
              <w:rPr>
                <w:noProof/>
                <w:webHidden/>
              </w:rPr>
              <w:tab/>
            </w:r>
            <w:r w:rsidR="00234CCC" w:rsidRPr="00234CCC">
              <w:rPr>
                <w:noProof/>
                <w:webHidden/>
              </w:rPr>
              <w:fldChar w:fldCharType="begin"/>
            </w:r>
            <w:r w:rsidR="00234CCC" w:rsidRPr="00234CCC">
              <w:rPr>
                <w:noProof/>
                <w:webHidden/>
              </w:rPr>
              <w:instrText xml:space="preserve"> PAGEREF _Toc178874628 \h </w:instrText>
            </w:r>
            <w:r w:rsidR="00234CCC" w:rsidRPr="00234CCC">
              <w:rPr>
                <w:noProof/>
                <w:webHidden/>
              </w:rPr>
            </w:r>
            <w:r w:rsidR="00234CCC" w:rsidRPr="00234CCC">
              <w:rPr>
                <w:noProof/>
                <w:webHidden/>
              </w:rPr>
              <w:fldChar w:fldCharType="separate"/>
            </w:r>
            <w:r w:rsidR="00BD140A">
              <w:rPr>
                <w:noProof/>
                <w:webHidden/>
              </w:rPr>
              <w:t>6</w:t>
            </w:r>
            <w:r w:rsidR="00234CCC" w:rsidRPr="00234CCC">
              <w:rPr>
                <w:noProof/>
                <w:webHidden/>
              </w:rPr>
              <w:fldChar w:fldCharType="end"/>
            </w:r>
          </w:hyperlink>
        </w:p>
        <w:p w14:paraId="44ACFD35" w14:textId="52CD0B45" w:rsidR="00234CCC" w:rsidRPr="00234CCC" w:rsidRDefault="004E314F" w:rsidP="00234CCC">
          <w:pPr>
            <w:pStyle w:val="TDC3"/>
            <w:rPr>
              <w:rFonts w:asciiTheme="minorHAnsi" w:eastAsiaTheme="minorEastAsia" w:hAnsiTheme="minorHAnsi" w:cstheme="minorBidi"/>
              <w:noProof/>
              <w:szCs w:val="22"/>
              <w:lang w:eastAsia="es-MX"/>
            </w:rPr>
          </w:pPr>
          <w:hyperlink w:anchor="_Toc178874629" w:history="1">
            <w:r w:rsidR="00234CCC" w:rsidRPr="00234CCC">
              <w:rPr>
                <w:rStyle w:val="Hipervnculo"/>
                <w:rFonts w:eastAsia="Calibri"/>
                <w:noProof/>
                <w:color w:val="auto"/>
              </w:rPr>
              <w:t>f) Ampliación de Plazo para Resolver</w:t>
            </w:r>
            <w:r w:rsidR="00234CCC" w:rsidRPr="00234CCC">
              <w:rPr>
                <w:noProof/>
                <w:webHidden/>
              </w:rPr>
              <w:tab/>
            </w:r>
            <w:r w:rsidR="00234CCC" w:rsidRPr="00234CCC">
              <w:rPr>
                <w:noProof/>
                <w:webHidden/>
              </w:rPr>
              <w:fldChar w:fldCharType="begin"/>
            </w:r>
            <w:r w:rsidR="00234CCC" w:rsidRPr="00234CCC">
              <w:rPr>
                <w:noProof/>
                <w:webHidden/>
              </w:rPr>
              <w:instrText xml:space="preserve"> PAGEREF _Toc178874629 \h </w:instrText>
            </w:r>
            <w:r w:rsidR="00234CCC" w:rsidRPr="00234CCC">
              <w:rPr>
                <w:noProof/>
                <w:webHidden/>
              </w:rPr>
            </w:r>
            <w:r w:rsidR="00234CCC" w:rsidRPr="00234CCC">
              <w:rPr>
                <w:noProof/>
                <w:webHidden/>
              </w:rPr>
              <w:fldChar w:fldCharType="separate"/>
            </w:r>
            <w:r w:rsidR="00BD140A">
              <w:rPr>
                <w:noProof/>
                <w:webHidden/>
              </w:rPr>
              <w:t>6</w:t>
            </w:r>
            <w:r w:rsidR="00234CCC" w:rsidRPr="00234CCC">
              <w:rPr>
                <w:noProof/>
                <w:webHidden/>
              </w:rPr>
              <w:fldChar w:fldCharType="end"/>
            </w:r>
          </w:hyperlink>
        </w:p>
        <w:p w14:paraId="3B7AB930" w14:textId="3FB0CBE3" w:rsidR="00234CCC" w:rsidRPr="00234CCC" w:rsidRDefault="004E314F" w:rsidP="00234CCC">
          <w:pPr>
            <w:pStyle w:val="TDC3"/>
            <w:rPr>
              <w:rFonts w:asciiTheme="minorHAnsi" w:eastAsiaTheme="minorEastAsia" w:hAnsiTheme="minorHAnsi" w:cstheme="minorBidi"/>
              <w:noProof/>
              <w:szCs w:val="22"/>
              <w:lang w:eastAsia="es-MX"/>
            </w:rPr>
          </w:pPr>
          <w:hyperlink w:anchor="_Toc178874630" w:history="1">
            <w:r w:rsidR="00234CCC" w:rsidRPr="00234CCC">
              <w:rPr>
                <w:rStyle w:val="Hipervnculo"/>
                <w:rFonts w:cs="Arial"/>
                <w:noProof/>
                <w:color w:val="auto"/>
              </w:rPr>
              <w:t>g) Cierre de instrucción</w:t>
            </w:r>
            <w:r w:rsidR="00234CCC" w:rsidRPr="00234CCC">
              <w:rPr>
                <w:noProof/>
                <w:webHidden/>
              </w:rPr>
              <w:tab/>
            </w:r>
            <w:r w:rsidR="00234CCC" w:rsidRPr="00234CCC">
              <w:rPr>
                <w:noProof/>
                <w:webHidden/>
              </w:rPr>
              <w:fldChar w:fldCharType="begin"/>
            </w:r>
            <w:r w:rsidR="00234CCC" w:rsidRPr="00234CCC">
              <w:rPr>
                <w:noProof/>
                <w:webHidden/>
              </w:rPr>
              <w:instrText xml:space="preserve"> PAGEREF _Toc178874630 \h </w:instrText>
            </w:r>
            <w:r w:rsidR="00234CCC" w:rsidRPr="00234CCC">
              <w:rPr>
                <w:noProof/>
                <w:webHidden/>
              </w:rPr>
            </w:r>
            <w:r w:rsidR="00234CCC" w:rsidRPr="00234CCC">
              <w:rPr>
                <w:noProof/>
                <w:webHidden/>
              </w:rPr>
              <w:fldChar w:fldCharType="separate"/>
            </w:r>
            <w:r w:rsidR="00BD140A">
              <w:rPr>
                <w:noProof/>
                <w:webHidden/>
              </w:rPr>
              <w:t>9</w:t>
            </w:r>
            <w:r w:rsidR="00234CCC" w:rsidRPr="00234CCC">
              <w:rPr>
                <w:noProof/>
                <w:webHidden/>
              </w:rPr>
              <w:fldChar w:fldCharType="end"/>
            </w:r>
          </w:hyperlink>
        </w:p>
        <w:p w14:paraId="6E1F4598" w14:textId="76770A5B" w:rsidR="00234CCC" w:rsidRPr="00234CCC" w:rsidRDefault="004E314F" w:rsidP="00234CCC">
          <w:pPr>
            <w:pStyle w:val="TDC1"/>
            <w:tabs>
              <w:tab w:val="right" w:leader="dot" w:pos="9034"/>
            </w:tabs>
            <w:rPr>
              <w:rFonts w:asciiTheme="minorHAnsi" w:eastAsiaTheme="minorEastAsia" w:hAnsiTheme="minorHAnsi" w:cstheme="minorBidi"/>
              <w:noProof/>
              <w:szCs w:val="22"/>
              <w:lang w:eastAsia="es-MX"/>
            </w:rPr>
          </w:pPr>
          <w:hyperlink w:anchor="_Toc178874631" w:history="1">
            <w:r w:rsidR="00234CCC" w:rsidRPr="00234CCC">
              <w:rPr>
                <w:rStyle w:val="Hipervnculo"/>
                <w:rFonts w:eastAsiaTheme="minorHAnsi"/>
                <w:noProof/>
                <w:color w:val="auto"/>
                <w:lang w:eastAsia="en-US"/>
              </w:rPr>
              <w:t>CONSIDERANDOS</w:t>
            </w:r>
            <w:r w:rsidR="00234CCC" w:rsidRPr="00234CCC">
              <w:rPr>
                <w:noProof/>
                <w:webHidden/>
              </w:rPr>
              <w:tab/>
            </w:r>
            <w:r w:rsidR="00234CCC" w:rsidRPr="00234CCC">
              <w:rPr>
                <w:noProof/>
                <w:webHidden/>
              </w:rPr>
              <w:fldChar w:fldCharType="begin"/>
            </w:r>
            <w:r w:rsidR="00234CCC" w:rsidRPr="00234CCC">
              <w:rPr>
                <w:noProof/>
                <w:webHidden/>
              </w:rPr>
              <w:instrText xml:space="preserve"> PAGEREF _Toc178874631 \h </w:instrText>
            </w:r>
            <w:r w:rsidR="00234CCC" w:rsidRPr="00234CCC">
              <w:rPr>
                <w:noProof/>
                <w:webHidden/>
              </w:rPr>
            </w:r>
            <w:r w:rsidR="00234CCC" w:rsidRPr="00234CCC">
              <w:rPr>
                <w:noProof/>
                <w:webHidden/>
              </w:rPr>
              <w:fldChar w:fldCharType="separate"/>
            </w:r>
            <w:r w:rsidR="00BD140A">
              <w:rPr>
                <w:noProof/>
                <w:webHidden/>
              </w:rPr>
              <w:t>9</w:t>
            </w:r>
            <w:r w:rsidR="00234CCC" w:rsidRPr="00234CCC">
              <w:rPr>
                <w:noProof/>
                <w:webHidden/>
              </w:rPr>
              <w:fldChar w:fldCharType="end"/>
            </w:r>
          </w:hyperlink>
        </w:p>
        <w:p w14:paraId="40BDCC48" w14:textId="2AB7534A" w:rsidR="00234CCC" w:rsidRPr="00234CCC" w:rsidRDefault="004E314F" w:rsidP="00234CCC">
          <w:pPr>
            <w:pStyle w:val="TDC2"/>
            <w:rPr>
              <w:rFonts w:asciiTheme="minorHAnsi" w:eastAsiaTheme="minorEastAsia" w:hAnsiTheme="minorHAnsi" w:cstheme="minorBidi"/>
              <w:noProof/>
              <w:szCs w:val="22"/>
              <w:lang w:eastAsia="es-MX"/>
            </w:rPr>
          </w:pPr>
          <w:hyperlink w:anchor="_Toc178874632" w:history="1">
            <w:r w:rsidR="00234CCC" w:rsidRPr="00234CCC">
              <w:rPr>
                <w:rStyle w:val="Hipervnculo"/>
                <w:rFonts w:eastAsia="Batang"/>
                <w:noProof/>
                <w:color w:val="auto"/>
              </w:rPr>
              <w:t>PRIMERO. Procedibilidad</w:t>
            </w:r>
            <w:r w:rsidR="00234CCC" w:rsidRPr="00234CCC">
              <w:rPr>
                <w:noProof/>
                <w:webHidden/>
              </w:rPr>
              <w:tab/>
            </w:r>
            <w:r w:rsidR="00234CCC" w:rsidRPr="00234CCC">
              <w:rPr>
                <w:noProof/>
                <w:webHidden/>
              </w:rPr>
              <w:fldChar w:fldCharType="begin"/>
            </w:r>
            <w:r w:rsidR="00234CCC" w:rsidRPr="00234CCC">
              <w:rPr>
                <w:noProof/>
                <w:webHidden/>
              </w:rPr>
              <w:instrText xml:space="preserve"> PAGEREF _Toc178874632 \h </w:instrText>
            </w:r>
            <w:r w:rsidR="00234CCC" w:rsidRPr="00234CCC">
              <w:rPr>
                <w:noProof/>
                <w:webHidden/>
              </w:rPr>
            </w:r>
            <w:r w:rsidR="00234CCC" w:rsidRPr="00234CCC">
              <w:rPr>
                <w:noProof/>
                <w:webHidden/>
              </w:rPr>
              <w:fldChar w:fldCharType="separate"/>
            </w:r>
            <w:r w:rsidR="00BD140A">
              <w:rPr>
                <w:noProof/>
                <w:webHidden/>
              </w:rPr>
              <w:t>10</w:t>
            </w:r>
            <w:r w:rsidR="00234CCC" w:rsidRPr="00234CCC">
              <w:rPr>
                <w:noProof/>
                <w:webHidden/>
              </w:rPr>
              <w:fldChar w:fldCharType="end"/>
            </w:r>
          </w:hyperlink>
        </w:p>
        <w:p w14:paraId="4C52CDEE" w14:textId="161B7BB8" w:rsidR="00234CCC" w:rsidRPr="00234CCC" w:rsidRDefault="004E314F" w:rsidP="00234CCC">
          <w:pPr>
            <w:pStyle w:val="TDC3"/>
            <w:rPr>
              <w:rFonts w:asciiTheme="minorHAnsi" w:eastAsiaTheme="minorEastAsia" w:hAnsiTheme="minorHAnsi" w:cstheme="minorBidi"/>
              <w:noProof/>
              <w:szCs w:val="22"/>
              <w:lang w:eastAsia="es-MX"/>
            </w:rPr>
          </w:pPr>
          <w:hyperlink w:anchor="_Toc178874633" w:history="1">
            <w:r w:rsidR="00234CCC" w:rsidRPr="00234CCC">
              <w:rPr>
                <w:rStyle w:val="Hipervnculo"/>
                <w:noProof/>
                <w:color w:val="auto"/>
              </w:rPr>
              <w:t>a) Competencia del Instituto</w:t>
            </w:r>
            <w:r w:rsidR="00234CCC" w:rsidRPr="00234CCC">
              <w:rPr>
                <w:noProof/>
                <w:webHidden/>
              </w:rPr>
              <w:tab/>
            </w:r>
            <w:r w:rsidR="00234CCC" w:rsidRPr="00234CCC">
              <w:rPr>
                <w:noProof/>
                <w:webHidden/>
              </w:rPr>
              <w:fldChar w:fldCharType="begin"/>
            </w:r>
            <w:r w:rsidR="00234CCC" w:rsidRPr="00234CCC">
              <w:rPr>
                <w:noProof/>
                <w:webHidden/>
              </w:rPr>
              <w:instrText xml:space="preserve"> PAGEREF _Toc178874633 \h </w:instrText>
            </w:r>
            <w:r w:rsidR="00234CCC" w:rsidRPr="00234CCC">
              <w:rPr>
                <w:noProof/>
                <w:webHidden/>
              </w:rPr>
            </w:r>
            <w:r w:rsidR="00234CCC" w:rsidRPr="00234CCC">
              <w:rPr>
                <w:noProof/>
                <w:webHidden/>
              </w:rPr>
              <w:fldChar w:fldCharType="separate"/>
            </w:r>
            <w:r w:rsidR="00BD140A">
              <w:rPr>
                <w:noProof/>
                <w:webHidden/>
              </w:rPr>
              <w:t>10</w:t>
            </w:r>
            <w:r w:rsidR="00234CCC" w:rsidRPr="00234CCC">
              <w:rPr>
                <w:noProof/>
                <w:webHidden/>
              </w:rPr>
              <w:fldChar w:fldCharType="end"/>
            </w:r>
          </w:hyperlink>
        </w:p>
        <w:p w14:paraId="1FB31342" w14:textId="77FCDB2B" w:rsidR="00234CCC" w:rsidRPr="00234CCC" w:rsidRDefault="004E314F" w:rsidP="00234CCC">
          <w:pPr>
            <w:pStyle w:val="TDC3"/>
            <w:rPr>
              <w:rFonts w:asciiTheme="minorHAnsi" w:eastAsiaTheme="minorEastAsia" w:hAnsiTheme="minorHAnsi" w:cstheme="minorBidi"/>
              <w:noProof/>
              <w:szCs w:val="22"/>
              <w:lang w:eastAsia="es-MX"/>
            </w:rPr>
          </w:pPr>
          <w:hyperlink w:anchor="_Toc178874634" w:history="1">
            <w:r w:rsidR="00234CCC" w:rsidRPr="00234CCC">
              <w:rPr>
                <w:rStyle w:val="Hipervnculo"/>
                <w:noProof/>
                <w:color w:val="auto"/>
              </w:rPr>
              <w:t>b) Legitimidad de la parte recurrente</w:t>
            </w:r>
            <w:r w:rsidR="00234CCC" w:rsidRPr="00234CCC">
              <w:rPr>
                <w:noProof/>
                <w:webHidden/>
              </w:rPr>
              <w:tab/>
            </w:r>
            <w:r w:rsidR="00234CCC" w:rsidRPr="00234CCC">
              <w:rPr>
                <w:noProof/>
                <w:webHidden/>
              </w:rPr>
              <w:fldChar w:fldCharType="begin"/>
            </w:r>
            <w:r w:rsidR="00234CCC" w:rsidRPr="00234CCC">
              <w:rPr>
                <w:noProof/>
                <w:webHidden/>
              </w:rPr>
              <w:instrText xml:space="preserve"> PAGEREF _Toc178874634 \h </w:instrText>
            </w:r>
            <w:r w:rsidR="00234CCC" w:rsidRPr="00234CCC">
              <w:rPr>
                <w:noProof/>
                <w:webHidden/>
              </w:rPr>
            </w:r>
            <w:r w:rsidR="00234CCC" w:rsidRPr="00234CCC">
              <w:rPr>
                <w:noProof/>
                <w:webHidden/>
              </w:rPr>
              <w:fldChar w:fldCharType="separate"/>
            </w:r>
            <w:r w:rsidR="00BD140A">
              <w:rPr>
                <w:noProof/>
                <w:webHidden/>
              </w:rPr>
              <w:t>10</w:t>
            </w:r>
            <w:r w:rsidR="00234CCC" w:rsidRPr="00234CCC">
              <w:rPr>
                <w:noProof/>
                <w:webHidden/>
              </w:rPr>
              <w:fldChar w:fldCharType="end"/>
            </w:r>
          </w:hyperlink>
        </w:p>
        <w:p w14:paraId="33F67EC1" w14:textId="6243559D" w:rsidR="00234CCC" w:rsidRPr="00234CCC" w:rsidRDefault="004E314F" w:rsidP="00234CCC">
          <w:pPr>
            <w:pStyle w:val="TDC3"/>
            <w:rPr>
              <w:rFonts w:asciiTheme="minorHAnsi" w:eastAsiaTheme="minorEastAsia" w:hAnsiTheme="minorHAnsi" w:cstheme="minorBidi"/>
              <w:noProof/>
              <w:szCs w:val="22"/>
              <w:lang w:eastAsia="es-MX"/>
            </w:rPr>
          </w:pPr>
          <w:hyperlink w:anchor="_Toc178874635" w:history="1">
            <w:r w:rsidR="00234CCC" w:rsidRPr="00234CCC">
              <w:rPr>
                <w:rStyle w:val="Hipervnculo"/>
                <w:rFonts w:eastAsia="Calibri"/>
                <w:noProof/>
                <w:color w:val="auto"/>
                <w:lang w:eastAsia="es-ES_tradnl"/>
              </w:rPr>
              <w:t>c) Plazo para interponer el recurso</w:t>
            </w:r>
            <w:r w:rsidR="00234CCC" w:rsidRPr="00234CCC">
              <w:rPr>
                <w:noProof/>
                <w:webHidden/>
              </w:rPr>
              <w:tab/>
            </w:r>
            <w:r w:rsidR="00234CCC" w:rsidRPr="00234CCC">
              <w:rPr>
                <w:noProof/>
                <w:webHidden/>
              </w:rPr>
              <w:fldChar w:fldCharType="begin"/>
            </w:r>
            <w:r w:rsidR="00234CCC" w:rsidRPr="00234CCC">
              <w:rPr>
                <w:noProof/>
                <w:webHidden/>
              </w:rPr>
              <w:instrText xml:space="preserve"> PAGEREF _Toc178874635 \h </w:instrText>
            </w:r>
            <w:r w:rsidR="00234CCC" w:rsidRPr="00234CCC">
              <w:rPr>
                <w:noProof/>
                <w:webHidden/>
              </w:rPr>
            </w:r>
            <w:r w:rsidR="00234CCC" w:rsidRPr="00234CCC">
              <w:rPr>
                <w:noProof/>
                <w:webHidden/>
              </w:rPr>
              <w:fldChar w:fldCharType="separate"/>
            </w:r>
            <w:r w:rsidR="00BD140A">
              <w:rPr>
                <w:noProof/>
                <w:webHidden/>
              </w:rPr>
              <w:t>10</w:t>
            </w:r>
            <w:r w:rsidR="00234CCC" w:rsidRPr="00234CCC">
              <w:rPr>
                <w:noProof/>
                <w:webHidden/>
              </w:rPr>
              <w:fldChar w:fldCharType="end"/>
            </w:r>
          </w:hyperlink>
        </w:p>
        <w:p w14:paraId="1269794C" w14:textId="5CBF795C" w:rsidR="00234CCC" w:rsidRPr="00234CCC" w:rsidRDefault="004E314F" w:rsidP="00234CCC">
          <w:pPr>
            <w:pStyle w:val="TDC3"/>
            <w:rPr>
              <w:rFonts w:asciiTheme="minorHAnsi" w:eastAsiaTheme="minorEastAsia" w:hAnsiTheme="minorHAnsi" w:cstheme="minorBidi"/>
              <w:noProof/>
              <w:szCs w:val="22"/>
              <w:lang w:eastAsia="es-MX"/>
            </w:rPr>
          </w:pPr>
          <w:hyperlink w:anchor="_Toc178874636" w:history="1">
            <w:r w:rsidR="00234CCC" w:rsidRPr="00234CCC">
              <w:rPr>
                <w:rStyle w:val="Hipervnculo"/>
                <w:rFonts w:eastAsia="Calibri"/>
                <w:noProof/>
                <w:color w:val="auto"/>
                <w:lang w:eastAsia="es-ES_tradnl"/>
              </w:rPr>
              <w:t>d) Causal de procedencia</w:t>
            </w:r>
            <w:r w:rsidR="00234CCC" w:rsidRPr="00234CCC">
              <w:rPr>
                <w:noProof/>
                <w:webHidden/>
              </w:rPr>
              <w:tab/>
            </w:r>
            <w:r w:rsidR="00234CCC" w:rsidRPr="00234CCC">
              <w:rPr>
                <w:noProof/>
                <w:webHidden/>
              </w:rPr>
              <w:fldChar w:fldCharType="begin"/>
            </w:r>
            <w:r w:rsidR="00234CCC" w:rsidRPr="00234CCC">
              <w:rPr>
                <w:noProof/>
                <w:webHidden/>
              </w:rPr>
              <w:instrText xml:space="preserve"> PAGEREF _Toc178874636 \h </w:instrText>
            </w:r>
            <w:r w:rsidR="00234CCC" w:rsidRPr="00234CCC">
              <w:rPr>
                <w:noProof/>
                <w:webHidden/>
              </w:rPr>
            </w:r>
            <w:r w:rsidR="00234CCC" w:rsidRPr="00234CCC">
              <w:rPr>
                <w:noProof/>
                <w:webHidden/>
              </w:rPr>
              <w:fldChar w:fldCharType="separate"/>
            </w:r>
            <w:r w:rsidR="00BD140A">
              <w:rPr>
                <w:noProof/>
                <w:webHidden/>
              </w:rPr>
              <w:t>11</w:t>
            </w:r>
            <w:r w:rsidR="00234CCC" w:rsidRPr="00234CCC">
              <w:rPr>
                <w:noProof/>
                <w:webHidden/>
              </w:rPr>
              <w:fldChar w:fldCharType="end"/>
            </w:r>
          </w:hyperlink>
        </w:p>
        <w:p w14:paraId="735F2183" w14:textId="396885F0" w:rsidR="00234CCC" w:rsidRPr="00234CCC" w:rsidRDefault="004E314F" w:rsidP="00234CCC">
          <w:pPr>
            <w:pStyle w:val="TDC3"/>
            <w:rPr>
              <w:rFonts w:asciiTheme="minorHAnsi" w:eastAsiaTheme="minorEastAsia" w:hAnsiTheme="minorHAnsi" w:cstheme="minorBidi"/>
              <w:noProof/>
              <w:szCs w:val="22"/>
              <w:lang w:eastAsia="es-MX"/>
            </w:rPr>
          </w:pPr>
          <w:hyperlink w:anchor="_Toc178874637" w:history="1">
            <w:r w:rsidR="00234CCC" w:rsidRPr="00234CCC">
              <w:rPr>
                <w:rStyle w:val="Hipervnculo"/>
                <w:noProof/>
                <w:color w:val="auto"/>
              </w:rPr>
              <w:t>e) Requisitos formales para la interposición del recurso</w:t>
            </w:r>
            <w:r w:rsidR="00234CCC" w:rsidRPr="00234CCC">
              <w:rPr>
                <w:noProof/>
                <w:webHidden/>
              </w:rPr>
              <w:tab/>
            </w:r>
            <w:r w:rsidR="00234CCC" w:rsidRPr="00234CCC">
              <w:rPr>
                <w:noProof/>
                <w:webHidden/>
              </w:rPr>
              <w:fldChar w:fldCharType="begin"/>
            </w:r>
            <w:r w:rsidR="00234CCC" w:rsidRPr="00234CCC">
              <w:rPr>
                <w:noProof/>
                <w:webHidden/>
              </w:rPr>
              <w:instrText xml:space="preserve"> PAGEREF _Toc178874637 \h </w:instrText>
            </w:r>
            <w:r w:rsidR="00234CCC" w:rsidRPr="00234CCC">
              <w:rPr>
                <w:noProof/>
                <w:webHidden/>
              </w:rPr>
            </w:r>
            <w:r w:rsidR="00234CCC" w:rsidRPr="00234CCC">
              <w:rPr>
                <w:noProof/>
                <w:webHidden/>
              </w:rPr>
              <w:fldChar w:fldCharType="separate"/>
            </w:r>
            <w:r w:rsidR="00BD140A">
              <w:rPr>
                <w:noProof/>
                <w:webHidden/>
              </w:rPr>
              <w:t>11</w:t>
            </w:r>
            <w:r w:rsidR="00234CCC" w:rsidRPr="00234CCC">
              <w:rPr>
                <w:noProof/>
                <w:webHidden/>
              </w:rPr>
              <w:fldChar w:fldCharType="end"/>
            </w:r>
          </w:hyperlink>
        </w:p>
        <w:p w14:paraId="239594AE" w14:textId="14565897" w:rsidR="00234CCC" w:rsidRPr="00234CCC" w:rsidRDefault="004E314F" w:rsidP="00234CCC">
          <w:pPr>
            <w:pStyle w:val="TDC2"/>
            <w:rPr>
              <w:rFonts w:asciiTheme="minorHAnsi" w:eastAsiaTheme="minorEastAsia" w:hAnsiTheme="minorHAnsi" w:cstheme="minorBidi"/>
              <w:noProof/>
              <w:szCs w:val="22"/>
              <w:lang w:eastAsia="es-MX"/>
            </w:rPr>
          </w:pPr>
          <w:hyperlink w:anchor="_Toc178874638" w:history="1">
            <w:r w:rsidR="00234CCC" w:rsidRPr="00234CCC">
              <w:rPr>
                <w:rStyle w:val="Hipervnculo"/>
                <w:noProof/>
                <w:color w:val="auto"/>
              </w:rPr>
              <w:t>SEGUNDO. Estudio de Fondo</w:t>
            </w:r>
            <w:r w:rsidR="00234CCC" w:rsidRPr="00234CCC">
              <w:rPr>
                <w:noProof/>
                <w:webHidden/>
              </w:rPr>
              <w:tab/>
            </w:r>
            <w:r w:rsidR="00234CCC" w:rsidRPr="00234CCC">
              <w:rPr>
                <w:noProof/>
                <w:webHidden/>
              </w:rPr>
              <w:fldChar w:fldCharType="begin"/>
            </w:r>
            <w:r w:rsidR="00234CCC" w:rsidRPr="00234CCC">
              <w:rPr>
                <w:noProof/>
                <w:webHidden/>
              </w:rPr>
              <w:instrText xml:space="preserve"> PAGEREF _Toc178874638 \h </w:instrText>
            </w:r>
            <w:r w:rsidR="00234CCC" w:rsidRPr="00234CCC">
              <w:rPr>
                <w:noProof/>
                <w:webHidden/>
              </w:rPr>
            </w:r>
            <w:r w:rsidR="00234CCC" w:rsidRPr="00234CCC">
              <w:rPr>
                <w:noProof/>
                <w:webHidden/>
              </w:rPr>
              <w:fldChar w:fldCharType="separate"/>
            </w:r>
            <w:r w:rsidR="00BD140A">
              <w:rPr>
                <w:noProof/>
                <w:webHidden/>
              </w:rPr>
              <w:t>12</w:t>
            </w:r>
            <w:r w:rsidR="00234CCC" w:rsidRPr="00234CCC">
              <w:rPr>
                <w:noProof/>
                <w:webHidden/>
              </w:rPr>
              <w:fldChar w:fldCharType="end"/>
            </w:r>
          </w:hyperlink>
        </w:p>
        <w:p w14:paraId="3C7594E1" w14:textId="688218E1" w:rsidR="00234CCC" w:rsidRPr="00234CCC" w:rsidRDefault="004E314F" w:rsidP="00234CCC">
          <w:pPr>
            <w:pStyle w:val="TDC3"/>
            <w:rPr>
              <w:rFonts w:asciiTheme="minorHAnsi" w:eastAsiaTheme="minorEastAsia" w:hAnsiTheme="minorHAnsi" w:cstheme="minorBidi"/>
              <w:noProof/>
              <w:szCs w:val="22"/>
              <w:lang w:eastAsia="es-MX"/>
            </w:rPr>
          </w:pPr>
          <w:hyperlink w:anchor="_Toc178874639" w:history="1">
            <w:r w:rsidR="00234CCC" w:rsidRPr="00234CCC">
              <w:rPr>
                <w:rStyle w:val="Hipervnculo"/>
                <w:noProof/>
                <w:color w:val="auto"/>
              </w:rPr>
              <w:t>a) Mandato de transparencia y responsabilidad del Sujeto Obligado</w:t>
            </w:r>
            <w:r w:rsidR="00234CCC" w:rsidRPr="00234CCC">
              <w:rPr>
                <w:noProof/>
                <w:webHidden/>
              </w:rPr>
              <w:tab/>
            </w:r>
            <w:r w:rsidR="00234CCC" w:rsidRPr="00234CCC">
              <w:rPr>
                <w:noProof/>
                <w:webHidden/>
              </w:rPr>
              <w:fldChar w:fldCharType="begin"/>
            </w:r>
            <w:r w:rsidR="00234CCC" w:rsidRPr="00234CCC">
              <w:rPr>
                <w:noProof/>
                <w:webHidden/>
              </w:rPr>
              <w:instrText xml:space="preserve"> PAGEREF _Toc178874639 \h </w:instrText>
            </w:r>
            <w:r w:rsidR="00234CCC" w:rsidRPr="00234CCC">
              <w:rPr>
                <w:noProof/>
                <w:webHidden/>
              </w:rPr>
            </w:r>
            <w:r w:rsidR="00234CCC" w:rsidRPr="00234CCC">
              <w:rPr>
                <w:noProof/>
                <w:webHidden/>
              </w:rPr>
              <w:fldChar w:fldCharType="separate"/>
            </w:r>
            <w:r w:rsidR="00BD140A">
              <w:rPr>
                <w:noProof/>
                <w:webHidden/>
              </w:rPr>
              <w:t>12</w:t>
            </w:r>
            <w:r w:rsidR="00234CCC" w:rsidRPr="00234CCC">
              <w:rPr>
                <w:noProof/>
                <w:webHidden/>
              </w:rPr>
              <w:fldChar w:fldCharType="end"/>
            </w:r>
          </w:hyperlink>
        </w:p>
        <w:p w14:paraId="05DD4206" w14:textId="1C31A43B" w:rsidR="00234CCC" w:rsidRPr="00234CCC" w:rsidRDefault="004E314F" w:rsidP="00234CCC">
          <w:pPr>
            <w:pStyle w:val="TDC3"/>
            <w:rPr>
              <w:rFonts w:asciiTheme="minorHAnsi" w:eastAsiaTheme="minorEastAsia" w:hAnsiTheme="minorHAnsi" w:cstheme="minorBidi"/>
              <w:noProof/>
              <w:szCs w:val="22"/>
              <w:lang w:eastAsia="es-MX"/>
            </w:rPr>
          </w:pPr>
          <w:hyperlink w:anchor="_Toc178874640" w:history="1">
            <w:r w:rsidR="00234CCC" w:rsidRPr="00234CCC">
              <w:rPr>
                <w:rStyle w:val="Hipervnculo"/>
                <w:rFonts w:eastAsia="Calibri"/>
                <w:noProof/>
                <w:color w:val="auto"/>
                <w:lang w:eastAsia="es-ES_tradnl"/>
              </w:rPr>
              <w:t>b) Controversia a resolver</w:t>
            </w:r>
            <w:r w:rsidR="00234CCC" w:rsidRPr="00234CCC">
              <w:rPr>
                <w:noProof/>
                <w:webHidden/>
              </w:rPr>
              <w:tab/>
            </w:r>
            <w:r w:rsidR="00234CCC" w:rsidRPr="00234CCC">
              <w:rPr>
                <w:noProof/>
                <w:webHidden/>
              </w:rPr>
              <w:fldChar w:fldCharType="begin"/>
            </w:r>
            <w:r w:rsidR="00234CCC" w:rsidRPr="00234CCC">
              <w:rPr>
                <w:noProof/>
                <w:webHidden/>
              </w:rPr>
              <w:instrText xml:space="preserve"> PAGEREF _Toc178874640 \h </w:instrText>
            </w:r>
            <w:r w:rsidR="00234CCC" w:rsidRPr="00234CCC">
              <w:rPr>
                <w:noProof/>
                <w:webHidden/>
              </w:rPr>
            </w:r>
            <w:r w:rsidR="00234CCC" w:rsidRPr="00234CCC">
              <w:rPr>
                <w:noProof/>
                <w:webHidden/>
              </w:rPr>
              <w:fldChar w:fldCharType="separate"/>
            </w:r>
            <w:r w:rsidR="00BD140A">
              <w:rPr>
                <w:noProof/>
                <w:webHidden/>
              </w:rPr>
              <w:t>15</w:t>
            </w:r>
            <w:r w:rsidR="00234CCC" w:rsidRPr="00234CCC">
              <w:rPr>
                <w:noProof/>
                <w:webHidden/>
              </w:rPr>
              <w:fldChar w:fldCharType="end"/>
            </w:r>
          </w:hyperlink>
        </w:p>
        <w:p w14:paraId="143AA232" w14:textId="5A3FA8A1" w:rsidR="00234CCC" w:rsidRPr="00234CCC" w:rsidRDefault="004E314F" w:rsidP="00234CCC">
          <w:pPr>
            <w:pStyle w:val="TDC3"/>
            <w:rPr>
              <w:rFonts w:asciiTheme="minorHAnsi" w:eastAsiaTheme="minorEastAsia" w:hAnsiTheme="minorHAnsi" w:cstheme="minorBidi"/>
              <w:noProof/>
              <w:szCs w:val="22"/>
              <w:lang w:eastAsia="es-MX"/>
            </w:rPr>
          </w:pPr>
          <w:hyperlink w:anchor="_Toc178874641" w:history="1">
            <w:r w:rsidR="00234CCC" w:rsidRPr="00234CCC">
              <w:rPr>
                <w:rStyle w:val="Hipervnculo"/>
                <w:noProof/>
                <w:color w:val="auto"/>
              </w:rPr>
              <w:t>c) Estudio de la controversia</w:t>
            </w:r>
            <w:r w:rsidR="00234CCC" w:rsidRPr="00234CCC">
              <w:rPr>
                <w:noProof/>
                <w:webHidden/>
              </w:rPr>
              <w:tab/>
            </w:r>
            <w:r w:rsidR="00234CCC" w:rsidRPr="00234CCC">
              <w:rPr>
                <w:noProof/>
                <w:webHidden/>
              </w:rPr>
              <w:fldChar w:fldCharType="begin"/>
            </w:r>
            <w:r w:rsidR="00234CCC" w:rsidRPr="00234CCC">
              <w:rPr>
                <w:noProof/>
                <w:webHidden/>
              </w:rPr>
              <w:instrText xml:space="preserve"> PAGEREF _Toc178874641 \h </w:instrText>
            </w:r>
            <w:r w:rsidR="00234CCC" w:rsidRPr="00234CCC">
              <w:rPr>
                <w:noProof/>
                <w:webHidden/>
              </w:rPr>
            </w:r>
            <w:r w:rsidR="00234CCC" w:rsidRPr="00234CCC">
              <w:rPr>
                <w:noProof/>
                <w:webHidden/>
              </w:rPr>
              <w:fldChar w:fldCharType="separate"/>
            </w:r>
            <w:r w:rsidR="00BD140A">
              <w:rPr>
                <w:noProof/>
                <w:webHidden/>
              </w:rPr>
              <w:t>15</w:t>
            </w:r>
            <w:r w:rsidR="00234CCC" w:rsidRPr="00234CCC">
              <w:rPr>
                <w:noProof/>
                <w:webHidden/>
              </w:rPr>
              <w:fldChar w:fldCharType="end"/>
            </w:r>
          </w:hyperlink>
        </w:p>
        <w:p w14:paraId="286D0C9E" w14:textId="77CC9019" w:rsidR="00234CCC" w:rsidRPr="00234CCC" w:rsidRDefault="004E314F" w:rsidP="00234CCC">
          <w:pPr>
            <w:pStyle w:val="TDC3"/>
            <w:rPr>
              <w:rFonts w:asciiTheme="minorHAnsi" w:eastAsiaTheme="minorEastAsia" w:hAnsiTheme="minorHAnsi" w:cstheme="minorBidi"/>
              <w:noProof/>
              <w:szCs w:val="22"/>
              <w:lang w:eastAsia="es-MX"/>
            </w:rPr>
          </w:pPr>
          <w:hyperlink w:anchor="_Toc178874642" w:history="1">
            <w:r w:rsidR="00234CCC" w:rsidRPr="00234CCC">
              <w:rPr>
                <w:rStyle w:val="Hipervnculo"/>
                <w:noProof/>
                <w:color w:val="auto"/>
              </w:rPr>
              <w:t>d) Versión pública</w:t>
            </w:r>
            <w:r w:rsidR="00234CCC" w:rsidRPr="00234CCC">
              <w:rPr>
                <w:noProof/>
                <w:webHidden/>
              </w:rPr>
              <w:tab/>
            </w:r>
            <w:r w:rsidR="00234CCC" w:rsidRPr="00234CCC">
              <w:rPr>
                <w:noProof/>
                <w:webHidden/>
              </w:rPr>
              <w:fldChar w:fldCharType="begin"/>
            </w:r>
            <w:r w:rsidR="00234CCC" w:rsidRPr="00234CCC">
              <w:rPr>
                <w:noProof/>
                <w:webHidden/>
              </w:rPr>
              <w:instrText xml:space="preserve"> PAGEREF _Toc178874642 \h </w:instrText>
            </w:r>
            <w:r w:rsidR="00234CCC" w:rsidRPr="00234CCC">
              <w:rPr>
                <w:noProof/>
                <w:webHidden/>
              </w:rPr>
            </w:r>
            <w:r w:rsidR="00234CCC" w:rsidRPr="00234CCC">
              <w:rPr>
                <w:noProof/>
                <w:webHidden/>
              </w:rPr>
              <w:fldChar w:fldCharType="separate"/>
            </w:r>
            <w:r w:rsidR="00BD140A">
              <w:rPr>
                <w:noProof/>
                <w:webHidden/>
              </w:rPr>
              <w:t>32</w:t>
            </w:r>
            <w:r w:rsidR="00234CCC" w:rsidRPr="00234CCC">
              <w:rPr>
                <w:noProof/>
                <w:webHidden/>
              </w:rPr>
              <w:fldChar w:fldCharType="end"/>
            </w:r>
          </w:hyperlink>
        </w:p>
        <w:p w14:paraId="7A89C291" w14:textId="4980A2AA" w:rsidR="00234CCC" w:rsidRPr="00234CCC" w:rsidRDefault="004E314F" w:rsidP="00234CCC">
          <w:pPr>
            <w:pStyle w:val="TDC3"/>
            <w:rPr>
              <w:rFonts w:asciiTheme="minorHAnsi" w:eastAsiaTheme="minorEastAsia" w:hAnsiTheme="minorHAnsi" w:cstheme="minorBidi"/>
              <w:noProof/>
              <w:szCs w:val="22"/>
              <w:lang w:eastAsia="es-MX"/>
            </w:rPr>
          </w:pPr>
          <w:hyperlink w:anchor="_Toc178874643" w:history="1">
            <w:r w:rsidR="00234CCC" w:rsidRPr="00234CCC">
              <w:rPr>
                <w:rStyle w:val="Hipervnculo"/>
                <w:noProof/>
                <w:color w:val="auto"/>
              </w:rPr>
              <w:t>e) Conclusión</w:t>
            </w:r>
            <w:r w:rsidR="00234CCC" w:rsidRPr="00234CCC">
              <w:rPr>
                <w:noProof/>
                <w:webHidden/>
              </w:rPr>
              <w:tab/>
            </w:r>
            <w:r w:rsidR="00234CCC" w:rsidRPr="00234CCC">
              <w:rPr>
                <w:noProof/>
                <w:webHidden/>
              </w:rPr>
              <w:fldChar w:fldCharType="begin"/>
            </w:r>
            <w:r w:rsidR="00234CCC" w:rsidRPr="00234CCC">
              <w:rPr>
                <w:noProof/>
                <w:webHidden/>
              </w:rPr>
              <w:instrText xml:space="preserve"> PAGEREF _Toc178874643 \h </w:instrText>
            </w:r>
            <w:r w:rsidR="00234CCC" w:rsidRPr="00234CCC">
              <w:rPr>
                <w:noProof/>
                <w:webHidden/>
              </w:rPr>
            </w:r>
            <w:r w:rsidR="00234CCC" w:rsidRPr="00234CCC">
              <w:rPr>
                <w:noProof/>
                <w:webHidden/>
              </w:rPr>
              <w:fldChar w:fldCharType="separate"/>
            </w:r>
            <w:r w:rsidR="00BD140A">
              <w:rPr>
                <w:noProof/>
                <w:webHidden/>
              </w:rPr>
              <w:t>38</w:t>
            </w:r>
            <w:r w:rsidR="00234CCC" w:rsidRPr="00234CCC">
              <w:rPr>
                <w:noProof/>
                <w:webHidden/>
              </w:rPr>
              <w:fldChar w:fldCharType="end"/>
            </w:r>
          </w:hyperlink>
        </w:p>
        <w:p w14:paraId="11FA2539" w14:textId="66016A01" w:rsidR="00234CCC" w:rsidRPr="00234CCC" w:rsidRDefault="004E314F" w:rsidP="00234CCC">
          <w:pPr>
            <w:pStyle w:val="TDC1"/>
            <w:tabs>
              <w:tab w:val="right" w:leader="dot" w:pos="9034"/>
            </w:tabs>
            <w:rPr>
              <w:rFonts w:asciiTheme="minorHAnsi" w:eastAsiaTheme="minorEastAsia" w:hAnsiTheme="minorHAnsi" w:cstheme="minorBidi"/>
              <w:noProof/>
              <w:szCs w:val="22"/>
              <w:lang w:eastAsia="es-MX"/>
            </w:rPr>
          </w:pPr>
          <w:hyperlink w:anchor="_Toc178874644" w:history="1">
            <w:r w:rsidR="00234CCC" w:rsidRPr="00234CCC">
              <w:rPr>
                <w:rStyle w:val="Hipervnculo"/>
                <w:noProof/>
                <w:color w:val="auto"/>
              </w:rPr>
              <w:t>RESUELVE</w:t>
            </w:r>
            <w:r w:rsidR="00234CCC" w:rsidRPr="00234CCC">
              <w:rPr>
                <w:noProof/>
                <w:webHidden/>
              </w:rPr>
              <w:tab/>
            </w:r>
            <w:r w:rsidR="00234CCC" w:rsidRPr="00234CCC">
              <w:rPr>
                <w:noProof/>
                <w:webHidden/>
              </w:rPr>
              <w:fldChar w:fldCharType="begin"/>
            </w:r>
            <w:r w:rsidR="00234CCC" w:rsidRPr="00234CCC">
              <w:rPr>
                <w:noProof/>
                <w:webHidden/>
              </w:rPr>
              <w:instrText xml:space="preserve"> PAGEREF _Toc178874644 \h </w:instrText>
            </w:r>
            <w:r w:rsidR="00234CCC" w:rsidRPr="00234CCC">
              <w:rPr>
                <w:noProof/>
                <w:webHidden/>
              </w:rPr>
            </w:r>
            <w:r w:rsidR="00234CCC" w:rsidRPr="00234CCC">
              <w:rPr>
                <w:noProof/>
                <w:webHidden/>
              </w:rPr>
              <w:fldChar w:fldCharType="separate"/>
            </w:r>
            <w:r w:rsidR="00BD140A">
              <w:rPr>
                <w:noProof/>
                <w:webHidden/>
              </w:rPr>
              <w:t>38</w:t>
            </w:r>
            <w:r w:rsidR="00234CCC" w:rsidRPr="00234CCC">
              <w:rPr>
                <w:noProof/>
                <w:webHidden/>
              </w:rPr>
              <w:fldChar w:fldCharType="end"/>
            </w:r>
          </w:hyperlink>
        </w:p>
        <w:p w14:paraId="0C82FD7A" w14:textId="4472A897" w:rsidR="009B2945" w:rsidRPr="00234CCC" w:rsidRDefault="00AE3DA7" w:rsidP="00234CCC">
          <w:pPr>
            <w:spacing w:line="240" w:lineRule="auto"/>
            <w:rPr>
              <w:b/>
              <w:bCs/>
              <w:lang w:val="es-ES"/>
            </w:rPr>
          </w:pPr>
          <w:r w:rsidRPr="00234CCC">
            <w:rPr>
              <w:b/>
              <w:bCs/>
              <w:sz w:val="16"/>
              <w:szCs w:val="16"/>
              <w:lang w:val="es-ES"/>
            </w:rPr>
            <w:fldChar w:fldCharType="end"/>
          </w:r>
        </w:p>
      </w:sdtContent>
    </w:sdt>
    <w:p w14:paraId="603A07E2" w14:textId="77777777" w:rsidR="00646436" w:rsidRPr="00234CCC" w:rsidRDefault="00646436" w:rsidP="00234CCC">
      <w:pPr>
        <w:rPr>
          <w:rFonts w:cs="Tahoma"/>
          <w:szCs w:val="22"/>
        </w:rPr>
        <w:sectPr w:rsidR="00646436" w:rsidRPr="00234CCC"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3A7C8EDA" w:rsidR="00775BFC" w:rsidRPr="00234CCC" w:rsidRDefault="00775BFC" w:rsidP="00234CCC">
      <w:r w:rsidRPr="00234CCC">
        <w:lastRenderedPageBreak/>
        <w:t>Resolución del Pleno del Instituto de Transparencia, Acceso a la Información Pública y Protección de Datos Personales del Estado de México y Municipios, con domicilio e</w:t>
      </w:r>
      <w:r w:rsidR="004D0573" w:rsidRPr="00234CCC">
        <w:t xml:space="preserve">n Metepec, Estado de México, de </w:t>
      </w:r>
      <w:r w:rsidR="00A95C00" w:rsidRPr="00234CCC">
        <w:rPr>
          <w:b/>
        </w:rPr>
        <w:t xml:space="preserve">tres de octubre </w:t>
      </w:r>
      <w:r w:rsidR="005A5BF2" w:rsidRPr="00234CCC">
        <w:rPr>
          <w:b/>
        </w:rPr>
        <w:t>d</w:t>
      </w:r>
      <w:r w:rsidR="004D0573" w:rsidRPr="00234CCC">
        <w:rPr>
          <w:b/>
        </w:rPr>
        <w:t>e dos mil veinticuatro</w:t>
      </w:r>
      <w:r w:rsidRPr="00234CCC">
        <w:t>.</w:t>
      </w:r>
    </w:p>
    <w:p w14:paraId="0AF3AAC4" w14:textId="77777777" w:rsidR="00775BFC" w:rsidRPr="00234CCC" w:rsidRDefault="00775BFC" w:rsidP="00234CCC"/>
    <w:p w14:paraId="40EAE038" w14:textId="20D6CE35" w:rsidR="00775BFC" w:rsidRPr="00234CCC" w:rsidRDefault="00775BFC" w:rsidP="00234CCC">
      <w:r w:rsidRPr="00234CCC">
        <w:rPr>
          <w:b/>
        </w:rPr>
        <w:t xml:space="preserve">VISTO </w:t>
      </w:r>
      <w:r w:rsidRPr="00234CCC">
        <w:t xml:space="preserve">el expediente formado con motivo del Recurso de Revisión </w:t>
      </w:r>
      <w:r w:rsidR="004D0573" w:rsidRPr="00234CCC">
        <w:rPr>
          <w:rFonts w:eastAsia="Calibri"/>
          <w:b/>
          <w:lang w:eastAsia="en-US"/>
        </w:rPr>
        <w:t>0</w:t>
      </w:r>
      <w:r w:rsidR="00A95C00" w:rsidRPr="00234CCC">
        <w:rPr>
          <w:rFonts w:eastAsia="Calibri"/>
          <w:b/>
          <w:lang w:eastAsia="en-US"/>
        </w:rPr>
        <w:t>3402</w:t>
      </w:r>
      <w:r w:rsidR="004D0573" w:rsidRPr="00234CCC">
        <w:rPr>
          <w:rFonts w:eastAsia="Calibri"/>
          <w:b/>
          <w:lang w:eastAsia="en-US"/>
        </w:rPr>
        <w:t>/</w:t>
      </w:r>
      <w:r w:rsidRPr="00234CCC">
        <w:rPr>
          <w:rFonts w:eastAsia="Calibri"/>
          <w:b/>
          <w:lang w:eastAsia="en-US"/>
        </w:rPr>
        <w:t>INFOEM/IP/RR/</w:t>
      </w:r>
      <w:r w:rsidR="004D0573" w:rsidRPr="00234CCC">
        <w:rPr>
          <w:rFonts w:eastAsia="Calibri"/>
          <w:b/>
          <w:lang w:eastAsia="en-US"/>
        </w:rPr>
        <w:t>2024</w:t>
      </w:r>
      <w:r w:rsidRPr="00234CCC">
        <w:rPr>
          <w:rFonts w:eastAsia="Calibri"/>
          <w:lang w:eastAsia="en-US"/>
        </w:rPr>
        <w:t xml:space="preserve"> </w:t>
      </w:r>
      <w:r w:rsidRPr="00234CCC">
        <w:t xml:space="preserve">interpuesto por </w:t>
      </w:r>
      <w:r w:rsidR="00A95C00" w:rsidRPr="00234CCC">
        <w:rPr>
          <w:rFonts w:eastAsia="Palatino Linotype" w:cs="Palatino Linotype"/>
          <w:b/>
        </w:rPr>
        <w:t>una persona de manera anónima</w:t>
      </w:r>
      <w:r w:rsidR="00A95C00" w:rsidRPr="00234CCC">
        <w:rPr>
          <w:rFonts w:eastAsia="Calibri"/>
          <w:b/>
          <w:lang w:eastAsia="en-US"/>
        </w:rPr>
        <w:t>,</w:t>
      </w:r>
      <w:r w:rsidRPr="00234CCC">
        <w:t xml:space="preserve"> a quien en lo subsecuente se le denominará </w:t>
      </w:r>
      <w:r w:rsidRPr="00234CCC">
        <w:rPr>
          <w:b/>
          <w:bCs/>
        </w:rPr>
        <w:t>LA PARTE RECURRENTE</w:t>
      </w:r>
      <w:r w:rsidRPr="00234CCC">
        <w:t xml:space="preserve">, en contra de la </w:t>
      </w:r>
      <w:r w:rsidR="00773DD6" w:rsidRPr="00234CCC">
        <w:t xml:space="preserve">respuesta </w:t>
      </w:r>
      <w:r w:rsidR="00BA1AB6" w:rsidRPr="00234CCC">
        <w:t>de</w:t>
      </w:r>
      <w:r w:rsidR="005A5BF2" w:rsidRPr="00234CCC">
        <w:t>l</w:t>
      </w:r>
      <w:r w:rsidR="00773DD6" w:rsidRPr="00234CCC">
        <w:t xml:space="preserve"> </w:t>
      </w:r>
      <w:r w:rsidR="00A95C00" w:rsidRPr="00234CCC">
        <w:rPr>
          <w:b/>
          <w:bCs/>
        </w:rPr>
        <w:t>Instituto Electoral del Estado de México</w:t>
      </w:r>
      <w:r w:rsidRPr="00234CCC">
        <w:rPr>
          <w:b/>
          <w:bCs/>
        </w:rPr>
        <w:t>,</w:t>
      </w:r>
      <w:r w:rsidRPr="00234CCC">
        <w:t xml:space="preserve"> en adelante </w:t>
      </w:r>
      <w:r w:rsidRPr="00234CCC">
        <w:rPr>
          <w:b/>
          <w:bCs/>
        </w:rPr>
        <w:t>EL SUJETO OBLIGADO</w:t>
      </w:r>
      <w:r w:rsidRPr="00234CCC">
        <w:rPr>
          <w:rFonts w:eastAsia="Calibri"/>
          <w:lang w:eastAsia="en-US"/>
        </w:rPr>
        <w:t xml:space="preserve">, </w:t>
      </w:r>
      <w:r w:rsidRPr="00234CCC">
        <w:t>se emite la presente Resolución con base en los Antecedentes y Considerandos que se exponen a continuación:</w:t>
      </w:r>
    </w:p>
    <w:p w14:paraId="2116968C" w14:textId="77777777" w:rsidR="00775BFC" w:rsidRPr="00234CCC" w:rsidRDefault="00775BFC" w:rsidP="00234CCC"/>
    <w:p w14:paraId="5A444FB6" w14:textId="639D3567" w:rsidR="00664420" w:rsidRPr="00234CCC" w:rsidRDefault="00664420" w:rsidP="00234CCC">
      <w:pPr>
        <w:pStyle w:val="Ttulo1"/>
      </w:pPr>
      <w:bookmarkStart w:id="3" w:name="_Toc178874617"/>
      <w:r w:rsidRPr="00234CCC">
        <w:t>ANTECEDENTES</w:t>
      </w:r>
      <w:bookmarkEnd w:id="3"/>
    </w:p>
    <w:p w14:paraId="5CB5034E" w14:textId="77777777" w:rsidR="00AC2DB8" w:rsidRPr="00234CCC" w:rsidRDefault="00AC2DB8" w:rsidP="00234CCC"/>
    <w:p w14:paraId="09B2D38F" w14:textId="6E49D146" w:rsidR="00664420" w:rsidRPr="00234CCC" w:rsidRDefault="00E37A3F" w:rsidP="00234CCC">
      <w:pPr>
        <w:pStyle w:val="Ttulo2"/>
      </w:pPr>
      <w:bookmarkStart w:id="4" w:name="_Toc178874618"/>
      <w:r w:rsidRPr="00234CCC">
        <w:t>DE LA SOLICITUD DE INFORMACIÓN</w:t>
      </w:r>
      <w:bookmarkEnd w:id="4"/>
    </w:p>
    <w:p w14:paraId="2C6AD1A5" w14:textId="0405B3CD" w:rsidR="00664420" w:rsidRPr="00234CCC" w:rsidRDefault="00E37A3F" w:rsidP="00234CCC">
      <w:pPr>
        <w:pStyle w:val="Ttulo3"/>
      </w:pPr>
      <w:bookmarkStart w:id="5" w:name="_Toc178874619"/>
      <w:r w:rsidRPr="00234CCC">
        <w:t xml:space="preserve">a) </w:t>
      </w:r>
      <w:r w:rsidR="006B10B0" w:rsidRPr="00234CCC">
        <w:t>S</w:t>
      </w:r>
      <w:r w:rsidR="00664420" w:rsidRPr="00234CCC">
        <w:t xml:space="preserve">olicitud de </w:t>
      </w:r>
      <w:r w:rsidR="006B10B0" w:rsidRPr="00234CCC">
        <w:t>i</w:t>
      </w:r>
      <w:r w:rsidR="00664420" w:rsidRPr="00234CCC">
        <w:t>nformación</w:t>
      </w:r>
      <w:bookmarkEnd w:id="5"/>
    </w:p>
    <w:p w14:paraId="3C26397A" w14:textId="49AFBF88" w:rsidR="00B169A2" w:rsidRPr="00234CCC" w:rsidRDefault="00B169A2" w:rsidP="00234CCC">
      <w:pPr>
        <w:pStyle w:val="Prrafodelista"/>
        <w:tabs>
          <w:tab w:val="left" w:pos="0"/>
        </w:tabs>
        <w:ind w:left="0"/>
        <w:contextualSpacing w:val="0"/>
        <w:rPr>
          <w:rFonts w:cs="Tahoma"/>
        </w:rPr>
      </w:pPr>
      <w:r w:rsidRPr="00234CCC">
        <w:rPr>
          <w:rFonts w:cs="Tahoma"/>
        </w:rPr>
        <w:t xml:space="preserve">El </w:t>
      </w:r>
      <w:r w:rsidR="00A95C00" w:rsidRPr="00234CCC">
        <w:rPr>
          <w:rFonts w:cs="Tahoma"/>
          <w:b/>
          <w:bCs/>
        </w:rPr>
        <w:t>veintinueve</w:t>
      </w:r>
      <w:r w:rsidR="00A876B9" w:rsidRPr="00234CCC">
        <w:rPr>
          <w:rStyle w:val="Refdenotaalpie"/>
          <w:rFonts w:cs="Tahoma"/>
          <w:b/>
          <w:bCs/>
        </w:rPr>
        <w:footnoteReference w:id="1"/>
      </w:r>
      <w:r w:rsidR="00A95C00" w:rsidRPr="00234CCC">
        <w:rPr>
          <w:rFonts w:cs="Tahoma"/>
          <w:b/>
          <w:bCs/>
        </w:rPr>
        <w:t xml:space="preserve"> </w:t>
      </w:r>
      <w:r w:rsidR="009233A1" w:rsidRPr="00234CCC">
        <w:rPr>
          <w:rFonts w:cs="Tahoma"/>
          <w:b/>
          <w:bCs/>
        </w:rPr>
        <w:t xml:space="preserve">de </w:t>
      </w:r>
      <w:r w:rsidR="00A95C00" w:rsidRPr="00234CCC">
        <w:rPr>
          <w:rFonts w:cs="Tahoma"/>
          <w:b/>
          <w:bCs/>
        </w:rPr>
        <w:t xml:space="preserve">abril </w:t>
      </w:r>
      <w:r w:rsidRPr="00234CCC">
        <w:rPr>
          <w:rFonts w:cs="Tahoma"/>
          <w:b/>
          <w:bCs/>
        </w:rPr>
        <w:t>de dos mil veinticuatro</w:t>
      </w:r>
      <w:r w:rsidRPr="00234CCC">
        <w:rPr>
          <w:rFonts w:cs="Tahoma"/>
        </w:rPr>
        <w:t xml:space="preserve">, </w:t>
      </w:r>
      <w:r w:rsidRPr="00234CCC">
        <w:rPr>
          <w:b/>
          <w:bCs/>
        </w:rPr>
        <w:t>LA PARTE RECURRENTE</w:t>
      </w:r>
      <w:r w:rsidRPr="00234CCC">
        <w:rPr>
          <w:rFonts w:cs="Tahoma"/>
        </w:rPr>
        <w:t xml:space="preserve"> presentó una solicitud de acceso a la información pública ante el </w:t>
      </w:r>
      <w:r w:rsidRPr="00234CCC">
        <w:rPr>
          <w:rFonts w:cs="Tahoma"/>
          <w:b/>
          <w:bCs/>
        </w:rPr>
        <w:t>SUJETO OBLIGADO</w:t>
      </w:r>
      <w:r w:rsidRPr="00234CCC">
        <w:rPr>
          <w:rFonts w:cs="Tahoma"/>
        </w:rPr>
        <w:t>, a través del Sistema de Acceso a la Información Mexiquense (</w:t>
      </w:r>
      <w:r w:rsidRPr="00234CCC">
        <w:rPr>
          <w:rFonts w:cs="Tahoma"/>
          <w:b/>
        </w:rPr>
        <w:t>SAIMEX</w:t>
      </w:r>
      <w:r w:rsidRPr="00234CCC">
        <w:rPr>
          <w:rFonts w:cs="Tahoma"/>
        </w:rPr>
        <w:t>). Dicha solicitud quedó registrada con el número de folio</w:t>
      </w:r>
      <w:r w:rsidRPr="00234CCC">
        <w:rPr>
          <w:rFonts w:cs="Tahoma"/>
          <w:b/>
          <w:bCs/>
        </w:rPr>
        <w:t xml:space="preserve"> </w:t>
      </w:r>
      <w:r w:rsidR="00A95C00" w:rsidRPr="00234CCC">
        <w:rPr>
          <w:rFonts w:cs="Tahoma"/>
          <w:b/>
        </w:rPr>
        <w:t xml:space="preserve">00800/IEEM/IP/2024 </w:t>
      </w:r>
      <w:r w:rsidRPr="00234CCC">
        <w:rPr>
          <w:rFonts w:cs="Tahoma"/>
        </w:rPr>
        <w:t>y en ella se requirió la siguiente información:</w:t>
      </w:r>
    </w:p>
    <w:p w14:paraId="0459D6AC" w14:textId="77777777" w:rsidR="00664420" w:rsidRPr="00234CCC" w:rsidRDefault="00664420" w:rsidP="00234CCC">
      <w:pPr>
        <w:tabs>
          <w:tab w:val="left" w:pos="4667"/>
        </w:tabs>
        <w:ind w:left="567" w:right="567"/>
        <w:rPr>
          <w:rFonts w:cs="Tahoma"/>
          <w:b/>
          <w:bCs/>
        </w:rPr>
      </w:pPr>
    </w:p>
    <w:p w14:paraId="64B27DE3" w14:textId="15CFC67B" w:rsidR="00664420" w:rsidRPr="00234CCC" w:rsidRDefault="002B1D44" w:rsidP="00234CCC">
      <w:pPr>
        <w:pStyle w:val="Puesto"/>
      </w:pPr>
      <w:r w:rsidRPr="00234CCC">
        <w:t>“</w:t>
      </w:r>
      <w:r w:rsidR="00A95C00" w:rsidRPr="00234CCC">
        <w:t xml:space="preserve">Solicito el nombramiento como consejera propietaria no. 2 de la C. Roxana Hernández Esquivel de la Junta Municipal del IEEM No. 14 con sede en Atlacomulco y el acta de la </w:t>
      </w:r>
      <w:r w:rsidR="00A95C00" w:rsidRPr="00234CCC">
        <w:lastRenderedPageBreak/>
        <w:t xml:space="preserve">1° </w:t>
      </w:r>
      <w:proofErr w:type="spellStart"/>
      <w:r w:rsidR="00A95C00" w:rsidRPr="00234CCC">
        <w:t>Sesion</w:t>
      </w:r>
      <w:proofErr w:type="spellEnd"/>
      <w:r w:rsidR="00A95C00" w:rsidRPr="00234CCC">
        <w:t xml:space="preserve"> de </w:t>
      </w:r>
      <w:proofErr w:type="spellStart"/>
      <w:r w:rsidR="00A95C00" w:rsidRPr="00234CCC">
        <w:t>de</w:t>
      </w:r>
      <w:proofErr w:type="spellEnd"/>
      <w:r w:rsidR="00A95C00" w:rsidRPr="00234CCC">
        <w:t xml:space="preserve"> Instalación y Toma de Protesta del Consejo Municipal No. 14 del IEEM en Atlacomulco</w:t>
      </w:r>
      <w:r w:rsidRPr="00234CCC">
        <w:t>”</w:t>
      </w:r>
      <w:r w:rsidR="00BA1AB6" w:rsidRPr="00234CCC">
        <w:t xml:space="preserve"> (sic)</w:t>
      </w:r>
    </w:p>
    <w:p w14:paraId="07B1E1B5" w14:textId="77777777" w:rsidR="004D0573" w:rsidRPr="00234CCC" w:rsidRDefault="004D0573" w:rsidP="00234CCC">
      <w:pPr>
        <w:pStyle w:val="Puesto"/>
      </w:pPr>
    </w:p>
    <w:p w14:paraId="0BD6321D" w14:textId="5D8567EA" w:rsidR="00664420" w:rsidRPr="00234CCC" w:rsidRDefault="009A2D78" w:rsidP="00234CCC">
      <w:pPr>
        <w:tabs>
          <w:tab w:val="left" w:pos="4667"/>
        </w:tabs>
        <w:ind w:left="567" w:right="567"/>
        <w:rPr>
          <w:rFonts w:cs="Tahoma"/>
          <w:bCs/>
          <w:szCs w:val="22"/>
        </w:rPr>
      </w:pPr>
      <w:r w:rsidRPr="00234CCC">
        <w:rPr>
          <w:rFonts w:cs="Tahoma"/>
          <w:b/>
          <w:bCs/>
          <w:szCs w:val="22"/>
        </w:rPr>
        <w:t>Modalidad de entrega</w:t>
      </w:r>
      <w:r w:rsidRPr="00234CCC">
        <w:rPr>
          <w:rFonts w:cs="Tahoma"/>
          <w:bCs/>
          <w:szCs w:val="22"/>
        </w:rPr>
        <w:t>: a</w:t>
      </w:r>
      <w:r w:rsidR="00664420" w:rsidRPr="00234CCC">
        <w:rPr>
          <w:rFonts w:cs="Tahoma"/>
          <w:bCs/>
          <w:i/>
          <w:szCs w:val="22"/>
        </w:rPr>
        <w:t xml:space="preserve"> través del </w:t>
      </w:r>
      <w:r w:rsidR="00664420" w:rsidRPr="00234CCC">
        <w:rPr>
          <w:rFonts w:cs="Tahoma"/>
          <w:b/>
          <w:bCs/>
          <w:i/>
          <w:szCs w:val="22"/>
        </w:rPr>
        <w:t>SAIMEX</w:t>
      </w:r>
      <w:r w:rsidRPr="00234CCC">
        <w:rPr>
          <w:rFonts w:cs="Tahoma"/>
          <w:bCs/>
          <w:i/>
          <w:szCs w:val="22"/>
        </w:rPr>
        <w:t>.</w:t>
      </w:r>
    </w:p>
    <w:p w14:paraId="334D2860" w14:textId="77777777" w:rsidR="00664420" w:rsidRPr="00234CCC" w:rsidRDefault="00664420" w:rsidP="00234CCC">
      <w:pPr>
        <w:autoSpaceDE w:val="0"/>
        <w:autoSpaceDN w:val="0"/>
        <w:adjustRightInd w:val="0"/>
        <w:ind w:right="-28"/>
        <w:rPr>
          <w:rFonts w:cs="Tahoma"/>
          <w:bCs/>
          <w:i/>
          <w:szCs w:val="22"/>
        </w:rPr>
      </w:pPr>
    </w:p>
    <w:p w14:paraId="056C5E3E" w14:textId="77777777" w:rsidR="005A5BF2" w:rsidRPr="00234CCC" w:rsidRDefault="005A5BF2" w:rsidP="00234CCC">
      <w:pPr>
        <w:pStyle w:val="Ttulo3"/>
      </w:pPr>
      <w:bookmarkStart w:id="6" w:name="_Toc170932807"/>
      <w:bookmarkStart w:id="7" w:name="_Toc178874620"/>
      <w:r w:rsidRPr="00234CCC">
        <w:t>b) Turno de la solicitud de información</w:t>
      </w:r>
      <w:bookmarkEnd w:id="6"/>
      <w:bookmarkEnd w:id="7"/>
    </w:p>
    <w:p w14:paraId="296813BE" w14:textId="30D67090" w:rsidR="005A5BF2" w:rsidRPr="00234CCC" w:rsidRDefault="005A5BF2" w:rsidP="00234CCC">
      <w:r w:rsidRPr="00234CCC">
        <w:t xml:space="preserve">En cumplimiento al artículo 162 de la Ley de Transparencia y Acceso a la Información Pública del Estado de México y Municipios, el </w:t>
      </w:r>
      <w:r w:rsidR="00A95C00" w:rsidRPr="00234CCC">
        <w:rPr>
          <w:rFonts w:eastAsia="Palatino Linotype" w:cs="Palatino Linotype"/>
          <w:b/>
        </w:rPr>
        <w:t xml:space="preserve">veintinueve de abril y </w:t>
      </w:r>
      <w:r w:rsidR="00A876B9" w:rsidRPr="00234CCC">
        <w:rPr>
          <w:rFonts w:eastAsia="Palatino Linotype" w:cs="Palatino Linotype"/>
          <w:b/>
        </w:rPr>
        <w:t>veinte</w:t>
      </w:r>
      <w:r w:rsidR="00A95C00" w:rsidRPr="00234CCC">
        <w:rPr>
          <w:rFonts w:eastAsia="Palatino Linotype" w:cs="Palatino Linotype"/>
          <w:b/>
        </w:rPr>
        <w:t xml:space="preserve"> de mayo de</w:t>
      </w:r>
      <w:r w:rsidRPr="00234CCC">
        <w:rPr>
          <w:rFonts w:eastAsia="Palatino Linotype" w:cs="Palatino Linotype"/>
          <w:b/>
        </w:rPr>
        <w:t xml:space="preserve"> dos mil veinticuatro</w:t>
      </w:r>
      <w:r w:rsidRPr="00234CCC">
        <w:t xml:space="preserve">, el Titular de la Unidad de Transparencia del </w:t>
      </w:r>
      <w:r w:rsidRPr="00234CCC">
        <w:rPr>
          <w:b/>
        </w:rPr>
        <w:t>SUJETO OBLIGADO</w:t>
      </w:r>
      <w:r w:rsidRPr="00234CCC">
        <w:t xml:space="preserve"> turnó la solicitud de información al servidor público habilitado que estimó pertinente.</w:t>
      </w:r>
    </w:p>
    <w:p w14:paraId="5CAA1ECC" w14:textId="77777777" w:rsidR="005A5BF2" w:rsidRPr="00234CCC" w:rsidRDefault="005A5BF2" w:rsidP="00234CCC">
      <w:pPr>
        <w:autoSpaceDE w:val="0"/>
        <w:autoSpaceDN w:val="0"/>
        <w:adjustRightInd w:val="0"/>
        <w:ind w:right="-28"/>
        <w:rPr>
          <w:rFonts w:cs="Tahoma"/>
          <w:bCs/>
          <w:i/>
          <w:szCs w:val="22"/>
        </w:rPr>
      </w:pPr>
    </w:p>
    <w:p w14:paraId="7A3568B5" w14:textId="77777777" w:rsidR="00A95C00" w:rsidRPr="00234CCC" w:rsidRDefault="00A95C00" w:rsidP="00234CCC">
      <w:pPr>
        <w:pStyle w:val="Ttulo3"/>
        <w:rPr>
          <w:rFonts w:eastAsia="Calibri"/>
          <w:lang w:eastAsia="en-US"/>
        </w:rPr>
      </w:pPr>
      <w:bookmarkStart w:id="8" w:name="_Toc172051801"/>
      <w:bookmarkStart w:id="9" w:name="_Toc175061278"/>
      <w:bookmarkStart w:id="10" w:name="_Toc178874621"/>
      <w:r w:rsidRPr="00234CCC">
        <w:rPr>
          <w:lang w:val="es-ES"/>
        </w:rPr>
        <w:t>c) Prórroga</w:t>
      </w:r>
      <w:bookmarkEnd w:id="8"/>
      <w:bookmarkEnd w:id="9"/>
      <w:bookmarkEnd w:id="10"/>
    </w:p>
    <w:p w14:paraId="6DFEE7CE" w14:textId="6310C289" w:rsidR="00A95C00" w:rsidRPr="00234CCC" w:rsidRDefault="00A95C00" w:rsidP="00234CCC">
      <w:r w:rsidRPr="00234CCC">
        <w:t xml:space="preserve">De las constancias que obran en el SAIMEX, se advierte que el </w:t>
      </w:r>
      <w:r w:rsidRPr="00234CCC">
        <w:rPr>
          <w:b/>
          <w:bCs/>
        </w:rPr>
        <w:t>veinte de mayo de dos mil veinticuatro</w:t>
      </w:r>
      <w:r w:rsidRPr="00234CCC">
        <w:t xml:space="preserve">, </w:t>
      </w:r>
      <w:r w:rsidRPr="00234CCC">
        <w:rPr>
          <w:b/>
          <w:bCs/>
        </w:rPr>
        <w:t>EL SUJETO OBLIGADO</w:t>
      </w:r>
      <w:r w:rsidRPr="00234CCC">
        <w:t xml:space="preserve"> notificó una prórroga de siete días para dar respuesta a la solicitud de información planteada por </w:t>
      </w:r>
      <w:r w:rsidRPr="00234CCC">
        <w:rPr>
          <w:b/>
          <w:bCs/>
        </w:rPr>
        <w:t>LA PARTE RECURRENTE</w:t>
      </w:r>
      <w:r w:rsidRPr="00234CCC">
        <w:t>, en los siguientes términos:</w:t>
      </w:r>
    </w:p>
    <w:p w14:paraId="670FB402" w14:textId="77777777" w:rsidR="00A95C00" w:rsidRPr="00234CCC" w:rsidRDefault="00A95C00" w:rsidP="00234CCC"/>
    <w:p w14:paraId="52CEC280" w14:textId="77777777" w:rsidR="00A95C00" w:rsidRPr="00234CCC" w:rsidRDefault="00A95C00" w:rsidP="00234CCC">
      <w:pPr>
        <w:pStyle w:val="Puesto"/>
      </w:pPr>
      <w:r w:rsidRPr="00234CCC">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p w14:paraId="7AC26149" w14:textId="77777777" w:rsidR="00A95C00" w:rsidRPr="00234CCC" w:rsidRDefault="00A95C00" w:rsidP="00234CCC"/>
    <w:p w14:paraId="6108773F" w14:textId="77777777" w:rsidR="00A95C00" w:rsidRPr="00234CCC" w:rsidRDefault="00A95C00" w:rsidP="00234CCC">
      <w:pPr>
        <w:pStyle w:val="Puesto"/>
      </w:pPr>
      <w:r w:rsidRPr="00234CCC">
        <w:t>Con fundamento en lo establecido en el artículo 163, segundo párrafo de la Ley de Transparencia y Acceso a la Información Pública del Estado de México y Municipios, se autoriza la ampliación de plazo para otorgar respuesta a la solicitud de información, de conformidad con el acuerdo aprobado por el Comité de Transparencia que se adjunta.</w:t>
      </w:r>
    </w:p>
    <w:p w14:paraId="0E1B361E" w14:textId="77777777" w:rsidR="00A95C00" w:rsidRPr="00234CCC" w:rsidRDefault="00A95C00" w:rsidP="00234CCC"/>
    <w:p w14:paraId="1CD3A86C" w14:textId="77777777" w:rsidR="00A95C00" w:rsidRPr="00234CCC" w:rsidRDefault="00A95C00" w:rsidP="00234CCC">
      <w:pPr>
        <w:pStyle w:val="Puesto"/>
      </w:pPr>
      <w:r w:rsidRPr="00234CCC">
        <w:t>MAESTRA LILIBETH ÁLVAREZ RODRÍGUEZ</w:t>
      </w:r>
    </w:p>
    <w:p w14:paraId="13A8FEFE" w14:textId="7EF0E65C" w:rsidR="00A95C00" w:rsidRPr="00234CCC" w:rsidRDefault="00A95C00" w:rsidP="00234CCC">
      <w:pPr>
        <w:pStyle w:val="Puesto"/>
      </w:pPr>
      <w:r w:rsidRPr="00234CCC">
        <w:rPr>
          <w:b/>
        </w:rPr>
        <w:t>Responsable de la Unidad de Transparencia</w:t>
      </w:r>
      <w:r w:rsidRPr="00234CCC">
        <w:t>”</w:t>
      </w:r>
    </w:p>
    <w:p w14:paraId="554B0926" w14:textId="77777777" w:rsidR="00A95C00" w:rsidRPr="00234CCC" w:rsidRDefault="00A95C00" w:rsidP="00234CCC"/>
    <w:p w14:paraId="4AFBDE10" w14:textId="779CA070" w:rsidR="00A95C00" w:rsidRPr="00234CCC" w:rsidRDefault="00A95C00" w:rsidP="00234CCC">
      <w:r w:rsidRPr="00234CCC">
        <w:lastRenderedPageBreak/>
        <w:t xml:space="preserve">Asimismo, en el expediente que obra en el </w:t>
      </w:r>
      <w:r w:rsidRPr="00234CCC">
        <w:rPr>
          <w:b/>
        </w:rPr>
        <w:t>SAIMEX</w:t>
      </w:r>
      <w:r w:rsidRPr="00234CCC">
        <w:t xml:space="preserve"> se advierte que </w:t>
      </w:r>
      <w:r w:rsidRPr="00234CCC">
        <w:rPr>
          <w:b/>
        </w:rPr>
        <w:t>EL SUJETO OBLIGADO</w:t>
      </w:r>
      <w:r w:rsidRPr="00234CCC">
        <w:t xml:space="preserve"> acompañó a la solicitud de prórroga el archivo electrónico denominado </w:t>
      </w:r>
      <w:r w:rsidRPr="00234CCC">
        <w:rPr>
          <w:b/>
        </w:rPr>
        <w:t>Acuerdo IEEM-CT-113-2024.pdf</w:t>
      </w:r>
      <w:r w:rsidRPr="00234CCC">
        <w:t>, el cual contiene el Acuerdo número IEEM/CT/113/2024, por medio del cual el Comité de Transparencia aprobó la ampliación de plazo para dar respuesta a la solicitud de información.</w:t>
      </w:r>
    </w:p>
    <w:p w14:paraId="26ADF24E" w14:textId="77777777" w:rsidR="00A95C00" w:rsidRPr="00234CCC" w:rsidRDefault="00A95C00" w:rsidP="00234CCC">
      <w:pPr>
        <w:autoSpaceDE w:val="0"/>
        <w:autoSpaceDN w:val="0"/>
        <w:adjustRightInd w:val="0"/>
        <w:ind w:right="-28"/>
        <w:rPr>
          <w:rFonts w:cs="Tahoma"/>
          <w:bCs/>
          <w:i/>
          <w:szCs w:val="22"/>
        </w:rPr>
      </w:pPr>
    </w:p>
    <w:p w14:paraId="3212BA4D" w14:textId="49B0E845" w:rsidR="00664420" w:rsidRPr="00234CCC" w:rsidRDefault="00A95C00" w:rsidP="00234CCC">
      <w:pPr>
        <w:pStyle w:val="Ttulo3"/>
      </w:pPr>
      <w:bookmarkStart w:id="11" w:name="_Toc165402857"/>
      <w:bookmarkStart w:id="12" w:name="_Toc178874622"/>
      <w:r w:rsidRPr="00234CCC">
        <w:t>d</w:t>
      </w:r>
      <w:r w:rsidR="00B169A2" w:rsidRPr="00234CCC">
        <w:t xml:space="preserve">) </w:t>
      </w:r>
      <w:bookmarkEnd w:id="11"/>
      <w:r w:rsidR="00664420" w:rsidRPr="00234CCC">
        <w:rPr>
          <w:lang w:val="es-ES"/>
        </w:rPr>
        <w:t xml:space="preserve">Respuesta </w:t>
      </w:r>
      <w:r w:rsidR="00664420" w:rsidRPr="00234CCC">
        <w:rPr>
          <w:rFonts w:eastAsia="Calibri"/>
          <w:lang w:eastAsia="en-US"/>
        </w:rPr>
        <w:t>del Sujeto Obligado</w:t>
      </w:r>
      <w:bookmarkEnd w:id="12"/>
    </w:p>
    <w:p w14:paraId="2143017E" w14:textId="1B6A5C97" w:rsidR="00BA1AB6" w:rsidRPr="00234CCC" w:rsidRDefault="003B0255" w:rsidP="00234CCC">
      <w:pPr>
        <w:rPr>
          <w:lang w:val="es-ES"/>
        </w:rPr>
      </w:pPr>
      <w:r w:rsidRPr="00234CCC">
        <w:rPr>
          <w:lang w:val="es-ES"/>
        </w:rPr>
        <w:t xml:space="preserve">El </w:t>
      </w:r>
      <w:r w:rsidR="00A95C00" w:rsidRPr="00234CCC">
        <w:rPr>
          <w:b/>
          <w:bCs/>
          <w:lang w:val="es-ES"/>
        </w:rPr>
        <w:t>treinta de mayo d</w:t>
      </w:r>
      <w:r w:rsidRPr="00234CCC">
        <w:rPr>
          <w:b/>
          <w:bCs/>
          <w:lang w:val="es-ES"/>
        </w:rPr>
        <w:t>e dos mil veinticuatro</w:t>
      </w:r>
      <w:r w:rsidRPr="00234CCC">
        <w:rPr>
          <w:lang w:val="es-ES"/>
        </w:rPr>
        <w:t xml:space="preserve">, el Titular de la Unidad de Transparencia del </w:t>
      </w:r>
      <w:r w:rsidRPr="00234CCC">
        <w:rPr>
          <w:b/>
          <w:lang w:val="es-ES"/>
        </w:rPr>
        <w:t>SUJETO OBLIGADO</w:t>
      </w:r>
      <w:r w:rsidRPr="00234CCC">
        <w:rPr>
          <w:lang w:val="es-ES"/>
        </w:rPr>
        <w:t xml:space="preserve"> notificó la siguiente respuesta a través del </w:t>
      </w:r>
      <w:r w:rsidRPr="00234CCC">
        <w:rPr>
          <w:b/>
          <w:lang w:val="es-ES"/>
        </w:rPr>
        <w:t>SAIMEX</w:t>
      </w:r>
      <w:r w:rsidRPr="00234CCC">
        <w:rPr>
          <w:lang w:val="es-ES"/>
        </w:rPr>
        <w:t>:</w:t>
      </w:r>
    </w:p>
    <w:p w14:paraId="64166B4B" w14:textId="77777777" w:rsidR="003B0255" w:rsidRPr="00234CCC" w:rsidRDefault="003B0255" w:rsidP="00234CCC"/>
    <w:p w14:paraId="37B57883" w14:textId="77777777" w:rsidR="00A95C00" w:rsidRPr="00234CCC" w:rsidRDefault="003B0255" w:rsidP="00234CCC">
      <w:pPr>
        <w:pStyle w:val="Puesto"/>
      </w:pPr>
      <w:r w:rsidRPr="00234CCC">
        <w:t>“</w:t>
      </w:r>
      <w:r w:rsidR="00A95C00" w:rsidRPr="00234CCC">
        <w:t>En respuesta a la solicitud recibida, nos permitimos hacer de su conocimiento que con fundamento en el artículo 53, Fracciones: II, V y VI de la Ley de Transparencia y Acceso a la Información Pública del Estado de México y Municipios, le contestamos que:</w:t>
      </w:r>
    </w:p>
    <w:p w14:paraId="019283C6" w14:textId="77777777" w:rsidR="00A95C00" w:rsidRPr="00234CCC" w:rsidRDefault="00A95C00" w:rsidP="00234CCC"/>
    <w:p w14:paraId="47DCFE60" w14:textId="77777777" w:rsidR="00A95C00" w:rsidRPr="00234CCC" w:rsidRDefault="00A95C00" w:rsidP="00234CCC">
      <w:pPr>
        <w:pStyle w:val="Puesto"/>
      </w:pPr>
      <w:r w:rsidRPr="00234CCC">
        <w:t>Se adjunta respuesta a su solicitud de información.</w:t>
      </w:r>
    </w:p>
    <w:p w14:paraId="6CD606D0" w14:textId="77777777" w:rsidR="00A95C00" w:rsidRPr="00234CCC" w:rsidRDefault="00A95C00" w:rsidP="00234CCC"/>
    <w:p w14:paraId="041778FA" w14:textId="77777777" w:rsidR="00A95C00" w:rsidRPr="00234CCC" w:rsidRDefault="00A95C00" w:rsidP="00234CCC">
      <w:pPr>
        <w:pStyle w:val="Puesto"/>
      </w:pPr>
      <w:r w:rsidRPr="00234CCC">
        <w:t>ATENTAMENTE</w:t>
      </w:r>
    </w:p>
    <w:p w14:paraId="69D04921" w14:textId="77777777" w:rsidR="00A95C00" w:rsidRPr="00234CCC" w:rsidRDefault="00A95C00" w:rsidP="00234CCC"/>
    <w:p w14:paraId="4A08B1BE" w14:textId="1388C8F8" w:rsidR="003B0255" w:rsidRPr="00234CCC" w:rsidRDefault="00A95C00" w:rsidP="00234CCC">
      <w:pPr>
        <w:pStyle w:val="Puesto"/>
      </w:pPr>
      <w:r w:rsidRPr="00234CCC">
        <w:t>MAESTRA LILIBETH ÁLVAREZ RODRÍGUEZ</w:t>
      </w:r>
      <w:r w:rsidR="003B0255" w:rsidRPr="00234CCC">
        <w:t>” (sic)</w:t>
      </w:r>
    </w:p>
    <w:p w14:paraId="4B1F18A0" w14:textId="77777777" w:rsidR="003B0255" w:rsidRPr="00234CCC" w:rsidRDefault="003B0255" w:rsidP="00234CCC"/>
    <w:p w14:paraId="02FB3263" w14:textId="7150EEEB" w:rsidR="00A95C00" w:rsidRPr="00234CCC" w:rsidRDefault="003B0255" w:rsidP="00234CCC">
      <w:pPr>
        <w:autoSpaceDE w:val="0"/>
        <w:autoSpaceDN w:val="0"/>
        <w:adjustRightInd w:val="0"/>
        <w:ind w:right="-28"/>
        <w:rPr>
          <w:rFonts w:cs="Tahoma"/>
          <w:szCs w:val="22"/>
          <w:lang w:val="es-ES"/>
        </w:rPr>
      </w:pPr>
      <w:r w:rsidRPr="00234CCC">
        <w:rPr>
          <w:rFonts w:cs="Tahoma"/>
          <w:bCs/>
          <w:szCs w:val="22"/>
          <w:lang w:val="es-ES"/>
        </w:rPr>
        <w:t xml:space="preserve">Asimismo, </w:t>
      </w:r>
      <w:r w:rsidRPr="00234CCC">
        <w:rPr>
          <w:rFonts w:cs="Tahoma"/>
          <w:b/>
          <w:szCs w:val="22"/>
          <w:lang w:val="es-ES"/>
        </w:rPr>
        <w:t xml:space="preserve">EL SUJETO OBLIGADO </w:t>
      </w:r>
      <w:r w:rsidRPr="00234CCC">
        <w:rPr>
          <w:rFonts w:cs="Tahoma"/>
          <w:bCs/>
          <w:szCs w:val="22"/>
          <w:lang w:val="es-ES"/>
        </w:rPr>
        <w:t xml:space="preserve">adjuntó a su respuesta </w:t>
      </w:r>
      <w:r w:rsidR="00A95C00" w:rsidRPr="00234CCC">
        <w:rPr>
          <w:rFonts w:cs="Tahoma"/>
          <w:bCs/>
          <w:szCs w:val="22"/>
          <w:lang w:val="es-ES"/>
        </w:rPr>
        <w:t xml:space="preserve">la carpeta comprimida denominada </w:t>
      </w:r>
      <w:r w:rsidR="00A95C00" w:rsidRPr="00234CCC">
        <w:rPr>
          <w:rFonts w:cs="Tahoma"/>
          <w:b/>
          <w:i/>
          <w:szCs w:val="22"/>
          <w:lang w:val="es-ES"/>
        </w:rPr>
        <w:t xml:space="preserve">800.rar, </w:t>
      </w:r>
      <w:r w:rsidR="00A95C00" w:rsidRPr="00234CCC">
        <w:rPr>
          <w:rFonts w:cs="Tahoma"/>
          <w:szCs w:val="22"/>
          <w:lang w:val="es-ES"/>
        </w:rPr>
        <w:t xml:space="preserve">la cual contiene los siguientes documentos: </w:t>
      </w:r>
    </w:p>
    <w:p w14:paraId="48EAAA47" w14:textId="77777777" w:rsidR="00A95C00" w:rsidRPr="00234CCC" w:rsidRDefault="00A95C00" w:rsidP="00234CCC">
      <w:pPr>
        <w:autoSpaceDE w:val="0"/>
        <w:autoSpaceDN w:val="0"/>
        <w:adjustRightInd w:val="0"/>
        <w:ind w:right="-28"/>
        <w:rPr>
          <w:rFonts w:cs="Tahoma"/>
          <w:szCs w:val="22"/>
          <w:lang w:val="es-ES"/>
        </w:rPr>
      </w:pPr>
    </w:p>
    <w:p w14:paraId="397E82BD" w14:textId="0C75CD08" w:rsidR="00405E2F" w:rsidRPr="00234CCC" w:rsidRDefault="00405E2F" w:rsidP="00234CCC">
      <w:pPr>
        <w:pStyle w:val="Prrafodelista"/>
        <w:numPr>
          <w:ilvl w:val="0"/>
          <w:numId w:val="39"/>
        </w:numPr>
        <w:autoSpaceDE w:val="0"/>
        <w:autoSpaceDN w:val="0"/>
        <w:adjustRightInd w:val="0"/>
        <w:ind w:right="-28"/>
        <w:rPr>
          <w:rFonts w:cs="Tahoma"/>
          <w:b/>
          <w:szCs w:val="22"/>
          <w:lang w:val="es-ES"/>
        </w:rPr>
      </w:pPr>
      <w:r w:rsidRPr="00234CCC">
        <w:rPr>
          <w:rFonts w:cs="Tahoma"/>
          <w:b/>
          <w:szCs w:val="22"/>
          <w:lang w:val="es-ES"/>
        </w:rPr>
        <w:t xml:space="preserve">Acuerdo IEEM-CT-139-2024.pdf, </w:t>
      </w:r>
      <w:r w:rsidRPr="00234CCC">
        <w:rPr>
          <w:rFonts w:cs="Tahoma"/>
          <w:szCs w:val="22"/>
          <w:lang w:val="es-ES"/>
        </w:rPr>
        <w:t xml:space="preserve">el cual contiene el Acuerdo número IEEM/CT/139/2024, por medio del cual el Comité de Transparencia aprobó el cambio de modalidad, para dar respuesta a solicitud materia de estudio, entre otras. </w:t>
      </w:r>
    </w:p>
    <w:p w14:paraId="36338B96" w14:textId="32FD0C8A" w:rsidR="00405E2F" w:rsidRPr="00234CCC" w:rsidRDefault="00405E2F" w:rsidP="00234CCC">
      <w:pPr>
        <w:pStyle w:val="Prrafodelista"/>
        <w:numPr>
          <w:ilvl w:val="0"/>
          <w:numId w:val="39"/>
        </w:numPr>
        <w:autoSpaceDE w:val="0"/>
        <w:autoSpaceDN w:val="0"/>
        <w:adjustRightInd w:val="0"/>
        <w:ind w:right="-28"/>
        <w:rPr>
          <w:rFonts w:cs="Tahoma"/>
          <w:b/>
          <w:szCs w:val="22"/>
          <w:lang w:val="es-ES"/>
        </w:rPr>
      </w:pPr>
      <w:r w:rsidRPr="00234CCC">
        <w:rPr>
          <w:rFonts w:cs="Tahoma"/>
          <w:b/>
          <w:szCs w:val="22"/>
          <w:lang w:val="es-ES"/>
        </w:rPr>
        <w:t xml:space="preserve">Acuerdo IEEM-CT-141-2024.pdf, </w:t>
      </w:r>
      <w:r w:rsidRPr="00234CCC">
        <w:rPr>
          <w:rFonts w:cs="Tahoma"/>
          <w:szCs w:val="22"/>
          <w:lang w:val="es-ES"/>
        </w:rPr>
        <w:t>el cual contiene el Acuerdo número IEEM/CT/1</w:t>
      </w:r>
      <w:r w:rsidR="007D02E9" w:rsidRPr="00234CCC">
        <w:rPr>
          <w:rFonts w:cs="Tahoma"/>
          <w:szCs w:val="22"/>
          <w:lang w:val="es-ES"/>
        </w:rPr>
        <w:t>41</w:t>
      </w:r>
      <w:r w:rsidRPr="00234CCC">
        <w:rPr>
          <w:rFonts w:cs="Tahoma"/>
          <w:szCs w:val="22"/>
          <w:lang w:val="es-ES"/>
        </w:rPr>
        <w:t>/2024, por medio del cual el Comité de Transparencia aprobó</w:t>
      </w:r>
      <w:r w:rsidR="007D02E9" w:rsidRPr="00234CCC">
        <w:rPr>
          <w:rFonts w:cs="Tahoma"/>
          <w:szCs w:val="22"/>
          <w:lang w:val="es-ES"/>
        </w:rPr>
        <w:t xml:space="preserve"> la </w:t>
      </w:r>
      <w:r w:rsidR="007D02E9" w:rsidRPr="00234CCC">
        <w:rPr>
          <w:rFonts w:cs="Tahoma"/>
          <w:szCs w:val="22"/>
          <w:lang w:val="es-ES"/>
        </w:rPr>
        <w:lastRenderedPageBreak/>
        <w:t xml:space="preserve">clasificación de información confidencial para otorgar la respuesta a la solicitud materia de estudio, entre otras. </w:t>
      </w:r>
    </w:p>
    <w:p w14:paraId="30D6E014" w14:textId="2E70EDFC" w:rsidR="007D02E9" w:rsidRPr="00234CCC" w:rsidRDefault="007D02E9" w:rsidP="00234CCC">
      <w:pPr>
        <w:pStyle w:val="Prrafodelista"/>
        <w:numPr>
          <w:ilvl w:val="0"/>
          <w:numId w:val="39"/>
        </w:numPr>
        <w:autoSpaceDE w:val="0"/>
        <w:autoSpaceDN w:val="0"/>
        <w:adjustRightInd w:val="0"/>
        <w:ind w:right="-28"/>
        <w:rPr>
          <w:rFonts w:cs="Tahoma"/>
          <w:b/>
          <w:szCs w:val="22"/>
          <w:lang w:val="es-ES"/>
        </w:rPr>
      </w:pPr>
      <w:r w:rsidRPr="00234CCC">
        <w:rPr>
          <w:rFonts w:cs="Tahoma"/>
          <w:b/>
          <w:szCs w:val="22"/>
          <w:lang w:val="es-ES"/>
        </w:rPr>
        <w:t xml:space="preserve">CALENDARIO DO.pdf, </w:t>
      </w:r>
      <w:r w:rsidRPr="00234CCC">
        <w:rPr>
          <w:rFonts w:cs="Tahoma"/>
          <w:szCs w:val="22"/>
          <w:lang w:val="es-ES"/>
        </w:rPr>
        <w:t xml:space="preserve">el cual corresponde al calendario para consulta directa de la información a la solicitud materia de estudio, entre otras. </w:t>
      </w:r>
    </w:p>
    <w:p w14:paraId="1E4768D3" w14:textId="16A3B808" w:rsidR="00405E2F" w:rsidRPr="00234CCC" w:rsidRDefault="007D02E9" w:rsidP="00234CCC">
      <w:pPr>
        <w:pStyle w:val="Prrafodelista"/>
        <w:numPr>
          <w:ilvl w:val="0"/>
          <w:numId w:val="39"/>
        </w:numPr>
        <w:autoSpaceDE w:val="0"/>
        <w:autoSpaceDN w:val="0"/>
        <w:adjustRightInd w:val="0"/>
        <w:ind w:right="-28"/>
        <w:rPr>
          <w:rFonts w:cs="Tahoma"/>
          <w:b/>
          <w:szCs w:val="22"/>
          <w:lang w:val="es-ES"/>
        </w:rPr>
      </w:pPr>
      <w:r w:rsidRPr="00234CCC">
        <w:rPr>
          <w:rFonts w:cs="Tahoma"/>
          <w:b/>
          <w:szCs w:val="22"/>
          <w:lang w:val="es-ES"/>
        </w:rPr>
        <w:t xml:space="preserve">IEEM-DA-3215-2024.pdf, </w:t>
      </w:r>
      <w:r w:rsidRPr="00234CCC">
        <w:rPr>
          <w:rFonts w:cs="Tahoma"/>
          <w:szCs w:val="22"/>
          <w:lang w:val="es-ES"/>
        </w:rPr>
        <w:t xml:space="preserve">el cual contiene el oficio número IEEM/DA/3215/2024 del dos de mayo de dos mil veinticuatro, por medio del cual el encargado del despacho de la Dirección de Administración, refiere que de una búsqueda exhaustiva en los archivos de Personal adscrito a la Dirección, no se localizó información al respecto. </w:t>
      </w:r>
    </w:p>
    <w:p w14:paraId="21D7C08F" w14:textId="74C38E03" w:rsidR="007D02E9" w:rsidRPr="00234CCC" w:rsidRDefault="007D02E9" w:rsidP="00234CCC">
      <w:pPr>
        <w:pStyle w:val="Prrafodelista"/>
        <w:numPr>
          <w:ilvl w:val="0"/>
          <w:numId w:val="39"/>
        </w:numPr>
        <w:autoSpaceDE w:val="0"/>
        <w:autoSpaceDN w:val="0"/>
        <w:adjustRightInd w:val="0"/>
        <w:ind w:right="-28"/>
        <w:rPr>
          <w:rFonts w:cs="Tahoma"/>
          <w:b/>
          <w:szCs w:val="22"/>
          <w:lang w:val="es-ES"/>
        </w:rPr>
      </w:pPr>
      <w:r w:rsidRPr="00234CCC">
        <w:rPr>
          <w:rFonts w:cs="Tahoma"/>
          <w:b/>
          <w:szCs w:val="22"/>
          <w:lang w:val="es-ES"/>
        </w:rPr>
        <w:t xml:space="preserve">OFICIO RESPUESTA 721 Y ACUMULADAS-2024 UT.pdf, </w:t>
      </w:r>
      <w:r w:rsidRPr="00234CCC">
        <w:rPr>
          <w:rFonts w:cs="Tahoma"/>
          <w:szCs w:val="22"/>
          <w:lang w:val="es-ES"/>
        </w:rPr>
        <w:t xml:space="preserve">el cual contiene el oficio núme4ro IEEM/UT/1696/2024 del veinticuatro de mayo de dos mil veinticuatro, por medio del cual la Jefa de la Unidad de Transparencia refiere adjuntar respuestas emitidas por las personas servidoras públicas habilitadas responsables de la información. </w:t>
      </w:r>
    </w:p>
    <w:p w14:paraId="1D814C6B" w14:textId="09814907" w:rsidR="00670DFF" w:rsidRPr="00234CCC" w:rsidRDefault="00670DFF" w:rsidP="00234CCC">
      <w:pPr>
        <w:pStyle w:val="Prrafodelista"/>
        <w:numPr>
          <w:ilvl w:val="0"/>
          <w:numId w:val="39"/>
        </w:numPr>
        <w:autoSpaceDE w:val="0"/>
        <w:autoSpaceDN w:val="0"/>
        <w:adjustRightInd w:val="0"/>
        <w:ind w:right="-28"/>
        <w:rPr>
          <w:rFonts w:cs="Tahoma"/>
          <w:b/>
          <w:szCs w:val="22"/>
          <w:lang w:val="es-ES"/>
        </w:rPr>
      </w:pPr>
      <w:r w:rsidRPr="00234CCC">
        <w:rPr>
          <w:rFonts w:cs="Tahoma"/>
          <w:b/>
          <w:szCs w:val="22"/>
          <w:lang w:val="es-ES"/>
        </w:rPr>
        <w:t xml:space="preserve">OFICIO RESPUESTA DO.pdf, </w:t>
      </w:r>
      <w:r w:rsidRPr="00234CCC">
        <w:rPr>
          <w:rFonts w:cs="Tahoma"/>
          <w:szCs w:val="22"/>
          <w:lang w:val="es-ES"/>
        </w:rPr>
        <w:t xml:space="preserve">el cual contiene el oficio número IEEM/DO/5478/2024 del veinte de mayo de dos mil veinticuatro, por medio del cual el Director de Organización, refiere que se encuentra en imposibilidad administrativa y humana para hacer entrega de la información  y dar respuesta en la modalidad solicitada, dado que las actividades que realiza la Dirección de Organización son numerosas, extensas pero además fundamentales en varios tramos del proceso electoral; por lo que se requieren de toda la atención , capacidad y </w:t>
      </w:r>
      <w:proofErr w:type="spellStart"/>
      <w:r w:rsidRPr="00234CCC">
        <w:rPr>
          <w:rFonts w:cs="Tahoma"/>
          <w:szCs w:val="22"/>
          <w:lang w:val="es-ES"/>
        </w:rPr>
        <w:t>expertise</w:t>
      </w:r>
      <w:proofErr w:type="spellEnd"/>
      <w:r w:rsidRPr="00234CCC">
        <w:rPr>
          <w:rFonts w:cs="Tahoma"/>
          <w:szCs w:val="22"/>
          <w:lang w:val="es-ES"/>
        </w:rPr>
        <w:t xml:space="preserve"> para cumplir a cabalidad con las tareas encomendadas; ya que, durante un periodo de tiempo fueron presentadas 1,300 solicitudes de las cuales 810 corresponden a requerimientos de dicha Dirección.  Asimismo se encuentra humanamente imposibilitada cuenta con 152 personal permanente y eventual el cual ya se encuentra organizado para actividades fundamentales de los actos preparatorios de la elección. </w:t>
      </w:r>
    </w:p>
    <w:p w14:paraId="2EB31AD8" w14:textId="62C9EB85" w:rsidR="00DA5A30" w:rsidRPr="00234CCC" w:rsidRDefault="00DA5A30" w:rsidP="00234CCC">
      <w:pPr>
        <w:pStyle w:val="Prrafodelista"/>
        <w:numPr>
          <w:ilvl w:val="0"/>
          <w:numId w:val="39"/>
        </w:numPr>
        <w:autoSpaceDE w:val="0"/>
        <w:autoSpaceDN w:val="0"/>
        <w:adjustRightInd w:val="0"/>
        <w:ind w:right="-28"/>
        <w:rPr>
          <w:rFonts w:cs="Tahoma"/>
          <w:b/>
          <w:szCs w:val="22"/>
          <w:lang w:val="es-ES"/>
        </w:rPr>
      </w:pPr>
      <w:r w:rsidRPr="00234CCC">
        <w:rPr>
          <w:rFonts w:cs="Tahoma"/>
          <w:b/>
          <w:szCs w:val="22"/>
          <w:lang w:val="es-ES"/>
        </w:rPr>
        <w:lastRenderedPageBreak/>
        <w:t xml:space="preserve">Procedimiento.pdf, </w:t>
      </w:r>
      <w:r w:rsidRPr="00234CCC">
        <w:rPr>
          <w:rFonts w:cs="Tahoma"/>
          <w:szCs w:val="22"/>
          <w:lang w:val="es-ES"/>
        </w:rPr>
        <w:t xml:space="preserve">el cual contiene el procedimiento para las recepción de los recursos derivados del cobro por concepto de reproducción o modalidad de entrega solicitada de documentos destinados a la atención a solicitudes de información pública y derechos ARCO. </w:t>
      </w:r>
    </w:p>
    <w:p w14:paraId="3919D547" w14:textId="77777777" w:rsidR="007D02E9" w:rsidRPr="00234CCC" w:rsidRDefault="007D02E9" w:rsidP="00234CCC">
      <w:pPr>
        <w:autoSpaceDE w:val="0"/>
        <w:autoSpaceDN w:val="0"/>
        <w:adjustRightInd w:val="0"/>
        <w:ind w:right="-28"/>
        <w:rPr>
          <w:rFonts w:cs="Tahoma"/>
          <w:b/>
          <w:szCs w:val="22"/>
          <w:lang w:val="es-ES"/>
        </w:rPr>
      </w:pPr>
    </w:p>
    <w:p w14:paraId="0F24A322" w14:textId="7F9E5F9A" w:rsidR="00B137E8" w:rsidRPr="00234CCC" w:rsidRDefault="00B137E8" w:rsidP="00234CCC">
      <w:pPr>
        <w:pStyle w:val="Ttulo2"/>
        <w:jc w:val="left"/>
      </w:pPr>
      <w:bookmarkStart w:id="13" w:name="_Toc171527280"/>
      <w:bookmarkStart w:id="14" w:name="_Toc178874623"/>
      <w:r w:rsidRPr="00234CCC">
        <w:t>DEL RECURSO DE REVISIÓN</w:t>
      </w:r>
      <w:bookmarkEnd w:id="13"/>
      <w:bookmarkEnd w:id="14"/>
    </w:p>
    <w:p w14:paraId="2B216813" w14:textId="61ADBB2B" w:rsidR="00664420" w:rsidRPr="00234CCC" w:rsidRDefault="006E25BC" w:rsidP="00234CCC">
      <w:pPr>
        <w:pStyle w:val="Ttulo3"/>
      </w:pPr>
      <w:bookmarkStart w:id="15" w:name="_Toc178874624"/>
      <w:r w:rsidRPr="00234CCC">
        <w:rPr>
          <w:szCs w:val="32"/>
        </w:rPr>
        <w:t>a)</w:t>
      </w:r>
      <w:r w:rsidRPr="00234CCC">
        <w:t xml:space="preserve"> </w:t>
      </w:r>
      <w:r w:rsidR="00664420" w:rsidRPr="00234CCC">
        <w:t>Interposición del Recurso de Revisión</w:t>
      </w:r>
      <w:bookmarkEnd w:id="15"/>
    </w:p>
    <w:p w14:paraId="6279C622" w14:textId="0AD12674" w:rsidR="00664420" w:rsidRPr="00234CCC" w:rsidRDefault="00664420" w:rsidP="00234CCC">
      <w:pPr>
        <w:autoSpaceDE w:val="0"/>
        <w:autoSpaceDN w:val="0"/>
        <w:adjustRightInd w:val="0"/>
        <w:ind w:right="-28"/>
        <w:rPr>
          <w:rFonts w:cs="Tahoma"/>
          <w:szCs w:val="22"/>
        </w:rPr>
      </w:pPr>
      <w:r w:rsidRPr="00234CCC">
        <w:rPr>
          <w:rFonts w:cs="Tahoma"/>
          <w:szCs w:val="22"/>
        </w:rPr>
        <w:t xml:space="preserve">El </w:t>
      </w:r>
      <w:r w:rsidR="00DA5A30" w:rsidRPr="00234CCC">
        <w:rPr>
          <w:rFonts w:cs="Tahoma"/>
          <w:b/>
          <w:bCs/>
          <w:szCs w:val="22"/>
        </w:rPr>
        <w:t>treinta y uno de mayo d</w:t>
      </w:r>
      <w:r w:rsidR="00475FF6" w:rsidRPr="00234CCC">
        <w:rPr>
          <w:rFonts w:cs="Tahoma"/>
          <w:b/>
          <w:bCs/>
          <w:szCs w:val="22"/>
        </w:rPr>
        <w:t xml:space="preserve">e </w:t>
      </w:r>
      <w:r w:rsidRPr="00234CCC">
        <w:rPr>
          <w:rFonts w:cs="Tahoma"/>
          <w:b/>
          <w:bCs/>
          <w:szCs w:val="22"/>
        </w:rPr>
        <w:t>dos mil</w:t>
      </w:r>
      <w:r w:rsidR="00F45902" w:rsidRPr="00234CCC">
        <w:rPr>
          <w:rFonts w:cs="Tahoma"/>
          <w:b/>
          <w:bCs/>
          <w:szCs w:val="22"/>
        </w:rPr>
        <w:t xml:space="preserve"> veinticuatro</w:t>
      </w:r>
      <w:r w:rsidRPr="00234CCC">
        <w:rPr>
          <w:rFonts w:cs="Tahoma"/>
          <w:szCs w:val="22"/>
        </w:rPr>
        <w:t xml:space="preserve"> </w:t>
      </w:r>
      <w:r w:rsidR="00F75D23" w:rsidRPr="00234CCC">
        <w:rPr>
          <w:rFonts w:cs="Tahoma"/>
          <w:b/>
          <w:bCs/>
          <w:szCs w:val="22"/>
        </w:rPr>
        <w:t>LA PARTE RECURRENTE</w:t>
      </w:r>
      <w:r w:rsidR="00F75D23" w:rsidRPr="00234CCC">
        <w:rPr>
          <w:rFonts w:cs="Tahoma"/>
          <w:szCs w:val="22"/>
        </w:rPr>
        <w:t xml:space="preserve"> interpuso el recurso de revisión en contra de la respuesta emitida por el </w:t>
      </w:r>
      <w:r w:rsidR="00F75D23" w:rsidRPr="00234CCC">
        <w:rPr>
          <w:rFonts w:cs="Tahoma"/>
          <w:b/>
          <w:bCs/>
          <w:szCs w:val="22"/>
        </w:rPr>
        <w:t>SUJETO OBLIGADO</w:t>
      </w:r>
      <w:r w:rsidR="00953430" w:rsidRPr="00234CCC">
        <w:rPr>
          <w:rFonts w:cs="Tahoma"/>
          <w:szCs w:val="22"/>
        </w:rPr>
        <w:t xml:space="preserve">, mismo que fue registrado en el </w:t>
      </w:r>
      <w:r w:rsidR="00953430" w:rsidRPr="00234CCC">
        <w:rPr>
          <w:rFonts w:cs="Tahoma"/>
          <w:b/>
          <w:szCs w:val="22"/>
        </w:rPr>
        <w:t>SAIMEX</w:t>
      </w:r>
      <w:r w:rsidR="00953430" w:rsidRPr="00234CCC">
        <w:rPr>
          <w:rFonts w:cs="Tahoma"/>
          <w:szCs w:val="22"/>
        </w:rPr>
        <w:t xml:space="preserve"> con el número de expediente </w:t>
      </w:r>
      <w:r w:rsidR="00F45902" w:rsidRPr="00234CCC">
        <w:rPr>
          <w:rFonts w:cs="Tahoma"/>
          <w:b/>
          <w:bCs/>
          <w:szCs w:val="22"/>
        </w:rPr>
        <w:t>0</w:t>
      </w:r>
      <w:r w:rsidR="00DA5A30" w:rsidRPr="00234CCC">
        <w:rPr>
          <w:rFonts w:cs="Tahoma"/>
          <w:b/>
          <w:bCs/>
          <w:szCs w:val="22"/>
        </w:rPr>
        <w:t>3402</w:t>
      </w:r>
      <w:r w:rsidR="00F45902" w:rsidRPr="00234CCC">
        <w:rPr>
          <w:rFonts w:cs="Tahoma"/>
          <w:b/>
          <w:bCs/>
          <w:szCs w:val="22"/>
        </w:rPr>
        <w:t>/</w:t>
      </w:r>
      <w:r w:rsidR="00953430" w:rsidRPr="00234CCC">
        <w:rPr>
          <w:rFonts w:cs="Tahoma"/>
          <w:b/>
          <w:bCs/>
          <w:szCs w:val="22"/>
        </w:rPr>
        <w:t>INFOEM/IP/RR/</w:t>
      </w:r>
      <w:r w:rsidR="00F45902" w:rsidRPr="00234CCC">
        <w:rPr>
          <w:rFonts w:cs="Tahoma"/>
          <w:b/>
          <w:bCs/>
          <w:szCs w:val="22"/>
        </w:rPr>
        <w:t>2024</w:t>
      </w:r>
      <w:r w:rsidR="00953430" w:rsidRPr="00234CCC">
        <w:rPr>
          <w:rFonts w:cs="Tahoma"/>
          <w:szCs w:val="22"/>
        </w:rPr>
        <w:t>, y en el cual manifiesta lo siguiente</w:t>
      </w:r>
      <w:r w:rsidRPr="00234CCC">
        <w:rPr>
          <w:rFonts w:cs="Tahoma"/>
          <w:szCs w:val="22"/>
        </w:rPr>
        <w:t>:</w:t>
      </w:r>
    </w:p>
    <w:p w14:paraId="74B30008" w14:textId="77777777" w:rsidR="00664420" w:rsidRPr="00234CCC" w:rsidRDefault="00664420" w:rsidP="00234CCC">
      <w:pPr>
        <w:tabs>
          <w:tab w:val="left" w:pos="4667"/>
        </w:tabs>
        <w:ind w:right="539"/>
        <w:rPr>
          <w:rFonts w:cs="Tahoma"/>
          <w:szCs w:val="22"/>
        </w:rPr>
      </w:pPr>
    </w:p>
    <w:p w14:paraId="12153283" w14:textId="77777777" w:rsidR="00664420" w:rsidRPr="00234CCC" w:rsidRDefault="00664420" w:rsidP="00234CCC">
      <w:pPr>
        <w:tabs>
          <w:tab w:val="left" w:pos="4667"/>
        </w:tabs>
        <w:ind w:right="539"/>
        <w:rPr>
          <w:rFonts w:cs="Tahoma"/>
          <w:b/>
          <w:iCs/>
        </w:rPr>
      </w:pPr>
      <w:r w:rsidRPr="00234CCC">
        <w:rPr>
          <w:rFonts w:cs="Tahoma"/>
          <w:b/>
          <w:iCs/>
        </w:rPr>
        <w:t>ACTO IMPUGNADO</w:t>
      </w:r>
      <w:r w:rsidRPr="00234CCC">
        <w:rPr>
          <w:rFonts w:cs="Tahoma"/>
          <w:b/>
          <w:iCs/>
        </w:rPr>
        <w:tab/>
      </w:r>
    </w:p>
    <w:p w14:paraId="177EE3D5" w14:textId="77777777" w:rsidR="00F45902" w:rsidRPr="00234CCC" w:rsidRDefault="00F45902" w:rsidP="00234CCC">
      <w:pPr>
        <w:pStyle w:val="Puesto"/>
      </w:pPr>
    </w:p>
    <w:p w14:paraId="523F8BF4" w14:textId="16AC8223" w:rsidR="00664420" w:rsidRPr="00234CCC" w:rsidRDefault="00F45902" w:rsidP="00234CCC">
      <w:pPr>
        <w:pStyle w:val="Puesto"/>
      </w:pPr>
      <w:r w:rsidRPr="00234CCC">
        <w:t>“</w:t>
      </w:r>
      <w:r w:rsidR="00DA5A30" w:rsidRPr="00234CCC">
        <w:t>Respuesta no proporcionada</w:t>
      </w:r>
      <w:r w:rsidRPr="00234CCC">
        <w:t xml:space="preserve">” (sic) </w:t>
      </w:r>
    </w:p>
    <w:p w14:paraId="6AE8EA9A" w14:textId="77777777" w:rsidR="00664420" w:rsidRPr="00234CCC" w:rsidRDefault="00664420" w:rsidP="00234CCC">
      <w:pPr>
        <w:pStyle w:val="Puesto"/>
        <w:ind w:left="0"/>
      </w:pPr>
    </w:p>
    <w:p w14:paraId="19F223B6" w14:textId="6E75938F" w:rsidR="009233A1" w:rsidRPr="00234CCC" w:rsidRDefault="009233A1" w:rsidP="00234CCC">
      <w:pPr>
        <w:tabs>
          <w:tab w:val="left" w:pos="4667"/>
        </w:tabs>
        <w:ind w:right="539"/>
        <w:rPr>
          <w:rFonts w:cs="Tahoma"/>
          <w:b/>
          <w:iCs/>
        </w:rPr>
      </w:pPr>
      <w:r w:rsidRPr="00234CCC">
        <w:rPr>
          <w:rFonts w:cs="Tahoma"/>
          <w:b/>
          <w:iCs/>
        </w:rPr>
        <w:t>RAZONES O MOTIVOS DE INCONFORMIDAD</w:t>
      </w:r>
      <w:r w:rsidRPr="00234CCC">
        <w:rPr>
          <w:rFonts w:cs="Tahoma"/>
          <w:b/>
          <w:iCs/>
        </w:rPr>
        <w:tab/>
      </w:r>
    </w:p>
    <w:p w14:paraId="3E0326BE" w14:textId="77777777" w:rsidR="009233A1" w:rsidRPr="00234CCC" w:rsidRDefault="009233A1" w:rsidP="00234CCC"/>
    <w:p w14:paraId="72A50473" w14:textId="048B036A" w:rsidR="00DA5A30" w:rsidRPr="00234CCC" w:rsidRDefault="00DA5A30" w:rsidP="00234CCC">
      <w:pPr>
        <w:pStyle w:val="Puesto"/>
      </w:pPr>
      <w:r w:rsidRPr="00234CCC">
        <w:t>“No se responde la solicitud de información”</w:t>
      </w:r>
    </w:p>
    <w:p w14:paraId="2FAAB456" w14:textId="437458F3" w:rsidR="009233A1" w:rsidRPr="00234CCC" w:rsidRDefault="009233A1" w:rsidP="00234CCC">
      <w:pPr>
        <w:pStyle w:val="Puesto"/>
      </w:pPr>
    </w:p>
    <w:p w14:paraId="6804DEF1" w14:textId="3C4F6CB5" w:rsidR="00664420" w:rsidRPr="00234CCC" w:rsidRDefault="006E25BC" w:rsidP="00234CCC">
      <w:pPr>
        <w:pStyle w:val="Ttulo3"/>
      </w:pPr>
      <w:bookmarkStart w:id="16" w:name="_Toc178874625"/>
      <w:r w:rsidRPr="00234CCC">
        <w:t>b</w:t>
      </w:r>
      <w:r w:rsidR="00664420" w:rsidRPr="00234CCC">
        <w:t>) Turno del Recurso de Revisión</w:t>
      </w:r>
      <w:bookmarkEnd w:id="16"/>
    </w:p>
    <w:p w14:paraId="1173671B" w14:textId="1557FD91" w:rsidR="00C72DAA" w:rsidRPr="00234CCC" w:rsidRDefault="00C72DAA" w:rsidP="00234CCC">
      <w:r w:rsidRPr="00234CCC">
        <w:t>Con fundamento en el artículo 185, fracción I de la Ley de Transparencia y Acceso a la Información Pública del Estado de México y Municipios, el</w:t>
      </w:r>
      <w:r w:rsidRPr="00234CCC">
        <w:rPr>
          <w:b/>
          <w:bCs/>
        </w:rPr>
        <w:t xml:space="preserve"> </w:t>
      </w:r>
      <w:r w:rsidR="00DA5A30" w:rsidRPr="00234CCC">
        <w:rPr>
          <w:rFonts w:eastAsia="Palatino Linotype" w:cs="Palatino Linotype"/>
          <w:b/>
        </w:rPr>
        <w:t>treinta y uno de mayo d</w:t>
      </w:r>
      <w:r w:rsidRPr="00234CCC">
        <w:rPr>
          <w:rFonts w:eastAsia="Palatino Linotype" w:cs="Palatino Linotype"/>
          <w:b/>
        </w:rPr>
        <w:t xml:space="preserve">e dos mil </w:t>
      </w:r>
      <w:r w:rsidR="00657603" w:rsidRPr="00234CCC">
        <w:rPr>
          <w:rFonts w:eastAsia="Palatino Linotype" w:cs="Palatino Linotype"/>
          <w:b/>
        </w:rPr>
        <w:t xml:space="preserve">veinticuatro </w:t>
      </w:r>
      <w:r w:rsidRPr="00234CCC">
        <w:t>se turnó el recurso de revisión a través del</w:t>
      </w:r>
      <w:r w:rsidRPr="00234CCC">
        <w:rPr>
          <w:rFonts w:eastAsia="Arial Unicode MS"/>
        </w:rPr>
        <w:t xml:space="preserve"> </w:t>
      </w:r>
      <w:r w:rsidRPr="00234CCC">
        <w:rPr>
          <w:rFonts w:eastAsia="Arial Unicode MS"/>
          <w:bCs/>
        </w:rPr>
        <w:t>SAIMEX</w:t>
      </w:r>
      <w:r w:rsidRPr="00234CCC">
        <w:t xml:space="preserve"> a la </w:t>
      </w:r>
      <w:r w:rsidRPr="00234CCC">
        <w:rPr>
          <w:b/>
        </w:rPr>
        <w:t>Comisionada Sharon Cristina Morales Martínez</w:t>
      </w:r>
      <w:r w:rsidRPr="00234CCC">
        <w:rPr>
          <w:bCs/>
        </w:rPr>
        <w:t xml:space="preserve">, </w:t>
      </w:r>
      <w:r w:rsidRPr="00234CCC">
        <w:t xml:space="preserve">a efecto de decretar su admisión o desechamiento. </w:t>
      </w:r>
    </w:p>
    <w:p w14:paraId="18F305CB" w14:textId="77777777" w:rsidR="00664420" w:rsidRPr="00234CCC" w:rsidRDefault="00664420" w:rsidP="00234CCC">
      <w:pPr>
        <w:rPr>
          <w:rFonts w:eastAsia="Batang" w:cs="Tahoma"/>
          <w:bCs/>
          <w:szCs w:val="22"/>
        </w:rPr>
      </w:pPr>
    </w:p>
    <w:p w14:paraId="3E31EC2D" w14:textId="295256A1" w:rsidR="00664420" w:rsidRPr="00234CCC" w:rsidRDefault="006E25BC" w:rsidP="00234CCC">
      <w:pPr>
        <w:pStyle w:val="Ttulo3"/>
      </w:pPr>
      <w:bookmarkStart w:id="17" w:name="_Toc178874626"/>
      <w:r w:rsidRPr="00234CCC">
        <w:lastRenderedPageBreak/>
        <w:t>c</w:t>
      </w:r>
      <w:r w:rsidR="00664420" w:rsidRPr="00234CCC">
        <w:t>) Admisión del Recurso de Revisión</w:t>
      </w:r>
      <w:bookmarkEnd w:id="17"/>
    </w:p>
    <w:p w14:paraId="240447D5" w14:textId="25FCD3F6" w:rsidR="000E09C4" w:rsidRPr="00234CCC" w:rsidRDefault="000E09C4" w:rsidP="00234CCC">
      <w:pPr>
        <w:rPr>
          <w:rFonts w:cs="Arial"/>
        </w:rPr>
      </w:pPr>
      <w:r w:rsidRPr="00234CCC">
        <w:rPr>
          <w:rFonts w:cs="Arial"/>
        </w:rPr>
        <w:t xml:space="preserve">El </w:t>
      </w:r>
      <w:r w:rsidR="00DA5A30" w:rsidRPr="00234CCC">
        <w:rPr>
          <w:rFonts w:eastAsia="Palatino Linotype" w:cs="Palatino Linotype"/>
          <w:b/>
        </w:rPr>
        <w:t xml:space="preserve">cinco de junio </w:t>
      </w:r>
      <w:r w:rsidR="003A67CC" w:rsidRPr="00234CCC">
        <w:rPr>
          <w:rFonts w:eastAsia="Palatino Linotype" w:cs="Palatino Linotype"/>
          <w:b/>
        </w:rPr>
        <w:t>d</w:t>
      </w:r>
      <w:r w:rsidR="00657603" w:rsidRPr="00234CCC">
        <w:rPr>
          <w:rFonts w:eastAsia="Palatino Linotype" w:cs="Palatino Linotype"/>
          <w:b/>
        </w:rPr>
        <w:t>e dos mil veinticuatro</w:t>
      </w:r>
      <w:r w:rsidRPr="00234CCC">
        <w:rPr>
          <w:rFonts w:cs="Arial"/>
        </w:rPr>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234CCC">
        <w:rPr>
          <w:rFonts w:cs="Arial"/>
        </w:rPr>
        <w:t>, fracción II</w:t>
      </w:r>
      <w:r w:rsidRPr="00234CCC">
        <w:rPr>
          <w:rFonts w:cs="Arial"/>
        </w:rPr>
        <w:t xml:space="preserve"> de la Ley de Transparencia y Acceso a la Información Pública del Estado de México y Municipios.</w:t>
      </w:r>
    </w:p>
    <w:p w14:paraId="34EC3F86" w14:textId="77777777" w:rsidR="00D2790D" w:rsidRPr="00234CCC" w:rsidRDefault="00D2790D" w:rsidP="00234CCC">
      <w:pPr>
        <w:rPr>
          <w:rFonts w:cs="Arial"/>
        </w:rPr>
      </w:pPr>
    </w:p>
    <w:p w14:paraId="3B820F58" w14:textId="503F9071" w:rsidR="00865CF4" w:rsidRPr="00234CCC" w:rsidRDefault="0075751F" w:rsidP="00234CCC">
      <w:pPr>
        <w:pStyle w:val="Ttulo3"/>
      </w:pPr>
      <w:bookmarkStart w:id="18" w:name="_Toc178874627"/>
      <w:r w:rsidRPr="00234CCC">
        <w:t>d</w:t>
      </w:r>
      <w:r w:rsidR="00664420" w:rsidRPr="00234CCC">
        <w:t xml:space="preserve">) </w:t>
      </w:r>
      <w:r w:rsidR="00865CF4" w:rsidRPr="00234CCC">
        <w:t>Informe Justificado del Sujeto Obligado</w:t>
      </w:r>
      <w:bookmarkEnd w:id="18"/>
    </w:p>
    <w:p w14:paraId="0B6579D5" w14:textId="333E8E66" w:rsidR="00DA5A30" w:rsidRPr="00234CCC" w:rsidRDefault="00AD4855" w:rsidP="00234CCC">
      <w:pPr>
        <w:rPr>
          <w:rFonts w:cs="Tahoma"/>
          <w:bCs/>
          <w:szCs w:val="24"/>
        </w:rPr>
      </w:pPr>
      <w:r w:rsidRPr="00234CCC">
        <w:rPr>
          <w:rFonts w:cs="Tahoma"/>
          <w:bCs/>
          <w:szCs w:val="24"/>
        </w:rPr>
        <w:t xml:space="preserve">El </w:t>
      </w:r>
      <w:r w:rsidR="00DA5A30" w:rsidRPr="00234CCC">
        <w:rPr>
          <w:rFonts w:cs="Tahoma"/>
          <w:b/>
          <w:szCs w:val="24"/>
        </w:rPr>
        <w:t xml:space="preserve">seis de junio </w:t>
      </w:r>
      <w:r w:rsidR="001D5BAD" w:rsidRPr="00234CCC">
        <w:rPr>
          <w:rFonts w:cs="Tahoma"/>
          <w:b/>
          <w:szCs w:val="24"/>
        </w:rPr>
        <w:t xml:space="preserve">de dos mil veinticuatro </w:t>
      </w:r>
      <w:r w:rsidRPr="00234CCC">
        <w:rPr>
          <w:rFonts w:cs="Tahoma"/>
          <w:b/>
          <w:szCs w:val="24"/>
        </w:rPr>
        <w:t>EL SUJETO OBLIGADO</w:t>
      </w:r>
      <w:r w:rsidRPr="00234CCC">
        <w:rPr>
          <w:rFonts w:cs="Tahoma"/>
          <w:bCs/>
          <w:szCs w:val="24"/>
        </w:rPr>
        <w:t xml:space="preserve"> rindió su informe justificado a través del </w:t>
      </w:r>
      <w:r w:rsidRPr="00234CCC">
        <w:rPr>
          <w:rFonts w:cs="Tahoma"/>
          <w:b/>
          <w:bCs/>
          <w:szCs w:val="24"/>
        </w:rPr>
        <w:t>SAIMEX</w:t>
      </w:r>
      <w:r w:rsidRPr="00234CCC">
        <w:rPr>
          <w:rFonts w:cs="Tahoma"/>
          <w:bCs/>
          <w:szCs w:val="24"/>
        </w:rPr>
        <w:t xml:space="preserve">, </w:t>
      </w:r>
      <w:bookmarkStart w:id="19" w:name="_Hlk165379932"/>
      <w:r w:rsidRPr="00234CCC">
        <w:rPr>
          <w:rFonts w:cs="Tahoma"/>
          <w:bCs/>
          <w:szCs w:val="24"/>
        </w:rPr>
        <w:t xml:space="preserve">ajuntando para ello </w:t>
      </w:r>
      <w:r w:rsidR="00DA5A30" w:rsidRPr="00234CCC">
        <w:rPr>
          <w:rFonts w:cs="Tahoma"/>
          <w:bCs/>
          <w:szCs w:val="24"/>
        </w:rPr>
        <w:t>e</w:t>
      </w:r>
      <w:r w:rsidRPr="00234CCC">
        <w:rPr>
          <w:rFonts w:cs="Tahoma"/>
          <w:bCs/>
          <w:szCs w:val="24"/>
        </w:rPr>
        <w:t>l</w:t>
      </w:r>
      <w:r w:rsidR="00DA5A30" w:rsidRPr="00234CCC">
        <w:rPr>
          <w:rFonts w:cs="Tahoma"/>
          <w:bCs/>
          <w:szCs w:val="24"/>
        </w:rPr>
        <w:t xml:space="preserve"> archivo electrónico denominado </w:t>
      </w:r>
      <w:r w:rsidR="00DA5A30" w:rsidRPr="00234CCC">
        <w:rPr>
          <w:rFonts w:cs="Tahoma"/>
          <w:b/>
          <w:szCs w:val="24"/>
        </w:rPr>
        <w:t xml:space="preserve">INFORME JUSTIFICADO RR 3402-2024 UT.pdf, </w:t>
      </w:r>
      <w:r w:rsidR="00DA5A30" w:rsidRPr="00234CCC">
        <w:rPr>
          <w:rFonts w:cs="Tahoma"/>
          <w:bCs/>
          <w:szCs w:val="24"/>
        </w:rPr>
        <w:t xml:space="preserve">el cual contiene el oficio del seis de junio de dos mil veinticuatro, por medio del cual la Jefa de la Unidad de Transparencia, medularmente reitera el cambio de modalidad. </w:t>
      </w:r>
    </w:p>
    <w:p w14:paraId="66BA6FC7" w14:textId="7F13731A" w:rsidR="00865CF4" w:rsidRPr="00234CCC" w:rsidRDefault="00AD4855" w:rsidP="00234CCC">
      <w:pPr>
        <w:rPr>
          <w:rFonts w:cs="Tahoma"/>
          <w:bCs/>
          <w:szCs w:val="24"/>
        </w:rPr>
      </w:pPr>
      <w:r w:rsidRPr="00234CCC">
        <w:rPr>
          <w:rFonts w:cs="Tahoma"/>
          <w:bCs/>
          <w:szCs w:val="24"/>
        </w:rPr>
        <w:t xml:space="preserve"> </w:t>
      </w:r>
      <w:bookmarkEnd w:id="19"/>
    </w:p>
    <w:p w14:paraId="755B7730" w14:textId="51CD5717" w:rsidR="00664420" w:rsidRPr="00234CCC" w:rsidRDefault="0075751F" w:rsidP="00234CCC">
      <w:pPr>
        <w:pStyle w:val="Ttulo3"/>
        <w:rPr>
          <w:lang w:val="es-ES"/>
        </w:rPr>
      </w:pPr>
      <w:bookmarkStart w:id="20" w:name="_Toc178874628"/>
      <w:r w:rsidRPr="00234CCC">
        <w:rPr>
          <w:rFonts w:eastAsia="Calibri"/>
          <w:bCs/>
          <w:lang w:eastAsia="en-US"/>
        </w:rPr>
        <w:t>e</w:t>
      </w:r>
      <w:r w:rsidR="00664420" w:rsidRPr="00234CCC">
        <w:rPr>
          <w:rFonts w:eastAsia="Calibri"/>
          <w:bCs/>
          <w:lang w:eastAsia="en-US"/>
        </w:rPr>
        <w:t>)</w:t>
      </w:r>
      <w:r w:rsidR="00664420" w:rsidRPr="00234CCC">
        <w:t xml:space="preserve"> </w:t>
      </w:r>
      <w:r w:rsidR="00865CF4" w:rsidRPr="00234CCC">
        <w:rPr>
          <w:lang w:val="es-ES"/>
        </w:rPr>
        <w:t>Manifestaciones de la Parte Recurrente</w:t>
      </w:r>
      <w:bookmarkEnd w:id="20"/>
    </w:p>
    <w:p w14:paraId="4E8AF011" w14:textId="77777777" w:rsidR="00865CF4" w:rsidRPr="00234CCC" w:rsidRDefault="00865CF4" w:rsidP="00234CCC">
      <w:pPr>
        <w:rPr>
          <w:rFonts w:eastAsia="Arial Unicode MS" w:cs="Arial"/>
        </w:rPr>
      </w:pPr>
      <w:r w:rsidRPr="00234CCC">
        <w:rPr>
          <w:rFonts w:cs="Tahoma"/>
          <w:b/>
          <w:szCs w:val="24"/>
        </w:rPr>
        <w:t xml:space="preserve">LA PARTE RECURRENTE </w:t>
      </w:r>
      <w:r w:rsidRPr="00234CCC">
        <w:rPr>
          <w:rFonts w:eastAsia="Arial Unicode MS" w:cs="Arial"/>
        </w:rPr>
        <w:t>no realizó manifestación alguna dentro del término legalmente concedido para tal efecto, ni presentó pruebas o alegatos.</w:t>
      </w:r>
    </w:p>
    <w:p w14:paraId="43289D82" w14:textId="77777777" w:rsidR="00865CF4" w:rsidRPr="00234CCC" w:rsidRDefault="00865CF4" w:rsidP="00234CCC">
      <w:pPr>
        <w:rPr>
          <w:rFonts w:eastAsia="Arial Unicode MS" w:cs="Arial"/>
        </w:rPr>
      </w:pPr>
    </w:p>
    <w:p w14:paraId="396E5A63" w14:textId="77777777" w:rsidR="00DA5A30" w:rsidRPr="00234CCC" w:rsidRDefault="00DA5A30" w:rsidP="00234CCC">
      <w:pPr>
        <w:pStyle w:val="Ttulo3"/>
        <w:rPr>
          <w:rFonts w:eastAsia="Calibri"/>
        </w:rPr>
      </w:pPr>
      <w:bookmarkStart w:id="21" w:name="_Toc172051809"/>
      <w:bookmarkStart w:id="22" w:name="_Toc178874629"/>
      <w:r w:rsidRPr="00234CCC">
        <w:rPr>
          <w:rFonts w:eastAsia="Calibri"/>
        </w:rPr>
        <w:t>f) Ampliación de Plazo para Resolver</w:t>
      </w:r>
      <w:bookmarkEnd w:id="21"/>
      <w:bookmarkEnd w:id="22"/>
      <w:r w:rsidRPr="00234CCC">
        <w:rPr>
          <w:rFonts w:eastAsia="Calibri"/>
        </w:rPr>
        <w:t xml:space="preserve"> </w:t>
      </w:r>
    </w:p>
    <w:p w14:paraId="598E4CD3" w14:textId="5E559D76" w:rsidR="00DA5A30" w:rsidRPr="00234CCC" w:rsidRDefault="00DA5A30" w:rsidP="00234CCC">
      <w:pPr>
        <w:rPr>
          <w:rFonts w:eastAsia="Palatino Linotype" w:cs="Palatino Linotype"/>
        </w:rPr>
      </w:pPr>
      <w:r w:rsidRPr="00234CCC">
        <w:rPr>
          <w:rFonts w:eastAsia="Palatino Linotype" w:cs="Palatino Linotype"/>
        </w:rPr>
        <w:t xml:space="preserve">El </w:t>
      </w:r>
      <w:r w:rsidRPr="00234CCC">
        <w:rPr>
          <w:rFonts w:eastAsia="Palatino Linotype" w:cs="Palatino Linotype"/>
          <w:b/>
        </w:rPr>
        <w:t>cuatro de septiembre de dos mil veintitrés</w:t>
      </w:r>
      <w:r w:rsidRPr="00234CCC">
        <w:rPr>
          <w:rFonts w:eastAsia="Palatino Linotype" w:cs="Palatino Linotype"/>
        </w:rPr>
        <w:t>, se notificó el acuerdo de ampliación de plazo para resolver el presente Recurso de Revisión, previsto en el artículo 181, tercer párrafo de la Ley de Transparencia y Acceso a la Información Pública del Estado de México y Municipios.</w:t>
      </w:r>
    </w:p>
    <w:p w14:paraId="432611B8" w14:textId="77777777" w:rsidR="00DA5A30" w:rsidRPr="00234CCC" w:rsidRDefault="00DA5A30" w:rsidP="00234CCC">
      <w:pPr>
        <w:rPr>
          <w:rFonts w:eastAsia="Palatino Linotype" w:cs="Palatino Linotype"/>
        </w:rPr>
      </w:pPr>
    </w:p>
    <w:p w14:paraId="26829C3B" w14:textId="77777777" w:rsidR="00DA5A30" w:rsidRPr="00234CCC" w:rsidRDefault="00DA5A30" w:rsidP="00234CCC">
      <w:pPr>
        <w:rPr>
          <w:rFonts w:cs="Arial"/>
          <w:lang w:eastAsia="es-MX"/>
        </w:rPr>
      </w:pPr>
      <w:r w:rsidRPr="00234CCC">
        <w:rPr>
          <w:rFonts w:cs="Arial"/>
          <w:lang w:eastAsia="es-MX"/>
        </w:rPr>
        <w:t xml:space="preserve">Este organismo garante no pasa por alto justificar, que el plazo para emitir resolución en el presente asunto encuentra justificación en el alto número de recursos de revisión recibidos por </w:t>
      </w:r>
      <w:r w:rsidRPr="00234CCC">
        <w:rPr>
          <w:rFonts w:cs="Arial"/>
          <w:lang w:eastAsia="es-MX"/>
        </w:rPr>
        <w:lastRenderedPageBreak/>
        <w:t>este Instituto, circunstancia atípica que ha rebasado las capacidades técnicas y humanas del personal encargado de la proyección de las resoluciones a dichos medios de impugnación.</w:t>
      </w:r>
    </w:p>
    <w:p w14:paraId="7BB05BD8" w14:textId="77777777" w:rsidR="00DA5A30" w:rsidRPr="00234CCC" w:rsidRDefault="00DA5A30" w:rsidP="00234CCC">
      <w:pPr>
        <w:rPr>
          <w:rFonts w:cs="Arial"/>
          <w:lang w:eastAsia="es-MX"/>
        </w:rPr>
      </w:pPr>
    </w:p>
    <w:p w14:paraId="37C07A8F" w14:textId="77777777" w:rsidR="00DA5A30" w:rsidRPr="00234CCC" w:rsidRDefault="00DA5A30" w:rsidP="00234CCC">
      <w:pPr>
        <w:rPr>
          <w:rFonts w:cs="Arial"/>
          <w:lang w:eastAsia="es-MX"/>
        </w:rPr>
      </w:pPr>
      <w:r w:rsidRPr="00234CCC">
        <w:rPr>
          <w:rFonts w:cs="Arial"/>
          <w:lang w:eastAsia="es-MX"/>
        </w:rPr>
        <w:t>Es importante precisar que, si bien se ha excedido el plazo para resolver el presente medio de impugnación, el plazo para emitir resolución se encuentra justificado en parámetros establecidos por diversos órganos jurisdiccionales federales, aplicables también en procedimientos análogos, como el que nos ocupa.</w:t>
      </w:r>
    </w:p>
    <w:p w14:paraId="6E2A9AFC" w14:textId="77777777" w:rsidR="00DA5A30" w:rsidRPr="00234CCC" w:rsidRDefault="00DA5A30" w:rsidP="00234CCC">
      <w:pPr>
        <w:rPr>
          <w:rFonts w:cs="Arial"/>
          <w:lang w:eastAsia="es-MX"/>
        </w:rPr>
      </w:pPr>
    </w:p>
    <w:p w14:paraId="7388A9FC" w14:textId="77777777" w:rsidR="00DA5A30" w:rsidRPr="00234CCC" w:rsidRDefault="00DA5A30" w:rsidP="00234CCC">
      <w:pPr>
        <w:rPr>
          <w:rFonts w:cs="Arial"/>
          <w:lang w:eastAsia="es-MX"/>
        </w:rPr>
      </w:pPr>
      <w:r w:rsidRPr="00234CCC">
        <w:rPr>
          <w:rFonts w:cs="Arial"/>
          <w:lang w:eastAsia="es-MX"/>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 En ese sentido, el legislador estableció los términos procesales de forma general, sin que pudiera prever la variada gama de casos que son resueltos por los órganos jurisdiccionales o cuasi jurisdiccionales, tanto por la complejidad de los hechos, como por el número de casos que conocen.</w:t>
      </w:r>
    </w:p>
    <w:p w14:paraId="5CEE0CE0" w14:textId="77777777" w:rsidR="00DA5A30" w:rsidRPr="00234CCC" w:rsidRDefault="00DA5A30" w:rsidP="00234CCC">
      <w:pPr>
        <w:rPr>
          <w:rFonts w:cs="Arial"/>
          <w:lang w:eastAsia="es-MX"/>
        </w:rPr>
      </w:pPr>
    </w:p>
    <w:p w14:paraId="3370CF9B" w14:textId="77777777" w:rsidR="00DA5A30" w:rsidRPr="00234CCC" w:rsidRDefault="00DA5A30" w:rsidP="00234CCC">
      <w:pPr>
        <w:rPr>
          <w:rFonts w:cs="Arial"/>
          <w:lang w:eastAsia="es-MX"/>
        </w:rPr>
      </w:pPr>
      <w:r w:rsidRPr="00234CCC">
        <w:rPr>
          <w:rFonts w:cs="Arial"/>
          <w:lang w:eastAsia="es-MX"/>
        </w:rPr>
        <w:t>Por ello, excepcionalmente, si un asunto es resuelto con posterioridad a los plazos señalados por la norma, debe analizarse la razonabilidad del tiempo necesario para su resolución, atentos a los siguientes criterios:</w:t>
      </w:r>
    </w:p>
    <w:p w14:paraId="09D94C2C" w14:textId="77777777" w:rsidR="00DA5A30" w:rsidRPr="00234CCC" w:rsidRDefault="00DA5A30" w:rsidP="00234CCC">
      <w:pPr>
        <w:rPr>
          <w:rFonts w:cs="Arial"/>
          <w:lang w:eastAsia="es-MX"/>
        </w:rPr>
      </w:pPr>
    </w:p>
    <w:p w14:paraId="704BE5CF" w14:textId="77777777" w:rsidR="00DA5A30" w:rsidRPr="00234CCC" w:rsidRDefault="00DA5A30" w:rsidP="00234CCC">
      <w:pPr>
        <w:pStyle w:val="Prrafodelista"/>
        <w:numPr>
          <w:ilvl w:val="0"/>
          <w:numId w:val="25"/>
        </w:numPr>
        <w:contextualSpacing w:val="0"/>
        <w:rPr>
          <w:rFonts w:cs="Arial"/>
          <w:lang w:eastAsia="es-MX"/>
        </w:rPr>
      </w:pPr>
      <w:r w:rsidRPr="00234CCC">
        <w:rPr>
          <w:rFonts w:cs="Arial"/>
          <w:b/>
          <w:lang w:eastAsia="es-MX"/>
        </w:rPr>
        <w:t>Complejidad del asunto:</w:t>
      </w:r>
      <w:r w:rsidRPr="00234CCC">
        <w:rPr>
          <w:rFonts w:cs="Arial"/>
          <w:lang w:eastAsia="es-MX"/>
        </w:rPr>
        <w:t xml:space="preserve"> La complejidad de la prueba, la pluralidad de sujetos procesales, el tiempo transcurrido, las características y contexto del recurso.</w:t>
      </w:r>
    </w:p>
    <w:p w14:paraId="2ABC2E63" w14:textId="77777777" w:rsidR="00DA5A30" w:rsidRPr="00234CCC" w:rsidRDefault="00DA5A30" w:rsidP="00234CCC">
      <w:pPr>
        <w:pStyle w:val="Prrafodelista"/>
        <w:numPr>
          <w:ilvl w:val="0"/>
          <w:numId w:val="25"/>
        </w:numPr>
        <w:contextualSpacing w:val="0"/>
        <w:rPr>
          <w:rFonts w:cs="Arial"/>
          <w:lang w:eastAsia="es-MX"/>
        </w:rPr>
      </w:pPr>
      <w:r w:rsidRPr="00234CCC">
        <w:rPr>
          <w:rFonts w:cs="Arial"/>
          <w:b/>
          <w:lang w:eastAsia="es-MX"/>
        </w:rPr>
        <w:t>Actividad Procesal del interesado:</w:t>
      </w:r>
      <w:r w:rsidRPr="00234CCC">
        <w:rPr>
          <w:rFonts w:cs="Arial"/>
          <w:lang w:eastAsia="es-MX"/>
        </w:rPr>
        <w:t xml:space="preserve"> Acciones u omisiones del interesado.</w:t>
      </w:r>
    </w:p>
    <w:p w14:paraId="104C4CEE" w14:textId="77777777" w:rsidR="00DA5A30" w:rsidRPr="00234CCC" w:rsidRDefault="00DA5A30" w:rsidP="00234CCC">
      <w:pPr>
        <w:pStyle w:val="Prrafodelista"/>
        <w:numPr>
          <w:ilvl w:val="0"/>
          <w:numId w:val="25"/>
        </w:numPr>
        <w:contextualSpacing w:val="0"/>
        <w:rPr>
          <w:rFonts w:cs="Arial"/>
          <w:lang w:eastAsia="es-MX"/>
        </w:rPr>
      </w:pPr>
      <w:r w:rsidRPr="00234CCC">
        <w:rPr>
          <w:rFonts w:cs="Arial"/>
          <w:b/>
          <w:lang w:eastAsia="es-MX"/>
        </w:rPr>
        <w:t>Conducta de la Autoridad:</w:t>
      </w:r>
      <w:r w:rsidRPr="00234CCC">
        <w:rPr>
          <w:rFonts w:cs="Arial"/>
          <w:lang w:eastAsia="es-MX"/>
        </w:rPr>
        <w:t xml:space="preserve"> Las Acciones u omisiones realizadas en el procedimiento. Así como si la autoridad actuó con la debida diligencia.</w:t>
      </w:r>
    </w:p>
    <w:p w14:paraId="5A300C71" w14:textId="77777777" w:rsidR="00DA5A30" w:rsidRPr="00234CCC" w:rsidRDefault="00DA5A30" w:rsidP="00234CCC">
      <w:pPr>
        <w:pStyle w:val="Prrafodelista"/>
        <w:numPr>
          <w:ilvl w:val="0"/>
          <w:numId w:val="25"/>
        </w:numPr>
        <w:contextualSpacing w:val="0"/>
        <w:rPr>
          <w:rFonts w:cs="Arial"/>
          <w:lang w:eastAsia="es-MX"/>
        </w:rPr>
      </w:pPr>
      <w:r w:rsidRPr="00234CCC">
        <w:rPr>
          <w:rFonts w:cs="Arial"/>
          <w:b/>
          <w:lang w:eastAsia="es-MX"/>
        </w:rPr>
        <w:lastRenderedPageBreak/>
        <w:t xml:space="preserve">La afectación generada en la situación jurídica de la persona involucrada en el proceso: </w:t>
      </w:r>
      <w:r w:rsidRPr="00234CCC">
        <w:rPr>
          <w:rFonts w:cs="Arial"/>
          <w:lang w:eastAsia="es-MX"/>
        </w:rPr>
        <w:t>Violación a sus derechos humanos.</w:t>
      </w:r>
    </w:p>
    <w:p w14:paraId="005A3DEC" w14:textId="77777777" w:rsidR="00DA5A30" w:rsidRPr="00234CCC" w:rsidRDefault="00DA5A30" w:rsidP="00234CCC">
      <w:pPr>
        <w:rPr>
          <w:rFonts w:cs="Arial"/>
          <w:lang w:eastAsia="es-MX"/>
        </w:rPr>
      </w:pPr>
    </w:p>
    <w:p w14:paraId="2106254F" w14:textId="77777777" w:rsidR="00DA5A30" w:rsidRPr="00234CCC" w:rsidRDefault="00DA5A30" w:rsidP="00234CCC">
      <w:pPr>
        <w:rPr>
          <w:rFonts w:cs="Arial"/>
          <w:lang w:eastAsia="es-MX"/>
        </w:rPr>
      </w:pPr>
      <w:r w:rsidRPr="00234CCC">
        <w:rPr>
          <w:rFonts w:cs="Arial"/>
          <w:lang w:eastAsia="es-MX"/>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03D1FF60" w14:textId="77777777" w:rsidR="00DA5A30" w:rsidRPr="00234CCC" w:rsidRDefault="00DA5A30" w:rsidP="00234CCC">
      <w:pPr>
        <w:rPr>
          <w:rFonts w:cs="Arial"/>
          <w:lang w:eastAsia="es-MX"/>
        </w:rPr>
      </w:pPr>
    </w:p>
    <w:p w14:paraId="2A3EC62A" w14:textId="77777777" w:rsidR="00DA5A30" w:rsidRPr="00234CCC" w:rsidRDefault="00DA5A30" w:rsidP="00234CCC">
      <w:pPr>
        <w:rPr>
          <w:rFonts w:cs="Arial"/>
          <w:lang w:eastAsia="es-MX"/>
        </w:rPr>
      </w:pPr>
      <w:r w:rsidRPr="00234CCC">
        <w:rPr>
          <w:rFonts w:cs="Arial"/>
          <w:lang w:eastAsia="es-MX"/>
        </w:rPr>
        <w:t>Argumento que encuentra sustento en la jurisprudencia P./J.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45450D41" w14:textId="77777777" w:rsidR="00DA5A30" w:rsidRPr="00234CCC" w:rsidRDefault="00DA5A30" w:rsidP="00234CCC">
      <w:pPr>
        <w:rPr>
          <w:rFonts w:cs="Arial"/>
          <w:lang w:eastAsia="es-MX"/>
        </w:rPr>
      </w:pPr>
    </w:p>
    <w:p w14:paraId="051A41D8" w14:textId="77777777" w:rsidR="00DA5A30" w:rsidRPr="00234CCC" w:rsidRDefault="00DA5A30" w:rsidP="00234CCC">
      <w:pPr>
        <w:rPr>
          <w:rFonts w:cs="Arial"/>
          <w:lang w:eastAsia="es-MX"/>
        </w:rPr>
      </w:pPr>
      <w:r w:rsidRPr="00234CCC">
        <w:rPr>
          <w:rFonts w:cs="Arial"/>
          <w:lang w:eastAsia="es-MX"/>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5B5CBD08" w14:textId="77777777" w:rsidR="00DA5A30" w:rsidRPr="00234CCC" w:rsidRDefault="00DA5A30" w:rsidP="00234CCC">
      <w:pPr>
        <w:rPr>
          <w:rFonts w:cs="Arial"/>
          <w:lang w:eastAsia="es-MX"/>
        </w:rPr>
      </w:pPr>
    </w:p>
    <w:p w14:paraId="0FCCB347" w14:textId="77777777" w:rsidR="00DA5A30" w:rsidRPr="00234CCC" w:rsidRDefault="00DA5A30" w:rsidP="00234CCC">
      <w:pPr>
        <w:rPr>
          <w:rFonts w:cs="Arial"/>
          <w:lang w:eastAsia="es-MX"/>
        </w:rPr>
      </w:pPr>
      <w:r w:rsidRPr="00234CCC">
        <w:rPr>
          <w:rFonts w:cs="Arial"/>
          <w:lang w:eastAsia="es-MX"/>
        </w:rPr>
        <w:lastRenderedPageBreak/>
        <w:t>Al respecto, también son de considerar los criterios sostenidos por el Cuarto Tribunal Colegiado en Materia Administrativa del Primer Circuito, cuyos rubros y datos de identificación son los siguientes:</w:t>
      </w:r>
    </w:p>
    <w:p w14:paraId="3B065654" w14:textId="77777777" w:rsidR="00DA5A30" w:rsidRPr="00234CCC" w:rsidRDefault="00DA5A30" w:rsidP="00234CCC">
      <w:pPr>
        <w:rPr>
          <w:rFonts w:cs="Arial"/>
          <w:lang w:eastAsia="es-MX"/>
        </w:rPr>
      </w:pPr>
    </w:p>
    <w:p w14:paraId="7D2A9C72" w14:textId="77777777" w:rsidR="00DA5A30" w:rsidRPr="00234CCC" w:rsidRDefault="00DA5A30" w:rsidP="00234CCC">
      <w:pPr>
        <w:pStyle w:val="Puesto"/>
        <w:rPr>
          <w:lang w:eastAsia="es-MX"/>
        </w:rPr>
      </w:pPr>
      <w:r w:rsidRPr="00234CCC">
        <w:rPr>
          <w:lang w:eastAsia="es-MX"/>
        </w:rPr>
        <w:t>“PLAZO RAZONABLE PARA RESOLVER. DIMENSIÓN Y EFECTOS DE ESTE CONCEPTO CUANDO SE ADUCE EXCESIVA CARGA DE TRABAJO.” consultable en el Seminario Judicial de la Federación y su gaceta, con el registro digital 2002351.</w:t>
      </w:r>
    </w:p>
    <w:p w14:paraId="66C0A9A3" w14:textId="77777777" w:rsidR="00DA5A30" w:rsidRPr="00234CCC" w:rsidRDefault="00DA5A30" w:rsidP="00234CCC">
      <w:pPr>
        <w:pStyle w:val="Puesto"/>
        <w:rPr>
          <w:lang w:eastAsia="es-MX"/>
        </w:rPr>
      </w:pPr>
    </w:p>
    <w:p w14:paraId="0838C589" w14:textId="77777777" w:rsidR="00DA5A30" w:rsidRPr="00234CCC" w:rsidRDefault="00DA5A30" w:rsidP="00234CCC">
      <w:pPr>
        <w:pStyle w:val="Puesto"/>
        <w:rPr>
          <w:lang w:eastAsia="es-MX"/>
        </w:rPr>
      </w:pPr>
      <w:r w:rsidRPr="00234CCC">
        <w:rPr>
          <w:lang w:eastAsia="es-MX"/>
        </w:rPr>
        <w:t>“PLAZO RAZONABLE PARA RESOLVER. CONCEPTO Y ELEMENTOS QUE LO INTEGRAN A LA LUZ DEL DERECHO INTERNACIONAL DE LOS DERECHOS HUMANOS.”, visible en el Seminario Judicial de la Federación y su gaceta, con el registro digital 2002350.</w:t>
      </w:r>
    </w:p>
    <w:p w14:paraId="04FEBACA" w14:textId="77777777" w:rsidR="00DA5A30" w:rsidRPr="00234CCC" w:rsidRDefault="00DA5A30" w:rsidP="00234CCC">
      <w:pPr>
        <w:rPr>
          <w:rFonts w:cs="Arial"/>
          <w:lang w:eastAsia="es-MX"/>
        </w:rPr>
      </w:pPr>
    </w:p>
    <w:p w14:paraId="3B509CB1" w14:textId="77777777" w:rsidR="00DA5A30" w:rsidRPr="00234CCC" w:rsidRDefault="00DA5A30" w:rsidP="00234CCC">
      <w:pPr>
        <w:rPr>
          <w:rFonts w:cs="Arial"/>
        </w:rPr>
      </w:pPr>
      <w:r w:rsidRPr="00234CCC">
        <w:rPr>
          <w:rFonts w:cs="Arial"/>
          <w:lang w:eastAsia="es-MX"/>
        </w:rPr>
        <w:t xml:space="preserve">Por ello, este organismo garante comprometido con la </w:t>
      </w:r>
      <w:r w:rsidRPr="00234CCC">
        <w:rPr>
          <w:rFonts w:cs="Arial"/>
        </w:rPr>
        <w:t>tutela de los derechos humanos confiados señala que este exceso del plazo legal para resolver el asunto resulta de carácter excepcional.</w:t>
      </w:r>
    </w:p>
    <w:p w14:paraId="7E27016B" w14:textId="77777777" w:rsidR="00DA5A30" w:rsidRPr="00234CCC" w:rsidRDefault="00DA5A30" w:rsidP="00234CCC">
      <w:pPr>
        <w:rPr>
          <w:rFonts w:cs="Arial"/>
        </w:rPr>
      </w:pPr>
    </w:p>
    <w:p w14:paraId="0E651988" w14:textId="4A307196" w:rsidR="00664420" w:rsidRPr="00234CCC" w:rsidRDefault="00DA5A30" w:rsidP="00234CCC">
      <w:pPr>
        <w:pStyle w:val="Ttulo3"/>
        <w:rPr>
          <w:rFonts w:eastAsia="Times New Roman" w:cs="Arial"/>
          <w:szCs w:val="20"/>
        </w:rPr>
      </w:pPr>
      <w:bookmarkStart w:id="23" w:name="_Toc178874630"/>
      <w:r w:rsidRPr="00234CCC">
        <w:rPr>
          <w:rFonts w:eastAsia="Times New Roman" w:cs="Arial"/>
          <w:szCs w:val="20"/>
        </w:rPr>
        <w:t>g</w:t>
      </w:r>
      <w:r w:rsidR="007517BD" w:rsidRPr="00234CCC">
        <w:rPr>
          <w:rFonts w:eastAsia="Times New Roman" w:cs="Arial"/>
          <w:szCs w:val="20"/>
        </w:rPr>
        <w:t xml:space="preserve">) </w:t>
      </w:r>
      <w:r w:rsidR="00664420" w:rsidRPr="00234CCC">
        <w:rPr>
          <w:rFonts w:eastAsia="Times New Roman" w:cs="Arial"/>
          <w:szCs w:val="20"/>
        </w:rPr>
        <w:t>Cierre de instrucción</w:t>
      </w:r>
      <w:bookmarkEnd w:id="23"/>
    </w:p>
    <w:p w14:paraId="79AF95DC" w14:textId="377A814B" w:rsidR="00664420" w:rsidRPr="00234CCC" w:rsidRDefault="00BF091A" w:rsidP="00234CCC">
      <w:r w:rsidRPr="00234CCC">
        <w:rPr>
          <w:rFonts w:cs="Tahoma"/>
          <w:szCs w:val="22"/>
        </w:rPr>
        <w:t>Al no existir diligencias pendientes por desahogar</w:t>
      </w:r>
      <w:r w:rsidRPr="00234CCC">
        <w:rPr>
          <w:rFonts w:cs="Arial"/>
        </w:rPr>
        <w:t xml:space="preserve">, el </w:t>
      </w:r>
      <w:bookmarkStart w:id="24" w:name="_Hlk104892386"/>
      <w:r w:rsidR="005C3593" w:rsidRPr="00234CCC">
        <w:rPr>
          <w:rFonts w:cs="Arial"/>
          <w:b/>
        </w:rPr>
        <w:t xml:space="preserve">dos de octubre </w:t>
      </w:r>
      <w:bookmarkEnd w:id="24"/>
      <w:r w:rsidRPr="00234CCC">
        <w:rPr>
          <w:rFonts w:cs="Arial"/>
          <w:b/>
        </w:rPr>
        <w:t xml:space="preserve">de dos mil </w:t>
      </w:r>
      <w:r w:rsidR="0075751F" w:rsidRPr="00234CCC">
        <w:rPr>
          <w:rFonts w:cs="Arial"/>
          <w:b/>
        </w:rPr>
        <w:t xml:space="preserve">veinticuatro </w:t>
      </w:r>
      <w:r w:rsidRPr="00234CCC">
        <w:rPr>
          <w:rFonts w:cs="Arial"/>
        </w:rPr>
        <w:t xml:space="preserve">la </w:t>
      </w:r>
      <w:r w:rsidRPr="00234CCC">
        <w:rPr>
          <w:rFonts w:cs="Arial"/>
          <w:b/>
          <w:bCs/>
        </w:rPr>
        <w:t xml:space="preserve">Comisionada </w:t>
      </w:r>
      <w:r w:rsidRPr="00234CCC">
        <w:rPr>
          <w:b/>
        </w:rPr>
        <w:t xml:space="preserve">Sharon Cristina Morales Martínez </w:t>
      </w:r>
      <w:r w:rsidRPr="00234CCC">
        <w:rPr>
          <w:rFonts w:cs="Arial"/>
        </w:rPr>
        <w:t>acordó el cierre de instrucción</w:t>
      </w:r>
      <w:r w:rsidR="0011350D" w:rsidRPr="00234CCC">
        <w:rPr>
          <w:rFonts w:cs="Arial"/>
        </w:rPr>
        <w:t xml:space="preserve"> y</w:t>
      </w:r>
      <w:r w:rsidRPr="00234CCC">
        <w:rPr>
          <w:rFonts w:cs="Arial"/>
        </w:rPr>
        <w:t xml:space="preserve"> </w:t>
      </w:r>
      <w:r w:rsidR="0011350D" w:rsidRPr="00234CCC">
        <w:rPr>
          <w:rFonts w:cs="Arial"/>
        </w:rPr>
        <w:t xml:space="preserve">la </w:t>
      </w:r>
      <w:r w:rsidRPr="00234CCC">
        <w:rPr>
          <w:rFonts w:cs="Arial"/>
        </w:rPr>
        <w:t>remisión del expediente a efecto de ser resuelto, de conformidad con lo establecido en el artículo 185 fracciones VI y VIII de la Ley de Transparencia y Acceso a la Información Pública del Estado de México y Municipios</w:t>
      </w:r>
      <w:r w:rsidRPr="00234CCC">
        <w:t>.</w:t>
      </w:r>
      <w:r w:rsidR="0011350D" w:rsidRPr="00234CCC">
        <w:t xml:space="preserve"> Dicho acuerdo </w:t>
      </w:r>
      <w:r w:rsidR="00664420" w:rsidRPr="00234CCC">
        <w:rPr>
          <w:rFonts w:cs="Tahoma"/>
          <w:szCs w:val="22"/>
        </w:rPr>
        <w:t xml:space="preserve">fue notificado a las partes el mismo día a través del </w:t>
      </w:r>
      <w:r w:rsidR="00664420" w:rsidRPr="00234CCC">
        <w:rPr>
          <w:rFonts w:cs="Tahoma"/>
          <w:szCs w:val="22"/>
          <w:lang w:val="es-ES"/>
        </w:rPr>
        <w:t>SAIMEX</w:t>
      </w:r>
      <w:r w:rsidR="00664420" w:rsidRPr="00234CCC">
        <w:rPr>
          <w:rFonts w:cs="Tahoma"/>
          <w:szCs w:val="22"/>
        </w:rPr>
        <w:t>.</w:t>
      </w:r>
    </w:p>
    <w:p w14:paraId="741683E3" w14:textId="77777777" w:rsidR="0011350D" w:rsidRPr="00234CCC" w:rsidRDefault="0011350D" w:rsidP="00234CCC">
      <w:pPr>
        <w:rPr>
          <w:rFonts w:cs="Tahoma"/>
          <w:szCs w:val="22"/>
        </w:rPr>
      </w:pPr>
    </w:p>
    <w:p w14:paraId="7A9629DE" w14:textId="77777777" w:rsidR="00664420" w:rsidRPr="00234CCC" w:rsidRDefault="00664420" w:rsidP="00234CCC">
      <w:pPr>
        <w:pStyle w:val="Ttulo1"/>
        <w:rPr>
          <w:rFonts w:eastAsiaTheme="minorHAnsi"/>
          <w:lang w:eastAsia="en-US"/>
        </w:rPr>
      </w:pPr>
      <w:bookmarkStart w:id="25" w:name="_Toc178874631"/>
      <w:r w:rsidRPr="00234CCC">
        <w:rPr>
          <w:rFonts w:eastAsiaTheme="minorHAnsi"/>
          <w:lang w:eastAsia="en-US"/>
        </w:rPr>
        <w:t>CONSIDERANDOS</w:t>
      </w:r>
      <w:bookmarkEnd w:id="25"/>
    </w:p>
    <w:p w14:paraId="6DD1243B" w14:textId="77777777" w:rsidR="00664420" w:rsidRPr="00234CCC" w:rsidRDefault="00664420" w:rsidP="00234CCC">
      <w:pPr>
        <w:contextualSpacing/>
        <w:jc w:val="center"/>
        <w:rPr>
          <w:rFonts w:eastAsiaTheme="minorHAnsi" w:cs="Tahoma"/>
          <w:b/>
          <w:szCs w:val="22"/>
          <w:lang w:eastAsia="en-US"/>
        </w:rPr>
      </w:pPr>
    </w:p>
    <w:p w14:paraId="0B67CB92" w14:textId="2E307D3B" w:rsidR="00664420" w:rsidRPr="00234CCC" w:rsidRDefault="00664420" w:rsidP="00234CCC">
      <w:pPr>
        <w:pStyle w:val="Ttulo2"/>
        <w:rPr>
          <w:rFonts w:eastAsia="Batang"/>
        </w:rPr>
      </w:pPr>
      <w:bookmarkStart w:id="26" w:name="_Toc178874632"/>
      <w:r w:rsidRPr="00234CCC">
        <w:rPr>
          <w:rFonts w:eastAsia="Batang"/>
        </w:rPr>
        <w:lastRenderedPageBreak/>
        <w:t xml:space="preserve">PRIMERO. </w:t>
      </w:r>
      <w:r w:rsidR="00BA55A8" w:rsidRPr="00234CCC">
        <w:rPr>
          <w:rFonts w:eastAsia="Batang"/>
        </w:rPr>
        <w:t>Procedibilidad</w:t>
      </w:r>
      <w:bookmarkEnd w:id="26"/>
    </w:p>
    <w:p w14:paraId="39C52BC1" w14:textId="56FCC20D" w:rsidR="00BA55A8" w:rsidRPr="00234CCC" w:rsidRDefault="00BA55A8" w:rsidP="00234CCC">
      <w:pPr>
        <w:pStyle w:val="Ttulo3"/>
      </w:pPr>
      <w:bookmarkStart w:id="27" w:name="_Toc178874633"/>
      <w:r w:rsidRPr="00234CCC">
        <w:t>a) Competencia</w:t>
      </w:r>
      <w:r w:rsidR="00150C49" w:rsidRPr="00234CCC">
        <w:t xml:space="preserve"> del Instituto</w:t>
      </w:r>
      <w:bookmarkEnd w:id="27"/>
    </w:p>
    <w:p w14:paraId="56E64942" w14:textId="6572EDF7" w:rsidR="0011350D" w:rsidRPr="00234CCC" w:rsidRDefault="0011350D" w:rsidP="00234CCC">
      <w:pPr>
        <w:rPr>
          <w:rFonts w:cs="Arial"/>
        </w:rPr>
      </w:pPr>
      <w:r w:rsidRPr="00234CCC">
        <w:t xml:space="preserve">Este Instituto de Transparencia, Acceso a la Información Pública y Protección de Datos Personales del Estado de México y Municipios es competente para conocer y resolver </w:t>
      </w:r>
      <w:r w:rsidR="005F65B7" w:rsidRPr="00234CCC">
        <w:t xml:space="preserve">el </w:t>
      </w:r>
      <w:r w:rsidRPr="00234CCC">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234CCC">
        <w:rPr>
          <w:rFonts w:cs="Arial"/>
        </w:rPr>
        <w:t>; y 9, fracciones I y XXIII y 11 del Reglamento Interior del Instituto de Transparencia, Acceso a la Información Pública y Protección de Datos Personales del Estado de México y Municipios.</w:t>
      </w:r>
    </w:p>
    <w:p w14:paraId="6C36A399" w14:textId="77777777" w:rsidR="00DB1C09" w:rsidRPr="00234CCC" w:rsidRDefault="00DB1C09" w:rsidP="00234CCC">
      <w:pPr>
        <w:rPr>
          <w:rFonts w:cs="Arial"/>
        </w:rPr>
      </w:pPr>
    </w:p>
    <w:p w14:paraId="517A2DD6" w14:textId="4169BE4D" w:rsidR="00664420" w:rsidRPr="00234CCC" w:rsidRDefault="00BA55A8" w:rsidP="00234CCC">
      <w:pPr>
        <w:pStyle w:val="Ttulo3"/>
      </w:pPr>
      <w:bookmarkStart w:id="28" w:name="_Toc178874634"/>
      <w:r w:rsidRPr="00234CCC">
        <w:t>b)</w:t>
      </w:r>
      <w:r w:rsidR="00664420" w:rsidRPr="00234CCC">
        <w:t xml:space="preserve"> </w:t>
      </w:r>
      <w:r w:rsidR="00D91CB4" w:rsidRPr="00234CCC">
        <w:t>Legitimidad</w:t>
      </w:r>
      <w:r w:rsidRPr="00234CCC">
        <w:t xml:space="preserve"> de la parte recurrente</w:t>
      </w:r>
      <w:bookmarkEnd w:id="28"/>
    </w:p>
    <w:p w14:paraId="26FEA382" w14:textId="0B06695C" w:rsidR="00D91CB4" w:rsidRPr="00234CCC" w:rsidRDefault="00D91CB4" w:rsidP="00234CCC">
      <w:pPr>
        <w:rPr>
          <w:rFonts w:cs="Arial"/>
          <w:bCs/>
        </w:rPr>
      </w:pPr>
      <w:r w:rsidRPr="00234CCC">
        <w:rPr>
          <w:rFonts w:cs="Arial"/>
          <w:bCs/>
        </w:rPr>
        <w:t>El recurso de revisión fue interpuesto por parte legítima, ya que se presentó por la misma persona que formuló la solicitud de acceso a la Información Pública,</w:t>
      </w:r>
      <w:r w:rsidRPr="00234CCC">
        <w:rPr>
          <w:rFonts w:cs="Arial"/>
          <w:b/>
          <w:bCs/>
        </w:rPr>
        <w:t xml:space="preserve"> </w:t>
      </w:r>
      <w:r w:rsidRPr="00234CCC">
        <w:rPr>
          <w:rFonts w:cs="Arial"/>
        </w:rPr>
        <w:t>debido a que los datos de acceso</w:t>
      </w:r>
      <w:r w:rsidRPr="00234CCC">
        <w:rPr>
          <w:rFonts w:cs="Arial"/>
          <w:b/>
          <w:bCs/>
        </w:rPr>
        <w:t xml:space="preserve"> </w:t>
      </w:r>
      <w:r w:rsidRPr="00234CCC">
        <w:rPr>
          <w:rFonts w:cs="Arial"/>
          <w:b/>
        </w:rPr>
        <w:t>SAIMEX</w:t>
      </w:r>
      <w:r w:rsidRPr="00234CCC">
        <w:rPr>
          <w:rFonts w:eastAsia="Calibri" w:cs="Arial"/>
          <w:lang w:eastAsia="en-US"/>
        </w:rPr>
        <w:t xml:space="preserve"> son personales e irrepetibles.</w:t>
      </w:r>
    </w:p>
    <w:p w14:paraId="2C367810" w14:textId="77777777" w:rsidR="00D91CB4" w:rsidRPr="00234CCC" w:rsidRDefault="00D91CB4" w:rsidP="00234CCC"/>
    <w:p w14:paraId="5C5FA5A8" w14:textId="77777777" w:rsidR="004565C2" w:rsidRPr="00234CCC" w:rsidRDefault="004565C2" w:rsidP="00234CCC">
      <w:pPr>
        <w:pStyle w:val="Ttulo3"/>
        <w:rPr>
          <w:rFonts w:eastAsia="Calibri"/>
          <w:lang w:eastAsia="es-ES_tradnl"/>
        </w:rPr>
      </w:pPr>
      <w:bookmarkStart w:id="29" w:name="_Toc170932820"/>
      <w:bookmarkStart w:id="30" w:name="_Toc178874635"/>
      <w:r w:rsidRPr="00234CCC">
        <w:rPr>
          <w:rFonts w:eastAsia="Calibri"/>
          <w:lang w:eastAsia="es-ES_tradnl"/>
        </w:rPr>
        <w:t>c) Plazo para interponer el recurso</w:t>
      </w:r>
      <w:bookmarkEnd w:id="29"/>
      <w:bookmarkEnd w:id="30"/>
    </w:p>
    <w:p w14:paraId="5C63152A" w14:textId="45AD3F2B" w:rsidR="004565C2" w:rsidRPr="00234CCC" w:rsidRDefault="004565C2" w:rsidP="00234CCC">
      <w:pPr>
        <w:rPr>
          <w:rFonts w:eastAsiaTheme="minorEastAsia" w:cs="Arial"/>
          <w:lang w:val="es-ES_tradnl"/>
        </w:rPr>
      </w:pPr>
      <w:r w:rsidRPr="00234CCC">
        <w:rPr>
          <w:rFonts w:cs="Arial"/>
          <w:b/>
        </w:rPr>
        <w:t>EL SUJETO OBLIGADO</w:t>
      </w:r>
      <w:r w:rsidRPr="00234CCC">
        <w:rPr>
          <w:rFonts w:cs="Arial"/>
        </w:rPr>
        <w:t xml:space="preserve"> notificó la respuesta a la solicitud de acceso a la Información Pública el </w:t>
      </w:r>
      <w:r w:rsidR="005C3593" w:rsidRPr="00234CCC">
        <w:rPr>
          <w:rFonts w:eastAsia="Palatino Linotype" w:cs="Palatino Linotype"/>
          <w:b/>
        </w:rPr>
        <w:t>treinta de mayo d</w:t>
      </w:r>
      <w:r w:rsidR="009E45F2" w:rsidRPr="00234CCC">
        <w:rPr>
          <w:rFonts w:eastAsia="Palatino Linotype" w:cs="Palatino Linotype"/>
          <w:b/>
        </w:rPr>
        <w:t>e</w:t>
      </w:r>
      <w:r w:rsidRPr="00234CCC">
        <w:rPr>
          <w:rFonts w:eastAsia="Palatino Linotype" w:cs="Palatino Linotype"/>
          <w:b/>
        </w:rPr>
        <w:t xml:space="preserve"> dos mil veinticuatro </w:t>
      </w:r>
      <w:r w:rsidRPr="00234CCC">
        <w:rPr>
          <w:rFonts w:cs="Arial"/>
        </w:rPr>
        <w:t xml:space="preserve">y el recurso </w:t>
      </w:r>
      <w:r w:rsidRPr="00234CCC">
        <w:rPr>
          <w:rFonts w:eastAsia="Palatino Linotype" w:cs="Palatino Linotype"/>
        </w:rPr>
        <w:t xml:space="preserve">que nos ocupa se interpuso el </w:t>
      </w:r>
      <w:r w:rsidR="005C3593" w:rsidRPr="00234CCC">
        <w:rPr>
          <w:rFonts w:eastAsia="Palatino Linotype" w:cs="Palatino Linotype"/>
          <w:b/>
        </w:rPr>
        <w:t xml:space="preserve">treinta y uno de mayo </w:t>
      </w:r>
      <w:r w:rsidRPr="00234CCC">
        <w:rPr>
          <w:rFonts w:eastAsia="Palatino Linotype" w:cs="Palatino Linotype"/>
          <w:b/>
        </w:rPr>
        <w:t>de dos mil veinticuatro</w:t>
      </w:r>
      <w:r w:rsidRPr="00234CCC">
        <w:rPr>
          <w:rFonts w:eastAsia="Palatino Linotype" w:cs="Palatino Linotype"/>
          <w:bCs/>
        </w:rPr>
        <w:t>;</w:t>
      </w:r>
      <w:r w:rsidRPr="00234CCC">
        <w:rPr>
          <w:rFonts w:eastAsia="Palatino Linotype" w:cs="Palatino Linotype"/>
        </w:rPr>
        <w:t xml:space="preserve"> por lo tanto, éste se encuentra dentro del margen temporal previsto en el artículo 178 de la </w:t>
      </w:r>
      <w:r w:rsidRPr="00234CCC">
        <w:rPr>
          <w:rFonts w:cs="Arial"/>
        </w:rPr>
        <w:t xml:space="preserve">Ley de Transparencia y Acceso a la Información Pública del Estado de México y Municipios, </w:t>
      </w:r>
      <w:r w:rsidRPr="00234CCC">
        <w:rPr>
          <w:rFonts w:eastAsia="Calibri"/>
          <w:lang w:eastAsia="es-ES_tradnl"/>
        </w:rPr>
        <w:t xml:space="preserve">el cual </w:t>
      </w:r>
      <w:r w:rsidRPr="00234CCC">
        <w:rPr>
          <w:rFonts w:cs="Arial"/>
        </w:rPr>
        <w:t xml:space="preserve">transcurrió del </w:t>
      </w:r>
      <w:r w:rsidR="005C3593" w:rsidRPr="00234CCC">
        <w:rPr>
          <w:rFonts w:cs="Arial"/>
          <w:b/>
        </w:rPr>
        <w:t xml:space="preserve">treinta y uno de mayo al veinte de junio </w:t>
      </w:r>
      <w:r w:rsidR="00DA54C1" w:rsidRPr="00234CCC">
        <w:rPr>
          <w:rFonts w:cs="Arial"/>
          <w:b/>
        </w:rPr>
        <w:t xml:space="preserve">de dos mil </w:t>
      </w:r>
      <w:r w:rsidRPr="00234CCC">
        <w:rPr>
          <w:rFonts w:cs="Arial"/>
          <w:b/>
        </w:rPr>
        <w:t>veinticuatro</w:t>
      </w:r>
      <w:r w:rsidRPr="00234CCC">
        <w:rPr>
          <w:rFonts w:cs="Arial"/>
        </w:rPr>
        <w:t xml:space="preserve">, </w:t>
      </w:r>
      <w:r w:rsidRPr="00234CCC">
        <w:rPr>
          <w:rFonts w:eastAsiaTheme="minorEastAsia" w:cs="Arial"/>
          <w:lang w:val="es-ES_tradnl"/>
        </w:rPr>
        <w:t xml:space="preserve">sin contemplar en el cómputo los días </w:t>
      </w:r>
      <w:bookmarkStart w:id="31" w:name="_Hlk62134391"/>
      <w:r w:rsidRPr="00234CCC">
        <w:rPr>
          <w:rFonts w:eastAsiaTheme="minorEastAsia" w:cs="Arial"/>
          <w:lang w:val="es-ES_tradnl"/>
        </w:rPr>
        <w:t xml:space="preserve">sábados, </w:t>
      </w:r>
      <w:r w:rsidRPr="00234CCC">
        <w:rPr>
          <w:rFonts w:eastAsiaTheme="minorEastAsia" w:cs="Arial"/>
          <w:lang w:val="es-ES_tradnl"/>
        </w:rPr>
        <w:lastRenderedPageBreak/>
        <w:t xml:space="preserve">domingos y aquellos considerados como días inhábiles en términos del </w:t>
      </w:r>
      <w:bookmarkEnd w:id="31"/>
      <w:r w:rsidRPr="00234CCC">
        <w:rPr>
          <w:rFonts w:eastAsiaTheme="minorEastAsia" w:cs="Arial"/>
          <w:lang w:val="es-ES_tradnl"/>
        </w:rPr>
        <w:t>Calendario oficial en Materia de Transparencia, Acceso a la Información Pública y Protección de Datos Personales del Estado de México y Municipios, así como de labores del Instituto.</w:t>
      </w:r>
    </w:p>
    <w:p w14:paraId="11CC0EC7" w14:textId="77777777" w:rsidR="004565C2" w:rsidRPr="00234CCC" w:rsidRDefault="004565C2" w:rsidP="00234CCC"/>
    <w:p w14:paraId="46C0EB3A" w14:textId="5A92AF42" w:rsidR="00A53315" w:rsidRPr="00234CCC" w:rsidRDefault="00BA55A8" w:rsidP="00234CCC">
      <w:pPr>
        <w:pStyle w:val="Ttulo3"/>
        <w:rPr>
          <w:rFonts w:eastAsia="Calibri"/>
          <w:lang w:eastAsia="es-ES_tradnl"/>
        </w:rPr>
      </w:pPr>
      <w:bookmarkStart w:id="32" w:name="_Toc178874636"/>
      <w:r w:rsidRPr="00234CCC">
        <w:rPr>
          <w:rFonts w:eastAsia="Calibri"/>
          <w:lang w:eastAsia="es-ES_tradnl"/>
        </w:rPr>
        <w:t>d)</w:t>
      </w:r>
      <w:r w:rsidR="00D91CB4" w:rsidRPr="00234CCC">
        <w:rPr>
          <w:rFonts w:eastAsia="Calibri"/>
          <w:lang w:eastAsia="es-ES_tradnl"/>
        </w:rPr>
        <w:t xml:space="preserve"> </w:t>
      </w:r>
      <w:r w:rsidR="004565C2" w:rsidRPr="00234CCC">
        <w:rPr>
          <w:rFonts w:eastAsia="Calibri"/>
          <w:lang w:eastAsia="es-ES_tradnl"/>
        </w:rPr>
        <w:t>Causal de procedencia</w:t>
      </w:r>
      <w:bookmarkEnd w:id="32"/>
    </w:p>
    <w:p w14:paraId="190404A6" w14:textId="489F8962" w:rsidR="00BA55A8" w:rsidRPr="00234CCC" w:rsidRDefault="00BA55A8" w:rsidP="00234CCC">
      <w:r w:rsidRPr="00234CCC">
        <w:rPr>
          <w:rFonts w:cs="Arial"/>
        </w:rPr>
        <w:t xml:space="preserve">Resulta procedente la interposición del recurso de revisión, ya que </w:t>
      </w:r>
      <w:r w:rsidRPr="00234CCC">
        <w:rPr>
          <w:rFonts w:eastAsia="Calibri" w:cs="Tahoma"/>
          <w:szCs w:val="22"/>
          <w:lang w:eastAsia="es-MX"/>
        </w:rPr>
        <w:t xml:space="preserve">se actualiza la causal de procedencia señalada en el artículo 179, fracción </w:t>
      </w:r>
      <w:r w:rsidR="004565C2" w:rsidRPr="00234CCC">
        <w:rPr>
          <w:rFonts w:eastAsia="Calibri" w:cs="Tahoma"/>
          <w:szCs w:val="22"/>
          <w:lang w:eastAsia="es-MX"/>
        </w:rPr>
        <w:t>I</w:t>
      </w:r>
      <w:r w:rsidRPr="00234CCC">
        <w:rPr>
          <w:rFonts w:cs="Arial"/>
        </w:rPr>
        <w:t xml:space="preserve"> de la </w:t>
      </w:r>
      <w:r w:rsidRPr="00234CCC">
        <w:t>Ley de Transparencia y Acceso a la Información Pública del Estado de México y Municipios.</w:t>
      </w:r>
    </w:p>
    <w:p w14:paraId="0EFF7141" w14:textId="77777777" w:rsidR="00362A11" w:rsidRPr="00234CCC" w:rsidRDefault="00362A11" w:rsidP="00234CCC"/>
    <w:p w14:paraId="2284D7EB" w14:textId="3EE1D036" w:rsidR="00BA55A8" w:rsidRPr="00234CCC" w:rsidRDefault="00362A11" w:rsidP="00234CCC">
      <w:pPr>
        <w:pStyle w:val="Ttulo3"/>
      </w:pPr>
      <w:bookmarkStart w:id="33" w:name="_Toc178874637"/>
      <w:r w:rsidRPr="00234CCC">
        <w:t>e) Requisitos formales para la interposición del recurso</w:t>
      </w:r>
      <w:bookmarkEnd w:id="33"/>
    </w:p>
    <w:p w14:paraId="370ACA33" w14:textId="77777777" w:rsidR="005C3593" w:rsidRPr="00234CCC" w:rsidRDefault="005C3593" w:rsidP="00234CCC">
      <w:pPr>
        <w:rPr>
          <w:rFonts w:cs="Arial"/>
        </w:rPr>
      </w:pPr>
      <w:r w:rsidRPr="00234CCC">
        <w:rPr>
          <w:rFonts w:cs="Arial"/>
          <w:b/>
          <w:bCs/>
        </w:rPr>
        <w:t xml:space="preserve">LA PARTE RECURRENTE </w:t>
      </w:r>
      <w:r w:rsidRPr="00234CCC">
        <w:rPr>
          <w:rFonts w:cs="Arial"/>
        </w:rPr>
        <w:t>acreditó todos y cada uno de los elementos formales exigidos por el artículo 180 de la misma normatividad.</w:t>
      </w:r>
    </w:p>
    <w:p w14:paraId="33FBE9A9" w14:textId="77777777" w:rsidR="005C3593" w:rsidRPr="00234CCC" w:rsidRDefault="005C3593" w:rsidP="00234CCC">
      <w:pPr>
        <w:rPr>
          <w:rFonts w:cs="Arial"/>
        </w:rPr>
      </w:pPr>
    </w:p>
    <w:p w14:paraId="623FB7C8" w14:textId="77777777" w:rsidR="005C3593" w:rsidRPr="00234CCC" w:rsidRDefault="005C3593" w:rsidP="00234CCC">
      <w:pPr>
        <w:rPr>
          <w:rFonts w:cs="Arial"/>
          <w:sz w:val="24"/>
          <w:szCs w:val="24"/>
          <w:lang w:val="es-ES"/>
        </w:rPr>
      </w:pPr>
      <w:r w:rsidRPr="00234CCC">
        <w:rPr>
          <w:sz w:val="24"/>
          <w:szCs w:val="24"/>
          <w:lang w:val="es-ES"/>
        </w:rPr>
        <w:t xml:space="preserve">Sin embargo, es importante mencionar que, de la revisión del expediente electrónico del </w:t>
      </w:r>
      <w:r w:rsidRPr="00234CCC">
        <w:rPr>
          <w:b/>
          <w:bCs/>
          <w:sz w:val="24"/>
          <w:szCs w:val="24"/>
          <w:lang w:val="es-ES"/>
        </w:rPr>
        <w:t>SAIMEX</w:t>
      </w:r>
      <w:r w:rsidRPr="00234CCC">
        <w:rPr>
          <w:bCs/>
          <w:sz w:val="24"/>
          <w:szCs w:val="24"/>
          <w:lang w:val="es-ES"/>
        </w:rPr>
        <w:t>,</w:t>
      </w:r>
      <w:r w:rsidRPr="00234CCC">
        <w:rPr>
          <w:sz w:val="24"/>
          <w:szCs w:val="24"/>
          <w:lang w:val="es-ES"/>
        </w:rPr>
        <w:t xml:space="preserve"> se observa que </w:t>
      </w:r>
      <w:r w:rsidRPr="00234CCC">
        <w:rPr>
          <w:b/>
          <w:bCs/>
          <w:sz w:val="24"/>
          <w:szCs w:val="24"/>
          <w:lang w:val="es-ES"/>
        </w:rPr>
        <w:t>LA PARTE RECURRENTE</w:t>
      </w:r>
      <w:r w:rsidRPr="00234CCC">
        <w:rPr>
          <w:sz w:val="24"/>
          <w:szCs w:val="24"/>
          <w:lang w:val="es-ES"/>
        </w:rPr>
        <w:t xml:space="preserve"> no proporcionó su nombre para ser identificado, lo que en estricto sentido provoca que </w:t>
      </w:r>
      <w:r w:rsidRPr="00234CCC">
        <w:rPr>
          <w:rFonts w:cs="Arial"/>
          <w:sz w:val="24"/>
          <w:szCs w:val="24"/>
          <w:lang w:val="es-ES"/>
        </w:rPr>
        <w:t>no</w:t>
      </w:r>
      <w:r w:rsidRPr="00234CCC">
        <w:rPr>
          <w:sz w:val="24"/>
          <w:szCs w:val="24"/>
          <w:lang w:val="es-ES"/>
        </w:rPr>
        <w:t xml:space="preserve"> se colmen los requisitos establecidos en el artículo 180 de la Ley de Transparencia; sin embargo, el artículo 15 de </w:t>
      </w:r>
      <w:r w:rsidRPr="00234CCC">
        <w:rPr>
          <w:rFonts w:cs="Arial"/>
          <w:sz w:val="24"/>
          <w:szCs w:val="24"/>
          <w:lang w:val="es-ES" w:eastAsia="es-MX"/>
        </w:rPr>
        <w:t xml:space="preserve">Ley de Transparencia y Acceso a la </w:t>
      </w:r>
      <w:r w:rsidRPr="00234CCC">
        <w:rPr>
          <w:rFonts w:cs="Arial"/>
          <w:sz w:val="24"/>
          <w:szCs w:val="24"/>
          <w:lang w:val="es-ES"/>
        </w:rPr>
        <w:t>Información</w:t>
      </w:r>
      <w:r w:rsidRPr="00234CCC">
        <w:rPr>
          <w:rFonts w:cs="Arial"/>
          <w:sz w:val="24"/>
          <w:szCs w:val="24"/>
          <w:lang w:val="es-ES" w:eastAsia="es-MX"/>
        </w:rPr>
        <w:t xml:space="preserve"> Pública del Estado de México y Municipios </w:t>
      </w:r>
      <w:r w:rsidRPr="00234CCC">
        <w:rPr>
          <w:rFonts w:cs="Arial"/>
          <w:iCs/>
          <w:sz w:val="24"/>
          <w:szCs w:val="24"/>
          <w:lang w:val="es-ES"/>
        </w:rPr>
        <w:t xml:space="preserve">prevé que </w:t>
      </w:r>
      <w:r w:rsidRPr="00234CCC">
        <w:rPr>
          <w:sz w:val="24"/>
          <w:szCs w:val="24"/>
          <w:lang w:val="es-ES"/>
        </w:rPr>
        <w:t xml:space="preserve">toda persona tendrá acceso a la información </w:t>
      </w:r>
      <w:r w:rsidRPr="00234CCC">
        <w:rPr>
          <w:rFonts w:cs="Arial"/>
          <w:sz w:val="24"/>
          <w:szCs w:val="24"/>
          <w:lang w:val="es-ES"/>
        </w:rPr>
        <w:t xml:space="preserve">sin necesidad de acreditar interés alguno o justificar su utilización, de lo que se infiere que </w:t>
      </w:r>
      <w:r w:rsidRPr="00234CCC">
        <w:rPr>
          <w:rFonts w:cs="Arial"/>
          <w:b/>
          <w:sz w:val="24"/>
          <w:szCs w:val="24"/>
          <w:u w:val="single"/>
          <w:lang w:val="es-ES"/>
        </w:rPr>
        <w:t xml:space="preserve">el nombre no es un requisito </w:t>
      </w:r>
      <w:r w:rsidRPr="00234CCC">
        <w:rPr>
          <w:rFonts w:cs="Arial"/>
          <w:b/>
          <w:iCs/>
          <w:sz w:val="24"/>
          <w:szCs w:val="24"/>
          <w:u w:val="single"/>
          <w:lang w:val="es-ES"/>
        </w:rPr>
        <w:t>indispensable</w:t>
      </w:r>
      <w:r w:rsidRPr="00234CCC">
        <w:rPr>
          <w:rFonts w:cs="Arial"/>
          <w:sz w:val="24"/>
          <w:szCs w:val="24"/>
          <w:lang w:val="es-ES"/>
        </w:rPr>
        <w:t xml:space="preserve"> para que las y los ciudadanos ejerzan el derecho de acceso a la información pública. </w:t>
      </w:r>
    </w:p>
    <w:p w14:paraId="417A671F" w14:textId="77777777" w:rsidR="005C3593" w:rsidRPr="00234CCC" w:rsidRDefault="005C3593" w:rsidP="00234CCC">
      <w:pPr>
        <w:rPr>
          <w:rFonts w:cs="Arial"/>
          <w:sz w:val="24"/>
          <w:szCs w:val="24"/>
          <w:lang w:val="es-ES"/>
        </w:rPr>
      </w:pPr>
    </w:p>
    <w:p w14:paraId="0FD2E695" w14:textId="77777777" w:rsidR="005C3593" w:rsidRPr="00234CCC" w:rsidRDefault="005C3593" w:rsidP="00234CCC">
      <w:pPr>
        <w:rPr>
          <w:sz w:val="24"/>
          <w:szCs w:val="24"/>
          <w:lang w:val="es-ES"/>
        </w:rPr>
      </w:pPr>
      <w:r w:rsidRPr="00234CCC">
        <w:rPr>
          <w:rFonts w:cs="Arial"/>
          <w:sz w:val="24"/>
          <w:szCs w:val="24"/>
          <w:lang w:val="es-ES"/>
        </w:rPr>
        <w:lastRenderedPageBreak/>
        <w:t>Asimismo, la Ley de la materia prevé en su artículo 155, párrafo segundo la posibilidad de que las solicitudes de información sean anónimas, al utilizar un nombre incompleto o, inclusive un seudónimo.</w:t>
      </w:r>
      <w:r w:rsidRPr="00234CCC">
        <w:rPr>
          <w:sz w:val="24"/>
          <w:szCs w:val="24"/>
          <w:lang w:val="es-ES"/>
        </w:rPr>
        <w:t xml:space="preserve"> En adición a lo anterior, el propio artículo 180, en su último párrafo, establece que cuando el recurso de revisión se interponga de manera electrónica no será indispensable que contenga algunos requisitos, entre ellos, el nombre de </w:t>
      </w:r>
      <w:r w:rsidRPr="00234CCC">
        <w:rPr>
          <w:b/>
          <w:bCs/>
          <w:sz w:val="24"/>
          <w:szCs w:val="24"/>
          <w:lang w:val="es-ES"/>
        </w:rPr>
        <w:t>LA PARTE RECURRENTE</w:t>
      </w:r>
      <w:r w:rsidRPr="00234CCC">
        <w:rPr>
          <w:rFonts w:cs="Arial"/>
          <w:b/>
          <w:sz w:val="24"/>
          <w:szCs w:val="24"/>
          <w:lang w:val="es-ES"/>
        </w:rPr>
        <w:t>;</w:t>
      </w:r>
      <w:r w:rsidRPr="00234CCC">
        <w:rPr>
          <w:sz w:val="24"/>
          <w:szCs w:val="24"/>
          <w:lang w:val="es-ES"/>
        </w:rPr>
        <w:t xml:space="preserve"> por lo que, en el presente caso, al haber sido presentado el recurso de revisión vía </w:t>
      </w:r>
      <w:r w:rsidRPr="00234CCC">
        <w:rPr>
          <w:bCs/>
          <w:sz w:val="24"/>
          <w:szCs w:val="24"/>
          <w:lang w:val="es-ES"/>
        </w:rPr>
        <w:t>SAIMEX</w:t>
      </w:r>
      <w:r w:rsidRPr="00234CCC">
        <w:rPr>
          <w:sz w:val="24"/>
          <w:szCs w:val="24"/>
          <w:lang w:val="es-ES"/>
        </w:rPr>
        <w:t>, dicho requisito resulta innecesario.</w:t>
      </w:r>
    </w:p>
    <w:p w14:paraId="2BE2EBCD" w14:textId="77777777" w:rsidR="00185C7C" w:rsidRPr="00234CCC" w:rsidRDefault="00185C7C" w:rsidP="00234CCC">
      <w:pPr>
        <w:rPr>
          <w:rFonts w:cs="Arial"/>
        </w:rPr>
      </w:pPr>
    </w:p>
    <w:p w14:paraId="457548E9" w14:textId="3F7AF03B" w:rsidR="00C71CEF" w:rsidRPr="00234CCC" w:rsidRDefault="00C71CEF" w:rsidP="00234CCC">
      <w:pPr>
        <w:pStyle w:val="Ttulo2"/>
      </w:pPr>
      <w:bookmarkStart w:id="34" w:name="_Toc178874638"/>
      <w:r w:rsidRPr="00234CCC">
        <w:t>SEGUNDO. Estudio de Fondo</w:t>
      </w:r>
      <w:bookmarkEnd w:id="34"/>
    </w:p>
    <w:p w14:paraId="2A308F59" w14:textId="0FF373F0" w:rsidR="00C049E2" w:rsidRPr="00234CCC" w:rsidRDefault="00C71CEF" w:rsidP="00234CCC">
      <w:pPr>
        <w:pStyle w:val="Ttulo3"/>
      </w:pPr>
      <w:bookmarkStart w:id="35" w:name="_Toc178874639"/>
      <w:r w:rsidRPr="00234CCC">
        <w:t>a</w:t>
      </w:r>
      <w:r w:rsidR="00C049E2" w:rsidRPr="00234CCC">
        <w:t>) Mandato de transparencia y responsabilidad del Sujeto Obligado</w:t>
      </w:r>
      <w:bookmarkEnd w:id="35"/>
    </w:p>
    <w:p w14:paraId="6901A889" w14:textId="59EEDAE1" w:rsidR="00C049E2" w:rsidRPr="00234CCC" w:rsidRDefault="00C049E2" w:rsidP="00234CCC">
      <w:pPr>
        <w:rPr>
          <w:rFonts w:eastAsia="Palatino Linotype"/>
        </w:rPr>
      </w:pPr>
      <w:r w:rsidRPr="00234CCC">
        <w:rPr>
          <w:rFonts w:eastAsia="Palatino Linotype"/>
        </w:rPr>
        <w:t xml:space="preserve">El </w:t>
      </w:r>
      <w:r w:rsidR="00717E59" w:rsidRPr="00234CCC">
        <w:rPr>
          <w:rFonts w:eastAsia="Palatino Linotype"/>
        </w:rPr>
        <w:t>d</w:t>
      </w:r>
      <w:r w:rsidRPr="00234CCC">
        <w:rPr>
          <w:rFonts w:eastAsia="Palatino Linotype"/>
        </w:rPr>
        <w:t xml:space="preserve">erecho de </w:t>
      </w:r>
      <w:r w:rsidR="00717E59" w:rsidRPr="00234CCC">
        <w:rPr>
          <w:rFonts w:eastAsia="Palatino Linotype"/>
        </w:rPr>
        <w:t>a</w:t>
      </w:r>
      <w:r w:rsidRPr="00234CCC">
        <w:rPr>
          <w:rFonts w:eastAsia="Palatino Linotype"/>
        </w:rPr>
        <w:t xml:space="preserve">cceso a la </w:t>
      </w:r>
      <w:r w:rsidR="00717E59" w:rsidRPr="00234CCC">
        <w:rPr>
          <w:rFonts w:eastAsia="Palatino Linotype"/>
        </w:rPr>
        <w:t>i</w:t>
      </w:r>
      <w:r w:rsidRPr="00234CCC">
        <w:rPr>
          <w:rFonts w:eastAsia="Palatino Linotype"/>
        </w:rPr>
        <w:t xml:space="preserve">nformación </w:t>
      </w:r>
      <w:r w:rsidR="00717E59" w:rsidRPr="00234CCC">
        <w:rPr>
          <w:rFonts w:eastAsia="Palatino Linotype"/>
        </w:rPr>
        <w:t>p</w:t>
      </w:r>
      <w:r w:rsidRPr="00234CCC">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234CCC">
        <w:rPr>
          <w:rFonts w:eastAsia="Palatino Linotype"/>
        </w:rPr>
        <w:t>:</w:t>
      </w:r>
    </w:p>
    <w:p w14:paraId="7FAB8D32" w14:textId="77777777" w:rsidR="00C049E2" w:rsidRPr="00234CCC" w:rsidRDefault="00C049E2" w:rsidP="00234CCC">
      <w:pPr>
        <w:rPr>
          <w:rFonts w:eastAsia="Palatino Linotype"/>
        </w:rPr>
      </w:pPr>
    </w:p>
    <w:p w14:paraId="05320813" w14:textId="77777777" w:rsidR="00C049E2" w:rsidRPr="00234CCC" w:rsidRDefault="00C049E2" w:rsidP="00234CCC">
      <w:pPr>
        <w:pStyle w:val="Puesto"/>
        <w:rPr>
          <w:rFonts w:eastAsia="Palatino Linotype"/>
          <w:b/>
        </w:rPr>
      </w:pPr>
      <w:r w:rsidRPr="00234CCC">
        <w:rPr>
          <w:rFonts w:eastAsia="Palatino Linotype"/>
          <w:b/>
        </w:rPr>
        <w:t>Constitución Política de los Estados Unidos Mexicanos</w:t>
      </w:r>
    </w:p>
    <w:p w14:paraId="6B6C67B6" w14:textId="77777777" w:rsidR="00C049E2" w:rsidRPr="00234CCC" w:rsidRDefault="00C049E2" w:rsidP="00234CCC">
      <w:pPr>
        <w:pStyle w:val="Puesto"/>
        <w:rPr>
          <w:rFonts w:eastAsia="Palatino Linotype"/>
          <w:b/>
        </w:rPr>
      </w:pPr>
      <w:r w:rsidRPr="00234CCC">
        <w:rPr>
          <w:rFonts w:eastAsia="Palatino Linotype"/>
        </w:rPr>
        <w:t>“</w:t>
      </w:r>
      <w:r w:rsidRPr="00234CCC">
        <w:rPr>
          <w:rFonts w:eastAsia="Palatino Linotype"/>
          <w:b/>
        </w:rPr>
        <w:t>Artículo 6.</w:t>
      </w:r>
    </w:p>
    <w:p w14:paraId="38D3B4C4" w14:textId="77777777" w:rsidR="00C049E2" w:rsidRPr="00234CCC" w:rsidRDefault="00C049E2" w:rsidP="00234CCC">
      <w:pPr>
        <w:pStyle w:val="Puesto"/>
        <w:rPr>
          <w:rFonts w:eastAsia="Palatino Linotype"/>
        </w:rPr>
      </w:pPr>
      <w:r w:rsidRPr="00234CCC">
        <w:rPr>
          <w:rFonts w:eastAsia="Palatino Linotype"/>
        </w:rPr>
        <w:t>(…)</w:t>
      </w:r>
    </w:p>
    <w:p w14:paraId="2CCAA297" w14:textId="6602827B" w:rsidR="00C049E2" w:rsidRPr="00234CCC" w:rsidRDefault="00C049E2" w:rsidP="00234CCC">
      <w:pPr>
        <w:pStyle w:val="Puesto"/>
        <w:rPr>
          <w:rFonts w:eastAsia="Palatino Linotype"/>
        </w:rPr>
      </w:pPr>
      <w:r w:rsidRPr="00234CCC">
        <w:rPr>
          <w:rFonts w:eastAsia="Palatino Linotype"/>
        </w:rPr>
        <w:t>Para efectos de lo dispuesto en el presente artículo se observará lo siguiente:</w:t>
      </w:r>
    </w:p>
    <w:p w14:paraId="74CC3718" w14:textId="77777777" w:rsidR="00C049E2" w:rsidRPr="00234CCC" w:rsidRDefault="00C049E2" w:rsidP="00234CCC">
      <w:pPr>
        <w:pStyle w:val="Puesto"/>
        <w:rPr>
          <w:rFonts w:eastAsia="Palatino Linotype"/>
        </w:rPr>
      </w:pPr>
      <w:r w:rsidRPr="00234CCC">
        <w:rPr>
          <w:rFonts w:eastAsia="Palatino Linotype"/>
        </w:rPr>
        <w:t>A. Para el ejercicio del derecho de acceso a la información, la Federación y las entidades federativas, en el ámbito de sus respectivas competencias, se regirán por los siguientes principios y bases:</w:t>
      </w:r>
    </w:p>
    <w:p w14:paraId="596A956B" w14:textId="77777777" w:rsidR="00C049E2" w:rsidRPr="00234CCC" w:rsidRDefault="00C049E2" w:rsidP="00234CCC">
      <w:pPr>
        <w:pStyle w:val="Puesto"/>
        <w:rPr>
          <w:rFonts w:eastAsia="Palatino Linotype"/>
        </w:rPr>
      </w:pPr>
      <w:r w:rsidRPr="00234CCC">
        <w:rPr>
          <w:rFonts w:eastAsia="Palatino Linotype"/>
        </w:rPr>
        <w:t xml:space="preserve">I. </w:t>
      </w:r>
      <w:r w:rsidRPr="00234CCC">
        <w:rPr>
          <w:rFonts w:eastAsia="Palatino Linotype"/>
        </w:rPr>
        <w:tab/>
        <w:t xml:space="preserve">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w:t>
      </w:r>
      <w:r w:rsidRPr="00234CCC">
        <w:rPr>
          <w:rFonts w:eastAsia="Palatino Linotype"/>
        </w:rPr>
        <w:lastRenderedPageBreak/>
        <w:t>competencias o funciones, la ley determinará los supuestos específicos bajo los cuales procederá la declaración de inexistencia de la información.”</w:t>
      </w:r>
    </w:p>
    <w:p w14:paraId="68F313E4" w14:textId="77777777" w:rsidR="00C049E2" w:rsidRPr="00234CCC" w:rsidRDefault="00C049E2" w:rsidP="00234CCC">
      <w:pPr>
        <w:pStyle w:val="Puesto"/>
        <w:rPr>
          <w:rFonts w:eastAsia="Palatino Linotype"/>
        </w:rPr>
      </w:pPr>
    </w:p>
    <w:p w14:paraId="504F12DB" w14:textId="77777777" w:rsidR="00C049E2" w:rsidRPr="00234CCC" w:rsidRDefault="00C049E2" w:rsidP="00234CCC">
      <w:pPr>
        <w:pStyle w:val="Puesto"/>
        <w:rPr>
          <w:rFonts w:eastAsia="Palatino Linotype"/>
          <w:b/>
        </w:rPr>
      </w:pPr>
      <w:r w:rsidRPr="00234CCC">
        <w:rPr>
          <w:rFonts w:eastAsia="Palatino Linotype"/>
          <w:b/>
        </w:rPr>
        <w:t>Constitución Política del Estado Libre y Soberano de México</w:t>
      </w:r>
    </w:p>
    <w:p w14:paraId="04932D29" w14:textId="77777777" w:rsidR="00C049E2" w:rsidRPr="00234CCC" w:rsidRDefault="00C049E2" w:rsidP="00234CCC">
      <w:pPr>
        <w:pStyle w:val="Puesto"/>
        <w:rPr>
          <w:rFonts w:eastAsia="Palatino Linotype"/>
          <w:b/>
        </w:rPr>
      </w:pPr>
      <w:r w:rsidRPr="00234CCC">
        <w:rPr>
          <w:rFonts w:eastAsia="Palatino Linotype"/>
        </w:rPr>
        <w:t>“</w:t>
      </w:r>
      <w:r w:rsidRPr="00234CCC">
        <w:rPr>
          <w:rFonts w:eastAsia="Palatino Linotype"/>
          <w:b/>
        </w:rPr>
        <w:t xml:space="preserve">Artículo 5.- </w:t>
      </w:r>
    </w:p>
    <w:p w14:paraId="1D3829F4" w14:textId="77777777" w:rsidR="00C049E2" w:rsidRPr="00234CCC" w:rsidRDefault="00C049E2" w:rsidP="00234CCC">
      <w:pPr>
        <w:pStyle w:val="Puesto"/>
        <w:rPr>
          <w:rFonts w:eastAsia="Palatino Linotype"/>
        </w:rPr>
      </w:pPr>
      <w:r w:rsidRPr="00234CCC">
        <w:rPr>
          <w:rFonts w:eastAsia="Palatino Linotype"/>
        </w:rPr>
        <w:t>(…)</w:t>
      </w:r>
    </w:p>
    <w:p w14:paraId="0EAE47FD" w14:textId="77777777" w:rsidR="00C049E2" w:rsidRPr="00234CCC" w:rsidRDefault="00C049E2" w:rsidP="00234CCC">
      <w:pPr>
        <w:pStyle w:val="Puesto"/>
        <w:rPr>
          <w:rFonts w:eastAsia="Palatino Linotype"/>
        </w:rPr>
      </w:pPr>
      <w:r w:rsidRPr="00234CCC">
        <w:rPr>
          <w:rFonts w:eastAsia="Palatino Linotype"/>
        </w:rPr>
        <w:t>El derecho a la información será garantizado por el Estado. La ley establecerá las previsiones que permitan asegurar la protección, el respeto y la difusión de este derecho.</w:t>
      </w:r>
    </w:p>
    <w:p w14:paraId="4F0C804A" w14:textId="77777777" w:rsidR="00C049E2" w:rsidRPr="00234CCC" w:rsidRDefault="00C049E2" w:rsidP="00234CCC">
      <w:pPr>
        <w:pStyle w:val="Puesto"/>
        <w:rPr>
          <w:rFonts w:eastAsia="Palatino Linotype"/>
        </w:rPr>
      </w:pPr>
      <w:r w:rsidRPr="00234CCC">
        <w:rPr>
          <w:rFonts w:eastAsia="Palatino Linotype"/>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234CCC" w:rsidRDefault="00C049E2" w:rsidP="00234CCC">
      <w:pPr>
        <w:pStyle w:val="Puesto"/>
        <w:rPr>
          <w:rFonts w:eastAsia="Palatino Linotype"/>
        </w:rPr>
      </w:pPr>
      <w:r w:rsidRPr="00234CCC">
        <w:rPr>
          <w:rFonts w:eastAsia="Palatino Linotype"/>
        </w:rPr>
        <w:t>Este derecho se regirá por los principios y bases siguientes:</w:t>
      </w:r>
    </w:p>
    <w:p w14:paraId="4A3E8CBA" w14:textId="77777777" w:rsidR="00C049E2" w:rsidRPr="00234CCC" w:rsidRDefault="00C049E2" w:rsidP="00234CCC">
      <w:pPr>
        <w:pStyle w:val="Puesto"/>
        <w:rPr>
          <w:rFonts w:eastAsia="Palatino Linotype"/>
        </w:rPr>
      </w:pPr>
      <w:r w:rsidRPr="00234CCC">
        <w:rPr>
          <w:rFonts w:eastAsia="Palatino Linotype"/>
        </w:rPr>
        <w:t>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5CA98E37" w14:textId="77777777" w:rsidR="00C049E2" w:rsidRPr="00234CCC" w:rsidRDefault="00C049E2" w:rsidP="00234CCC">
      <w:pPr>
        <w:rPr>
          <w:rFonts w:eastAsia="Palatino Linotype"/>
          <w:b/>
          <w:i/>
        </w:rPr>
      </w:pPr>
    </w:p>
    <w:p w14:paraId="6FC1BB3B" w14:textId="3BF4A33D" w:rsidR="00C049E2" w:rsidRPr="00234CCC" w:rsidRDefault="00717E59" w:rsidP="00234CCC">
      <w:pPr>
        <w:rPr>
          <w:rFonts w:eastAsia="Palatino Linotype"/>
          <w:i/>
        </w:rPr>
      </w:pPr>
      <w:r w:rsidRPr="00234CCC">
        <w:rPr>
          <w:rFonts w:eastAsia="Palatino Linotype"/>
        </w:rPr>
        <w:t xml:space="preserve">Asimismo, </w:t>
      </w:r>
      <w:r w:rsidR="00C049E2" w:rsidRPr="00234CCC">
        <w:rPr>
          <w:rFonts w:eastAsia="Palatino Linotype"/>
        </w:rPr>
        <w:t>el artículo 150 de la Ley de Transparencia y Acceso a la Información Pública del Estado de México y Municipios</w:t>
      </w:r>
      <w:r w:rsidR="00057B2D" w:rsidRPr="00234CCC">
        <w:rPr>
          <w:rFonts w:eastAsia="Palatino Linotype"/>
        </w:rPr>
        <w:t xml:space="preserve"> </w:t>
      </w:r>
      <w:r w:rsidR="00E9335C" w:rsidRPr="00234CCC">
        <w:rPr>
          <w:rFonts w:eastAsia="Palatino Linotype"/>
        </w:rPr>
        <w:t xml:space="preserve">indica </w:t>
      </w:r>
      <w:r w:rsidR="00057B2D" w:rsidRPr="00234CCC">
        <w:rPr>
          <w:rFonts w:eastAsia="Palatino Linotype"/>
        </w:rPr>
        <w:t>que</w:t>
      </w:r>
      <w:r w:rsidR="00C049E2" w:rsidRPr="00234CCC">
        <w:rPr>
          <w:rFonts w:eastAsia="Palatino Linotype"/>
        </w:rPr>
        <w:t xml:space="preserve"> la solicitud es la garantía primaria del Derecho de Acceso a la Información, además, establece que se regirá </w:t>
      </w:r>
      <w:r w:rsidR="00C049E2" w:rsidRPr="00234CCC">
        <w:rPr>
          <w:rFonts w:eastAsia="Palatino Linotype"/>
          <w:i/>
        </w:rPr>
        <w:t>por los principios de simplicidad, rapidez</w:t>
      </w:r>
      <w:r w:rsidR="005F65B7" w:rsidRPr="00234CCC">
        <w:rPr>
          <w:rFonts w:eastAsia="Palatino Linotype"/>
          <w:i/>
        </w:rPr>
        <w:t>,</w:t>
      </w:r>
      <w:r w:rsidR="00C049E2" w:rsidRPr="00234CCC">
        <w:rPr>
          <w:rFonts w:eastAsia="Palatino Linotype"/>
          <w:i/>
        </w:rPr>
        <w:t xml:space="preserve"> gratuidad del procedimiento, auxilio y orientación a los particulare</w:t>
      </w:r>
      <w:r w:rsidR="001A58B3" w:rsidRPr="00234CCC">
        <w:rPr>
          <w:rFonts w:eastAsia="Palatino Linotype"/>
          <w:i/>
        </w:rPr>
        <w:t>s.</w:t>
      </w:r>
    </w:p>
    <w:p w14:paraId="033466A6" w14:textId="77777777" w:rsidR="001A58B3" w:rsidRPr="00234CCC" w:rsidRDefault="001A58B3" w:rsidP="00234CCC">
      <w:pPr>
        <w:rPr>
          <w:rFonts w:eastAsia="Palatino Linotype"/>
          <w:i/>
        </w:rPr>
      </w:pPr>
    </w:p>
    <w:p w14:paraId="04ADA10B" w14:textId="574A944A" w:rsidR="001A58B3" w:rsidRPr="00234CCC" w:rsidRDefault="00233F17" w:rsidP="00234CCC">
      <w:pPr>
        <w:rPr>
          <w:rFonts w:eastAsia="Palatino Linotype" w:cs="Palatino Linotype"/>
          <w:i/>
          <w:szCs w:val="22"/>
        </w:rPr>
      </w:pPr>
      <w:r w:rsidRPr="00234CCC">
        <w:rPr>
          <w:rFonts w:eastAsia="Palatino Linotype" w:cs="Palatino Linotype"/>
        </w:rPr>
        <w:t xml:space="preserve">Por su parte, el artículo 4 de </w:t>
      </w:r>
      <w:r w:rsidR="001A58B3" w:rsidRPr="00234CCC">
        <w:rPr>
          <w:rFonts w:eastAsia="Palatino Linotype" w:cs="Palatino Linotype"/>
        </w:rPr>
        <w:t xml:space="preserve">la Ley de Transparencia y Acceso a la Información Pública del Estado de México y Municipios refiere que toda la información generada, obtenida, adquirida, </w:t>
      </w:r>
      <w:r w:rsidR="001A58B3" w:rsidRPr="00234CCC">
        <w:rPr>
          <w:rFonts w:eastAsia="Palatino Linotype" w:cs="Palatino Linotype"/>
        </w:rPr>
        <w:lastRenderedPageBreak/>
        <w:t>transformada, administrada o en posesión de los sujetos obligados es pública y accesible de manera permanente a cualquier persona, privilegiando el principio de máxima publicidad</w:t>
      </w:r>
      <w:r w:rsidRPr="00234CCC">
        <w:rPr>
          <w:rFonts w:eastAsia="Palatino Linotype" w:cs="Palatino Linotype"/>
        </w:rPr>
        <w:t>.</w:t>
      </w:r>
    </w:p>
    <w:p w14:paraId="1407DBB8" w14:textId="77777777" w:rsidR="001A58B3" w:rsidRPr="00234CCC" w:rsidRDefault="001A58B3" w:rsidP="00234CCC">
      <w:pPr>
        <w:rPr>
          <w:rFonts w:eastAsia="Palatino Linotype" w:cs="Palatino Linotype"/>
        </w:rPr>
      </w:pPr>
    </w:p>
    <w:p w14:paraId="7552AA79" w14:textId="5C52E4A4" w:rsidR="001A58B3" w:rsidRPr="00234CCC" w:rsidRDefault="001A58B3" w:rsidP="00234CCC">
      <w:pPr>
        <w:rPr>
          <w:rFonts w:eastAsia="Palatino Linotype" w:cs="Palatino Linotype"/>
        </w:rPr>
      </w:pPr>
      <w:r w:rsidRPr="00234CCC">
        <w:rPr>
          <w:rFonts w:eastAsia="Palatino Linotype" w:cs="Palatino Linotype"/>
        </w:rPr>
        <w:t xml:space="preserve">Esto es, que los Sujetos Obligados </w:t>
      </w:r>
      <w:r w:rsidR="00FA5957" w:rsidRPr="00234CCC">
        <w:rPr>
          <w:rFonts w:eastAsia="Palatino Linotype" w:cs="Palatino Linotype"/>
        </w:rPr>
        <w:t>deben</w:t>
      </w:r>
      <w:r w:rsidRPr="00234CCC">
        <w:rPr>
          <w:rFonts w:eastAsia="Palatino Linotype" w:cs="Palatino Linotype"/>
        </w:rPr>
        <w:t xml:space="preserve"> atender las solicitudes de acceso a la información pública que se les </w:t>
      </w:r>
      <w:r w:rsidR="00FA5957" w:rsidRPr="00234CCC">
        <w:rPr>
          <w:rFonts w:eastAsia="Palatino Linotype" w:cs="Palatino Linotype"/>
        </w:rPr>
        <w:t>sean realizadas,</w:t>
      </w:r>
      <w:r w:rsidRPr="00234CCC">
        <w:rPr>
          <w:rFonts w:eastAsia="Palatino Linotype" w:cs="Palatino Linotype"/>
        </w:rPr>
        <w:t xml:space="preserve"> y proporcionar la información pública que obre en su poder</w:t>
      </w:r>
      <w:r w:rsidR="00FA5957" w:rsidRPr="00234CCC">
        <w:rPr>
          <w:rFonts w:eastAsia="Palatino Linotype" w:cs="Palatino Linotype"/>
        </w:rPr>
        <w:t>,</w:t>
      </w:r>
      <w:r w:rsidRPr="00234CCC">
        <w:rPr>
          <w:rFonts w:eastAsia="Palatino Linotype" w:cs="Palatino Linotype"/>
        </w:rPr>
        <w:t xml:space="preserve"> conforme </w:t>
      </w:r>
      <w:r w:rsidR="00FA5957" w:rsidRPr="00234CCC">
        <w:rPr>
          <w:rFonts w:eastAsia="Palatino Linotype" w:cs="Palatino Linotype"/>
        </w:rPr>
        <w:t>a</w:t>
      </w:r>
      <w:r w:rsidRPr="00234CCC">
        <w:rPr>
          <w:rFonts w:eastAsia="Palatino Linotype" w:cs="Palatino Linotype"/>
        </w:rPr>
        <w:t xml:space="preserve">l estado </w:t>
      </w:r>
      <w:r w:rsidR="00FA5957" w:rsidRPr="00234CCC">
        <w:rPr>
          <w:rFonts w:eastAsia="Palatino Linotype" w:cs="Palatino Linotype"/>
        </w:rPr>
        <w:t xml:space="preserve">en </w:t>
      </w:r>
      <w:r w:rsidRPr="00234CCC">
        <w:rPr>
          <w:rFonts w:eastAsia="Palatino Linotype" w:cs="Palatino Linotype"/>
        </w:rPr>
        <w:t>que se encuentr</w:t>
      </w:r>
      <w:r w:rsidR="00FA5957" w:rsidRPr="00234CCC">
        <w:rPr>
          <w:rFonts w:eastAsia="Palatino Linotype" w:cs="Palatino Linotype"/>
        </w:rPr>
        <w:t>e, sin que sea necesario</w:t>
      </w:r>
      <w:r w:rsidRPr="00234CCC">
        <w:rPr>
          <w:rFonts w:eastAsia="Palatino Linotype" w:cs="Palatino Linotype"/>
        </w:rPr>
        <w:t xml:space="preserve"> </w:t>
      </w:r>
      <w:r w:rsidR="00FA5957" w:rsidRPr="00234CCC">
        <w:rPr>
          <w:rFonts w:eastAsia="Palatino Linotype" w:cs="Palatino Linotype"/>
        </w:rPr>
        <w:t>procesar</w:t>
      </w:r>
      <w:r w:rsidRPr="00234CCC">
        <w:rPr>
          <w:rFonts w:eastAsia="Palatino Linotype" w:cs="Palatino Linotype"/>
        </w:rPr>
        <w:t xml:space="preserve"> la misma, ni presentarla conforme al interés del solicitante; </w:t>
      </w:r>
      <w:r w:rsidR="00FA5957" w:rsidRPr="00234CCC">
        <w:rPr>
          <w:rFonts w:eastAsia="Palatino Linotype" w:cs="Palatino Linotype"/>
        </w:rPr>
        <w:t>tal y como</w:t>
      </w:r>
      <w:r w:rsidRPr="00234CCC">
        <w:rPr>
          <w:rFonts w:eastAsia="Palatino Linotype" w:cs="Palatino Linotype"/>
        </w:rPr>
        <w:t xml:space="preserve"> lo establece el artículo 12 de la Ley de Transparencia y Acceso a la Información Pública del Estado de México y Municipios</w:t>
      </w:r>
      <w:r w:rsidR="00970EB3" w:rsidRPr="00234CCC">
        <w:rPr>
          <w:rFonts w:eastAsia="Palatino Linotype" w:cs="Palatino Linotype"/>
        </w:rPr>
        <w:t>.</w:t>
      </w:r>
    </w:p>
    <w:p w14:paraId="73245195" w14:textId="77777777" w:rsidR="00970EB3" w:rsidRPr="00234CCC" w:rsidRDefault="00970EB3" w:rsidP="00234CCC">
      <w:pPr>
        <w:rPr>
          <w:rFonts w:eastAsia="Palatino Linotype" w:cs="Palatino Linotype"/>
        </w:rPr>
      </w:pPr>
    </w:p>
    <w:p w14:paraId="7F62D4DF" w14:textId="775730E1" w:rsidR="001A58B3" w:rsidRPr="00234CCC" w:rsidRDefault="001A58B3" w:rsidP="00234CCC">
      <w:pPr>
        <w:rPr>
          <w:rFonts w:eastAsia="Palatino Linotype" w:cs="Palatino Linotype"/>
        </w:rPr>
      </w:pPr>
      <w:r w:rsidRPr="00234CCC">
        <w:rPr>
          <w:rFonts w:eastAsia="Palatino Linotype" w:cs="Palatino Linotype"/>
        </w:rPr>
        <w:t>Es decir, que todo sujeto obligado que genere, recopile, administre, procese, archive, posea o conserven, son responsables de la misma</w:t>
      </w:r>
      <w:r w:rsidR="00970EB3" w:rsidRPr="00234CCC">
        <w:rPr>
          <w:rFonts w:eastAsia="Palatino Linotype" w:cs="Palatino Linotype"/>
        </w:rPr>
        <w:t>,</w:t>
      </w:r>
      <w:r w:rsidRPr="00234CCC">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234CCC">
        <w:rPr>
          <w:rFonts w:eastAsia="Palatino Linotype" w:cs="Palatino Linotype"/>
        </w:rPr>
        <w:t>o</w:t>
      </w:r>
      <w:r w:rsidRPr="00234CCC">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234CCC" w:rsidRDefault="001A58B3" w:rsidP="00234CCC">
      <w:pPr>
        <w:rPr>
          <w:rFonts w:eastAsia="Palatino Linotype" w:cs="Palatino Linotype"/>
        </w:rPr>
      </w:pPr>
    </w:p>
    <w:p w14:paraId="04E42DFE" w14:textId="573F1198" w:rsidR="001A58B3" w:rsidRPr="00234CCC" w:rsidRDefault="001A58B3" w:rsidP="00234CCC">
      <w:pPr>
        <w:rPr>
          <w:rFonts w:eastAsia="Palatino Linotype" w:cs="Palatino Linotype"/>
        </w:rPr>
      </w:pPr>
      <w:r w:rsidRPr="00234CCC">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234CCC">
        <w:rPr>
          <w:rFonts w:eastAsia="Palatino Linotype" w:cs="Palatino Linotype"/>
        </w:rPr>
        <w:t>, s</w:t>
      </w:r>
      <w:r w:rsidRPr="00234CCC">
        <w:rPr>
          <w:rFonts w:eastAsia="Palatino Linotype" w:cs="Palatino Linotype"/>
        </w:rPr>
        <w:t xml:space="preserve">iempre y cuando no se trate de información reservada o </w:t>
      </w:r>
      <w:r w:rsidR="00331F35" w:rsidRPr="00234CCC">
        <w:rPr>
          <w:rFonts w:eastAsia="Palatino Linotype" w:cs="Palatino Linotype"/>
        </w:rPr>
        <w:t>confidencial.</w:t>
      </w:r>
    </w:p>
    <w:p w14:paraId="40C5219F" w14:textId="77777777" w:rsidR="001A58B3" w:rsidRPr="00234CCC" w:rsidRDefault="001A58B3" w:rsidP="00234CCC">
      <w:pPr>
        <w:rPr>
          <w:rFonts w:eastAsia="Palatino Linotype" w:cs="Palatino Linotype"/>
        </w:rPr>
      </w:pPr>
    </w:p>
    <w:p w14:paraId="2E629608" w14:textId="01727E15" w:rsidR="00C049E2" w:rsidRPr="00234CCC" w:rsidRDefault="006067C7" w:rsidP="00234CCC">
      <w:pPr>
        <w:rPr>
          <w:rFonts w:eastAsia="Palatino Linotype"/>
        </w:rPr>
      </w:pPr>
      <w:bookmarkStart w:id="36" w:name="_heading=h.2s8eyo1" w:colFirst="0" w:colLast="0"/>
      <w:bookmarkEnd w:id="36"/>
      <w:r w:rsidRPr="00234CCC">
        <w:rPr>
          <w:rFonts w:eastAsia="Palatino Linotype"/>
        </w:rPr>
        <w:t>Con base en lo anterior</w:t>
      </w:r>
      <w:r w:rsidR="00B22A80" w:rsidRPr="00234CCC">
        <w:rPr>
          <w:rFonts w:eastAsia="Palatino Linotype"/>
        </w:rPr>
        <w:t>, se considera que</w:t>
      </w:r>
      <w:r w:rsidR="00C049E2" w:rsidRPr="00234CCC">
        <w:rPr>
          <w:rFonts w:eastAsia="Palatino Linotype"/>
        </w:rPr>
        <w:t xml:space="preserve"> </w:t>
      </w:r>
      <w:r w:rsidR="00B22A80" w:rsidRPr="00234CCC">
        <w:rPr>
          <w:rFonts w:eastAsia="Palatino Linotype"/>
          <w:b/>
          <w:bCs/>
        </w:rPr>
        <w:t>EL</w:t>
      </w:r>
      <w:r w:rsidR="00C049E2" w:rsidRPr="00234CCC">
        <w:rPr>
          <w:rFonts w:eastAsia="Palatino Linotype"/>
        </w:rPr>
        <w:t xml:space="preserve"> </w:t>
      </w:r>
      <w:r w:rsidR="00C049E2" w:rsidRPr="00234CCC">
        <w:rPr>
          <w:rFonts w:eastAsia="Palatino Linotype"/>
          <w:b/>
        </w:rPr>
        <w:t>SUJETO OBLIGADO</w:t>
      </w:r>
      <w:r w:rsidR="00C049E2" w:rsidRPr="00234CCC">
        <w:rPr>
          <w:rFonts w:eastAsia="Palatino Linotype"/>
        </w:rPr>
        <w:t xml:space="preserve"> </w:t>
      </w:r>
      <w:r w:rsidR="00B22A80" w:rsidRPr="00234CCC">
        <w:rPr>
          <w:rFonts w:eastAsia="Palatino Linotype"/>
        </w:rPr>
        <w:t xml:space="preserve">se </w:t>
      </w:r>
      <w:r w:rsidR="00717E59" w:rsidRPr="00234CCC">
        <w:rPr>
          <w:rFonts w:eastAsia="Palatino Linotype"/>
        </w:rPr>
        <w:t>encontraba</w:t>
      </w:r>
      <w:r w:rsidR="00B22A80" w:rsidRPr="00234CCC">
        <w:rPr>
          <w:rFonts w:eastAsia="Palatino Linotype"/>
        </w:rPr>
        <w:t xml:space="preserve"> compelido a</w:t>
      </w:r>
      <w:r w:rsidR="00C049E2" w:rsidRPr="00234CCC">
        <w:rPr>
          <w:rFonts w:eastAsia="Palatino Linotype"/>
        </w:rPr>
        <w:t xml:space="preserve"> atender la solicitud de acceso a la información </w:t>
      </w:r>
      <w:r w:rsidR="00B22A80" w:rsidRPr="00234CCC">
        <w:rPr>
          <w:rFonts w:eastAsia="Palatino Linotype"/>
        </w:rPr>
        <w:t xml:space="preserve">realizada por </w:t>
      </w:r>
      <w:r w:rsidR="00B22A80" w:rsidRPr="00234CCC">
        <w:rPr>
          <w:rFonts w:eastAsia="Palatino Linotype"/>
          <w:b/>
          <w:bCs/>
        </w:rPr>
        <w:t>LA PARTE RECURRENTE</w:t>
      </w:r>
      <w:r w:rsidR="00331F35" w:rsidRPr="00234CCC">
        <w:rPr>
          <w:rFonts w:eastAsia="Palatino Linotype"/>
        </w:rPr>
        <w:t>.</w:t>
      </w:r>
    </w:p>
    <w:p w14:paraId="1611F147" w14:textId="77777777" w:rsidR="00BD5A7C" w:rsidRPr="00234CCC" w:rsidRDefault="00BD5A7C" w:rsidP="00234CCC">
      <w:pPr>
        <w:rPr>
          <w:rFonts w:eastAsia="Palatino Linotype"/>
        </w:rPr>
      </w:pPr>
    </w:p>
    <w:p w14:paraId="51A0E8B4" w14:textId="676DCA47" w:rsidR="00664420" w:rsidRPr="00234CCC" w:rsidRDefault="00C71CEF" w:rsidP="00234CCC">
      <w:pPr>
        <w:pStyle w:val="Ttulo3"/>
        <w:rPr>
          <w:rFonts w:eastAsia="Calibri"/>
          <w:lang w:eastAsia="es-ES_tradnl"/>
        </w:rPr>
      </w:pPr>
      <w:bookmarkStart w:id="37" w:name="_Toc178874640"/>
      <w:r w:rsidRPr="00234CCC">
        <w:rPr>
          <w:rFonts w:eastAsia="Calibri"/>
          <w:lang w:eastAsia="es-ES_tradnl"/>
        </w:rPr>
        <w:t>b)</w:t>
      </w:r>
      <w:r w:rsidR="00A53315" w:rsidRPr="00234CCC">
        <w:rPr>
          <w:rFonts w:eastAsia="Calibri"/>
          <w:lang w:eastAsia="es-ES_tradnl"/>
        </w:rPr>
        <w:t xml:space="preserve"> </w:t>
      </w:r>
      <w:r w:rsidR="00A21A20" w:rsidRPr="00234CCC">
        <w:rPr>
          <w:rFonts w:eastAsia="Calibri"/>
          <w:lang w:eastAsia="es-ES_tradnl"/>
        </w:rPr>
        <w:t>Controversia a resolver</w:t>
      </w:r>
      <w:bookmarkEnd w:id="37"/>
    </w:p>
    <w:p w14:paraId="14DE0D71" w14:textId="77777777" w:rsidR="005C3593" w:rsidRPr="00234CCC" w:rsidRDefault="00664420" w:rsidP="00234CCC">
      <w:pPr>
        <w:rPr>
          <w:rFonts w:eastAsia="Calibri"/>
          <w:lang w:eastAsia="es-ES_tradnl"/>
        </w:rPr>
      </w:pPr>
      <w:r w:rsidRPr="00234CCC">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234CCC">
        <w:rPr>
          <w:rFonts w:eastAsia="Calibri"/>
          <w:b/>
          <w:bCs/>
          <w:lang w:eastAsia="es-ES_tradnl"/>
        </w:rPr>
        <w:t>LA PARTE RECURRENTE</w:t>
      </w:r>
      <w:r w:rsidR="004565C2" w:rsidRPr="00234CCC">
        <w:rPr>
          <w:rFonts w:eastAsia="Calibri"/>
          <w:lang w:eastAsia="es-ES_tradnl"/>
        </w:rPr>
        <w:t xml:space="preserve"> solicitó</w:t>
      </w:r>
      <w:r w:rsidR="00185C7C" w:rsidRPr="00234CCC">
        <w:rPr>
          <w:rFonts w:eastAsia="Calibri"/>
          <w:lang w:eastAsia="es-ES_tradnl"/>
        </w:rPr>
        <w:t xml:space="preserve"> </w:t>
      </w:r>
      <w:r w:rsidR="005C3593" w:rsidRPr="00234CCC">
        <w:rPr>
          <w:rFonts w:eastAsia="Calibri"/>
          <w:lang w:eastAsia="es-ES_tradnl"/>
        </w:rPr>
        <w:t xml:space="preserve">lo siguiente: </w:t>
      </w:r>
    </w:p>
    <w:p w14:paraId="636B92FA" w14:textId="77777777" w:rsidR="005C3593" w:rsidRPr="00234CCC" w:rsidRDefault="005C3593" w:rsidP="00234CCC">
      <w:pPr>
        <w:rPr>
          <w:rFonts w:eastAsia="Calibri"/>
          <w:lang w:eastAsia="es-ES_tradnl"/>
        </w:rPr>
      </w:pPr>
    </w:p>
    <w:p w14:paraId="0677021B" w14:textId="77777777" w:rsidR="005C3593" w:rsidRPr="00234CCC" w:rsidRDefault="005C3593" w:rsidP="00234CCC">
      <w:pPr>
        <w:pStyle w:val="Prrafodelista"/>
        <w:numPr>
          <w:ilvl w:val="0"/>
          <w:numId w:val="41"/>
        </w:numPr>
        <w:rPr>
          <w:rFonts w:eastAsia="Calibri"/>
          <w:lang w:eastAsia="es-ES_tradnl"/>
        </w:rPr>
      </w:pPr>
      <w:r w:rsidRPr="00234CCC">
        <w:rPr>
          <w:rFonts w:eastAsia="Calibri"/>
          <w:lang w:eastAsia="es-ES_tradnl"/>
        </w:rPr>
        <w:t xml:space="preserve">El nombramiento como consejera propietaria no. 2 de la C. Roxana Hernández Esquivel de la Junta Municipal del IEEM No. 14 con sede en Atlacomulco </w:t>
      </w:r>
    </w:p>
    <w:p w14:paraId="78CCEA47" w14:textId="77777777" w:rsidR="005C3593" w:rsidRPr="00234CCC" w:rsidRDefault="005C3593" w:rsidP="00234CCC">
      <w:pPr>
        <w:pStyle w:val="Prrafodelista"/>
        <w:numPr>
          <w:ilvl w:val="0"/>
          <w:numId w:val="41"/>
        </w:numPr>
        <w:rPr>
          <w:rFonts w:eastAsia="Calibri"/>
          <w:lang w:eastAsia="es-ES_tradnl"/>
        </w:rPr>
      </w:pPr>
      <w:r w:rsidRPr="00234CCC">
        <w:rPr>
          <w:rFonts w:eastAsia="Calibri"/>
          <w:lang w:eastAsia="es-ES_tradnl"/>
        </w:rPr>
        <w:t>Acta de la 1° Sesión de Instalación</w:t>
      </w:r>
    </w:p>
    <w:p w14:paraId="30F2606E" w14:textId="6CED1D90" w:rsidR="005C3593" w:rsidRPr="00234CCC" w:rsidRDefault="005C3593" w:rsidP="00234CCC">
      <w:pPr>
        <w:pStyle w:val="Prrafodelista"/>
        <w:numPr>
          <w:ilvl w:val="0"/>
          <w:numId w:val="41"/>
        </w:numPr>
        <w:rPr>
          <w:rFonts w:eastAsia="Calibri"/>
          <w:lang w:eastAsia="es-ES_tradnl"/>
        </w:rPr>
      </w:pPr>
      <w:r w:rsidRPr="00234CCC">
        <w:rPr>
          <w:rFonts w:eastAsia="Calibri"/>
          <w:lang w:eastAsia="es-ES_tradnl"/>
        </w:rPr>
        <w:t xml:space="preserve">Toma de Protesta del Consejo Municipal No. 14 del IEEM en Atlacomulco. </w:t>
      </w:r>
    </w:p>
    <w:p w14:paraId="2102C780" w14:textId="77777777" w:rsidR="005C3593" w:rsidRPr="00234CCC" w:rsidRDefault="005C3593" w:rsidP="00234CCC">
      <w:pPr>
        <w:rPr>
          <w:rFonts w:ascii="Verdana" w:hAnsi="Verdana"/>
          <w:sz w:val="14"/>
          <w:szCs w:val="14"/>
        </w:rPr>
      </w:pPr>
    </w:p>
    <w:p w14:paraId="02AC3EE3" w14:textId="77777777" w:rsidR="005C3593" w:rsidRPr="00234CCC" w:rsidRDefault="005C3593" w:rsidP="00234CCC">
      <w:pPr>
        <w:rPr>
          <w:rFonts w:eastAsia="Calibri"/>
          <w:lang w:eastAsia="es-ES_tradnl"/>
        </w:rPr>
      </w:pPr>
    </w:p>
    <w:p w14:paraId="1408BBB2" w14:textId="6F34B895" w:rsidR="005C3593" w:rsidRPr="00234CCC" w:rsidRDefault="005C3593" w:rsidP="00234CCC">
      <w:pPr>
        <w:tabs>
          <w:tab w:val="left" w:pos="4962"/>
        </w:tabs>
        <w:contextualSpacing/>
        <w:rPr>
          <w:rFonts w:cs="Tahoma"/>
          <w:b/>
          <w:szCs w:val="22"/>
          <w:lang w:val="es-ES"/>
        </w:rPr>
      </w:pPr>
      <w:r w:rsidRPr="00234CCC">
        <w:rPr>
          <w:rFonts w:eastAsiaTheme="minorHAnsi" w:cs="Tahoma"/>
          <w:bCs/>
          <w:iCs/>
          <w:szCs w:val="22"/>
          <w:lang w:eastAsia="en-US"/>
        </w:rPr>
        <w:t xml:space="preserve">Al respecto </w:t>
      </w:r>
      <w:r w:rsidRPr="00234CCC">
        <w:rPr>
          <w:rFonts w:eastAsiaTheme="minorHAnsi" w:cs="Tahoma"/>
          <w:b/>
          <w:iCs/>
          <w:szCs w:val="22"/>
          <w:lang w:eastAsia="en-US"/>
        </w:rPr>
        <w:t>EL SUJETO OBLIGADO</w:t>
      </w:r>
      <w:r w:rsidRPr="00234CCC">
        <w:rPr>
          <w:rFonts w:eastAsiaTheme="minorHAnsi" w:cs="Tahoma"/>
          <w:bCs/>
          <w:iCs/>
          <w:szCs w:val="22"/>
          <w:lang w:eastAsia="en-US"/>
        </w:rPr>
        <w:t xml:space="preserve"> medularmente </w:t>
      </w:r>
      <w:r w:rsidRPr="00234CCC">
        <w:rPr>
          <w:rFonts w:cs="Tahoma"/>
          <w:szCs w:val="22"/>
          <w:lang w:val="es-ES"/>
        </w:rPr>
        <w:t>refirió que se encontraba en imposibilidad administrativa y humana para hacer entrega de la información  y dar respuesta en la modalidad solicitada, dado que las actividades que realiza la Dirección de Organización son numerosas, extensas pero además fundamentales en varios tramos de</w:t>
      </w:r>
      <w:r w:rsidR="006C6CBA" w:rsidRPr="00234CCC">
        <w:rPr>
          <w:rFonts w:cs="Tahoma"/>
          <w:szCs w:val="22"/>
          <w:lang w:val="es-ES"/>
        </w:rPr>
        <w:t>l proceso electoral</w:t>
      </w:r>
      <w:r w:rsidRPr="00234CCC">
        <w:rPr>
          <w:rFonts w:cs="Tahoma"/>
          <w:szCs w:val="22"/>
          <w:lang w:val="es-ES"/>
        </w:rPr>
        <w:t xml:space="preserve">. </w:t>
      </w:r>
    </w:p>
    <w:p w14:paraId="02DA840E" w14:textId="77777777" w:rsidR="005C3593" w:rsidRPr="00234CCC" w:rsidRDefault="005C3593" w:rsidP="00234CCC">
      <w:pPr>
        <w:tabs>
          <w:tab w:val="left" w:pos="4962"/>
        </w:tabs>
        <w:contextualSpacing/>
        <w:rPr>
          <w:rFonts w:eastAsiaTheme="minorHAnsi" w:cs="Tahoma"/>
          <w:bCs/>
          <w:iCs/>
          <w:szCs w:val="22"/>
          <w:lang w:eastAsia="en-US"/>
        </w:rPr>
      </w:pPr>
    </w:p>
    <w:p w14:paraId="6AB654BE" w14:textId="7E51B8DA" w:rsidR="005C3593" w:rsidRPr="00234CCC" w:rsidRDefault="005C3593" w:rsidP="00234CCC">
      <w:pPr>
        <w:tabs>
          <w:tab w:val="left" w:pos="4962"/>
        </w:tabs>
        <w:contextualSpacing/>
        <w:rPr>
          <w:rFonts w:eastAsiaTheme="minorHAnsi" w:cs="Tahoma"/>
          <w:bCs/>
          <w:iCs/>
          <w:szCs w:val="22"/>
          <w:lang w:eastAsia="en-US"/>
        </w:rPr>
      </w:pPr>
      <w:r w:rsidRPr="00234CCC">
        <w:rPr>
          <w:rFonts w:eastAsiaTheme="minorHAnsi" w:cs="Tahoma"/>
          <w:bCs/>
          <w:iCs/>
          <w:szCs w:val="22"/>
          <w:lang w:eastAsia="en-US"/>
        </w:rPr>
        <w:t xml:space="preserve">Ahora bien, en la interposición del presente recurso </w:t>
      </w:r>
      <w:r w:rsidRPr="00234CCC">
        <w:rPr>
          <w:rFonts w:eastAsiaTheme="minorHAnsi" w:cs="Tahoma"/>
          <w:b/>
          <w:iCs/>
          <w:szCs w:val="22"/>
          <w:lang w:eastAsia="en-US"/>
        </w:rPr>
        <w:t>LA PARTE RECURRENTE</w:t>
      </w:r>
      <w:r w:rsidRPr="00234CCC">
        <w:rPr>
          <w:rFonts w:eastAsiaTheme="minorHAnsi" w:cs="Tahoma"/>
          <w:bCs/>
          <w:iCs/>
          <w:szCs w:val="22"/>
          <w:lang w:eastAsia="en-US"/>
        </w:rPr>
        <w:t xml:space="preserve"> se inconformó medularmente por </w:t>
      </w:r>
      <w:r w:rsidR="006C6CBA" w:rsidRPr="00234CCC">
        <w:rPr>
          <w:rFonts w:eastAsiaTheme="minorHAnsi" w:cs="Tahoma"/>
          <w:bCs/>
          <w:iCs/>
          <w:szCs w:val="22"/>
          <w:lang w:eastAsia="en-US"/>
        </w:rPr>
        <w:t xml:space="preserve">no responder a lo solicitado. </w:t>
      </w:r>
    </w:p>
    <w:p w14:paraId="6FDDDCDB" w14:textId="77777777" w:rsidR="005C3593" w:rsidRPr="00234CCC" w:rsidRDefault="005C3593" w:rsidP="00234CCC">
      <w:pPr>
        <w:tabs>
          <w:tab w:val="left" w:pos="4962"/>
        </w:tabs>
        <w:contextualSpacing/>
        <w:rPr>
          <w:rFonts w:eastAsiaTheme="minorHAnsi" w:cs="Tahoma"/>
          <w:bCs/>
          <w:iCs/>
          <w:szCs w:val="22"/>
          <w:lang w:eastAsia="en-US"/>
        </w:rPr>
      </w:pPr>
    </w:p>
    <w:p w14:paraId="7013445C" w14:textId="588499CF" w:rsidR="006C6CBA" w:rsidRPr="00234CCC" w:rsidRDefault="005C3593" w:rsidP="00234CCC">
      <w:pPr>
        <w:pStyle w:val="Prrafodelista"/>
        <w:widowControl w:val="0"/>
        <w:autoSpaceDE w:val="0"/>
        <w:autoSpaceDN w:val="0"/>
        <w:adjustRightInd w:val="0"/>
        <w:ind w:left="0"/>
      </w:pPr>
      <w:r w:rsidRPr="00234CCC">
        <w:t xml:space="preserve">Asimismo, es importante señalar que </w:t>
      </w:r>
      <w:r w:rsidRPr="00234CCC">
        <w:rPr>
          <w:rFonts w:eastAsiaTheme="minorHAnsi" w:cs="Tahoma"/>
          <w:b/>
          <w:iCs/>
          <w:szCs w:val="22"/>
          <w:lang w:eastAsia="en-US"/>
        </w:rPr>
        <w:t>LA PARTE RECURRENTE</w:t>
      </w:r>
      <w:r w:rsidRPr="00234CCC">
        <w:rPr>
          <w:rFonts w:eastAsiaTheme="minorHAnsi" w:cs="Tahoma"/>
          <w:bCs/>
          <w:iCs/>
          <w:szCs w:val="22"/>
          <w:lang w:eastAsia="en-US"/>
        </w:rPr>
        <w:t xml:space="preserve"> </w:t>
      </w:r>
      <w:r w:rsidRPr="00234CCC">
        <w:rPr>
          <w:rFonts w:cs="Arial"/>
        </w:rPr>
        <w:t xml:space="preserve">no realizó manifestaciones, alegatos o pruebas y por su parte </w:t>
      </w:r>
      <w:r w:rsidRPr="00234CCC">
        <w:rPr>
          <w:rFonts w:cs="Arial"/>
          <w:b/>
        </w:rPr>
        <w:t xml:space="preserve">EL SUJETO OBLIGADO </w:t>
      </w:r>
      <w:r w:rsidR="006C6CBA" w:rsidRPr="00234CCC">
        <w:rPr>
          <w:rFonts w:cs="Arial"/>
        </w:rPr>
        <w:t xml:space="preserve">mediante </w:t>
      </w:r>
      <w:r w:rsidRPr="00234CCC">
        <w:t>Informe Justificado</w:t>
      </w:r>
      <w:r w:rsidR="006C6CBA" w:rsidRPr="00234CCC">
        <w:t xml:space="preserve"> medularmente reiteró el cambio de modalidad de entrega de la información.</w:t>
      </w:r>
    </w:p>
    <w:p w14:paraId="5EF3B85C" w14:textId="77777777" w:rsidR="006C6CBA" w:rsidRPr="00234CCC" w:rsidRDefault="006C6CBA" w:rsidP="00234CCC">
      <w:pPr>
        <w:pStyle w:val="Prrafodelista"/>
        <w:widowControl w:val="0"/>
        <w:autoSpaceDE w:val="0"/>
        <w:autoSpaceDN w:val="0"/>
        <w:adjustRightInd w:val="0"/>
        <w:ind w:left="0"/>
      </w:pPr>
    </w:p>
    <w:p w14:paraId="414FD2D5" w14:textId="4408E416" w:rsidR="00664420" w:rsidRPr="00234CCC" w:rsidRDefault="00A21A20" w:rsidP="00234CCC">
      <w:pPr>
        <w:pStyle w:val="Ttulo3"/>
      </w:pPr>
      <w:bookmarkStart w:id="38" w:name="_Toc178874641"/>
      <w:r w:rsidRPr="00234CCC">
        <w:t>c)</w:t>
      </w:r>
      <w:r w:rsidR="00664420" w:rsidRPr="00234CCC">
        <w:t xml:space="preserve"> </w:t>
      </w:r>
      <w:r w:rsidRPr="00234CCC">
        <w:t>Estudio de la controversia</w:t>
      </w:r>
      <w:bookmarkEnd w:id="38"/>
    </w:p>
    <w:p w14:paraId="37D60148" w14:textId="77777777" w:rsidR="002E728E" w:rsidRPr="00234CCC" w:rsidRDefault="002E728E" w:rsidP="00234CCC">
      <w:pPr>
        <w:pStyle w:val="Prrafodelista"/>
        <w:widowControl w:val="0"/>
        <w:autoSpaceDE w:val="0"/>
        <w:autoSpaceDN w:val="0"/>
        <w:adjustRightInd w:val="0"/>
        <w:ind w:left="0"/>
        <w:rPr>
          <w:lang w:eastAsia="es-MX"/>
        </w:rPr>
      </w:pPr>
      <w:r w:rsidRPr="00234CCC">
        <w:rPr>
          <w:lang w:eastAsia="es-MX"/>
        </w:rPr>
        <w:t xml:space="preserve">Es así que, derivado que la solicitud se encuentra relacionado con el Consejo Municipal es </w:t>
      </w:r>
      <w:r w:rsidRPr="00234CCC">
        <w:rPr>
          <w:lang w:eastAsia="es-MX"/>
        </w:rPr>
        <w:lastRenderedPageBreak/>
        <w:t xml:space="preserve">necesario traer a contexto el Código Electoral del Estado de México, en la parte que nos interesa señala lo siguiente: </w:t>
      </w:r>
    </w:p>
    <w:p w14:paraId="097CEB49" w14:textId="77777777" w:rsidR="002E728E" w:rsidRPr="00234CCC" w:rsidRDefault="002E728E" w:rsidP="00234CCC">
      <w:pPr>
        <w:pStyle w:val="Prrafodelista"/>
        <w:widowControl w:val="0"/>
        <w:autoSpaceDE w:val="0"/>
        <w:autoSpaceDN w:val="0"/>
        <w:adjustRightInd w:val="0"/>
        <w:ind w:left="0"/>
        <w:rPr>
          <w:lang w:eastAsia="es-MX"/>
        </w:rPr>
      </w:pPr>
    </w:p>
    <w:p w14:paraId="40AB88F1" w14:textId="77777777" w:rsidR="002E728E" w:rsidRPr="00234CCC" w:rsidRDefault="002E728E" w:rsidP="00234CCC">
      <w:pPr>
        <w:pStyle w:val="Puesto"/>
      </w:pPr>
      <w:r w:rsidRPr="00234CCC">
        <w:t>“</w:t>
      </w:r>
      <w:r w:rsidRPr="00234CCC">
        <w:rPr>
          <w:b/>
        </w:rPr>
        <w:t xml:space="preserve">Artículo 214. </w:t>
      </w:r>
      <w:r w:rsidRPr="00234CCC">
        <w:t xml:space="preserve">En cada uno de los municipios de la entidad, el Instituto contará con los siguientes órganos: </w:t>
      </w:r>
    </w:p>
    <w:p w14:paraId="726342D5" w14:textId="77777777" w:rsidR="00D83758" w:rsidRPr="00234CCC" w:rsidRDefault="00D83758" w:rsidP="00234CCC"/>
    <w:p w14:paraId="20A2C827" w14:textId="77777777" w:rsidR="002E728E" w:rsidRPr="00234CCC" w:rsidRDefault="002E728E" w:rsidP="00234CCC">
      <w:pPr>
        <w:pStyle w:val="Puesto"/>
      </w:pPr>
      <w:r w:rsidRPr="00234CCC">
        <w:t xml:space="preserve">I. La Junta Municipal. </w:t>
      </w:r>
    </w:p>
    <w:p w14:paraId="49B7508C" w14:textId="77777777" w:rsidR="002E728E" w:rsidRPr="00234CCC" w:rsidRDefault="002E728E" w:rsidP="00234CCC">
      <w:pPr>
        <w:pStyle w:val="Puesto"/>
        <w:rPr>
          <w:b/>
        </w:rPr>
      </w:pPr>
      <w:r w:rsidRPr="00234CCC">
        <w:rPr>
          <w:b/>
        </w:rPr>
        <w:t xml:space="preserve">II. El Consejo Municipal Electoral. </w:t>
      </w:r>
    </w:p>
    <w:p w14:paraId="63185680" w14:textId="77777777" w:rsidR="002E728E" w:rsidRPr="00234CCC" w:rsidRDefault="002E728E" w:rsidP="00234CCC">
      <w:pPr>
        <w:pStyle w:val="Puesto"/>
      </w:pPr>
    </w:p>
    <w:p w14:paraId="6507CEBA" w14:textId="16C8F81B" w:rsidR="00D83758" w:rsidRPr="00234CCC" w:rsidRDefault="00D83758" w:rsidP="00234CCC">
      <w:pPr>
        <w:pStyle w:val="Puesto"/>
      </w:pPr>
      <w:r w:rsidRPr="00234CCC">
        <w:rPr>
          <w:b/>
        </w:rPr>
        <w:t>…</w:t>
      </w:r>
    </w:p>
    <w:p w14:paraId="4ED366F3" w14:textId="77777777" w:rsidR="00D83758" w:rsidRPr="00234CCC" w:rsidRDefault="00D83758" w:rsidP="00234CCC">
      <w:pPr>
        <w:pStyle w:val="Puesto"/>
      </w:pPr>
    </w:p>
    <w:p w14:paraId="1F21659A" w14:textId="77777777" w:rsidR="00D83758" w:rsidRPr="00234CCC" w:rsidRDefault="002E728E" w:rsidP="00234CCC">
      <w:pPr>
        <w:pStyle w:val="Puesto"/>
      </w:pPr>
      <w:r w:rsidRPr="00234CCC">
        <w:rPr>
          <w:b/>
        </w:rPr>
        <w:t>Artículo 217. Los consejos municipales electorales funcionarán durante el proceso para la elección de ayuntamientos y se integrarán con los miembros siguientes:</w:t>
      </w:r>
      <w:r w:rsidRPr="00234CCC">
        <w:t xml:space="preserve"> </w:t>
      </w:r>
    </w:p>
    <w:p w14:paraId="224C6BBC" w14:textId="77777777" w:rsidR="00D83758" w:rsidRPr="00234CCC" w:rsidRDefault="00D83758" w:rsidP="00234CCC"/>
    <w:p w14:paraId="3A83B800" w14:textId="77777777" w:rsidR="00D83758" w:rsidRPr="00234CCC" w:rsidRDefault="002E728E" w:rsidP="00234CCC">
      <w:pPr>
        <w:pStyle w:val="Puesto"/>
        <w:rPr>
          <w:b/>
        </w:rPr>
      </w:pPr>
      <w:r w:rsidRPr="00234CCC">
        <w:rPr>
          <w:b/>
        </w:rPr>
        <w:t xml:space="preserve">I. Dos Consejeros que serán el Vocal Ejecutivo y el Vocal de Organización Electoral de la Junta Municipal correspondiente. Fungirá como presidente del Consejo el Vocal Ejecutivo, con derecho a voz y voto y, en caso de empate, con voto de calidad; y como secretario del Consejo, el Vocal de Organización Electoral, con voz y sin voto, quien auxiliará al presidente en sus funciones y lo suplirá en sus ausencias. </w:t>
      </w:r>
    </w:p>
    <w:p w14:paraId="33B12DD0" w14:textId="77777777" w:rsidR="00D83758" w:rsidRPr="00234CCC" w:rsidRDefault="002E728E" w:rsidP="00234CCC">
      <w:pPr>
        <w:pStyle w:val="Puesto"/>
      </w:pPr>
      <w:r w:rsidRPr="00234CCC">
        <w:rPr>
          <w:b/>
        </w:rPr>
        <w:t>II</w:t>
      </w:r>
      <w:r w:rsidRPr="00234CCC">
        <w:t xml:space="preserve">. Seis Consejeros Electorales con voz y voto. </w:t>
      </w:r>
    </w:p>
    <w:p w14:paraId="7A1F07BC" w14:textId="77777777" w:rsidR="00D83758" w:rsidRPr="00234CCC" w:rsidRDefault="002E728E" w:rsidP="00234CCC">
      <w:pPr>
        <w:pStyle w:val="Puesto"/>
      </w:pPr>
      <w:r w:rsidRPr="00234CCC">
        <w:rPr>
          <w:b/>
        </w:rPr>
        <w:t>III.</w:t>
      </w:r>
      <w:r w:rsidRPr="00234CCC">
        <w:t xml:space="preserve"> Un representante de cada uno de los partidos políticos con registro, quienes tendrán voz y no voto. </w:t>
      </w:r>
    </w:p>
    <w:p w14:paraId="36E2E6CC" w14:textId="77777777" w:rsidR="00D83758" w:rsidRPr="00234CCC" w:rsidRDefault="002E728E" w:rsidP="00234CCC">
      <w:pPr>
        <w:pStyle w:val="Puesto"/>
      </w:pPr>
      <w:r w:rsidRPr="00234CCC">
        <w:rPr>
          <w:b/>
        </w:rPr>
        <w:t xml:space="preserve">Artículo 218. </w:t>
      </w:r>
      <w:r w:rsidRPr="00234CCC">
        <w:t xml:space="preserve">Los Consejeros Electorales de los consejos municipales deberán satisfacer los mismos requisitos que los Consejeros Electorales del Consejo General, así como los lineamientos que emita para el caso el Instituto Nacional Electoral, salvo el de residencia efectiva, que se entenderá referido al Municipio de que se trate, y el de título profesional que no será necesario. </w:t>
      </w:r>
    </w:p>
    <w:p w14:paraId="3EC18D09" w14:textId="77777777" w:rsidR="00D83758" w:rsidRPr="00234CCC" w:rsidRDefault="00D83758" w:rsidP="00234CCC">
      <w:pPr>
        <w:pStyle w:val="Puesto"/>
        <w:rPr>
          <w:b/>
        </w:rPr>
      </w:pPr>
    </w:p>
    <w:p w14:paraId="1E47198F" w14:textId="77777777" w:rsidR="00D83758" w:rsidRPr="00234CCC" w:rsidRDefault="002E728E" w:rsidP="00234CCC">
      <w:pPr>
        <w:pStyle w:val="Puesto"/>
      </w:pPr>
      <w:r w:rsidRPr="00234CCC">
        <w:rPr>
          <w:b/>
        </w:rPr>
        <w:t>Artículo 219.-</w:t>
      </w:r>
      <w:r w:rsidRPr="00234CCC">
        <w:t xml:space="preserve"> </w:t>
      </w:r>
      <w:r w:rsidRPr="00234CCC">
        <w:rPr>
          <w:b/>
        </w:rPr>
        <w:t>Los consejos municipales iniciarán sus sesiones a más tardar dentro de la segunda semana de enero del año de la elección.</w:t>
      </w:r>
      <w:r w:rsidRPr="00234CCC">
        <w:t xml:space="preserve"> </w:t>
      </w:r>
    </w:p>
    <w:p w14:paraId="75D295AD" w14:textId="77777777" w:rsidR="00D83758" w:rsidRPr="00234CCC" w:rsidRDefault="00D83758" w:rsidP="00234CCC">
      <w:pPr>
        <w:pStyle w:val="Puesto"/>
      </w:pPr>
    </w:p>
    <w:p w14:paraId="2AC4F939" w14:textId="77777777" w:rsidR="00D83758" w:rsidRPr="00234CCC" w:rsidRDefault="002E728E" w:rsidP="00234CCC">
      <w:pPr>
        <w:pStyle w:val="Puesto"/>
      </w:pPr>
      <w:r w:rsidRPr="00234CCC">
        <w:rPr>
          <w:b/>
        </w:rPr>
        <w:t>A partir de su instalación y hasta la conclusión del proceso, los consejos municipales sesionarán por lo menos una vez al mes.</w:t>
      </w:r>
      <w:r w:rsidRPr="00234CCC">
        <w:t xml:space="preserve"> </w:t>
      </w:r>
    </w:p>
    <w:p w14:paraId="622B1058" w14:textId="77777777" w:rsidR="00D83758" w:rsidRPr="00234CCC" w:rsidRDefault="00D83758" w:rsidP="00234CCC">
      <w:pPr>
        <w:pStyle w:val="Puesto"/>
      </w:pPr>
    </w:p>
    <w:p w14:paraId="291EFB61" w14:textId="77777777" w:rsidR="00D83758" w:rsidRPr="00234CCC" w:rsidRDefault="002E728E" w:rsidP="00234CCC">
      <w:pPr>
        <w:pStyle w:val="Puesto"/>
      </w:pPr>
      <w:r w:rsidRPr="00234CCC">
        <w:lastRenderedPageBreak/>
        <w:t xml:space="preserve">Para que los consejos municipales puedan sesionar, es necesario que estén presentes la mayoría de sus miembros, entre los que deberá estar el Presidente o, en su ausencia, el Secretario. Sus acuerdos o resoluciones se tomarán por mayoría de votos. El sentido del voto para tomar acuerdos o resoluciones podrá ser a favor o en contra. </w:t>
      </w:r>
    </w:p>
    <w:p w14:paraId="6D85B26A" w14:textId="77777777" w:rsidR="00D83758" w:rsidRPr="00234CCC" w:rsidRDefault="00D83758" w:rsidP="00234CCC">
      <w:pPr>
        <w:pStyle w:val="Puesto"/>
      </w:pPr>
    </w:p>
    <w:p w14:paraId="3D1A8F7C" w14:textId="77777777" w:rsidR="00D83758" w:rsidRPr="00234CCC" w:rsidRDefault="002E728E" w:rsidP="00234CCC">
      <w:pPr>
        <w:pStyle w:val="Puesto"/>
      </w:pPr>
      <w:r w:rsidRPr="00234CCC">
        <w:t xml:space="preserve">En caso de que no se reúna el quórum a que se refiere el párrafo anterior se citará a una nueva sesión, la que se efectuará dentro de las siguientes veinticuatro horas con los integrantes que asistan, dentro de los cuales deberá estar quien presida. </w:t>
      </w:r>
    </w:p>
    <w:p w14:paraId="6386B3BA" w14:textId="77777777" w:rsidR="00D83758" w:rsidRPr="00234CCC" w:rsidRDefault="00D83758" w:rsidP="00234CCC">
      <w:pPr>
        <w:pStyle w:val="Puesto"/>
      </w:pPr>
    </w:p>
    <w:p w14:paraId="419A63A3" w14:textId="289D89F0" w:rsidR="002E728E" w:rsidRPr="00234CCC" w:rsidRDefault="002E728E" w:rsidP="00234CCC">
      <w:pPr>
        <w:pStyle w:val="Puesto"/>
      </w:pPr>
      <w:r w:rsidRPr="00234CCC">
        <w:t>De producirse la ausencia definitiva o, en su caso, de incurrir el Consejero Propietario en dos inasistencias de manera consecutiva sin causa justificada, el suplente será llamado para asumir el cargo del Consejero Electoral propietario hasta el término del proceso electoral; al efecto, será citado para que concurra a la siguiente sesión del Consejo Municipal de que se trate a rendir la protesta de Ley</w:t>
      </w:r>
      <w:r w:rsidR="00D83758" w:rsidRPr="00234CCC">
        <w:t xml:space="preserve">. </w:t>
      </w:r>
    </w:p>
    <w:p w14:paraId="58C0E7C9" w14:textId="77777777" w:rsidR="002E728E" w:rsidRPr="00234CCC" w:rsidRDefault="002E728E" w:rsidP="00234CCC">
      <w:pPr>
        <w:pStyle w:val="Prrafodelista"/>
        <w:widowControl w:val="0"/>
        <w:autoSpaceDE w:val="0"/>
        <w:autoSpaceDN w:val="0"/>
        <w:adjustRightInd w:val="0"/>
        <w:ind w:left="0"/>
      </w:pPr>
    </w:p>
    <w:p w14:paraId="5E0DBF45" w14:textId="77777777" w:rsidR="00250520" w:rsidRPr="00234CCC" w:rsidRDefault="00250520" w:rsidP="00234CCC">
      <w:pPr>
        <w:pStyle w:val="Prrafodelista"/>
        <w:widowControl w:val="0"/>
        <w:autoSpaceDE w:val="0"/>
        <w:autoSpaceDN w:val="0"/>
        <w:adjustRightInd w:val="0"/>
        <w:ind w:left="0"/>
        <w:rPr>
          <w:lang w:eastAsia="es-MX"/>
        </w:rPr>
      </w:pPr>
      <w:r w:rsidRPr="00234CCC">
        <w:rPr>
          <w:lang w:eastAsia="es-MX"/>
        </w:rPr>
        <w:t>Asimismo, es necesario traer a contexto el Reglamento para Órganos Desconcentrados del Instituto Electoral del Estado de México</w:t>
      </w:r>
      <w:r w:rsidRPr="00234CCC">
        <w:rPr>
          <w:rStyle w:val="Refdenotaalpie"/>
          <w:lang w:eastAsia="es-MX"/>
        </w:rPr>
        <w:footnoteReference w:id="2"/>
      </w:r>
      <w:r w:rsidRPr="00234CCC">
        <w:rPr>
          <w:lang w:eastAsia="es-MX"/>
        </w:rPr>
        <w:t xml:space="preserve">, el cual en la parte que nos interesa dispone lo siguiente: </w:t>
      </w:r>
    </w:p>
    <w:p w14:paraId="506F90D5" w14:textId="77777777" w:rsidR="00250520" w:rsidRPr="00234CCC" w:rsidRDefault="00250520" w:rsidP="00234CCC">
      <w:pPr>
        <w:pStyle w:val="Prrafodelista"/>
        <w:widowControl w:val="0"/>
        <w:autoSpaceDE w:val="0"/>
        <w:autoSpaceDN w:val="0"/>
        <w:adjustRightInd w:val="0"/>
        <w:ind w:left="0"/>
        <w:rPr>
          <w:lang w:eastAsia="es-MX"/>
        </w:rPr>
      </w:pPr>
    </w:p>
    <w:p w14:paraId="63142241" w14:textId="77777777" w:rsidR="00250520" w:rsidRPr="00234CCC" w:rsidRDefault="00250520" w:rsidP="00234CCC">
      <w:pPr>
        <w:pStyle w:val="Puesto"/>
        <w:jc w:val="center"/>
        <w:rPr>
          <w:b/>
        </w:rPr>
      </w:pPr>
      <w:r w:rsidRPr="00234CCC">
        <w:rPr>
          <w:b/>
        </w:rPr>
        <w:t>Sección tercera.</w:t>
      </w:r>
    </w:p>
    <w:p w14:paraId="16730084" w14:textId="77777777" w:rsidR="00250520" w:rsidRPr="00234CCC" w:rsidRDefault="00250520" w:rsidP="00234CCC">
      <w:pPr>
        <w:pStyle w:val="Puesto"/>
        <w:jc w:val="center"/>
        <w:rPr>
          <w:b/>
        </w:rPr>
      </w:pPr>
      <w:r w:rsidRPr="00234CCC">
        <w:rPr>
          <w:b/>
        </w:rPr>
        <w:t>De la selección</w:t>
      </w:r>
    </w:p>
    <w:p w14:paraId="54E786D1" w14:textId="77777777" w:rsidR="00250520" w:rsidRPr="00234CCC" w:rsidRDefault="00250520" w:rsidP="00234CCC">
      <w:pPr>
        <w:pStyle w:val="Puesto"/>
        <w:rPr>
          <w:b/>
        </w:rPr>
      </w:pPr>
      <w:r w:rsidRPr="00234CCC">
        <w:rPr>
          <w:b/>
        </w:rPr>
        <w:t>Artículo 84. El Consejo General designará</w:t>
      </w:r>
      <w:r w:rsidRPr="00234CCC">
        <w:t xml:space="preserve">, para la elección a la gubernatura del estado e integrantes de la Legislatura local y de los ayuntamientos, a las consejerías en la </w:t>
      </w:r>
      <w:r w:rsidRPr="00234CCC">
        <w:rPr>
          <w:b/>
        </w:rPr>
        <w:t xml:space="preserve">primera semana del mes de enero del año de la elección de que se trate. </w:t>
      </w:r>
    </w:p>
    <w:p w14:paraId="45C9BB9F" w14:textId="77777777" w:rsidR="00250520" w:rsidRPr="00234CCC" w:rsidRDefault="00250520" w:rsidP="00234CCC">
      <w:pPr>
        <w:pStyle w:val="Puesto"/>
      </w:pPr>
      <w:r w:rsidRPr="00234CCC">
        <w:rPr>
          <w:b/>
        </w:rPr>
        <w:t>Artículo 85</w:t>
      </w:r>
      <w:r w:rsidRPr="00234CCC">
        <w:t xml:space="preserve">. La DO, con el apoyo de la UTAPE y la UIE, garantizando el principio de paridad, elaborará la lista para conformar los consejos distritales, con la propuesta de mínimo 24 y hasta 36 aspirantes idóneas e idóneos (50 % de cada género) que obtuvieron la mayor calificación, lista que estará organizada por distrito electoral local, por género y de manera alfabética comenzando con el primer apellido. Si en el último lugar existiera empate entre dos o más aspirantes, en la integración de la lista se considerará a todas y todos quienes estén en dicho supuesto. </w:t>
      </w:r>
    </w:p>
    <w:p w14:paraId="2658AB7C" w14:textId="77777777" w:rsidR="00250520" w:rsidRPr="00234CCC" w:rsidRDefault="00250520" w:rsidP="00234CCC">
      <w:pPr>
        <w:pStyle w:val="Puesto"/>
      </w:pPr>
      <w:r w:rsidRPr="00234CCC">
        <w:rPr>
          <w:b/>
        </w:rPr>
        <w:t>Artículo 86.</w:t>
      </w:r>
      <w:r w:rsidRPr="00234CCC">
        <w:t xml:space="preserve"> La Junta General analizará y, en su caso, aprobará, acompañando del dictamen correspondiente, la lista que enviará al Consejo General para realizar el procedimiento de insaculación y la designación de las consejerías electorales distritales que </w:t>
      </w:r>
      <w:r w:rsidRPr="00234CCC">
        <w:lastRenderedPageBreak/>
        <w:t xml:space="preserve">integrarán cada uno de los consejos distritales que se instalarán en el Estado de México para organizar, vigilar y desarrollar el proceso electoral, garantizando en todo momento que la lista referida atienda al principio de paridad. </w:t>
      </w:r>
    </w:p>
    <w:p w14:paraId="43C2F20E" w14:textId="77777777" w:rsidR="00250520" w:rsidRPr="00234CCC" w:rsidRDefault="00250520" w:rsidP="00234CCC">
      <w:pPr>
        <w:pStyle w:val="Puesto"/>
      </w:pPr>
      <w:r w:rsidRPr="00234CCC">
        <w:rPr>
          <w:b/>
        </w:rPr>
        <w:t xml:space="preserve">Artículo 87. </w:t>
      </w:r>
      <w:r w:rsidRPr="00234CCC">
        <w:t xml:space="preserve">La DO, garantizando el principio de paridad, integrará y enviará a la Secretaría Ejecutiva, con el apoyo de la UTAPE y de la UIE, la lista para conformar los consejos municipales, con la propuesta de mínimo 24 y hasta 36 aspirantes idóneas e idóneos (50 % de cada género) que obtuvieron la mayor ponderación, lista que estará organizada por municipio, género y de manera alfabética comenzando con el primer apellido. Si en el último lugar existiera empate </w:t>
      </w:r>
      <w:proofErr w:type="spellStart"/>
      <w:r w:rsidRPr="00234CCC">
        <w:t>entredos</w:t>
      </w:r>
      <w:proofErr w:type="spellEnd"/>
      <w:r w:rsidRPr="00234CCC">
        <w:t xml:space="preserve"> o más aspirantes, en la integración de la lista se considerará a todas y todos quienes estén en dicho supuesto. </w:t>
      </w:r>
    </w:p>
    <w:p w14:paraId="5638C249" w14:textId="77777777" w:rsidR="00250520" w:rsidRPr="00234CCC" w:rsidRDefault="00250520" w:rsidP="00234CCC">
      <w:pPr>
        <w:pStyle w:val="Puesto"/>
      </w:pPr>
      <w:r w:rsidRPr="00234CCC">
        <w:t xml:space="preserve">En el caso de aquellos municipios que se integran por varios distritos electorales locales, se considerarán mínimo 24 aspirantes por cada distrito y por cada municipio correspondiente, seleccionados equitativamente de los distritos electorales locales que lo integran, garantizando el principio de paridad y que no hayan resultado insaculados para formar parte de algún consejo distrital. </w:t>
      </w:r>
    </w:p>
    <w:p w14:paraId="512BE8F9" w14:textId="5A825464" w:rsidR="00250520" w:rsidRPr="00234CCC" w:rsidRDefault="00250520" w:rsidP="00234CCC">
      <w:pPr>
        <w:pStyle w:val="Puesto"/>
      </w:pPr>
      <w:r w:rsidRPr="00234CCC">
        <w:rPr>
          <w:b/>
        </w:rPr>
        <w:t>Artículo 88.</w:t>
      </w:r>
      <w:r w:rsidRPr="00234CCC">
        <w:t xml:space="preserve"> La Junta General analizará y, en su caso, aprobará la lista con la propuesta de mínimo 24 y hasta 36 aspirantes idóneos; la enviará, acompañada del dictamen correspondiente, al Consejo General para realizar el procedimiento de insaculación y la designación de las consejerías electorales municipales que integrarán cada uno de los consejos municipales electorales que se instalarán en el Estado de México para organizar, vigilar y desarrollar el proceso electoral.</w:t>
      </w:r>
    </w:p>
    <w:p w14:paraId="54EC736B" w14:textId="77777777" w:rsidR="00250520" w:rsidRPr="00234CCC" w:rsidRDefault="00250520" w:rsidP="00234CCC">
      <w:pPr>
        <w:pStyle w:val="Puesto"/>
      </w:pPr>
      <w:r w:rsidRPr="00234CCC">
        <w:rPr>
          <w:b/>
        </w:rPr>
        <w:t>Artículo 89.</w:t>
      </w:r>
      <w:r w:rsidRPr="00234CCC">
        <w:t xml:space="preserve"> El Consejo General, en sesión pública, llevará a cabo un procedimiento de insaculación electrónico o manual, a partir de la propuesta de las listas de aspirantes diferenciadas por género que al efecto le remita la Junta General, garantizando la misma oportunidad para quienes integran las listas, así como la imparcialidad, la aleatoriedad en la designación, la transparencia y la paridad. </w:t>
      </w:r>
    </w:p>
    <w:p w14:paraId="49BF7CCA" w14:textId="77777777" w:rsidR="00250520" w:rsidRPr="00234CCC" w:rsidRDefault="00250520" w:rsidP="00234CCC">
      <w:pPr>
        <w:pStyle w:val="Puesto"/>
      </w:pPr>
      <w:r w:rsidRPr="00234CCC">
        <w:t xml:space="preserve">Por cada distrito o municipio, se designará, mediante el mismo procedimiento de insaculación, a las ciudadanas y ciudadanos que integrarán una lista de reserva a partir de las personas aspirantes incluidas en las listas presentadas por la Junta General y que no fueron designadas o designados como consejeras o consejeros; a efecto de que a partir de esta lista se realicen las sustituciones de consejeras o consejeros durante el proceso electoral, en estricto orden de prelación y garantizando el principio de paridad, con base en la propia integración de la lista de reserva. </w:t>
      </w:r>
    </w:p>
    <w:p w14:paraId="2A2CBC28" w14:textId="77777777" w:rsidR="00250520" w:rsidRPr="00234CCC" w:rsidRDefault="00250520" w:rsidP="00234CCC">
      <w:pPr>
        <w:pStyle w:val="Puesto"/>
      </w:pPr>
      <w:r w:rsidRPr="00234CCC">
        <w:t xml:space="preserve">El procedimiento de insaculación, electrónica o manual, será aprobado por el Consejo General previo a cada proceso electoral. </w:t>
      </w:r>
    </w:p>
    <w:p w14:paraId="22D2BA80" w14:textId="77777777" w:rsidR="00250520" w:rsidRPr="00234CCC" w:rsidRDefault="00250520" w:rsidP="00234CCC">
      <w:pPr>
        <w:pStyle w:val="Puesto"/>
      </w:pPr>
      <w:r w:rsidRPr="00234CCC">
        <w:rPr>
          <w:b/>
        </w:rPr>
        <w:t>Artículo 90.</w:t>
      </w:r>
      <w:r w:rsidRPr="00234CCC">
        <w:t xml:space="preserve"> Concluida la insaculación, el Consejo General procederá a realizar la designación de las consejerías electorales distritales y municipales, con el voto de al menos cinco de sus integrantes, a través de un acuerdo que deberá contener el similar de Junta </w:t>
      </w:r>
      <w:r w:rsidRPr="00234CCC">
        <w:lastRenderedPageBreak/>
        <w:t xml:space="preserve">General, que hará las veces de dictamen, para lo cual la DO proveerá los elementos para su elaboración. </w:t>
      </w:r>
    </w:p>
    <w:p w14:paraId="63014355" w14:textId="77777777" w:rsidR="00250520" w:rsidRPr="00234CCC" w:rsidRDefault="00250520" w:rsidP="00234CCC">
      <w:pPr>
        <w:pStyle w:val="Puesto"/>
      </w:pPr>
      <w:r w:rsidRPr="00234CCC">
        <w:t xml:space="preserve">Para la designación de las consejerías electorales distritales y municipales, se tomarán en consideración, como mínimo, los criterios orientadores establecidos en el artículo 22, numeral 1, del Reglamento de Elecciones: </w:t>
      </w:r>
    </w:p>
    <w:p w14:paraId="6C4B428A" w14:textId="77777777" w:rsidR="00250520" w:rsidRPr="00234CCC" w:rsidRDefault="00250520" w:rsidP="00234CCC">
      <w:pPr>
        <w:pStyle w:val="Puesto"/>
      </w:pPr>
      <w:r w:rsidRPr="00234CCC">
        <w:rPr>
          <w:b/>
        </w:rPr>
        <w:t>I.</w:t>
      </w:r>
      <w:r w:rsidRPr="00234CCC">
        <w:t xml:space="preserve"> Paridad de Género; </w:t>
      </w:r>
    </w:p>
    <w:p w14:paraId="04968E64" w14:textId="77777777" w:rsidR="00250520" w:rsidRPr="00234CCC" w:rsidRDefault="00250520" w:rsidP="00234CCC">
      <w:pPr>
        <w:pStyle w:val="Puesto"/>
      </w:pPr>
      <w:r w:rsidRPr="00234CCC">
        <w:rPr>
          <w:b/>
        </w:rPr>
        <w:t>II.</w:t>
      </w:r>
      <w:r w:rsidRPr="00234CCC">
        <w:t xml:space="preserve"> Pluralidad cultural de la entidad; </w:t>
      </w:r>
    </w:p>
    <w:p w14:paraId="44A43179" w14:textId="77777777" w:rsidR="00250520" w:rsidRPr="00234CCC" w:rsidRDefault="00250520" w:rsidP="00234CCC">
      <w:pPr>
        <w:pStyle w:val="Puesto"/>
      </w:pPr>
      <w:r w:rsidRPr="00234CCC">
        <w:rPr>
          <w:b/>
        </w:rPr>
        <w:t>III.</w:t>
      </w:r>
      <w:r w:rsidRPr="00234CCC">
        <w:t xml:space="preserve"> Participación comunitaria o ciudadana; </w:t>
      </w:r>
    </w:p>
    <w:p w14:paraId="38DD61C4" w14:textId="77777777" w:rsidR="00250520" w:rsidRPr="00234CCC" w:rsidRDefault="00250520" w:rsidP="00234CCC">
      <w:pPr>
        <w:pStyle w:val="Puesto"/>
      </w:pPr>
      <w:r w:rsidRPr="00234CCC">
        <w:rPr>
          <w:b/>
        </w:rPr>
        <w:t>IV.</w:t>
      </w:r>
      <w:r w:rsidRPr="00234CCC">
        <w:t xml:space="preserve"> Prestigio público y profesional; </w:t>
      </w:r>
    </w:p>
    <w:p w14:paraId="34B9451E" w14:textId="77777777" w:rsidR="00250520" w:rsidRPr="00234CCC" w:rsidRDefault="00250520" w:rsidP="00234CCC">
      <w:pPr>
        <w:pStyle w:val="Puesto"/>
      </w:pPr>
      <w:r w:rsidRPr="00234CCC">
        <w:rPr>
          <w:b/>
        </w:rPr>
        <w:t>V.</w:t>
      </w:r>
      <w:r w:rsidRPr="00234CCC">
        <w:t xml:space="preserve"> Compromiso democrático; y </w:t>
      </w:r>
    </w:p>
    <w:p w14:paraId="278D3BC5" w14:textId="77777777" w:rsidR="00250520" w:rsidRPr="00234CCC" w:rsidRDefault="00250520" w:rsidP="00234CCC">
      <w:pPr>
        <w:pStyle w:val="Puesto"/>
      </w:pPr>
      <w:r w:rsidRPr="00234CCC">
        <w:rPr>
          <w:b/>
        </w:rPr>
        <w:t>VI</w:t>
      </w:r>
      <w:r w:rsidRPr="00234CCC">
        <w:t xml:space="preserve">. Conocimiento de la materia electoral. </w:t>
      </w:r>
    </w:p>
    <w:p w14:paraId="3BB9F845" w14:textId="77777777" w:rsidR="00600D7A" w:rsidRPr="00234CCC" w:rsidRDefault="00250520" w:rsidP="00234CCC">
      <w:pPr>
        <w:pStyle w:val="Puesto"/>
      </w:pPr>
      <w:r w:rsidRPr="00234CCC">
        <w:rPr>
          <w:b/>
        </w:rPr>
        <w:t>Artículo 91</w:t>
      </w:r>
      <w:r w:rsidRPr="00234CCC">
        <w:t xml:space="preserve">. </w:t>
      </w:r>
      <w:r w:rsidRPr="00234CCC">
        <w:rPr>
          <w:b/>
        </w:rPr>
        <w:t>La Presidencia del Consejo General y la Secretaría Ejecutiva expedirán los nombramientos a las personas designadas en las consejerías</w:t>
      </w:r>
      <w:r w:rsidRPr="00234CCC">
        <w:t>.; la duración de</w:t>
      </w:r>
      <w:r w:rsidR="00600D7A" w:rsidRPr="00234CCC">
        <w:t xml:space="preserve"> l</w:t>
      </w:r>
      <w:r w:rsidRPr="00234CCC">
        <w:t xml:space="preserve">os nombramientos será por tiempo determinado, con vigencia a partir de la fecha de la designación o, en su caso, de la fecha en que rindan protesta para el caso de aquellos que durante el proceso electoral asuman el cargo, hasta la conclusión del proceso electoral; o la declaratoria de clausura de los trabajos del consejo distrital o municipal del que formaron parte, de conformidad con lo establecido en el artículo 235 del Código. </w:t>
      </w:r>
    </w:p>
    <w:p w14:paraId="1D1F9AB9" w14:textId="77777777" w:rsidR="00600D7A" w:rsidRPr="00234CCC" w:rsidRDefault="00250520" w:rsidP="00234CCC">
      <w:pPr>
        <w:pStyle w:val="Puesto"/>
      </w:pPr>
      <w:r w:rsidRPr="00234CCC">
        <w:t xml:space="preserve">De igual manera, la vigencia referida en el párrafo anterior concluirá, si se colman los supuestos establecidos en los artículos 211, último párrafo; 219, último párrafo, o 233 del Código, en cuyo caso los nombramientos quedarán sin efectos. </w:t>
      </w:r>
    </w:p>
    <w:p w14:paraId="131DBD34" w14:textId="77777777" w:rsidR="00600D7A" w:rsidRPr="00234CCC" w:rsidRDefault="00250520" w:rsidP="00234CCC">
      <w:pPr>
        <w:pStyle w:val="Puesto"/>
      </w:pPr>
      <w:r w:rsidRPr="00234CCC">
        <w:rPr>
          <w:b/>
        </w:rPr>
        <w:t>Artículo 92.</w:t>
      </w:r>
      <w:r w:rsidRPr="00234CCC">
        <w:t xml:space="preserve"> La DO será la encargada de elaborar y generar los nombramientos a que se refiere el artículo anterior; y, una vez firmados, hacerlos llegar a las consejerías. designadas, a través de las vocalías ejecutivas correspondientes. </w:t>
      </w:r>
    </w:p>
    <w:p w14:paraId="78145C72" w14:textId="77777777" w:rsidR="00600D7A" w:rsidRPr="00234CCC" w:rsidRDefault="00250520" w:rsidP="00234CCC">
      <w:pPr>
        <w:pStyle w:val="Puesto"/>
      </w:pPr>
      <w:r w:rsidRPr="00234CCC">
        <w:rPr>
          <w:b/>
        </w:rPr>
        <w:t>Artículo 93.</w:t>
      </w:r>
      <w:r w:rsidRPr="00234CCC">
        <w:t xml:space="preserve"> El procedimiento de designación de las consejerías electorales distritales y municipales deberá ajustarse al principio de máxima publicidad. </w:t>
      </w:r>
    </w:p>
    <w:p w14:paraId="301A3392" w14:textId="402B6AD7" w:rsidR="00250520" w:rsidRPr="00234CCC" w:rsidRDefault="00250520" w:rsidP="00234CCC">
      <w:pPr>
        <w:pStyle w:val="Puesto"/>
      </w:pPr>
      <w:r w:rsidRPr="00234CCC">
        <w:rPr>
          <w:b/>
        </w:rPr>
        <w:t>Artículo 94.</w:t>
      </w:r>
      <w:r w:rsidRPr="00234CCC">
        <w:t xml:space="preserve"> El resguardo de toda la documentación relativa al procedimiento de designación de consejerías electorales distritales y municipales del IEEM, corresponderá a la DO. Los documentos relacionados con el procedimiento de designación de consejerías electorales distritales y municipales serán públicos, garantizando en todo momento la protección de datos personales de las personas aspirantes.</w:t>
      </w:r>
    </w:p>
    <w:p w14:paraId="5CAE8375" w14:textId="77777777" w:rsidR="00600D7A" w:rsidRPr="00234CCC" w:rsidRDefault="00600D7A" w:rsidP="00234CCC"/>
    <w:p w14:paraId="7B88EBF3" w14:textId="425840CA" w:rsidR="002E728E" w:rsidRPr="00234CCC" w:rsidRDefault="00D83758" w:rsidP="00234CCC">
      <w:pPr>
        <w:pStyle w:val="Prrafodelista"/>
        <w:widowControl w:val="0"/>
        <w:autoSpaceDE w:val="0"/>
        <w:autoSpaceDN w:val="0"/>
        <w:adjustRightInd w:val="0"/>
        <w:ind w:left="0"/>
      </w:pPr>
      <w:r w:rsidRPr="00234CCC">
        <w:t xml:space="preserve">De lo anterior, podemos advertir que el Consejo Municipal se encuentra conformado por </w:t>
      </w:r>
      <w:r w:rsidR="005E629C" w:rsidRPr="00234CCC">
        <w:t xml:space="preserve">dos Consejeros que serán el Vocal Ejecutivo y el Vocal de Organización Electoral de la Junta Municipal correspondiente; seis Consejeros Electorales y un representante. Asimismo el Consejo Municipal iniciará sus sesiones a más tardar dentro de la segunda semana de enero </w:t>
      </w:r>
      <w:r w:rsidR="005E629C" w:rsidRPr="00234CCC">
        <w:lastRenderedPageBreak/>
        <w:t>del año de la elección y a partir de su instalación hasta la conclusión del proceso sesionara</w:t>
      </w:r>
      <w:r w:rsidR="00600D7A" w:rsidRPr="00234CCC">
        <w:t xml:space="preserve">n por lo menos una vez al año. Ahora bien le corresponde a la Presidencia del Consejo General y la Secretaría Ejecutiva expedir los nombramientos a las personas designadas en las consejerías. </w:t>
      </w:r>
    </w:p>
    <w:p w14:paraId="75459F49" w14:textId="2D3ABA33" w:rsidR="002E728E" w:rsidRPr="00234CCC" w:rsidRDefault="002E728E" w:rsidP="00234CCC">
      <w:pPr>
        <w:pStyle w:val="Prrafodelista"/>
        <w:widowControl w:val="0"/>
        <w:autoSpaceDE w:val="0"/>
        <w:autoSpaceDN w:val="0"/>
        <w:adjustRightInd w:val="0"/>
        <w:ind w:left="0"/>
        <w:rPr>
          <w:lang w:eastAsia="es-MX"/>
        </w:rPr>
      </w:pPr>
      <w:r w:rsidRPr="00234CCC">
        <w:rPr>
          <w:lang w:eastAsia="es-MX"/>
        </w:rPr>
        <w:t xml:space="preserve"> </w:t>
      </w:r>
    </w:p>
    <w:p w14:paraId="4DD65943" w14:textId="77777777" w:rsidR="00250520" w:rsidRPr="00234CCC" w:rsidRDefault="00250520" w:rsidP="00234CCC">
      <w:pPr>
        <w:pStyle w:val="Prrafodelista"/>
        <w:widowControl w:val="0"/>
        <w:autoSpaceDE w:val="0"/>
        <w:autoSpaceDN w:val="0"/>
        <w:adjustRightInd w:val="0"/>
        <w:ind w:left="0"/>
        <w:rPr>
          <w:lang w:eastAsia="es-MX"/>
        </w:rPr>
      </w:pPr>
    </w:p>
    <w:p w14:paraId="6BE87ED1" w14:textId="64F3C8D7" w:rsidR="006C6CBA" w:rsidRPr="00234CCC" w:rsidRDefault="005E629C" w:rsidP="00234CCC">
      <w:pPr>
        <w:pStyle w:val="Prrafodelista"/>
        <w:widowControl w:val="0"/>
        <w:autoSpaceDE w:val="0"/>
        <w:autoSpaceDN w:val="0"/>
        <w:adjustRightInd w:val="0"/>
        <w:ind w:left="0"/>
        <w:rPr>
          <w:lang w:eastAsia="es-MX"/>
        </w:rPr>
      </w:pPr>
      <w:r w:rsidRPr="00234CCC">
        <w:rPr>
          <w:lang w:eastAsia="es-MX"/>
        </w:rPr>
        <w:t>Ahora bien</w:t>
      </w:r>
      <w:r w:rsidR="006C6CBA" w:rsidRPr="00234CCC">
        <w:rPr>
          <w:lang w:eastAsia="es-MX"/>
        </w:rPr>
        <w:t xml:space="preserve">, es importante señalar que </w:t>
      </w:r>
      <w:r w:rsidR="006C6CBA" w:rsidRPr="00234CCC">
        <w:rPr>
          <w:b/>
          <w:lang w:eastAsia="es-MX"/>
        </w:rPr>
        <w:t>EL SUJETO OBLIGADO</w:t>
      </w:r>
      <w:r w:rsidR="006C6CBA" w:rsidRPr="00234CCC">
        <w:rPr>
          <w:lang w:eastAsia="es-MX"/>
        </w:rPr>
        <w:t xml:space="preserve"> es competente para generar, recopilar, administrar, manejar, procesar, archivar, corregir o poseer la información requerida por </w:t>
      </w:r>
      <w:r w:rsidR="006C6CBA" w:rsidRPr="00234CCC">
        <w:rPr>
          <w:b/>
          <w:lang w:eastAsia="es-MX"/>
        </w:rPr>
        <w:t>LA PARTE RECURRENTE</w:t>
      </w:r>
      <w:r w:rsidR="006C6CBA" w:rsidRPr="00234CCC">
        <w:rPr>
          <w:lang w:eastAsia="es-MX"/>
        </w:rPr>
        <w:t xml:space="preserve">, derivado de que éste ha asumido la misma, ya que en respuesta realizó el cambio de modalidad de la entrega de la información solicitada. </w:t>
      </w:r>
    </w:p>
    <w:p w14:paraId="515606F8" w14:textId="77777777" w:rsidR="006C6CBA" w:rsidRPr="00234CCC" w:rsidRDefault="006C6CBA" w:rsidP="00234CCC">
      <w:pPr>
        <w:rPr>
          <w:lang w:eastAsia="es-MX"/>
        </w:rPr>
      </w:pPr>
    </w:p>
    <w:p w14:paraId="6C56396C" w14:textId="77777777" w:rsidR="006C6CBA" w:rsidRPr="00234CCC" w:rsidRDefault="006C6CBA" w:rsidP="00234CCC">
      <w:pPr>
        <w:rPr>
          <w:lang w:eastAsia="es-MX"/>
        </w:rPr>
      </w:pPr>
      <w:r w:rsidRPr="00234CCC">
        <w:rPr>
          <w:lang w:eastAsia="es-MX"/>
        </w:rPr>
        <w:t xml:space="preserve">Por lo que, el hecho de que </w:t>
      </w:r>
      <w:r w:rsidRPr="00234CCC">
        <w:rPr>
          <w:b/>
          <w:lang w:eastAsia="es-MX"/>
        </w:rPr>
        <w:t>EL SUJETO OBLIGADO</w:t>
      </w:r>
      <w:r w:rsidRPr="00234CCC">
        <w:rPr>
          <w:lang w:eastAsia="es-MX"/>
        </w:rPr>
        <w:t xml:space="preserve"> haya asumido contar con la información pública solicitada, aceptó que es información que genera, recopila, administra, maneja, procesa, archiva o corrige, en el ejercicio de sus funciones de derecho público, motivo por el cual se actualiza el supuesto jurídico, previsto en el artículo 12 de la Ley de Transparencia y Acceso a la Información Pública del Estado de México y Municipios, que a la letra señala:</w:t>
      </w:r>
    </w:p>
    <w:p w14:paraId="42E5E290" w14:textId="77777777" w:rsidR="006C6CBA" w:rsidRPr="00234CCC" w:rsidRDefault="006C6CBA" w:rsidP="00234CCC">
      <w:pPr>
        <w:rPr>
          <w:lang w:eastAsia="es-MX"/>
        </w:rPr>
      </w:pPr>
    </w:p>
    <w:p w14:paraId="083191BF" w14:textId="77777777" w:rsidR="006C6CBA" w:rsidRPr="00234CCC" w:rsidRDefault="006C6CBA" w:rsidP="00234CCC">
      <w:pPr>
        <w:pStyle w:val="Puesto"/>
        <w:rPr>
          <w:lang w:val="es-ES"/>
        </w:rPr>
      </w:pPr>
      <w:r w:rsidRPr="00234CCC">
        <w:rPr>
          <w:lang w:val="es-ES"/>
        </w:rPr>
        <w:t>“</w:t>
      </w:r>
      <w:r w:rsidRPr="00234CCC">
        <w:rPr>
          <w:b/>
          <w:lang w:val="es-ES"/>
        </w:rPr>
        <w:t>Artículo 12.</w:t>
      </w:r>
      <w:r w:rsidRPr="00234CCC">
        <w:rPr>
          <w:lang w:val="es-ES"/>
        </w:rPr>
        <w:t xml:space="preserve"> Quienes generen, recopilen, administren, manejen, procesen, archiven o conserven información pública serán responsables de la misma en los términos de las disposiciones jurídicas aplicables.</w:t>
      </w:r>
    </w:p>
    <w:p w14:paraId="70B10149" w14:textId="77777777" w:rsidR="006C6CBA" w:rsidRPr="00234CCC" w:rsidRDefault="006C6CBA" w:rsidP="00234CCC">
      <w:pPr>
        <w:pStyle w:val="Puesto"/>
        <w:rPr>
          <w:lang w:val="es-ES"/>
        </w:rPr>
      </w:pPr>
    </w:p>
    <w:p w14:paraId="518B3080" w14:textId="77777777" w:rsidR="006C6CBA" w:rsidRPr="00234CCC" w:rsidRDefault="006C6CBA" w:rsidP="00234CCC">
      <w:pPr>
        <w:pStyle w:val="Puesto"/>
        <w:rPr>
          <w:lang w:val="es-ES"/>
        </w:rPr>
      </w:pPr>
      <w:r w:rsidRPr="00234CCC">
        <w:rPr>
          <w:lang w:val="es-ES"/>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63D07664" w14:textId="77777777" w:rsidR="006C6CBA" w:rsidRPr="00234CCC" w:rsidRDefault="006C6CBA" w:rsidP="00234CCC">
      <w:pPr>
        <w:rPr>
          <w:lang w:eastAsia="es-MX"/>
        </w:rPr>
      </w:pPr>
    </w:p>
    <w:p w14:paraId="4F5AB6A4" w14:textId="77777777" w:rsidR="006C6CBA" w:rsidRPr="00234CCC" w:rsidRDefault="006C6CBA" w:rsidP="00234CCC">
      <w:pPr>
        <w:rPr>
          <w:lang w:eastAsia="es-MX"/>
        </w:rPr>
      </w:pPr>
      <w:r w:rsidRPr="00234CCC">
        <w:rPr>
          <w:lang w:eastAsia="es-MX"/>
        </w:rPr>
        <w:t xml:space="preserve">En atención a lo anterior, el estudio de la naturaleza jurídica de la información pública solicitada, tiene por objeto determinar si </w:t>
      </w:r>
      <w:r w:rsidRPr="00234CCC">
        <w:rPr>
          <w:b/>
          <w:lang w:eastAsia="es-MX"/>
        </w:rPr>
        <w:t>EL SUJETO OBLIGADO</w:t>
      </w:r>
      <w:r w:rsidRPr="00234CCC">
        <w:rPr>
          <w:lang w:eastAsia="es-MX"/>
        </w:rPr>
        <w:t xml:space="preserve"> la genera, recopila, </w:t>
      </w:r>
      <w:r w:rsidRPr="00234CCC">
        <w:rPr>
          <w:lang w:eastAsia="es-MX"/>
        </w:rPr>
        <w:lastRenderedPageBreak/>
        <w:t xml:space="preserve">administra, maneja, procesa, archiva o corrige; sin embargo, en aquellos casos en que éste la asume, a nada práctico nos conduciría su estudio, ya que como se observa de la respuesta vertida por </w:t>
      </w:r>
      <w:r w:rsidRPr="00234CCC">
        <w:rPr>
          <w:b/>
          <w:lang w:eastAsia="es-MX"/>
        </w:rPr>
        <w:t>EL SUJETO OBLIGADO</w:t>
      </w:r>
      <w:r w:rsidRPr="00234CCC">
        <w:rPr>
          <w:lang w:eastAsia="es-MX"/>
        </w:rPr>
        <w:t>, dicha información, fue admitida por el mismo; actualizándose el supuesto artículo 12 de la Ley de la materia, anteriormente referido.</w:t>
      </w:r>
    </w:p>
    <w:p w14:paraId="661D8306" w14:textId="77777777" w:rsidR="006C6CBA" w:rsidRPr="00234CCC" w:rsidRDefault="006C6CBA" w:rsidP="00234CCC">
      <w:pPr>
        <w:rPr>
          <w:rFonts w:cs="Arial"/>
        </w:rPr>
      </w:pPr>
    </w:p>
    <w:p w14:paraId="3DF445E3" w14:textId="77777777" w:rsidR="005B1191" w:rsidRPr="00234CCC" w:rsidRDefault="006C6CBA" w:rsidP="00234CCC">
      <w:r w:rsidRPr="00234CCC">
        <w:rPr>
          <w:rFonts w:cs="Arial"/>
        </w:rPr>
        <w:t xml:space="preserve">Asimismo, es importante destacar que la respuesta fue proporcionada por el servidor público habilitado de la Dirección de </w:t>
      </w:r>
      <w:r w:rsidR="005B1191" w:rsidRPr="00234CCC">
        <w:rPr>
          <w:rFonts w:cs="Arial"/>
        </w:rPr>
        <w:t>Organizació</w:t>
      </w:r>
      <w:r w:rsidRPr="00234CCC">
        <w:rPr>
          <w:rFonts w:cs="Arial"/>
        </w:rPr>
        <w:t>n</w:t>
      </w:r>
      <w:r w:rsidRPr="00234CCC">
        <w:rPr>
          <w:rFonts w:cs="Arial"/>
          <w:lang w:val="es-ES_tradnl"/>
        </w:rPr>
        <w:t xml:space="preserve">, </w:t>
      </w:r>
      <w:r w:rsidR="005B1191" w:rsidRPr="00234CCC">
        <w:rPr>
          <w:rFonts w:cs="Arial"/>
          <w:lang w:val="es-ES_tradnl"/>
        </w:rPr>
        <w:t>que c</w:t>
      </w:r>
      <w:r w:rsidRPr="00234CCC">
        <w:rPr>
          <w:rFonts w:cs="Arial"/>
          <w:lang w:val="es-ES_tradnl"/>
        </w:rPr>
        <w:t xml:space="preserve">onforme </w:t>
      </w:r>
      <w:r w:rsidR="005B1191" w:rsidRPr="00234CCC">
        <w:rPr>
          <w:rFonts w:cs="Arial"/>
          <w:lang w:val="es-ES_tradnl"/>
        </w:rPr>
        <w:t>Manual de Organización del Instituto Electoral del Estado de México</w:t>
      </w:r>
      <w:r w:rsidRPr="00234CCC">
        <w:rPr>
          <w:rStyle w:val="Refdenotaalpie"/>
          <w:rFonts w:cs="Arial"/>
          <w:lang w:val="es-ES_tradnl"/>
        </w:rPr>
        <w:footnoteReference w:id="3"/>
      </w:r>
      <w:r w:rsidRPr="00234CCC">
        <w:rPr>
          <w:rFonts w:cs="Arial"/>
          <w:lang w:val="es-ES_tradnl"/>
        </w:rPr>
        <w:t xml:space="preserve">, es </w:t>
      </w:r>
      <w:r w:rsidR="005B1191" w:rsidRPr="00234CCC">
        <w:rPr>
          <w:rFonts w:cs="Arial"/>
          <w:lang w:val="es-ES_tradnl"/>
        </w:rPr>
        <w:t>la</w:t>
      </w:r>
      <w:r w:rsidRPr="00234CCC">
        <w:rPr>
          <w:rFonts w:cs="Arial"/>
          <w:lang w:val="es-ES_tradnl"/>
        </w:rPr>
        <w:t xml:space="preserve"> dependencia </w:t>
      </w:r>
      <w:r w:rsidR="005B1191" w:rsidRPr="00234CCC">
        <w:rPr>
          <w:rFonts w:cs="Arial"/>
          <w:lang w:val="es-ES_tradnl"/>
        </w:rPr>
        <w:t>encargada de planear</w:t>
      </w:r>
      <w:r w:rsidR="005B1191" w:rsidRPr="00234CCC">
        <w:t>, organizar, dirigir y coordinar las actividades inherentes a la preparación, organización y desarrollo de los procesos electorales en coordinación con el INE; aplicando los procedimientos para el diseño, impresión, producción, resguardo y distribución de la documentación y material electorales; auxiliando en la integración, instalación y funcionamiento de los órganos desconcentrados, así como en la recopilación, sistematización, análisis y resguardo de la información y estadística electoral, conforme a las actividades encomendadas por el Consejo General; y atender lo relativo a la recepción y trámite de solicitudes de Observadoras y Observadores Electorales en los términos que determine el INE.</w:t>
      </w:r>
    </w:p>
    <w:p w14:paraId="7F7F8464" w14:textId="5F29E5DC" w:rsidR="006C6CBA" w:rsidRPr="00234CCC" w:rsidRDefault="005B1191" w:rsidP="00234CCC">
      <w:pPr>
        <w:rPr>
          <w:rFonts w:cs="Arial"/>
        </w:rPr>
      </w:pPr>
      <w:r w:rsidRPr="00234CCC">
        <w:rPr>
          <w:rFonts w:cs="Arial"/>
        </w:rPr>
        <w:t xml:space="preserve"> </w:t>
      </w:r>
    </w:p>
    <w:p w14:paraId="5A06FACB" w14:textId="77777777" w:rsidR="006C6CBA" w:rsidRPr="00234CCC" w:rsidRDefault="006C6CBA" w:rsidP="00234CCC">
      <w:r w:rsidRPr="00234CCC">
        <w:rPr>
          <w:rFonts w:cs="Arial"/>
        </w:rPr>
        <w:t xml:space="preserve">Una vez precisado lo anterior, esta Ponencia considera conveniente entrar al estudio respecto del cambio de modalidad realizado por </w:t>
      </w:r>
      <w:r w:rsidRPr="00234CCC">
        <w:rPr>
          <w:rFonts w:cs="Arial"/>
          <w:b/>
        </w:rPr>
        <w:t>EL SUJETO OBLIGADO</w:t>
      </w:r>
      <w:r w:rsidRPr="00234CCC">
        <w:rPr>
          <w:rFonts w:cs="Arial"/>
        </w:rPr>
        <w:t xml:space="preserve"> a fin de determinar si </w:t>
      </w:r>
      <w:r w:rsidRPr="00234CCC">
        <w:t xml:space="preserve">el derecho de Acceso a la Información ejercido por el particular. </w:t>
      </w:r>
    </w:p>
    <w:p w14:paraId="58D0315C" w14:textId="77777777" w:rsidR="006C6CBA" w:rsidRPr="00234CCC" w:rsidRDefault="006C6CBA" w:rsidP="00234CCC"/>
    <w:p w14:paraId="46027AAD" w14:textId="6564254D" w:rsidR="006C6CBA" w:rsidRPr="00234CCC" w:rsidRDefault="006C6CBA" w:rsidP="00234CCC">
      <w:pPr>
        <w:rPr>
          <w:rFonts w:cs="Tahoma"/>
          <w:bCs/>
          <w:szCs w:val="22"/>
          <w:lang w:val="es-ES"/>
        </w:rPr>
      </w:pPr>
      <w:r w:rsidRPr="00234CCC">
        <w:rPr>
          <w:rFonts w:cs="Arial"/>
        </w:rPr>
        <w:t xml:space="preserve">Por lo anterior, es necesario precisar que </w:t>
      </w:r>
      <w:r w:rsidRPr="00234CCC">
        <w:rPr>
          <w:rFonts w:cs="Arial"/>
          <w:b/>
        </w:rPr>
        <w:t>E</w:t>
      </w:r>
      <w:r w:rsidRPr="00234CCC">
        <w:rPr>
          <w:b/>
        </w:rPr>
        <w:t xml:space="preserve">L SUJETO OBLIGADO </w:t>
      </w:r>
      <w:r w:rsidRPr="00234CCC">
        <w:t>determinó cambiar la modalidad de entrega de la información solicitada a consulta directa</w:t>
      </w:r>
      <w:r w:rsidRPr="00234CCC">
        <w:rPr>
          <w:rFonts w:cs="Tahoma"/>
          <w:szCs w:val="22"/>
          <w:lang w:val="es-ES"/>
        </w:rPr>
        <w:t xml:space="preserve">. </w:t>
      </w:r>
    </w:p>
    <w:p w14:paraId="68291A09" w14:textId="77777777" w:rsidR="006C6CBA" w:rsidRPr="00234CCC" w:rsidRDefault="006C6CBA" w:rsidP="00234CCC"/>
    <w:p w14:paraId="0BD8A749" w14:textId="77777777" w:rsidR="006C6CBA" w:rsidRPr="00234CCC" w:rsidRDefault="006C6CBA" w:rsidP="00234CCC">
      <w:pPr>
        <w:rPr>
          <w:szCs w:val="17"/>
          <w:lang w:eastAsia="es-ES_tradnl"/>
        </w:rPr>
      </w:pPr>
      <w:r w:rsidRPr="00234CCC">
        <w:lastRenderedPageBreak/>
        <w:t xml:space="preserve">Derivado de lo anterior, </w:t>
      </w:r>
      <w:r w:rsidRPr="00234CCC">
        <w:rPr>
          <w:rFonts w:eastAsia="Calibri"/>
          <w:lang w:eastAsia="en-US"/>
        </w:rPr>
        <w:t>es</w:t>
      </w:r>
      <w:r w:rsidRPr="00234CCC">
        <w:t xml:space="preserve"> importante referir el contenido de l</w:t>
      </w:r>
      <w:r w:rsidRPr="00234CCC">
        <w:rPr>
          <w:rFonts w:cs="Arial"/>
          <w:lang w:val="es-ES_tradnl"/>
        </w:rPr>
        <w:t>os</w:t>
      </w:r>
      <w:r w:rsidRPr="00234CCC">
        <w:t xml:space="preserve"> artículos 155, fracción V y 164,</w:t>
      </w:r>
      <w:r w:rsidRPr="00234CCC">
        <w:rPr>
          <w:szCs w:val="17"/>
          <w:lang w:eastAsia="es-ES_tradnl"/>
        </w:rPr>
        <w:t xml:space="preserve"> de la Ley de Transparencia y Acceso a la Información Pública del Estado de México y Municipios, disponen lo siguiente:</w:t>
      </w:r>
    </w:p>
    <w:p w14:paraId="11965119" w14:textId="77777777" w:rsidR="006C6CBA" w:rsidRPr="00234CCC" w:rsidRDefault="006C6CBA" w:rsidP="00234CCC">
      <w:pPr>
        <w:rPr>
          <w:lang w:eastAsia="es-MX"/>
        </w:rPr>
      </w:pPr>
    </w:p>
    <w:p w14:paraId="4EB1DAB0" w14:textId="77777777" w:rsidR="006C6CBA" w:rsidRPr="00234CCC" w:rsidRDefault="006C6CBA" w:rsidP="00234CCC">
      <w:pPr>
        <w:pStyle w:val="Puesto"/>
        <w:rPr>
          <w:b/>
          <w:lang w:val="es-ES"/>
        </w:rPr>
      </w:pPr>
      <w:r w:rsidRPr="00234CCC">
        <w:rPr>
          <w:lang w:val="es-ES"/>
        </w:rPr>
        <w:t>“</w:t>
      </w:r>
      <w:r w:rsidRPr="00234CCC">
        <w:rPr>
          <w:b/>
          <w:lang w:val="es-ES"/>
        </w:rPr>
        <w:t xml:space="preserve">Artículo 155. Para presentar una solicitud por escrito, no se podrán exigir mayores requisitos que los siguientes: </w:t>
      </w:r>
    </w:p>
    <w:p w14:paraId="181F6B08" w14:textId="77777777" w:rsidR="006C6CBA" w:rsidRPr="00234CCC" w:rsidRDefault="006C6CBA" w:rsidP="00234CCC">
      <w:pPr>
        <w:pStyle w:val="Puesto"/>
        <w:rPr>
          <w:lang w:val="es-ES"/>
        </w:rPr>
      </w:pPr>
      <w:r w:rsidRPr="00234CCC">
        <w:rPr>
          <w:lang w:val="es-ES"/>
        </w:rPr>
        <w:t>[…]</w:t>
      </w:r>
    </w:p>
    <w:p w14:paraId="0859C443" w14:textId="77777777" w:rsidR="006C6CBA" w:rsidRPr="00234CCC" w:rsidRDefault="006C6CBA" w:rsidP="00234CCC">
      <w:pPr>
        <w:pStyle w:val="Puesto"/>
        <w:rPr>
          <w:b/>
          <w:lang w:val="es-ES"/>
        </w:rPr>
      </w:pPr>
      <w:r w:rsidRPr="00234CCC">
        <w:rPr>
          <w:lang w:val="es-ES"/>
        </w:rPr>
        <w:t xml:space="preserve">V. </w:t>
      </w:r>
      <w:r w:rsidRPr="00234CCC">
        <w:rPr>
          <w:b/>
          <w:lang w:val="es-ES"/>
        </w:rPr>
        <w:t>La modalidad en la que prefiere se otorgue el acceso a la información, la cual podrá ser</w:t>
      </w:r>
      <w:r w:rsidRPr="00234CCC">
        <w:rPr>
          <w:lang w:val="es-ES"/>
        </w:rPr>
        <w:t xml:space="preserve"> verbal, siempre y cuando sea para fines de orientación, </w:t>
      </w:r>
      <w:r w:rsidRPr="00234CCC">
        <w:rPr>
          <w:b/>
          <w:lang w:val="es-ES"/>
        </w:rPr>
        <w:t>mediante consulta directa,</w:t>
      </w:r>
      <w:r w:rsidRPr="00234CCC">
        <w:rPr>
          <w:lang w:val="es-ES"/>
        </w:rPr>
        <w:t xml:space="preserve"> mediante la </w:t>
      </w:r>
      <w:r w:rsidRPr="00234CCC">
        <w:rPr>
          <w:b/>
          <w:lang w:val="es-ES"/>
        </w:rPr>
        <w:t xml:space="preserve">expedición de copias simples o certificadas o la reproducción en cualquier otro medio, incluidos los electrónicos. </w:t>
      </w:r>
    </w:p>
    <w:p w14:paraId="76CAF436" w14:textId="77777777" w:rsidR="006C6CBA" w:rsidRPr="00234CCC" w:rsidRDefault="006C6CBA" w:rsidP="00234CCC">
      <w:pPr>
        <w:pStyle w:val="Puesto"/>
        <w:rPr>
          <w:lang w:val="es-ES"/>
        </w:rPr>
      </w:pPr>
      <w:r w:rsidRPr="00234CCC">
        <w:rPr>
          <w:lang w:val="es-ES"/>
        </w:rPr>
        <w:t xml:space="preserve">Artículo 164. El </w:t>
      </w:r>
      <w:r w:rsidRPr="00234CCC">
        <w:rPr>
          <w:b/>
          <w:lang w:val="es-ES"/>
        </w:rPr>
        <w:t>acceso se dará en la modalidad de entrega</w:t>
      </w:r>
      <w:r w:rsidRPr="00234CCC">
        <w:rPr>
          <w:lang w:val="es-ES"/>
        </w:rPr>
        <w:t xml:space="preserve"> y, en su caso, de envío </w:t>
      </w:r>
      <w:r w:rsidRPr="00234CCC">
        <w:rPr>
          <w:b/>
          <w:lang w:val="es-ES"/>
        </w:rPr>
        <w:t>elegidos por el solicitante</w:t>
      </w:r>
      <w:r w:rsidRPr="00234CCC">
        <w:rPr>
          <w:lang w:val="es-ES"/>
        </w:rPr>
        <w:t xml:space="preserve">. Cuando la información no pueda entregarse o enviarse en la modalidad solicitada, el sujeto obligado deberá ofrecer otra u otras modalidades de entrega. </w:t>
      </w:r>
    </w:p>
    <w:p w14:paraId="6307AC75" w14:textId="77777777" w:rsidR="006C6CBA" w:rsidRPr="00234CCC" w:rsidRDefault="006C6CBA" w:rsidP="00234CCC">
      <w:pPr>
        <w:pStyle w:val="Puesto"/>
        <w:rPr>
          <w:lang w:val="es-ES"/>
        </w:rPr>
      </w:pPr>
      <w:r w:rsidRPr="00234CCC">
        <w:rPr>
          <w:lang w:val="es-ES"/>
        </w:rPr>
        <w:t xml:space="preserve">En cualquier caso, se deberá fundar y motivar la necesidad de ofrecer otras modalidades.” </w:t>
      </w:r>
    </w:p>
    <w:p w14:paraId="386FF3A0" w14:textId="77777777" w:rsidR="006C6CBA" w:rsidRPr="00234CCC" w:rsidRDefault="006C6CBA" w:rsidP="00234CCC">
      <w:pPr>
        <w:pStyle w:val="Puesto"/>
      </w:pPr>
      <w:r w:rsidRPr="00234CCC">
        <w:t>(Énfasis añadido)</w:t>
      </w:r>
    </w:p>
    <w:p w14:paraId="39E202EA" w14:textId="77777777" w:rsidR="006C6CBA" w:rsidRPr="00234CCC" w:rsidRDefault="006C6CBA" w:rsidP="00234CCC">
      <w:pPr>
        <w:rPr>
          <w:lang w:eastAsia="es-MX"/>
        </w:rPr>
      </w:pPr>
    </w:p>
    <w:p w14:paraId="2E9690EB" w14:textId="4E6F0EE2" w:rsidR="006C6CBA" w:rsidRPr="00234CCC" w:rsidRDefault="006C6CBA" w:rsidP="00234CCC">
      <w:r w:rsidRPr="00234CCC">
        <w:t xml:space="preserve">En ese sentido, a efecto de dar cumplimiento al derecho de acceso a la Información Pública, los particulares tienen la posibilidad de elegir la modalidad de entrega que prefieran, entre ellas, vía </w:t>
      </w:r>
      <w:r w:rsidRPr="00234CCC">
        <w:rPr>
          <w:b/>
        </w:rPr>
        <w:t>SAIMEX</w:t>
      </w:r>
      <w:r w:rsidRPr="00234CCC">
        <w:t xml:space="preserve">, como lo realizó </w:t>
      </w:r>
      <w:r w:rsidRPr="00234CCC">
        <w:rPr>
          <w:b/>
        </w:rPr>
        <w:t xml:space="preserve">LA PARTE RECURRENTE </w:t>
      </w:r>
      <w:r w:rsidRPr="00234CCC">
        <w:t xml:space="preserve">en la solicitud materia de estudio, para mayor referencia se insertan las siguientes imágenes: </w:t>
      </w:r>
    </w:p>
    <w:p w14:paraId="159ADA02" w14:textId="2AE026F3" w:rsidR="005B1191" w:rsidRPr="00234CCC" w:rsidRDefault="005B1191" w:rsidP="00234CCC">
      <w:r w:rsidRPr="00234CCC">
        <w:rPr>
          <w:noProof/>
          <w:lang w:eastAsia="es-MX"/>
        </w:rPr>
        <mc:AlternateContent>
          <mc:Choice Requires="wps">
            <w:drawing>
              <wp:anchor distT="0" distB="0" distL="114300" distR="114300" simplePos="0" relativeHeight="251659264" behindDoc="0" locked="0" layoutInCell="1" allowOverlap="1" wp14:anchorId="6D0E9529" wp14:editId="30969335">
                <wp:simplePos x="0" y="0"/>
                <wp:positionH relativeFrom="margin">
                  <wp:posOffset>102235</wp:posOffset>
                </wp:positionH>
                <wp:positionV relativeFrom="paragraph">
                  <wp:posOffset>1430655</wp:posOffset>
                </wp:positionV>
                <wp:extent cx="1396844" cy="206153"/>
                <wp:effectExtent l="76200" t="38100" r="0" b="99060"/>
                <wp:wrapNone/>
                <wp:docPr id="15" name="Elipse 15"/>
                <wp:cNvGraphicFramePr/>
                <a:graphic xmlns:a="http://schemas.openxmlformats.org/drawingml/2006/main">
                  <a:graphicData uri="http://schemas.microsoft.com/office/word/2010/wordprocessingShape">
                    <wps:wsp>
                      <wps:cNvSpPr/>
                      <wps:spPr>
                        <a:xfrm>
                          <a:off x="0" y="0"/>
                          <a:ext cx="1396844" cy="206153"/>
                        </a:xfrm>
                        <a:prstGeom prst="ellipse">
                          <a:avLst/>
                        </a:prstGeom>
                        <a:noFill/>
                        <a:ln w="28575">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17331853" id="Elipse 15" o:spid="_x0000_s1026" style="position:absolute;margin-left:8.05pt;margin-top:112.65pt;width:110pt;height:16.2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" filled="f" strokecolor="red" strokeweight="2.25pt">
                <v:stroke joinstyle="miter"/>
                <w10:wrap anchorx="margin"/>
              </v:oval>
            </w:pict>
          </mc:Fallback>
        </mc:AlternateContent>
      </w:r>
      <w:r w:rsidRPr="00234CCC">
        <w:rPr>
          <w:noProof/>
          <w:lang w:eastAsia="es-MX"/>
        </w:rPr>
        <w:drawing>
          <wp:inline distT="0" distB="0" distL="0" distR="0" wp14:anchorId="761FD984" wp14:editId="605C9E1C">
            <wp:extent cx="5742940" cy="1955800"/>
            <wp:effectExtent l="0" t="0" r="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42940" cy="1955800"/>
                    </a:xfrm>
                    <a:prstGeom prst="rect">
                      <a:avLst/>
                    </a:prstGeom>
                  </pic:spPr>
                </pic:pic>
              </a:graphicData>
            </a:graphic>
          </wp:inline>
        </w:drawing>
      </w:r>
    </w:p>
    <w:p w14:paraId="0A1E68CA" w14:textId="77777777" w:rsidR="006C6CBA" w:rsidRPr="00234CCC" w:rsidRDefault="006C6CBA" w:rsidP="00234CCC"/>
    <w:p w14:paraId="4BA6C85A" w14:textId="77777777" w:rsidR="006C6CBA" w:rsidRPr="00234CCC" w:rsidRDefault="006C6CBA" w:rsidP="00234CCC">
      <w:pPr>
        <w:tabs>
          <w:tab w:val="left" w:pos="709"/>
        </w:tabs>
        <w:rPr>
          <w:rFonts w:eastAsiaTheme="minorHAnsi" w:cs="Arial"/>
          <w:lang w:eastAsia="en-US"/>
        </w:rPr>
      </w:pPr>
      <w:r w:rsidRPr="00234CCC">
        <w:rPr>
          <w:rFonts w:eastAsiaTheme="minorHAnsi" w:cstheme="minorBidi"/>
          <w:szCs w:val="22"/>
          <w:lang w:eastAsia="en-US"/>
        </w:rPr>
        <w:lastRenderedPageBreak/>
        <w:t xml:space="preserve">Por consiguiente, tanto la modalidad de entrega como la forma de envío de la información se harán preferentemente como haya señalado el requirente. En los casos en que esto no sea posible, </w:t>
      </w:r>
      <w:r w:rsidRPr="00234CCC">
        <w:rPr>
          <w:rFonts w:eastAsiaTheme="minorHAnsi" w:cstheme="minorBidi"/>
          <w:b/>
          <w:szCs w:val="22"/>
          <w:lang w:eastAsia="en-US"/>
        </w:rPr>
        <w:t xml:space="preserve">EL SUJETO OBLIGADO </w:t>
      </w:r>
      <w:r w:rsidRPr="00234CCC">
        <w:rPr>
          <w:rFonts w:eastAsiaTheme="minorHAnsi" w:cstheme="minorBidi"/>
          <w:szCs w:val="22"/>
          <w:lang w:eastAsia="en-US"/>
        </w:rPr>
        <w:t xml:space="preserve">podrá garantizar la entrega a través de cualquier otro medio, siempre y cuando funde y motive la razón para hacerlo. </w:t>
      </w:r>
    </w:p>
    <w:p w14:paraId="5860FCA9" w14:textId="77777777" w:rsidR="006C6CBA" w:rsidRPr="00234CCC" w:rsidRDefault="006C6CBA" w:rsidP="00234CCC"/>
    <w:p w14:paraId="1BC9C2AD" w14:textId="77777777" w:rsidR="006C6CBA" w:rsidRPr="00234CCC" w:rsidRDefault="006C6CBA" w:rsidP="00234CCC">
      <w:pPr>
        <w:contextualSpacing/>
        <w:rPr>
          <w:rFonts w:eastAsiaTheme="minorHAnsi" w:cstheme="minorBidi"/>
          <w:b/>
          <w:szCs w:val="22"/>
          <w:lang w:eastAsia="en-US"/>
        </w:rPr>
      </w:pPr>
      <w:r w:rsidRPr="00234CCC">
        <w:rPr>
          <w:rFonts w:eastAsiaTheme="minorHAnsi" w:cstheme="minorBidi"/>
          <w:szCs w:val="22"/>
          <w:lang w:eastAsia="en-US"/>
        </w:rPr>
        <w:t xml:space="preserve">Ahora bien, es necesario referir que la </w:t>
      </w:r>
      <w:r w:rsidRPr="00234CCC">
        <w:t>Ley de Transparencia y Acceso a la Información Pública del Estado de México y Municipios</w:t>
      </w:r>
      <w:r w:rsidRPr="00234CCC">
        <w:rPr>
          <w:rFonts w:eastAsiaTheme="minorHAnsi" w:cstheme="minorBidi"/>
          <w:szCs w:val="22"/>
          <w:lang w:eastAsia="en-US"/>
        </w:rPr>
        <w:t xml:space="preserve">, busca privilegiar la entrega de la información solicitada en la modalidad requerida por el particular. Así el citado artículo </w:t>
      </w:r>
      <w:r w:rsidRPr="00234CCC">
        <w:t>164,</w:t>
      </w:r>
      <w:r w:rsidRPr="00234CCC">
        <w:rPr>
          <w:szCs w:val="17"/>
          <w:lang w:eastAsia="es-ES_tradnl"/>
        </w:rPr>
        <w:t xml:space="preserve"> de la Ley de Transparencia y Acceso a la Información Pública del Estado de México y Municipio, </w:t>
      </w:r>
      <w:r w:rsidRPr="00234CCC">
        <w:rPr>
          <w:rFonts w:eastAsiaTheme="minorHAnsi" w:cstheme="minorBidi"/>
          <w:szCs w:val="22"/>
          <w:lang w:eastAsia="en-US"/>
        </w:rPr>
        <w:t>establece que tanto la modalidad de entrega como la forma de envío de la información se hará preferentemente como lo haya señalado el requirente. En los casos en que esto no sea posible, se</w:t>
      </w:r>
      <w:r w:rsidRPr="00234CCC">
        <w:rPr>
          <w:rFonts w:eastAsiaTheme="minorHAnsi" w:cstheme="minorBidi"/>
          <w:b/>
          <w:szCs w:val="22"/>
          <w:lang w:eastAsia="en-US"/>
        </w:rPr>
        <w:t xml:space="preserve"> </w:t>
      </w:r>
      <w:r w:rsidRPr="00234CCC">
        <w:rPr>
          <w:rFonts w:eastAsiaTheme="minorHAnsi" w:cstheme="minorBidi"/>
          <w:szCs w:val="22"/>
          <w:lang w:eastAsia="en-US"/>
        </w:rPr>
        <w:t xml:space="preserve">podrá garantizar la entrega a través de cualquier otro medio, siempre y cuando funde y motive la razón para hacerlo. </w:t>
      </w:r>
    </w:p>
    <w:p w14:paraId="263E342D" w14:textId="77777777" w:rsidR="006C6CBA" w:rsidRPr="00234CCC" w:rsidRDefault="006C6CBA" w:rsidP="00234CCC"/>
    <w:p w14:paraId="7D0B838D" w14:textId="7ADBC0A5" w:rsidR="005B1191" w:rsidRPr="00234CCC" w:rsidRDefault="006C6CBA" w:rsidP="00234CCC">
      <w:pPr>
        <w:rPr>
          <w:rFonts w:eastAsia="Calibri"/>
          <w:lang w:eastAsia="es-ES_tradnl"/>
        </w:rPr>
      </w:pPr>
      <w:r w:rsidRPr="00234CCC">
        <w:rPr>
          <w:lang w:val="es-ES_tradnl"/>
        </w:rPr>
        <w:t xml:space="preserve">Sin embargo, en el presente asunto la actuación del </w:t>
      </w:r>
      <w:r w:rsidRPr="00234CCC">
        <w:rPr>
          <w:b/>
          <w:lang w:val="es-ES_tradnl"/>
        </w:rPr>
        <w:t xml:space="preserve">SUJETO OBLIGADO </w:t>
      </w:r>
      <w:r w:rsidRPr="00234CCC">
        <w:rPr>
          <w:rFonts w:eastAsia="MS Mincho" w:cs="Arial"/>
          <w:szCs w:val="23"/>
          <w:lang w:val="es-ES_tradnl"/>
        </w:rPr>
        <w:t xml:space="preserve">constituye una afectación al derecho humano de acceso a la información pública del particular, toda vez que pretendió cambiar la modalidad de entrega de la información, aún y cuando </w:t>
      </w:r>
      <w:r w:rsidRPr="00234CCC">
        <w:rPr>
          <w:rFonts w:eastAsiaTheme="minorHAnsi" w:cs="Arial"/>
          <w:lang w:eastAsia="en-US"/>
        </w:rPr>
        <w:t xml:space="preserve">el particular mencionó que la manera de entrega de la información sería a través del </w:t>
      </w:r>
      <w:r w:rsidRPr="00234CCC">
        <w:rPr>
          <w:rFonts w:eastAsiaTheme="minorHAnsi" w:cs="Arial"/>
          <w:b/>
          <w:lang w:eastAsia="en-US"/>
        </w:rPr>
        <w:t>SAIMEX</w:t>
      </w:r>
      <w:r w:rsidRPr="00234CCC">
        <w:rPr>
          <w:rFonts w:eastAsiaTheme="minorHAnsi" w:cs="Arial"/>
          <w:lang w:eastAsia="en-US"/>
        </w:rPr>
        <w:t xml:space="preserve">; es así que, </w:t>
      </w:r>
      <w:r w:rsidRPr="00234CCC">
        <w:rPr>
          <w:rFonts w:cs="Arial"/>
        </w:rPr>
        <w:t xml:space="preserve">del análisis realizado a la respuesta proporcionada por </w:t>
      </w:r>
      <w:r w:rsidRPr="00234CCC">
        <w:rPr>
          <w:rFonts w:cs="Arial"/>
          <w:b/>
        </w:rPr>
        <w:t xml:space="preserve">EL SUJETO OBLIGADO </w:t>
      </w:r>
      <w:r w:rsidRPr="00234CCC">
        <w:rPr>
          <w:rFonts w:cs="Arial"/>
        </w:rPr>
        <w:t xml:space="preserve">se advierte que </w:t>
      </w:r>
      <w:r w:rsidR="005B1191" w:rsidRPr="00234CCC">
        <w:rPr>
          <w:rFonts w:cs="Arial"/>
        </w:rPr>
        <w:t xml:space="preserve">si bien </w:t>
      </w:r>
      <w:r w:rsidRPr="00234CCC">
        <w:rPr>
          <w:rFonts w:cs="Arial"/>
        </w:rPr>
        <w:t>fundamenta y motiva la imposibilidad de entregar la información en la modalidad elegida por el particular</w:t>
      </w:r>
      <w:r w:rsidR="005B1191" w:rsidRPr="00234CCC">
        <w:rPr>
          <w:rFonts w:cs="Arial"/>
        </w:rPr>
        <w:t xml:space="preserve"> en la incapacidad administrativa y humana, lo cierto es que la información requerida en el presente asunto no sobrepasa las capacidades del SAIMEX, al tratarse de un </w:t>
      </w:r>
      <w:r w:rsidR="005B1191" w:rsidRPr="00234CCC">
        <w:rPr>
          <w:rFonts w:eastAsia="Calibri"/>
          <w:lang w:eastAsia="es-ES_tradnl"/>
        </w:rPr>
        <w:t xml:space="preserve">nombramiento, una acta de instalación y toma de protesta del Consejo Municipal del IEEM No. 14 con sede en Atlacomulco. </w:t>
      </w:r>
    </w:p>
    <w:p w14:paraId="15D83353" w14:textId="77777777" w:rsidR="006C6CBA" w:rsidRPr="00234CCC" w:rsidRDefault="006C6CBA" w:rsidP="00234CCC">
      <w:pPr>
        <w:rPr>
          <w:rFonts w:cs="Arial"/>
        </w:rPr>
      </w:pPr>
    </w:p>
    <w:p w14:paraId="2235AD2E" w14:textId="77777777" w:rsidR="006C6CBA" w:rsidRPr="00234CCC" w:rsidRDefault="006C6CBA" w:rsidP="00234CCC">
      <w:pPr>
        <w:rPr>
          <w:rFonts w:cs="Arial"/>
          <w:lang w:val="es-ES"/>
        </w:rPr>
      </w:pPr>
      <w:r w:rsidRPr="00234CCC">
        <w:rPr>
          <w:rFonts w:cs="Arial"/>
          <w:lang w:val="es-ES"/>
        </w:rPr>
        <w:lastRenderedPageBreak/>
        <w:t xml:space="preserve">Es así que, los Sujetos Obligados deben respetar la forma seleccionada por </w:t>
      </w:r>
      <w:r w:rsidRPr="00234CCC">
        <w:rPr>
          <w:rFonts w:eastAsiaTheme="minorHAnsi" w:cs="Tahoma"/>
          <w:b/>
          <w:iCs/>
          <w:szCs w:val="22"/>
          <w:lang w:eastAsia="en-US"/>
        </w:rPr>
        <w:t>LA PARTE RECURRENTE</w:t>
      </w:r>
      <w:r w:rsidRPr="00234CCC">
        <w:rPr>
          <w:rFonts w:eastAsiaTheme="minorHAnsi" w:cs="Tahoma"/>
          <w:bCs/>
          <w:iCs/>
          <w:szCs w:val="22"/>
          <w:lang w:eastAsia="en-US"/>
        </w:rPr>
        <w:t xml:space="preserve"> </w:t>
      </w:r>
      <w:r w:rsidRPr="00234CCC">
        <w:rPr>
          <w:rFonts w:cs="Arial"/>
          <w:lang w:val="es-ES"/>
        </w:rPr>
        <w:t>para la entrega de la información, por lo que si éste eligió el</w:t>
      </w:r>
      <w:r w:rsidRPr="00234CCC">
        <w:rPr>
          <w:rFonts w:cs="Arial"/>
          <w:b/>
          <w:lang w:val="es-ES"/>
        </w:rPr>
        <w:t xml:space="preserve"> SAIMEX</w:t>
      </w:r>
      <w:r w:rsidRPr="00234CCC">
        <w:rPr>
          <w:rFonts w:cs="Arial"/>
          <w:lang w:val="es-ES"/>
        </w:rPr>
        <w:t xml:space="preserve">, el responsable de la Unidad de Transparencia debió agregar los archivos electrónicos que contengan la información requerida en dicho sistema y sólo en caso de que no pueda ser remitida la información vía electrónica, se deberá fundar y motivar la resolución respectiva, explicando en todo momento las causas que impiden el envío de la información de forma </w:t>
      </w:r>
      <w:r w:rsidRPr="00234CCC">
        <w:rPr>
          <w:rFonts w:cs="Arial"/>
        </w:rPr>
        <w:t>electrónica</w:t>
      </w:r>
      <w:r w:rsidRPr="00234CCC">
        <w:rPr>
          <w:rFonts w:cs="Arial"/>
          <w:lang w:val="es-ES"/>
        </w:rPr>
        <w:t xml:space="preserve">. </w:t>
      </w:r>
    </w:p>
    <w:p w14:paraId="00416FC4" w14:textId="77777777" w:rsidR="006C6CBA" w:rsidRPr="00234CCC" w:rsidRDefault="006C6CBA" w:rsidP="00234CCC">
      <w:pPr>
        <w:rPr>
          <w:rFonts w:cs="Arial"/>
          <w:lang w:val="es-ES"/>
        </w:rPr>
      </w:pPr>
    </w:p>
    <w:p w14:paraId="69697290" w14:textId="77777777" w:rsidR="006C6CBA" w:rsidRPr="00234CCC" w:rsidRDefault="006C6CBA" w:rsidP="00234CCC">
      <w:pPr>
        <w:rPr>
          <w:rFonts w:eastAsiaTheme="minorHAnsi" w:cstheme="minorBidi"/>
          <w:szCs w:val="22"/>
          <w:lang w:eastAsia="en-US"/>
        </w:rPr>
      </w:pPr>
      <w:r w:rsidRPr="00234CCC">
        <w:rPr>
          <w:rFonts w:eastAsiaTheme="minorHAnsi" w:cstheme="minorBidi"/>
          <w:szCs w:val="22"/>
          <w:lang w:eastAsia="en-US"/>
        </w:rPr>
        <w:t xml:space="preserve">Por lo que el cambio de modalidad que pretendió hacer </w:t>
      </w:r>
      <w:r w:rsidRPr="00234CCC">
        <w:rPr>
          <w:rFonts w:eastAsiaTheme="minorHAnsi" w:cstheme="minorBidi"/>
          <w:b/>
          <w:szCs w:val="22"/>
          <w:lang w:eastAsia="en-US"/>
        </w:rPr>
        <w:t>EL SUJETO OBLIGADO</w:t>
      </w:r>
      <w:r w:rsidRPr="00234CCC">
        <w:rPr>
          <w:rFonts w:eastAsiaTheme="minorHAnsi" w:cstheme="minorBidi"/>
          <w:szCs w:val="22"/>
          <w:lang w:eastAsia="en-US"/>
        </w:rPr>
        <w:t xml:space="preserve"> constituye una restricción indirecta del derecho acceso a la información pública, dado que no proporciona la información que requirió el particular y que de manera libre el decidió sobre la vía de la modalidad de entrega de la misma situación que no se respetó. </w:t>
      </w:r>
    </w:p>
    <w:p w14:paraId="0D5CFFA5" w14:textId="77777777" w:rsidR="006C6CBA" w:rsidRPr="00234CCC" w:rsidRDefault="006C6CBA" w:rsidP="00234CCC">
      <w:pPr>
        <w:contextualSpacing/>
        <w:rPr>
          <w:rFonts w:cs="Arial"/>
        </w:rPr>
      </w:pPr>
    </w:p>
    <w:p w14:paraId="43C80C12" w14:textId="77777777" w:rsidR="006C6CBA" w:rsidRPr="00234CCC" w:rsidRDefault="006C6CBA" w:rsidP="00234CCC">
      <w:pPr>
        <w:rPr>
          <w:rFonts w:eastAsiaTheme="minorHAnsi" w:cstheme="minorBidi"/>
          <w:szCs w:val="22"/>
          <w:lang w:eastAsia="en-US"/>
        </w:rPr>
      </w:pPr>
      <w:r w:rsidRPr="00234CCC">
        <w:rPr>
          <w:rFonts w:eastAsiaTheme="minorHAnsi" w:cstheme="minorBidi"/>
          <w:szCs w:val="22"/>
          <w:lang w:eastAsia="en-US"/>
        </w:rPr>
        <w:t xml:space="preserve">Ahora bien, </w:t>
      </w:r>
      <w:r w:rsidRPr="00234CCC">
        <w:rPr>
          <w:rFonts w:eastAsia="MS Mincho" w:cs="Arial"/>
        </w:rPr>
        <w:t>el artículo 158 de la Ley de Transparencia y Acceso a la Información Pública del Estado de México y Municipios</w:t>
      </w:r>
      <w:r w:rsidRPr="00234CCC">
        <w:rPr>
          <w:rFonts w:eastAsiaTheme="minorHAnsi" w:cstheme="minorBidi"/>
          <w:szCs w:val="22"/>
          <w:lang w:eastAsia="en-US"/>
        </w:rPr>
        <w:t xml:space="preserve">, precisa los casos en que de manera excepcional se puede proceder al cambio de modalidad: </w:t>
      </w:r>
    </w:p>
    <w:p w14:paraId="6C83F20B" w14:textId="77777777" w:rsidR="006C6CBA" w:rsidRPr="00234CCC" w:rsidRDefault="006C6CBA" w:rsidP="00234CCC">
      <w:pPr>
        <w:contextualSpacing/>
        <w:rPr>
          <w:rFonts w:eastAsia="MS Mincho" w:cs="Arial"/>
          <w:szCs w:val="22"/>
        </w:rPr>
      </w:pPr>
    </w:p>
    <w:p w14:paraId="1CE9723B" w14:textId="77777777" w:rsidR="006C6CBA" w:rsidRPr="00234CCC" w:rsidRDefault="006C6CBA" w:rsidP="00234CCC">
      <w:pPr>
        <w:pStyle w:val="Puesto"/>
      </w:pPr>
      <w:r w:rsidRPr="00234CCC">
        <w:t>“</w:t>
      </w:r>
      <w:r w:rsidRPr="00234CCC">
        <w:rPr>
          <w:b/>
          <w:bCs/>
        </w:rPr>
        <w:t>Artículo 158.</w:t>
      </w:r>
      <w:r w:rsidRPr="00234CCC">
        <w:t xml:space="preserve"> </w:t>
      </w:r>
      <w:r w:rsidRPr="00234CCC">
        <w:rPr>
          <w:bCs/>
        </w:rPr>
        <w:t>De manera excepcional, cuando de forma fundada y motivada así lo determine el sujeto obligado</w:t>
      </w:r>
      <w:r w:rsidRPr="00234CCC">
        <w:t xml:space="preserve">, en aquellos casos en que la información solicitada que ya se encuentre en su posesión implique análisis, estudio o procesamiento de documentos </w:t>
      </w:r>
      <w:r w:rsidRPr="00234CCC">
        <w:rPr>
          <w:bCs/>
        </w:rPr>
        <w:t xml:space="preserve">cuya entrega o reproducción </w:t>
      </w:r>
      <w:r w:rsidRPr="00234CCC">
        <w:rPr>
          <w:b/>
          <w:bCs/>
        </w:rPr>
        <w:t>sobrepase las capacidades técnicas administrativas y humanas del sujeto obligado</w:t>
      </w:r>
      <w:r w:rsidRPr="00234CCC">
        <w:t xml:space="preserve"> para cumplir con la solicitud, en los plazos establecidos para dichos efectos,</w:t>
      </w:r>
      <w:r w:rsidRPr="00234CCC">
        <w:rPr>
          <w:bCs/>
        </w:rPr>
        <w:t xml:space="preserve"> se podrá poner a disposición del solicitante los documentos en consulta directa</w:t>
      </w:r>
      <w:r w:rsidRPr="00234CCC">
        <w:t>, salvo la información clasificada.”.</w:t>
      </w:r>
    </w:p>
    <w:p w14:paraId="42CFFA01" w14:textId="77777777" w:rsidR="006C6CBA" w:rsidRPr="00234CCC" w:rsidRDefault="006C6CBA" w:rsidP="00234CCC">
      <w:pPr>
        <w:pStyle w:val="Puesto"/>
      </w:pPr>
      <w:r w:rsidRPr="00234CCC">
        <w:t xml:space="preserve">(Énfasis añadido) </w:t>
      </w:r>
    </w:p>
    <w:p w14:paraId="3FB6D786" w14:textId="77777777" w:rsidR="006C6CBA" w:rsidRPr="00234CCC" w:rsidRDefault="006C6CBA" w:rsidP="00234CCC">
      <w:pPr>
        <w:contextualSpacing/>
        <w:rPr>
          <w:rFonts w:eastAsia="MS Mincho" w:cs="Arial"/>
          <w:i/>
          <w:szCs w:val="22"/>
        </w:rPr>
      </w:pPr>
    </w:p>
    <w:p w14:paraId="6476FD61" w14:textId="77777777" w:rsidR="006C6CBA" w:rsidRPr="00234CCC" w:rsidRDefault="006C6CBA" w:rsidP="00234CCC">
      <w:pPr>
        <w:contextualSpacing/>
        <w:rPr>
          <w:rFonts w:eastAsia="MS Mincho" w:cs="Arial"/>
        </w:rPr>
      </w:pPr>
      <w:r w:rsidRPr="00234CCC">
        <w:rPr>
          <w:rFonts w:eastAsia="MS Mincho" w:cs="Arial"/>
        </w:rPr>
        <w:t xml:space="preserve">Es así que, la Ley de la materia contempla que excepcionalmente, de forma fundada y motivada, en el caso de que la información solicitada implique análisis, estudio o procesamiento de documentos, cuya entrega o reproducción sobrepase las capacidades </w:t>
      </w:r>
      <w:r w:rsidRPr="00234CCC">
        <w:rPr>
          <w:rFonts w:eastAsia="MS Mincho" w:cs="Arial"/>
        </w:rPr>
        <w:lastRenderedPageBreak/>
        <w:t xml:space="preserve">técnicas administrativas y humanas del Sujeto Obligado, se podrá poder a disposición del solicitante los documentos en consulta directa. </w:t>
      </w:r>
    </w:p>
    <w:p w14:paraId="43E359F0" w14:textId="77777777" w:rsidR="006C6CBA" w:rsidRPr="00234CCC" w:rsidRDefault="006C6CBA" w:rsidP="00234CCC">
      <w:pPr>
        <w:contextualSpacing/>
        <w:rPr>
          <w:rFonts w:eastAsia="MS Mincho" w:cs="Arial"/>
        </w:rPr>
      </w:pPr>
    </w:p>
    <w:p w14:paraId="03FE3504" w14:textId="77777777" w:rsidR="006C6CBA" w:rsidRPr="00234CCC" w:rsidRDefault="006C6CBA" w:rsidP="00234CCC">
      <w:pPr>
        <w:contextualSpacing/>
        <w:rPr>
          <w:rFonts w:eastAsia="MS Mincho" w:cs="Arial"/>
        </w:rPr>
      </w:pPr>
      <w:r w:rsidRPr="00234CCC">
        <w:rPr>
          <w:rFonts w:eastAsia="MS Mincho" w:cs="Arial"/>
        </w:rPr>
        <w:t xml:space="preserve">Es decir, del artículo anterior, se derivan tres hipótesis que en conjunto y de manera fundada y motivada, validan el cambio de modalidad de entrega de la información y las cuales son, que las documentales a proporcionar </w:t>
      </w:r>
      <w:r w:rsidRPr="00234CCC">
        <w:rPr>
          <w:rFonts w:eastAsia="MS Mincho" w:cs="Arial"/>
          <w:b/>
        </w:rPr>
        <w:t xml:space="preserve">sobrepasen las capacidades técnicas administrativas y humanas del Sujeto Obligado. </w:t>
      </w:r>
    </w:p>
    <w:p w14:paraId="4A449259" w14:textId="77777777" w:rsidR="006C6CBA" w:rsidRPr="00234CCC" w:rsidRDefault="006C6CBA" w:rsidP="00234CCC"/>
    <w:p w14:paraId="43AF4D81" w14:textId="77777777" w:rsidR="006C6CBA" w:rsidRPr="00234CCC" w:rsidRDefault="006C6CBA" w:rsidP="00234CCC">
      <w:pPr>
        <w:contextualSpacing/>
        <w:rPr>
          <w:rFonts w:eastAsia="MS Mincho" w:cs="Arial"/>
        </w:rPr>
      </w:pPr>
      <w:r w:rsidRPr="00234CCC">
        <w:rPr>
          <w:rFonts w:eastAsia="MS Mincho" w:cs="Arial"/>
        </w:rPr>
        <w:t xml:space="preserve">Derivado de lo anterior, cabe mencionar lo que se tiene por </w:t>
      </w:r>
      <w:r w:rsidRPr="00234CCC">
        <w:rPr>
          <w:rFonts w:eastAsia="MS Mincho" w:cs="Arial"/>
          <w:b/>
        </w:rPr>
        <w:t>“capacidad”</w:t>
      </w:r>
      <w:r w:rsidRPr="00234CCC">
        <w:rPr>
          <w:rFonts w:eastAsia="MS Mincho" w:cs="Arial"/>
        </w:rPr>
        <w:t>, que de manera general puede ser interpretado como la circunstancia o conjunto de condiciones, cualidades o aptitudes que permiten el desarrollo o el cumplimiento de una función o desempeño de un cargo.</w:t>
      </w:r>
    </w:p>
    <w:p w14:paraId="373D1A4A" w14:textId="77777777" w:rsidR="006C6CBA" w:rsidRPr="00234CCC" w:rsidRDefault="006C6CBA" w:rsidP="00234CCC">
      <w:pPr>
        <w:contextualSpacing/>
        <w:rPr>
          <w:rFonts w:eastAsia="MS Gothic" w:cstheme="majorBidi"/>
          <w:b/>
        </w:rPr>
      </w:pPr>
    </w:p>
    <w:p w14:paraId="3E266D36" w14:textId="77777777" w:rsidR="006C6CBA" w:rsidRPr="00234CCC" w:rsidRDefault="006C6CBA" w:rsidP="00234CCC">
      <w:pPr>
        <w:contextualSpacing/>
        <w:rPr>
          <w:rFonts w:eastAsia="MS Mincho" w:cs="Arial"/>
        </w:rPr>
      </w:pPr>
      <w:r w:rsidRPr="00234CCC">
        <w:rPr>
          <w:rFonts w:eastAsia="MS Gothic" w:cstheme="majorBidi"/>
        </w:rPr>
        <w:t>Ahora bien, re</w:t>
      </w:r>
      <w:r w:rsidRPr="00234CCC">
        <w:rPr>
          <w:rFonts w:eastAsia="MS Mincho" w:cs="Arial"/>
        </w:rPr>
        <w:t xml:space="preserve">specto a las </w:t>
      </w:r>
      <w:r w:rsidRPr="00234CCC">
        <w:rPr>
          <w:rFonts w:eastAsia="MS Mincho" w:cs="Arial"/>
          <w:b/>
        </w:rPr>
        <w:t>capacidades técnicas</w:t>
      </w:r>
      <w:r w:rsidRPr="00234CCC">
        <w:rPr>
          <w:rFonts w:eastAsia="MS Mincho" w:cs="Arial"/>
        </w:rPr>
        <w:t xml:space="preserve">, el Sistema de Acceso a la Información Mexiquense (SAIMEX), es el medio electrónico a través del cual se formulan las solicitudes de información pública y se interponen los Recursos de Revisión. De esta manera, tras registrar una cuenta en el sistema electrónico y realizar una solicitud de información, es posible darle seguimiento a la presentación, respuesta, inconformidad y resolución de la misma. </w:t>
      </w:r>
    </w:p>
    <w:p w14:paraId="633892C5" w14:textId="77777777" w:rsidR="006C6CBA" w:rsidRPr="00234CCC" w:rsidRDefault="006C6CBA" w:rsidP="00234CCC">
      <w:pPr>
        <w:contextualSpacing/>
        <w:rPr>
          <w:rFonts w:eastAsia="MS Mincho" w:cs="Arial"/>
        </w:rPr>
      </w:pPr>
    </w:p>
    <w:p w14:paraId="0C638DD3" w14:textId="77777777" w:rsidR="006C6CBA" w:rsidRPr="00234CCC" w:rsidRDefault="006C6CBA" w:rsidP="00234CCC">
      <w:pPr>
        <w:contextualSpacing/>
        <w:rPr>
          <w:rFonts w:eastAsiaTheme="minorEastAsia" w:cs="Arial"/>
          <w:lang w:val="es-ES_tradnl"/>
        </w:rPr>
      </w:pPr>
      <w:r w:rsidRPr="00234CCC">
        <w:rPr>
          <w:rFonts w:eastAsia="MS Mincho" w:cs="Arial"/>
        </w:rPr>
        <w:t xml:space="preserve">Derivado de lo anterior, es importante señalar que el </w:t>
      </w:r>
      <w:r w:rsidRPr="00234CCC">
        <w:rPr>
          <w:rFonts w:eastAsiaTheme="minorEastAsia" w:cs="Arial"/>
          <w:b/>
          <w:lang w:val="es-ES_tradnl"/>
        </w:rPr>
        <w:t>SIAMEX</w:t>
      </w:r>
      <w:r w:rsidRPr="00234CCC">
        <w:rPr>
          <w:rFonts w:eastAsiaTheme="minorEastAsia" w:cs="Arial"/>
          <w:lang w:val="es-ES_tradnl"/>
        </w:rPr>
        <w:t xml:space="preserve"> cuenta con el soporte tecnológico para que se puedan adjuntar archivos con un peso aprox. de hasta 500Mb o un equivalente de hasta 8,000 hojas, garantizando que el Ciudadano no tenga problemas en la descarga de la información usando conexiones a internet convencionales bajo parámetros de escaneo en resolución máxima de 150Dpi's, escala de grises y formato "PDF" extraído directamente del escáner. </w:t>
      </w:r>
    </w:p>
    <w:p w14:paraId="62448D99" w14:textId="77777777" w:rsidR="006C6CBA" w:rsidRPr="00234CCC" w:rsidRDefault="006C6CBA" w:rsidP="00234CCC">
      <w:pPr>
        <w:contextualSpacing/>
        <w:rPr>
          <w:rFonts w:eastAsia="MS Mincho" w:cs="Arial"/>
        </w:rPr>
      </w:pPr>
    </w:p>
    <w:p w14:paraId="2E1E0495" w14:textId="2ABE12F2" w:rsidR="00416DDD" w:rsidRPr="00234CCC" w:rsidRDefault="006C6CBA" w:rsidP="00234CCC">
      <w:pPr>
        <w:pStyle w:val="Prrafodelista"/>
        <w:ind w:left="0"/>
        <w:rPr>
          <w:rFonts w:eastAsia="Calibri"/>
          <w:lang w:eastAsia="es-ES_tradnl"/>
        </w:rPr>
      </w:pPr>
      <w:r w:rsidRPr="00234CCC">
        <w:rPr>
          <w:rFonts w:eastAsia="MS Mincho" w:cs="Arial"/>
        </w:rPr>
        <w:lastRenderedPageBreak/>
        <w:t xml:space="preserve">Es así, que del análisis realizado a la respuesta otorgada por </w:t>
      </w:r>
      <w:r w:rsidRPr="00234CCC">
        <w:rPr>
          <w:rFonts w:eastAsia="MS Mincho" w:cs="Arial"/>
          <w:b/>
        </w:rPr>
        <w:t xml:space="preserve">EL SUJETO OBLIGADO </w:t>
      </w:r>
      <w:r w:rsidRPr="00234CCC">
        <w:rPr>
          <w:rFonts w:eastAsia="MS Mincho" w:cs="Arial"/>
        </w:rPr>
        <w:t xml:space="preserve">se advierte que no expresó su incapacidad técnica para subir la información al </w:t>
      </w:r>
      <w:r w:rsidRPr="00234CCC">
        <w:rPr>
          <w:rFonts w:eastAsia="MS Mincho" w:cs="Arial"/>
          <w:b/>
        </w:rPr>
        <w:t xml:space="preserve">SAIMEX. </w:t>
      </w:r>
      <w:r w:rsidRPr="00234CCC">
        <w:rPr>
          <w:rFonts w:eastAsia="MS Mincho" w:cs="Arial"/>
        </w:rPr>
        <w:t xml:space="preserve">Siendo importante precisar que, en el presente asunto </w:t>
      </w:r>
      <w:r w:rsidRPr="00234CCC">
        <w:rPr>
          <w:rFonts w:cs="Arial"/>
          <w:lang w:val="es-ES"/>
        </w:rPr>
        <w:t xml:space="preserve">los documentos solicitados no exceden de la capacidad para ser cargada en la plataforma </w:t>
      </w:r>
      <w:r w:rsidRPr="00234CCC">
        <w:rPr>
          <w:rFonts w:cs="Arial"/>
          <w:b/>
          <w:lang w:val="es-ES"/>
        </w:rPr>
        <w:t>SAIMEX</w:t>
      </w:r>
      <w:r w:rsidRPr="00234CCC">
        <w:rPr>
          <w:rFonts w:cs="Arial"/>
          <w:lang w:val="es-ES"/>
        </w:rPr>
        <w:t xml:space="preserve">, pues únicamente corresponde </w:t>
      </w:r>
      <w:r w:rsidR="00416DDD" w:rsidRPr="00234CCC">
        <w:rPr>
          <w:rFonts w:cs="Arial"/>
          <w:lang w:val="es-ES"/>
        </w:rPr>
        <w:t xml:space="preserve">a un nombramiento, un acta de sesión de instalación y una toma de </w:t>
      </w:r>
      <w:r w:rsidR="00416DDD" w:rsidRPr="00234CCC">
        <w:rPr>
          <w:rFonts w:eastAsia="Calibri"/>
          <w:lang w:eastAsia="es-ES_tradnl"/>
        </w:rPr>
        <w:t xml:space="preserve">Protesta del Consejo Municipal. </w:t>
      </w:r>
    </w:p>
    <w:p w14:paraId="58E99073" w14:textId="77777777" w:rsidR="00416DDD" w:rsidRPr="00234CCC" w:rsidRDefault="00416DDD" w:rsidP="00234CCC">
      <w:pPr>
        <w:pStyle w:val="Prrafodelista"/>
        <w:ind w:left="0"/>
        <w:rPr>
          <w:rFonts w:cs="Arial"/>
          <w:lang w:val="es-ES"/>
        </w:rPr>
      </w:pPr>
    </w:p>
    <w:p w14:paraId="733F1215" w14:textId="77777777" w:rsidR="006C6CBA" w:rsidRPr="00234CCC" w:rsidRDefault="006C6CBA" w:rsidP="00234CCC">
      <w:pPr>
        <w:contextualSpacing/>
        <w:rPr>
          <w:rFonts w:eastAsia="MS Mincho" w:cs="Arial"/>
        </w:rPr>
      </w:pPr>
      <w:r w:rsidRPr="00234CCC">
        <w:rPr>
          <w:rFonts w:eastAsia="MS Mincho" w:cs="Arial"/>
        </w:rPr>
        <w:t xml:space="preserve">Ahora bien, referente a la </w:t>
      </w:r>
      <w:r w:rsidRPr="00234CCC">
        <w:rPr>
          <w:rFonts w:eastAsia="MS Mincho" w:cs="Arial"/>
          <w:b/>
        </w:rPr>
        <w:t>capacidad administrativa</w:t>
      </w:r>
      <w:r w:rsidRPr="00234CCC">
        <w:rPr>
          <w:rFonts w:eastAsia="MS Mincho" w:cs="Arial"/>
        </w:rPr>
        <w:t xml:space="preserve">, esta es definida como la habilidad institucional de un gobierno, para formular y realizar planes, políticas, programas, actividades, operaciones u otras medidas para cumplir con los propósitos de desarrollo. En palabras más simples, es la </w:t>
      </w:r>
      <w:r w:rsidRPr="00234CCC">
        <w:rPr>
          <w:rFonts w:eastAsia="MS Mincho" w:cs="Arial"/>
          <w:b/>
        </w:rPr>
        <w:t>eficiencia organizacional para efectuar funciones esenciales.</w:t>
      </w:r>
    </w:p>
    <w:p w14:paraId="55A5AE8E" w14:textId="77777777" w:rsidR="006C6CBA" w:rsidRPr="00234CCC" w:rsidRDefault="006C6CBA" w:rsidP="00234CCC">
      <w:pPr>
        <w:contextualSpacing/>
        <w:rPr>
          <w:rFonts w:eastAsia="MS Mincho" w:cs="Arial"/>
        </w:rPr>
      </w:pPr>
    </w:p>
    <w:p w14:paraId="50267266" w14:textId="77777777" w:rsidR="006C6CBA" w:rsidRPr="00234CCC" w:rsidRDefault="006C6CBA" w:rsidP="00234CCC">
      <w:pPr>
        <w:contextualSpacing/>
        <w:rPr>
          <w:rFonts w:eastAsia="MS Mincho" w:cs="Arial"/>
        </w:rPr>
      </w:pPr>
      <w:r w:rsidRPr="00234CCC">
        <w:rPr>
          <w:rFonts w:eastAsia="MS Mincho" w:cs="Arial"/>
        </w:rPr>
        <w:t xml:space="preserve">La capacidad administrativa, resulta ser un mandato para un gobierno eficaz, la cual engloba, previsión, organización, coordinación y control en actos y esfuerzos con la finalidad de cumplir con sus responsabilidades y funciones de manera eficaz, eficiente y sostenible. </w:t>
      </w:r>
    </w:p>
    <w:p w14:paraId="6DFF93B6" w14:textId="77777777" w:rsidR="006C6CBA" w:rsidRPr="00234CCC" w:rsidRDefault="006C6CBA" w:rsidP="00234CCC">
      <w:pPr>
        <w:contextualSpacing/>
        <w:rPr>
          <w:rFonts w:eastAsia="MS Mincho" w:cs="Arial"/>
        </w:rPr>
      </w:pPr>
    </w:p>
    <w:p w14:paraId="00D29319" w14:textId="77777777" w:rsidR="006C6CBA" w:rsidRPr="00234CCC" w:rsidRDefault="006C6CBA" w:rsidP="00234CCC">
      <w:pPr>
        <w:contextualSpacing/>
        <w:rPr>
          <w:rFonts w:eastAsia="MS Mincho" w:cs="Arial"/>
        </w:rPr>
      </w:pPr>
      <w:r w:rsidRPr="00234CCC">
        <w:rPr>
          <w:rFonts w:eastAsia="MS Mincho" w:cs="Arial"/>
        </w:rPr>
        <w:t xml:space="preserve">Desde una perspectiva institucional, la </w:t>
      </w:r>
      <w:r w:rsidRPr="00234CCC">
        <w:rPr>
          <w:rFonts w:eastAsia="MS Mincho" w:cs="Arial"/>
          <w:b/>
        </w:rPr>
        <w:t xml:space="preserve">capacidad administrativa </w:t>
      </w:r>
      <w:r w:rsidRPr="00234CCC">
        <w:rPr>
          <w:rFonts w:eastAsia="MS Mincho" w:cs="Arial"/>
        </w:rPr>
        <w:t xml:space="preserve">es entendida como </w:t>
      </w:r>
      <w:r w:rsidRPr="00234CCC">
        <w:rPr>
          <w:rFonts w:eastAsia="MS Mincho" w:cs="Arial"/>
          <w:i/>
        </w:rPr>
        <w:t xml:space="preserve">“las habilidades técnico-burocráticas del aparato estatal requeridas para alcanzar sus objetos. En este componente se ubican el nivel micro y meso de la Capacidad Institucional. El </w:t>
      </w:r>
      <w:r w:rsidRPr="00234CCC">
        <w:rPr>
          <w:rFonts w:eastAsia="MS Mincho" w:cs="Arial"/>
          <w:b/>
          <w:i/>
        </w:rPr>
        <w:t xml:space="preserve">primero </w:t>
      </w:r>
      <w:r w:rsidRPr="00234CCC">
        <w:rPr>
          <w:rFonts w:eastAsia="MS Mincho" w:cs="Arial"/>
          <w:i/>
        </w:rPr>
        <w:t xml:space="preserve">hace alusión al individuo, al </w:t>
      </w:r>
      <w:r w:rsidRPr="00234CCC">
        <w:rPr>
          <w:rFonts w:eastAsia="MS Mincho" w:cs="Arial"/>
          <w:b/>
          <w:i/>
        </w:rPr>
        <w:t>recursos humano</w:t>
      </w:r>
      <w:r w:rsidRPr="00234CCC">
        <w:rPr>
          <w:rFonts w:eastAsia="MS Mincho" w:cs="Arial"/>
          <w:i/>
        </w:rPr>
        <w:t xml:space="preserve">. En el segundo nivel, se ubica la </w:t>
      </w:r>
      <w:r w:rsidRPr="00234CCC">
        <w:rPr>
          <w:rFonts w:eastAsia="MS Mincho" w:cs="Arial"/>
          <w:b/>
          <w:i/>
        </w:rPr>
        <w:t>capacidad de gestión</w:t>
      </w:r>
      <w:r w:rsidRPr="00234CCC">
        <w:rPr>
          <w:rFonts w:eastAsia="MS Mincho" w:cs="Arial"/>
          <w:i/>
        </w:rPr>
        <w:t xml:space="preserve">, el cual se centra en el fortalecimiento organizacional como área de intervención para construir capacidad; cultura organizacional, sistemas de comunicación u organización”. </w:t>
      </w:r>
      <w:r w:rsidRPr="00234CCC">
        <w:rPr>
          <w:rStyle w:val="Refdenotaalpie"/>
          <w:rFonts w:eastAsia="MS Mincho" w:cs="Arial"/>
          <w:i/>
        </w:rPr>
        <w:footnoteReference w:id="4"/>
      </w:r>
    </w:p>
    <w:p w14:paraId="2961E1CD" w14:textId="77777777" w:rsidR="006C6CBA" w:rsidRPr="00234CCC" w:rsidRDefault="006C6CBA" w:rsidP="00234CCC">
      <w:pPr>
        <w:contextualSpacing/>
        <w:rPr>
          <w:rFonts w:eastAsia="MS Mincho" w:cs="Arial"/>
        </w:rPr>
      </w:pPr>
    </w:p>
    <w:p w14:paraId="2B204666" w14:textId="77777777" w:rsidR="006C6CBA" w:rsidRPr="00234CCC" w:rsidRDefault="006C6CBA" w:rsidP="00234CCC">
      <w:pPr>
        <w:contextualSpacing/>
        <w:rPr>
          <w:rFonts w:eastAsia="MS Mincho" w:cs="Arial"/>
        </w:rPr>
      </w:pPr>
      <w:r w:rsidRPr="00234CCC">
        <w:rPr>
          <w:rFonts w:eastAsia="MS Mincho" w:cs="Arial"/>
        </w:rPr>
        <w:t xml:space="preserve">Hasta aquí se tiene que, la capacidad administrativa señala los recursos humanos y organizacionales, donde los organizacionales, además de englobar recursos humanos, </w:t>
      </w:r>
      <w:r w:rsidRPr="00234CCC">
        <w:rPr>
          <w:rFonts w:eastAsia="MS Mincho" w:cs="Arial"/>
        </w:rPr>
        <w:lastRenderedPageBreak/>
        <w:t xml:space="preserve">engloban recursos materiales (espacio, equipos de cómputo, instalaciones, tecnología), financieros (ingresos) e intangibles (tiempo), los cuales en conjunto y a la medida correcta, alcanzarían que las instituciones logren la finalidad de cumplir con sus responsabilidades y funciones de manera eficaz y eficiente. </w:t>
      </w:r>
    </w:p>
    <w:p w14:paraId="10397CA1" w14:textId="77777777" w:rsidR="006C6CBA" w:rsidRPr="00234CCC" w:rsidRDefault="006C6CBA" w:rsidP="00234CCC">
      <w:pPr>
        <w:pStyle w:val="Prrafodelista"/>
        <w:ind w:left="0"/>
        <w:rPr>
          <w:rFonts w:eastAsia="MS Mincho" w:cs="Arial"/>
        </w:rPr>
      </w:pPr>
    </w:p>
    <w:p w14:paraId="13577102" w14:textId="2E8B7C6B" w:rsidR="00416DDD" w:rsidRPr="00234CCC" w:rsidRDefault="006C6CBA" w:rsidP="00234CCC">
      <w:pPr>
        <w:pStyle w:val="Prrafodelista"/>
        <w:ind w:left="0"/>
        <w:rPr>
          <w:rFonts w:eastAsia="MS Mincho" w:cs="Arial"/>
          <w:b/>
        </w:rPr>
      </w:pPr>
      <w:r w:rsidRPr="00234CCC">
        <w:rPr>
          <w:rFonts w:eastAsia="MS Mincho" w:cs="Arial"/>
        </w:rPr>
        <w:t xml:space="preserve">Es así, que del análisis realizado a la respuesta otorgada por </w:t>
      </w:r>
      <w:r w:rsidRPr="00234CCC">
        <w:rPr>
          <w:rFonts w:eastAsia="MS Mincho" w:cs="Arial"/>
          <w:b/>
        </w:rPr>
        <w:t xml:space="preserve">EL SUJETO OBLIGADO </w:t>
      </w:r>
      <w:r w:rsidRPr="00234CCC">
        <w:rPr>
          <w:rFonts w:eastAsia="MS Mincho" w:cs="Arial"/>
        </w:rPr>
        <w:t xml:space="preserve">se advierte que </w:t>
      </w:r>
      <w:r w:rsidR="00416DDD" w:rsidRPr="00234CCC">
        <w:rPr>
          <w:rFonts w:eastAsia="MS Mincho" w:cs="Arial"/>
        </w:rPr>
        <w:t xml:space="preserve">argumentó la imposibilidad administrativa al tener que hacer la búsqueda, análisis y procesamiento de más de 11,000 documentos existentes en archivos físicos y electrónicos; sin embargo, como ya se señaló anteriormente en el presente asunto se trata de tres documentos que no implica la búsqueda en la cantidad de documentos que refirió </w:t>
      </w:r>
      <w:r w:rsidR="00416DDD" w:rsidRPr="00234CCC">
        <w:rPr>
          <w:rFonts w:eastAsia="MS Mincho" w:cs="Arial"/>
          <w:b/>
        </w:rPr>
        <w:t xml:space="preserve">EL SUJETO OBLIGADO. </w:t>
      </w:r>
    </w:p>
    <w:p w14:paraId="6C29DB4F" w14:textId="77777777" w:rsidR="00416DDD" w:rsidRPr="00234CCC" w:rsidRDefault="00416DDD" w:rsidP="00234CCC">
      <w:pPr>
        <w:pStyle w:val="Prrafodelista"/>
        <w:ind w:left="0"/>
        <w:rPr>
          <w:rFonts w:eastAsia="MS Mincho" w:cs="Arial"/>
        </w:rPr>
      </w:pPr>
    </w:p>
    <w:p w14:paraId="0D1C393A" w14:textId="77777777" w:rsidR="006C6CBA" w:rsidRPr="00234CCC" w:rsidRDefault="006C6CBA" w:rsidP="00234CCC">
      <w:pPr>
        <w:contextualSpacing/>
        <w:rPr>
          <w:rFonts w:eastAsia="MS Mincho" w:cs="Arial"/>
        </w:rPr>
      </w:pPr>
      <w:r w:rsidRPr="00234CCC">
        <w:rPr>
          <w:rFonts w:eastAsia="MS Mincho" w:cs="Arial"/>
        </w:rPr>
        <w:t xml:space="preserve">Ahora bien, respecto de las </w:t>
      </w:r>
      <w:r w:rsidRPr="00234CCC">
        <w:rPr>
          <w:rFonts w:eastAsia="MS Mincho" w:cs="Arial"/>
          <w:b/>
        </w:rPr>
        <w:t>capacidades humanas</w:t>
      </w:r>
      <w:r w:rsidRPr="00234CCC">
        <w:rPr>
          <w:rFonts w:eastAsia="MS Mincho" w:cs="Arial"/>
        </w:rPr>
        <w:t xml:space="preserve"> vale la pena precisar lo que se denomina por </w:t>
      </w:r>
      <w:r w:rsidRPr="00234CCC">
        <w:rPr>
          <w:rFonts w:eastAsia="MS Mincho" w:cs="Arial"/>
          <w:b/>
        </w:rPr>
        <w:t>recursos humanos</w:t>
      </w:r>
      <w:r w:rsidRPr="00234CCC">
        <w:rPr>
          <w:rFonts w:eastAsia="MS Mincho" w:cs="Arial"/>
        </w:rPr>
        <w:t xml:space="preserve">, es decir, es el conjunto de personas con las que cuenta una determinada organización, para desarrollar y ejecutar de manera correcta las acciones, actividades, labores y tareas que deben realizarse y que han sido solicitadas. </w:t>
      </w:r>
    </w:p>
    <w:p w14:paraId="0ECC2B58" w14:textId="77777777" w:rsidR="006C6CBA" w:rsidRPr="00234CCC" w:rsidRDefault="006C6CBA" w:rsidP="00234CCC">
      <w:pPr>
        <w:contextualSpacing/>
        <w:rPr>
          <w:rFonts w:eastAsia="MS Mincho" w:cs="Arial"/>
        </w:rPr>
      </w:pPr>
    </w:p>
    <w:p w14:paraId="49A792D1" w14:textId="77777777" w:rsidR="006C6CBA" w:rsidRPr="00234CCC" w:rsidRDefault="006C6CBA" w:rsidP="00234CCC">
      <w:pPr>
        <w:contextualSpacing/>
        <w:rPr>
          <w:rFonts w:eastAsia="MS Mincho" w:cs="Arial"/>
        </w:rPr>
      </w:pPr>
      <w:r w:rsidRPr="00234CCC">
        <w:rPr>
          <w:rFonts w:eastAsia="MS Mincho" w:cs="Arial"/>
        </w:rPr>
        <w:t xml:space="preserve">Las personas, son la </w:t>
      </w:r>
      <w:r w:rsidRPr="00234CCC">
        <w:rPr>
          <w:rFonts w:eastAsia="MS Mincho" w:cs="Arial"/>
          <w:b/>
        </w:rPr>
        <w:t xml:space="preserve">parte fundamental de una organización </w:t>
      </w:r>
      <w:r w:rsidRPr="00234CCC">
        <w:rPr>
          <w:rFonts w:eastAsia="MS Mincho" w:cs="Arial"/>
        </w:rPr>
        <w:t xml:space="preserve">y junto con los recursos materiales, financieros e intangibles, conforman el “todo” que una organización necesita, es decir, para el correcto funcionamiento y el alcance de objetivos, deben coexistir uno con otro, de otra forma, el desarrollo no sería el apropiado y el cumplimiento de metas inasequible. </w:t>
      </w:r>
    </w:p>
    <w:p w14:paraId="3CB834D4" w14:textId="77777777" w:rsidR="006C6CBA" w:rsidRPr="00234CCC" w:rsidRDefault="006C6CBA" w:rsidP="00234CCC">
      <w:pPr>
        <w:contextualSpacing/>
        <w:rPr>
          <w:rFonts w:eastAsia="MS Mincho" w:cs="Arial"/>
        </w:rPr>
      </w:pPr>
    </w:p>
    <w:p w14:paraId="180384A9" w14:textId="2BE02F15" w:rsidR="008E1C73" w:rsidRPr="00234CCC" w:rsidRDefault="006C6CBA" w:rsidP="00234CCC">
      <w:pPr>
        <w:rPr>
          <w:rFonts w:eastAsia="Calibri"/>
          <w:lang w:eastAsia="es-ES_tradnl"/>
        </w:rPr>
      </w:pPr>
      <w:r w:rsidRPr="00234CCC">
        <w:t>Es así que, del análisis realizado a las documentales que integra la respuesta a la solicitud de información, se puede advertir que</w:t>
      </w:r>
      <w:r w:rsidR="008E1C73" w:rsidRPr="00234CCC">
        <w:t xml:space="preserve"> si bien </w:t>
      </w:r>
      <w:r w:rsidRPr="00234CCC">
        <w:rPr>
          <w:b/>
        </w:rPr>
        <w:t xml:space="preserve">EL SUJETO OBLIGADO </w:t>
      </w:r>
      <w:r w:rsidR="008E1C73" w:rsidRPr="00234CCC">
        <w:t xml:space="preserve">argumentó el cambio de modalidad en la imposibilidad administrativa y humana; lo cierto es que la información </w:t>
      </w:r>
      <w:r w:rsidR="008E1C73" w:rsidRPr="00234CCC">
        <w:lastRenderedPageBreak/>
        <w:t xml:space="preserve">solicitada no justifica dicha imposibilidad, pues se trata de </w:t>
      </w:r>
      <w:r w:rsidR="008E1C73" w:rsidRPr="00234CCC">
        <w:rPr>
          <w:rFonts w:cs="Arial"/>
          <w:lang w:val="es-ES"/>
        </w:rPr>
        <w:t xml:space="preserve">un nombramiento, un acta de sesión de instalación y una toma de </w:t>
      </w:r>
      <w:r w:rsidR="008E1C73" w:rsidRPr="00234CCC">
        <w:rPr>
          <w:rFonts w:eastAsia="Calibri"/>
          <w:lang w:eastAsia="es-ES_tradnl"/>
        </w:rPr>
        <w:t xml:space="preserve">Protesta del Consejo Municipal. </w:t>
      </w:r>
    </w:p>
    <w:p w14:paraId="527B104B" w14:textId="77777777" w:rsidR="008E1C73" w:rsidRPr="00234CCC" w:rsidRDefault="008E1C73" w:rsidP="00234CCC">
      <w:pPr>
        <w:rPr>
          <w:rFonts w:eastAsia="Calibri"/>
          <w:lang w:eastAsia="es-ES_tradnl"/>
        </w:rPr>
      </w:pPr>
    </w:p>
    <w:p w14:paraId="3E3CB2D7" w14:textId="77777777" w:rsidR="006C6CBA" w:rsidRPr="00234CCC" w:rsidRDefault="006C6CBA" w:rsidP="00234CCC">
      <w:pPr>
        <w:rPr>
          <w:rFonts w:cs="Arial"/>
          <w:lang w:val="es-ES_tradnl"/>
        </w:rPr>
      </w:pPr>
      <w:r w:rsidRPr="00234CCC">
        <w:rPr>
          <w:rFonts w:cs="Arial"/>
        </w:rPr>
        <w:t>En consecuencia; l</w:t>
      </w:r>
      <w:r w:rsidRPr="00234CCC">
        <w:rPr>
          <w:rFonts w:eastAsiaTheme="minorEastAsia" w:cs="Arial"/>
          <w:lang w:val="es-ES_tradnl"/>
        </w:rPr>
        <w:t xml:space="preserve">a respuesta otorgada por </w:t>
      </w:r>
      <w:r w:rsidRPr="00234CCC">
        <w:rPr>
          <w:rFonts w:eastAsiaTheme="minorEastAsia" w:cs="Arial"/>
          <w:b/>
          <w:lang w:val="es-ES_tradnl"/>
        </w:rPr>
        <w:t xml:space="preserve">EL SUJETO OBLIGADO </w:t>
      </w:r>
      <w:r w:rsidRPr="00234CCC">
        <w:rPr>
          <w:rFonts w:cs="Arial"/>
          <w:lang w:val="es-ES_tradnl"/>
        </w:rPr>
        <w:t>carece de la debida fundamentación y motivación</w:t>
      </w:r>
      <w:r w:rsidRPr="00234CCC">
        <w:rPr>
          <w:rFonts w:cs="Arial"/>
        </w:rPr>
        <w:t xml:space="preserve"> consiste en la obligación que tiene todo ente público de expresar los preceptos jurídicos aplicables al asunto motivo del acto y las razones o argumentos de su actuar.</w:t>
      </w:r>
    </w:p>
    <w:p w14:paraId="39A5CAB5" w14:textId="77777777" w:rsidR="006C6CBA" w:rsidRPr="00234CCC" w:rsidRDefault="006C6CBA" w:rsidP="00234CCC">
      <w:pPr>
        <w:rPr>
          <w:lang w:val="es-ES" w:eastAsia="es-MX"/>
        </w:rPr>
      </w:pPr>
    </w:p>
    <w:p w14:paraId="285E4B1C" w14:textId="77777777" w:rsidR="006C6CBA" w:rsidRPr="00234CCC" w:rsidRDefault="006C6CBA" w:rsidP="00234CCC">
      <w:pPr>
        <w:rPr>
          <w:rFonts w:cs="Arial"/>
        </w:rPr>
      </w:pPr>
      <w:r w:rsidRPr="00234CCC">
        <w:rPr>
          <w:rFonts w:cs="Arial"/>
        </w:rPr>
        <w:t>Lo anterior es así, pues no debe perderse de vista que, la fundamentación y motivación consiste en la obligación que tiene todo ente público de expresar los preceptos jurídicos aplicables al asunto origen del acto y las razones o argumentos de su actuar, es así que al respecto, el máximo tribunal del país ha establecido jurisprudencia en relación a qué debe entenderse por fundamentación y motivación, en los siguientes términos:</w:t>
      </w:r>
    </w:p>
    <w:p w14:paraId="44744458" w14:textId="77777777" w:rsidR="006C6CBA" w:rsidRPr="00234CCC" w:rsidRDefault="006C6CBA" w:rsidP="00234CCC">
      <w:pPr>
        <w:rPr>
          <w:lang w:val="es-ES" w:eastAsia="es-MX"/>
        </w:rPr>
      </w:pPr>
    </w:p>
    <w:p w14:paraId="3B6EAF46" w14:textId="77777777" w:rsidR="006C6CBA" w:rsidRPr="00234CCC" w:rsidRDefault="006C6CBA" w:rsidP="00234CCC">
      <w:pPr>
        <w:pStyle w:val="Puesto"/>
      </w:pPr>
      <w:r w:rsidRPr="00234CCC">
        <w:t>“</w:t>
      </w:r>
      <w:r w:rsidRPr="00234CCC">
        <w:rPr>
          <w:b/>
        </w:rPr>
        <w:t xml:space="preserve">FUNDAMENTACIÓN Y MOTIVACIÓN. </w:t>
      </w:r>
      <w:r w:rsidRPr="00234CCC">
        <w:t>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fundamento.”(Sic)</w:t>
      </w:r>
    </w:p>
    <w:p w14:paraId="2046D8F6" w14:textId="77777777" w:rsidR="006C6CBA" w:rsidRPr="00234CCC" w:rsidRDefault="006C6CBA" w:rsidP="00234CCC">
      <w:pPr>
        <w:ind w:left="851" w:right="902"/>
        <w:rPr>
          <w:rFonts w:cs="Arial"/>
          <w:i/>
          <w:szCs w:val="22"/>
        </w:rPr>
      </w:pPr>
    </w:p>
    <w:p w14:paraId="58FE289C" w14:textId="77777777" w:rsidR="006C6CBA" w:rsidRPr="00234CCC" w:rsidRDefault="006C6CBA" w:rsidP="00234CCC">
      <w:pPr>
        <w:rPr>
          <w:rFonts w:cs="Arial"/>
        </w:rPr>
      </w:pPr>
      <w:r w:rsidRPr="00234CCC">
        <w:rPr>
          <w:rFonts w:cs="Arial"/>
        </w:rPr>
        <w:t>Es así que, en un acto de autoridad se surte la debida fundamentación cuando se cita el precepto legal aplicable al caso concreto y la debida motivación cuando se expresan las razones, motivos o circunstancias que tomó en cuenta la autoridad para adecuar el hecho a los fundamentos de derecho.</w:t>
      </w:r>
    </w:p>
    <w:p w14:paraId="2968E14F" w14:textId="77777777" w:rsidR="006C6CBA" w:rsidRPr="00234CCC" w:rsidRDefault="006C6CBA" w:rsidP="00234CCC">
      <w:pPr>
        <w:rPr>
          <w:rFonts w:cs="Arial"/>
        </w:rPr>
      </w:pPr>
    </w:p>
    <w:p w14:paraId="3798581C" w14:textId="77777777" w:rsidR="006C6CBA" w:rsidRPr="00234CCC" w:rsidRDefault="006C6CBA" w:rsidP="00234CCC">
      <w:pPr>
        <w:rPr>
          <w:rFonts w:cs="Arial"/>
        </w:rPr>
      </w:pPr>
      <w:r w:rsidRPr="00234CCC">
        <w:rPr>
          <w:rFonts w:cs="Arial"/>
        </w:rPr>
        <w:t xml:space="preserve">Más aún, a través de diversa jurisprudencia dictada por el Poder Judicial de la Federación se sostiene que la finalidad de la fundamentación o motivación es la de explicar, justificar, </w:t>
      </w:r>
      <w:r w:rsidRPr="00234CCC">
        <w:rPr>
          <w:rFonts w:cs="Arial"/>
        </w:rPr>
        <w:lastRenderedPageBreak/>
        <w:t>posibilitar la defensa y comunicar la decisión de la autoridad, sirviendo de sustento lo siguiente:</w:t>
      </w:r>
    </w:p>
    <w:p w14:paraId="6A78FDCA" w14:textId="77777777" w:rsidR="006C6CBA" w:rsidRPr="00234CCC" w:rsidRDefault="006C6CBA" w:rsidP="00234CCC">
      <w:pPr>
        <w:rPr>
          <w:rFonts w:cs="Arial"/>
        </w:rPr>
      </w:pPr>
    </w:p>
    <w:p w14:paraId="3EAD237F" w14:textId="77777777" w:rsidR="006C6CBA" w:rsidRPr="00234CCC" w:rsidRDefault="006C6CBA" w:rsidP="00234CCC">
      <w:pPr>
        <w:pStyle w:val="Puesto"/>
      </w:pPr>
      <w:r w:rsidRPr="00234CCC">
        <w:t>“</w:t>
      </w:r>
      <w:r w:rsidRPr="00234CCC">
        <w:rPr>
          <w:b/>
        </w:rPr>
        <w:t>FUNDAMENTACIÓN Y MOTIVACIÓN. EL ASPECTO FORMAL DE LA GARANTÍA Y SU FINALIDAD SE TRADUCEN EN EXPLICAR, JUSTIFICAR, POSIBILITAR LA DEFENSA Y COMUNICAR LA DECISIÓN</w:t>
      </w:r>
      <w:r w:rsidRPr="00234CCC">
        <w:t>. El contenido formal de la garantía de legalidad prevista en el artículo 16 constitucional relativa a la fundamentación y motivación tiene como propósito primordial y ratio que el justiciable conozca el "para qué" 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incongruente, insuficiente o imprecisa, que impida la finalidad del conocimiento, comprobación y defensa pertinente, ni es válido exigirle una amplitud o abundancia superflua, pues es suficiente la expresión de lo estrictamente necesario para explicar, justificar y posibilitar la defensa, así como para comunicar la decisión a efecto de que se considere debidamente fundado y motivado, exponiendo los hechos relevantes para decidir, citando la norma habilitante y un argumento mínimo pero suficiente para acreditar el razonamiento del que se deduzca la relación de pertenencia lógica de los hechos al derecho invocado, que es la subsunción.” (Sic)</w:t>
      </w:r>
    </w:p>
    <w:p w14:paraId="1337954F" w14:textId="77777777" w:rsidR="006C6CBA" w:rsidRPr="00234CCC" w:rsidRDefault="006C6CBA" w:rsidP="00234CCC">
      <w:pPr>
        <w:pStyle w:val="Puesto"/>
      </w:pPr>
      <w:r w:rsidRPr="00234CCC">
        <w:t>(Énfasis añadido)</w:t>
      </w:r>
    </w:p>
    <w:p w14:paraId="5667A6D4" w14:textId="77777777" w:rsidR="006C6CBA" w:rsidRPr="00234CCC" w:rsidRDefault="006C6CBA" w:rsidP="00234CCC">
      <w:pPr>
        <w:ind w:left="851" w:right="902"/>
        <w:rPr>
          <w:rFonts w:cs="Arial"/>
          <w:i/>
          <w:szCs w:val="22"/>
        </w:rPr>
      </w:pPr>
    </w:p>
    <w:p w14:paraId="6177F685" w14:textId="77777777" w:rsidR="006C6CBA" w:rsidRPr="00234CCC" w:rsidRDefault="006C6CBA" w:rsidP="00234CCC">
      <w:pPr>
        <w:rPr>
          <w:rFonts w:cs="Arial"/>
          <w:i/>
          <w:szCs w:val="22"/>
        </w:rPr>
      </w:pPr>
      <w:r w:rsidRPr="00234CCC">
        <w:rPr>
          <w:rFonts w:cs="Arial"/>
        </w:rPr>
        <w:t xml:space="preserve">En consecuencia, la fundamentación y motivación implica que en el acto de </w:t>
      </w:r>
      <w:r w:rsidRPr="00234CCC">
        <w:t>autoridad</w:t>
      </w:r>
      <w:r w:rsidRPr="00234CCC">
        <w:rPr>
          <w:rFonts w:cs="Arial"/>
        </w:rPr>
        <w:t>, además de contenerse los supuestos jurídicos aplicables se expliquen claramente, por qué, a través de la utilización de la norma se emitió el acto. De este modo, la persona que se siente afectada podrá impugnar la decisión, permitiéndole una real y auténtica defensa.</w:t>
      </w:r>
    </w:p>
    <w:p w14:paraId="52392E8C" w14:textId="77777777" w:rsidR="006C6CBA" w:rsidRPr="00234CCC" w:rsidRDefault="006C6CBA" w:rsidP="00234CCC">
      <w:pPr>
        <w:rPr>
          <w:lang w:val="es-ES" w:eastAsia="es-MX"/>
        </w:rPr>
      </w:pPr>
    </w:p>
    <w:p w14:paraId="76BB8FB7" w14:textId="77777777" w:rsidR="006C6CBA" w:rsidRPr="00234CCC" w:rsidRDefault="006C6CBA" w:rsidP="00234CCC">
      <w:r w:rsidRPr="00234CCC">
        <w:t xml:space="preserve">Es así </w:t>
      </w:r>
      <w:r w:rsidRPr="00234CCC">
        <w:rPr>
          <w:rFonts w:cs="Arial"/>
        </w:rPr>
        <w:t>que</w:t>
      </w:r>
      <w:r w:rsidRPr="00234CCC">
        <w:t xml:space="preserve">, la respuesta proporcionada carece de la debía motivación, la cual consiste en que las determinaciones emitidas en materia de transparencia y acceso a la información deben estar debidamente </w:t>
      </w:r>
      <w:r w:rsidRPr="00234CCC">
        <w:rPr>
          <w:b/>
        </w:rPr>
        <w:t>fundadas</w:t>
      </w:r>
      <w:r w:rsidRPr="00234CCC">
        <w:t xml:space="preserve"> y </w:t>
      </w:r>
      <w:r w:rsidRPr="00234CCC">
        <w:rPr>
          <w:b/>
        </w:rPr>
        <w:t>motivadas</w:t>
      </w:r>
      <w:r w:rsidRPr="00234CCC">
        <w:t xml:space="preserve">, pues en ellas no solo deben </w:t>
      </w:r>
      <w:r w:rsidRPr="00234CCC">
        <w:rPr>
          <w:b/>
        </w:rPr>
        <w:t>citarse los preceptos legales aplicables</w:t>
      </w:r>
      <w:r w:rsidRPr="00234CCC">
        <w:t xml:space="preserve">, </w:t>
      </w:r>
      <w:r w:rsidRPr="00234CCC">
        <w:rPr>
          <w:b/>
        </w:rPr>
        <w:t xml:space="preserve">sino las circunstancias especiales, razones particulares o causas </w:t>
      </w:r>
      <w:r w:rsidRPr="00234CCC">
        <w:rPr>
          <w:b/>
        </w:rPr>
        <w:lastRenderedPageBreak/>
        <w:t xml:space="preserve">inmediatas que se hayan tenido en consideración para su emisión, </w:t>
      </w:r>
      <w:r w:rsidRPr="00234CCC">
        <w:t xml:space="preserve">debiendo existir una adecuación entre los </w:t>
      </w:r>
      <w:r w:rsidRPr="00234CCC">
        <w:rPr>
          <w:b/>
        </w:rPr>
        <w:t>motivos aducidos</w:t>
      </w:r>
      <w:r w:rsidRPr="00234CCC">
        <w:t xml:space="preserve"> y las normas aplicadas al caso concreto, cuestión que simplemente no aconteció en el presente caso; sirve de apoyo al razonamiento anterior, la siguiente Jurisprudencia emitida por el Poder Judicial de la Federación:</w:t>
      </w:r>
    </w:p>
    <w:p w14:paraId="14855E0A" w14:textId="77777777" w:rsidR="006C6CBA" w:rsidRPr="00234CCC" w:rsidRDefault="006C6CBA" w:rsidP="00234CCC"/>
    <w:p w14:paraId="5B75512A" w14:textId="77777777" w:rsidR="006C6CBA" w:rsidRPr="00234CCC" w:rsidRDefault="006C6CBA" w:rsidP="00234CCC">
      <w:pPr>
        <w:pStyle w:val="Puesto"/>
        <w:rPr>
          <w:rFonts w:eastAsiaTheme="minorEastAsia"/>
          <w:b/>
        </w:rPr>
      </w:pPr>
      <w:r w:rsidRPr="00234CCC">
        <w:rPr>
          <w:rFonts w:eastAsiaTheme="minorEastAsia" w:cs="Arial-ItalicMT"/>
        </w:rPr>
        <w:t>“</w:t>
      </w:r>
      <w:r w:rsidRPr="00234CCC">
        <w:rPr>
          <w:rFonts w:eastAsiaTheme="minorEastAsia"/>
          <w:b/>
        </w:rPr>
        <w:t>FUNDAMENTACIÓN Y MOTIVACIÓN. LA DIFERENCIA ENTRE LA FALTA Y LA INDEBIDA SATISFACCIÓN DE AMBOS REQUISITOS CONSTITUCIONALES TRASCIENDE AL ORDEN EN QUE DEBEN ESTUDIARSE LOS CONCEPTOS DE VIOLACIÓN Y A LOS EFECTOS DEL FALLO PROTECTOR.</w:t>
      </w:r>
    </w:p>
    <w:p w14:paraId="3EB7A68D" w14:textId="77777777" w:rsidR="006C6CBA" w:rsidRPr="00234CCC" w:rsidRDefault="006C6CBA" w:rsidP="00234CCC">
      <w:pPr>
        <w:pStyle w:val="Puesto"/>
        <w:rPr>
          <w:rFonts w:eastAsiaTheme="minorEastAsia"/>
        </w:rPr>
      </w:pPr>
      <w:r w:rsidRPr="00234CCC">
        <w:rPr>
          <w:rFonts w:eastAsiaTheme="minorEastAsia"/>
        </w:rPr>
        <w:t xml:space="preserve">La falta de fundamentación y motivación es una violación formal diversa a la indebida o incorrecta fundamentación y motivación, que es una violación material o de fondo, siendo distintos los efectos que genera la existencia de una u otra, por lo que el estudio de aquella omisión debe hacerse de manera previa. En efecto, el artículo 16 constitucional establece, en su primer párrafo, el imperativo para las autoridades de fundar y motivar sus actos que incidan en la esfera de los gobernados, pero la contravención al mandato constitucional que exige la expresión de ambas en los actos de autoridad puede revestir dos formas distintas, a saber: la derivada de su falta, y la correspondiente a su incorrección. Se produce la falta de fundamentación y motivación, cuando se omite expresar el dispositivo legal aplicable al asunto y las razones que se hayan considerado para estimar que el caso puede subsumirse en la hipótesis prevista en esa norma jurídica. En cambio, hay una indebida fundamentación cuando en el acto de autoridad sí se invoca el precepto legal, sin embargo, resulta inaplicable al asunto por las características específicas de éste que impiden su adecuación o encuadre en la hipótesis normativa; y una incorrecta motivación, en el supuesto en que sí se indican las razones que tiene en consideración la autoridad para emitir el acto, pero aquéllas están en disonancia con el contenido de la norma legal que se aplica en el caso. De manera que la falta de fundamentación y motivación significa la carencia o ausencia de tales requisitos, mientras que la indebida o incorrecta fundamentación y motivación entraña la presencia de ambos requisitos constitucionales, pero con un desajuste entre la aplicación de normas y los razonamientos formulados por la autoridad con el caso concreto. La diferencia apuntada permite advertir que en el primer supuesto se trata de una violación formal dado que el acto de autoridad carece de elementos ínsitos, connaturales, al mismo por virtud de un imperativo constitucional, por lo que, advertida su ausencia mediante la simple lectura del acto reclamado, procederá conceder el amparo solicitado; y en el segundo caso consiste en una violación material o de fondo porque se ha cumplido con la forma mediante la expresión de fundamentos y motivos, pero unos y </w:t>
      </w:r>
      <w:r w:rsidRPr="00234CCC">
        <w:rPr>
          <w:rFonts w:eastAsiaTheme="minorEastAsia"/>
        </w:rPr>
        <w:lastRenderedPageBreak/>
        <w:t>otros son incorrectos, lo cual, por regla general, también dará lugar a un fallo protector, sin embargo, será menester un previo análisis del contenido del asunto para llegar a concluir la mencionada incorrección. Por virtud de esa nota distintiva, los efectos de la concesión del amparo, tratándose de una resolución jurisdiccional, son igualmente diversos en uno y otro caso, pues aunque existe un elemento común, o sea, que la autoridad deje insubsistente el acto inconstitucional, en el primer supuesto será para que subsane la irregularidad expresando la fundamentación y motivación antes ausente, y en el segundo para que aporte fundamentos y motivos diferentes a los que formuló previamente. La apuntada diferencia trasciende, igualmente, al orden en que se deberán estudiar los argumentos que hagan valer los quejosos, ya que si en un caso se advierte la carencia de los requisitos constitucionales de que se trata, es decir, una violación formal, se concederá el amparo para los efectos indicados, con exclusión del análisis de los motivos de disenso que, concurriendo con los atinentes al defecto, versen sobre la incorrección de ambos elementos inherentes al acto de autoridad; empero, si han sido satisfechos aquéllos, será factible el estudio de la indebida fundamentación y motivación, esto es, de la violación material o de fondo.”</w:t>
      </w:r>
    </w:p>
    <w:p w14:paraId="267D5773" w14:textId="77777777" w:rsidR="006C6CBA" w:rsidRPr="00234CCC" w:rsidRDefault="006C6CBA" w:rsidP="00234CCC">
      <w:pPr>
        <w:pStyle w:val="Puesto"/>
        <w:rPr>
          <w:rFonts w:eastAsiaTheme="minorEastAsia"/>
        </w:rPr>
      </w:pPr>
      <w:r w:rsidRPr="00234CCC">
        <w:rPr>
          <w:rFonts w:eastAsiaTheme="minorEastAsia"/>
        </w:rPr>
        <w:t>(Énfasis añadido)</w:t>
      </w:r>
    </w:p>
    <w:p w14:paraId="3190A3A8" w14:textId="77777777" w:rsidR="006C6CBA" w:rsidRPr="00234CCC" w:rsidRDefault="006C6CBA" w:rsidP="00234CCC">
      <w:pPr>
        <w:autoSpaceDE w:val="0"/>
        <w:autoSpaceDN w:val="0"/>
        <w:adjustRightInd w:val="0"/>
        <w:ind w:right="992"/>
        <w:rPr>
          <w:rFonts w:eastAsiaTheme="minorEastAsia" w:cs="Arial"/>
          <w:i/>
          <w:iCs/>
          <w:szCs w:val="22"/>
        </w:rPr>
      </w:pPr>
    </w:p>
    <w:p w14:paraId="14E32572" w14:textId="77777777" w:rsidR="006C6CBA" w:rsidRPr="00234CCC" w:rsidRDefault="006C6CBA" w:rsidP="00234CCC">
      <w:r w:rsidRPr="00234CCC">
        <w:t xml:space="preserve">Es así que, para justificar el cambio de modalidad debe de </w:t>
      </w:r>
      <w:r w:rsidRPr="00234CCC">
        <w:rPr>
          <w:b/>
        </w:rPr>
        <w:t xml:space="preserve">existir un obstáculo infranqueable o de difícil superación </w:t>
      </w:r>
      <w:r w:rsidRPr="00234CCC">
        <w:t xml:space="preserve">para atenderla, como puede ser de manera enunciativa más no </w:t>
      </w:r>
      <w:r w:rsidRPr="00234CCC">
        <w:rPr>
          <w:rFonts w:cs="Arial"/>
          <w:lang w:val="es-ES"/>
        </w:rPr>
        <w:t>limitativa</w:t>
      </w:r>
      <w:r w:rsidRPr="00234CCC">
        <w:t xml:space="preserve"> que la información solicitada se encuentra en un formato diverso al solicitado, que de atendiendo a las características de la misma sea imposible su reproducción en el medio elegido por el particular o bien, que la información que dé atención a la solicitud amerite un cruce de información en los sistemas, entre otros. </w:t>
      </w:r>
    </w:p>
    <w:p w14:paraId="69204FD7" w14:textId="77777777" w:rsidR="006C6CBA" w:rsidRPr="00234CCC" w:rsidRDefault="006C6CBA" w:rsidP="00234CCC">
      <w:pPr>
        <w:rPr>
          <w:lang w:eastAsia="es-MX"/>
        </w:rPr>
      </w:pPr>
    </w:p>
    <w:p w14:paraId="58CC4A2D" w14:textId="36AA9A40" w:rsidR="008E1C73" w:rsidRPr="00234CCC" w:rsidRDefault="006C6CBA" w:rsidP="00234CCC">
      <w:r w:rsidRPr="00234CCC">
        <w:rPr>
          <w:rFonts w:eastAsiaTheme="minorEastAsia" w:cs="Arial"/>
          <w:lang w:val="es-ES_tradnl"/>
        </w:rPr>
        <w:t>Por lo que,</w:t>
      </w:r>
      <w:r w:rsidRPr="00234CCC">
        <w:rPr>
          <w:rFonts w:cs="Arial"/>
        </w:rPr>
        <w:t xml:space="preserve"> para dar</w:t>
      </w:r>
      <w:r w:rsidRPr="00234CCC">
        <w:t xml:space="preserve"> </w:t>
      </w:r>
      <w:r w:rsidRPr="00234CCC">
        <w:rPr>
          <w:rFonts w:cs="Arial"/>
        </w:rPr>
        <w:t>cumplimiento</w:t>
      </w:r>
      <w:r w:rsidRPr="00234CCC">
        <w:t xml:space="preserve"> al acceso a la Información Pública debe realizarse en la modalidad requerida por </w:t>
      </w:r>
      <w:r w:rsidRPr="00234CCC">
        <w:rPr>
          <w:b/>
        </w:rPr>
        <w:t>LA PARTE RECURRENTE</w:t>
      </w:r>
      <w:r w:rsidRPr="00234CCC">
        <w:t xml:space="preserve">, es decir, mediante la entrega de lo solicitado vía </w:t>
      </w:r>
      <w:r w:rsidRPr="00234CCC">
        <w:rPr>
          <w:b/>
        </w:rPr>
        <w:t>SAIMEX</w:t>
      </w:r>
      <w:r w:rsidRPr="00234CCC">
        <w:t xml:space="preserve">, lo que, en el presente caso, no aconteció, puesto que ya se refirió anteriormente </w:t>
      </w:r>
      <w:r w:rsidRPr="00234CCC">
        <w:rPr>
          <w:b/>
        </w:rPr>
        <w:t xml:space="preserve">EL SUJETO OBLIGADO </w:t>
      </w:r>
      <w:r w:rsidRPr="00234CCC">
        <w:t xml:space="preserve">pretendió satisfacer lo requerido en una </w:t>
      </w:r>
      <w:r w:rsidR="008E1C73" w:rsidRPr="00234CCC">
        <w:t xml:space="preserve">modalidad distinta a la elegida aun y cuando la información solicitada consistente en </w:t>
      </w:r>
      <w:r w:rsidR="008E1C73" w:rsidRPr="00234CCC">
        <w:rPr>
          <w:rFonts w:cs="Arial"/>
          <w:lang w:val="es-ES"/>
        </w:rPr>
        <w:t xml:space="preserve">un nombramiento, un acta de sesión de instalación y una toma de </w:t>
      </w:r>
      <w:r w:rsidR="008E1C73" w:rsidRPr="00234CCC">
        <w:rPr>
          <w:rFonts w:eastAsia="Calibri"/>
          <w:lang w:eastAsia="es-ES_tradnl"/>
        </w:rPr>
        <w:t xml:space="preserve">Protesta del Consejo Municipal no representan </w:t>
      </w:r>
      <w:r w:rsidR="008E1C73" w:rsidRPr="00234CCC">
        <w:rPr>
          <w:rFonts w:eastAsia="Calibri"/>
          <w:lang w:eastAsia="es-ES_tradnl"/>
        </w:rPr>
        <w:lastRenderedPageBreak/>
        <w:t xml:space="preserve">un obstáculo para su localización y generación de versión pública, menos aún el cumuló de información no sobrepasa las capacidades técnicas del SAIMEX. </w:t>
      </w:r>
    </w:p>
    <w:p w14:paraId="069286DC" w14:textId="77777777" w:rsidR="006C6CBA" w:rsidRPr="00234CCC" w:rsidRDefault="006C6CBA" w:rsidP="00234CCC">
      <w:pPr>
        <w:rPr>
          <w:lang w:eastAsia="es-MX"/>
        </w:rPr>
      </w:pPr>
    </w:p>
    <w:p w14:paraId="4FDA8A36" w14:textId="21C4AF07" w:rsidR="008E1C73" w:rsidRPr="00234CCC" w:rsidRDefault="006C6CBA" w:rsidP="00234CCC">
      <w:pPr>
        <w:rPr>
          <w:rFonts w:eastAsia="Calibri"/>
          <w:lang w:eastAsia="es-ES_tradnl"/>
        </w:rPr>
      </w:pPr>
      <w:r w:rsidRPr="00234CCC">
        <w:rPr>
          <w:rFonts w:cs="Arial"/>
        </w:rPr>
        <w:t xml:space="preserve">Por lo anterior, este Órgano Garante determina ordenar al </w:t>
      </w:r>
      <w:r w:rsidRPr="00234CCC">
        <w:rPr>
          <w:rFonts w:cs="Arial"/>
          <w:b/>
        </w:rPr>
        <w:t xml:space="preserve">SUJETO OBLIGADO </w:t>
      </w:r>
      <w:r w:rsidRPr="00234CCC">
        <w:rPr>
          <w:rFonts w:cs="Arial"/>
        </w:rPr>
        <w:t xml:space="preserve">haga entrega de ser procedente en </w:t>
      </w:r>
      <w:r w:rsidRPr="00234CCC">
        <w:rPr>
          <w:rFonts w:cs="Arial"/>
          <w:b/>
        </w:rPr>
        <w:t xml:space="preserve">versión pública </w:t>
      </w:r>
      <w:r w:rsidR="008E1C73" w:rsidRPr="00234CCC">
        <w:rPr>
          <w:rFonts w:cs="Arial"/>
        </w:rPr>
        <w:t xml:space="preserve">del nombramiento de la persona precisada en la solicitud y acta de la Primera Sesión de Instalación; así como, la toma de protesta del Consejo Municipal número </w:t>
      </w:r>
      <w:r w:rsidR="008E1C73" w:rsidRPr="00234CCC">
        <w:rPr>
          <w:rFonts w:eastAsia="Calibri"/>
          <w:lang w:eastAsia="es-ES_tradnl"/>
        </w:rPr>
        <w:t xml:space="preserve">No. 14 del IEEM en Atlacomulco. </w:t>
      </w:r>
    </w:p>
    <w:p w14:paraId="6420AA5A" w14:textId="77777777" w:rsidR="008E1C73" w:rsidRPr="00234CCC" w:rsidRDefault="008E1C73" w:rsidP="00234CCC">
      <w:pPr>
        <w:rPr>
          <w:rFonts w:cs="Arial"/>
        </w:rPr>
      </w:pPr>
    </w:p>
    <w:p w14:paraId="74B790AB" w14:textId="77777777" w:rsidR="006C6CBA" w:rsidRPr="00234CCC" w:rsidRDefault="006C6CBA" w:rsidP="00234CCC">
      <w:pPr>
        <w:pStyle w:val="Ttulo3"/>
      </w:pPr>
      <w:bookmarkStart w:id="39" w:name="_Toc170898812"/>
      <w:bookmarkStart w:id="40" w:name="_Toc172051201"/>
      <w:bookmarkStart w:id="41" w:name="_Toc174466654"/>
      <w:bookmarkStart w:id="42" w:name="_Toc178874642"/>
      <w:r w:rsidRPr="00234CCC">
        <w:t>d) Versión pública</w:t>
      </w:r>
      <w:bookmarkEnd w:id="39"/>
      <w:bookmarkEnd w:id="40"/>
      <w:bookmarkEnd w:id="41"/>
      <w:bookmarkEnd w:id="42"/>
    </w:p>
    <w:p w14:paraId="4135DCC4" w14:textId="77777777" w:rsidR="006C6CBA" w:rsidRPr="00234CCC" w:rsidRDefault="006C6CBA" w:rsidP="00234CCC">
      <w:pPr>
        <w:rPr>
          <w:bCs/>
        </w:rPr>
      </w:pPr>
      <w:r w:rsidRPr="00234CCC">
        <w:t xml:space="preserve">Para el caso de que el o los documentos de los cuales se ordena su entrega contengan datos personales susceptibles de ser testados, deberán ser entregados en </w:t>
      </w:r>
      <w:r w:rsidRPr="00234CCC">
        <w:rPr>
          <w:b/>
        </w:rPr>
        <w:t>versión pública</w:t>
      </w:r>
      <w:r w:rsidRPr="00234CCC">
        <w:t>, pues el</w:t>
      </w:r>
      <w:r w:rsidRPr="00234CCC">
        <w:rPr>
          <w:bCs/>
        </w:rPr>
        <w:t xml:space="preserve">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4A6333BA" w14:textId="77777777" w:rsidR="006C6CBA" w:rsidRPr="00234CCC" w:rsidRDefault="006C6CBA" w:rsidP="00234CCC">
      <w:pPr>
        <w:rPr>
          <w:rFonts w:eastAsia="Calibri"/>
          <w:bCs/>
          <w:lang w:eastAsia="en-US"/>
        </w:rPr>
      </w:pPr>
    </w:p>
    <w:p w14:paraId="5AC44F52" w14:textId="77777777" w:rsidR="006C6CBA" w:rsidRPr="00234CCC" w:rsidRDefault="006C6CBA" w:rsidP="00234CCC">
      <w:pPr>
        <w:rPr>
          <w:bCs/>
        </w:rPr>
      </w:pPr>
      <w:r w:rsidRPr="00234CCC">
        <w:rPr>
          <w:bCs/>
        </w:rPr>
        <w:t>A este respecto, los artículos 3, fracciones IX, XX, XXI y XLV; 51 y 52 de la Ley de Transparencia y Acceso a la Información Pública del Estado de México y Municipios establecen:</w:t>
      </w:r>
    </w:p>
    <w:p w14:paraId="3823D415" w14:textId="77777777" w:rsidR="006C6CBA" w:rsidRPr="00234CCC" w:rsidRDefault="006C6CBA" w:rsidP="00234CCC"/>
    <w:p w14:paraId="518BF48E" w14:textId="77777777" w:rsidR="006C6CBA" w:rsidRPr="00234CCC" w:rsidRDefault="006C6CBA" w:rsidP="00234CCC">
      <w:pPr>
        <w:pStyle w:val="Puesto"/>
      </w:pPr>
      <w:r w:rsidRPr="00234CCC">
        <w:rPr>
          <w:b/>
          <w:bCs/>
          <w:noProof/>
        </w:rPr>
        <w:t>“</w:t>
      </w:r>
      <w:r w:rsidRPr="00234CCC">
        <w:rPr>
          <w:b/>
          <w:bCs/>
        </w:rPr>
        <w:t xml:space="preserve">Artículo 3. </w:t>
      </w:r>
      <w:r w:rsidRPr="00234CCC">
        <w:t xml:space="preserve">Para los efectos de la presente Ley se entenderá por: </w:t>
      </w:r>
    </w:p>
    <w:p w14:paraId="0131DE01" w14:textId="77777777" w:rsidR="006C6CBA" w:rsidRPr="00234CCC" w:rsidRDefault="006C6CBA" w:rsidP="00234CCC">
      <w:pPr>
        <w:pStyle w:val="Puesto"/>
      </w:pPr>
      <w:r w:rsidRPr="00234CCC">
        <w:rPr>
          <w:b/>
        </w:rPr>
        <w:t>IX.</w:t>
      </w:r>
      <w:r w:rsidRPr="00234CCC">
        <w:t xml:space="preserve"> </w:t>
      </w:r>
      <w:r w:rsidRPr="00234CCC">
        <w:rPr>
          <w:b/>
        </w:rPr>
        <w:t xml:space="preserve">Datos personales: </w:t>
      </w:r>
      <w:r w:rsidRPr="00234CCC">
        <w:t xml:space="preserve">La información concerniente a una persona, identificada o identificable según lo dispuesto por la Ley de Protección de Datos Personales del Estado de México; </w:t>
      </w:r>
    </w:p>
    <w:p w14:paraId="711E8DD9" w14:textId="77777777" w:rsidR="006C6CBA" w:rsidRPr="00234CCC" w:rsidRDefault="006C6CBA" w:rsidP="00234CCC"/>
    <w:p w14:paraId="3C34B498" w14:textId="77777777" w:rsidR="006C6CBA" w:rsidRPr="00234CCC" w:rsidRDefault="006C6CBA" w:rsidP="00234CCC">
      <w:pPr>
        <w:pStyle w:val="Puesto"/>
      </w:pPr>
      <w:r w:rsidRPr="00234CCC">
        <w:rPr>
          <w:b/>
        </w:rPr>
        <w:t>XX.</w:t>
      </w:r>
      <w:r w:rsidRPr="00234CCC">
        <w:t xml:space="preserve"> </w:t>
      </w:r>
      <w:r w:rsidRPr="00234CCC">
        <w:rPr>
          <w:b/>
        </w:rPr>
        <w:t>Información clasificada:</w:t>
      </w:r>
      <w:r w:rsidRPr="00234CCC">
        <w:t xml:space="preserve"> Aquella considerada por la presente Ley como reservada o confidencial; </w:t>
      </w:r>
    </w:p>
    <w:p w14:paraId="4D010CDA" w14:textId="77777777" w:rsidR="006C6CBA" w:rsidRPr="00234CCC" w:rsidRDefault="006C6CBA" w:rsidP="00234CCC"/>
    <w:p w14:paraId="3C56D4AC" w14:textId="77777777" w:rsidR="006C6CBA" w:rsidRPr="00234CCC" w:rsidRDefault="006C6CBA" w:rsidP="00234CCC">
      <w:pPr>
        <w:pStyle w:val="Puesto"/>
      </w:pPr>
      <w:r w:rsidRPr="00234CCC">
        <w:rPr>
          <w:b/>
        </w:rPr>
        <w:t>XXI.</w:t>
      </w:r>
      <w:r w:rsidRPr="00234CCC">
        <w:t xml:space="preserve"> </w:t>
      </w:r>
      <w:r w:rsidRPr="00234CCC">
        <w:rPr>
          <w:b/>
        </w:rPr>
        <w:t>Información confidencial</w:t>
      </w:r>
      <w:r w:rsidRPr="00234CCC">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6A299D47" w14:textId="77777777" w:rsidR="006C6CBA" w:rsidRPr="00234CCC" w:rsidRDefault="006C6CBA" w:rsidP="00234CCC"/>
    <w:p w14:paraId="5983A1FB" w14:textId="77777777" w:rsidR="006C6CBA" w:rsidRPr="00234CCC" w:rsidRDefault="006C6CBA" w:rsidP="00234CCC">
      <w:pPr>
        <w:pStyle w:val="Puesto"/>
      </w:pPr>
      <w:r w:rsidRPr="00234CCC">
        <w:rPr>
          <w:b/>
        </w:rPr>
        <w:t>XLV. Versión pública:</w:t>
      </w:r>
      <w:r w:rsidRPr="00234CCC">
        <w:t xml:space="preserve"> Documento en el que se elimine, suprime o borra la información clasificada como reservada o confidencial para permitir su acceso. </w:t>
      </w:r>
    </w:p>
    <w:p w14:paraId="29E9F752" w14:textId="77777777" w:rsidR="006C6CBA" w:rsidRPr="00234CCC" w:rsidRDefault="006C6CBA" w:rsidP="00234CCC"/>
    <w:p w14:paraId="0FC1D62A" w14:textId="77777777" w:rsidR="006C6CBA" w:rsidRPr="00234CCC" w:rsidRDefault="006C6CBA" w:rsidP="00234CCC">
      <w:pPr>
        <w:pStyle w:val="Puesto"/>
      </w:pPr>
      <w:r w:rsidRPr="00234CCC">
        <w:rPr>
          <w:b/>
        </w:rPr>
        <w:t>Artículo 51.</w:t>
      </w:r>
      <w:r w:rsidRPr="00234CCC">
        <w:t xml:space="preserve"> Los sujetos obligados designaran a un responsable para atender la Unidad de Transparencia, quien fungirá como enlace entre éstos y los solicitantes. Dicha Unidad será la encargada de tramitar internamente la solicitud de información </w:t>
      </w:r>
      <w:r w:rsidRPr="00234CCC">
        <w:rPr>
          <w:b/>
        </w:rPr>
        <w:t xml:space="preserve">y tendrá la responsabilidad de verificar en cada caso que la misma no sea confidencial o reservada. </w:t>
      </w:r>
      <w:r w:rsidRPr="00234CCC">
        <w:t>Dicha Unidad contará con las facultades internas necesarias para gestionar la atención a las solicitudes de información en los términos de la Ley General y la presente Ley.</w:t>
      </w:r>
    </w:p>
    <w:p w14:paraId="1A41C6C7" w14:textId="77777777" w:rsidR="006C6CBA" w:rsidRPr="00234CCC" w:rsidRDefault="006C6CBA" w:rsidP="00234CCC"/>
    <w:p w14:paraId="687378A3" w14:textId="77777777" w:rsidR="006C6CBA" w:rsidRPr="00234CCC" w:rsidRDefault="006C6CBA" w:rsidP="00234CCC">
      <w:pPr>
        <w:pStyle w:val="Puesto"/>
      </w:pPr>
      <w:r w:rsidRPr="00234CCC">
        <w:rPr>
          <w:b/>
        </w:rPr>
        <w:t>Artículo 52.</w:t>
      </w:r>
      <w:r w:rsidRPr="00234CCC">
        <w:t xml:space="preserve"> Las solicitudes de acceso a la información y las respuestas que se les dé, incluyendo, en su caso, </w:t>
      </w:r>
      <w:r w:rsidRPr="00234CCC">
        <w:rPr>
          <w:u w:val="single"/>
        </w:rPr>
        <w:t>la información entregada, así como las resoluciones a los recursos que en su caso se promuevan serán públicas, y de ser el caso que contenga datos personales que deban ser protegidos se podrá dar su acceso en su versión pública</w:t>
      </w:r>
      <w:r w:rsidRPr="00234CCC">
        <w:t>, siempre y cuando la resolución de referencia se someta a un proceso de disociación, es decir, no haga identificable al titular de tales datos personales.</w:t>
      </w:r>
      <w:r w:rsidRPr="00234CCC">
        <w:rPr>
          <w:bCs/>
          <w:noProof/>
        </w:rPr>
        <w:t xml:space="preserve">” </w:t>
      </w:r>
      <w:r w:rsidRPr="00234CCC">
        <w:rPr>
          <w:i w:val="0"/>
          <w:iCs/>
          <w:szCs w:val="22"/>
        </w:rPr>
        <w:t>(Énfasis añadido)</w:t>
      </w:r>
    </w:p>
    <w:p w14:paraId="30E7F5D5" w14:textId="77777777" w:rsidR="006C6CBA" w:rsidRPr="00234CCC" w:rsidRDefault="006C6CBA" w:rsidP="00234CCC"/>
    <w:p w14:paraId="4DCEC671" w14:textId="77777777" w:rsidR="006C6CBA" w:rsidRPr="00234CCC" w:rsidRDefault="006C6CBA" w:rsidP="00234CCC">
      <w:r w:rsidRPr="00234CCC">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se efectúe deberá estar justificado en la Ley, lo anterior en términos de lo dispuesto por el artículo 22, párrafo primero, relacionado con el 38 de la Ley de Protección de </w:t>
      </w:r>
      <w:r w:rsidRPr="00234CCC">
        <w:lastRenderedPageBreak/>
        <w:t xml:space="preserve">Datos Personales en Posesión de Sujetos Obligados del Estado de México y Municipios, los cuales se transcriben para mayor referencia: </w:t>
      </w:r>
    </w:p>
    <w:p w14:paraId="109FC3A1" w14:textId="77777777" w:rsidR="006C6CBA" w:rsidRPr="00234CCC" w:rsidRDefault="006C6CBA" w:rsidP="00234CCC"/>
    <w:p w14:paraId="5C20C483" w14:textId="77777777" w:rsidR="006C6CBA" w:rsidRPr="00234CCC" w:rsidRDefault="006C6CBA" w:rsidP="00234CCC">
      <w:pPr>
        <w:pStyle w:val="Puesto"/>
        <w:rPr>
          <w:rFonts w:eastAsia="Arial Unicode MS"/>
        </w:rPr>
      </w:pPr>
      <w:r w:rsidRPr="00234CCC">
        <w:rPr>
          <w:rFonts w:eastAsia="Arial Unicode MS"/>
          <w:b/>
        </w:rPr>
        <w:t>“Artículo 22.</w:t>
      </w:r>
      <w:r w:rsidRPr="00234CCC">
        <w:rPr>
          <w:rFonts w:eastAsia="Arial Unicode MS"/>
        </w:rPr>
        <w:t xml:space="preserve"> Todo tratamiento de datos personales que efectúe el responsable deberá estar justificado por finalidades concretas, lícitas, explícitas y legítimas, relacionadas con las atribuciones que la normatividad aplicable les confiera. </w:t>
      </w:r>
    </w:p>
    <w:p w14:paraId="701FCB4D" w14:textId="77777777" w:rsidR="006C6CBA" w:rsidRPr="00234CCC" w:rsidRDefault="006C6CBA" w:rsidP="00234CCC">
      <w:pPr>
        <w:rPr>
          <w:rFonts w:eastAsia="Arial Unicode MS"/>
        </w:rPr>
      </w:pPr>
    </w:p>
    <w:p w14:paraId="0EC73087" w14:textId="77777777" w:rsidR="006C6CBA" w:rsidRPr="00234CCC" w:rsidRDefault="006C6CBA" w:rsidP="00234CCC">
      <w:pPr>
        <w:pStyle w:val="Puesto"/>
        <w:rPr>
          <w:rFonts w:eastAsia="Arial Unicode MS"/>
        </w:rPr>
      </w:pPr>
      <w:r w:rsidRPr="00234CCC">
        <w:rPr>
          <w:rFonts w:eastAsia="Arial Unicode MS"/>
          <w:b/>
        </w:rPr>
        <w:t>Artículo 38.</w:t>
      </w:r>
      <w:r w:rsidRPr="00234CCC">
        <w:rPr>
          <w:rFonts w:eastAsia="Arial Unicode MS"/>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234CCC">
        <w:rPr>
          <w:rFonts w:eastAsia="Arial Unicode MS"/>
          <w:b/>
        </w:rPr>
        <w:t>”</w:t>
      </w:r>
      <w:r w:rsidRPr="00234CCC">
        <w:rPr>
          <w:rFonts w:eastAsia="Arial Unicode MS"/>
        </w:rPr>
        <w:t xml:space="preserve"> </w:t>
      </w:r>
    </w:p>
    <w:p w14:paraId="0A9D5FB9" w14:textId="77777777" w:rsidR="006C6CBA" w:rsidRPr="00234CCC" w:rsidRDefault="006C6CBA" w:rsidP="00234CCC">
      <w:pPr>
        <w:rPr>
          <w:rFonts w:eastAsia="Arial Unicode MS"/>
          <w:i/>
          <w:szCs w:val="22"/>
        </w:rPr>
      </w:pPr>
    </w:p>
    <w:p w14:paraId="526DE3EB" w14:textId="77777777" w:rsidR="006C6CBA" w:rsidRPr="00234CCC" w:rsidRDefault="006C6CBA" w:rsidP="00234CCC">
      <w:r w:rsidRPr="00234CCC">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5CCD928C" w14:textId="77777777" w:rsidR="006C6CBA" w:rsidRPr="00234CCC" w:rsidRDefault="006C6CBA" w:rsidP="00234CCC"/>
    <w:p w14:paraId="557BFF71" w14:textId="77777777" w:rsidR="006C6CBA" w:rsidRPr="00234CCC" w:rsidRDefault="006C6CBA" w:rsidP="00234CCC">
      <w:r w:rsidRPr="00234CCC">
        <w:t>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w:t>
      </w:r>
      <w:r w:rsidRPr="00234CCC">
        <w:rPr>
          <w:rFonts w:eastAsia="Arial Unicode MS"/>
        </w:rPr>
        <w:t xml:space="preserve"> que debe ser protegida por </w:t>
      </w:r>
      <w:r w:rsidRPr="00234CCC">
        <w:rPr>
          <w:rFonts w:eastAsia="Arial Unicode MS"/>
          <w:b/>
        </w:rPr>
        <w:t>EL SUJETO OBLIGADO,</w:t>
      </w:r>
      <w:r w:rsidRPr="00234CCC">
        <w:rPr>
          <w:rFonts w:eastAsia="Arial Unicode MS"/>
        </w:rPr>
        <w:t xml:space="preserve"> por lo </w:t>
      </w:r>
      <w:r w:rsidRPr="00234CCC">
        <w:t>que, todo dato personal susceptible de clasificación debe ser protegido.</w:t>
      </w:r>
    </w:p>
    <w:p w14:paraId="11037230" w14:textId="77777777" w:rsidR="006C6CBA" w:rsidRPr="00234CCC" w:rsidRDefault="006C6CBA" w:rsidP="00234CCC"/>
    <w:p w14:paraId="4C4050A3" w14:textId="77777777" w:rsidR="006C6CBA" w:rsidRPr="00234CCC" w:rsidRDefault="006C6CBA" w:rsidP="00234CCC">
      <w:r w:rsidRPr="00234CCC">
        <w:lastRenderedPageBreak/>
        <w:t>La finalidad de la versión pública es salvaguardar la vida, integridad, seguridad, patrimonio y privacidad de las personas; de tal manera que, todo aquello que no tenga por objeto proteger lo anterior, es susceptible de ser entregado. En otras palabras, la protección de datos personales es una derivación del derecho a la intimidad.</w:t>
      </w:r>
    </w:p>
    <w:p w14:paraId="5A6255B4" w14:textId="77777777" w:rsidR="006C6CBA" w:rsidRPr="00234CCC" w:rsidRDefault="006C6CBA" w:rsidP="00234CCC"/>
    <w:p w14:paraId="097EC817" w14:textId="77777777" w:rsidR="006C6CBA" w:rsidRPr="00234CCC" w:rsidRDefault="006C6CBA" w:rsidP="00234CCC">
      <w:r w:rsidRPr="00234CCC">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5FCECAD5" w14:textId="77777777" w:rsidR="006C6CBA" w:rsidRPr="00234CCC" w:rsidRDefault="006C6CBA" w:rsidP="00234CCC"/>
    <w:p w14:paraId="1B483B3A" w14:textId="77777777" w:rsidR="006C6CBA" w:rsidRPr="00234CCC" w:rsidRDefault="006C6CBA" w:rsidP="00234CCC">
      <w:pPr>
        <w:jc w:val="center"/>
        <w:rPr>
          <w:b/>
          <w:i/>
          <w:szCs w:val="22"/>
        </w:rPr>
      </w:pPr>
      <w:r w:rsidRPr="00234CCC">
        <w:rPr>
          <w:b/>
          <w:i/>
          <w:szCs w:val="22"/>
          <w:lang w:val="es-ES_tradnl"/>
        </w:rPr>
        <w:t>Ley de Transparencia y Acceso a la Información Pública del Estado de México y Municipios</w:t>
      </w:r>
    </w:p>
    <w:p w14:paraId="3D14DE7C" w14:textId="77777777" w:rsidR="006C6CBA" w:rsidRPr="00234CCC" w:rsidRDefault="006C6CBA" w:rsidP="00234CCC"/>
    <w:p w14:paraId="64A820A6" w14:textId="77777777" w:rsidR="006C6CBA" w:rsidRPr="00234CCC" w:rsidRDefault="006C6CBA" w:rsidP="00234CCC">
      <w:pPr>
        <w:pStyle w:val="Puesto"/>
      </w:pPr>
      <w:r w:rsidRPr="00234CCC">
        <w:rPr>
          <w:b/>
        </w:rPr>
        <w:t xml:space="preserve">“Artículo 49. </w:t>
      </w:r>
      <w:r w:rsidRPr="00234CCC">
        <w:t>Los Comités de Transparencia tendrán las siguientes atribuciones:</w:t>
      </w:r>
    </w:p>
    <w:p w14:paraId="20F965D6" w14:textId="77777777" w:rsidR="006C6CBA" w:rsidRPr="00234CCC" w:rsidRDefault="006C6CBA" w:rsidP="00234CCC">
      <w:pPr>
        <w:pStyle w:val="Puesto"/>
      </w:pPr>
      <w:r w:rsidRPr="00234CCC">
        <w:rPr>
          <w:b/>
        </w:rPr>
        <w:t>VIII.</w:t>
      </w:r>
      <w:r w:rsidRPr="00234CCC">
        <w:t xml:space="preserve"> Aprobar, modificar o revocar la clasificación de la información;</w:t>
      </w:r>
    </w:p>
    <w:p w14:paraId="1AC47AF1" w14:textId="77777777" w:rsidR="006C6CBA" w:rsidRPr="00234CCC" w:rsidRDefault="006C6CBA" w:rsidP="00234CCC"/>
    <w:p w14:paraId="7EAD2BDD" w14:textId="77777777" w:rsidR="006C6CBA" w:rsidRPr="00234CCC" w:rsidRDefault="006C6CBA" w:rsidP="00234CCC">
      <w:pPr>
        <w:pStyle w:val="Puesto"/>
      </w:pPr>
      <w:r w:rsidRPr="00234CCC">
        <w:rPr>
          <w:b/>
        </w:rPr>
        <w:t>Artículo 132.</w:t>
      </w:r>
      <w:r w:rsidRPr="00234CCC">
        <w:t xml:space="preserve"> La clasificación de la información se llevará a cabo en el momento en que:</w:t>
      </w:r>
    </w:p>
    <w:p w14:paraId="5478C5F4" w14:textId="77777777" w:rsidR="006C6CBA" w:rsidRPr="00234CCC" w:rsidRDefault="006C6CBA" w:rsidP="00234CCC">
      <w:pPr>
        <w:pStyle w:val="Puesto"/>
      </w:pPr>
      <w:r w:rsidRPr="00234CCC">
        <w:rPr>
          <w:b/>
        </w:rPr>
        <w:t>I.</w:t>
      </w:r>
      <w:r w:rsidRPr="00234CCC">
        <w:t xml:space="preserve"> Se reciba una solicitud de acceso a la información;</w:t>
      </w:r>
    </w:p>
    <w:p w14:paraId="384F0778" w14:textId="77777777" w:rsidR="006C6CBA" w:rsidRPr="00234CCC" w:rsidRDefault="006C6CBA" w:rsidP="00234CCC">
      <w:pPr>
        <w:pStyle w:val="Puesto"/>
      </w:pPr>
      <w:r w:rsidRPr="00234CCC">
        <w:rPr>
          <w:b/>
        </w:rPr>
        <w:t>II.</w:t>
      </w:r>
      <w:r w:rsidRPr="00234CCC">
        <w:t xml:space="preserve"> Se determine mediante resolución de autoridad competente; o</w:t>
      </w:r>
    </w:p>
    <w:p w14:paraId="4ADE5AAA" w14:textId="77777777" w:rsidR="006C6CBA" w:rsidRPr="00234CCC" w:rsidRDefault="006C6CBA" w:rsidP="00234CCC">
      <w:pPr>
        <w:pStyle w:val="Puesto"/>
        <w:rPr>
          <w:b/>
        </w:rPr>
      </w:pPr>
      <w:r w:rsidRPr="00234CCC">
        <w:rPr>
          <w:b/>
          <w:bCs/>
        </w:rPr>
        <w:t>III.</w:t>
      </w:r>
      <w:r w:rsidRPr="00234CCC">
        <w:t xml:space="preserve"> Se generen versiones públicas para dar cumplimiento a las obligaciones de transparencia previstas en esta Ley.</w:t>
      </w:r>
      <w:r w:rsidRPr="00234CCC">
        <w:rPr>
          <w:b/>
        </w:rPr>
        <w:t>”</w:t>
      </w:r>
    </w:p>
    <w:p w14:paraId="4F48FDF4" w14:textId="77777777" w:rsidR="006C6CBA" w:rsidRPr="00234CCC" w:rsidRDefault="006C6CBA" w:rsidP="00234CCC"/>
    <w:p w14:paraId="3E435D72" w14:textId="77777777" w:rsidR="006C6CBA" w:rsidRPr="00234CCC" w:rsidRDefault="006C6CBA" w:rsidP="00234CCC">
      <w:pPr>
        <w:pStyle w:val="Puesto"/>
      </w:pPr>
      <w:r w:rsidRPr="00234CCC">
        <w:rPr>
          <w:b/>
        </w:rPr>
        <w:t>“Segundo. -</w:t>
      </w:r>
      <w:r w:rsidRPr="00234CCC">
        <w:t xml:space="preserve"> Para efectos de los presentes Lineamientos Generales, se entenderá por:</w:t>
      </w:r>
    </w:p>
    <w:p w14:paraId="3964B628" w14:textId="77777777" w:rsidR="006C6CBA" w:rsidRPr="00234CCC" w:rsidRDefault="006C6CBA" w:rsidP="00234CCC">
      <w:pPr>
        <w:pStyle w:val="Puesto"/>
      </w:pPr>
      <w:r w:rsidRPr="00234CCC">
        <w:rPr>
          <w:b/>
        </w:rPr>
        <w:t>XVIII.</w:t>
      </w:r>
      <w:r w:rsidRPr="00234CCC">
        <w:t xml:space="preserve">  </w:t>
      </w:r>
      <w:r w:rsidRPr="00234CCC">
        <w:rPr>
          <w:b/>
        </w:rPr>
        <w:t>Versión pública:</w:t>
      </w:r>
      <w:r w:rsidRPr="00234CCC">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67ACEAE7" w14:textId="77777777" w:rsidR="006C6CBA" w:rsidRPr="00234CCC" w:rsidRDefault="006C6CBA" w:rsidP="00234CCC">
      <w:pPr>
        <w:pStyle w:val="Puesto"/>
      </w:pPr>
    </w:p>
    <w:p w14:paraId="6FBC9FF8" w14:textId="77777777" w:rsidR="006C6CBA" w:rsidRPr="00234CCC" w:rsidRDefault="006C6CBA" w:rsidP="00234CCC">
      <w:pPr>
        <w:pStyle w:val="Puesto"/>
        <w:rPr>
          <w:b/>
          <w:lang w:val="es-ES_tradnl" w:eastAsia="es-MX"/>
        </w:rPr>
      </w:pPr>
      <w:r w:rsidRPr="00234CCC">
        <w:rPr>
          <w:b/>
          <w:lang w:val="es-ES_tradnl" w:eastAsia="es-MX"/>
        </w:rPr>
        <w:t xml:space="preserve">Lineamientos Generales en materia de Clasificación y Desclasificación de la </w:t>
      </w:r>
      <w:r w:rsidRPr="00234CCC">
        <w:rPr>
          <w:b/>
          <w:lang w:val="es-ES_tradnl"/>
        </w:rPr>
        <w:t>Información</w:t>
      </w:r>
    </w:p>
    <w:p w14:paraId="3251D732" w14:textId="77777777" w:rsidR="006C6CBA" w:rsidRPr="00234CCC" w:rsidRDefault="006C6CBA" w:rsidP="00234CCC">
      <w:pPr>
        <w:pStyle w:val="Puesto"/>
      </w:pPr>
    </w:p>
    <w:p w14:paraId="08B95470" w14:textId="77777777" w:rsidR="006C6CBA" w:rsidRPr="00234CCC" w:rsidRDefault="006C6CBA" w:rsidP="00234CCC">
      <w:pPr>
        <w:pStyle w:val="Puesto"/>
      </w:pPr>
      <w:r w:rsidRPr="00234CCC">
        <w:rPr>
          <w:b/>
        </w:rPr>
        <w:t>Cuarto.</w:t>
      </w:r>
      <w:r w:rsidRPr="00234CCC">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48E8F3CD" w14:textId="77777777" w:rsidR="006C6CBA" w:rsidRPr="00234CCC" w:rsidRDefault="006C6CBA" w:rsidP="00234CCC">
      <w:pPr>
        <w:pStyle w:val="Puesto"/>
      </w:pPr>
      <w:r w:rsidRPr="00234CCC">
        <w:t>Los sujetos obligados deberán aplicar, de manera estricta, las excepciones al derecho de acceso a la información y sólo podrán invocarlas cuando acrediten su procedencia.</w:t>
      </w:r>
    </w:p>
    <w:p w14:paraId="2BDDD245" w14:textId="77777777" w:rsidR="006C6CBA" w:rsidRPr="00234CCC" w:rsidRDefault="006C6CBA" w:rsidP="00234CCC"/>
    <w:p w14:paraId="77D86FE3" w14:textId="77777777" w:rsidR="006C6CBA" w:rsidRPr="00234CCC" w:rsidRDefault="006C6CBA" w:rsidP="00234CCC">
      <w:pPr>
        <w:pStyle w:val="Puesto"/>
      </w:pPr>
      <w:r w:rsidRPr="00234CCC">
        <w:rPr>
          <w:b/>
        </w:rPr>
        <w:t>Quinto.</w:t>
      </w:r>
      <w:r w:rsidRPr="00234CCC">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45495AF7" w14:textId="77777777" w:rsidR="006C6CBA" w:rsidRPr="00234CCC" w:rsidRDefault="006C6CBA" w:rsidP="00234CCC"/>
    <w:p w14:paraId="2A33872E" w14:textId="77777777" w:rsidR="006C6CBA" w:rsidRPr="00234CCC" w:rsidRDefault="006C6CBA" w:rsidP="00234CCC">
      <w:pPr>
        <w:pStyle w:val="Puesto"/>
      </w:pPr>
      <w:r w:rsidRPr="00234CCC">
        <w:rPr>
          <w:b/>
        </w:rPr>
        <w:t>Sexto.</w:t>
      </w:r>
      <w:r w:rsidRPr="00234CCC">
        <w:t xml:space="preserve"> Se deroga.</w:t>
      </w:r>
    </w:p>
    <w:p w14:paraId="15D5B433" w14:textId="77777777" w:rsidR="006C6CBA" w:rsidRPr="00234CCC" w:rsidRDefault="006C6CBA" w:rsidP="00234CCC"/>
    <w:p w14:paraId="426EBCC1" w14:textId="77777777" w:rsidR="006C6CBA" w:rsidRPr="00234CCC" w:rsidRDefault="006C6CBA" w:rsidP="00234CCC">
      <w:pPr>
        <w:pStyle w:val="Puesto"/>
      </w:pPr>
      <w:r w:rsidRPr="00234CCC">
        <w:rPr>
          <w:b/>
        </w:rPr>
        <w:t>Séptimo.</w:t>
      </w:r>
      <w:r w:rsidRPr="00234CCC">
        <w:t xml:space="preserve"> La clasificación de la información se llevará a cabo en el momento en que:</w:t>
      </w:r>
    </w:p>
    <w:p w14:paraId="2D4C02BE" w14:textId="77777777" w:rsidR="006C6CBA" w:rsidRPr="00234CCC" w:rsidRDefault="006C6CBA" w:rsidP="00234CCC">
      <w:pPr>
        <w:pStyle w:val="Puesto"/>
      </w:pPr>
      <w:r w:rsidRPr="00234CCC">
        <w:rPr>
          <w:b/>
        </w:rPr>
        <w:t>I.</w:t>
      </w:r>
      <w:r w:rsidRPr="00234CCC">
        <w:t xml:space="preserve">        Se reciba una solicitud de acceso a la información;</w:t>
      </w:r>
    </w:p>
    <w:p w14:paraId="58120991" w14:textId="77777777" w:rsidR="006C6CBA" w:rsidRPr="00234CCC" w:rsidRDefault="006C6CBA" w:rsidP="00234CCC">
      <w:pPr>
        <w:pStyle w:val="Puesto"/>
      </w:pPr>
      <w:r w:rsidRPr="00234CCC">
        <w:rPr>
          <w:b/>
        </w:rPr>
        <w:t>II.</w:t>
      </w:r>
      <w:r w:rsidRPr="00234CCC">
        <w:t xml:space="preserve">       Se determine mediante resolución del Comité de Transparencia, el órgano garante competente, o en cumplimiento a una sentencia del Poder Judicial; o</w:t>
      </w:r>
    </w:p>
    <w:p w14:paraId="4705D1A6" w14:textId="77777777" w:rsidR="006C6CBA" w:rsidRPr="00234CCC" w:rsidRDefault="006C6CBA" w:rsidP="00234CCC">
      <w:pPr>
        <w:pStyle w:val="Puesto"/>
      </w:pPr>
      <w:r w:rsidRPr="00234CCC">
        <w:rPr>
          <w:b/>
        </w:rPr>
        <w:t>III.</w:t>
      </w:r>
      <w:r w:rsidRPr="00234CCC">
        <w:t xml:space="preserve">      Se generen versiones públicas para dar cumplimiento a las obligaciones de transparencia previstas en la Ley General, la Ley Federal y las correspondientes de las entidades federativas.</w:t>
      </w:r>
    </w:p>
    <w:p w14:paraId="45489C34" w14:textId="77777777" w:rsidR="006C6CBA" w:rsidRPr="00234CCC" w:rsidRDefault="006C6CBA" w:rsidP="00234CCC">
      <w:pPr>
        <w:pStyle w:val="Puesto"/>
      </w:pPr>
      <w:r w:rsidRPr="00234CCC">
        <w:t xml:space="preserve">Los titulares de las áreas deberán revisar la información requerida al momento de la recepción de una solicitud de acceso, para verificar, conforme a su naturaleza, si encuadra en una causal de reserva o de confidencialidad. </w:t>
      </w:r>
    </w:p>
    <w:p w14:paraId="0D9D5B00" w14:textId="77777777" w:rsidR="006C6CBA" w:rsidRPr="00234CCC" w:rsidRDefault="006C6CBA" w:rsidP="00234CCC"/>
    <w:p w14:paraId="68B8B5E3" w14:textId="77777777" w:rsidR="006C6CBA" w:rsidRPr="00234CCC" w:rsidRDefault="006C6CBA" w:rsidP="00234CCC">
      <w:pPr>
        <w:pStyle w:val="Puesto"/>
      </w:pPr>
      <w:r w:rsidRPr="00234CCC">
        <w:rPr>
          <w:b/>
        </w:rPr>
        <w:t>Octavo.</w:t>
      </w:r>
      <w:r w:rsidRPr="00234CCC">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1126A9B9" w14:textId="77777777" w:rsidR="006C6CBA" w:rsidRPr="00234CCC" w:rsidRDefault="006C6CBA" w:rsidP="00234CCC">
      <w:pPr>
        <w:pStyle w:val="Puesto"/>
      </w:pPr>
      <w:r w:rsidRPr="00234CCC">
        <w:lastRenderedPageBreak/>
        <w:t>Para motivar la clasificación se deberán señalar las razones o circunstancias especiales que lo llevaron a concluir que el caso particular se ajusta al supuesto previsto por la norma legal invocada como fundamento.</w:t>
      </w:r>
    </w:p>
    <w:p w14:paraId="1349D309" w14:textId="77777777" w:rsidR="006C6CBA" w:rsidRPr="00234CCC" w:rsidRDefault="006C6CBA" w:rsidP="00234CCC">
      <w:pPr>
        <w:pStyle w:val="Puesto"/>
      </w:pPr>
      <w:r w:rsidRPr="00234CCC">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1231B5EC" w14:textId="77777777" w:rsidR="006C6CBA" w:rsidRPr="00234CCC" w:rsidRDefault="006C6CBA" w:rsidP="00234CCC"/>
    <w:p w14:paraId="181CD450" w14:textId="77777777" w:rsidR="006C6CBA" w:rsidRPr="00234CCC" w:rsidRDefault="006C6CBA" w:rsidP="00234CCC">
      <w:pPr>
        <w:pStyle w:val="Puesto"/>
      </w:pPr>
      <w:r w:rsidRPr="00234CCC">
        <w:rPr>
          <w:b/>
        </w:rPr>
        <w:t>Noveno.</w:t>
      </w:r>
      <w:r w:rsidRPr="00234CCC">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2509AFAB" w14:textId="77777777" w:rsidR="006C6CBA" w:rsidRPr="00234CCC" w:rsidRDefault="006C6CBA" w:rsidP="00234CCC"/>
    <w:p w14:paraId="7FA50C35" w14:textId="77777777" w:rsidR="006C6CBA" w:rsidRPr="00234CCC" w:rsidRDefault="006C6CBA" w:rsidP="00234CCC">
      <w:pPr>
        <w:pStyle w:val="Puesto"/>
      </w:pPr>
      <w:r w:rsidRPr="00234CCC">
        <w:rPr>
          <w:b/>
        </w:rPr>
        <w:t>Décimo.</w:t>
      </w:r>
      <w:r w:rsidRPr="00234CCC">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79D24C54" w14:textId="77777777" w:rsidR="006C6CBA" w:rsidRPr="00234CCC" w:rsidRDefault="006C6CBA" w:rsidP="00234CCC">
      <w:pPr>
        <w:pStyle w:val="Puesto"/>
      </w:pPr>
      <w:r w:rsidRPr="00234CCC">
        <w:t>En ausencia de los titulares de las áreas, la información será clasificada o desclasificada por la persona que lo supla, en términos de la normativa que rija la actuación del sujeto obligado.</w:t>
      </w:r>
    </w:p>
    <w:p w14:paraId="13C7351E" w14:textId="77777777" w:rsidR="006C6CBA" w:rsidRPr="00234CCC" w:rsidRDefault="006C6CBA" w:rsidP="00234CCC">
      <w:pPr>
        <w:pStyle w:val="Puesto"/>
        <w:rPr>
          <w:b/>
        </w:rPr>
      </w:pPr>
      <w:r w:rsidRPr="00234CCC">
        <w:rPr>
          <w:b/>
        </w:rPr>
        <w:t>Décimo primero.</w:t>
      </w:r>
      <w:r w:rsidRPr="00234CCC">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234CCC">
        <w:rPr>
          <w:b/>
        </w:rPr>
        <w:t>”</w:t>
      </w:r>
    </w:p>
    <w:p w14:paraId="5C4D8A73" w14:textId="77777777" w:rsidR="006C6CBA" w:rsidRPr="00234CCC" w:rsidRDefault="006C6CBA" w:rsidP="00234CCC"/>
    <w:p w14:paraId="25C553B7" w14:textId="77777777" w:rsidR="006C6CBA" w:rsidRPr="00234CCC" w:rsidRDefault="006C6CBA" w:rsidP="00234CCC">
      <w:pPr>
        <w:rPr>
          <w:lang w:eastAsia="es-CO"/>
        </w:rPr>
      </w:pPr>
      <w:r w:rsidRPr="00234CCC">
        <w:t xml:space="preserve">Consecuentemente, se destaca que la versión pública que elabore </w:t>
      </w:r>
      <w:r w:rsidRPr="00234CCC">
        <w:rPr>
          <w:b/>
        </w:rPr>
        <w:t>EL SUJETO OBLIGADO</w:t>
      </w:r>
      <w:r w:rsidRPr="00234CCC">
        <w:t xml:space="preserve"> debe cumplir con las formalidades exigidas en la Ley, por lo que para tal efecto emitirá el </w:t>
      </w:r>
      <w:r w:rsidRPr="00234CCC">
        <w:rPr>
          <w:b/>
        </w:rPr>
        <w:t>Acuerdo del Comité de Transparencia</w:t>
      </w:r>
      <w:r w:rsidRPr="00234CCC">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w:t>
      </w:r>
      <w:r w:rsidRPr="00234CCC">
        <w:rPr>
          <w:lang w:eastAsia="es-CO"/>
        </w:rPr>
        <w:t xml:space="preserve">, ya que de no hacerlo implica que lo entregado no es legal ni formalmente una versión pública, sino más bien una documentación ilegible, incompleta o </w:t>
      </w:r>
      <w:r w:rsidRPr="00234CCC">
        <w:rPr>
          <w:lang w:eastAsia="es-CO"/>
        </w:rPr>
        <w:lastRenderedPageBreak/>
        <w:t>tachada; pues no se señalan las razones por las que no se aprecian determinados datos -ya sea porque se testan o suprimen- lo cual deja al solicitante en estado de incertidumbre, al no conocer o comprender porque no aparecen en la documentación respectiva, es decir, si no se exponen de manera puntual las razones, se estaría violentando desde un inicio el derecho de acceso a la información del solicitante.</w:t>
      </w:r>
    </w:p>
    <w:p w14:paraId="1E296993" w14:textId="77777777" w:rsidR="006C6CBA" w:rsidRPr="00234CCC" w:rsidRDefault="006C6CBA" w:rsidP="00234CCC">
      <w:pPr>
        <w:rPr>
          <w:lang w:eastAsia="es-CO"/>
        </w:rPr>
      </w:pPr>
    </w:p>
    <w:p w14:paraId="35C3FAEE" w14:textId="77777777" w:rsidR="006C6CBA" w:rsidRPr="00234CCC" w:rsidRDefault="006C6CBA" w:rsidP="00234CCC">
      <w:pPr>
        <w:pStyle w:val="Ttulo3"/>
      </w:pPr>
      <w:bookmarkStart w:id="43" w:name="_Toc172051202"/>
      <w:bookmarkStart w:id="44" w:name="_Toc174466655"/>
      <w:bookmarkStart w:id="45" w:name="_Toc178874643"/>
      <w:r w:rsidRPr="00234CCC">
        <w:t>e) Conclusión</w:t>
      </w:r>
      <w:bookmarkEnd w:id="43"/>
      <w:bookmarkEnd w:id="44"/>
      <w:bookmarkEnd w:id="45"/>
    </w:p>
    <w:p w14:paraId="3A7E3DB9" w14:textId="77777777" w:rsidR="006C6CBA" w:rsidRPr="00234CCC" w:rsidRDefault="006C6CBA" w:rsidP="00234CCC">
      <w:pPr>
        <w:widowControl w:val="0"/>
        <w:tabs>
          <w:tab w:val="left" w:pos="1701"/>
          <w:tab w:val="left" w:pos="1843"/>
        </w:tabs>
        <w:rPr>
          <w:rFonts w:eastAsia="Palatino Linotype" w:cs="Palatino Linotype"/>
        </w:rPr>
      </w:pPr>
      <w:r w:rsidRPr="00234CCC">
        <w:rPr>
          <w:rFonts w:eastAsia="Palatino Linotype" w:cs="Palatino Linotype"/>
        </w:rPr>
        <w:t xml:space="preserve">En razón de lo anteriormente expuesto, este Instituto estima que las razones o motivos de inconformidad hechos valer por </w:t>
      </w:r>
      <w:r w:rsidRPr="00234CCC">
        <w:rPr>
          <w:rFonts w:eastAsiaTheme="minorHAnsi" w:cs="Tahoma"/>
          <w:b/>
          <w:iCs/>
          <w:szCs w:val="22"/>
          <w:lang w:eastAsia="en-US"/>
        </w:rPr>
        <w:t>LA PARTE RECURRENTE</w:t>
      </w:r>
      <w:r w:rsidRPr="00234CCC">
        <w:rPr>
          <w:rFonts w:eastAsiaTheme="minorHAnsi" w:cs="Tahoma"/>
          <w:bCs/>
          <w:iCs/>
          <w:szCs w:val="22"/>
          <w:lang w:eastAsia="en-US"/>
        </w:rPr>
        <w:t xml:space="preserve"> </w:t>
      </w:r>
      <w:r w:rsidRPr="00234CCC">
        <w:rPr>
          <w:rFonts w:eastAsia="Palatino Linotype" w:cs="Palatino Linotype"/>
        </w:rPr>
        <w:t xml:space="preserve">devienen </w:t>
      </w:r>
      <w:r w:rsidRPr="00234CCC">
        <w:rPr>
          <w:rFonts w:eastAsia="Palatino Linotype" w:cs="Palatino Linotype"/>
          <w:b/>
        </w:rPr>
        <w:t>fundadas</w:t>
      </w:r>
      <w:r w:rsidRPr="00234CCC">
        <w:rPr>
          <w:rFonts w:eastAsia="Palatino Linotype" w:cs="Palatino Linotype"/>
        </w:rPr>
        <w:t xml:space="preserve"> y suficientes para </w:t>
      </w:r>
      <w:r w:rsidRPr="00234CCC">
        <w:rPr>
          <w:rFonts w:eastAsia="Palatino Linotype" w:cs="Palatino Linotype"/>
          <w:b/>
        </w:rPr>
        <w:t>REVOCAR</w:t>
      </w:r>
      <w:r w:rsidRPr="00234CCC">
        <w:rPr>
          <w:rFonts w:eastAsia="Palatino Linotype" w:cs="Palatino Linotype"/>
        </w:rPr>
        <w:t xml:space="preserve"> las respuestas del </w:t>
      </w:r>
      <w:r w:rsidRPr="00234CCC">
        <w:rPr>
          <w:rFonts w:eastAsia="Palatino Linotype" w:cs="Palatino Linotype"/>
          <w:b/>
        </w:rPr>
        <w:t>SUJETO OBLIGADO</w:t>
      </w:r>
      <w:r w:rsidRPr="00234CCC">
        <w:rPr>
          <w:rFonts w:eastAsia="Palatino Linotype" w:cs="Palatino Linotype"/>
        </w:rPr>
        <w:t xml:space="preserve"> y ordenarle haga entrega de la información descrita en el presente Considerando.</w:t>
      </w:r>
    </w:p>
    <w:p w14:paraId="1812C411" w14:textId="77777777" w:rsidR="006C6CBA" w:rsidRPr="00234CCC" w:rsidRDefault="006C6CBA" w:rsidP="00234CCC"/>
    <w:p w14:paraId="22F87C32" w14:textId="77777777" w:rsidR="006C6CBA" w:rsidRPr="00234CCC" w:rsidRDefault="006C6CBA" w:rsidP="00234CCC">
      <w:pPr>
        <w:widowControl w:val="0"/>
        <w:tabs>
          <w:tab w:val="left" w:pos="1701"/>
          <w:tab w:val="left" w:pos="1843"/>
        </w:tabs>
        <w:rPr>
          <w:rFonts w:eastAsia="Palatino Linotype" w:cs="Palatino Linotype"/>
        </w:rPr>
      </w:pPr>
    </w:p>
    <w:p w14:paraId="31C15099" w14:textId="77777777" w:rsidR="006C6CBA" w:rsidRPr="00234CCC" w:rsidRDefault="006C6CBA" w:rsidP="00234CCC">
      <w:pPr>
        <w:ind w:right="-93"/>
        <w:rPr>
          <w:rFonts w:cs="Tahoma"/>
          <w:bCs/>
          <w:szCs w:val="22"/>
        </w:rPr>
      </w:pPr>
      <w:r w:rsidRPr="00234CCC">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7C13D1A0" w14:textId="77777777" w:rsidR="00BD5A7C" w:rsidRPr="00234CCC" w:rsidRDefault="00BD5A7C" w:rsidP="00234CCC"/>
    <w:p w14:paraId="5C396097" w14:textId="684A0E4F" w:rsidR="00664420" w:rsidRPr="00234CCC" w:rsidRDefault="00664420" w:rsidP="00234CCC">
      <w:pPr>
        <w:pStyle w:val="Ttulo1"/>
      </w:pPr>
      <w:bookmarkStart w:id="46" w:name="_Toc178874644"/>
      <w:r w:rsidRPr="00234CCC">
        <w:t>RESUELVE</w:t>
      </w:r>
      <w:bookmarkEnd w:id="46"/>
    </w:p>
    <w:p w14:paraId="203B7093" w14:textId="77777777" w:rsidR="00664420" w:rsidRPr="00234CCC" w:rsidRDefault="00664420" w:rsidP="00234CCC">
      <w:pPr>
        <w:ind w:right="113"/>
        <w:rPr>
          <w:rFonts w:cs="Arial"/>
          <w:b/>
          <w:szCs w:val="22"/>
        </w:rPr>
      </w:pPr>
    </w:p>
    <w:p w14:paraId="373B2C7F" w14:textId="238FCDED" w:rsidR="00C351EC" w:rsidRPr="00234CCC" w:rsidRDefault="00C351EC" w:rsidP="00234CCC">
      <w:pPr>
        <w:widowControl w:val="0"/>
        <w:rPr>
          <w:rFonts w:eastAsia="Calibri" w:cs="Tahoma"/>
          <w:bCs/>
          <w:szCs w:val="22"/>
          <w:lang w:eastAsia="en-US"/>
        </w:rPr>
      </w:pPr>
      <w:r w:rsidRPr="00234CCC">
        <w:rPr>
          <w:b/>
          <w:bCs/>
        </w:rPr>
        <w:t>PRIMERO.</w:t>
      </w:r>
      <w:r w:rsidRPr="00234CCC">
        <w:t xml:space="preserve"> </w:t>
      </w:r>
      <w:r w:rsidRPr="00234CCC">
        <w:rPr>
          <w:rFonts w:cs="Tahoma"/>
          <w:szCs w:val="22"/>
        </w:rPr>
        <w:t xml:space="preserve">Se </w:t>
      </w:r>
      <w:r w:rsidRPr="00234CCC">
        <w:rPr>
          <w:rFonts w:cs="Tahoma"/>
          <w:b/>
          <w:bCs/>
          <w:szCs w:val="22"/>
        </w:rPr>
        <w:t>REVOCA</w:t>
      </w:r>
      <w:r w:rsidRPr="00234CCC">
        <w:rPr>
          <w:rFonts w:cs="Tahoma"/>
          <w:szCs w:val="22"/>
        </w:rPr>
        <w:t xml:space="preserve"> la respuesta entregada por el </w:t>
      </w:r>
      <w:r w:rsidRPr="00234CCC">
        <w:rPr>
          <w:rFonts w:cs="Tahoma"/>
          <w:b/>
          <w:bCs/>
          <w:szCs w:val="22"/>
        </w:rPr>
        <w:t>SUJETO OBLIGADO</w:t>
      </w:r>
      <w:r w:rsidRPr="00234CCC">
        <w:rPr>
          <w:rFonts w:cs="Tahoma"/>
          <w:szCs w:val="22"/>
        </w:rPr>
        <w:t xml:space="preserve"> en la solicitud de información </w:t>
      </w:r>
      <w:r w:rsidR="008E1C73" w:rsidRPr="00234CCC">
        <w:rPr>
          <w:rFonts w:cs="Tahoma"/>
          <w:b/>
          <w:bCs/>
          <w:szCs w:val="22"/>
        </w:rPr>
        <w:t>00800/IEEM/IP/2024</w:t>
      </w:r>
      <w:r w:rsidRPr="00234CCC">
        <w:rPr>
          <w:rFonts w:cs="Tahoma"/>
          <w:bCs/>
          <w:szCs w:val="22"/>
        </w:rPr>
        <w:t xml:space="preserve">, </w:t>
      </w:r>
      <w:r w:rsidRPr="00234CCC">
        <w:rPr>
          <w:rFonts w:eastAsia="Calibri" w:cs="Tahoma"/>
          <w:bCs/>
          <w:szCs w:val="22"/>
          <w:lang w:eastAsia="en-US"/>
        </w:rPr>
        <w:t xml:space="preserve">por resultar </w:t>
      </w:r>
      <w:r w:rsidRPr="00234CCC">
        <w:rPr>
          <w:rFonts w:eastAsia="Calibri" w:cs="Tahoma"/>
          <w:b/>
          <w:bCs/>
          <w:szCs w:val="22"/>
          <w:lang w:eastAsia="en-US"/>
        </w:rPr>
        <w:t>FUNDADAS</w:t>
      </w:r>
      <w:r w:rsidRPr="00234CCC">
        <w:rPr>
          <w:rFonts w:eastAsia="Calibri" w:cs="Tahoma"/>
          <w:bCs/>
          <w:szCs w:val="22"/>
          <w:lang w:eastAsia="en-US"/>
        </w:rPr>
        <w:t xml:space="preserve"> las razones o motivos de inconformidad hechos valer por </w:t>
      </w:r>
      <w:r w:rsidRPr="00234CCC">
        <w:rPr>
          <w:rFonts w:eastAsia="Calibri" w:cs="Tahoma"/>
          <w:b/>
          <w:szCs w:val="22"/>
          <w:lang w:eastAsia="en-US"/>
        </w:rPr>
        <w:t>LA PARTE RECURRENTE</w:t>
      </w:r>
      <w:r w:rsidRPr="00234CCC">
        <w:rPr>
          <w:rFonts w:eastAsia="Calibri" w:cs="Tahoma"/>
          <w:bCs/>
          <w:szCs w:val="22"/>
          <w:lang w:eastAsia="en-US"/>
        </w:rPr>
        <w:t xml:space="preserve"> en el Recurso de Revisión </w:t>
      </w:r>
      <w:r w:rsidRPr="00234CCC">
        <w:rPr>
          <w:rFonts w:eastAsia="Palatino Linotype"/>
          <w:b/>
          <w:szCs w:val="22"/>
        </w:rPr>
        <w:t>0</w:t>
      </w:r>
      <w:r w:rsidR="008E1C73" w:rsidRPr="00234CCC">
        <w:rPr>
          <w:rFonts w:eastAsia="Palatino Linotype"/>
          <w:b/>
          <w:szCs w:val="22"/>
        </w:rPr>
        <w:t>3402</w:t>
      </w:r>
      <w:r w:rsidRPr="00234CCC">
        <w:rPr>
          <w:rFonts w:eastAsia="Palatino Linotype"/>
          <w:b/>
          <w:szCs w:val="22"/>
        </w:rPr>
        <w:t>/INFOEM/IP/RR/2024</w:t>
      </w:r>
      <w:r w:rsidRPr="00234CCC">
        <w:rPr>
          <w:rFonts w:eastAsiaTheme="minorHAnsi" w:cstheme="minorBidi"/>
          <w:szCs w:val="22"/>
          <w:lang w:eastAsia="en-US"/>
        </w:rPr>
        <w:t>,</w:t>
      </w:r>
      <w:r w:rsidRPr="00234CCC">
        <w:rPr>
          <w:rFonts w:cs="Tahoma"/>
          <w:b/>
          <w:szCs w:val="22"/>
        </w:rPr>
        <w:t xml:space="preserve"> </w:t>
      </w:r>
      <w:r w:rsidRPr="00234CCC">
        <w:rPr>
          <w:rFonts w:eastAsia="Calibri" w:cs="Tahoma"/>
          <w:bCs/>
          <w:szCs w:val="22"/>
          <w:lang w:eastAsia="en-US"/>
        </w:rPr>
        <w:t xml:space="preserve">en términos del considerando </w:t>
      </w:r>
      <w:r w:rsidRPr="00234CCC">
        <w:rPr>
          <w:rFonts w:eastAsia="Calibri" w:cs="Tahoma"/>
          <w:b/>
          <w:szCs w:val="22"/>
          <w:lang w:eastAsia="en-US"/>
        </w:rPr>
        <w:t>SEGUNDO</w:t>
      </w:r>
      <w:r w:rsidRPr="00234CCC">
        <w:rPr>
          <w:rFonts w:eastAsia="Calibri" w:cs="Tahoma"/>
          <w:bCs/>
          <w:szCs w:val="22"/>
          <w:lang w:eastAsia="en-US"/>
        </w:rPr>
        <w:t xml:space="preserve"> de la presente Resolución.</w:t>
      </w:r>
    </w:p>
    <w:p w14:paraId="132FA536" w14:textId="7D4C3593" w:rsidR="00C351EC" w:rsidRPr="00234CCC" w:rsidRDefault="00C351EC" w:rsidP="00234CCC">
      <w:pPr>
        <w:ind w:right="-93"/>
        <w:rPr>
          <w:rFonts w:eastAsia="Calibri" w:cs="Tahoma"/>
          <w:bCs/>
          <w:szCs w:val="22"/>
          <w:lang w:eastAsia="en-US"/>
        </w:rPr>
      </w:pPr>
      <w:r w:rsidRPr="00234CCC">
        <w:rPr>
          <w:rFonts w:eastAsia="Calibri" w:cs="Tahoma"/>
          <w:b/>
          <w:bCs/>
          <w:szCs w:val="22"/>
          <w:lang w:eastAsia="en-US"/>
        </w:rPr>
        <w:lastRenderedPageBreak/>
        <w:t>SEGUNDO.</w:t>
      </w:r>
      <w:r w:rsidRPr="00234CCC">
        <w:rPr>
          <w:rFonts w:eastAsia="Calibri" w:cs="Tahoma"/>
          <w:szCs w:val="22"/>
          <w:lang w:eastAsia="es-MX"/>
        </w:rPr>
        <w:t xml:space="preserve"> Se </w:t>
      </w:r>
      <w:r w:rsidRPr="00234CCC">
        <w:rPr>
          <w:rFonts w:eastAsia="Calibri" w:cs="Tahoma"/>
          <w:b/>
          <w:szCs w:val="22"/>
          <w:lang w:eastAsia="es-MX"/>
        </w:rPr>
        <w:t xml:space="preserve">ORDENA </w:t>
      </w:r>
      <w:r w:rsidRPr="00234CCC">
        <w:rPr>
          <w:rFonts w:eastAsia="Calibri" w:cs="Tahoma"/>
          <w:szCs w:val="22"/>
          <w:lang w:eastAsia="es-MX"/>
        </w:rPr>
        <w:t xml:space="preserve">al </w:t>
      </w:r>
      <w:r w:rsidRPr="00234CCC">
        <w:rPr>
          <w:rFonts w:eastAsia="Calibri" w:cs="Tahoma"/>
          <w:b/>
          <w:bCs/>
          <w:szCs w:val="22"/>
          <w:lang w:eastAsia="es-MX"/>
        </w:rPr>
        <w:t>SUJETO OBLIGADO</w:t>
      </w:r>
      <w:r w:rsidRPr="00234CCC">
        <w:rPr>
          <w:rFonts w:eastAsia="Calibri" w:cs="Tahoma"/>
          <w:szCs w:val="22"/>
          <w:lang w:eastAsia="es-MX"/>
        </w:rPr>
        <w:t xml:space="preserve">, </w:t>
      </w:r>
      <w:r w:rsidRPr="00234CCC">
        <w:rPr>
          <w:rFonts w:eastAsia="Calibri" w:cs="Tahoma"/>
          <w:bCs/>
          <w:szCs w:val="22"/>
          <w:lang w:eastAsia="en-US"/>
        </w:rPr>
        <w:t xml:space="preserve">a efecto de que entregue a través del </w:t>
      </w:r>
      <w:r w:rsidRPr="00234CCC">
        <w:rPr>
          <w:rFonts w:eastAsia="Calibri" w:cs="Tahoma"/>
          <w:b/>
          <w:bCs/>
          <w:szCs w:val="22"/>
          <w:lang w:eastAsia="en-US"/>
        </w:rPr>
        <w:t>SAIMEX</w:t>
      </w:r>
      <w:r w:rsidRPr="00234CCC">
        <w:rPr>
          <w:rFonts w:eastAsia="Calibri" w:cs="Tahoma"/>
          <w:bCs/>
          <w:szCs w:val="22"/>
          <w:lang w:eastAsia="en-US"/>
        </w:rPr>
        <w:t xml:space="preserve">, </w:t>
      </w:r>
      <w:r w:rsidR="008E1C73" w:rsidRPr="00234CCC">
        <w:rPr>
          <w:rFonts w:eastAsia="Calibri" w:cs="Tahoma"/>
          <w:bCs/>
          <w:szCs w:val="22"/>
          <w:lang w:eastAsia="en-US"/>
        </w:rPr>
        <w:t xml:space="preserve">de ser procedente en </w:t>
      </w:r>
      <w:r w:rsidR="008E1C73" w:rsidRPr="00234CCC">
        <w:rPr>
          <w:rFonts w:eastAsia="Calibri" w:cs="Tahoma"/>
          <w:b/>
          <w:bCs/>
          <w:szCs w:val="22"/>
          <w:lang w:eastAsia="en-US"/>
        </w:rPr>
        <w:t>versión pública</w:t>
      </w:r>
      <w:r w:rsidR="008E1C73" w:rsidRPr="00234CCC">
        <w:rPr>
          <w:rFonts w:eastAsia="Calibri" w:cs="Tahoma"/>
          <w:bCs/>
          <w:szCs w:val="22"/>
          <w:lang w:eastAsia="en-US"/>
        </w:rPr>
        <w:t xml:space="preserve">, </w:t>
      </w:r>
      <w:r w:rsidR="00EA3040" w:rsidRPr="00234CCC">
        <w:rPr>
          <w:rFonts w:eastAsia="Calibri" w:cs="Tahoma"/>
          <w:bCs/>
          <w:szCs w:val="22"/>
          <w:lang w:eastAsia="en-US"/>
        </w:rPr>
        <w:t xml:space="preserve">los documentos donde conste </w:t>
      </w:r>
      <w:r w:rsidRPr="00234CCC">
        <w:rPr>
          <w:rFonts w:eastAsia="Calibri" w:cs="Tahoma"/>
          <w:bCs/>
          <w:szCs w:val="22"/>
          <w:lang w:eastAsia="en-US"/>
        </w:rPr>
        <w:t>lo siguiente:</w:t>
      </w:r>
    </w:p>
    <w:p w14:paraId="25E1B3DA" w14:textId="77777777" w:rsidR="00C351EC" w:rsidRPr="00234CCC" w:rsidRDefault="00C351EC" w:rsidP="00234CCC">
      <w:pPr>
        <w:rPr>
          <w:rFonts w:eastAsia="Palatino Linotype"/>
          <w:b/>
          <w:szCs w:val="22"/>
        </w:rPr>
      </w:pPr>
    </w:p>
    <w:p w14:paraId="32FA62C3" w14:textId="727FAEB0" w:rsidR="008E1C73" w:rsidRPr="00234CCC" w:rsidRDefault="008E1C73" w:rsidP="00234CCC">
      <w:pPr>
        <w:pStyle w:val="Puesto"/>
      </w:pPr>
      <w:r w:rsidRPr="00234CCC">
        <w:t xml:space="preserve">El nombramiento </w:t>
      </w:r>
      <w:r w:rsidR="00EA3040" w:rsidRPr="00234CCC">
        <w:t>de la</w:t>
      </w:r>
      <w:r w:rsidRPr="00234CCC">
        <w:t xml:space="preserve"> Consejera </w:t>
      </w:r>
      <w:r w:rsidR="00DD6D70" w:rsidRPr="00234CCC">
        <w:t xml:space="preserve">del Consejo Municipal número 14 </w:t>
      </w:r>
      <w:r w:rsidRPr="00234CCC">
        <w:t xml:space="preserve">de la persona precisada en la solicitud, acta de la Primera Sesión de Instalación; así como, la toma de protesta. </w:t>
      </w:r>
    </w:p>
    <w:p w14:paraId="5B282461" w14:textId="6BE1B369" w:rsidR="00EE77E9" w:rsidRPr="00234CCC" w:rsidRDefault="00EE77E9" w:rsidP="00234CCC">
      <w:pPr>
        <w:pStyle w:val="Puesto"/>
        <w:ind w:left="0"/>
      </w:pPr>
    </w:p>
    <w:p w14:paraId="3F07338E" w14:textId="77777777" w:rsidR="00250520" w:rsidRPr="00234CCC" w:rsidRDefault="00250520" w:rsidP="00234CCC">
      <w:pPr>
        <w:ind w:right="-93"/>
        <w:rPr>
          <w:rFonts w:eastAsia="Calibri" w:cs="Tahoma"/>
          <w:bCs/>
          <w:szCs w:val="22"/>
          <w:lang w:eastAsia="en-US"/>
        </w:rPr>
      </w:pPr>
      <w:r w:rsidRPr="00234CCC">
        <w:rPr>
          <w:rFonts w:eastAsia="Calibri" w:cs="Tahoma"/>
          <w:bCs/>
          <w:szCs w:val="22"/>
          <w:lang w:eastAsia="en-US"/>
        </w:rPr>
        <w:t>De ser necesarias 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w:t>
      </w:r>
    </w:p>
    <w:p w14:paraId="79153E62" w14:textId="77777777" w:rsidR="00250520" w:rsidRPr="00234CCC" w:rsidRDefault="00250520" w:rsidP="00234CCC"/>
    <w:p w14:paraId="41C3B5D5" w14:textId="77777777" w:rsidR="00C351EC" w:rsidRPr="00234CCC" w:rsidRDefault="00C351EC" w:rsidP="00234CCC">
      <w:r w:rsidRPr="00234CCC">
        <w:rPr>
          <w:b/>
          <w:bCs/>
        </w:rPr>
        <w:t>TERCERO.</w:t>
      </w:r>
      <w:r w:rsidRPr="00234CCC">
        <w:t xml:space="preserve"> </w:t>
      </w:r>
      <w:r w:rsidRPr="00234CCC">
        <w:rPr>
          <w:rFonts w:eastAsia="Palatino Linotype" w:cs="Palatino Linotype"/>
          <w:b/>
          <w:lang w:eastAsia="es-MX"/>
        </w:rPr>
        <w:t xml:space="preserve">Notifíquese </w:t>
      </w:r>
      <w:r w:rsidRPr="00234CCC">
        <w:rPr>
          <w:szCs w:val="17"/>
          <w:lang w:eastAsia="es-ES_tradnl"/>
        </w:rPr>
        <w:t xml:space="preserve">vía </w:t>
      </w:r>
      <w:r w:rsidRPr="00234CCC">
        <w:rPr>
          <w:rFonts w:cs="Arial"/>
        </w:rPr>
        <w:t>Sistema de Acceso a la Información Mexiquense (</w:t>
      </w:r>
      <w:r w:rsidRPr="00234CCC">
        <w:rPr>
          <w:rFonts w:cs="Arial"/>
          <w:b/>
          <w:bCs/>
        </w:rPr>
        <w:t>SAIMEX)</w:t>
      </w:r>
      <w:r w:rsidRPr="00234CCC">
        <w:rPr>
          <w:shd w:val="clear" w:color="auto" w:fill="FFFFFF"/>
        </w:rPr>
        <w:t xml:space="preserve"> la presente resolución al Titular de la Unidad de Transparencia del Sujeto Obligado</w:t>
      </w:r>
      <w:r w:rsidRPr="00234CCC">
        <w:t xml:space="preserve">, para que conforme al artículo 186 último párrafo, 189 segundo párrafo y 194 de la Ley de Transparencia y Acceso a la Información Pública del Estado de México y Municipios, dé cumplimiento a lo ordenado dentro del plazo de </w:t>
      </w:r>
      <w:r w:rsidRPr="00234CCC">
        <w:rPr>
          <w:b/>
          <w:bCs/>
        </w:rPr>
        <w:t>diez días hábiles</w:t>
      </w:r>
      <w:r w:rsidRPr="00234CCC">
        <w:t xml:space="preserve">, e informe a este Instituto en un plazo de </w:t>
      </w:r>
      <w:r w:rsidRPr="00234CCC">
        <w:rPr>
          <w:b/>
          <w:bCs/>
        </w:rPr>
        <w:t>tres días hábiles</w:t>
      </w:r>
      <w:r w:rsidRPr="00234CCC">
        <w:t xml:space="preserve"> siguientes, sobre el cumplimiento dado a la presente. Asimismo,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C2391C3" w14:textId="77777777" w:rsidR="00C351EC" w:rsidRPr="00234CCC" w:rsidRDefault="00C351EC" w:rsidP="00234CCC"/>
    <w:p w14:paraId="4B9B9019" w14:textId="77777777" w:rsidR="00C351EC" w:rsidRPr="009E33C8" w:rsidRDefault="00C351EC" w:rsidP="00234CCC">
      <w:pPr>
        <w:rPr>
          <w:b/>
          <w:bCs/>
        </w:rPr>
      </w:pPr>
      <w:r w:rsidRPr="00234CCC">
        <w:rPr>
          <w:b/>
          <w:bCs/>
        </w:rPr>
        <w:t>CUARTO.</w:t>
      </w:r>
      <w:r w:rsidRPr="00234CCC">
        <w:t xml:space="preserve"> Notifíquese a </w:t>
      </w:r>
      <w:r w:rsidRPr="00234CCC">
        <w:rPr>
          <w:b/>
          <w:bCs/>
        </w:rPr>
        <w:t>LA PARTE RECURRENTE</w:t>
      </w:r>
      <w:r w:rsidRPr="00234CCC">
        <w:t xml:space="preserve"> la presente resolución vía Sistema de Acceso a la Información Mexiquense </w:t>
      </w:r>
      <w:r w:rsidRPr="009E33C8">
        <w:rPr>
          <w:b/>
          <w:bCs/>
        </w:rPr>
        <w:t>(SAIMEX).</w:t>
      </w:r>
    </w:p>
    <w:p w14:paraId="29F3FA02" w14:textId="35C86952" w:rsidR="00C351EC" w:rsidRPr="00234CCC" w:rsidRDefault="00C351EC" w:rsidP="00234CCC"/>
    <w:p w14:paraId="647D2F27" w14:textId="77777777" w:rsidR="00234CCC" w:rsidRPr="00234CCC" w:rsidRDefault="00234CCC" w:rsidP="00234CCC"/>
    <w:p w14:paraId="0FCAD9EC" w14:textId="77777777" w:rsidR="00C351EC" w:rsidRPr="00234CCC" w:rsidRDefault="00C351EC" w:rsidP="00234CCC">
      <w:r w:rsidRPr="00234CCC">
        <w:rPr>
          <w:b/>
          <w:bCs/>
        </w:rPr>
        <w:lastRenderedPageBreak/>
        <w:t>QUINTO</w:t>
      </w:r>
      <w:r w:rsidRPr="00234CCC">
        <w:t xml:space="preserve">. Hágase del conocimiento a </w:t>
      </w:r>
      <w:r w:rsidRPr="00234CCC">
        <w:rPr>
          <w:b/>
          <w:bCs/>
        </w:rPr>
        <w:t>LA PARTE RECURRENTE</w:t>
      </w:r>
      <w:r w:rsidRPr="00234CCC">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7416F93D" w14:textId="77777777" w:rsidR="00C351EC" w:rsidRPr="00234CCC" w:rsidRDefault="00C351EC" w:rsidP="00234CCC"/>
    <w:p w14:paraId="30649671" w14:textId="77777777" w:rsidR="00C351EC" w:rsidRPr="00234CCC" w:rsidRDefault="00C351EC" w:rsidP="00234CCC">
      <w:r w:rsidRPr="00234CCC">
        <w:rPr>
          <w:b/>
          <w:bCs/>
        </w:rPr>
        <w:t>SEXTO.</w:t>
      </w:r>
      <w:r w:rsidRPr="00234CCC">
        <w:t xml:space="preserve"> De conformidad con el artículo 198 de la Ley de Transparencia y Acceso a la Información Pública del Estado de México y Municipios, el </w:t>
      </w:r>
      <w:r w:rsidRPr="00234CCC">
        <w:rPr>
          <w:b/>
          <w:bCs/>
        </w:rPr>
        <w:t>SUJETO OBLIGADO</w:t>
      </w:r>
      <w:r w:rsidRPr="00234CCC">
        <w:t xml:space="preserve"> podrá solicitar una ampliación de plazo de manera fundada y motivada, para el cumplimiento de la presente resolución.</w:t>
      </w:r>
    </w:p>
    <w:p w14:paraId="430D4192" w14:textId="77777777" w:rsidR="00B137E8" w:rsidRPr="00234CCC" w:rsidRDefault="00B137E8" w:rsidP="00234CCC">
      <w:pPr>
        <w:ind w:right="113"/>
        <w:rPr>
          <w:rFonts w:cs="Arial"/>
          <w:b/>
          <w:szCs w:val="22"/>
        </w:rPr>
      </w:pPr>
    </w:p>
    <w:p w14:paraId="732A8F8B" w14:textId="77777777" w:rsidR="00C827A6" w:rsidRPr="00234CCC" w:rsidRDefault="00C827A6" w:rsidP="00234CCC">
      <w:pPr>
        <w:rPr>
          <w:rFonts w:eastAsia="Palatino Linotype" w:cs="Palatino Linotype"/>
          <w:szCs w:val="22"/>
        </w:rPr>
      </w:pPr>
      <w:r w:rsidRPr="00234CCC">
        <w:rPr>
          <w:rFonts w:eastAsia="Palatino Linotype" w:cs="Palatino Linotype"/>
          <w:szCs w:val="22"/>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TRIGÉSMA QUINTA SESIÓN ORDINARIA, CELEBRADA EL TRES DE OCTUBRE DE DOS MIL VEINTICUATRO, ANTE EL SECRETARIO TÉCNICO DEL PLENO, ALEXIS TAPIA RAMÍREZ.</w:t>
      </w:r>
    </w:p>
    <w:p w14:paraId="5EFEA0CD" w14:textId="484F43CA" w:rsidR="00664420" w:rsidRPr="00234CCC" w:rsidRDefault="00CE1DFB" w:rsidP="00234CCC">
      <w:pPr>
        <w:ind w:right="-93"/>
        <w:rPr>
          <w:rFonts w:eastAsia="Calibri" w:cs="Tahoma"/>
          <w:szCs w:val="22"/>
          <w:lang w:val="es-ES"/>
        </w:rPr>
      </w:pPr>
      <w:r w:rsidRPr="00234CCC">
        <w:rPr>
          <w:rFonts w:eastAsia="Palatino Linotype" w:cs="Palatino Linotype"/>
          <w:sz w:val="20"/>
        </w:rPr>
        <w:t>SCMM/AGZ/DEMF/RPG</w:t>
      </w:r>
    </w:p>
    <w:p w14:paraId="696BC976" w14:textId="77777777" w:rsidR="00664420" w:rsidRPr="00234CCC" w:rsidRDefault="00664420" w:rsidP="00234CCC">
      <w:pPr>
        <w:ind w:right="-93"/>
        <w:rPr>
          <w:rFonts w:eastAsia="Calibri" w:cs="Tahoma"/>
          <w:bCs/>
          <w:szCs w:val="22"/>
          <w:lang w:val="es-ES" w:eastAsia="en-US"/>
        </w:rPr>
      </w:pPr>
    </w:p>
    <w:p w14:paraId="671CB0C5" w14:textId="77777777" w:rsidR="00664420" w:rsidRPr="00234CCC" w:rsidRDefault="00664420" w:rsidP="00234CCC">
      <w:pPr>
        <w:ind w:right="-93"/>
        <w:rPr>
          <w:rFonts w:eastAsia="Calibri" w:cs="Tahoma"/>
          <w:bCs/>
          <w:szCs w:val="22"/>
          <w:lang w:val="es-ES_tradnl" w:eastAsia="en-US"/>
        </w:rPr>
      </w:pPr>
    </w:p>
    <w:p w14:paraId="52B66DE7" w14:textId="77777777" w:rsidR="00664420" w:rsidRPr="00234CCC" w:rsidRDefault="00664420" w:rsidP="00234CCC">
      <w:pPr>
        <w:ind w:right="-93"/>
        <w:rPr>
          <w:rFonts w:eastAsia="Calibri" w:cs="Tahoma"/>
          <w:bCs/>
          <w:szCs w:val="22"/>
          <w:lang w:val="es-ES_tradnl" w:eastAsia="en-US"/>
        </w:rPr>
      </w:pPr>
    </w:p>
    <w:p w14:paraId="3BA305D1" w14:textId="77777777" w:rsidR="00664420" w:rsidRPr="00234CCC" w:rsidRDefault="00664420" w:rsidP="00234CCC">
      <w:pPr>
        <w:ind w:right="-93"/>
        <w:rPr>
          <w:rFonts w:eastAsia="Calibri" w:cs="Tahoma"/>
          <w:bCs/>
          <w:szCs w:val="22"/>
          <w:lang w:val="es-ES_tradnl" w:eastAsia="en-US"/>
        </w:rPr>
      </w:pPr>
    </w:p>
    <w:p w14:paraId="78230707" w14:textId="77777777" w:rsidR="00664420" w:rsidRPr="00234CCC" w:rsidRDefault="00664420" w:rsidP="00234CCC">
      <w:pPr>
        <w:ind w:right="-93"/>
        <w:rPr>
          <w:rFonts w:eastAsia="Calibri" w:cs="Tahoma"/>
          <w:bCs/>
          <w:szCs w:val="22"/>
          <w:lang w:val="es-ES_tradnl" w:eastAsia="en-US"/>
        </w:rPr>
      </w:pPr>
    </w:p>
    <w:p w14:paraId="72D18B28" w14:textId="77777777" w:rsidR="00664420" w:rsidRPr="00234CCC" w:rsidRDefault="00664420" w:rsidP="00234CCC">
      <w:pPr>
        <w:ind w:right="-93"/>
        <w:rPr>
          <w:rFonts w:eastAsia="Calibri" w:cs="Tahoma"/>
          <w:bCs/>
          <w:szCs w:val="22"/>
          <w:lang w:val="es-ES_tradnl" w:eastAsia="en-US"/>
        </w:rPr>
      </w:pPr>
    </w:p>
    <w:p w14:paraId="6BD461DC" w14:textId="77777777" w:rsidR="00664420" w:rsidRPr="00234CCC" w:rsidRDefault="00664420" w:rsidP="00234CCC">
      <w:pPr>
        <w:tabs>
          <w:tab w:val="center" w:pos="4568"/>
        </w:tabs>
        <w:ind w:right="-93"/>
        <w:rPr>
          <w:rFonts w:eastAsia="Calibri" w:cs="Tahoma"/>
          <w:bCs/>
          <w:szCs w:val="22"/>
          <w:lang w:eastAsia="en-US"/>
        </w:rPr>
      </w:pPr>
    </w:p>
    <w:p w14:paraId="4DBB1727" w14:textId="77777777" w:rsidR="00664420" w:rsidRPr="00234CCC" w:rsidRDefault="00664420" w:rsidP="00234CCC">
      <w:pPr>
        <w:tabs>
          <w:tab w:val="center" w:pos="4568"/>
        </w:tabs>
        <w:ind w:right="-93"/>
        <w:rPr>
          <w:rFonts w:eastAsia="Calibri" w:cs="Tahoma"/>
          <w:bCs/>
          <w:szCs w:val="22"/>
          <w:lang w:eastAsia="en-US"/>
        </w:rPr>
      </w:pPr>
    </w:p>
    <w:p w14:paraId="1D74121B" w14:textId="77777777" w:rsidR="00664420" w:rsidRPr="00234CCC" w:rsidRDefault="00664420" w:rsidP="00234CCC">
      <w:pPr>
        <w:tabs>
          <w:tab w:val="center" w:pos="4568"/>
        </w:tabs>
        <w:ind w:right="-93"/>
        <w:rPr>
          <w:rFonts w:eastAsia="Calibri" w:cs="Tahoma"/>
          <w:bCs/>
          <w:szCs w:val="22"/>
          <w:lang w:eastAsia="en-US"/>
        </w:rPr>
      </w:pPr>
    </w:p>
    <w:p w14:paraId="08E74E9C" w14:textId="77777777" w:rsidR="00664420" w:rsidRPr="00234CCC" w:rsidRDefault="00664420" w:rsidP="00234CCC">
      <w:pPr>
        <w:tabs>
          <w:tab w:val="center" w:pos="4568"/>
        </w:tabs>
        <w:ind w:right="-93"/>
        <w:rPr>
          <w:rFonts w:eastAsia="Calibri" w:cs="Tahoma"/>
          <w:bCs/>
          <w:szCs w:val="22"/>
          <w:lang w:eastAsia="en-US"/>
        </w:rPr>
      </w:pPr>
    </w:p>
    <w:p w14:paraId="2CBF5E03" w14:textId="77777777" w:rsidR="00664420" w:rsidRPr="00234CCC" w:rsidRDefault="00664420" w:rsidP="00234CCC">
      <w:pPr>
        <w:tabs>
          <w:tab w:val="center" w:pos="4568"/>
        </w:tabs>
        <w:ind w:right="-93"/>
        <w:rPr>
          <w:rFonts w:eastAsia="Calibri" w:cs="Tahoma"/>
          <w:bCs/>
          <w:szCs w:val="22"/>
          <w:lang w:eastAsia="en-US"/>
        </w:rPr>
      </w:pPr>
    </w:p>
    <w:p w14:paraId="44865A6D" w14:textId="77777777" w:rsidR="00664420" w:rsidRPr="00234CCC" w:rsidRDefault="00664420" w:rsidP="00234CCC">
      <w:pPr>
        <w:tabs>
          <w:tab w:val="center" w:pos="4568"/>
        </w:tabs>
        <w:ind w:right="-93"/>
        <w:rPr>
          <w:rFonts w:eastAsia="Calibri" w:cs="Tahoma"/>
          <w:bCs/>
          <w:szCs w:val="22"/>
          <w:lang w:eastAsia="en-US"/>
        </w:rPr>
      </w:pPr>
    </w:p>
    <w:p w14:paraId="7147F06B" w14:textId="77777777" w:rsidR="00664420" w:rsidRPr="00234CCC" w:rsidRDefault="00664420" w:rsidP="00234CCC">
      <w:pPr>
        <w:tabs>
          <w:tab w:val="center" w:pos="4568"/>
        </w:tabs>
        <w:ind w:right="-93"/>
        <w:rPr>
          <w:rFonts w:eastAsia="Calibri" w:cs="Tahoma"/>
          <w:bCs/>
          <w:szCs w:val="22"/>
          <w:lang w:eastAsia="en-US"/>
        </w:rPr>
      </w:pPr>
    </w:p>
    <w:p w14:paraId="6FDF3D7E" w14:textId="77777777" w:rsidR="00664420" w:rsidRPr="00234CCC" w:rsidRDefault="00664420" w:rsidP="00234CCC">
      <w:pPr>
        <w:tabs>
          <w:tab w:val="center" w:pos="4568"/>
        </w:tabs>
        <w:ind w:right="-93"/>
        <w:rPr>
          <w:rFonts w:eastAsia="Calibri" w:cs="Tahoma"/>
          <w:bCs/>
          <w:szCs w:val="22"/>
          <w:lang w:eastAsia="en-US"/>
        </w:rPr>
      </w:pPr>
    </w:p>
    <w:p w14:paraId="6246F818" w14:textId="77777777" w:rsidR="00664420" w:rsidRPr="00234CCC" w:rsidRDefault="00664420" w:rsidP="00234CCC">
      <w:pPr>
        <w:tabs>
          <w:tab w:val="center" w:pos="4568"/>
        </w:tabs>
        <w:ind w:right="-93"/>
        <w:rPr>
          <w:rFonts w:eastAsia="Calibri" w:cs="Tahoma"/>
          <w:bCs/>
          <w:szCs w:val="22"/>
          <w:lang w:eastAsia="en-US"/>
        </w:rPr>
      </w:pPr>
    </w:p>
    <w:p w14:paraId="57A88B28" w14:textId="77777777" w:rsidR="00664420" w:rsidRPr="00234CCC" w:rsidRDefault="00664420" w:rsidP="00234CCC">
      <w:pPr>
        <w:tabs>
          <w:tab w:val="center" w:pos="4568"/>
        </w:tabs>
        <w:ind w:right="-93"/>
        <w:rPr>
          <w:rFonts w:eastAsia="Calibri" w:cs="Tahoma"/>
          <w:bCs/>
          <w:szCs w:val="22"/>
          <w:lang w:eastAsia="en-US"/>
        </w:rPr>
      </w:pPr>
    </w:p>
    <w:p w14:paraId="77EF6095" w14:textId="77777777" w:rsidR="00664420" w:rsidRPr="00234CCC" w:rsidRDefault="00664420" w:rsidP="00234CCC">
      <w:pPr>
        <w:tabs>
          <w:tab w:val="center" w:pos="4568"/>
        </w:tabs>
        <w:ind w:right="-93"/>
        <w:rPr>
          <w:rFonts w:eastAsia="Calibri" w:cs="Tahoma"/>
          <w:bCs/>
          <w:szCs w:val="22"/>
          <w:lang w:eastAsia="en-US"/>
        </w:rPr>
      </w:pPr>
    </w:p>
    <w:p w14:paraId="35593947" w14:textId="77777777" w:rsidR="00664420" w:rsidRPr="00234CCC" w:rsidRDefault="00664420" w:rsidP="00234CCC">
      <w:pPr>
        <w:tabs>
          <w:tab w:val="center" w:pos="4568"/>
        </w:tabs>
        <w:ind w:right="-93"/>
        <w:rPr>
          <w:rFonts w:eastAsia="Calibri" w:cs="Tahoma"/>
          <w:bCs/>
          <w:szCs w:val="22"/>
          <w:lang w:eastAsia="en-US"/>
        </w:rPr>
      </w:pPr>
    </w:p>
    <w:p w14:paraId="3AF72A17" w14:textId="77777777" w:rsidR="00664420" w:rsidRPr="00234CCC" w:rsidRDefault="00664420" w:rsidP="00234CCC">
      <w:pPr>
        <w:tabs>
          <w:tab w:val="center" w:pos="4568"/>
        </w:tabs>
        <w:ind w:right="-93"/>
        <w:rPr>
          <w:rFonts w:eastAsia="Calibri" w:cs="Tahoma"/>
          <w:bCs/>
          <w:szCs w:val="22"/>
          <w:lang w:eastAsia="en-US"/>
        </w:rPr>
      </w:pPr>
    </w:p>
    <w:p w14:paraId="37169144" w14:textId="77777777" w:rsidR="00664420" w:rsidRPr="00234CCC" w:rsidRDefault="00664420" w:rsidP="00234CCC">
      <w:pPr>
        <w:tabs>
          <w:tab w:val="center" w:pos="4568"/>
        </w:tabs>
        <w:ind w:right="-93"/>
        <w:rPr>
          <w:rFonts w:eastAsia="Calibri" w:cs="Tahoma"/>
          <w:bCs/>
          <w:szCs w:val="22"/>
          <w:lang w:eastAsia="en-US"/>
        </w:rPr>
      </w:pPr>
    </w:p>
    <w:p w14:paraId="77CFC088" w14:textId="77777777" w:rsidR="00664420" w:rsidRPr="00234CCC" w:rsidRDefault="00664420" w:rsidP="00234CCC">
      <w:pPr>
        <w:tabs>
          <w:tab w:val="center" w:pos="4568"/>
        </w:tabs>
        <w:ind w:right="-93"/>
        <w:rPr>
          <w:rFonts w:eastAsia="Calibri" w:cs="Tahoma"/>
          <w:bCs/>
          <w:szCs w:val="22"/>
          <w:lang w:eastAsia="en-US"/>
        </w:rPr>
      </w:pPr>
    </w:p>
    <w:p w14:paraId="781A11A5" w14:textId="77777777" w:rsidR="00664420" w:rsidRPr="00234CCC" w:rsidRDefault="00664420" w:rsidP="00234CCC">
      <w:pPr>
        <w:tabs>
          <w:tab w:val="center" w:pos="4568"/>
        </w:tabs>
        <w:ind w:right="-93"/>
        <w:rPr>
          <w:rFonts w:eastAsia="Calibri" w:cs="Tahoma"/>
          <w:bCs/>
          <w:szCs w:val="22"/>
          <w:lang w:eastAsia="en-US"/>
        </w:rPr>
      </w:pPr>
    </w:p>
    <w:p w14:paraId="5B4ADFF3" w14:textId="77777777" w:rsidR="00A131AC" w:rsidRPr="00234CCC" w:rsidRDefault="00A131AC" w:rsidP="00234CCC"/>
    <w:sectPr w:rsidR="00A131AC" w:rsidRPr="00234CCC" w:rsidSect="00EE2AF2">
      <w:footerReference w:type="default" r:id="rId15"/>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4CCC62" w14:textId="77777777" w:rsidR="004E314F" w:rsidRDefault="004E314F" w:rsidP="00664420">
      <w:pPr>
        <w:spacing w:line="240" w:lineRule="auto"/>
      </w:pPr>
      <w:r>
        <w:separator/>
      </w:r>
    </w:p>
  </w:endnote>
  <w:endnote w:type="continuationSeparator" w:id="0">
    <w:p w14:paraId="22FA9F1A" w14:textId="77777777" w:rsidR="004E314F" w:rsidRDefault="004E314F"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Arial-Italic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250520" w:rsidRDefault="00250520">
    <w:pPr>
      <w:tabs>
        <w:tab w:val="center" w:pos="4550"/>
        <w:tab w:val="left" w:pos="5818"/>
      </w:tabs>
      <w:ind w:right="260"/>
      <w:jc w:val="right"/>
      <w:rPr>
        <w:color w:val="071320" w:themeColor="text2" w:themeShade="80"/>
        <w:sz w:val="24"/>
        <w:szCs w:val="24"/>
      </w:rPr>
    </w:pPr>
  </w:p>
  <w:p w14:paraId="1BCA7F23" w14:textId="77777777" w:rsidR="00250520" w:rsidRDefault="0025052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250520" w:rsidRDefault="00250520">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BD140A" w:rsidRPr="00BD140A">
      <w:rPr>
        <w:noProof/>
        <w:color w:val="0A1D30" w:themeColor="text2" w:themeShade="BF"/>
        <w:sz w:val="24"/>
        <w:szCs w:val="24"/>
        <w:lang w:val="es-ES"/>
      </w:rPr>
      <w:t>40</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BD140A" w:rsidRPr="00BD140A">
      <w:rPr>
        <w:noProof/>
        <w:color w:val="0A1D30" w:themeColor="text2" w:themeShade="BF"/>
        <w:sz w:val="24"/>
        <w:szCs w:val="24"/>
        <w:lang w:val="es-ES"/>
      </w:rPr>
      <w:t>43</w:t>
    </w:r>
    <w:r>
      <w:rPr>
        <w:color w:val="0A1D30" w:themeColor="text2" w:themeShade="BF"/>
        <w:sz w:val="24"/>
        <w:szCs w:val="24"/>
      </w:rPr>
      <w:fldChar w:fldCharType="end"/>
    </w:r>
  </w:p>
  <w:p w14:paraId="310E15C0" w14:textId="77777777" w:rsidR="00250520" w:rsidRDefault="0025052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FA90C5" w14:textId="77777777" w:rsidR="004E314F" w:rsidRDefault="004E314F" w:rsidP="00664420">
      <w:pPr>
        <w:spacing w:line="240" w:lineRule="auto"/>
      </w:pPr>
      <w:r>
        <w:separator/>
      </w:r>
    </w:p>
  </w:footnote>
  <w:footnote w:type="continuationSeparator" w:id="0">
    <w:p w14:paraId="1EDC158B" w14:textId="77777777" w:rsidR="004E314F" w:rsidRDefault="004E314F" w:rsidP="00664420">
      <w:pPr>
        <w:spacing w:line="240" w:lineRule="auto"/>
      </w:pPr>
      <w:r>
        <w:continuationSeparator/>
      </w:r>
    </w:p>
  </w:footnote>
  <w:footnote w:id="1">
    <w:p w14:paraId="3D1440D7" w14:textId="3E253097" w:rsidR="00A876B9" w:rsidRDefault="00A876B9" w:rsidP="00A876B9">
      <w:pPr>
        <w:pStyle w:val="Textonotapie"/>
      </w:pPr>
      <w:r>
        <w:rPr>
          <w:rStyle w:val="Refdenotaalpie"/>
        </w:rPr>
        <w:footnoteRef/>
      </w:r>
      <w:r>
        <w:t xml:space="preserve"> </w:t>
      </w:r>
      <w:r>
        <w:rPr>
          <w:rStyle w:val="Refdenotaalpie"/>
        </w:rPr>
        <w:footnoteRef/>
      </w:r>
      <w:r>
        <w:t xml:space="preserve"> </w:t>
      </w:r>
      <w:r w:rsidRPr="00AB2FE5">
        <w:rPr>
          <w:rFonts w:eastAsia="Batang" w:cs="Tahoma"/>
          <w:i/>
          <w:sz w:val="16"/>
          <w:szCs w:val="22"/>
          <w:lang w:val="es-ES"/>
        </w:rPr>
        <w:t xml:space="preserve">Si bien, se registró el </w:t>
      </w:r>
      <w:r>
        <w:rPr>
          <w:rFonts w:eastAsia="Batang" w:cs="Tahoma"/>
          <w:i/>
          <w:sz w:val="16"/>
          <w:szCs w:val="22"/>
          <w:lang w:val="es-ES"/>
        </w:rPr>
        <w:t xml:space="preserve">veintisiete de abril  de dos mil veinticuatro, </w:t>
      </w:r>
      <w:r w:rsidRPr="00AB2FE5">
        <w:rPr>
          <w:rFonts w:eastAsia="Batang" w:cs="Tahoma"/>
          <w:i/>
          <w:sz w:val="16"/>
          <w:szCs w:val="22"/>
          <w:lang w:val="es-ES"/>
        </w:rPr>
        <w:t xml:space="preserve"> a través de dicho portal, también lo es, que fue inhábil, de conformidad con el artículo 3°, fracción X de la Ley de Transparencia y Acceso a la Información Pública del Estado de México y Municipios y el Calendario Oficial en Materia de Transparencia, Acceso a la Información Pública y Protección de Datos Personales del Estado de México y Municipios, así como de labores del Instituto, por lo que, se tuvo por recibido, el día hábil subsecuente.</w:t>
      </w:r>
    </w:p>
    <w:p w14:paraId="76539AA5" w14:textId="181D74BD" w:rsidR="00A876B9" w:rsidRDefault="00A876B9">
      <w:pPr>
        <w:pStyle w:val="Textonotapie"/>
      </w:pPr>
    </w:p>
  </w:footnote>
  <w:footnote w:id="2">
    <w:p w14:paraId="78393596" w14:textId="77777777" w:rsidR="00250520" w:rsidRPr="00250520" w:rsidRDefault="00250520" w:rsidP="00250520">
      <w:pPr>
        <w:pStyle w:val="Textonotapie"/>
        <w:rPr>
          <w:i/>
          <w:sz w:val="18"/>
          <w:szCs w:val="18"/>
        </w:rPr>
      </w:pPr>
      <w:r>
        <w:rPr>
          <w:rStyle w:val="Refdenotaalpie"/>
        </w:rPr>
        <w:footnoteRef/>
      </w:r>
      <w:r>
        <w:t xml:space="preserve"> </w:t>
      </w:r>
      <w:r w:rsidRPr="00250520">
        <w:rPr>
          <w:i/>
          <w:sz w:val="18"/>
          <w:szCs w:val="18"/>
        </w:rPr>
        <w:t>https://www.ieem.org.mx/normatividad/docs/normas_ieem/reglamentos/R_ORG_DESC.pdf</w:t>
      </w:r>
    </w:p>
  </w:footnote>
  <w:footnote w:id="3">
    <w:p w14:paraId="01F9FAC3" w14:textId="77777777" w:rsidR="00250520" w:rsidRPr="00FD622F" w:rsidRDefault="00250520" w:rsidP="006C6CBA">
      <w:pPr>
        <w:pStyle w:val="Textonotapie"/>
        <w:rPr>
          <w:i/>
          <w:sz w:val="18"/>
          <w:szCs w:val="18"/>
        </w:rPr>
      </w:pPr>
      <w:r>
        <w:rPr>
          <w:rStyle w:val="Refdenotaalpie"/>
        </w:rPr>
        <w:footnoteRef/>
      </w:r>
      <w:r>
        <w:t xml:space="preserve"> </w:t>
      </w:r>
      <w:r w:rsidRPr="00FD622F">
        <w:rPr>
          <w:i/>
          <w:sz w:val="18"/>
          <w:szCs w:val="18"/>
        </w:rPr>
        <w:t>https://legislacion.edomex.gob.mx/sites/legislacion.edomex.gob.mx/files/files/pdf/bdo/bdo2024/bdo125.pdf</w:t>
      </w:r>
    </w:p>
  </w:footnote>
  <w:footnote w:id="4">
    <w:p w14:paraId="6E15C6C8" w14:textId="77777777" w:rsidR="00250520" w:rsidRPr="007815D6" w:rsidRDefault="00250520" w:rsidP="006C6CBA">
      <w:pPr>
        <w:pStyle w:val="Textonotapie"/>
        <w:rPr>
          <w:sz w:val="18"/>
        </w:rPr>
      </w:pPr>
      <w:r>
        <w:rPr>
          <w:rStyle w:val="Refdenotaalpie"/>
        </w:rPr>
        <w:footnoteRef/>
      </w:r>
      <w:r>
        <w:t xml:space="preserve"> </w:t>
      </w:r>
      <w:r w:rsidRPr="007815D6">
        <w:rPr>
          <w:sz w:val="18"/>
        </w:rPr>
        <w:t xml:space="preserve">Políticas Públicas y Cambio Climático. Angélica Rosas Huerta. Profesora- investigadora. Departamento Política y Cultura. División de Ciencias Sociales y Humanidades.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250520" w:rsidRPr="00330DA7" w14:paraId="070A4B18" w14:textId="77777777" w:rsidTr="003F35FD">
      <w:trPr>
        <w:trHeight w:val="144"/>
        <w:jc w:val="right"/>
      </w:trPr>
      <w:tc>
        <w:tcPr>
          <w:tcW w:w="2727" w:type="dxa"/>
        </w:tcPr>
        <w:p w14:paraId="62B7493A" w14:textId="77777777" w:rsidR="00250520" w:rsidRPr="00330DA7" w:rsidRDefault="00250520" w:rsidP="004D0573">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41F610F2" w:rsidR="00250520" w:rsidRPr="00A90C72" w:rsidRDefault="00250520" w:rsidP="00A95C00">
          <w:pPr>
            <w:tabs>
              <w:tab w:val="right" w:pos="8838"/>
            </w:tabs>
            <w:spacing w:line="240" w:lineRule="auto"/>
            <w:ind w:left="-74" w:right="-105"/>
            <w:rPr>
              <w:rFonts w:eastAsia="Calibri" w:cs="Tahoma"/>
              <w:szCs w:val="22"/>
              <w:lang w:eastAsia="en-US"/>
            </w:rPr>
          </w:pPr>
          <w:r w:rsidRPr="004D0573">
            <w:rPr>
              <w:rFonts w:eastAsia="Calibri" w:cs="Tahoma"/>
              <w:szCs w:val="22"/>
              <w:lang w:eastAsia="en-US"/>
            </w:rPr>
            <w:t>0</w:t>
          </w:r>
          <w:r>
            <w:rPr>
              <w:rFonts w:eastAsia="Calibri" w:cs="Tahoma"/>
              <w:szCs w:val="22"/>
              <w:lang w:eastAsia="en-US"/>
            </w:rPr>
            <w:t>3402</w:t>
          </w:r>
          <w:r w:rsidRPr="004D0573">
            <w:rPr>
              <w:rFonts w:eastAsia="Calibri" w:cs="Tahoma"/>
              <w:szCs w:val="22"/>
              <w:lang w:eastAsia="en-US"/>
            </w:rPr>
            <w:t>/INFOEM/IP/RR/2024</w:t>
          </w:r>
        </w:p>
      </w:tc>
    </w:tr>
    <w:tr w:rsidR="00250520" w:rsidRPr="00330DA7" w14:paraId="4521E058" w14:textId="77777777" w:rsidTr="003F35FD">
      <w:trPr>
        <w:trHeight w:val="283"/>
        <w:jc w:val="right"/>
      </w:trPr>
      <w:tc>
        <w:tcPr>
          <w:tcW w:w="2727" w:type="dxa"/>
        </w:tcPr>
        <w:p w14:paraId="0B68C086" w14:textId="77777777" w:rsidR="00250520" w:rsidRPr="00330DA7" w:rsidRDefault="00250520" w:rsidP="004D0573">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08E7B2EB" w:rsidR="00250520" w:rsidRPr="009233A1" w:rsidRDefault="00250520" w:rsidP="009233A1">
          <w:pPr>
            <w:tabs>
              <w:tab w:val="right" w:pos="8838"/>
            </w:tabs>
            <w:spacing w:line="240" w:lineRule="auto"/>
            <w:ind w:left="-74" w:right="-105"/>
            <w:rPr>
              <w:rFonts w:eastAsia="Calibri" w:cs="Tahoma"/>
              <w:szCs w:val="22"/>
              <w:lang w:val="es-MX" w:eastAsia="en-US"/>
            </w:rPr>
          </w:pPr>
          <w:r w:rsidRPr="00A95C00">
            <w:rPr>
              <w:rFonts w:eastAsia="Calibri" w:cs="Tahoma"/>
              <w:szCs w:val="22"/>
              <w:lang w:eastAsia="en-US"/>
            </w:rPr>
            <w:t>Instituto Electoral del Estado de México</w:t>
          </w:r>
        </w:p>
      </w:tc>
    </w:tr>
    <w:tr w:rsidR="00250520" w:rsidRPr="00330DA7" w14:paraId="6331D9B6" w14:textId="77777777" w:rsidTr="003F35FD">
      <w:trPr>
        <w:trHeight w:val="283"/>
        <w:jc w:val="right"/>
      </w:trPr>
      <w:tc>
        <w:tcPr>
          <w:tcW w:w="2727" w:type="dxa"/>
        </w:tcPr>
        <w:p w14:paraId="3FA86BAE" w14:textId="6568823B" w:rsidR="00250520" w:rsidRPr="00330DA7" w:rsidRDefault="00250520" w:rsidP="003B0255">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250520" w:rsidRPr="00EA66FC" w:rsidRDefault="00250520" w:rsidP="004D0573">
          <w:pPr>
            <w:tabs>
              <w:tab w:val="right" w:pos="8838"/>
            </w:tabs>
            <w:spacing w:line="240" w:lineRule="auto"/>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250520" w:rsidRPr="00443C6B" w:rsidRDefault="00250520"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250520" w:rsidRPr="00330DA7" w14:paraId="29CFF901" w14:textId="77777777" w:rsidTr="004D0573">
      <w:trPr>
        <w:trHeight w:val="1435"/>
      </w:trPr>
      <w:tc>
        <w:tcPr>
          <w:tcW w:w="283" w:type="dxa"/>
          <w:shd w:val="clear" w:color="auto" w:fill="auto"/>
        </w:tcPr>
        <w:p w14:paraId="046B9F8F" w14:textId="77777777" w:rsidR="00250520" w:rsidRPr="00330DA7" w:rsidRDefault="00250520" w:rsidP="004D0573">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250520" w:rsidRPr="00330DA7" w14:paraId="04F272D2" w14:textId="77777777" w:rsidTr="004D0573">
            <w:trPr>
              <w:trHeight w:val="144"/>
            </w:trPr>
            <w:tc>
              <w:tcPr>
                <w:tcW w:w="2727" w:type="dxa"/>
              </w:tcPr>
              <w:p w14:paraId="2FD4DBF6" w14:textId="77777777" w:rsidR="00250520" w:rsidRPr="00330DA7" w:rsidRDefault="00250520" w:rsidP="004D0573">
                <w:pPr>
                  <w:tabs>
                    <w:tab w:val="right" w:pos="8838"/>
                  </w:tabs>
                  <w:spacing w:line="240" w:lineRule="auto"/>
                  <w:ind w:left="-74" w:right="-105"/>
                  <w:rPr>
                    <w:rFonts w:eastAsia="Calibri" w:cs="Tahoma"/>
                    <w:b/>
                    <w:szCs w:val="22"/>
                    <w:lang w:eastAsia="en-US"/>
                  </w:rPr>
                </w:pPr>
                <w:bookmarkStart w:id="1" w:name="_Hlk12526980"/>
                <w:r w:rsidRPr="00330DA7">
                  <w:rPr>
                    <w:rFonts w:eastAsia="Calibri" w:cs="Tahoma"/>
                    <w:b/>
                    <w:szCs w:val="22"/>
                    <w:lang w:eastAsia="en-US"/>
                  </w:rPr>
                  <w:t>Recurso de Revisión:</w:t>
                </w:r>
              </w:p>
            </w:tc>
            <w:tc>
              <w:tcPr>
                <w:tcW w:w="3402" w:type="dxa"/>
              </w:tcPr>
              <w:p w14:paraId="140729E3" w14:textId="08FD8A5F" w:rsidR="00250520" w:rsidRPr="004D0573" w:rsidRDefault="00250520" w:rsidP="00A95C00">
                <w:pPr>
                  <w:tabs>
                    <w:tab w:val="right" w:pos="8838"/>
                  </w:tabs>
                  <w:spacing w:line="240" w:lineRule="auto"/>
                  <w:ind w:left="-74" w:right="-105"/>
                  <w:rPr>
                    <w:rFonts w:eastAsia="Calibri" w:cs="Tahoma"/>
                    <w:szCs w:val="22"/>
                    <w:lang w:eastAsia="en-US"/>
                  </w:rPr>
                </w:pPr>
                <w:r w:rsidRPr="004D0573">
                  <w:rPr>
                    <w:rFonts w:eastAsia="Calibri" w:cs="Tahoma"/>
                    <w:szCs w:val="22"/>
                    <w:lang w:eastAsia="en-US"/>
                  </w:rPr>
                  <w:t>0</w:t>
                </w:r>
                <w:r>
                  <w:rPr>
                    <w:rFonts w:eastAsia="Calibri" w:cs="Tahoma"/>
                    <w:szCs w:val="22"/>
                    <w:lang w:eastAsia="en-US"/>
                  </w:rPr>
                  <w:t>3402</w:t>
                </w:r>
                <w:r w:rsidRPr="004D0573">
                  <w:rPr>
                    <w:rFonts w:eastAsia="Calibri" w:cs="Tahoma"/>
                    <w:szCs w:val="22"/>
                    <w:lang w:eastAsia="en-US"/>
                  </w:rPr>
                  <w:t xml:space="preserve">/INFOEM/IP/RR/2024 </w:t>
                </w:r>
              </w:p>
            </w:tc>
            <w:tc>
              <w:tcPr>
                <w:tcW w:w="3402" w:type="dxa"/>
              </w:tcPr>
              <w:p w14:paraId="71DEA1CF" w14:textId="77777777" w:rsidR="00250520" w:rsidRDefault="00250520" w:rsidP="004D0573">
                <w:pPr>
                  <w:tabs>
                    <w:tab w:val="right" w:pos="8838"/>
                  </w:tabs>
                  <w:spacing w:line="240" w:lineRule="auto"/>
                  <w:ind w:left="-74" w:right="-105"/>
                  <w:rPr>
                    <w:rFonts w:eastAsia="Calibri" w:cs="Tahoma"/>
                    <w:szCs w:val="22"/>
                    <w:lang w:eastAsia="en-US"/>
                  </w:rPr>
                </w:pPr>
              </w:p>
            </w:tc>
          </w:tr>
          <w:tr w:rsidR="00250520" w:rsidRPr="00330DA7" w14:paraId="05C58951" w14:textId="77777777" w:rsidTr="004D0573">
            <w:trPr>
              <w:trHeight w:val="144"/>
            </w:trPr>
            <w:tc>
              <w:tcPr>
                <w:tcW w:w="2727" w:type="dxa"/>
              </w:tcPr>
              <w:p w14:paraId="642B9610" w14:textId="77777777" w:rsidR="00250520" w:rsidRPr="00330DA7" w:rsidRDefault="00250520" w:rsidP="004D0573">
                <w:pPr>
                  <w:tabs>
                    <w:tab w:val="right" w:pos="8838"/>
                  </w:tabs>
                  <w:spacing w:line="240" w:lineRule="auto"/>
                  <w:ind w:left="-74" w:right="-105"/>
                  <w:rPr>
                    <w:rFonts w:eastAsia="Calibri" w:cs="Tahoma"/>
                    <w:b/>
                    <w:szCs w:val="22"/>
                    <w:lang w:eastAsia="en-US"/>
                  </w:rPr>
                </w:pPr>
                <w:bookmarkStart w:id="2" w:name="_Hlk10641523"/>
                <w:bookmarkEnd w:id="1"/>
                <w:r w:rsidRPr="00330DA7">
                  <w:rPr>
                    <w:rFonts w:eastAsia="Calibri" w:cs="Tahoma"/>
                    <w:b/>
                    <w:szCs w:val="22"/>
                    <w:lang w:eastAsia="en-US"/>
                  </w:rPr>
                  <w:t>Recurrente:</w:t>
                </w:r>
              </w:p>
            </w:tc>
            <w:tc>
              <w:tcPr>
                <w:tcW w:w="3402" w:type="dxa"/>
              </w:tcPr>
              <w:p w14:paraId="7728D15B" w14:textId="17F4DBFF" w:rsidR="00250520" w:rsidRPr="004D0573" w:rsidRDefault="00250520" w:rsidP="009233A1">
                <w:pPr>
                  <w:spacing w:line="240" w:lineRule="auto"/>
                  <w:rPr>
                    <w:rFonts w:eastAsia="Calibri" w:cs="Tahoma"/>
                    <w:szCs w:val="22"/>
                    <w:lang w:eastAsia="en-US"/>
                  </w:rPr>
                </w:pPr>
              </w:p>
            </w:tc>
            <w:tc>
              <w:tcPr>
                <w:tcW w:w="3402" w:type="dxa"/>
              </w:tcPr>
              <w:p w14:paraId="73F47F53" w14:textId="77777777" w:rsidR="00250520" w:rsidRPr="005F19B1" w:rsidRDefault="00250520" w:rsidP="004D0573">
                <w:pPr>
                  <w:tabs>
                    <w:tab w:val="left" w:pos="3122"/>
                    <w:tab w:val="right" w:pos="8838"/>
                  </w:tabs>
                  <w:spacing w:line="240" w:lineRule="auto"/>
                  <w:ind w:left="-105" w:right="-105"/>
                  <w:rPr>
                    <w:rFonts w:eastAsia="Calibri" w:cs="Tahoma"/>
                    <w:szCs w:val="22"/>
                    <w:lang w:eastAsia="en-US"/>
                  </w:rPr>
                </w:pPr>
              </w:p>
            </w:tc>
          </w:tr>
          <w:bookmarkEnd w:id="2"/>
          <w:tr w:rsidR="00250520" w:rsidRPr="00330DA7" w14:paraId="00E6CDC1" w14:textId="77777777" w:rsidTr="004D0573">
            <w:trPr>
              <w:trHeight w:val="283"/>
            </w:trPr>
            <w:tc>
              <w:tcPr>
                <w:tcW w:w="2727" w:type="dxa"/>
              </w:tcPr>
              <w:p w14:paraId="0631AD24" w14:textId="77777777" w:rsidR="00250520" w:rsidRPr="00330DA7" w:rsidRDefault="00250520" w:rsidP="004D0573">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24AC0D45" w:rsidR="00250520" w:rsidRPr="004D0573" w:rsidRDefault="00250520" w:rsidP="00A95C00">
                <w:pPr>
                  <w:tabs>
                    <w:tab w:val="right" w:pos="8838"/>
                  </w:tabs>
                  <w:spacing w:line="240" w:lineRule="auto"/>
                  <w:ind w:left="-108" w:right="-105"/>
                  <w:rPr>
                    <w:rFonts w:eastAsia="Calibri" w:cs="Tahoma"/>
                    <w:szCs w:val="22"/>
                    <w:lang w:eastAsia="en-US"/>
                  </w:rPr>
                </w:pPr>
                <w:r w:rsidRPr="00A95C00">
                  <w:rPr>
                    <w:rFonts w:eastAsia="Calibri" w:cs="Tahoma"/>
                    <w:szCs w:val="22"/>
                    <w:lang w:eastAsia="en-US"/>
                  </w:rPr>
                  <w:t>Instituto Electoral del Estado de México</w:t>
                </w:r>
              </w:p>
            </w:tc>
            <w:tc>
              <w:tcPr>
                <w:tcW w:w="3402" w:type="dxa"/>
              </w:tcPr>
              <w:p w14:paraId="3A7DA319" w14:textId="77777777" w:rsidR="00250520" w:rsidRPr="00A90C72" w:rsidRDefault="00250520" w:rsidP="004D0573">
                <w:pPr>
                  <w:tabs>
                    <w:tab w:val="left" w:pos="2834"/>
                    <w:tab w:val="right" w:pos="8838"/>
                  </w:tabs>
                  <w:spacing w:line="240" w:lineRule="auto"/>
                  <w:ind w:left="-108" w:right="-105"/>
                  <w:rPr>
                    <w:rFonts w:eastAsia="Calibri" w:cs="Tahoma"/>
                    <w:szCs w:val="22"/>
                    <w:lang w:eastAsia="en-US"/>
                  </w:rPr>
                </w:pPr>
              </w:p>
            </w:tc>
          </w:tr>
          <w:tr w:rsidR="00250520" w:rsidRPr="00330DA7" w14:paraId="0F6CD8D2" w14:textId="77777777" w:rsidTr="004D0573">
            <w:trPr>
              <w:trHeight w:val="283"/>
            </w:trPr>
            <w:tc>
              <w:tcPr>
                <w:tcW w:w="2727" w:type="dxa"/>
              </w:tcPr>
              <w:p w14:paraId="31700628" w14:textId="0565A62A" w:rsidR="00250520" w:rsidRPr="00330DA7" w:rsidRDefault="00250520" w:rsidP="003B0255">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1A90A58" w14:textId="75878977" w:rsidR="00250520" w:rsidRPr="00EA66FC" w:rsidRDefault="00250520" w:rsidP="004D0573">
                <w:pPr>
                  <w:tabs>
                    <w:tab w:val="right" w:pos="8838"/>
                  </w:tabs>
                  <w:spacing w:line="240" w:lineRule="auto"/>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250520" w:rsidRPr="00330DA7" w:rsidRDefault="00250520" w:rsidP="004D0573">
                <w:pPr>
                  <w:tabs>
                    <w:tab w:val="right" w:pos="8838"/>
                  </w:tabs>
                  <w:spacing w:line="240" w:lineRule="auto"/>
                  <w:ind w:left="-108" w:right="-105"/>
                  <w:rPr>
                    <w:rFonts w:eastAsia="Calibri" w:cs="Tahoma"/>
                    <w:szCs w:val="22"/>
                    <w:lang w:eastAsia="en-US"/>
                  </w:rPr>
                </w:pPr>
              </w:p>
            </w:tc>
          </w:tr>
        </w:tbl>
        <w:p w14:paraId="5DC6AC61" w14:textId="77777777" w:rsidR="00250520" w:rsidRPr="00330DA7" w:rsidRDefault="00250520" w:rsidP="004D0573">
          <w:pPr>
            <w:tabs>
              <w:tab w:val="right" w:pos="8838"/>
            </w:tabs>
            <w:ind w:left="-28"/>
            <w:rPr>
              <w:rFonts w:ascii="Arial" w:eastAsia="Calibri" w:hAnsi="Arial" w:cs="Arial"/>
              <w:b/>
              <w:szCs w:val="22"/>
              <w:lang w:eastAsia="en-US"/>
            </w:rPr>
          </w:pPr>
        </w:p>
      </w:tc>
    </w:tr>
  </w:tbl>
  <w:p w14:paraId="2A906731" w14:textId="77777777" w:rsidR="00250520" w:rsidRPr="00765661" w:rsidRDefault="004E314F" w:rsidP="004D0573">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2489E"/>
    <w:multiLevelType w:val="hybridMultilevel"/>
    <w:tmpl w:val="25FEE9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E445EA"/>
    <w:multiLevelType w:val="hybridMultilevel"/>
    <w:tmpl w:val="FF0AB8C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DF510D5"/>
    <w:multiLevelType w:val="hybridMultilevel"/>
    <w:tmpl w:val="4A9A7D24"/>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101085C"/>
    <w:multiLevelType w:val="hybridMultilevel"/>
    <w:tmpl w:val="E44A7E52"/>
    <w:lvl w:ilvl="0" w:tplc="76925A62">
      <w:start w:val="3"/>
      <w:numFmt w:val="bullet"/>
      <w:lvlText w:val="-"/>
      <w:lvlJc w:val="left"/>
      <w:pPr>
        <w:ind w:left="1080" w:hanging="360"/>
      </w:pPr>
      <w:rPr>
        <w:rFonts w:ascii="Palatino Linotype" w:eastAsia="Times New Roman" w:hAnsi="Palatino Linotype" w:cs="Tahoma"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15:restartNumberingAfterBreak="0">
    <w:nsid w:val="1372416D"/>
    <w:multiLevelType w:val="hybridMultilevel"/>
    <w:tmpl w:val="630E9B1A"/>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15:restartNumberingAfterBreak="0">
    <w:nsid w:val="17873997"/>
    <w:multiLevelType w:val="hybridMultilevel"/>
    <w:tmpl w:val="29DEA8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82576BE"/>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ED51460"/>
    <w:multiLevelType w:val="hybridMultilevel"/>
    <w:tmpl w:val="959E5F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4B02222"/>
    <w:multiLevelType w:val="hybridMultilevel"/>
    <w:tmpl w:val="DD2469D6"/>
    <w:lvl w:ilvl="0" w:tplc="EC32D0C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15:restartNumberingAfterBreak="0">
    <w:nsid w:val="26F07FC8"/>
    <w:multiLevelType w:val="hybridMultilevel"/>
    <w:tmpl w:val="DC147C0C"/>
    <w:lvl w:ilvl="0" w:tplc="A11E9D80">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5"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B836BEB"/>
    <w:multiLevelType w:val="hybridMultilevel"/>
    <w:tmpl w:val="DB4689F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18" w15:restartNumberingAfterBreak="0">
    <w:nsid w:val="2E856D46"/>
    <w:multiLevelType w:val="hybridMultilevel"/>
    <w:tmpl w:val="B7EA26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FBC09D3"/>
    <w:multiLevelType w:val="hybridMultilevel"/>
    <w:tmpl w:val="2732098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0" w15:restartNumberingAfterBreak="0">
    <w:nsid w:val="36505F52"/>
    <w:multiLevelType w:val="hybridMultilevel"/>
    <w:tmpl w:val="DF124E32"/>
    <w:lvl w:ilvl="0" w:tplc="55D64F7C">
      <w:start w:val="1"/>
      <w:numFmt w:val="bullet"/>
      <w:lvlText w:val="·"/>
      <w:lvlJc w:val="left"/>
      <w:pPr>
        <w:ind w:left="1275" w:hanging="555"/>
      </w:pPr>
      <w:rPr>
        <w:rFonts w:ascii="Palatino Linotype" w:eastAsia="Times New Roman" w:hAnsi="Palatino Linotype"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1" w15:restartNumberingAfterBreak="0">
    <w:nsid w:val="368836B5"/>
    <w:multiLevelType w:val="hybridMultilevel"/>
    <w:tmpl w:val="FA5074B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2" w15:restartNumberingAfterBreak="0">
    <w:nsid w:val="3D4D7FDB"/>
    <w:multiLevelType w:val="hybridMultilevel"/>
    <w:tmpl w:val="4A9A7D24"/>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3392404"/>
    <w:multiLevelType w:val="hybridMultilevel"/>
    <w:tmpl w:val="CFAED85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4"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5" w15:restartNumberingAfterBreak="0">
    <w:nsid w:val="44F954D8"/>
    <w:multiLevelType w:val="hybridMultilevel"/>
    <w:tmpl w:val="534845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A1A7A2B"/>
    <w:multiLevelType w:val="hybridMultilevel"/>
    <w:tmpl w:val="5C2A3934"/>
    <w:lvl w:ilvl="0" w:tplc="1E4EDDE0">
      <w:numFmt w:val="bullet"/>
      <w:lvlText w:val="·"/>
      <w:lvlJc w:val="left"/>
      <w:pPr>
        <w:ind w:left="1275" w:hanging="555"/>
      </w:pPr>
      <w:rPr>
        <w:rFonts w:ascii="Palatino Linotype" w:eastAsia="Times New Roman" w:hAnsi="Palatino Linotype"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0"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1" w15:restartNumberingAfterBreak="0">
    <w:nsid w:val="508A1054"/>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15E5374"/>
    <w:multiLevelType w:val="hybridMultilevel"/>
    <w:tmpl w:val="908E1A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000374B"/>
    <w:multiLevelType w:val="hybridMultilevel"/>
    <w:tmpl w:val="A134CC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07C313B"/>
    <w:multiLevelType w:val="hybridMultilevel"/>
    <w:tmpl w:val="B282C9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25B7FEF"/>
    <w:multiLevelType w:val="hybridMultilevel"/>
    <w:tmpl w:val="4A9A7D24"/>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5AC4A4F"/>
    <w:multiLevelType w:val="hybridMultilevel"/>
    <w:tmpl w:val="204A1D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CFC3F8E"/>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9" w15:restartNumberingAfterBreak="0">
    <w:nsid w:val="714418C1"/>
    <w:multiLevelType w:val="hybridMultilevel"/>
    <w:tmpl w:val="8D8475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9BC6BB8"/>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FCF7D1A"/>
    <w:multiLevelType w:val="hybridMultilevel"/>
    <w:tmpl w:val="4A9A7D24"/>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4"/>
  </w:num>
  <w:num w:numId="2">
    <w:abstractNumId w:val="30"/>
  </w:num>
  <w:num w:numId="3">
    <w:abstractNumId w:val="38"/>
  </w:num>
  <w:num w:numId="4">
    <w:abstractNumId w:val="12"/>
  </w:num>
  <w:num w:numId="5">
    <w:abstractNumId w:val="4"/>
  </w:num>
  <w:num w:numId="6">
    <w:abstractNumId w:val="40"/>
  </w:num>
  <w:num w:numId="7">
    <w:abstractNumId w:val="27"/>
  </w:num>
  <w:num w:numId="8">
    <w:abstractNumId w:val="10"/>
  </w:num>
  <w:num w:numId="9">
    <w:abstractNumId w:val="26"/>
  </w:num>
  <w:num w:numId="10">
    <w:abstractNumId w:val="17"/>
    <w:lvlOverride w:ilvl="0">
      <w:startOverride w:val="1"/>
    </w:lvlOverride>
    <w:lvlOverride w:ilvl="1"/>
    <w:lvlOverride w:ilvl="2"/>
    <w:lvlOverride w:ilvl="3"/>
    <w:lvlOverride w:ilvl="4"/>
    <w:lvlOverride w:ilvl="5"/>
    <w:lvlOverride w:ilvl="6"/>
    <w:lvlOverride w:ilvl="7"/>
    <w:lvlOverride w:ilvl="8"/>
  </w:num>
  <w:num w:numId="11">
    <w:abstractNumId w:val="17"/>
  </w:num>
  <w:num w:numId="12">
    <w:abstractNumId w:val="15"/>
  </w:num>
  <w:num w:numId="13">
    <w:abstractNumId w:val="2"/>
  </w:num>
  <w:num w:numId="14">
    <w:abstractNumId w:val="9"/>
  </w:num>
  <w:num w:numId="15">
    <w:abstractNumId w:val="28"/>
  </w:num>
  <w:num w:numId="16">
    <w:abstractNumId w:val="36"/>
  </w:num>
  <w:num w:numId="17">
    <w:abstractNumId w:val="34"/>
  </w:num>
  <w:num w:numId="18">
    <w:abstractNumId w:val="7"/>
  </w:num>
  <w:num w:numId="19">
    <w:abstractNumId w:val="5"/>
  </w:num>
  <w:num w:numId="20">
    <w:abstractNumId w:val="41"/>
  </w:num>
  <w:num w:numId="21">
    <w:abstractNumId w:val="8"/>
  </w:num>
  <w:num w:numId="22">
    <w:abstractNumId w:val="31"/>
  </w:num>
  <w:num w:numId="23">
    <w:abstractNumId w:val="37"/>
  </w:num>
  <w:num w:numId="24">
    <w:abstractNumId w:val="13"/>
  </w:num>
  <w:num w:numId="25">
    <w:abstractNumId w:val="11"/>
  </w:num>
  <w:num w:numId="26">
    <w:abstractNumId w:val="0"/>
  </w:num>
  <w:num w:numId="27">
    <w:abstractNumId w:val="1"/>
  </w:num>
  <w:num w:numId="28">
    <w:abstractNumId w:val="19"/>
  </w:num>
  <w:num w:numId="29">
    <w:abstractNumId w:val="29"/>
  </w:num>
  <w:num w:numId="30">
    <w:abstractNumId w:val="6"/>
  </w:num>
  <w:num w:numId="31">
    <w:abstractNumId w:val="16"/>
  </w:num>
  <w:num w:numId="32">
    <w:abstractNumId w:val="14"/>
  </w:num>
  <w:num w:numId="33">
    <w:abstractNumId w:val="39"/>
  </w:num>
  <w:num w:numId="34">
    <w:abstractNumId w:val="33"/>
  </w:num>
  <w:num w:numId="35">
    <w:abstractNumId w:val="23"/>
  </w:num>
  <w:num w:numId="36">
    <w:abstractNumId w:val="20"/>
  </w:num>
  <w:num w:numId="37">
    <w:abstractNumId w:val="21"/>
  </w:num>
  <w:num w:numId="38">
    <w:abstractNumId w:val="32"/>
  </w:num>
  <w:num w:numId="39">
    <w:abstractNumId w:val="18"/>
  </w:num>
  <w:num w:numId="40">
    <w:abstractNumId w:val="25"/>
  </w:num>
  <w:num w:numId="41">
    <w:abstractNumId w:val="42"/>
  </w:num>
  <w:num w:numId="42">
    <w:abstractNumId w:val="22"/>
  </w:num>
  <w:num w:numId="43">
    <w:abstractNumId w:val="35"/>
  </w:num>
  <w:num w:numId="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629A"/>
    <w:rsid w:val="000318BC"/>
    <w:rsid w:val="00033156"/>
    <w:rsid w:val="00042FBB"/>
    <w:rsid w:val="00054435"/>
    <w:rsid w:val="00057B2D"/>
    <w:rsid w:val="00065518"/>
    <w:rsid w:val="000777E2"/>
    <w:rsid w:val="00080071"/>
    <w:rsid w:val="000A0798"/>
    <w:rsid w:val="000C3BBA"/>
    <w:rsid w:val="000D0D67"/>
    <w:rsid w:val="000E09C4"/>
    <w:rsid w:val="000E23B9"/>
    <w:rsid w:val="00107F71"/>
    <w:rsid w:val="0011350D"/>
    <w:rsid w:val="001144FB"/>
    <w:rsid w:val="00117DDB"/>
    <w:rsid w:val="00127130"/>
    <w:rsid w:val="00135056"/>
    <w:rsid w:val="00141876"/>
    <w:rsid w:val="0014207B"/>
    <w:rsid w:val="00150C49"/>
    <w:rsid w:val="00185C7C"/>
    <w:rsid w:val="001A58B3"/>
    <w:rsid w:val="001C6BE2"/>
    <w:rsid w:val="001C7688"/>
    <w:rsid w:val="001D2464"/>
    <w:rsid w:val="001D5BAD"/>
    <w:rsid w:val="001E0CFD"/>
    <w:rsid w:val="001E3A8F"/>
    <w:rsid w:val="001F3515"/>
    <w:rsid w:val="002015AE"/>
    <w:rsid w:val="00233005"/>
    <w:rsid w:val="00233F17"/>
    <w:rsid w:val="00234CCC"/>
    <w:rsid w:val="00237120"/>
    <w:rsid w:val="00245D19"/>
    <w:rsid w:val="00250520"/>
    <w:rsid w:val="002958FA"/>
    <w:rsid w:val="002961A6"/>
    <w:rsid w:val="002961B5"/>
    <w:rsid w:val="0029641C"/>
    <w:rsid w:val="002A3601"/>
    <w:rsid w:val="002B1D44"/>
    <w:rsid w:val="002B7C6F"/>
    <w:rsid w:val="002D111C"/>
    <w:rsid w:val="002E18F0"/>
    <w:rsid w:val="002E728E"/>
    <w:rsid w:val="002F6393"/>
    <w:rsid w:val="00302476"/>
    <w:rsid w:val="00304C8C"/>
    <w:rsid w:val="00331F35"/>
    <w:rsid w:val="00335CDF"/>
    <w:rsid w:val="00341E94"/>
    <w:rsid w:val="00346BC2"/>
    <w:rsid w:val="00362A11"/>
    <w:rsid w:val="00386CD1"/>
    <w:rsid w:val="003A40C1"/>
    <w:rsid w:val="003A67CC"/>
    <w:rsid w:val="003B0255"/>
    <w:rsid w:val="003B0AEC"/>
    <w:rsid w:val="003B5D3E"/>
    <w:rsid w:val="003F35FD"/>
    <w:rsid w:val="00405E2F"/>
    <w:rsid w:val="0041385B"/>
    <w:rsid w:val="00416357"/>
    <w:rsid w:val="00416DDD"/>
    <w:rsid w:val="00441BFA"/>
    <w:rsid w:val="00454FBD"/>
    <w:rsid w:val="004565C2"/>
    <w:rsid w:val="00475FF6"/>
    <w:rsid w:val="004B001B"/>
    <w:rsid w:val="004C43D3"/>
    <w:rsid w:val="004D0573"/>
    <w:rsid w:val="004D7CD8"/>
    <w:rsid w:val="004E2939"/>
    <w:rsid w:val="004E314F"/>
    <w:rsid w:val="004E5068"/>
    <w:rsid w:val="004F7A00"/>
    <w:rsid w:val="005122DD"/>
    <w:rsid w:val="00523E60"/>
    <w:rsid w:val="00523F48"/>
    <w:rsid w:val="005365FA"/>
    <w:rsid w:val="00536C50"/>
    <w:rsid w:val="005432B1"/>
    <w:rsid w:val="00550AB5"/>
    <w:rsid w:val="0055624C"/>
    <w:rsid w:val="005723CB"/>
    <w:rsid w:val="00575400"/>
    <w:rsid w:val="00591A20"/>
    <w:rsid w:val="005A468E"/>
    <w:rsid w:val="005A5BF2"/>
    <w:rsid w:val="005B1191"/>
    <w:rsid w:val="005B18AF"/>
    <w:rsid w:val="005C3593"/>
    <w:rsid w:val="005D5A50"/>
    <w:rsid w:val="005E629C"/>
    <w:rsid w:val="005F5301"/>
    <w:rsid w:val="005F65B7"/>
    <w:rsid w:val="00600D7A"/>
    <w:rsid w:val="006067C7"/>
    <w:rsid w:val="00613C56"/>
    <w:rsid w:val="006159AD"/>
    <w:rsid w:val="00646436"/>
    <w:rsid w:val="00657603"/>
    <w:rsid w:val="00664420"/>
    <w:rsid w:val="00670DFF"/>
    <w:rsid w:val="006A21FC"/>
    <w:rsid w:val="006A646A"/>
    <w:rsid w:val="006B10B0"/>
    <w:rsid w:val="006C6CBA"/>
    <w:rsid w:val="006E13CF"/>
    <w:rsid w:val="006E25BC"/>
    <w:rsid w:val="006E6BBC"/>
    <w:rsid w:val="006F7768"/>
    <w:rsid w:val="00717E59"/>
    <w:rsid w:val="00724F22"/>
    <w:rsid w:val="007517BD"/>
    <w:rsid w:val="0075751F"/>
    <w:rsid w:val="00773DD6"/>
    <w:rsid w:val="00773EAB"/>
    <w:rsid w:val="00775BFC"/>
    <w:rsid w:val="00794BA5"/>
    <w:rsid w:val="007A2B8D"/>
    <w:rsid w:val="007A3459"/>
    <w:rsid w:val="007B5474"/>
    <w:rsid w:val="007B6074"/>
    <w:rsid w:val="007C7C47"/>
    <w:rsid w:val="007D02E9"/>
    <w:rsid w:val="007D1C55"/>
    <w:rsid w:val="007D1C84"/>
    <w:rsid w:val="007D317F"/>
    <w:rsid w:val="007E07E1"/>
    <w:rsid w:val="007F5743"/>
    <w:rsid w:val="007F5D06"/>
    <w:rsid w:val="00805A6E"/>
    <w:rsid w:val="00811211"/>
    <w:rsid w:val="00823BA5"/>
    <w:rsid w:val="00826C28"/>
    <w:rsid w:val="00831728"/>
    <w:rsid w:val="00864CC1"/>
    <w:rsid w:val="00865CF4"/>
    <w:rsid w:val="00876DBC"/>
    <w:rsid w:val="008950DC"/>
    <w:rsid w:val="008A6003"/>
    <w:rsid w:val="008A6F88"/>
    <w:rsid w:val="008B1E16"/>
    <w:rsid w:val="008E1316"/>
    <w:rsid w:val="008E1C73"/>
    <w:rsid w:val="008E6224"/>
    <w:rsid w:val="00903DBE"/>
    <w:rsid w:val="00910FD2"/>
    <w:rsid w:val="009233A1"/>
    <w:rsid w:val="00931437"/>
    <w:rsid w:val="00936B5A"/>
    <w:rsid w:val="00953430"/>
    <w:rsid w:val="00965890"/>
    <w:rsid w:val="00970EB3"/>
    <w:rsid w:val="0097369C"/>
    <w:rsid w:val="00976247"/>
    <w:rsid w:val="00982877"/>
    <w:rsid w:val="0098693C"/>
    <w:rsid w:val="00993ED0"/>
    <w:rsid w:val="009A2D78"/>
    <w:rsid w:val="009A2EDE"/>
    <w:rsid w:val="009A7C10"/>
    <w:rsid w:val="009B2945"/>
    <w:rsid w:val="009C4440"/>
    <w:rsid w:val="009E2DEE"/>
    <w:rsid w:val="009E33C8"/>
    <w:rsid w:val="009E45F2"/>
    <w:rsid w:val="009E4644"/>
    <w:rsid w:val="009F797C"/>
    <w:rsid w:val="00A131AC"/>
    <w:rsid w:val="00A16D85"/>
    <w:rsid w:val="00A21A20"/>
    <w:rsid w:val="00A35DA7"/>
    <w:rsid w:val="00A36A99"/>
    <w:rsid w:val="00A376A9"/>
    <w:rsid w:val="00A41792"/>
    <w:rsid w:val="00A53315"/>
    <w:rsid w:val="00A6091A"/>
    <w:rsid w:val="00A63966"/>
    <w:rsid w:val="00A6415E"/>
    <w:rsid w:val="00A70389"/>
    <w:rsid w:val="00A70EF0"/>
    <w:rsid w:val="00A76102"/>
    <w:rsid w:val="00A815EA"/>
    <w:rsid w:val="00A876B9"/>
    <w:rsid w:val="00A9208D"/>
    <w:rsid w:val="00A95C00"/>
    <w:rsid w:val="00A964CC"/>
    <w:rsid w:val="00AA6EA9"/>
    <w:rsid w:val="00AC2DB8"/>
    <w:rsid w:val="00AC3CA0"/>
    <w:rsid w:val="00AD4855"/>
    <w:rsid w:val="00AE3DA7"/>
    <w:rsid w:val="00AE5AEF"/>
    <w:rsid w:val="00AF03C4"/>
    <w:rsid w:val="00B137E8"/>
    <w:rsid w:val="00B169A2"/>
    <w:rsid w:val="00B22A80"/>
    <w:rsid w:val="00B36848"/>
    <w:rsid w:val="00B65555"/>
    <w:rsid w:val="00BA1AB6"/>
    <w:rsid w:val="00BA55A8"/>
    <w:rsid w:val="00BB2ABF"/>
    <w:rsid w:val="00BB64F4"/>
    <w:rsid w:val="00BD140A"/>
    <w:rsid w:val="00BD2738"/>
    <w:rsid w:val="00BD3F4F"/>
    <w:rsid w:val="00BD5A7C"/>
    <w:rsid w:val="00BE7A1B"/>
    <w:rsid w:val="00BF0221"/>
    <w:rsid w:val="00BF091A"/>
    <w:rsid w:val="00BF4EAD"/>
    <w:rsid w:val="00C00D03"/>
    <w:rsid w:val="00C049E2"/>
    <w:rsid w:val="00C30616"/>
    <w:rsid w:val="00C351EC"/>
    <w:rsid w:val="00C36795"/>
    <w:rsid w:val="00C461EC"/>
    <w:rsid w:val="00C507D4"/>
    <w:rsid w:val="00C71CEF"/>
    <w:rsid w:val="00C72DAA"/>
    <w:rsid w:val="00C7571D"/>
    <w:rsid w:val="00C80B14"/>
    <w:rsid w:val="00C827A6"/>
    <w:rsid w:val="00CA50B3"/>
    <w:rsid w:val="00CB7C31"/>
    <w:rsid w:val="00CB7E9A"/>
    <w:rsid w:val="00CD0B92"/>
    <w:rsid w:val="00CD3244"/>
    <w:rsid w:val="00CE1DFB"/>
    <w:rsid w:val="00CE29D3"/>
    <w:rsid w:val="00CE58F2"/>
    <w:rsid w:val="00CF2D8B"/>
    <w:rsid w:val="00CF7586"/>
    <w:rsid w:val="00CF7F0C"/>
    <w:rsid w:val="00D036D3"/>
    <w:rsid w:val="00D07C17"/>
    <w:rsid w:val="00D228A6"/>
    <w:rsid w:val="00D2790D"/>
    <w:rsid w:val="00D44B43"/>
    <w:rsid w:val="00D51ECD"/>
    <w:rsid w:val="00D5461D"/>
    <w:rsid w:val="00D55FDA"/>
    <w:rsid w:val="00D6170E"/>
    <w:rsid w:val="00D83758"/>
    <w:rsid w:val="00D91CB4"/>
    <w:rsid w:val="00DA54C1"/>
    <w:rsid w:val="00DA5A30"/>
    <w:rsid w:val="00DB1C09"/>
    <w:rsid w:val="00DC30FA"/>
    <w:rsid w:val="00DD6D70"/>
    <w:rsid w:val="00DE1133"/>
    <w:rsid w:val="00E11AA0"/>
    <w:rsid w:val="00E16BF5"/>
    <w:rsid w:val="00E33233"/>
    <w:rsid w:val="00E37A3F"/>
    <w:rsid w:val="00E37D3C"/>
    <w:rsid w:val="00E62E6A"/>
    <w:rsid w:val="00E66887"/>
    <w:rsid w:val="00E73A29"/>
    <w:rsid w:val="00E83EF5"/>
    <w:rsid w:val="00E9335C"/>
    <w:rsid w:val="00EA3040"/>
    <w:rsid w:val="00ED1C1E"/>
    <w:rsid w:val="00EE2AF2"/>
    <w:rsid w:val="00EE7028"/>
    <w:rsid w:val="00EE77E9"/>
    <w:rsid w:val="00F07EE6"/>
    <w:rsid w:val="00F32348"/>
    <w:rsid w:val="00F33CC8"/>
    <w:rsid w:val="00F421AD"/>
    <w:rsid w:val="00F4481C"/>
    <w:rsid w:val="00F45902"/>
    <w:rsid w:val="00F52005"/>
    <w:rsid w:val="00F52089"/>
    <w:rsid w:val="00F75D23"/>
    <w:rsid w:val="00F86DF5"/>
    <w:rsid w:val="00FA5957"/>
    <w:rsid w:val="00FC3CE0"/>
    <w:rsid w:val="00FC7090"/>
    <w:rsid w:val="00FD06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1C73"/>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aliases w:val="Francesa,INAI"/>
    <w:link w:val="SinespaciadoCar"/>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1E0CFD"/>
    <w:pPr>
      <w:spacing w:line="240" w:lineRule="auto"/>
    </w:pPr>
    <w:rPr>
      <w:sz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qFormat/>
    <w:rsid w:val="001E0CFD"/>
    <w:rPr>
      <w:rFonts w:ascii="Palatino Linotype" w:eastAsia="Times New Roman" w:hAnsi="Palatino Linotype" w:cs="Times New Roman"/>
      <w:kern w:val="0"/>
      <w:sz w:val="20"/>
      <w:szCs w:val="20"/>
      <w:lang w:eastAsia="es-ES"/>
      <w14:ligatures w14:val="none"/>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f"/>
    <w:basedOn w:val="Fuentedeprrafopredeter"/>
    <w:uiPriority w:val="99"/>
    <w:unhideWhenUsed/>
    <w:qFormat/>
    <w:rsid w:val="001E0CFD"/>
    <w:rPr>
      <w:vertAlign w:val="superscript"/>
    </w:rPr>
  </w:style>
  <w:style w:type="paragraph" w:styleId="Textodeglobo">
    <w:name w:val="Balloon Text"/>
    <w:basedOn w:val="Normal"/>
    <w:link w:val="TextodegloboCar"/>
    <w:uiPriority w:val="99"/>
    <w:semiHidden/>
    <w:unhideWhenUsed/>
    <w:rsid w:val="007E07E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E07E1"/>
    <w:rPr>
      <w:rFonts w:ascii="Segoe UI" w:eastAsia="Times New Roman" w:hAnsi="Segoe UI" w:cs="Segoe UI"/>
      <w:kern w:val="0"/>
      <w:sz w:val="18"/>
      <w:szCs w:val="18"/>
      <w:lang w:eastAsia="es-ES"/>
      <w14:ligatures w14:val="none"/>
    </w:rPr>
  </w:style>
  <w:style w:type="paragraph" w:customStyle="1" w:styleId="Default">
    <w:name w:val="Default"/>
    <w:rsid w:val="00C30616"/>
    <w:pPr>
      <w:autoSpaceDE w:val="0"/>
      <w:autoSpaceDN w:val="0"/>
      <w:adjustRightInd w:val="0"/>
      <w:spacing w:after="0" w:line="240" w:lineRule="auto"/>
    </w:pPr>
    <w:rPr>
      <w:rFonts w:ascii="Arial" w:hAnsi="Arial" w:cs="Arial"/>
      <w:color w:val="000000"/>
      <w:kern w:val="0"/>
      <w:sz w:val="24"/>
      <w:szCs w:val="24"/>
    </w:rPr>
  </w:style>
  <w:style w:type="character" w:customStyle="1" w:styleId="SinespaciadoCar">
    <w:name w:val="Sin espaciado Car"/>
    <w:aliases w:val="Francesa Car,INAI Car"/>
    <w:link w:val="Sinespaciado"/>
    <w:uiPriority w:val="1"/>
    <w:locked/>
    <w:rsid w:val="00C7571D"/>
    <w:rPr>
      <w:rFonts w:ascii="Palatino Linotype" w:eastAsia="Times New Roman" w:hAnsi="Palatino Linotype" w:cs="Times New Roman"/>
      <w:kern w:val="0"/>
      <w:szCs w:val="20"/>
      <w:lang w:eastAsia="es-ES"/>
      <w14:ligatures w14:val="none"/>
    </w:rPr>
  </w:style>
  <w:style w:type="character" w:customStyle="1" w:styleId="TextonotapieCar1">
    <w:name w:val="Texto nota pie Car1"/>
    <w:basedOn w:val="Fuentedeprrafopredeter"/>
    <w:uiPriority w:val="99"/>
    <w:semiHidden/>
    <w:rsid w:val="00A876B9"/>
    <w:rPr>
      <w:rFonts w:ascii="Palatino Linotype" w:eastAsia="Times New Roman" w:hAnsi="Palatino Linotype" w:cs="Times New Roman"/>
      <w:kern w:val="0"/>
      <w:sz w:val="20"/>
      <w:szCs w:val="2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362898">
      <w:bodyDiv w:val="1"/>
      <w:marLeft w:val="0"/>
      <w:marRight w:val="0"/>
      <w:marTop w:val="0"/>
      <w:marBottom w:val="0"/>
      <w:divBdr>
        <w:top w:val="none" w:sz="0" w:space="0" w:color="auto"/>
        <w:left w:val="none" w:sz="0" w:space="0" w:color="auto"/>
        <w:bottom w:val="none" w:sz="0" w:space="0" w:color="auto"/>
        <w:right w:val="none" w:sz="0" w:space="0" w:color="auto"/>
      </w:divBdr>
    </w:div>
    <w:div w:id="387345272">
      <w:bodyDiv w:val="1"/>
      <w:marLeft w:val="0"/>
      <w:marRight w:val="0"/>
      <w:marTop w:val="0"/>
      <w:marBottom w:val="0"/>
      <w:divBdr>
        <w:top w:val="none" w:sz="0" w:space="0" w:color="auto"/>
        <w:left w:val="none" w:sz="0" w:space="0" w:color="auto"/>
        <w:bottom w:val="none" w:sz="0" w:space="0" w:color="auto"/>
        <w:right w:val="none" w:sz="0" w:space="0" w:color="auto"/>
      </w:divBdr>
    </w:div>
    <w:div w:id="457719471">
      <w:bodyDiv w:val="1"/>
      <w:marLeft w:val="0"/>
      <w:marRight w:val="0"/>
      <w:marTop w:val="0"/>
      <w:marBottom w:val="0"/>
      <w:divBdr>
        <w:top w:val="none" w:sz="0" w:space="0" w:color="auto"/>
        <w:left w:val="none" w:sz="0" w:space="0" w:color="auto"/>
        <w:bottom w:val="none" w:sz="0" w:space="0" w:color="auto"/>
        <w:right w:val="none" w:sz="0" w:space="0" w:color="auto"/>
      </w:divBdr>
    </w:div>
    <w:div w:id="457991894">
      <w:bodyDiv w:val="1"/>
      <w:marLeft w:val="0"/>
      <w:marRight w:val="0"/>
      <w:marTop w:val="0"/>
      <w:marBottom w:val="0"/>
      <w:divBdr>
        <w:top w:val="none" w:sz="0" w:space="0" w:color="auto"/>
        <w:left w:val="none" w:sz="0" w:space="0" w:color="auto"/>
        <w:bottom w:val="none" w:sz="0" w:space="0" w:color="auto"/>
        <w:right w:val="none" w:sz="0" w:space="0" w:color="auto"/>
      </w:divBdr>
    </w:div>
    <w:div w:id="527186236">
      <w:bodyDiv w:val="1"/>
      <w:marLeft w:val="0"/>
      <w:marRight w:val="0"/>
      <w:marTop w:val="0"/>
      <w:marBottom w:val="0"/>
      <w:divBdr>
        <w:top w:val="none" w:sz="0" w:space="0" w:color="auto"/>
        <w:left w:val="none" w:sz="0" w:space="0" w:color="auto"/>
        <w:bottom w:val="none" w:sz="0" w:space="0" w:color="auto"/>
        <w:right w:val="none" w:sz="0" w:space="0" w:color="auto"/>
      </w:divBdr>
    </w:div>
    <w:div w:id="642002291">
      <w:bodyDiv w:val="1"/>
      <w:marLeft w:val="0"/>
      <w:marRight w:val="0"/>
      <w:marTop w:val="0"/>
      <w:marBottom w:val="0"/>
      <w:divBdr>
        <w:top w:val="none" w:sz="0" w:space="0" w:color="auto"/>
        <w:left w:val="none" w:sz="0" w:space="0" w:color="auto"/>
        <w:bottom w:val="none" w:sz="0" w:space="0" w:color="auto"/>
        <w:right w:val="none" w:sz="0" w:space="0" w:color="auto"/>
      </w:divBdr>
    </w:div>
    <w:div w:id="702244763">
      <w:bodyDiv w:val="1"/>
      <w:marLeft w:val="0"/>
      <w:marRight w:val="0"/>
      <w:marTop w:val="0"/>
      <w:marBottom w:val="0"/>
      <w:divBdr>
        <w:top w:val="none" w:sz="0" w:space="0" w:color="auto"/>
        <w:left w:val="none" w:sz="0" w:space="0" w:color="auto"/>
        <w:bottom w:val="none" w:sz="0" w:space="0" w:color="auto"/>
        <w:right w:val="none" w:sz="0" w:space="0" w:color="auto"/>
      </w:divBdr>
    </w:div>
    <w:div w:id="845291720">
      <w:bodyDiv w:val="1"/>
      <w:marLeft w:val="0"/>
      <w:marRight w:val="0"/>
      <w:marTop w:val="0"/>
      <w:marBottom w:val="0"/>
      <w:divBdr>
        <w:top w:val="none" w:sz="0" w:space="0" w:color="auto"/>
        <w:left w:val="none" w:sz="0" w:space="0" w:color="auto"/>
        <w:bottom w:val="none" w:sz="0" w:space="0" w:color="auto"/>
        <w:right w:val="none" w:sz="0" w:space="0" w:color="auto"/>
      </w:divBdr>
    </w:div>
    <w:div w:id="911621073">
      <w:bodyDiv w:val="1"/>
      <w:marLeft w:val="0"/>
      <w:marRight w:val="0"/>
      <w:marTop w:val="0"/>
      <w:marBottom w:val="0"/>
      <w:divBdr>
        <w:top w:val="none" w:sz="0" w:space="0" w:color="auto"/>
        <w:left w:val="none" w:sz="0" w:space="0" w:color="auto"/>
        <w:bottom w:val="none" w:sz="0" w:space="0" w:color="auto"/>
        <w:right w:val="none" w:sz="0" w:space="0" w:color="auto"/>
      </w:divBdr>
    </w:div>
    <w:div w:id="1071655419">
      <w:bodyDiv w:val="1"/>
      <w:marLeft w:val="0"/>
      <w:marRight w:val="0"/>
      <w:marTop w:val="0"/>
      <w:marBottom w:val="0"/>
      <w:divBdr>
        <w:top w:val="none" w:sz="0" w:space="0" w:color="auto"/>
        <w:left w:val="none" w:sz="0" w:space="0" w:color="auto"/>
        <w:bottom w:val="none" w:sz="0" w:space="0" w:color="auto"/>
        <w:right w:val="none" w:sz="0" w:space="0" w:color="auto"/>
      </w:divBdr>
    </w:div>
    <w:div w:id="1162743535">
      <w:bodyDiv w:val="1"/>
      <w:marLeft w:val="0"/>
      <w:marRight w:val="0"/>
      <w:marTop w:val="0"/>
      <w:marBottom w:val="0"/>
      <w:divBdr>
        <w:top w:val="none" w:sz="0" w:space="0" w:color="auto"/>
        <w:left w:val="none" w:sz="0" w:space="0" w:color="auto"/>
        <w:bottom w:val="none" w:sz="0" w:space="0" w:color="auto"/>
        <w:right w:val="none" w:sz="0" w:space="0" w:color="auto"/>
      </w:divBdr>
    </w:div>
    <w:div w:id="1182012252">
      <w:bodyDiv w:val="1"/>
      <w:marLeft w:val="0"/>
      <w:marRight w:val="0"/>
      <w:marTop w:val="0"/>
      <w:marBottom w:val="0"/>
      <w:divBdr>
        <w:top w:val="none" w:sz="0" w:space="0" w:color="auto"/>
        <w:left w:val="none" w:sz="0" w:space="0" w:color="auto"/>
        <w:bottom w:val="none" w:sz="0" w:space="0" w:color="auto"/>
        <w:right w:val="none" w:sz="0" w:space="0" w:color="auto"/>
      </w:divBdr>
      <w:divsChild>
        <w:div w:id="2094162619">
          <w:marLeft w:val="0"/>
          <w:marRight w:val="0"/>
          <w:marTop w:val="0"/>
          <w:marBottom w:val="0"/>
          <w:divBdr>
            <w:top w:val="none" w:sz="0" w:space="0" w:color="auto"/>
            <w:left w:val="none" w:sz="0" w:space="0" w:color="auto"/>
            <w:bottom w:val="none" w:sz="0" w:space="0" w:color="auto"/>
            <w:right w:val="none" w:sz="0" w:space="0" w:color="auto"/>
          </w:divBdr>
        </w:div>
      </w:divsChild>
    </w:div>
    <w:div w:id="1228420352">
      <w:bodyDiv w:val="1"/>
      <w:marLeft w:val="0"/>
      <w:marRight w:val="0"/>
      <w:marTop w:val="0"/>
      <w:marBottom w:val="0"/>
      <w:divBdr>
        <w:top w:val="none" w:sz="0" w:space="0" w:color="auto"/>
        <w:left w:val="none" w:sz="0" w:space="0" w:color="auto"/>
        <w:bottom w:val="none" w:sz="0" w:space="0" w:color="auto"/>
        <w:right w:val="none" w:sz="0" w:space="0" w:color="auto"/>
      </w:divBdr>
    </w:div>
    <w:div w:id="1242446999">
      <w:bodyDiv w:val="1"/>
      <w:marLeft w:val="0"/>
      <w:marRight w:val="0"/>
      <w:marTop w:val="0"/>
      <w:marBottom w:val="0"/>
      <w:divBdr>
        <w:top w:val="none" w:sz="0" w:space="0" w:color="auto"/>
        <w:left w:val="none" w:sz="0" w:space="0" w:color="auto"/>
        <w:bottom w:val="none" w:sz="0" w:space="0" w:color="auto"/>
        <w:right w:val="none" w:sz="0" w:space="0" w:color="auto"/>
      </w:divBdr>
    </w:div>
    <w:div w:id="1415859842">
      <w:bodyDiv w:val="1"/>
      <w:marLeft w:val="0"/>
      <w:marRight w:val="0"/>
      <w:marTop w:val="0"/>
      <w:marBottom w:val="0"/>
      <w:divBdr>
        <w:top w:val="none" w:sz="0" w:space="0" w:color="auto"/>
        <w:left w:val="none" w:sz="0" w:space="0" w:color="auto"/>
        <w:bottom w:val="none" w:sz="0" w:space="0" w:color="auto"/>
        <w:right w:val="none" w:sz="0" w:space="0" w:color="auto"/>
      </w:divBdr>
    </w:div>
    <w:div w:id="1838033326">
      <w:bodyDiv w:val="1"/>
      <w:marLeft w:val="0"/>
      <w:marRight w:val="0"/>
      <w:marTop w:val="0"/>
      <w:marBottom w:val="0"/>
      <w:divBdr>
        <w:top w:val="none" w:sz="0" w:space="0" w:color="auto"/>
        <w:left w:val="none" w:sz="0" w:space="0" w:color="auto"/>
        <w:bottom w:val="none" w:sz="0" w:space="0" w:color="auto"/>
        <w:right w:val="none" w:sz="0" w:space="0" w:color="auto"/>
      </w:divBdr>
      <w:divsChild>
        <w:div w:id="919727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3.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926BF35-8764-481A-BBD9-05DFCFCD2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43</Pages>
  <Words>11788</Words>
  <Characters>64839</Characters>
  <Application>Microsoft Office Word</Application>
  <DocSecurity>0</DocSecurity>
  <Lines>540</Lines>
  <Paragraphs>152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infoem607b</cp:lastModifiedBy>
  <cp:revision>6</cp:revision>
  <cp:lastPrinted>2024-10-07T18:06:00Z</cp:lastPrinted>
  <dcterms:created xsi:type="dcterms:W3CDTF">2024-10-01T00:49:00Z</dcterms:created>
  <dcterms:modified xsi:type="dcterms:W3CDTF">2024-10-07T18:06:00Z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