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F339C" w14:textId="77777777" w:rsidR="007A0E0A" w:rsidRPr="003F52B3" w:rsidRDefault="00871D72">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3F52B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nueve de octubre de dos mil veinticuatro. </w:t>
      </w:r>
    </w:p>
    <w:p w14:paraId="33BBF6F0"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4CFD140D"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Visto</w:t>
      </w:r>
      <w:r w:rsidRPr="003F52B3">
        <w:rPr>
          <w:rFonts w:ascii="Palatino Linotype" w:eastAsia="Palatino Linotype" w:hAnsi="Palatino Linotype" w:cs="Palatino Linotype"/>
          <w:sz w:val="22"/>
          <w:szCs w:val="22"/>
        </w:rPr>
        <w:t xml:space="preserve"> el expediente relativo al recurso de revisión </w:t>
      </w:r>
      <w:r w:rsidRPr="003F52B3">
        <w:rPr>
          <w:rFonts w:ascii="Palatino Linotype" w:eastAsia="Palatino Linotype" w:hAnsi="Palatino Linotype" w:cs="Palatino Linotype"/>
          <w:b/>
          <w:sz w:val="22"/>
          <w:szCs w:val="22"/>
        </w:rPr>
        <w:t>05069/INFOEM/IP/RR/2024</w:t>
      </w:r>
      <w:r w:rsidRPr="003F52B3">
        <w:rPr>
          <w:rFonts w:ascii="Palatino Linotype" w:eastAsia="Palatino Linotype" w:hAnsi="Palatino Linotype" w:cs="Palatino Linotype"/>
          <w:sz w:val="22"/>
          <w:szCs w:val="22"/>
        </w:rPr>
        <w:t xml:space="preserve">, interpuesto por </w:t>
      </w:r>
      <w:r w:rsidRPr="003F52B3">
        <w:rPr>
          <w:rFonts w:ascii="Palatino Linotype" w:eastAsia="Palatino Linotype" w:hAnsi="Palatino Linotype" w:cs="Palatino Linotype"/>
          <w:b/>
          <w:sz w:val="22"/>
          <w:szCs w:val="22"/>
        </w:rPr>
        <w:t xml:space="preserve">un particular que no proporcionó nombre o seudónimo, </w:t>
      </w:r>
      <w:r w:rsidRPr="003F52B3">
        <w:rPr>
          <w:rFonts w:ascii="Palatino Linotype" w:eastAsia="Palatino Linotype" w:hAnsi="Palatino Linotype" w:cs="Palatino Linotype"/>
          <w:sz w:val="22"/>
          <w:szCs w:val="22"/>
        </w:rPr>
        <w:t>en lo sucesivo se le denominará la parte</w:t>
      </w:r>
      <w:r w:rsidRPr="003F52B3">
        <w:rPr>
          <w:rFonts w:ascii="Palatino Linotype" w:eastAsia="Palatino Linotype" w:hAnsi="Palatino Linotype" w:cs="Palatino Linotype"/>
          <w:b/>
          <w:sz w:val="22"/>
          <w:szCs w:val="22"/>
        </w:rPr>
        <w:t xml:space="preserve"> Recurrente</w:t>
      </w:r>
      <w:r w:rsidRPr="003F52B3">
        <w:rPr>
          <w:rFonts w:ascii="Palatino Linotype" w:eastAsia="Palatino Linotype" w:hAnsi="Palatino Linotype" w:cs="Palatino Linotype"/>
          <w:sz w:val="22"/>
          <w:szCs w:val="22"/>
        </w:rPr>
        <w:t>, en contra de la respuesta a su solicitud de información con número de folio</w:t>
      </w:r>
      <w:r w:rsidRPr="003F52B3">
        <w:rPr>
          <w:rFonts w:ascii="Palatino Linotype" w:eastAsia="Palatino Linotype" w:hAnsi="Palatino Linotype" w:cs="Palatino Linotype"/>
          <w:b/>
          <w:sz w:val="22"/>
          <w:szCs w:val="22"/>
        </w:rPr>
        <w:t xml:space="preserve"> 00042/TENAAIR/IP/2024</w:t>
      </w:r>
      <w:r w:rsidRPr="003F52B3">
        <w:rPr>
          <w:rFonts w:ascii="Palatino Linotype" w:eastAsia="Palatino Linotype" w:hAnsi="Palatino Linotype" w:cs="Palatino Linotype"/>
          <w:sz w:val="22"/>
          <w:szCs w:val="22"/>
        </w:rPr>
        <w:t xml:space="preserve">, por parte del </w:t>
      </w:r>
      <w:r w:rsidRPr="003F52B3">
        <w:rPr>
          <w:rFonts w:ascii="Palatino Linotype" w:eastAsia="Palatino Linotype" w:hAnsi="Palatino Linotype" w:cs="Palatino Linotype"/>
          <w:b/>
          <w:sz w:val="22"/>
          <w:szCs w:val="22"/>
        </w:rPr>
        <w:t xml:space="preserve">Ayuntamiento de Tenango del Aire </w:t>
      </w:r>
      <w:r w:rsidRPr="003F52B3">
        <w:rPr>
          <w:rFonts w:ascii="Palatino Linotype" w:eastAsia="Palatino Linotype" w:hAnsi="Palatino Linotype" w:cs="Palatino Linotype"/>
          <w:sz w:val="22"/>
          <w:szCs w:val="22"/>
        </w:rPr>
        <w:t xml:space="preserve">en lo sucesivo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w:t>
      </w:r>
      <w:r w:rsidRPr="003F52B3">
        <w:rPr>
          <w:rFonts w:ascii="Palatino Linotype" w:eastAsia="Palatino Linotype" w:hAnsi="Palatino Linotype" w:cs="Palatino Linotype"/>
          <w:b/>
          <w:sz w:val="22"/>
          <w:szCs w:val="22"/>
        </w:rPr>
        <w:t xml:space="preserve"> </w:t>
      </w:r>
      <w:r w:rsidRPr="003F52B3">
        <w:rPr>
          <w:rFonts w:ascii="Palatino Linotype" w:eastAsia="Palatino Linotype" w:hAnsi="Palatino Linotype" w:cs="Palatino Linotype"/>
          <w:sz w:val="22"/>
          <w:szCs w:val="22"/>
        </w:rPr>
        <w:t>se procede a dictar la presente resolución, con base en los siguientes:</w:t>
      </w:r>
    </w:p>
    <w:p w14:paraId="23F71FC6" w14:textId="77777777" w:rsidR="007A0E0A" w:rsidRPr="003F52B3" w:rsidRDefault="00871D72">
      <w:pPr>
        <w:numPr>
          <w:ilvl w:val="0"/>
          <w:numId w:val="1"/>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3F52B3">
        <w:rPr>
          <w:rFonts w:ascii="Palatino Linotype" w:eastAsia="Palatino Linotype" w:hAnsi="Palatino Linotype" w:cs="Palatino Linotype"/>
          <w:b/>
          <w:sz w:val="22"/>
          <w:szCs w:val="22"/>
        </w:rPr>
        <w:t>A N T E C E D E N T E S:</w:t>
      </w:r>
    </w:p>
    <w:p w14:paraId="5A8ABBBB" w14:textId="77777777" w:rsidR="007A0E0A" w:rsidRPr="003F52B3" w:rsidRDefault="007A0E0A">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750D5BE" w14:textId="77777777" w:rsidR="007A0E0A" w:rsidRPr="003F52B3" w:rsidRDefault="00871D72">
      <w:pPr>
        <w:numPr>
          <w:ilvl w:val="1"/>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3F52B3">
        <w:rPr>
          <w:rFonts w:ascii="Palatino Linotype" w:eastAsia="Palatino Linotype" w:hAnsi="Palatino Linotype" w:cs="Palatino Linotype"/>
          <w:b/>
          <w:sz w:val="22"/>
          <w:szCs w:val="22"/>
        </w:rPr>
        <w:t xml:space="preserve">Solicitud de acceso a la información. </w:t>
      </w:r>
      <w:r w:rsidRPr="003F52B3">
        <w:rPr>
          <w:rFonts w:ascii="Palatino Linotype" w:eastAsia="Palatino Linotype" w:hAnsi="Palatino Linotype" w:cs="Palatino Linotype"/>
          <w:sz w:val="22"/>
          <w:szCs w:val="22"/>
        </w:rPr>
        <w:t xml:space="preserve">Con fecha </w:t>
      </w:r>
      <w:r w:rsidRPr="003F52B3">
        <w:rPr>
          <w:rFonts w:ascii="Palatino Linotype" w:eastAsia="Palatino Linotype" w:hAnsi="Palatino Linotype" w:cs="Palatino Linotype"/>
          <w:b/>
          <w:sz w:val="22"/>
          <w:szCs w:val="22"/>
        </w:rPr>
        <w:t>cuatro de julio de dos mil veinticuatro</w:t>
      </w:r>
      <w:r w:rsidRPr="003F52B3">
        <w:rPr>
          <w:rFonts w:ascii="Palatino Linotype" w:eastAsia="Palatino Linotype" w:hAnsi="Palatino Linotype" w:cs="Palatino Linotype"/>
          <w:sz w:val="22"/>
          <w:szCs w:val="22"/>
        </w:rPr>
        <w:t xml:space="preserve">,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xml:space="preserve"> formuló solicitud de acceso a información pública al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a través del Sistema de Acceso a la Información Mexiquense, en adelante </w:t>
      </w:r>
      <w:r w:rsidRPr="003F52B3">
        <w:rPr>
          <w:rFonts w:ascii="Palatino Linotype" w:eastAsia="Palatino Linotype" w:hAnsi="Palatino Linotype" w:cs="Palatino Linotype"/>
          <w:b/>
          <w:sz w:val="22"/>
          <w:szCs w:val="22"/>
        </w:rPr>
        <w:t>SAIMEX</w:t>
      </w:r>
      <w:r w:rsidRPr="003F52B3">
        <w:rPr>
          <w:rFonts w:ascii="Palatino Linotype" w:eastAsia="Palatino Linotype" w:hAnsi="Palatino Linotype" w:cs="Palatino Linotype"/>
          <w:sz w:val="22"/>
          <w:szCs w:val="22"/>
        </w:rPr>
        <w:t>, requiriéndole lo siguiente:</w:t>
      </w:r>
    </w:p>
    <w:p w14:paraId="1324A794" w14:textId="77777777" w:rsidR="007A0E0A" w:rsidRPr="003F52B3" w:rsidRDefault="007A0E0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03D8C2C"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“Buenos días ante poniendo un cordial saludo al mismo tiempo le solicito lo siguiente: 1. </w:t>
      </w:r>
      <w:r w:rsidRPr="003F52B3">
        <w:rPr>
          <w:rFonts w:ascii="Palatino Linotype" w:eastAsia="Palatino Linotype" w:hAnsi="Palatino Linotype" w:cs="Palatino Linotype"/>
          <w:b/>
          <w:i/>
          <w:sz w:val="22"/>
          <w:szCs w:val="22"/>
        </w:rPr>
        <w:t>Las nóminas correspondientes a la primer y segunda quincena de abril, mayo y junio del 2024 de ayuntamiento y sus organismos descentralizados</w:t>
      </w:r>
      <w:r w:rsidRPr="003F52B3">
        <w:rPr>
          <w:rFonts w:ascii="Palatino Linotype" w:eastAsia="Palatino Linotype" w:hAnsi="Palatino Linotype" w:cs="Palatino Linotype"/>
          <w:i/>
          <w:sz w:val="22"/>
          <w:szCs w:val="22"/>
        </w:rPr>
        <w:t>.”</w:t>
      </w:r>
    </w:p>
    <w:p w14:paraId="54371853" w14:textId="77777777" w:rsidR="007A0E0A" w:rsidRPr="003F52B3" w:rsidRDefault="007A0E0A">
      <w:pPr>
        <w:spacing w:line="360" w:lineRule="auto"/>
        <w:ind w:left="709" w:right="900"/>
        <w:jc w:val="both"/>
        <w:rPr>
          <w:rFonts w:ascii="Palatino Linotype" w:eastAsia="Palatino Linotype" w:hAnsi="Palatino Linotype" w:cs="Palatino Linotype"/>
          <w:b/>
          <w:i/>
          <w:sz w:val="22"/>
          <w:szCs w:val="22"/>
        </w:rPr>
      </w:pPr>
    </w:p>
    <w:p w14:paraId="60AD05AA"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 xml:space="preserve">Modalidad elegida para la entrega de la información: </w:t>
      </w:r>
      <w:r w:rsidRPr="003F52B3">
        <w:rPr>
          <w:rFonts w:ascii="Palatino Linotype" w:eastAsia="Palatino Linotype" w:hAnsi="Palatino Linotype" w:cs="Palatino Linotype"/>
          <w:sz w:val="22"/>
          <w:szCs w:val="22"/>
        </w:rPr>
        <w:t xml:space="preserve">a través del Sistema de Acceso a la Información Mexiquense. </w:t>
      </w:r>
    </w:p>
    <w:p w14:paraId="68BF26FE"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0847CF1F" w14:textId="77777777" w:rsidR="007A0E0A" w:rsidRPr="003F52B3" w:rsidRDefault="00871D72">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bookmarkStart w:id="1" w:name="_heading=h.3znysh7" w:colFirst="0" w:colLast="0"/>
      <w:bookmarkEnd w:id="1"/>
      <w:r w:rsidRPr="003F52B3">
        <w:rPr>
          <w:rFonts w:ascii="Palatino Linotype" w:eastAsia="Palatino Linotype" w:hAnsi="Palatino Linotype" w:cs="Palatino Linotype"/>
          <w:b/>
          <w:sz w:val="22"/>
          <w:szCs w:val="22"/>
        </w:rPr>
        <w:lastRenderedPageBreak/>
        <w:t xml:space="preserve">Respuesta. </w:t>
      </w:r>
      <w:r w:rsidRPr="003F52B3">
        <w:rPr>
          <w:rFonts w:ascii="Palatino Linotype" w:eastAsia="Palatino Linotype" w:hAnsi="Palatino Linotype" w:cs="Palatino Linotype"/>
          <w:sz w:val="22"/>
          <w:szCs w:val="22"/>
        </w:rPr>
        <w:t xml:space="preserve">Del expediente electrónico se advierte que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fue omiso en emitir respuesta a la solicitud de acceso a la información pública, dentro del plazo de quince días otorgado por el artículo 163 de la Ley de Transparencia y Acceso a la Información Pública de la entidad.</w:t>
      </w:r>
    </w:p>
    <w:p w14:paraId="45E17A81" w14:textId="77777777" w:rsidR="007A0E0A" w:rsidRPr="003F52B3" w:rsidRDefault="007A0E0A">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76258113" w14:textId="77777777" w:rsidR="007A0E0A" w:rsidRPr="003F52B3" w:rsidRDefault="00871D72">
      <w:pPr>
        <w:numPr>
          <w:ilvl w:val="0"/>
          <w:numId w:val="9"/>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 xml:space="preserve">Interposición del recurso de revisión. </w:t>
      </w:r>
      <w:r w:rsidRPr="003F52B3">
        <w:rPr>
          <w:rFonts w:ascii="Palatino Linotype" w:eastAsia="Palatino Linotype" w:hAnsi="Palatino Linotype" w:cs="Palatino Linotype"/>
          <w:sz w:val="22"/>
          <w:szCs w:val="22"/>
        </w:rPr>
        <w:t xml:space="preserve">Inconforme con la falta de respuesta del </w:t>
      </w:r>
      <w:r w:rsidRPr="003F52B3">
        <w:rPr>
          <w:rFonts w:ascii="Palatino Linotype" w:eastAsia="Palatino Linotype" w:hAnsi="Palatino Linotype" w:cs="Palatino Linotype"/>
          <w:b/>
          <w:sz w:val="22"/>
          <w:szCs w:val="22"/>
        </w:rPr>
        <w:t xml:space="preserve">Sujeto Obligado </w:t>
      </w:r>
      <w:r w:rsidRPr="003F52B3">
        <w:rPr>
          <w:rFonts w:ascii="Palatino Linotype" w:eastAsia="Palatino Linotype" w:hAnsi="Palatino Linotype" w:cs="Palatino Linotype"/>
          <w:sz w:val="22"/>
          <w:szCs w:val="22"/>
        </w:rPr>
        <w:t>la parte</w:t>
      </w:r>
      <w:r w:rsidRPr="003F52B3">
        <w:rPr>
          <w:rFonts w:ascii="Palatino Linotype" w:eastAsia="Palatino Linotype" w:hAnsi="Palatino Linotype" w:cs="Palatino Linotype"/>
          <w:b/>
          <w:sz w:val="22"/>
          <w:szCs w:val="22"/>
        </w:rPr>
        <w:t xml:space="preserve"> Recurrente</w:t>
      </w:r>
      <w:r w:rsidRPr="003F52B3">
        <w:rPr>
          <w:rFonts w:ascii="Palatino Linotype" w:eastAsia="Palatino Linotype" w:hAnsi="Palatino Linotype" w:cs="Palatino Linotype"/>
          <w:sz w:val="22"/>
          <w:szCs w:val="22"/>
        </w:rPr>
        <w:t xml:space="preserve"> interpuso recurso de revisión a través del SAIMEX en fecha </w:t>
      </w:r>
      <w:r w:rsidRPr="003F52B3">
        <w:rPr>
          <w:rFonts w:ascii="Palatino Linotype" w:eastAsia="Palatino Linotype" w:hAnsi="Palatino Linotype" w:cs="Palatino Linotype"/>
          <w:b/>
          <w:sz w:val="22"/>
          <w:szCs w:val="22"/>
        </w:rPr>
        <w:t>veintidós de agosto de dos mil veinticuatro</w:t>
      </w:r>
      <w:r w:rsidRPr="003F52B3">
        <w:rPr>
          <w:rFonts w:ascii="Palatino Linotype" w:eastAsia="Palatino Linotype" w:hAnsi="Palatino Linotype" w:cs="Palatino Linotype"/>
          <w:sz w:val="22"/>
          <w:szCs w:val="22"/>
        </w:rPr>
        <w:t>, a través del cual expresó lo siguiente:</w:t>
      </w:r>
    </w:p>
    <w:p w14:paraId="17D5AA6B" w14:textId="77777777" w:rsidR="007A0E0A" w:rsidRPr="003F52B3" w:rsidRDefault="007A0E0A">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7AF78FBA"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sz w:val="22"/>
          <w:szCs w:val="22"/>
        </w:rPr>
        <w:t xml:space="preserve">Acto impugnado. </w:t>
      </w:r>
      <w:r w:rsidRPr="003F52B3">
        <w:rPr>
          <w:rFonts w:ascii="Palatino Linotype" w:eastAsia="Palatino Linotype" w:hAnsi="Palatino Linotype" w:cs="Palatino Linotype"/>
          <w:i/>
          <w:sz w:val="22"/>
          <w:szCs w:val="22"/>
        </w:rPr>
        <w:t xml:space="preserve">“Negativa de la información, derivado a que no emiten respuesta a la información peticionada.” </w:t>
      </w:r>
    </w:p>
    <w:p w14:paraId="0651D001" w14:textId="77777777" w:rsidR="007A0E0A" w:rsidRPr="003F52B3" w:rsidRDefault="007A0E0A">
      <w:pPr>
        <w:spacing w:line="276" w:lineRule="auto"/>
        <w:ind w:left="851" w:right="616"/>
        <w:rPr>
          <w:rFonts w:ascii="Palatino Linotype" w:eastAsia="Palatino Linotype" w:hAnsi="Palatino Linotype" w:cs="Palatino Linotype"/>
          <w:sz w:val="22"/>
          <w:szCs w:val="22"/>
        </w:rPr>
      </w:pPr>
    </w:p>
    <w:p w14:paraId="0BA56C8A" w14:textId="77777777" w:rsidR="007A0E0A" w:rsidRPr="003F52B3" w:rsidRDefault="00871D7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3F52B3">
        <w:rPr>
          <w:rFonts w:ascii="Palatino Linotype" w:eastAsia="Palatino Linotype" w:hAnsi="Palatino Linotype" w:cs="Palatino Linotype"/>
          <w:b/>
          <w:sz w:val="22"/>
          <w:szCs w:val="22"/>
        </w:rPr>
        <w:t xml:space="preserve">Motivos de inconformidad. </w:t>
      </w:r>
      <w:r w:rsidRPr="003F52B3">
        <w:rPr>
          <w:rFonts w:ascii="Palatino Linotype" w:eastAsia="Palatino Linotype" w:hAnsi="Palatino Linotype" w:cs="Palatino Linotype"/>
          <w:i/>
          <w:sz w:val="22"/>
          <w:szCs w:val="22"/>
        </w:rPr>
        <w:t>“Negativa de la información, derivado a que no emiten respuesta a la información peticionada.”</w:t>
      </w:r>
    </w:p>
    <w:p w14:paraId="6441AA1F" w14:textId="77777777" w:rsidR="007A0E0A" w:rsidRPr="003F52B3" w:rsidRDefault="007A0E0A">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462845BF" w14:textId="77777777" w:rsidR="007A0E0A" w:rsidRPr="003F52B3" w:rsidRDefault="00871D7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 xml:space="preserve">Turno. </w:t>
      </w:r>
      <w:r w:rsidRPr="003F52B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3F52B3">
        <w:rPr>
          <w:rFonts w:ascii="Palatino Linotype" w:eastAsia="Palatino Linotype" w:hAnsi="Palatino Linotype" w:cs="Palatino Linotype"/>
          <w:b/>
          <w:sz w:val="22"/>
          <w:szCs w:val="22"/>
        </w:rPr>
        <w:t>05069/INFOEM/IP/RR/2024</w:t>
      </w:r>
      <w:r w:rsidRPr="003F52B3">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3F52B3">
        <w:rPr>
          <w:rFonts w:ascii="Palatino Linotype" w:eastAsia="Palatino Linotype" w:hAnsi="Palatino Linotype" w:cs="Palatino Linotype"/>
          <w:b/>
          <w:sz w:val="22"/>
          <w:szCs w:val="22"/>
        </w:rPr>
        <w:t>Guadalupe Ramírez Peña</w:t>
      </w:r>
      <w:r w:rsidRPr="003F52B3">
        <w:rPr>
          <w:rFonts w:ascii="Palatino Linotype" w:eastAsia="Palatino Linotype" w:hAnsi="Palatino Linotype" w:cs="Palatino Linotype"/>
          <w:sz w:val="22"/>
          <w:szCs w:val="22"/>
        </w:rPr>
        <w:t>, para su análisis, estudio, elaboración del proyecto y presentación ante el Pleno de este Instituto.</w:t>
      </w:r>
    </w:p>
    <w:p w14:paraId="12088C1A" w14:textId="77777777" w:rsidR="007A0E0A" w:rsidRPr="003F52B3" w:rsidRDefault="007A0E0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CF38182" w14:textId="77777777" w:rsidR="007A0E0A" w:rsidRPr="003F52B3" w:rsidRDefault="00871D7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3F52B3">
        <w:rPr>
          <w:rFonts w:ascii="Palatino Linotype" w:eastAsia="Palatino Linotype" w:hAnsi="Palatino Linotype" w:cs="Palatino Linotype"/>
          <w:b/>
          <w:sz w:val="22"/>
          <w:szCs w:val="22"/>
        </w:rPr>
        <w:t xml:space="preserve">Admisión del recurso de revisión: </w:t>
      </w:r>
      <w:r w:rsidRPr="003F52B3">
        <w:rPr>
          <w:rFonts w:ascii="Palatino Linotype" w:eastAsia="Palatino Linotype" w:hAnsi="Palatino Linotype" w:cs="Palatino Linotype"/>
          <w:sz w:val="22"/>
          <w:szCs w:val="22"/>
        </w:rPr>
        <w:t xml:space="preserve">En fecha </w:t>
      </w:r>
      <w:r w:rsidRPr="003F52B3">
        <w:rPr>
          <w:rFonts w:ascii="Palatino Linotype" w:eastAsia="Palatino Linotype" w:hAnsi="Palatino Linotype" w:cs="Palatino Linotype"/>
          <w:b/>
          <w:sz w:val="22"/>
          <w:szCs w:val="22"/>
        </w:rPr>
        <w:t>veintisiete de agosto de dos mil veinticuatro</w:t>
      </w:r>
      <w:r w:rsidRPr="003F52B3">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presentara su informe justificado.</w:t>
      </w:r>
    </w:p>
    <w:p w14:paraId="54BC3DAE" w14:textId="77777777" w:rsidR="007A0E0A" w:rsidRPr="003F52B3" w:rsidRDefault="007A0E0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49713F3" w14:textId="77777777" w:rsidR="007A0E0A" w:rsidRPr="003F52B3" w:rsidRDefault="00871D7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Manifestaciones</w:t>
      </w:r>
      <w:r w:rsidRPr="003F52B3">
        <w:rPr>
          <w:rFonts w:ascii="Palatino Linotype" w:eastAsia="Palatino Linotype" w:hAnsi="Palatino Linotype" w:cs="Palatino Linotype"/>
          <w:sz w:val="22"/>
          <w:szCs w:val="22"/>
        </w:rPr>
        <w:t xml:space="preserve">: De las constancias que obran en el expediente electrónico del SAIMEX se desprende que en fecha </w:t>
      </w:r>
      <w:r w:rsidRPr="003F52B3">
        <w:rPr>
          <w:rFonts w:ascii="Palatino Linotype" w:eastAsia="Palatino Linotype" w:hAnsi="Palatino Linotype" w:cs="Palatino Linotype"/>
          <w:b/>
          <w:sz w:val="22"/>
          <w:szCs w:val="22"/>
        </w:rPr>
        <w:t>dos de septiembre de dos mil veinticuatro</w:t>
      </w:r>
      <w:r w:rsidRPr="003F52B3">
        <w:rPr>
          <w:rFonts w:ascii="Palatino Linotype" w:eastAsia="Palatino Linotype" w:hAnsi="Palatino Linotype" w:cs="Palatino Linotype"/>
          <w:sz w:val="22"/>
          <w:szCs w:val="22"/>
        </w:rPr>
        <w:t>, el</w:t>
      </w:r>
      <w:r w:rsidRPr="003F52B3">
        <w:rPr>
          <w:rFonts w:ascii="Palatino Linotype" w:eastAsia="Palatino Linotype" w:hAnsi="Palatino Linotype" w:cs="Palatino Linotype"/>
          <w:b/>
          <w:sz w:val="22"/>
          <w:szCs w:val="22"/>
        </w:rPr>
        <w:t xml:space="preserve"> Sujeto Obligado</w:t>
      </w:r>
      <w:r w:rsidRPr="003F52B3">
        <w:rPr>
          <w:rFonts w:ascii="Palatino Linotype" w:eastAsia="Palatino Linotype" w:hAnsi="Palatino Linotype" w:cs="Palatino Linotype"/>
          <w:sz w:val="22"/>
          <w:szCs w:val="22"/>
        </w:rPr>
        <w:t xml:space="preserve"> rindió su informe justificado, adjuntando los siguientes archivos electrónicos: </w:t>
      </w:r>
    </w:p>
    <w:p w14:paraId="42E54604" w14:textId="77777777" w:rsidR="007A0E0A" w:rsidRPr="003F52B3" w:rsidRDefault="007A0E0A">
      <w:pPr>
        <w:pBdr>
          <w:top w:val="nil"/>
          <w:left w:val="nil"/>
          <w:bottom w:val="nil"/>
          <w:right w:val="nil"/>
          <w:between w:val="nil"/>
        </w:pBdr>
        <w:ind w:left="708"/>
        <w:rPr>
          <w:rFonts w:ascii="Palatino Linotype" w:eastAsia="Palatino Linotype" w:hAnsi="Palatino Linotype" w:cs="Palatino Linotype"/>
          <w:sz w:val="22"/>
          <w:szCs w:val="22"/>
        </w:rPr>
      </w:pPr>
    </w:p>
    <w:p w14:paraId="70BBE124" w14:textId="77777777" w:rsidR="007A0E0A" w:rsidRPr="003F52B3" w:rsidRDefault="00871D72">
      <w:pPr>
        <w:numPr>
          <w:ilvl w:val="0"/>
          <w:numId w:val="6"/>
        </w:numPr>
        <w:pBdr>
          <w:top w:val="nil"/>
          <w:left w:val="nil"/>
          <w:bottom w:val="nil"/>
          <w:right w:val="nil"/>
          <w:between w:val="nil"/>
        </w:pBdr>
        <w:tabs>
          <w:tab w:val="left" w:pos="284"/>
        </w:tabs>
        <w:spacing w:line="360" w:lineRule="auto"/>
        <w:ind w:left="851" w:right="616" w:firstLine="0"/>
        <w:jc w:val="both"/>
        <w:rPr>
          <w:rFonts w:ascii="Palatino Linotype" w:eastAsia="Palatino Linotype" w:hAnsi="Palatino Linotype" w:cs="Palatino Linotype"/>
          <w:sz w:val="22"/>
          <w:szCs w:val="22"/>
        </w:rPr>
      </w:pPr>
      <w:proofErr w:type="spellStart"/>
      <w:r w:rsidRPr="003F52B3">
        <w:rPr>
          <w:rFonts w:ascii="Palatino Linotype" w:eastAsia="Palatino Linotype" w:hAnsi="Palatino Linotype" w:cs="Palatino Linotype"/>
          <w:b/>
          <w:i/>
          <w:sz w:val="22"/>
          <w:szCs w:val="22"/>
        </w:rPr>
        <w:t>conestación</w:t>
      </w:r>
      <w:proofErr w:type="spellEnd"/>
      <w:r w:rsidRPr="003F52B3">
        <w:rPr>
          <w:rFonts w:ascii="Palatino Linotype" w:eastAsia="Palatino Linotype" w:hAnsi="Palatino Linotype" w:cs="Palatino Linotype"/>
          <w:b/>
          <w:i/>
          <w:sz w:val="22"/>
          <w:szCs w:val="22"/>
        </w:rPr>
        <w:t xml:space="preserve"> 00042-2024.pdf: </w:t>
      </w:r>
      <w:r w:rsidRPr="003F52B3">
        <w:rPr>
          <w:rFonts w:ascii="Palatino Linotype" w:eastAsia="Palatino Linotype" w:hAnsi="Palatino Linotype" w:cs="Palatino Linotype"/>
          <w:sz w:val="22"/>
          <w:szCs w:val="22"/>
        </w:rPr>
        <w:t xml:space="preserve">Documento de fecha treinta de agosto de dos mil veinticuatro, mediante el cual informó que la solicitud fue turnada a las áreas competentes, con el propósito de dar una respuesta pronta y favorable, hace entrega de la información solicitada para subsanar el daño. Adjuntando la Nómina correspondiente a los meses de abril, mayo y junio del personal del Ayuntamiento y del Sistema Municipal para el Desarrollo Integral de la Familia de Tenango del Aire. </w:t>
      </w:r>
    </w:p>
    <w:p w14:paraId="72B90C2C" w14:textId="77777777" w:rsidR="007A0E0A" w:rsidRPr="003F52B3" w:rsidRDefault="00871D72">
      <w:pPr>
        <w:numPr>
          <w:ilvl w:val="0"/>
          <w:numId w:val="6"/>
        </w:numPr>
        <w:pBdr>
          <w:top w:val="nil"/>
          <w:left w:val="nil"/>
          <w:bottom w:val="nil"/>
          <w:right w:val="nil"/>
          <w:between w:val="nil"/>
        </w:pBdr>
        <w:tabs>
          <w:tab w:val="left" w:pos="284"/>
        </w:tabs>
        <w:spacing w:line="360" w:lineRule="auto"/>
        <w:ind w:left="851" w:right="616"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ACTA CLASIFICACIÓN DE INFORMACIÓN SOLICITUD 00042.pdf</w:t>
      </w:r>
      <w:r w:rsidRPr="003F52B3">
        <w:rPr>
          <w:rFonts w:ascii="Palatino Linotype" w:eastAsia="Palatino Linotype" w:hAnsi="Palatino Linotype" w:cs="Palatino Linotype"/>
          <w:sz w:val="22"/>
          <w:szCs w:val="22"/>
        </w:rPr>
        <w:t xml:space="preserve">: Acta de la Segunda Sesión Ordinaria del Comité de Transparencia del Municipio de Tenango del Aire, mediante el cual se aprobó a través del acuerdo número </w:t>
      </w:r>
      <w:r w:rsidRPr="003F52B3">
        <w:rPr>
          <w:rFonts w:ascii="Palatino Linotype" w:eastAsia="Palatino Linotype" w:hAnsi="Palatino Linotype" w:cs="Palatino Linotype"/>
          <w:b/>
          <w:sz w:val="22"/>
          <w:szCs w:val="22"/>
        </w:rPr>
        <w:t>UT/CT/ORD/02/2024</w:t>
      </w:r>
      <w:r w:rsidRPr="003F52B3">
        <w:rPr>
          <w:rFonts w:ascii="Palatino Linotype" w:eastAsia="Palatino Linotype" w:hAnsi="Palatino Linotype" w:cs="Palatino Linotype"/>
          <w:sz w:val="22"/>
          <w:szCs w:val="22"/>
        </w:rPr>
        <w:t xml:space="preserve">, la versión pública correspondiente a la contestación de la solicitud identificada con número de folio: 00042/TENAAIR/IP/2024, la cual contiene datos personales clasificados como confidenciales. </w:t>
      </w:r>
    </w:p>
    <w:p w14:paraId="4014FBFB" w14:textId="77777777" w:rsidR="007A0E0A" w:rsidRPr="003F52B3" w:rsidRDefault="007A0E0A">
      <w:pPr>
        <w:pBdr>
          <w:top w:val="nil"/>
          <w:left w:val="nil"/>
          <w:bottom w:val="nil"/>
          <w:right w:val="nil"/>
          <w:between w:val="nil"/>
        </w:pBdr>
        <w:ind w:left="851" w:right="616"/>
        <w:rPr>
          <w:rFonts w:ascii="Palatino Linotype" w:eastAsia="Palatino Linotype" w:hAnsi="Palatino Linotype" w:cs="Palatino Linotype"/>
          <w:sz w:val="22"/>
          <w:szCs w:val="22"/>
        </w:rPr>
      </w:pPr>
    </w:p>
    <w:p w14:paraId="001399BD" w14:textId="77777777" w:rsidR="007A0E0A" w:rsidRPr="003F52B3" w:rsidRDefault="00871D72">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Asimismo, y mediante a acuerdo número </w:t>
      </w:r>
      <w:r w:rsidRPr="003F52B3">
        <w:rPr>
          <w:rFonts w:ascii="Palatino Linotype" w:eastAsia="Palatino Linotype" w:hAnsi="Palatino Linotype" w:cs="Palatino Linotype"/>
          <w:b/>
          <w:sz w:val="22"/>
          <w:szCs w:val="22"/>
        </w:rPr>
        <w:t>UT/CT/ORD/03/2024</w:t>
      </w:r>
      <w:r w:rsidRPr="003F52B3">
        <w:rPr>
          <w:rFonts w:ascii="Palatino Linotype" w:eastAsia="Palatino Linotype" w:hAnsi="Palatino Linotype" w:cs="Palatino Linotype"/>
          <w:sz w:val="22"/>
          <w:szCs w:val="22"/>
        </w:rPr>
        <w:t xml:space="preserve">, se aprobó la clasificación de la información como Reservada, de los datos referentes a los elementos de la policía, en el caso concreto los nombres, de conformidad con los artículos 140 fracción I, de la Ley de Transparencia y Acceso a la Información Pública del Estado de México y Municipios; artículo 113, fracción I, de la Ley General de Transparencia y Acceso a la Información Pública y los Lineamientos Décimo Séptimo, Décimo octavo y Décimo </w:t>
      </w:r>
      <w:r w:rsidRPr="003F52B3">
        <w:rPr>
          <w:rFonts w:ascii="Palatino Linotype" w:eastAsia="Palatino Linotype" w:hAnsi="Palatino Linotype" w:cs="Palatino Linotype"/>
          <w:sz w:val="22"/>
          <w:szCs w:val="22"/>
        </w:rPr>
        <w:lastRenderedPageBreak/>
        <w:t>noveno de los Lineamientos Generales en Materia de Clasificación y Desclasificación de la Información, que establecen que cuando la información solicitada resulte perjudicial para la seguridad pública, esta se debe de clasificar como reservada.</w:t>
      </w:r>
    </w:p>
    <w:p w14:paraId="0AFD9B11" w14:textId="77777777" w:rsidR="007A0E0A" w:rsidRPr="003F52B3" w:rsidRDefault="007A0E0A">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sz w:val="22"/>
          <w:szCs w:val="22"/>
        </w:rPr>
      </w:pPr>
    </w:p>
    <w:p w14:paraId="3E327F85" w14:textId="77777777" w:rsidR="007A0E0A" w:rsidRPr="003F52B3" w:rsidRDefault="00871D7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Documentos del cual únicamente se hizo del conocimiento de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el archivo electrónico denominado “</w:t>
      </w:r>
      <w:r w:rsidRPr="003F52B3">
        <w:rPr>
          <w:rFonts w:ascii="Palatino Linotype" w:eastAsia="Palatino Linotype" w:hAnsi="Palatino Linotype" w:cs="Palatino Linotype"/>
          <w:b/>
          <w:i/>
          <w:sz w:val="22"/>
          <w:szCs w:val="22"/>
        </w:rPr>
        <w:t>ACTA CLASIFICACIÓN DE INFORMACIÓN SOLICITUD 00042.pdf</w:t>
      </w:r>
      <w:r w:rsidRPr="003F52B3">
        <w:rPr>
          <w:rFonts w:ascii="Palatino Linotype" w:eastAsia="Palatino Linotype" w:hAnsi="Palatino Linotype" w:cs="Palatino Linotype"/>
          <w:sz w:val="22"/>
          <w:szCs w:val="22"/>
        </w:rPr>
        <w:t>”, toda vez que la versión pública del archivo electrónico “</w:t>
      </w:r>
      <w:proofErr w:type="spellStart"/>
      <w:r w:rsidRPr="003F52B3">
        <w:rPr>
          <w:rFonts w:ascii="Palatino Linotype" w:eastAsia="Palatino Linotype" w:hAnsi="Palatino Linotype" w:cs="Palatino Linotype"/>
          <w:b/>
          <w:i/>
          <w:sz w:val="22"/>
          <w:szCs w:val="22"/>
        </w:rPr>
        <w:t>conestación</w:t>
      </w:r>
      <w:proofErr w:type="spellEnd"/>
      <w:r w:rsidRPr="003F52B3">
        <w:rPr>
          <w:rFonts w:ascii="Palatino Linotype" w:eastAsia="Palatino Linotype" w:hAnsi="Palatino Linotype" w:cs="Palatino Linotype"/>
          <w:b/>
          <w:i/>
          <w:sz w:val="22"/>
          <w:szCs w:val="22"/>
        </w:rPr>
        <w:t xml:space="preserve"> 00042-2024.pdf” </w:t>
      </w:r>
      <w:r w:rsidRPr="003F52B3">
        <w:rPr>
          <w:rFonts w:ascii="Palatino Linotype" w:eastAsia="Palatino Linotype" w:hAnsi="Palatino Linotype" w:cs="Palatino Linotype"/>
          <w:sz w:val="22"/>
          <w:szCs w:val="22"/>
        </w:rPr>
        <w:t xml:space="preserve">no se testó de manera permanente por lo que se puede conocer el nombre de los policías operativos. </w:t>
      </w:r>
    </w:p>
    <w:p w14:paraId="3252D61F" w14:textId="77777777" w:rsidR="007A0E0A" w:rsidRPr="003F52B3" w:rsidRDefault="007A0E0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EED2B7E" w14:textId="77777777" w:rsidR="007A0E0A" w:rsidRPr="003F52B3" w:rsidRDefault="00871D7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Por cuanto hace a</w:t>
      </w:r>
      <w:r w:rsidRPr="003F52B3">
        <w:rPr>
          <w:rFonts w:ascii="Palatino Linotype" w:eastAsia="Palatino Linotype" w:hAnsi="Palatino Linotype" w:cs="Palatino Linotype"/>
          <w:b/>
          <w:sz w:val="22"/>
          <w:szCs w:val="22"/>
        </w:rPr>
        <w:t xml:space="preserve"> </w:t>
      </w:r>
      <w:r w:rsidRPr="003F52B3">
        <w:rPr>
          <w:rFonts w:ascii="Palatino Linotype" w:eastAsia="Palatino Linotype" w:hAnsi="Palatino Linotype" w:cs="Palatino Linotype"/>
          <w:sz w:val="22"/>
          <w:szCs w:val="22"/>
        </w:rPr>
        <w:t>la parte</w:t>
      </w:r>
      <w:r w:rsidRPr="003F52B3">
        <w:rPr>
          <w:rFonts w:ascii="Palatino Linotype" w:eastAsia="Palatino Linotype" w:hAnsi="Palatino Linotype" w:cs="Palatino Linotype"/>
          <w:b/>
          <w:sz w:val="22"/>
          <w:szCs w:val="22"/>
        </w:rPr>
        <w:t xml:space="preserve"> Recurrente</w:t>
      </w:r>
      <w:r w:rsidRPr="003F52B3">
        <w:rPr>
          <w:rFonts w:ascii="Palatino Linotype" w:eastAsia="Palatino Linotype" w:hAnsi="Palatino Linotype" w:cs="Palatino Linotype"/>
          <w:sz w:val="22"/>
          <w:szCs w:val="22"/>
        </w:rPr>
        <w:t xml:space="preserve"> se tiene que fue omisa en emitir pronunciamiento alguno que a su derecho convenga, por lo tanto, se tiene por precluido su derecho para tal efecto</w:t>
      </w:r>
    </w:p>
    <w:p w14:paraId="5BAA5E82" w14:textId="77777777" w:rsidR="007A0E0A" w:rsidRPr="003F52B3" w:rsidRDefault="007A0E0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1F883FC" w14:textId="77777777" w:rsidR="007A0E0A" w:rsidRPr="003F52B3" w:rsidRDefault="00871D72">
      <w:pPr>
        <w:numPr>
          <w:ilvl w:val="0"/>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 xml:space="preserve">Cierre de instrucción. </w:t>
      </w:r>
      <w:r w:rsidRPr="003F52B3">
        <w:rPr>
          <w:rFonts w:ascii="Palatino Linotype" w:eastAsia="Palatino Linotype" w:hAnsi="Palatino Linotype" w:cs="Palatino Linotype"/>
          <w:sz w:val="22"/>
          <w:szCs w:val="22"/>
        </w:rPr>
        <w:t xml:space="preserve">El </w:t>
      </w:r>
      <w:r w:rsidR="00081FB9" w:rsidRPr="003F52B3">
        <w:rPr>
          <w:rFonts w:ascii="Palatino Linotype" w:eastAsia="Palatino Linotype" w:hAnsi="Palatino Linotype" w:cs="Palatino Linotype"/>
          <w:b/>
          <w:sz w:val="22"/>
          <w:szCs w:val="22"/>
        </w:rPr>
        <w:t>nueve</w:t>
      </w:r>
      <w:r w:rsidRPr="003F52B3">
        <w:rPr>
          <w:rFonts w:ascii="Palatino Linotype" w:eastAsia="Palatino Linotype" w:hAnsi="Palatino Linotype" w:cs="Palatino Linotype"/>
          <w:b/>
          <w:sz w:val="22"/>
          <w:szCs w:val="22"/>
        </w:rPr>
        <w:t xml:space="preserve"> de octubre de dos mil veinticuatro</w:t>
      </w:r>
      <w:r w:rsidRPr="003F52B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5EC1D76" w14:textId="77777777" w:rsidR="007A0E0A" w:rsidRPr="003F52B3" w:rsidRDefault="007A0E0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E32F335"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3A93310"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7D18BB8F" w14:textId="77777777" w:rsidR="007A0E0A" w:rsidRPr="003F52B3" w:rsidRDefault="00871D72">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3F52B3">
        <w:rPr>
          <w:rFonts w:ascii="Palatino Linotype" w:eastAsia="Palatino Linotype" w:hAnsi="Palatino Linotype" w:cs="Palatino Linotype"/>
          <w:b/>
          <w:sz w:val="22"/>
          <w:szCs w:val="22"/>
        </w:rPr>
        <w:t>C O N S I D E R A N D O:</w:t>
      </w:r>
    </w:p>
    <w:p w14:paraId="38E0597B" w14:textId="77777777" w:rsidR="007A0E0A" w:rsidRPr="003F52B3" w:rsidRDefault="007A0E0A">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1D59954"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lastRenderedPageBreak/>
        <w:t xml:space="preserve">Primero. Competencia. </w:t>
      </w:r>
      <w:r w:rsidRPr="003F52B3">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A67F698" w14:textId="77777777" w:rsidR="007A0E0A" w:rsidRPr="003F52B3" w:rsidRDefault="007A0E0A">
      <w:pPr>
        <w:spacing w:line="360" w:lineRule="auto"/>
        <w:jc w:val="both"/>
        <w:rPr>
          <w:rFonts w:ascii="Palatino Linotype" w:eastAsia="Palatino Linotype" w:hAnsi="Palatino Linotype" w:cs="Palatino Linotype"/>
          <w:b/>
          <w:sz w:val="22"/>
          <w:szCs w:val="22"/>
        </w:rPr>
      </w:pPr>
    </w:p>
    <w:p w14:paraId="116BFF36"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Segundo. Oportunidad y Procedibilidad del Recurso de Revisión</w:t>
      </w:r>
      <w:r w:rsidRPr="003F52B3">
        <w:rPr>
          <w:rFonts w:ascii="Palatino Linotype" w:eastAsia="Palatino Linotype" w:hAnsi="Palatino Linotype" w:cs="Palatino Linotype"/>
          <w:sz w:val="22"/>
          <w:szCs w:val="22"/>
        </w:rPr>
        <w:t>. Es de precisar que la</w:t>
      </w:r>
      <w:r w:rsidRPr="003F52B3">
        <w:rPr>
          <w:rFonts w:ascii="Palatino Linotype" w:eastAsia="Palatino Linotype" w:hAnsi="Palatino Linotype" w:cs="Palatino Linotype"/>
          <w:b/>
          <w:sz w:val="22"/>
          <w:szCs w:val="22"/>
        </w:rPr>
        <w:t xml:space="preserve"> </w:t>
      </w:r>
      <w:r w:rsidRPr="003F52B3">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772A73DC"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2ABB66F"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 xml:space="preserve">Artículo 163. </w:t>
      </w:r>
      <w:r w:rsidRPr="003F52B3">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00828F61"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2BC3218E"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166.</w:t>
      </w:r>
      <w:r w:rsidRPr="003F52B3">
        <w:rPr>
          <w:rFonts w:ascii="Palatino Linotype" w:eastAsia="Palatino Linotype" w:hAnsi="Palatino Linotype" w:cs="Palatino Linotype"/>
          <w:i/>
          <w:sz w:val="22"/>
          <w:szCs w:val="22"/>
        </w:rPr>
        <w:t xml:space="preserve"> […]</w:t>
      </w:r>
    </w:p>
    <w:p w14:paraId="77EB0998"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0EDBFCBA"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w:t>
      </w:r>
      <w:r w:rsidRPr="003F52B3">
        <w:rPr>
          <w:rFonts w:ascii="Palatino Linotype" w:eastAsia="Palatino Linotype" w:hAnsi="Palatino Linotype" w:cs="Palatino Linotype"/>
          <w:sz w:val="22"/>
          <w:szCs w:val="22"/>
        </w:rPr>
        <w:lastRenderedPageBreak/>
        <w:t>Obligados entreguen la respuesta a la solicitud de información, ésta se considera negada; por lo que al solicitante le asiste el derecho para presentar el recurso de revisión.</w:t>
      </w:r>
    </w:p>
    <w:p w14:paraId="287B280A"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17BBD184" w14:textId="77777777" w:rsidR="007A0E0A" w:rsidRPr="003F52B3" w:rsidRDefault="00871D72">
      <w:pPr>
        <w:spacing w:before="240" w:after="240" w:line="360" w:lineRule="auto"/>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sz w:val="22"/>
          <w:szCs w:val="22"/>
        </w:rPr>
        <w:t>Por su parte, el artículo 178 del citado ordenamiento, establece:</w:t>
      </w:r>
    </w:p>
    <w:p w14:paraId="1B616C2E" w14:textId="77777777" w:rsidR="007A0E0A" w:rsidRPr="003F52B3" w:rsidRDefault="00871D72">
      <w:pPr>
        <w:spacing w:before="120" w:after="120"/>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 xml:space="preserve">Artículo 178. </w:t>
      </w:r>
      <w:r w:rsidRPr="003F52B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37FCF2C" w14:textId="77777777" w:rsidR="007A0E0A" w:rsidRPr="003F52B3" w:rsidRDefault="00871D72">
      <w:pPr>
        <w:spacing w:before="120" w:after="120"/>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93B6FC6"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3F52B3">
        <w:rPr>
          <w:rFonts w:ascii="Palatino Linotype" w:eastAsia="Palatino Linotype" w:hAnsi="Palatino Linotype" w:cs="Palatino Linotype"/>
          <w:b/>
          <w:sz w:val="22"/>
          <w:szCs w:val="22"/>
        </w:rPr>
        <w:t xml:space="preserve">Sujeto Obligado </w:t>
      </w:r>
      <w:r w:rsidRPr="003F52B3">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583BDFE3"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3F52B3">
        <w:rPr>
          <w:rFonts w:ascii="Palatino Linotype" w:eastAsia="Palatino Linotype" w:hAnsi="Palatino Linotype" w:cs="Palatino Linotype"/>
          <w:b/>
          <w:sz w:val="22"/>
          <w:szCs w:val="22"/>
        </w:rPr>
        <w:t xml:space="preserve">Sujeto Obligado </w:t>
      </w:r>
      <w:r w:rsidRPr="003F52B3">
        <w:rPr>
          <w:rFonts w:ascii="Palatino Linotype" w:eastAsia="Palatino Linotype" w:hAnsi="Palatino Linotype" w:cs="Palatino Linotype"/>
          <w:sz w:val="22"/>
          <w:szCs w:val="22"/>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w:t>
      </w:r>
      <w:r w:rsidRPr="003F52B3">
        <w:rPr>
          <w:rFonts w:ascii="Palatino Linotype" w:eastAsia="Palatino Linotype" w:hAnsi="Palatino Linotype" w:cs="Palatino Linotype"/>
          <w:sz w:val="22"/>
          <w:szCs w:val="22"/>
        </w:rPr>
        <w:lastRenderedPageBreak/>
        <w:t>particular, tiene siempre una vía de defensa en contra de los actos autoritarios que le perjudican.</w:t>
      </w:r>
    </w:p>
    <w:p w14:paraId="0C08E2F5"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3F52B3">
        <w:rPr>
          <w:rFonts w:ascii="Palatino Linotype" w:eastAsia="Palatino Linotype" w:hAnsi="Palatino Linotype" w:cs="Palatino Linotype"/>
          <w:sz w:val="22"/>
          <w:szCs w:val="22"/>
        </w:rPr>
        <w:t>desechamiento</w:t>
      </w:r>
      <w:proofErr w:type="spellEnd"/>
      <w:r w:rsidRPr="003F52B3">
        <w:rPr>
          <w:rFonts w:ascii="Palatino Linotype" w:eastAsia="Palatino Linotype" w:hAnsi="Palatino Linotype" w:cs="Palatino Linotype"/>
          <w:sz w:val="22"/>
          <w:szCs w:val="22"/>
        </w:rPr>
        <w:t xml:space="preserve"> del mismo.</w:t>
      </w:r>
    </w:p>
    <w:p w14:paraId="4BF77C2A" w14:textId="77777777" w:rsidR="007A0E0A" w:rsidRPr="003F52B3" w:rsidRDefault="00871D72">
      <w:pPr>
        <w:spacing w:before="240" w:after="240" w:line="360" w:lineRule="auto"/>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sz w:val="22"/>
          <w:szCs w:val="22"/>
        </w:rPr>
        <w:t xml:space="preserve">Por lo tanto, con la finalidad de no reducir ni limitar el derecho de acceso a la información y concederle una protección más eficaz al solicitante para impugnar el silencio del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06322B5"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“CRITERIO 0001-15. NEGATIVA FICTA. PLAZO PARA INTERPONER EL RECURSO DE REVISIÓN TRATÁNDOSE DE</w:t>
      </w:r>
      <w:r w:rsidRPr="003F52B3">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w:t>
      </w:r>
      <w:r w:rsidRPr="003F52B3">
        <w:rPr>
          <w:rFonts w:ascii="Palatino Linotype" w:eastAsia="Palatino Linotype" w:hAnsi="Palatino Linotype" w:cs="Palatino Linotype"/>
          <w:i/>
          <w:sz w:val="22"/>
          <w:szCs w:val="22"/>
        </w:rPr>
        <w:lastRenderedPageBreak/>
        <w:t xml:space="preserve">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26377696"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38CD23A5"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 efecto de sustentar lo anterior, es de suma importancia mencionar que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no señaló nombre o seudónimo con el cual desea ser identificado, como se advierte en el detalle de seguimiento del SAIMEX,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0DD51E6" w14:textId="77777777" w:rsidR="007A0E0A" w:rsidRPr="003F52B3" w:rsidRDefault="00871D72">
      <w:pPr>
        <w:spacing w:before="120" w:after="120"/>
        <w:ind w:left="851" w:right="902"/>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59BC00B"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xml:space="preserve">, por lo que, en el presente caso, al haber sido presentado el recurso de revisión vía </w:t>
      </w:r>
      <w:r w:rsidRPr="003F52B3">
        <w:rPr>
          <w:rFonts w:ascii="Palatino Linotype" w:eastAsia="Palatino Linotype" w:hAnsi="Palatino Linotype" w:cs="Palatino Linotype"/>
          <w:b/>
          <w:sz w:val="22"/>
          <w:szCs w:val="22"/>
        </w:rPr>
        <w:t>SAIMEX</w:t>
      </w:r>
      <w:r w:rsidRPr="003F52B3">
        <w:rPr>
          <w:rFonts w:ascii="Palatino Linotype" w:eastAsia="Palatino Linotype" w:hAnsi="Palatino Linotype" w:cs="Palatino Linotype"/>
          <w:sz w:val="22"/>
          <w:szCs w:val="22"/>
        </w:rPr>
        <w:t>, dicho requisito resulta innecesario.</w:t>
      </w:r>
    </w:p>
    <w:p w14:paraId="33233785"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lastRenderedPageBreak/>
        <w:t>Finalmente, 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14:paraId="6915B4C4"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 xml:space="preserve">Artículo 179. </w:t>
      </w:r>
      <w:r w:rsidRPr="003F52B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0C4C00A" w14:textId="77777777" w:rsidR="007A0E0A" w:rsidRPr="003F52B3" w:rsidRDefault="00871D72">
      <w:pPr>
        <w:ind w:left="1134"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1707E447" w14:textId="77777777" w:rsidR="007A0E0A" w:rsidRPr="003F52B3" w:rsidRDefault="00871D72">
      <w:pPr>
        <w:ind w:left="1134"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 xml:space="preserve">VII. </w:t>
      </w:r>
      <w:r w:rsidRPr="003F52B3">
        <w:rPr>
          <w:rFonts w:ascii="Palatino Linotype" w:eastAsia="Palatino Linotype" w:hAnsi="Palatino Linotype" w:cs="Palatino Linotype"/>
          <w:i/>
          <w:sz w:val="22"/>
          <w:szCs w:val="22"/>
        </w:rPr>
        <w:t>La falta de respuesta a una solicitud de acceso a la información;”</w:t>
      </w:r>
    </w:p>
    <w:p w14:paraId="24CD2474" w14:textId="77777777" w:rsidR="007A0E0A" w:rsidRPr="003F52B3" w:rsidRDefault="00871D72">
      <w:pPr>
        <w:spacing w:before="240" w:after="240" w:line="360" w:lineRule="auto"/>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3F52B3">
        <w:rPr>
          <w:rFonts w:ascii="Palatino Linotype" w:eastAsia="Palatino Linotype" w:hAnsi="Palatino Linotype" w:cs="Palatino Linotype"/>
          <w:b/>
          <w:sz w:val="22"/>
          <w:szCs w:val="22"/>
        </w:rPr>
        <w:t xml:space="preserve">Recurrente </w:t>
      </w:r>
      <w:r w:rsidRPr="003F52B3">
        <w:rPr>
          <w:rFonts w:ascii="Palatino Linotype" w:eastAsia="Palatino Linotype" w:hAnsi="Palatino Linotype" w:cs="Palatino Linotype"/>
          <w:sz w:val="22"/>
          <w:szCs w:val="22"/>
        </w:rPr>
        <w:t xml:space="preserve">estime negado el acceso a la información por la falta de respuesta por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en este asunto se actualiza la hipótesis jurídica citada, en atención a que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xml:space="preserve"> combate falta de trámite por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y expresa motivos de inconformidad en contra de dicha circunstancia.</w:t>
      </w:r>
    </w:p>
    <w:p w14:paraId="6CFC3F02"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Tercero. Materia de Revisión</w:t>
      </w:r>
      <w:r w:rsidRPr="003F52B3">
        <w:rPr>
          <w:rFonts w:ascii="Palatino Linotype" w:eastAsia="Palatino Linotype" w:hAnsi="Palatino Linotype" w:cs="Palatino Linotype"/>
          <w:sz w:val="22"/>
          <w:szCs w:val="22"/>
        </w:rPr>
        <w:t xml:space="preserve">: Este Organismo Garante procede del análisis de los agravios hechos valer por la parte Recurrente, a fin de determinar si se violenta en perjuicio de este, el derecho de acceso a la información previsto en la Constitución Política de los Estados Unidos Mexicanos y en la Constitución Política del Estado Libre y Soberano de México. </w:t>
      </w:r>
    </w:p>
    <w:p w14:paraId="240A0F26"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0F3F7C0"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 xml:space="preserve">Cuarto. Estudio de fondo del asunto. </w:t>
      </w:r>
      <w:r w:rsidRPr="003F52B3">
        <w:rPr>
          <w:rFonts w:ascii="Palatino Linotype" w:eastAsia="Palatino Linotype" w:hAnsi="Palatino Linotype" w:cs="Palatino Linotype"/>
          <w:sz w:val="22"/>
          <w:szCs w:val="22"/>
        </w:rPr>
        <w:t>Es conveniente analizar si la respuesta del Sujeto Obligado</w:t>
      </w:r>
      <w:r w:rsidRPr="003F52B3">
        <w:rPr>
          <w:rFonts w:ascii="Palatino Linotype" w:eastAsia="Palatino Linotype" w:hAnsi="Palatino Linotype" w:cs="Palatino Linotype"/>
          <w:b/>
          <w:sz w:val="22"/>
          <w:szCs w:val="22"/>
        </w:rPr>
        <w:t xml:space="preserve"> </w:t>
      </w:r>
      <w:r w:rsidRPr="003F52B3">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745D84"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7D343F7B" w14:textId="77777777" w:rsidR="007A0E0A" w:rsidRPr="003F52B3" w:rsidRDefault="00871D72">
      <w:pPr>
        <w:tabs>
          <w:tab w:val="left" w:pos="851"/>
        </w:tabs>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Artículo 4</w:t>
      </w:r>
      <w:r w:rsidRPr="003F52B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8744A2B" w14:textId="77777777" w:rsidR="007A0E0A" w:rsidRPr="003F52B3" w:rsidRDefault="00871D72">
      <w:pPr>
        <w:tabs>
          <w:tab w:val="left" w:pos="851"/>
        </w:tabs>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F52B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4E3076" w14:textId="77777777" w:rsidR="007A0E0A" w:rsidRPr="003F52B3" w:rsidRDefault="00871D72">
      <w:pPr>
        <w:tabs>
          <w:tab w:val="left" w:pos="851"/>
        </w:tabs>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F52B3">
        <w:rPr>
          <w:rFonts w:ascii="Palatino Linotype" w:eastAsia="Palatino Linotype" w:hAnsi="Palatino Linotype" w:cs="Palatino Linotype"/>
          <w:i/>
          <w:sz w:val="22"/>
          <w:szCs w:val="22"/>
        </w:rPr>
        <w:t>.”(</w:t>
      </w:r>
      <w:proofErr w:type="gramEnd"/>
      <w:r w:rsidRPr="003F52B3">
        <w:rPr>
          <w:rFonts w:ascii="Palatino Linotype" w:eastAsia="Palatino Linotype" w:hAnsi="Palatino Linotype" w:cs="Palatino Linotype"/>
          <w:i/>
          <w:sz w:val="22"/>
          <w:szCs w:val="22"/>
        </w:rPr>
        <w:t>Sic)</w:t>
      </w:r>
    </w:p>
    <w:p w14:paraId="52A5D45D"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ED0E827"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F66E566" w14:textId="77777777" w:rsidR="007A0E0A" w:rsidRPr="003F52B3" w:rsidRDefault="007A0E0A">
      <w:pPr>
        <w:spacing w:line="276" w:lineRule="auto"/>
        <w:ind w:left="567" w:right="616"/>
        <w:jc w:val="both"/>
        <w:rPr>
          <w:rFonts w:ascii="Palatino Linotype" w:eastAsia="Palatino Linotype" w:hAnsi="Palatino Linotype" w:cs="Palatino Linotype"/>
          <w:sz w:val="22"/>
          <w:szCs w:val="22"/>
        </w:rPr>
      </w:pPr>
    </w:p>
    <w:p w14:paraId="597B73F6"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Artículo 12.-</w:t>
      </w:r>
      <w:r w:rsidRPr="003F52B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01C9296" w14:textId="77777777" w:rsidR="007A0E0A" w:rsidRPr="003F52B3" w:rsidRDefault="007A0E0A">
      <w:pPr>
        <w:spacing w:line="276" w:lineRule="auto"/>
        <w:ind w:left="851" w:right="616"/>
        <w:jc w:val="both"/>
        <w:rPr>
          <w:rFonts w:ascii="Palatino Linotype" w:eastAsia="Palatino Linotype" w:hAnsi="Palatino Linotype" w:cs="Palatino Linotype"/>
          <w:i/>
          <w:sz w:val="22"/>
          <w:szCs w:val="22"/>
        </w:rPr>
      </w:pPr>
    </w:p>
    <w:p w14:paraId="133065C1"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b/>
          <w:i/>
          <w:sz w:val="22"/>
          <w:szCs w:val="22"/>
        </w:rPr>
        <w:lastRenderedPageBreak/>
        <w:t>La obligación de proporcionar información no comprende el procesamiento de la misma, ni el presentarla conforme al interés del solicitante; no estarán obligados a generarla, resumirla, efectuar cálculos o practicar investigaciones</w:t>
      </w:r>
      <w:r w:rsidRPr="003F52B3">
        <w:rPr>
          <w:rFonts w:ascii="Palatino Linotype" w:eastAsia="Palatino Linotype" w:hAnsi="Palatino Linotype" w:cs="Palatino Linotype"/>
          <w:i/>
          <w:sz w:val="22"/>
          <w:szCs w:val="22"/>
        </w:rPr>
        <w:t xml:space="preserve">.” </w:t>
      </w:r>
    </w:p>
    <w:p w14:paraId="42BC47E6" w14:textId="77777777" w:rsidR="007A0E0A" w:rsidRPr="003F52B3" w:rsidRDefault="007A0E0A">
      <w:pPr>
        <w:spacing w:line="360" w:lineRule="auto"/>
        <w:ind w:right="-93"/>
        <w:jc w:val="both"/>
        <w:rPr>
          <w:rFonts w:ascii="Palatino Linotype" w:eastAsia="Palatino Linotype" w:hAnsi="Palatino Linotype" w:cs="Palatino Linotype"/>
          <w:sz w:val="22"/>
          <w:szCs w:val="22"/>
        </w:rPr>
      </w:pPr>
    </w:p>
    <w:p w14:paraId="4C1F1187" w14:textId="77777777" w:rsidR="007A0E0A" w:rsidRPr="003F52B3" w:rsidRDefault="00871D72">
      <w:pPr>
        <w:spacing w:line="360" w:lineRule="auto"/>
        <w:ind w:right="-93"/>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EF0531D" w14:textId="77777777" w:rsidR="007A0E0A" w:rsidRPr="003F52B3" w:rsidRDefault="007A0E0A">
      <w:pPr>
        <w:spacing w:line="360" w:lineRule="auto"/>
        <w:ind w:right="-93"/>
        <w:jc w:val="both"/>
        <w:rPr>
          <w:rFonts w:ascii="Palatino Linotype" w:eastAsia="Palatino Linotype" w:hAnsi="Palatino Linotype" w:cs="Palatino Linotype"/>
          <w:sz w:val="22"/>
          <w:szCs w:val="22"/>
        </w:rPr>
      </w:pPr>
    </w:p>
    <w:p w14:paraId="44B16F07" w14:textId="77777777" w:rsidR="007A0E0A" w:rsidRPr="003F52B3" w:rsidRDefault="00871D72">
      <w:pPr>
        <w:spacing w:line="360" w:lineRule="auto"/>
        <w:jc w:val="both"/>
        <w:rPr>
          <w:rFonts w:ascii="Palatino Linotype" w:eastAsia="Palatino Linotype" w:hAnsi="Palatino Linotype" w:cs="Palatino Linotype"/>
          <w:b/>
          <w:sz w:val="22"/>
          <w:szCs w:val="22"/>
        </w:rPr>
      </w:pPr>
      <w:r w:rsidRPr="003F52B3">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3F52B3">
        <w:rPr>
          <w:rFonts w:ascii="Palatino Linotype" w:eastAsia="Palatino Linotype" w:hAnsi="Palatino Linotype" w:cs="Palatino Linotype"/>
          <w:b/>
          <w:sz w:val="22"/>
          <w:szCs w:val="22"/>
        </w:rPr>
        <w:t xml:space="preserve"> </w:t>
      </w:r>
    </w:p>
    <w:p w14:paraId="65FD442B" w14:textId="77777777" w:rsidR="007A0E0A" w:rsidRPr="003F52B3" w:rsidRDefault="007A0E0A">
      <w:pPr>
        <w:spacing w:line="276" w:lineRule="auto"/>
        <w:ind w:left="851" w:right="850"/>
        <w:jc w:val="both"/>
        <w:rPr>
          <w:rFonts w:ascii="Palatino Linotype" w:eastAsia="Palatino Linotype" w:hAnsi="Palatino Linotype" w:cs="Palatino Linotype"/>
          <w:sz w:val="22"/>
          <w:szCs w:val="22"/>
        </w:rPr>
      </w:pPr>
    </w:p>
    <w:p w14:paraId="402D23A7"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No existe obligación de elaborar documentos ad hoc para atender las solicitudes de acceso a la información.</w:t>
      </w:r>
      <w:r w:rsidRPr="003F52B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EBD8514" w14:textId="77777777" w:rsidR="007A0E0A" w:rsidRPr="003F52B3" w:rsidRDefault="007A0E0A">
      <w:pPr>
        <w:spacing w:line="276" w:lineRule="auto"/>
        <w:ind w:left="851" w:right="616"/>
        <w:jc w:val="both"/>
        <w:rPr>
          <w:rFonts w:ascii="Palatino Linotype" w:eastAsia="Palatino Linotype" w:hAnsi="Palatino Linotype" w:cs="Palatino Linotype"/>
          <w:i/>
          <w:sz w:val="22"/>
          <w:szCs w:val="22"/>
        </w:rPr>
      </w:pPr>
    </w:p>
    <w:p w14:paraId="67A707B6"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w:t>
      </w:r>
      <w:r w:rsidRPr="003F52B3">
        <w:rPr>
          <w:rFonts w:ascii="Palatino Linotype" w:eastAsia="Palatino Linotype" w:hAnsi="Palatino Linotype" w:cs="Palatino Linotype"/>
          <w:sz w:val="22"/>
          <w:szCs w:val="22"/>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0DDFBAD8"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5B0FAF42"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C35910"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783C655E"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 xml:space="preserve">Artículo 3. </w:t>
      </w:r>
      <w:r w:rsidRPr="003F52B3">
        <w:rPr>
          <w:rFonts w:ascii="Palatino Linotype" w:eastAsia="Palatino Linotype" w:hAnsi="Palatino Linotype" w:cs="Palatino Linotype"/>
          <w:i/>
          <w:sz w:val="22"/>
          <w:szCs w:val="22"/>
        </w:rPr>
        <w:t>Para los efectos de la presente Ley se entenderá por:</w:t>
      </w:r>
    </w:p>
    <w:p w14:paraId="4009CDF2"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532E8E10"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XI. Documento:</w:t>
      </w:r>
      <w:r w:rsidRPr="003F52B3">
        <w:rPr>
          <w:rFonts w:ascii="Palatino Linotype" w:eastAsia="Palatino Linotype" w:hAnsi="Palatino Linotype" w:cs="Palatino Linotype"/>
          <w:i/>
          <w:sz w:val="22"/>
          <w:szCs w:val="22"/>
        </w:rPr>
        <w:t xml:space="preserve"> Los expedientes, reportes, estudios, actas</w:t>
      </w:r>
      <w:r w:rsidRPr="003F52B3">
        <w:rPr>
          <w:rFonts w:ascii="Palatino Linotype" w:eastAsia="Palatino Linotype" w:hAnsi="Palatino Linotype" w:cs="Palatino Linotype"/>
          <w:b/>
          <w:i/>
          <w:sz w:val="22"/>
          <w:szCs w:val="22"/>
        </w:rPr>
        <w:t>,</w:t>
      </w:r>
      <w:r w:rsidRPr="003F52B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C0CCACA" w14:textId="77777777" w:rsidR="007A0E0A" w:rsidRPr="003F52B3" w:rsidRDefault="007A0E0A">
      <w:pPr>
        <w:spacing w:line="360" w:lineRule="auto"/>
        <w:ind w:left="851" w:right="899"/>
        <w:jc w:val="both"/>
        <w:rPr>
          <w:rFonts w:ascii="Palatino Linotype" w:eastAsia="Palatino Linotype" w:hAnsi="Palatino Linotype" w:cs="Palatino Linotype"/>
          <w:sz w:val="22"/>
          <w:szCs w:val="22"/>
        </w:rPr>
      </w:pPr>
    </w:p>
    <w:p w14:paraId="51CC6C17"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A5B9DDA" w14:textId="77777777" w:rsidR="007A0E0A" w:rsidRPr="003F52B3" w:rsidRDefault="007A0E0A">
      <w:pPr>
        <w:spacing w:line="360" w:lineRule="auto"/>
        <w:ind w:left="851" w:right="899"/>
        <w:jc w:val="both"/>
        <w:rPr>
          <w:rFonts w:ascii="Palatino Linotype" w:eastAsia="Palatino Linotype" w:hAnsi="Palatino Linotype" w:cs="Palatino Linotype"/>
          <w:sz w:val="22"/>
          <w:szCs w:val="22"/>
        </w:rPr>
      </w:pPr>
    </w:p>
    <w:p w14:paraId="17C37277" w14:textId="77777777" w:rsidR="007A0E0A" w:rsidRPr="003F52B3" w:rsidRDefault="00871D72">
      <w:pPr>
        <w:spacing w:line="276" w:lineRule="auto"/>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sz w:val="22"/>
          <w:szCs w:val="22"/>
        </w:rPr>
        <w:t>“</w:t>
      </w:r>
      <w:r w:rsidRPr="003F52B3">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F52B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0AF089"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En </w:t>
      </w:r>
      <w:proofErr w:type="gramStart"/>
      <w:r w:rsidRPr="003F52B3">
        <w:rPr>
          <w:rFonts w:ascii="Palatino Linotype" w:eastAsia="Palatino Linotype" w:hAnsi="Palatino Linotype" w:cs="Palatino Linotype"/>
          <w:i/>
          <w:sz w:val="22"/>
          <w:szCs w:val="22"/>
        </w:rPr>
        <w:t>consecuencia</w:t>
      </w:r>
      <w:proofErr w:type="gramEnd"/>
      <w:r w:rsidRPr="003F52B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EBA7F2C"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F52B3">
        <w:rPr>
          <w:rFonts w:ascii="Palatino Linotype" w:eastAsia="Palatino Linotype" w:hAnsi="Palatino Linotype" w:cs="Palatino Linotype"/>
          <w:i/>
          <w:sz w:val="22"/>
          <w:szCs w:val="22"/>
        </w:rPr>
        <w:t>que</w:t>
      </w:r>
      <w:proofErr w:type="gramEnd"/>
      <w:r w:rsidRPr="003F52B3">
        <w:rPr>
          <w:rFonts w:ascii="Palatino Linotype" w:eastAsia="Palatino Linotype" w:hAnsi="Palatino Linotype" w:cs="Palatino Linotype"/>
          <w:i/>
          <w:sz w:val="22"/>
          <w:szCs w:val="22"/>
        </w:rPr>
        <w:t xml:space="preserve"> en ejercicio de las atribuciones conferidas, sea generada por los Sujetos Obligados;</w:t>
      </w:r>
    </w:p>
    <w:p w14:paraId="53ADBF28" w14:textId="77777777" w:rsidR="007A0E0A" w:rsidRPr="003F52B3" w:rsidRDefault="00871D72">
      <w:pPr>
        <w:spacing w:line="276" w:lineRule="auto"/>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3F52B3">
        <w:rPr>
          <w:rFonts w:ascii="Palatino Linotype" w:eastAsia="Palatino Linotype" w:hAnsi="Palatino Linotype" w:cs="Palatino Linotype"/>
          <w:b/>
          <w:i/>
          <w:sz w:val="22"/>
          <w:szCs w:val="22"/>
        </w:rPr>
        <w:t>que</w:t>
      </w:r>
      <w:proofErr w:type="gramEnd"/>
      <w:r w:rsidRPr="003F52B3">
        <w:rPr>
          <w:rFonts w:ascii="Palatino Linotype" w:eastAsia="Palatino Linotype" w:hAnsi="Palatino Linotype" w:cs="Palatino Linotype"/>
          <w:b/>
          <w:i/>
          <w:sz w:val="22"/>
          <w:szCs w:val="22"/>
        </w:rPr>
        <w:t xml:space="preserve"> en ejercicio de las atribuciones conferidas, sea administrada por los Sujetos Obligados, y</w:t>
      </w:r>
    </w:p>
    <w:p w14:paraId="4B8B4B41" w14:textId="77777777" w:rsidR="007A0E0A" w:rsidRPr="003F52B3" w:rsidRDefault="00871D72">
      <w:pPr>
        <w:spacing w:line="276" w:lineRule="auto"/>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3F52B3">
        <w:rPr>
          <w:rFonts w:ascii="Palatino Linotype" w:eastAsia="Palatino Linotype" w:hAnsi="Palatino Linotype" w:cs="Palatino Linotype"/>
          <w:b/>
          <w:i/>
          <w:sz w:val="22"/>
          <w:szCs w:val="22"/>
        </w:rPr>
        <w:t>que</w:t>
      </w:r>
      <w:proofErr w:type="gramEnd"/>
      <w:r w:rsidRPr="003F52B3">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9D2E1C4"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6A2BFE48"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4C70771"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52755A7C"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B1D181E" w14:textId="77777777" w:rsidR="007A0E0A" w:rsidRPr="003F52B3" w:rsidRDefault="00871D72">
      <w:pPr>
        <w:spacing w:before="240" w:after="240" w:line="360" w:lineRule="auto"/>
        <w:ind w:right="51"/>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xml:space="preserve"> requirió al </w:t>
      </w:r>
      <w:r w:rsidRPr="003F52B3">
        <w:rPr>
          <w:rFonts w:ascii="Palatino Linotype" w:eastAsia="Palatino Linotype" w:hAnsi="Palatino Linotype" w:cs="Palatino Linotype"/>
          <w:b/>
          <w:sz w:val="22"/>
          <w:szCs w:val="22"/>
        </w:rPr>
        <w:t xml:space="preserve">Sujeto Obligado </w:t>
      </w:r>
      <w:r w:rsidRPr="003F52B3">
        <w:rPr>
          <w:rFonts w:ascii="Palatino Linotype" w:eastAsia="Palatino Linotype" w:hAnsi="Palatino Linotype" w:cs="Palatino Linotype"/>
          <w:sz w:val="22"/>
          <w:szCs w:val="22"/>
        </w:rPr>
        <w:t>le proporcione, información consistente en lo siguiente:</w:t>
      </w:r>
    </w:p>
    <w:p w14:paraId="26332545" w14:textId="77777777" w:rsidR="007A0E0A" w:rsidRPr="003F52B3" w:rsidRDefault="00871D72">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sz w:val="22"/>
          <w:szCs w:val="22"/>
        </w:rPr>
        <w:t>Las nóminas del ayuntamiento y sus organismos descentralizados</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b/>
          <w:sz w:val="22"/>
          <w:szCs w:val="22"/>
        </w:rPr>
        <w:t xml:space="preserve">correspondientes al mes de abril, mayo y junio de 2024. </w:t>
      </w:r>
    </w:p>
    <w:p w14:paraId="132990FA"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CAB702E" w14:textId="77777777" w:rsidR="007A0E0A" w:rsidRPr="003F52B3" w:rsidRDefault="00871D7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Por su parte,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omitió dar respuesta al requerimiento del particular.</w:t>
      </w:r>
    </w:p>
    <w:p w14:paraId="17FB78BE"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Inconforme por la falta de respuesta,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xml:space="preserve"> interpuso el recurso de revisión, adoleciéndose de la falta de respuesta a su solicitud de información. </w:t>
      </w:r>
    </w:p>
    <w:p w14:paraId="2553D74F"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Una vez notificado el recurso de revisión al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mediante informe justificado a través de la Tesorera Municipal, informó que la solicitud fue turnada a las áreas competentes, con el propósito de dar una respuesta pronta y favorable, haciendo entrega de la información solicitada para subsanar el daño, de la Nómina correspondiente a los meses </w:t>
      </w:r>
      <w:r w:rsidRPr="003F52B3">
        <w:rPr>
          <w:rFonts w:ascii="Palatino Linotype" w:eastAsia="Palatino Linotype" w:hAnsi="Palatino Linotype" w:cs="Palatino Linotype"/>
          <w:sz w:val="22"/>
          <w:szCs w:val="22"/>
        </w:rPr>
        <w:lastRenderedPageBreak/>
        <w:t>de abril, mayo y junio del personal del Ayuntamiento y del Sistema Municipal para el Desarrollo Integral de la Familia de Tenango del Aire en versión pública.</w:t>
      </w:r>
    </w:p>
    <w:p w14:paraId="1C77B3B7"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73627EE" w14:textId="77777777" w:rsidR="007A0E0A" w:rsidRPr="003F52B3" w:rsidRDefault="00871D72">
      <w:pPr>
        <w:spacing w:after="240" w:line="360" w:lineRule="auto"/>
        <w:ind w:right="-93"/>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virtud de lo anterior, se determina que la respuesta emitida por el </w:t>
      </w:r>
      <w:r w:rsidRPr="003F52B3">
        <w:rPr>
          <w:rFonts w:ascii="Palatino Linotype" w:eastAsia="Palatino Linotype" w:hAnsi="Palatino Linotype" w:cs="Palatino Linotype"/>
          <w:b/>
          <w:sz w:val="22"/>
          <w:szCs w:val="22"/>
        </w:rPr>
        <w:t xml:space="preserve">Sujeto Obligado </w:t>
      </w:r>
      <w:r w:rsidRPr="003F52B3">
        <w:rPr>
          <w:rFonts w:ascii="Palatino Linotype" w:eastAsia="Palatino Linotype" w:hAnsi="Palatino Linotype" w:cs="Palatino Linotype"/>
          <w:sz w:val="22"/>
          <w:szCs w:val="22"/>
        </w:rPr>
        <w:t>a través de su informe justificado, no cumple con lo establecido por los artículos 4, 12, 24 último párrafo y 162 Ley de Transparencia y Acceso a la Información Pública del Estado de México y Municipios, conforme a lo siguiente:</w:t>
      </w:r>
    </w:p>
    <w:p w14:paraId="33A6B4FF"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Expuesto lo anterior, sobre la naturaleza de la información, es conviene señalar que, respecto de la nómina solicitada, nos lleva a precisar que en nuestra legislación del Estado de México no existe como tal una definición de </w:t>
      </w:r>
      <w:r w:rsidRPr="003F52B3">
        <w:rPr>
          <w:rFonts w:ascii="Palatino Linotype" w:eastAsia="Palatino Linotype" w:hAnsi="Palatino Linotype" w:cs="Palatino Linotype"/>
          <w:b/>
          <w:i/>
          <w:sz w:val="22"/>
          <w:szCs w:val="22"/>
        </w:rPr>
        <w:t>“nómina”</w:t>
      </w:r>
      <w:r w:rsidRPr="003F52B3">
        <w:rPr>
          <w:rFonts w:ascii="Palatino Linotype" w:eastAsia="Palatino Linotype" w:hAnsi="Palatino Linotype" w:cs="Palatino Linotype"/>
          <w:sz w:val="22"/>
          <w:szCs w:val="22"/>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1D7A64D1" w14:textId="77777777" w:rsidR="007A0E0A" w:rsidRPr="003F52B3" w:rsidRDefault="007A0E0A">
      <w:pPr>
        <w:tabs>
          <w:tab w:val="left" w:pos="4962"/>
        </w:tabs>
        <w:spacing w:line="360" w:lineRule="auto"/>
        <w:ind w:right="-28"/>
        <w:jc w:val="both"/>
        <w:rPr>
          <w:rFonts w:ascii="Palatino Linotype" w:eastAsia="Palatino Linotype" w:hAnsi="Palatino Linotype" w:cs="Palatino Linotype"/>
          <w:sz w:val="22"/>
          <w:szCs w:val="22"/>
        </w:rPr>
      </w:pPr>
    </w:p>
    <w:p w14:paraId="7B7A7905"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 xml:space="preserve">NÓMINA </w:t>
      </w:r>
      <w:r w:rsidRPr="003F52B3">
        <w:rPr>
          <w:rFonts w:ascii="Palatino Linotype" w:eastAsia="Palatino Linotype" w:hAnsi="Palatino Linotype" w:cs="Palatino Linotype"/>
          <w:i/>
          <w:sz w:val="22"/>
          <w:szCs w:val="22"/>
        </w:rPr>
        <w:t>Listado general de los trabajadores de una institución, en</w:t>
      </w:r>
      <w:r w:rsidRPr="003F52B3">
        <w:rPr>
          <w:rFonts w:ascii="Palatino Linotype" w:eastAsia="Palatino Linotype" w:hAnsi="Palatino Linotype" w:cs="Palatino Linotype"/>
          <w:b/>
          <w:i/>
          <w:sz w:val="22"/>
          <w:szCs w:val="22"/>
        </w:rPr>
        <w:t xml:space="preserve"> </w:t>
      </w:r>
      <w:r w:rsidRPr="003F52B3">
        <w:rPr>
          <w:rFonts w:ascii="Palatino Linotype" w:eastAsia="Palatino Linotype" w:hAnsi="Palatino Linotype" w:cs="Palatino Linotype"/>
          <w:i/>
          <w:sz w:val="22"/>
          <w:szCs w:val="22"/>
        </w:rPr>
        <w:t>el cual se asientan las percepciones brutas, deducciones y</w:t>
      </w:r>
      <w:r w:rsidRPr="003F52B3">
        <w:rPr>
          <w:rFonts w:ascii="Palatino Linotype" w:eastAsia="Palatino Linotype" w:hAnsi="Palatino Linotype" w:cs="Palatino Linotype"/>
          <w:b/>
          <w:i/>
          <w:sz w:val="22"/>
          <w:szCs w:val="22"/>
        </w:rPr>
        <w:t xml:space="preserve"> </w:t>
      </w:r>
      <w:r w:rsidRPr="003F52B3">
        <w:rPr>
          <w:rFonts w:ascii="Palatino Linotype" w:eastAsia="Palatino Linotype" w:hAnsi="Palatino Linotype" w:cs="Palatino Linotype"/>
          <w:i/>
          <w:sz w:val="22"/>
          <w:szCs w:val="22"/>
        </w:rPr>
        <w:t>alcance neto de las mismas; la nómina es utilizada para</w:t>
      </w:r>
      <w:r w:rsidRPr="003F52B3">
        <w:rPr>
          <w:rFonts w:ascii="Palatino Linotype" w:eastAsia="Palatino Linotype" w:hAnsi="Palatino Linotype" w:cs="Palatino Linotype"/>
          <w:b/>
          <w:i/>
          <w:sz w:val="22"/>
          <w:szCs w:val="22"/>
        </w:rPr>
        <w:t xml:space="preserve"> </w:t>
      </w:r>
      <w:r w:rsidRPr="003F52B3">
        <w:rPr>
          <w:rFonts w:ascii="Palatino Linotype" w:eastAsia="Palatino Linotype" w:hAnsi="Palatino Linotype" w:cs="Palatino Linotype"/>
          <w:i/>
          <w:sz w:val="22"/>
          <w:szCs w:val="22"/>
        </w:rPr>
        <w:t>efectuar los pagos periódicos (semanales, quincenales o</w:t>
      </w:r>
      <w:r w:rsidRPr="003F52B3">
        <w:rPr>
          <w:rFonts w:ascii="Palatino Linotype" w:eastAsia="Palatino Linotype" w:hAnsi="Palatino Linotype" w:cs="Palatino Linotype"/>
          <w:b/>
          <w:i/>
          <w:sz w:val="22"/>
          <w:szCs w:val="22"/>
        </w:rPr>
        <w:t xml:space="preserve"> </w:t>
      </w:r>
      <w:r w:rsidRPr="003F52B3">
        <w:rPr>
          <w:rFonts w:ascii="Palatino Linotype" w:eastAsia="Palatino Linotype" w:hAnsi="Palatino Linotype" w:cs="Palatino Linotype"/>
          <w:i/>
          <w:sz w:val="22"/>
          <w:szCs w:val="22"/>
        </w:rPr>
        <w:t>mensuales) a los trabajadores por concepto de sueldos y</w:t>
      </w:r>
      <w:r w:rsidRPr="003F52B3">
        <w:rPr>
          <w:rFonts w:ascii="Palatino Linotype" w:eastAsia="Palatino Linotype" w:hAnsi="Palatino Linotype" w:cs="Palatino Linotype"/>
          <w:b/>
          <w:i/>
          <w:sz w:val="22"/>
          <w:szCs w:val="22"/>
        </w:rPr>
        <w:t xml:space="preserve"> </w:t>
      </w:r>
      <w:r w:rsidRPr="003F52B3">
        <w:rPr>
          <w:rFonts w:ascii="Palatino Linotype" w:eastAsia="Palatino Linotype" w:hAnsi="Palatino Linotype" w:cs="Palatino Linotype"/>
          <w:i/>
          <w:sz w:val="22"/>
          <w:szCs w:val="22"/>
        </w:rPr>
        <w:t>salarios</w:t>
      </w:r>
      <w:proofErr w:type="gramStart"/>
      <w:r w:rsidRPr="003F52B3">
        <w:rPr>
          <w:rFonts w:ascii="Palatino Linotype" w:eastAsia="Palatino Linotype" w:hAnsi="Palatino Linotype" w:cs="Palatino Linotype"/>
          <w:i/>
          <w:sz w:val="22"/>
          <w:szCs w:val="22"/>
        </w:rPr>
        <w:t>.”(</w:t>
      </w:r>
      <w:proofErr w:type="gramEnd"/>
      <w:r w:rsidRPr="003F52B3">
        <w:rPr>
          <w:rFonts w:ascii="Palatino Linotype" w:eastAsia="Palatino Linotype" w:hAnsi="Palatino Linotype" w:cs="Palatino Linotype"/>
          <w:i/>
          <w:sz w:val="22"/>
          <w:szCs w:val="22"/>
        </w:rPr>
        <w:t>Sic)</w:t>
      </w:r>
    </w:p>
    <w:p w14:paraId="24819F84" w14:textId="77777777" w:rsidR="007A0E0A" w:rsidRPr="003F52B3" w:rsidRDefault="007A0E0A">
      <w:pPr>
        <w:spacing w:line="360" w:lineRule="auto"/>
        <w:ind w:right="-93"/>
        <w:jc w:val="both"/>
        <w:rPr>
          <w:rFonts w:ascii="Palatino Linotype" w:eastAsia="Palatino Linotype" w:hAnsi="Palatino Linotype" w:cs="Palatino Linotype"/>
          <w:sz w:val="22"/>
          <w:szCs w:val="22"/>
        </w:rPr>
      </w:pPr>
    </w:p>
    <w:p w14:paraId="1BD1579B" w14:textId="77777777" w:rsidR="007A0E0A" w:rsidRPr="003F52B3" w:rsidRDefault="00871D72">
      <w:pPr>
        <w:spacing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De lo precedente, se concluye que la nómina, </w:t>
      </w:r>
      <w:r w:rsidRPr="003F52B3">
        <w:rPr>
          <w:rFonts w:ascii="Palatino Linotype" w:eastAsia="Palatino Linotype" w:hAnsi="Palatino Linotype" w:cs="Palatino Linotype"/>
          <w:sz w:val="22"/>
          <w:szCs w:val="22"/>
          <w:u w:val="single"/>
        </w:rPr>
        <w:t>es el registro utilizado para efectuar los pagos a los trabajadores por concepto de sueldos y salarios</w:t>
      </w:r>
      <w:r w:rsidRPr="003F52B3">
        <w:rPr>
          <w:rFonts w:ascii="Palatino Linotype" w:eastAsia="Palatino Linotype" w:hAnsi="Palatino Linotype" w:cs="Palatino Linotype"/>
          <w:sz w:val="22"/>
          <w:szCs w:val="22"/>
        </w:rPr>
        <w:t xml:space="preserve">, el cual se compone por el conjunto de </w:t>
      </w:r>
      <w:r w:rsidRPr="003F52B3">
        <w:rPr>
          <w:rFonts w:ascii="Palatino Linotype" w:eastAsia="Palatino Linotype" w:hAnsi="Palatino Linotype" w:cs="Palatino Linotype"/>
          <w:sz w:val="22"/>
          <w:szCs w:val="22"/>
        </w:rPr>
        <w:lastRenderedPageBreak/>
        <w:t xml:space="preserve">trabajadores en el que </w:t>
      </w:r>
      <w:r w:rsidRPr="003F52B3">
        <w:rPr>
          <w:rFonts w:ascii="Palatino Linotype" w:eastAsia="Palatino Linotype" w:hAnsi="Palatino Linotype" w:cs="Palatino Linotype"/>
          <w:b/>
          <w:sz w:val="22"/>
          <w:szCs w:val="22"/>
        </w:rPr>
        <w:t>se asientan las percepciones brutas, deducciones y la cantidad neta a pagar</w:t>
      </w:r>
      <w:r w:rsidRPr="003F52B3">
        <w:rPr>
          <w:rFonts w:ascii="Palatino Linotype" w:eastAsia="Palatino Linotype" w:hAnsi="Palatino Linotype" w:cs="Palatino Linotype"/>
          <w:sz w:val="22"/>
          <w:szCs w:val="22"/>
        </w:rPr>
        <w:t>.</w:t>
      </w:r>
    </w:p>
    <w:p w14:paraId="491AA82E" w14:textId="77777777" w:rsidR="007A0E0A" w:rsidRPr="003F52B3" w:rsidRDefault="00871D72">
      <w:pPr>
        <w:spacing w:before="240" w:after="240"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En ese contexto, tratándose de servidores públicos de los Municipios la Ley del Trabajo de los Servidores Públicos del Estado y Municipios, en su artículo 220-K, establece lo siguiente:</w:t>
      </w:r>
    </w:p>
    <w:p w14:paraId="1EB2C282" w14:textId="77777777" w:rsidR="007A0E0A" w:rsidRPr="003F52B3" w:rsidRDefault="00871D72">
      <w:pPr>
        <w:tabs>
          <w:tab w:val="left" w:pos="9072"/>
        </w:tabs>
        <w:spacing w:before="240"/>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220 K.-</w:t>
      </w:r>
      <w:r w:rsidRPr="003F52B3">
        <w:rPr>
          <w:rFonts w:ascii="Palatino Linotype" w:eastAsia="Palatino Linotype" w:hAnsi="Palatino Linotype" w:cs="Palatino Linotype"/>
          <w:i/>
          <w:sz w:val="22"/>
          <w:szCs w:val="22"/>
        </w:rPr>
        <w:t xml:space="preserve"> La </w:t>
      </w:r>
      <w:r w:rsidRPr="003F52B3">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b/>
          <w:i/>
          <w:sz w:val="22"/>
          <w:szCs w:val="22"/>
        </w:rPr>
        <w:t>se precisan</w:t>
      </w:r>
      <w:r w:rsidRPr="003F52B3">
        <w:rPr>
          <w:rFonts w:ascii="Palatino Linotype" w:eastAsia="Palatino Linotype" w:hAnsi="Palatino Linotype" w:cs="Palatino Linotype"/>
          <w:i/>
          <w:sz w:val="22"/>
          <w:szCs w:val="22"/>
        </w:rPr>
        <w:t>:</w:t>
      </w:r>
    </w:p>
    <w:p w14:paraId="4ADCA7E1" w14:textId="77777777" w:rsidR="007A0E0A" w:rsidRPr="003F52B3" w:rsidRDefault="00871D72">
      <w:pPr>
        <w:tabs>
          <w:tab w:val="left" w:pos="9072"/>
        </w:tabs>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0E21347D" w14:textId="77777777" w:rsidR="007A0E0A" w:rsidRPr="003F52B3" w:rsidRDefault="00871D72">
      <w:pPr>
        <w:tabs>
          <w:tab w:val="left" w:pos="9072"/>
        </w:tabs>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i/>
          <w:sz w:val="22"/>
          <w:szCs w:val="22"/>
        </w:rPr>
        <w:t xml:space="preserve">II. </w:t>
      </w:r>
      <w:r w:rsidRPr="003F52B3">
        <w:rPr>
          <w:rFonts w:ascii="Palatino Linotype" w:eastAsia="Palatino Linotype" w:hAnsi="Palatino Linotype" w:cs="Palatino Linotype"/>
          <w:b/>
          <w:i/>
          <w:sz w:val="22"/>
          <w:szCs w:val="22"/>
        </w:rPr>
        <w:t>Recibos de pagos de salarios o</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b/>
          <w:i/>
          <w:sz w:val="22"/>
          <w:szCs w:val="22"/>
        </w:rPr>
        <w:t>las constancias documentales del pago de salario</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b/>
          <w:i/>
          <w:sz w:val="22"/>
          <w:szCs w:val="22"/>
        </w:rPr>
        <w:t xml:space="preserve">cuando </w:t>
      </w:r>
      <w:r w:rsidRPr="003F52B3">
        <w:rPr>
          <w:rFonts w:ascii="Palatino Linotype" w:eastAsia="Palatino Linotype" w:hAnsi="Palatino Linotype" w:cs="Palatino Linotype"/>
          <w:b/>
          <w:i/>
          <w:sz w:val="22"/>
          <w:szCs w:val="22"/>
          <w:u w:val="single"/>
        </w:rPr>
        <w:t>sea por depósito o mediante información electrónica</w:t>
      </w:r>
      <w:r w:rsidRPr="003F52B3">
        <w:rPr>
          <w:rFonts w:ascii="Palatino Linotype" w:eastAsia="Palatino Linotype" w:hAnsi="Palatino Linotype" w:cs="Palatino Linotype"/>
          <w:b/>
          <w:i/>
          <w:sz w:val="22"/>
          <w:szCs w:val="22"/>
        </w:rPr>
        <w:t>;</w:t>
      </w:r>
    </w:p>
    <w:p w14:paraId="2AE75968" w14:textId="77777777" w:rsidR="007A0E0A" w:rsidRPr="003F52B3" w:rsidRDefault="00871D72">
      <w:pPr>
        <w:tabs>
          <w:tab w:val="left" w:pos="9072"/>
        </w:tabs>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085DB4E4" w14:textId="77777777" w:rsidR="007A0E0A" w:rsidRPr="003F52B3" w:rsidRDefault="00871D72">
      <w:pPr>
        <w:tabs>
          <w:tab w:val="left" w:pos="9072"/>
        </w:tabs>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DF13498" w14:textId="77777777" w:rsidR="007A0E0A" w:rsidRPr="003F52B3" w:rsidRDefault="00871D72">
      <w:pPr>
        <w:tabs>
          <w:tab w:val="left" w:pos="9072"/>
        </w:tabs>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797B73AC" w14:textId="77777777" w:rsidR="007A0E0A" w:rsidRPr="003F52B3" w:rsidRDefault="007A0E0A">
      <w:pPr>
        <w:tabs>
          <w:tab w:val="left" w:pos="9072"/>
        </w:tabs>
        <w:ind w:left="851" w:right="851"/>
        <w:jc w:val="both"/>
        <w:rPr>
          <w:rFonts w:ascii="Palatino Linotype" w:eastAsia="Palatino Linotype" w:hAnsi="Palatino Linotype" w:cs="Palatino Linotype"/>
          <w:i/>
          <w:sz w:val="22"/>
          <w:szCs w:val="22"/>
        </w:rPr>
      </w:pPr>
    </w:p>
    <w:p w14:paraId="10118021" w14:textId="77777777" w:rsidR="007A0E0A" w:rsidRPr="003F52B3" w:rsidRDefault="00871D72">
      <w:pPr>
        <w:spacing w:line="360" w:lineRule="auto"/>
        <w:ind w:right="51"/>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A6D222C" w14:textId="77777777" w:rsidR="007A0E0A" w:rsidRPr="003F52B3" w:rsidRDefault="007A0E0A">
      <w:pPr>
        <w:spacing w:line="360" w:lineRule="auto"/>
        <w:ind w:right="51"/>
        <w:jc w:val="both"/>
        <w:rPr>
          <w:rFonts w:ascii="Palatino Linotype" w:eastAsia="Palatino Linotype" w:hAnsi="Palatino Linotype" w:cs="Palatino Linotype"/>
          <w:sz w:val="22"/>
          <w:szCs w:val="22"/>
        </w:rPr>
      </w:pPr>
    </w:p>
    <w:p w14:paraId="17C49D98" w14:textId="77777777" w:rsidR="007A0E0A" w:rsidRPr="003F52B3" w:rsidRDefault="00871D72">
      <w:pPr>
        <w:tabs>
          <w:tab w:val="right" w:pos="8505"/>
        </w:tabs>
        <w:spacing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Una vez precisado lo que antecede, es necesario analizar la Ley de Fiscalización Superior del Estado de México, toda vez que señala que los municipios que conforman el Estado de México, entre ellos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es considerado como ente fiscalizable, como así lo </w:t>
      </w:r>
      <w:r w:rsidRPr="003F52B3">
        <w:rPr>
          <w:rFonts w:ascii="Palatino Linotype" w:eastAsia="Palatino Linotype" w:hAnsi="Palatino Linotype" w:cs="Palatino Linotype"/>
          <w:sz w:val="22"/>
          <w:szCs w:val="22"/>
        </w:rPr>
        <w:lastRenderedPageBreak/>
        <w:t>señala el artículo 4 fracción II de la Ley de Fiscalización Superior del Estado de México, el cual refiere:</w:t>
      </w:r>
    </w:p>
    <w:p w14:paraId="6CDE9F1E"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 xml:space="preserve">“Artículo 4. </w:t>
      </w:r>
      <w:r w:rsidRPr="003F52B3">
        <w:rPr>
          <w:rFonts w:ascii="Palatino Linotype" w:eastAsia="Palatino Linotype" w:hAnsi="Palatino Linotype" w:cs="Palatino Linotype"/>
          <w:i/>
          <w:sz w:val="22"/>
          <w:szCs w:val="22"/>
        </w:rPr>
        <w:t>Son sujetos de fiscalización:</w:t>
      </w:r>
    </w:p>
    <w:p w14:paraId="338B2601"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7C3DC19C" w14:textId="77777777" w:rsidR="007A0E0A" w:rsidRPr="003F52B3" w:rsidRDefault="00871D72">
      <w:pPr>
        <w:numPr>
          <w:ilvl w:val="0"/>
          <w:numId w:val="5"/>
        </w:numPr>
        <w:pBdr>
          <w:top w:val="nil"/>
          <w:left w:val="nil"/>
          <w:bottom w:val="nil"/>
          <w:right w:val="nil"/>
          <w:between w:val="nil"/>
        </w:pBdr>
        <w:spacing w:after="160" w:line="276" w:lineRule="auto"/>
        <w:ind w:left="851" w:right="616" w:firstLine="0"/>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Los municipios del Estado de México…” (Sic)</w:t>
      </w:r>
    </w:p>
    <w:p w14:paraId="68398849" w14:textId="77777777" w:rsidR="007A0E0A" w:rsidRPr="003F52B3" w:rsidRDefault="007A0E0A">
      <w:pPr>
        <w:spacing w:before="240"/>
        <w:ind w:left="851" w:right="851"/>
        <w:jc w:val="both"/>
        <w:rPr>
          <w:rFonts w:ascii="Palatino Linotype" w:eastAsia="Palatino Linotype" w:hAnsi="Palatino Linotype" w:cs="Palatino Linotype"/>
          <w:b/>
          <w:sz w:val="22"/>
          <w:szCs w:val="22"/>
        </w:rPr>
      </w:pPr>
    </w:p>
    <w:p w14:paraId="022E5A39"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2024, como así se advierte a continuación:</w:t>
      </w:r>
    </w:p>
    <w:p w14:paraId="4748004B" w14:textId="77777777" w:rsidR="007A0E0A" w:rsidRPr="003F52B3" w:rsidRDefault="007A0E0A">
      <w:pPr>
        <w:spacing w:line="360" w:lineRule="auto"/>
        <w:ind w:right="49"/>
        <w:jc w:val="both"/>
        <w:rPr>
          <w:rFonts w:ascii="Palatino Linotype" w:eastAsia="Palatino Linotype" w:hAnsi="Palatino Linotype" w:cs="Palatino Linotype"/>
          <w:sz w:val="22"/>
          <w:szCs w:val="22"/>
        </w:rPr>
      </w:pPr>
    </w:p>
    <w:p w14:paraId="304010F2"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 xml:space="preserve">“Artículo 8. </w:t>
      </w:r>
      <w:r w:rsidRPr="003F52B3">
        <w:rPr>
          <w:rFonts w:ascii="Palatino Linotype" w:eastAsia="Palatino Linotype" w:hAnsi="Palatino Linotype" w:cs="Palatino Linotype"/>
          <w:i/>
          <w:sz w:val="22"/>
          <w:szCs w:val="22"/>
        </w:rPr>
        <w:t>El Órgano Superior tendrá las siguientes atribuciones:</w:t>
      </w:r>
    </w:p>
    <w:p w14:paraId="24D6DA46"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61807868"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XI. Establecer los lineamientos</w:t>
      </w:r>
      <w:r w:rsidRPr="003F52B3">
        <w:rPr>
          <w:rFonts w:ascii="Palatino Linotype" w:eastAsia="Palatino Linotype" w:hAnsi="Palatino Linotype" w:cs="Palatino Linotype"/>
          <w:i/>
          <w:sz w:val="22"/>
          <w:szCs w:val="22"/>
        </w:rPr>
        <w:t xml:space="preserve">, criterios, procedimientos, métodos y sistemas </w:t>
      </w:r>
      <w:r w:rsidRPr="003F52B3">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sz w:val="22"/>
          <w:szCs w:val="22"/>
        </w:rPr>
        <w:t>” (</w:t>
      </w:r>
      <w:r w:rsidRPr="003F52B3">
        <w:rPr>
          <w:rFonts w:ascii="Palatino Linotype" w:eastAsia="Palatino Linotype" w:hAnsi="Palatino Linotype" w:cs="Palatino Linotype"/>
          <w:i/>
          <w:sz w:val="22"/>
          <w:szCs w:val="22"/>
        </w:rPr>
        <w:t>Sic)</w:t>
      </w:r>
    </w:p>
    <w:p w14:paraId="18982AD7" w14:textId="77777777" w:rsidR="007A0E0A" w:rsidRPr="003F52B3" w:rsidRDefault="007A0E0A">
      <w:pPr>
        <w:ind w:left="851" w:right="851"/>
        <w:jc w:val="both"/>
        <w:rPr>
          <w:rFonts w:ascii="Palatino Linotype" w:eastAsia="Palatino Linotype" w:hAnsi="Palatino Linotype" w:cs="Palatino Linotype"/>
          <w:b/>
          <w:i/>
          <w:sz w:val="22"/>
          <w:szCs w:val="22"/>
        </w:rPr>
      </w:pPr>
    </w:p>
    <w:p w14:paraId="20B033A7"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Dentro de los cuales ubicamos en su módulo cuatro la información relacionada a la nómina, como se advierte en las siguientes imágenes sustraídas de dichos lineamientos:</w:t>
      </w:r>
    </w:p>
    <w:p w14:paraId="22BA5454" w14:textId="77777777" w:rsidR="007A0E0A" w:rsidRPr="003F52B3" w:rsidRDefault="00871D7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F52B3">
        <w:rPr>
          <w:rFonts w:ascii="Palatino Linotype" w:eastAsia="Palatino Linotype" w:hAnsi="Palatino Linotype" w:cs="Palatino Linotype"/>
          <w:noProof/>
          <w:sz w:val="22"/>
          <w:szCs w:val="22"/>
          <w:lang w:val="es-MX" w:eastAsia="es-MX"/>
        </w:rPr>
        <w:lastRenderedPageBreak/>
        <w:drawing>
          <wp:inline distT="0" distB="0" distL="0" distR="0" wp14:anchorId="249B7345" wp14:editId="7AA1E060">
            <wp:extent cx="3943350" cy="3695700"/>
            <wp:effectExtent l="0" t="0" r="0" b="0"/>
            <wp:docPr id="8319354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943350" cy="3695700"/>
                    </a:xfrm>
                    <a:prstGeom prst="rect">
                      <a:avLst/>
                    </a:prstGeom>
                    <a:ln/>
                  </pic:spPr>
                </pic:pic>
              </a:graphicData>
            </a:graphic>
          </wp:inline>
        </w:drawing>
      </w:r>
      <w:r w:rsidRPr="003F52B3">
        <w:rPr>
          <w:noProof/>
          <w:lang w:val="es-MX" w:eastAsia="es-MX"/>
        </w:rPr>
        <mc:AlternateContent>
          <mc:Choice Requires="wpg">
            <w:drawing>
              <wp:anchor distT="0" distB="0" distL="114300" distR="114300" simplePos="0" relativeHeight="251658240" behindDoc="0" locked="0" layoutInCell="1" hidden="0" allowOverlap="1" wp14:anchorId="2F29B990" wp14:editId="6EC0985C">
                <wp:simplePos x="0" y="0"/>
                <wp:positionH relativeFrom="column">
                  <wp:posOffset>1168400</wp:posOffset>
                </wp:positionH>
                <wp:positionV relativeFrom="paragraph">
                  <wp:posOffset>1244600</wp:posOffset>
                </wp:positionV>
                <wp:extent cx="3552825" cy="247650"/>
                <wp:effectExtent l="0" t="0" r="0" b="0"/>
                <wp:wrapNone/>
                <wp:docPr id="831935470" name="Rectángulo 831935470"/>
                <wp:cNvGraphicFramePr/>
                <a:graphic xmlns:a="http://schemas.openxmlformats.org/drawingml/2006/main">
                  <a:graphicData uri="http://schemas.microsoft.com/office/word/2010/wordprocessingShape">
                    <wps:wsp>
                      <wps:cNvSpPr/>
                      <wps:spPr>
                        <a:xfrm>
                          <a:off x="3579113" y="3665700"/>
                          <a:ext cx="3533775" cy="228600"/>
                        </a:xfrm>
                        <a:prstGeom prst="rect">
                          <a:avLst/>
                        </a:prstGeom>
                        <a:noFill/>
                        <a:ln w="19050" cap="flat" cmpd="sng">
                          <a:solidFill>
                            <a:srgbClr val="FF0000"/>
                          </a:solidFill>
                          <a:prstDash val="solid"/>
                          <a:round/>
                          <a:headEnd type="none" w="sm" len="sm"/>
                          <a:tailEnd type="none" w="sm" len="sm"/>
                        </a:ln>
                      </wps:spPr>
                      <wps:txbx>
                        <w:txbxContent>
                          <w:p w14:paraId="4BF092F6" w14:textId="77777777" w:rsidR="007A0E0A" w:rsidRDefault="007A0E0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1244600</wp:posOffset>
                </wp:positionV>
                <wp:extent cx="3552825" cy="247650"/>
                <wp:effectExtent b="0" l="0" r="0" t="0"/>
                <wp:wrapNone/>
                <wp:docPr id="831935470"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3552825" cy="247650"/>
                        </a:xfrm>
                        <a:prstGeom prst="rect"/>
                        <a:ln/>
                      </pic:spPr>
                    </pic:pic>
                  </a:graphicData>
                </a:graphic>
              </wp:anchor>
            </w:drawing>
          </mc:Fallback>
        </mc:AlternateContent>
      </w:r>
    </w:p>
    <w:p w14:paraId="6141D901" w14:textId="77777777" w:rsidR="007A0E0A" w:rsidRPr="003F52B3" w:rsidRDefault="007A0E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2EE7EF"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Dentro de los cuales ubicamos, la información referente a la conciliación de nómina que de manera enunciativa más no limitativa pudiera colmar las peticiones de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toda vez que es información que se genera de forma quincenal, que es como lo solicita el particular, como se advierte en las siguientes imágenes sustraídas de dichos lineamientos:</w:t>
      </w:r>
    </w:p>
    <w:p w14:paraId="40849D3B" w14:textId="77777777" w:rsidR="007A0E0A" w:rsidRPr="003F52B3" w:rsidRDefault="007A0E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90BF5E" w14:textId="77777777" w:rsidR="007A0E0A" w:rsidRPr="003F52B3" w:rsidRDefault="00871D7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F52B3">
        <w:rPr>
          <w:rFonts w:ascii="Palatino Linotype" w:eastAsia="Palatino Linotype" w:hAnsi="Palatino Linotype" w:cs="Palatino Linotype"/>
          <w:noProof/>
          <w:sz w:val="22"/>
          <w:szCs w:val="22"/>
          <w:lang w:val="es-MX" w:eastAsia="es-MX"/>
        </w:rPr>
        <w:lastRenderedPageBreak/>
        <w:drawing>
          <wp:inline distT="0" distB="0" distL="0" distR="0" wp14:anchorId="6DA1F376" wp14:editId="7905E163">
            <wp:extent cx="4738820" cy="5439080"/>
            <wp:effectExtent l="0" t="0" r="0" b="0"/>
            <wp:docPr id="8319354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38820" cy="5439080"/>
                    </a:xfrm>
                    <a:prstGeom prst="rect">
                      <a:avLst/>
                    </a:prstGeom>
                    <a:ln/>
                  </pic:spPr>
                </pic:pic>
              </a:graphicData>
            </a:graphic>
          </wp:inline>
        </w:drawing>
      </w:r>
    </w:p>
    <w:p w14:paraId="5E0A584E" w14:textId="77777777" w:rsidR="007A0E0A" w:rsidRPr="003F52B3" w:rsidRDefault="007A0E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DEA9C66" w14:textId="77777777" w:rsidR="007A0E0A" w:rsidRPr="003F52B3" w:rsidRDefault="00871D7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F52B3">
        <w:rPr>
          <w:rFonts w:ascii="Palatino Linotype" w:eastAsia="Palatino Linotype" w:hAnsi="Palatino Linotype" w:cs="Palatino Linotype"/>
          <w:noProof/>
          <w:sz w:val="22"/>
          <w:szCs w:val="22"/>
          <w:lang w:val="es-MX" w:eastAsia="es-MX"/>
        </w:rPr>
        <w:drawing>
          <wp:inline distT="0" distB="0" distL="0" distR="0" wp14:anchorId="71A485FA" wp14:editId="4FB4C121">
            <wp:extent cx="5004868" cy="1397602"/>
            <wp:effectExtent l="0" t="0" r="0" b="0"/>
            <wp:docPr id="8319354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004868" cy="1397602"/>
                    </a:xfrm>
                    <a:prstGeom prst="rect">
                      <a:avLst/>
                    </a:prstGeom>
                    <a:ln/>
                  </pic:spPr>
                </pic:pic>
              </a:graphicData>
            </a:graphic>
          </wp:inline>
        </w:drawing>
      </w:r>
      <w:r w:rsidRPr="003F52B3">
        <w:rPr>
          <w:noProof/>
          <w:lang w:val="es-MX" w:eastAsia="es-MX"/>
        </w:rPr>
        <mc:AlternateContent>
          <mc:Choice Requires="wpg">
            <w:drawing>
              <wp:anchor distT="0" distB="0" distL="114300" distR="114300" simplePos="0" relativeHeight="251659264" behindDoc="0" locked="0" layoutInCell="1" hidden="0" allowOverlap="1" wp14:anchorId="6461EBD3" wp14:editId="1BA0D984">
                <wp:simplePos x="0" y="0"/>
                <wp:positionH relativeFrom="column">
                  <wp:posOffset>317500</wp:posOffset>
                </wp:positionH>
                <wp:positionV relativeFrom="paragraph">
                  <wp:posOffset>723900</wp:posOffset>
                </wp:positionV>
                <wp:extent cx="4866197" cy="371835"/>
                <wp:effectExtent l="0" t="0" r="0" b="0"/>
                <wp:wrapNone/>
                <wp:docPr id="831935469" name="Rectángulo 831935469"/>
                <wp:cNvGraphicFramePr/>
                <a:graphic xmlns:a="http://schemas.openxmlformats.org/drawingml/2006/main">
                  <a:graphicData uri="http://schemas.microsoft.com/office/word/2010/wordprocessingShape">
                    <wps:wsp>
                      <wps:cNvSpPr/>
                      <wps:spPr>
                        <a:xfrm>
                          <a:off x="2917664" y="3598845"/>
                          <a:ext cx="4856672" cy="362310"/>
                        </a:xfrm>
                        <a:prstGeom prst="rect">
                          <a:avLst/>
                        </a:prstGeom>
                        <a:noFill/>
                        <a:ln w="9525" cap="flat" cmpd="sng">
                          <a:solidFill>
                            <a:srgbClr val="FF0000"/>
                          </a:solidFill>
                          <a:prstDash val="solid"/>
                          <a:round/>
                          <a:headEnd type="none" w="sm" len="sm"/>
                          <a:tailEnd type="none" w="sm" len="sm"/>
                        </a:ln>
                      </wps:spPr>
                      <wps:txbx>
                        <w:txbxContent>
                          <w:p w14:paraId="0629095F" w14:textId="77777777" w:rsidR="007A0E0A" w:rsidRDefault="007A0E0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wp:posOffset>
                </wp:positionH>
                <wp:positionV relativeFrom="paragraph">
                  <wp:posOffset>723900</wp:posOffset>
                </wp:positionV>
                <wp:extent cx="4866197" cy="371835"/>
                <wp:effectExtent b="0" l="0" r="0" t="0"/>
                <wp:wrapNone/>
                <wp:docPr id="831935469"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4866197" cy="371835"/>
                        </a:xfrm>
                        <a:prstGeom prst="rect"/>
                        <a:ln/>
                      </pic:spPr>
                    </pic:pic>
                  </a:graphicData>
                </a:graphic>
              </wp:anchor>
            </w:drawing>
          </mc:Fallback>
        </mc:AlternateContent>
      </w:r>
    </w:p>
    <w:p w14:paraId="3C7EDCC2" w14:textId="77777777" w:rsidR="007A0E0A" w:rsidRPr="003F52B3" w:rsidRDefault="00871D7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F52B3">
        <w:rPr>
          <w:rFonts w:ascii="Palatino Linotype" w:eastAsia="Palatino Linotype" w:hAnsi="Palatino Linotype" w:cs="Palatino Linotype"/>
          <w:noProof/>
          <w:sz w:val="22"/>
          <w:szCs w:val="22"/>
          <w:lang w:val="es-MX" w:eastAsia="es-MX"/>
        </w:rPr>
        <w:lastRenderedPageBreak/>
        <w:drawing>
          <wp:inline distT="0" distB="0" distL="0" distR="0" wp14:anchorId="04C56AF5" wp14:editId="24A4EFDA">
            <wp:extent cx="5000971" cy="5467728"/>
            <wp:effectExtent l="0" t="0" r="0" b="0"/>
            <wp:docPr id="8319354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000971" cy="5467728"/>
                    </a:xfrm>
                    <a:prstGeom prst="rect">
                      <a:avLst/>
                    </a:prstGeom>
                    <a:ln/>
                  </pic:spPr>
                </pic:pic>
              </a:graphicData>
            </a:graphic>
          </wp:inline>
        </w:drawing>
      </w:r>
    </w:p>
    <w:p w14:paraId="69E7C0F0" w14:textId="77777777" w:rsidR="007A0E0A" w:rsidRPr="003F52B3" w:rsidRDefault="00871D7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3F52B3">
        <w:rPr>
          <w:rFonts w:ascii="Palatino Linotype" w:eastAsia="Palatino Linotype" w:hAnsi="Palatino Linotype" w:cs="Palatino Linotype"/>
          <w:noProof/>
          <w:sz w:val="22"/>
          <w:szCs w:val="22"/>
          <w:lang w:val="es-MX" w:eastAsia="es-MX"/>
        </w:rPr>
        <w:lastRenderedPageBreak/>
        <w:drawing>
          <wp:inline distT="0" distB="0" distL="0" distR="0" wp14:anchorId="66925689" wp14:editId="170EA588">
            <wp:extent cx="4997558" cy="5089728"/>
            <wp:effectExtent l="0" t="0" r="0" b="0"/>
            <wp:docPr id="8319354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997558" cy="5089728"/>
                    </a:xfrm>
                    <a:prstGeom prst="rect">
                      <a:avLst/>
                    </a:prstGeom>
                    <a:ln/>
                  </pic:spPr>
                </pic:pic>
              </a:graphicData>
            </a:graphic>
          </wp:inline>
        </w:drawing>
      </w:r>
    </w:p>
    <w:p w14:paraId="7AE19572" w14:textId="77777777" w:rsidR="007A0E0A" w:rsidRPr="003F52B3" w:rsidRDefault="007A0E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B2F2396"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observancia a las imágenes anteriores, se acredita que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debió generar la información relativa a la conciliación de nómina de manera quincenal, aunado a que de ella se puede advertir el contenido de los sueldos, salarios y deducciones de todos de los Servidores Públicos del Municipio, y que es información que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debió haber</w:t>
      </w:r>
      <w:r w:rsidRPr="003F52B3">
        <w:rPr>
          <w:rFonts w:ascii="Palatino Linotype" w:eastAsia="Palatino Linotype" w:hAnsi="Palatino Linotype" w:cs="Palatino Linotype"/>
          <w:b/>
          <w:sz w:val="22"/>
          <w:szCs w:val="22"/>
        </w:rPr>
        <w:t xml:space="preserve"> </w:t>
      </w:r>
      <w:r w:rsidRPr="003F52B3">
        <w:rPr>
          <w:rFonts w:ascii="Palatino Linotype" w:eastAsia="Palatino Linotype" w:hAnsi="Palatino Linotype" w:cs="Palatino Linotype"/>
          <w:sz w:val="22"/>
          <w:szCs w:val="22"/>
        </w:rPr>
        <w:t xml:space="preserve">generado, administrado o poseído de acuerdo a lo establecido en el presente considerando. </w:t>
      </w:r>
    </w:p>
    <w:p w14:paraId="1A74FDFF" w14:textId="77777777" w:rsidR="007A0E0A" w:rsidRPr="003F52B3" w:rsidRDefault="007A0E0A">
      <w:pPr>
        <w:spacing w:line="360" w:lineRule="auto"/>
        <w:ind w:right="51"/>
        <w:jc w:val="both"/>
        <w:rPr>
          <w:rFonts w:ascii="Palatino Linotype" w:eastAsia="Palatino Linotype" w:hAnsi="Palatino Linotype" w:cs="Palatino Linotype"/>
          <w:sz w:val="22"/>
          <w:szCs w:val="22"/>
        </w:rPr>
      </w:pPr>
    </w:p>
    <w:p w14:paraId="1540E493"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lastRenderedPageBreak/>
        <w:t>Además, de que 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58D9312"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5350182B" w14:textId="77777777" w:rsidR="007A0E0A" w:rsidRPr="003F52B3" w:rsidRDefault="00871D72">
      <w:pPr>
        <w:ind w:left="851" w:right="616"/>
        <w:jc w:val="both"/>
        <w:rPr>
          <w:rFonts w:ascii="Palatino Linotype" w:eastAsia="Palatino Linotype" w:hAnsi="Palatino Linotype" w:cs="Palatino Linotype"/>
          <w:i/>
          <w:sz w:val="22"/>
          <w:szCs w:val="22"/>
          <w:u w:val="single"/>
        </w:rPr>
      </w:pPr>
      <w:r w:rsidRPr="003F52B3">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3F52B3">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3F52B3">
        <w:rPr>
          <w:rFonts w:ascii="Palatino Linotype" w:eastAsia="Palatino Linotype" w:hAnsi="Palatino Linotype" w:cs="Palatino Linotype"/>
          <w:b/>
          <w:i/>
          <w:sz w:val="22"/>
          <w:szCs w:val="22"/>
          <w:u w:val="single"/>
        </w:rPr>
        <w:t>que reciba y ejerza recursos públicos</w:t>
      </w:r>
      <w:r w:rsidRPr="003F52B3">
        <w:rPr>
          <w:rFonts w:ascii="Palatino Linotype" w:eastAsia="Palatino Linotype" w:hAnsi="Palatino Linotype" w:cs="Palatino Linotype"/>
          <w:i/>
          <w:sz w:val="22"/>
          <w:szCs w:val="22"/>
        </w:rPr>
        <w:t xml:space="preserve"> o realice actos de autoridad </w:t>
      </w:r>
      <w:r w:rsidRPr="003F52B3">
        <w:rPr>
          <w:rFonts w:ascii="Palatino Linotype" w:eastAsia="Palatino Linotype" w:hAnsi="Palatino Linotype" w:cs="Palatino Linotype"/>
          <w:b/>
          <w:i/>
          <w:sz w:val="22"/>
          <w:szCs w:val="22"/>
          <w:u w:val="single"/>
        </w:rPr>
        <w:t>en el ámbito de competencia del Estado de México y sus municipios</w:t>
      </w:r>
      <w:r w:rsidRPr="003F52B3">
        <w:rPr>
          <w:rFonts w:ascii="Palatino Linotype" w:eastAsia="Palatino Linotype" w:hAnsi="Palatino Linotype" w:cs="Palatino Linotype"/>
          <w:i/>
          <w:sz w:val="22"/>
          <w:szCs w:val="22"/>
          <w:u w:val="single"/>
        </w:rPr>
        <w:t>.</w:t>
      </w:r>
    </w:p>
    <w:p w14:paraId="42BC0290"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41BB1917"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41BE6BD6"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u w:val="single"/>
        </w:rPr>
        <w:t>IV. Los ayuntamientos</w:t>
      </w:r>
      <w:r w:rsidRPr="003F52B3">
        <w:rPr>
          <w:rFonts w:ascii="Palatino Linotype" w:eastAsia="Palatino Linotype" w:hAnsi="Palatino Linotype" w:cs="Palatino Linotype"/>
          <w:b/>
          <w:i/>
          <w:sz w:val="22"/>
          <w:szCs w:val="22"/>
        </w:rPr>
        <w:t xml:space="preserve"> y las dependencias, organismos, órganos y entidades de la administración municipal;</w:t>
      </w:r>
    </w:p>
    <w:p w14:paraId="413BBA79"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2B6D839B" w14:textId="77777777" w:rsidR="007A0E0A" w:rsidRPr="003F52B3" w:rsidRDefault="00871D72">
      <w:pPr>
        <w:ind w:left="851" w:right="616"/>
        <w:jc w:val="both"/>
        <w:rPr>
          <w:rFonts w:ascii="Palatino Linotype" w:eastAsia="Palatino Linotype" w:hAnsi="Palatino Linotype" w:cs="Palatino Linotype"/>
          <w:b/>
          <w:i/>
          <w:sz w:val="22"/>
          <w:szCs w:val="22"/>
          <w:u w:val="single"/>
        </w:rPr>
      </w:pPr>
      <w:r w:rsidRPr="003F52B3">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35EAE5F"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Los servidores públicos deberán transparentar sus </w:t>
      </w:r>
      <w:proofErr w:type="gramStart"/>
      <w:r w:rsidRPr="003F52B3">
        <w:rPr>
          <w:rFonts w:ascii="Palatino Linotype" w:eastAsia="Palatino Linotype" w:hAnsi="Palatino Linotype" w:cs="Palatino Linotype"/>
          <w:i/>
          <w:sz w:val="22"/>
          <w:szCs w:val="22"/>
        </w:rPr>
        <w:t>acciones</w:t>
      </w:r>
      <w:proofErr w:type="gramEnd"/>
      <w:r w:rsidRPr="003F52B3">
        <w:rPr>
          <w:rFonts w:ascii="Palatino Linotype" w:eastAsia="Palatino Linotype" w:hAnsi="Palatino Linotype" w:cs="Palatino Linotype"/>
          <w:i/>
          <w:sz w:val="22"/>
          <w:szCs w:val="22"/>
        </w:rPr>
        <w:t xml:space="preserve"> así como garantizar y respetar el derecho de acceso a la información pública.” [Sic]</w:t>
      </w:r>
    </w:p>
    <w:p w14:paraId="02543CEB"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74B1C501"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lastRenderedPageBreak/>
        <w:t xml:space="preserve">Sirve de sustento por analogía, para justificar la publicidad sobre los datos relativos a los montos por concepto de pago de las remuneraciones, los criterios </w:t>
      </w:r>
      <w:r w:rsidRPr="003F52B3">
        <w:rPr>
          <w:rFonts w:ascii="Palatino Linotype" w:eastAsia="Palatino Linotype" w:hAnsi="Palatino Linotype" w:cs="Palatino Linotype"/>
          <w:b/>
          <w:sz w:val="22"/>
          <w:szCs w:val="22"/>
        </w:rPr>
        <w:t>01/2003</w:t>
      </w:r>
      <w:r w:rsidRPr="003F52B3">
        <w:rPr>
          <w:rFonts w:ascii="Palatino Linotype" w:eastAsia="Palatino Linotype" w:hAnsi="Palatino Linotype" w:cs="Palatino Linotype"/>
          <w:sz w:val="22"/>
          <w:szCs w:val="22"/>
        </w:rPr>
        <w:t xml:space="preserve"> y </w:t>
      </w:r>
      <w:r w:rsidRPr="003F52B3">
        <w:rPr>
          <w:rFonts w:ascii="Palatino Linotype" w:eastAsia="Palatino Linotype" w:hAnsi="Palatino Linotype" w:cs="Palatino Linotype"/>
          <w:b/>
          <w:sz w:val="22"/>
          <w:szCs w:val="22"/>
        </w:rPr>
        <w:t>02/2003</w:t>
      </w:r>
      <w:r w:rsidRPr="003F52B3">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62DFBC10"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C3E9697" w14:textId="77777777" w:rsidR="007A0E0A" w:rsidRPr="003F52B3" w:rsidRDefault="00871D72">
      <w:pPr>
        <w:ind w:left="851" w:right="616"/>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Criterio 01/2003.</w:t>
      </w:r>
    </w:p>
    <w:p w14:paraId="48240475"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3F52B3">
        <w:rPr>
          <w:rFonts w:ascii="Palatino Linotype" w:eastAsia="Palatino Linotype" w:hAnsi="Palatino Linotype" w:cs="Palatino Linotype"/>
          <w:i/>
          <w:sz w:val="22"/>
          <w:szCs w:val="22"/>
        </w:rPr>
        <w:t xml:space="preserve"> </w:t>
      </w:r>
    </w:p>
    <w:p w14:paraId="28CBE209" w14:textId="77777777" w:rsidR="007A0E0A" w:rsidRPr="003F52B3" w:rsidRDefault="00871D72">
      <w:pPr>
        <w:ind w:left="851" w:right="616"/>
        <w:jc w:val="both"/>
        <w:rPr>
          <w:rFonts w:ascii="Palatino Linotype" w:eastAsia="Palatino Linotype" w:hAnsi="Palatino Linotype" w:cs="Palatino Linotype"/>
          <w:i/>
          <w:sz w:val="22"/>
          <w:szCs w:val="22"/>
          <w:u w:val="single"/>
        </w:rPr>
      </w:pPr>
      <w:r w:rsidRPr="003F52B3">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F52B3">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F52B3">
        <w:rPr>
          <w:rFonts w:ascii="Palatino Linotype" w:eastAsia="Palatino Linotype" w:hAnsi="Palatino Linotype" w:cs="Palatino Linotype"/>
          <w:i/>
          <w:sz w:val="22"/>
          <w:szCs w:val="22"/>
          <w:u w:val="single"/>
        </w:rPr>
        <w:t>…”</w:t>
      </w:r>
    </w:p>
    <w:p w14:paraId="30AB2B78" w14:textId="77777777" w:rsidR="007A0E0A" w:rsidRPr="003F52B3" w:rsidRDefault="007A0E0A">
      <w:pPr>
        <w:ind w:left="851" w:right="616"/>
        <w:jc w:val="both"/>
        <w:rPr>
          <w:rFonts w:ascii="Palatino Linotype" w:eastAsia="Palatino Linotype" w:hAnsi="Palatino Linotype" w:cs="Palatino Linotype"/>
          <w:i/>
          <w:sz w:val="22"/>
          <w:szCs w:val="22"/>
        </w:rPr>
      </w:pPr>
    </w:p>
    <w:p w14:paraId="31AF56EA" w14:textId="77777777" w:rsidR="007A0E0A" w:rsidRPr="003F52B3" w:rsidRDefault="00871D72">
      <w:pPr>
        <w:ind w:left="851" w:right="616"/>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“Criterio 02/2003.</w:t>
      </w:r>
    </w:p>
    <w:p w14:paraId="2EA60AF4"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3F52B3">
        <w:rPr>
          <w:rFonts w:ascii="Palatino Linotype" w:eastAsia="Palatino Linotype" w:hAnsi="Palatino Linotype" w:cs="Palatino Linotype"/>
          <w:i/>
          <w:sz w:val="22"/>
          <w:szCs w:val="22"/>
        </w:rPr>
        <w:t xml:space="preserve"> </w:t>
      </w:r>
    </w:p>
    <w:p w14:paraId="32FEF21B"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F52B3">
        <w:rPr>
          <w:rFonts w:ascii="Palatino Linotype" w:eastAsia="Palatino Linotype" w:hAnsi="Palatino Linotype" w:cs="Palatino Linotype"/>
          <w:b/>
          <w:i/>
          <w:sz w:val="22"/>
          <w:szCs w:val="22"/>
          <w:u w:val="single"/>
        </w:rPr>
        <w:t xml:space="preserve">lo que deriva del hecho de que en términos de los previsto en el citado ordenamiento deben ponerse a disposición del público </w:t>
      </w:r>
      <w:r w:rsidRPr="003F52B3">
        <w:rPr>
          <w:rFonts w:ascii="Palatino Linotype" w:eastAsia="Palatino Linotype" w:hAnsi="Palatino Linotype" w:cs="Palatino Linotype"/>
          <w:b/>
          <w:i/>
          <w:sz w:val="22"/>
          <w:szCs w:val="22"/>
          <w:u w:val="single"/>
        </w:rPr>
        <w:lastRenderedPageBreak/>
        <w:t>a través de medios remotos o locales de comunicación electrónica, tanto el directorio de servidores públicos como las remuneraciones mensuales por puesto incluso</w:t>
      </w:r>
      <w:r w:rsidRPr="003F52B3">
        <w:rPr>
          <w:rFonts w:ascii="Palatino Linotype" w:eastAsia="Palatino Linotype" w:hAnsi="Palatino Linotype" w:cs="Palatino Linotype"/>
          <w:i/>
          <w:sz w:val="22"/>
          <w:szCs w:val="22"/>
        </w:rPr>
        <w:t xml:space="preserve"> el sistema de compensación…” [Sic]</w:t>
      </w:r>
    </w:p>
    <w:p w14:paraId="799AC9E0" w14:textId="77777777" w:rsidR="007A0E0A" w:rsidRPr="003F52B3" w:rsidRDefault="007A0E0A">
      <w:pPr>
        <w:spacing w:line="360" w:lineRule="auto"/>
        <w:ind w:right="-93"/>
        <w:jc w:val="both"/>
        <w:rPr>
          <w:rFonts w:ascii="Palatino Linotype" w:eastAsia="Palatino Linotype" w:hAnsi="Palatino Linotype" w:cs="Palatino Linotype"/>
          <w:sz w:val="22"/>
          <w:szCs w:val="22"/>
        </w:rPr>
      </w:pPr>
    </w:p>
    <w:p w14:paraId="423F8EEF" w14:textId="77777777" w:rsidR="007A0E0A" w:rsidRPr="003F52B3" w:rsidRDefault="00871D72">
      <w:pPr>
        <w:tabs>
          <w:tab w:val="left" w:pos="709"/>
        </w:tabs>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Aunado a que, se trata de una obligación de transparencia en términos de lo señalado por el artículo 92 fracción VIII de la Ley de Transparencia y Acceso a la Información Pública del Estado de México y Municipios vigente, que señala:</w:t>
      </w:r>
    </w:p>
    <w:p w14:paraId="1B5B4AB5" w14:textId="77777777" w:rsidR="007A0E0A" w:rsidRPr="003F52B3" w:rsidRDefault="007A0E0A">
      <w:pPr>
        <w:tabs>
          <w:tab w:val="left" w:pos="709"/>
        </w:tabs>
        <w:spacing w:line="360" w:lineRule="auto"/>
        <w:jc w:val="both"/>
        <w:rPr>
          <w:rFonts w:ascii="Palatino Linotype" w:eastAsia="Palatino Linotype" w:hAnsi="Palatino Linotype" w:cs="Palatino Linotype"/>
          <w:sz w:val="22"/>
          <w:szCs w:val="22"/>
        </w:rPr>
      </w:pPr>
    </w:p>
    <w:p w14:paraId="184DBA1A"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Artículo 92.</w:t>
      </w:r>
      <w:r w:rsidRPr="003F52B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E941B2"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278A4A18"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VIII.</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3F52B3">
        <w:rPr>
          <w:rFonts w:ascii="Palatino Linotype" w:eastAsia="Palatino Linotype" w:hAnsi="Palatino Linotype" w:cs="Palatino Linotype"/>
          <w:i/>
          <w:sz w:val="22"/>
          <w:szCs w:val="22"/>
        </w:rPr>
        <w:t>, señalando la periodicidad de dicha remuneración;</w:t>
      </w:r>
    </w:p>
    <w:p w14:paraId="7F493B14"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76C6F98"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Por consiguiente, se reitera que es información que el Ayuntamiento de Tenango del Aire genera, posee y administra en ejercicio de sus funciones. </w:t>
      </w:r>
    </w:p>
    <w:p w14:paraId="5601E179"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2133D532"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Ahora bien, de la solicitud de información de mérito se advierte que el hoy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xml:space="preserve">, desea conocer la nómina de todo el personal del Ayuntamiento incluyendo sus organismos descentralizados; por lo que conviene traer a colación el artículo 32 del Bando Municipal del Ayuntamiento de Tenango del Aire vigente, el cual dispone que el ayuntamiento en el ejercicio de sus atribuciones y para el despacho de los asuntos de la administración pública municipal contará con la siguiente distribución de administración: </w:t>
      </w:r>
    </w:p>
    <w:p w14:paraId="5C86AAC4" w14:textId="77777777" w:rsidR="007A0E0A" w:rsidRPr="003F52B3" w:rsidRDefault="007A0E0A">
      <w:pPr>
        <w:ind w:left="851" w:right="616"/>
        <w:jc w:val="both"/>
        <w:rPr>
          <w:rFonts w:ascii="Palatino Linotype" w:eastAsia="Palatino Linotype" w:hAnsi="Palatino Linotype" w:cs="Palatino Linotype"/>
          <w:b/>
          <w:i/>
          <w:sz w:val="22"/>
          <w:szCs w:val="22"/>
        </w:rPr>
      </w:pPr>
    </w:p>
    <w:p w14:paraId="3552059C" w14:textId="77777777" w:rsidR="007A0E0A" w:rsidRPr="003F52B3" w:rsidRDefault="00871D72">
      <w:pPr>
        <w:ind w:left="851" w:right="616"/>
        <w:jc w:val="both"/>
        <w:rPr>
          <w:rFonts w:ascii="Palatino Linotype" w:eastAsia="Palatino Linotype" w:hAnsi="Palatino Linotype" w:cs="Palatino Linotype"/>
          <w:i/>
          <w:sz w:val="22"/>
          <w:szCs w:val="22"/>
        </w:rPr>
      </w:pPr>
      <w:bookmarkStart w:id="4" w:name="_heading=h.tyjcwt" w:colFirst="0" w:colLast="0"/>
      <w:bookmarkEnd w:id="4"/>
      <w:r w:rsidRPr="003F52B3">
        <w:rPr>
          <w:rFonts w:ascii="Palatino Linotype" w:eastAsia="Palatino Linotype" w:hAnsi="Palatino Linotype" w:cs="Palatino Linotype"/>
          <w:i/>
          <w:sz w:val="22"/>
          <w:szCs w:val="22"/>
        </w:rPr>
        <w:lastRenderedPageBreak/>
        <w:t>“</w:t>
      </w:r>
      <w:r w:rsidRPr="003F52B3">
        <w:rPr>
          <w:rFonts w:ascii="Palatino Linotype" w:eastAsia="Palatino Linotype" w:hAnsi="Palatino Linotype" w:cs="Palatino Linotype"/>
          <w:b/>
          <w:i/>
          <w:sz w:val="22"/>
          <w:szCs w:val="22"/>
        </w:rPr>
        <w:t xml:space="preserve">Artículo 32.- </w:t>
      </w:r>
      <w:r w:rsidRPr="003F52B3">
        <w:rPr>
          <w:rFonts w:ascii="Palatino Linotype" w:eastAsia="Palatino Linotype" w:hAnsi="Palatino Linotype" w:cs="Palatino Linotype"/>
          <w:i/>
          <w:sz w:val="22"/>
          <w:szCs w:val="22"/>
        </w:rPr>
        <w:t>El Ayuntamiento, en el ejercicio de sus atribuciones y para el despacho de los asuntos de la administración pública municipal contará con la siguiente distribución de administración:</w:t>
      </w:r>
    </w:p>
    <w:p w14:paraId="26ADF46F"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 Presidencia Municipal</w:t>
      </w:r>
    </w:p>
    <w:p w14:paraId="7A871A17"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a) </w:t>
      </w:r>
      <w:proofErr w:type="gramStart"/>
      <w:r w:rsidRPr="003F52B3">
        <w:rPr>
          <w:rFonts w:ascii="Palatino Linotype" w:eastAsia="Palatino Linotype" w:hAnsi="Palatino Linotype" w:cs="Palatino Linotype"/>
          <w:i/>
          <w:sz w:val="22"/>
          <w:szCs w:val="22"/>
        </w:rPr>
        <w:t>Secretaria</w:t>
      </w:r>
      <w:proofErr w:type="gramEnd"/>
      <w:r w:rsidRPr="003F52B3">
        <w:rPr>
          <w:rFonts w:ascii="Palatino Linotype" w:eastAsia="Palatino Linotype" w:hAnsi="Palatino Linotype" w:cs="Palatino Linotype"/>
          <w:i/>
          <w:sz w:val="22"/>
          <w:szCs w:val="22"/>
        </w:rPr>
        <w:t xml:space="preserve"> Auxiliar de Presidencia</w:t>
      </w:r>
    </w:p>
    <w:p w14:paraId="2C00E768"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b) Unidad canina (unidad de protección animal);</w:t>
      </w:r>
    </w:p>
    <w:p w14:paraId="39BA4EC8"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c) Unidad de transparencia;</w:t>
      </w:r>
    </w:p>
    <w:p w14:paraId="3B6D2BDE"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d) Oficialía de partes;</w:t>
      </w:r>
    </w:p>
    <w:p w14:paraId="6638BBFD"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e) Coordinación de mejora regulatoria;</w:t>
      </w:r>
    </w:p>
    <w:p w14:paraId="2990B8AC"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f) Ventanilla única;</w:t>
      </w:r>
    </w:p>
    <w:p w14:paraId="30095735"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g) Cronista municipal;</w:t>
      </w:r>
    </w:p>
    <w:p w14:paraId="716352FC"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h) Instituto municipal de la juventud;</w:t>
      </w:r>
    </w:p>
    <w:p w14:paraId="0A73795F"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i) </w:t>
      </w:r>
      <w:proofErr w:type="gramStart"/>
      <w:r w:rsidRPr="003F52B3">
        <w:rPr>
          <w:rFonts w:ascii="Palatino Linotype" w:eastAsia="Palatino Linotype" w:hAnsi="Palatino Linotype" w:cs="Palatino Linotype"/>
          <w:i/>
          <w:sz w:val="22"/>
          <w:szCs w:val="22"/>
        </w:rPr>
        <w:t>Secretaria</w:t>
      </w:r>
      <w:proofErr w:type="gramEnd"/>
      <w:r w:rsidRPr="003F52B3">
        <w:rPr>
          <w:rFonts w:ascii="Palatino Linotype" w:eastAsia="Palatino Linotype" w:hAnsi="Palatino Linotype" w:cs="Palatino Linotype"/>
          <w:i/>
          <w:sz w:val="22"/>
          <w:szCs w:val="22"/>
        </w:rPr>
        <w:t xml:space="preserve"> técnica del Consejo Municipal de Seguridad Pública;</w:t>
      </w:r>
    </w:p>
    <w:p w14:paraId="0B03F3AD"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j) Defensoría municipal de Derechos Humanos.</w:t>
      </w:r>
    </w:p>
    <w:p w14:paraId="31A7F63C"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2.- Sindicatura</w:t>
      </w:r>
    </w:p>
    <w:p w14:paraId="139E3317"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3.- Regidores</w:t>
      </w:r>
    </w:p>
    <w:p w14:paraId="371AC449"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4.- Secretaría del Ayuntamiento</w:t>
      </w:r>
    </w:p>
    <w:p w14:paraId="18E8F093"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a) Junta de Servicio Militar</w:t>
      </w:r>
    </w:p>
    <w:p w14:paraId="3B61F8E4"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b) Sistema de Protección Integral de los Derechos de las Niñas, Niños y Adolescentes (SIPINNA)</w:t>
      </w:r>
    </w:p>
    <w:p w14:paraId="3896133A"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c) Archivo</w:t>
      </w:r>
    </w:p>
    <w:p w14:paraId="706C6E16"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d) Juzgado Cívico</w:t>
      </w:r>
    </w:p>
    <w:p w14:paraId="0AC82FEA"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5.- Tesorería Municipal</w:t>
      </w:r>
    </w:p>
    <w:p w14:paraId="3CE2E978"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a) Área de Catastro Municipal</w:t>
      </w:r>
    </w:p>
    <w:p w14:paraId="682362AE"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6.- Contraloría Interna</w:t>
      </w:r>
    </w:p>
    <w:p w14:paraId="308D8EFE"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6.1.- Autoridad Investigadora.</w:t>
      </w:r>
    </w:p>
    <w:p w14:paraId="41B381B0"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6.2.- Autoridad Substanciadora.</w:t>
      </w:r>
    </w:p>
    <w:p w14:paraId="1E83077E"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6.3.- Autoridad Resolutora</w:t>
      </w:r>
    </w:p>
    <w:p w14:paraId="23C33C59"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7.- Dirección Jurídica y Consultiva</w:t>
      </w:r>
    </w:p>
    <w:p w14:paraId="13EEF86D"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8.- Dirección de Obras Públicas y Desarrollo Urbano</w:t>
      </w:r>
    </w:p>
    <w:p w14:paraId="51BD3C1F"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9.- Dirección de Cultura y Turismo</w:t>
      </w:r>
    </w:p>
    <w:p w14:paraId="63B858E3"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a) Biblioteca de Tenango del Aire</w:t>
      </w:r>
    </w:p>
    <w:p w14:paraId="3236DE53"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b) Biblioteca de San Juan </w:t>
      </w:r>
      <w:proofErr w:type="spellStart"/>
      <w:r w:rsidRPr="003F52B3">
        <w:rPr>
          <w:rFonts w:ascii="Palatino Linotype" w:eastAsia="Palatino Linotype" w:hAnsi="Palatino Linotype" w:cs="Palatino Linotype"/>
          <w:i/>
          <w:sz w:val="22"/>
          <w:szCs w:val="22"/>
        </w:rPr>
        <w:t>Coxtocan</w:t>
      </w:r>
      <w:proofErr w:type="spellEnd"/>
    </w:p>
    <w:p w14:paraId="7DFBD22B"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c) Biblioteca de San Mateo </w:t>
      </w:r>
      <w:proofErr w:type="spellStart"/>
      <w:r w:rsidRPr="003F52B3">
        <w:rPr>
          <w:rFonts w:ascii="Palatino Linotype" w:eastAsia="Palatino Linotype" w:hAnsi="Palatino Linotype" w:cs="Palatino Linotype"/>
          <w:i/>
          <w:sz w:val="22"/>
          <w:szCs w:val="22"/>
        </w:rPr>
        <w:t>Tepopula</w:t>
      </w:r>
      <w:proofErr w:type="spellEnd"/>
    </w:p>
    <w:p w14:paraId="40BAA86B"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d) Biblioteca de Santiago </w:t>
      </w:r>
      <w:proofErr w:type="spellStart"/>
      <w:r w:rsidRPr="003F52B3">
        <w:rPr>
          <w:rFonts w:ascii="Palatino Linotype" w:eastAsia="Palatino Linotype" w:hAnsi="Palatino Linotype" w:cs="Palatino Linotype"/>
          <w:i/>
          <w:sz w:val="22"/>
          <w:szCs w:val="22"/>
        </w:rPr>
        <w:t>Tepopula</w:t>
      </w:r>
      <w:proofErr w:type="spellEnd"/>
    </w:p>
    <w:p w14:paraId="53DBE0D2"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10.- Dirección de Desarrollo Económico</w:t>
      </w:r>
    </w:p>
    <w:p w14:paraId="354CAADC"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a) Área de Licencias y Reglamentos</w:t>
      </w:r>
    </w:p>
    <w:p w14:paraId="59439A34"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b) Desarrollo Agropecuario</w:t>
      </w:r>
    </w:p>
    <w:p w14:paraId="117FA665"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c) Coordinación de ecología</w:t>
      </w:r>
    </w:p>
    <w:p w14:paraId="691F1A93"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lastRenderedPageBreak/>
        <w:t>11.- Dirección de Servicios Públicos</w:t>
      </w:r>
    </w:p>
    <w:p w14:paraId="694B67D8"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a) Panteones</w:t>
      </w:r>
    </w:p>
    <w:p w14:paraId="0CDBBFA2"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12.- Dirección de Seguridad Pública y Vialidad Municipal</w:t>
      </w:r>
    </w:p>
    <w:p w14:paraId="65536E7C"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13.- Dirección de desarrollo social</w:t>
      </w:r>
    </w:p>
    <w:p w14:paraId="4CC27392"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a) Coordinación de salud</w:t>
      </w:r>
    </w:p>
    <w:p w14:paraId="5AD890CA"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14.- Protección Civil</w:t>
      </w:r>
    </w:p>
    <w:p w14:paraId="41376CAD"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15.- Dirección de atención a la mujer.</w:t>
      </w:r>
    </w:p>
    <w:p w14:paraId="0650F3C8"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16.- Unidad de Información, Planeación, Programación, y Evaluación.</w:t>
      </w:r>
    </w:p>
    <w:p w14:paraId="6AA4E558" w14:textId="77777777" w:rsidR="007A0E0A" w:rsidRPr="003F52B3" w:rsidRDefault="007A0E0A">
      <w:pPr>
        <w:ind w:left="851" w:right="616"/>
        <w:jc w:val="both"/>
        <w:rPr>
          <w:rFonts w:ascii="Palatino Linotype" w:eastAsia="Palatino Linotype" w:hAnsi="Palatino Linotype" w:cs="Palatino Linotype"/>
          <w:b/>
          <w:i/>
          <w:sz w:val="22"/>
          <w:szCs w:val="22"/>
        </w:rPr>
      </w:pPr>
    </w:p>
    <w:p w14:paraId="52FF48D2"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CAPITULO II. DE LAS AUTORIDADES AUXILIARES ORGANISMOS DESCENTRALIZADOS AUXILIARES DEL AYUNTAMIENTO</w:t>
      </w:r>
    </w:p>
    <w:p w14:paraId="269970B0"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17.- Sistema Municipal para el Desarrollo Integral de la Familia (DIF)</w:t>
      </w:r>
    </w:p>
    <w:p w14:paraId="6784E5F4" w14:textId="77777777" w:rsidR="007A0E0A" w:rsidRPr="003F52B3" w:rsidRDefault="00871D72">
      <w:pPr>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18.- Instituto Municipal de Cultura, Física y Deporte de Tenango del Aire, México.</w:t>
      </w:r>
    </w:p>
    <w:p w14:paraId="7076AF8F" w14:textId="77777777" w:rsidR="007A0E0A" w:rsidRPr="003F52B3" w:rsidRDefault="00871D72">
      <w:pPr>
        <w:ind w:left="1440" w:right="616" w:hanging="589"/>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19.- Organismo Descentralizado de Agua Potable, Alcantarillado y Saneamiento (Incorporado por sesión de cabildo en el acta número 43 en su punto 10 de fecha 30 de noviembre de 2019</w:t>
      </w:r>
      <w:proofErr w:type="gramStart"/>
      <w:r w:rsidRPr="003F52B3">
        <w:rPr>
          <w:rFonts w:ascii="Palatino Linotype" w:eastAsia="Palatino Linotype" w:hAnsi="Palatino Linotype" w:cs="Palatino Linotype"/>
          <w:b/>
          <w:i/>
          <w:sz w:val="22"/>
          <w:szCs w:val="22"/>
        </w:rPr>
        <w:t>).mujer</w:t>
      </w:r>
      <w:proofErr w:type="gramEnd"/>
    </w:p>
    <w:p w14:paraId="1439ECB3"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Órgano autónomo:</w:t>
      </w:r>
    </w:p>
    <w:p w14:paraId="0D3A4A4D"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20.- Defensoría Municipal de Derechos Humanos Órgano desconcentrado</w:t>
      </w:r>
    </w:p>
    <w:p w14:paraId="10411317" w14:textId="77777777" w:rsidR="007A0E0A" w:rsidRPr="003F52B3" w:rsidRDefault="00871D72">
      <w:pP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21.- Oficialía del Registro Civil”</w:t>
      </w:r>
    </w:p>
    <w:p w14:paraId="2B8605CA"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4F98E535"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Dicho lo anterior, cabe hacer la precisión que los organismos descentralizados del Ayuntamiento de Tenango del Aire, no son Sujetos Obligados independientes, de acuerdo con el Padrón de Sujetos Obligados en materia de Datos Personales del Estado de México y Municipios, por lo que, dependen directamente del propio Ayuntamiento. </w:t>
      </w:r>
    </w:p>
    <w:p w14:paraId="379DFF64"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435B70B3"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Ahora bien, el artículo 22 fracción X del Reglamento Interior de la Administración Pública del Ayuntamiento de Tenango del Aire, advierte que el </w:t>
      </w:r>
      <w:proofErr w:type="gramStart"/>
      <w:r w:rsidRPr="003F52B3">
        <w:rPr>
          <w:rFonts w:ascii="Palatino Linotype" w:eastAsia="Palatino Linotype" w:hAnsi="Palatino Linotype" w:cs="Palatino Linotype"/>
          <w:sz w:val="22"/>
          <w:szCs w:val="22"/>
        </w:rPr>
        <w:t>Director</w:t>
      </w:r>
      <w:proofErr w:type="gramEnd"/>
      <w:r w:rsidRPr="003F52B3">
        <w:rPr>
          <w:rFonts w:ascii="Palatino Linotype" w:eastAsia="Palatino Linotype" w:hAnsi="Palatino Linotype" w:cs="Palatino Linotype"/>
          <w:sz w:val="22"/>
          <w:szCs w:val="22"/>
        </w:rPr>
        <w:t xml:space="preserve"> de Recursos Humanos dependiente de la Tesorería, tendrá las siguientes atribuciones:</w:t>
      </w:r>
    </w:p>
    <w:p w14:paraId="25FF66E9"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521BB0FD"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ARTÍCULO 22.</w:t>
      </w:r>
      <w:r w:rsidRPr="003F52B3">
        <w:rPr>
          <w:rFonts w:ascii="Palatino Linotype" w:eastAsia="Palatino Linotype" w:hAnsi="Palatino Linotype" w:cs="Palatino Linotype"/>
          <w:i/>
          <w:sz w:val="22"/>
          <w:szCs w:val="22"/>
        </w:rPr>
        <w:t xml:space="preserve"> Los titulares de las áreas administrativas de la Tesorería tendrán las siguientes atribuciones generales:</w:t>
      </w:r>
    </w:p>
    <w:p w14:paraId="0B61CA88"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41A3771B" w14:textId="77777777" w:rsidR="007A0E0A" w:rsidRPr="003F52B3" w:rsidRDefault="00871D72">
      <w:pPr>
        <w:spacing w:line="276" w:lineRule="auto"/>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lastRenderedPageBreak/>
        <w:t xml:space="preserve">X.-El </w:t>
      </w:r>
      <w:proofErr w:type="gramStart"/>
      <w:r w:rsidRPr="003F52B3">
        <w:rPr>
          <w:rFonts w:ascii="Palatino Linotype" w:eastAsia="Palatino Linotype" w:hAnsi="Palatino Linotype" w:cs="Palatino Linotype"/>
          <w:b/>
          <w:i/>
          <w:sz w:val="22"/>
          <w:szCs w:val="22"/>
        </w:rPr>
        <w:t>Director</w:t>
      </w:r>
      <w:proofErr w:type="gramEnd"/>
      <w:r w:rsidRPr="003F52B3">
        <w:rPr>
          <w:rFonts w:ascii="Palatino Linotype" w:eastAsia="Palatino Linotype" w:hAnsi="Palatino Linotype" w:cs="Palatino Linotype"/>
          <w:b/>
          <w:i/>
          <w:sz w:val="22"/>
          <w:szCs w:val="22"/>
        </w:rPr>
        <w:t xml:space="preserve"> de Recursos Humanos, tendrá las siguientes atribuciones: </w:t>
      </w:r>
    </w:p>
    <w:p w14:paraId="371D2D63"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*Proponer la Política de Administración de los Recursos Humanos de las dependencias de la Administración Pública Municipal, los sistemas de selección, contratación, remuneraciones y control, así como disponer lo necesario para su Instrumentación, ejecución, seguimiento, control y evaluación del personal;</w:t>
      </w:r>
    </w:p>
    <w:p w14:paraId="7562FBFD"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716A0E9F" w14:textId="77777777" w:rsidR="007A0E0A" w:rsidRPr="003F52B3" w:rsidRDefault="00871D72">
      <w:pP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u w:val="single"/>
        </w:rPr>
        <w:t>Desarrollar, instrumentar, ejecutar, controlar y evaluar el sistema de pagos del personal de las Dependencias Administración Pública Municipal</w:t>
      </w:r>
      <w:r w:rsidRPr="003F52B3">
        <w:rPr>
          <w:rFonts w:ascii="Palatino Linotype" w:eastAsia="Palatino Linotype" w:hAnsi="Palatino Linotype" w:cs="Palatino Linotype"/>
          <w:i/>
          <w:sz w:val="22"/>
          <w:szCs w:val="22"/>
        </w:rPr>
        <w:t xml:space="preserve">, la aplicación de descuentos, retenciones y bonificaciones, la suspensión de pagos, la recuperación de salarios no devengados y </w:t>
      </w:r>
      <w:r w:rsidRPr="003F52B3">
        <w:rPr>
          <w:rFonts w:ascii="Palatino Linotype" w:eastAsia="Palatino Linotype" w:hAnsi="Palatino Linotype" w:cs="Palatino Linotype"/>
          <w:b/>
          <w:i/>
          <w:sz w:val="22"/>
          <w:szCs w:val="22"/>
        </w:rPr>
        <w:t>la verificación del pago de remuneraciones</w:t>
      </w:r>
      <w:r w:rsidRPr="003F52B3">
        <w:rPr>
          <w:rFonts w:ascii="Palatino Linotype" w:eastAsia="Palatino Linotype" w:hAnsi="Palatino Linotype" w:cs="Palatino Linotype"/>
          <w:i/>
          <w:sz w:val="22"/>
          <w:szCs w:val="22"/>
        </w:rPr>
        <w:t>, tanto en la supervisión de la nómina como la comprobación de reintegros y de las cantidades devengadas.”</w:t>
      </w:r>
    </w:p>
    <w:p w14:paraId="0CBFD164" w14:textId="77777777" w:rsidR="007A0E0A" w:rsidRPr="003F52B3" w:rsidRDefault="00871D72">
      <w:pPr>
        <w:spacing w:line="276" w:lineRule="auto"/>
        <w:ind w:left="851" w:right="616"/>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(Énfasis Añadido)</w:t>
      </w:r>
    </w:p>
    <w:p w14:paraId="35D0A4E6"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2052CE8B" w14:textId="77777777" w:rsidR="007A0E0A" w:rsidRPr="003F52B3" w:rsidRDefault="00871D72">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Entonces, podemos definir que el pronunciamiento respecto de la información solicitada fue por parte de la Persona Servidora Pública Habilitada, a la luz del procedimiento establecido por el artículo 162 de la Ley de Transparencia y Acceso a la Información Pública del Estado de México y Municipios, ya que el</w:t>
      </w:r>
      <w:r w:rsidRPr="003F52B3">
        <w:rPr>
          <w:rFonts w:ascii="Palatino Linotype" w:eastAsia="Palatino Linotype" w:hAnsi="Palatino Linotype" w:cs="Palatino Linotype"/>
          <w:b/>
          <w:sz w:val="22"/>
          <w:szCs w:val="22"/>
        </w:rPr>
        <w:t xml:space="preserve"> Sujeto Obligado </w:t>
      </w:r>
      <w:r w:rsidRPr="003F52B3">
        <w:rPr>
          <w:rFonts w:ascii="Palatino Linotype" w:eastAsia="Palatino Linotype" w:hAnsi="Palatino Linotype" w:cs="Palatino Linotype"/>
          <w:sz w:val="22"/>
          <w:szCs w:val="22"/>
        </w:rPr>
        <w:t xml:space="preserve">turnó la solicitud al área en la que podría obrar la información de conformidad con la fracción XXXIX del artículo tercero de la legislación local vigente en materia de transparencia: </w:t>
      </w:r>
    </w:p>
    <w:p w14:paraId="23CA6CCF" w14:textId="77777777" w:rsidR="007A0E0A" w:rsidRPr="003F52B3" w:rsidRDefault="007A0E0A">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p>
    <w:p w14:paraId="27BD1186" w14:textId="77777777" w:rsidR="007A0E0A" w:rsidRPr="003F52B3" w:rsidRDefault="00871D72">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XXXIX. </w:t>
      </w:r>
      <w:r w:rsidRPr="003F52B3">
        <w:rPr>
          <w:rFonts w:ascii="Palatino Linotype" w:eastAsia="Palatino Linotype" w:hAnsi="Palatino Linotype" w:cs="Palatino Linotype"/>
          <w:b/>
          <w:i/>
          <w:sz w:val="22"/>
          <w:szCs w:val="22"/>
        </w:rPr>
        <w:t>Servidor público habilitado:</w:t>
      </w:r>
      <w:r w:rsidRPr="003F52B3">
        <w:rPr>
          <w:rFonts w:ascii="Palatino Linotype" w:eastAsia="Palatino Linotype" w:hAnsi="Palatino Linotype" w:cs="Palatino Linotype"/>
          <w:i/>
          <w:sz w:val="22"/>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1B5610BB" w14:textId="77777777" w:rsidR="007A0E0A" w:rsidRPr="003F52B3" w:rsidRDefault="007A0E0A">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p>
    <w:p w14:paraId="4FCCA19C" w14:textId="77777777" w:rsidR="007A0E0A" w:rsidRPr="003F52B3" w:rsidRDefault="00871D7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este orden de ideas, se advierte que efectivamente la Unidad de Transparencia cumplió con lo expresado en el artículo 162 de la Ley de Transparencia y Acceso a la Información Pública del Estado de México y Municipios, el cual menciona lo siguiente: </w:t>
      </w:r>
    </w:p>
    <w:p w14:paraId="7860C90A" w14:textId="77777777" w:rsidR="007A0E0A" w:rsidRPr="003F52B3" w:rsidRDefault="007A0E0A">
      <w:pPr>
        <w:pBdr>
          <w:top w:val="nil"/>
          <w:left w:val="nil"/>
          <w:bottom w:val="nil"/>
          <w:right w:val="nil"/>
          <w:between w:val="nil"/>
        </w:pBdr>
        <w:spacing w:line="276" w:lineRule="auto"/>
        <w:ind w:right="864"/>
        <w:jc w:val="both"/>
        <w:rPr>
          <w:rFonts w:ascii="Palatino Linotype" w:eastAsia="Palatino Linotype" w:hAnsi="Palatino Linotype" w:cs="Palatino Linotype"/>
          <w:sz w:val="22"/>
          <w:szCs w:val="22"/>
        </w:rPr>
      </w:pPr>
    </w:p>
    <w:p w14:paraId="340D9000" w14:textId="77777777" w:rsidR="007A0E0A" w:rsidRPr="003F52B3" w:rsidRDefault="00871D72">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“Artículo 162. Las unidades de transparencia deberán garantizar que las solicitudes </w:t>
      </w:r>
      <w:r w:rsidRPr="003F52B3">
        <w:rPr>
          <w:rFonts w:ascii="Palatino Linotype" w:eastAsia="Palatino Linotype" w:hAnsi="Palatino Linotype" w:cs="Palatino Linotype"/>
          <w:b/>
          <w:i/>
          <w:sz w:val="22"/>
          <w:szCs w:val="22"/>
        </w:rPr>
        <w:t xml:space="preserve">se turnen a todas las Áreas competentes </w:t>
      </w:r>
      <w:r w:rsidRPr="003F52B3">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075A2426"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2829789C"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Puntualizado lo anterior, cabe recordar que el</w:t>
      </w:r>
      <w:r w:rsidRPr="003F52B3">
        <w:rPr>
          <w:rFonts w:ascii="Palatino Linotype" w:eastAsia="Palatino Linotype" w:hAnsi="Palatino Linotype" w:cs="Palatino Linotype"/>
          <w:b/>
          <w:sz w:val="22"/>
          <w:szCs w:val="22"/>
        </w:rPr>
        <w:t xml:space="preserve"> Sujeto Obligado</w:t>
      </w:r>
      <w:r w:rsidRPr="003F52B3">
        <w:rPr>
          <w:rFonts w:ascii="Palatino Linotype" w:eastAsia="Palatino Linotype" w:hAnsi="Palatino Linotype" w:cs="Palatino Linotype"/>
          <w:sz w:val="22"/>
          <w:szCs w:val="22"/>
        </w:rPr>
        <w:t xml:space="preserve"> a través de la Tesorería Municipal, hizo entrega de la nómina general del Municipio de Tenango del Aire en versión pública, que corresponde de la primera quincena de abril a la segunda quincena de junio de dos mil veinticuatro, la cual contiene clave, nombre completo del trabajador, departamento, puesto y neto pagado, destacando que únicamente testó los nombres de los servidores públicos administrativos y operativos, de conformidad con el artículo 143 párrafo tercero de la Ley de Transparencia y Acceso a la Información Pública, ya que es un dato que pone en riesgo su seguridad por las funciones que desempeña y dejando visible únicamente el nombre de los servidores públicos que cuentan con un cargo de mando medio superior, tal y como se observa a manera de ejemplo, en la siguiente imagen. </w:t>
      </w:r>
    </w:p>
    <w:p w14:paraId="5A04B1FE" w14:textId="77777777" w:rsidR="007A0E0A" w:rsidRPr="003F52B3" w:rsidRDefault="00871D72">
      <w:pPr>
        <w:spacing w:line="360" w:lineRule="auto"/>
        <w:jc w:val="center"/>
        <w:rPr>
          <w:rFonts w:ascii="Palatino Linotype" w:eastAsia="Palatino Linotype" w:hAnsi="Palatino Linotype" w:cs="Palatino Linotype"/>
          <w:sz w:val="22"/>
          <w:szCs w:val="22"/>
        </w:rPr>
      </w:pPr>
      <w:r w:rsidRPr="003F52B3">
        <w:rPr>
          <w:rFonts w:ascii="Palatino Linotype" w:eastAsia="Palatino Linotype" w:hAnsi="Palatino Linotype" w:cs="Palatino Linotype"/>
          <w:noProof/>
          <w:sz w:val="22"/>
          <w:szCs w:val="22"/>
          <w:lang w:val="es-MX" w:eastAsia="es-MX"/>
        </w:rPr>
        <w:drawing>
          <wp:inline distT="0" distB="0" distL="0" distR="0" wp14:anchorId="27F10B21" wp14:editId="6544B7B8">
            <wp:extent cx="5084014" cy="2897542"/>
            <wp:effectExtent l="0" t="0" r="0" b="0"/>
            <wp:docPr id="8319354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084014" cy="2897542"/>
                    </a:xfrm>
                    <a:prstGeom prst="rect">
                      <a:avLst/>
                    </a:prstGeom>
                    <a:ln/>
                  </pic:spPr>
                </pic:pic>
              </a:graphicData>
            </a:graphic>
          </wp:inline>
        </w:drawing>
      </w:r>
    </w:p>
    <w:p w14:paraId="012D3565"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noProof/>
          <w:sz w:val="22"/>
          <w:szCs w:val="22"/>
          <w:lang w:val="es-MX" w:eastAsia="es-MX"/>
        </w:rPr>
        <w:lastRenderedPageBreak/>
        <w:drawing>
          <wp:inline distT="0" distB="0" distL="0" distR="0" wp14:anchorId="1848F9AB" wp14:editId="429ED735">
            <wp:extent cx="5612130" cy="553720"/>
            <wp:effectExtent l="0" t="0" r="0" b="0"/>
            <wp:docPr id="8319354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2130" cy="553720"/>
                    </a:xfrm>
                    <a:prstGeom prst="rect">
                      <a:avLst/>
                    </a:prstGeom>
                    <a:ln/>
                  </pic:spPr>
                </pic:pic>
              </a:graphicData>
            </a:graphic>
          </wp:inline>
        </w:drawing>
      </w:r>
    </w:p>
    <w:p w14:paraId="3E66082F"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6B54B828"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Al respecto, y del análisis realizado al Acta del Comité de Transparencia por medio del cual se aprobó la versión pública de los documentos entregados en Informe, se advierte que los datos que fueron clasificados corresponden a los nombres de los servidores públicos y el nombre del personal operativo de seguridad pública, al considerar que al compartir dicha información esta puede ocasionar que se comprometa la seguridad pública del servidor público involucrado y no solo eso, sino se expondría la vida de la persona.</w:t>
      </w:r>
    </w:p>
    <w:p w14:paraId="2C29CDF8" w14:textId="77777777" w:rsidR="007A0E0A" w:rsidRPr="003F52B3" w:rsidRDefault="007A0E0A">
      <w:pPr>
        <w:spacing w:line="360" w:lineRule="auto"/>
        <w:ind w:right="49"/>
        <w:jc w:val="both"/>
        <w:rPr>
          <w:rFonts w:ascii="Palatino Linotype" w:eastAsia="Palatino Linotype" w:hAnsi="Palatino Linotype" w:cs="Palatino Linotype"/>
          <w:sz w:val="22"/>
          <w:szCs w:val="22"/>
        </w:rPr>
      </w:pPr>
    </w:p>
    <w:p w14:paraId="5ACF6B40"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Atento a lo anterior, resulta pertinente analizar la procedencia de clasificación de los datos en referencia que se testó dentro de la nómina entregada, con la finalidad de determinar si es procedente o no la clasificación de la información: </w:t>
      </w:r>
    </w:p>
    <w:p w14:paraId="62524D04" w14:textId="77777777" w:rsidR="007A0E0A" w:rsidRPr="003F52B3" w:rsidRDefault="007A0E0A">
      <w:pPr>
        <w:spacing w:line="360" w:lineRule="auto"/>
        <w:ind w:right="49"/>
        <w:jc w:val="both"/>
        <w:rPr>
          <w:rFonts w:ascii="Palatino Linotype" w:eastAsia="Palatino Linotype" w:hAnsi="Palatino Linotype" w:cs="Palatino Linotype"/>
          <w:sz w:val="22"/>
          <w:szCs w:val="22"/>
        </w:rPr>
      </w:pPr>
    </w:p>
    <w:p w14:paraId="0A617955" w14:textId="77777777" w:rsidR="007A0E0A" w:rsidRPr="003F52B3" w:rsidRDefault="00871D72">
      <w:pPr>
        <w:numPr>
          <w:ilvl w:val="0"/>
          <w:numId w:val="7"/>
        </w:num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3F52B3">
        <w:rPr>
          <w:rFonts w:ascii="Palatino Linotype" w:eastAsia="Palatino Linotype" w:hAnsi="Palatino Linotype" w:cs="Palatino Linotype"/>
          <w:b/>
          <w:sz w:val="22"/>
          <w:szCs w:val="22"/>
        </w:rPr>
        <w:t xml:space="preserve">Nombre de servidores públicos. </w:t>
      </w:r>
    </w:p>
    <w:p w14:paraId="5878746A" w14:textId="77777777" w:rsidR="007A0E0A" w:rsidRPr="003F52B3" w:rsidRDefault="00871D72">
      <w:pPr>
        <w:pBdr>
          <w:top w:val="nil"/>
          <w:left w:val="nil"/>
          <w:bottom w:val="nil"/>
          <w:right w:val="nil"/>
          <w:between w:val="nil"/>
        </w:pBdr>
        <w:spacing w:line="360" w:lineRule="auto"/>
        <w:ind w:left="66"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lo que respecta al nombre de servidores públicos, este dato no es susceptible de ser clasificado, puesto que la ciudadanía tiene derecho a saber las acciones que realizan los servidores públicos en ejercicio de sus actividades y más cuando existe de por medio un ejercicio de recursos públicos, esto es, su acceso permite transparentar la aplicación de los recursos públicos, además de hacer identificable a los individuos en cuestión, por lo que el nombre de los servidores públicos es un dato público ya que se encuentra relacionado con el ejercicio de sus funciones, por lo que este dato constituye información que reviste un interés público; por tanto, no existe menoscabo en el derecho a la intimidad del titular del dato personal, cuando se entrega esta información al estar directamente vinculada a funciones públicas, con el ejercicio de recursos públicos. </w:t>
      </w:r>
    </w:p>
    <w:p w14:paraId="2016EBBD" w14:textId="77777777" w:rsidR="007A0E0A" w:rsidRPr="003F52B3" w:rsidRDefault="007A0E0A">
      <w:pPr>
        <w:spacing w:line="360" w:lineRule="auto"/>
        <w:ind w:right="49"/>
        <w:jc w:val="both"/>
        <w:rPr>
          <w:rFonts w:ascii="Palatino Linotype" w:eastAsia="Palatino Linotype" w:hAnsi="Palatino Linotype" w:cs="Palatino Linotype"/>
          <w:sz w:val="22"/>
          <w:szCs w:val="22"/>
        </w:rPr>
      </w:pPr>
    </w:p>
    <w:p w14:paraId="2A5E7459" w14:textId="77777777" w:rsidR="007A0E0A" w:rsidRPr="003F52B3" w:rsidRDefault="00871D7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lastRenderedPageBreak/>
        <w:t>Nombre de Policías</w:t>
      </w:r>
      <w:r w:rsidRPr="003F52B3">
        <w:rPr>
          <w:rFonts w:ascii="Palatino Linotype" w:eastAsia="Palatino Linotype" w:hAnsi="Palatino Linotype" w:cs="Palatino Linotype"/>
          <w:sz w:val="22"/>
          <w:szCs w:val="22"/>
        </w:rPr>
        <w:t xml:space="preserve">. </w:t>
      </w:r>
    </w:p>
    <w:p w14:paraId="04A24723" w14:textId="77777777" w:rsidR="007A0E0A" w:rsidRPr="003F52B3" w:rsidRDefault="00871D72">
      <w:pPr>
        <w:spacing w:before="240" w:after="240" w:line="360" w:lineRule="auto"/>
        <w:jc w:val="both"/>
        <w:rPr>
          <w:rFonts w:ascii="Palatino Linotype" w:eastAsia="Palatino Linotype" w:hAnsi="Palatino Linotype" w:cs="Palatino Linotype"/>
          <w:b/>
          <w:sz w:val="22"/>
          <w:szCs w:val="22"/>
        </w:rPr>
      </w:pPr>
      <w:r w:rsidRPr="003F52B3">
        <w:rPr>
          <w:rFonts w:ascii="Palatino Linotype" w:eastAsia="Palatino Linotype" w:hAnsi="Palatino Linotype" w:cs="Palatino Linotype"/>
          <w:sz w:val="22"/>
          <w:szCs w:val="22"/>
        </w:rPr>
        <w:t xml:space="preserve">Al respecto se destaca que, el personal de Seguridad ha sido clasificado en dos rubros, aludiendo al personal operativo y al personal administrativo, destacando que el personal operativo combate directamente a la delincuencia, mientras que el personal administrativo desempeña actividades diversas a las realizadas por el personal operativo. </w:t>
      </w:r>
    </w:p>
    <w:p w14:paraId="608FC428"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Bajo este contexto, es menester puntualizar que por regla general existe un interés público por conocer quién es el responsable de ejercer actos de autoridad, recibir recursos públicos o incluso generar actos de molestia. Ciertamente tan claro e indiscutible es dicho interés público que dicha información figura dentro de las obligaciones de transparencia común de los Sujetos Obligados, lo anterior con fundamento en el numeral 92, fracción VII de la Ley de Transparencia local “Directorio de servidores públicos”. </w:t>
      </w:r>
    </w:p>
    <w:p w14:paraId="06652673"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7180BD2D"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No obstante, se advierte que la información relativa a servidores públicos cuyas atribuciones se encuentran encauzadas a la prevención o persecución de los delitos y combate directo de la delincuencia, su nombre requiere de un tratamiento diverso en comparación al resto de los servidores públicos, ya que su divulgación puede comprometer el ejercicio de sus facultades y poner en riesgo la vida, seguridad y salud de la persona física, actualizándose con ello lo estipulado por los artículos 113 fracción V de la Ley General de Transparencia y Acceso a la Información Pública y 140, Fracciones IV, de la Ley de Transparencia Estatal, que a la letra establecen lo siguiente:</w:t>
      </w:r>
    </w:p>
    <w:p w14:paraId="72E65869"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09DAB819" w14:textId="77777777" w:rsidR="007A0E0A" w:rsidRPr="003F52B3" w:rsidRDefault="00871D72">
      <w:pPr>
        <w:pBdr>
          <w:top w:val="nil"/>
          <w:left w:val="nil"/>
          <w:bottom w:val="nil"/>
          <w:right w:val="nil"/>
          <w:between w:val="nil"/>
        </w:pBdr>
        <w:ind w:left="851" w:right="616"/>
        <w:jc w:val="both"/>
        <w:rPr>
          <w:rFonts w:ascii="Palatino Linotype" w:eastAsia="Palatino Linotype" w:hAnsi="Palatino Linotype" w:cs="Palatino Linotype"/>
          <w:i/>
          <w:sz w:val="22"/>
          <w:szCs w:val="22"/>
          <w:u w:val="single"/>
        </w:rPr>
      </w:pPr>
      <w:r w:rsidRPr="003F52B3">
        <w:rPr>
          <w:rFonts w:ascii="Palatino Linotype" w:eastAsia="Palatino Linotype" w:hAnsi="Palatino Linotype" w:cs="Palatino Linotype"/>
          <w:i/>
          <w:sz w:val="22"/>
          <w:szCs w:val="22"/>
          <w:u w:val="single"/>
        </w:rPr>
        <w:t>“Artículo 113. Como información reservada podrá clasificarse aquella cuya publicación:</w:t>
      </w:r>
    </w:p>
    <w:p w14:paraId="26D5459D" w14:textId="77777777" w:rsidR="007A0E0A" w:rsidRPr="003F52B3" w:rsidRDefault="00871D72">
      <w:pPr>
        <w:pBdr>
          <w:top w:val="nil"/>
          <w:left w:val="nil"/>
          <w:bottom w:val="nil"/>
          <w:right w:val="nil"/>
          <w:between w:val="nil"/>
        </w:pBdr>
        <w:ind w:left="851" w:right="616"/>
        <w:jc w:val="both"/>
        <w:rPr>
          <w:rFonts w:ascii="Palatino Linotype" w:eastAsia="Palatino Linotype" w:hAnsi="Palatino Linotype" w:cs="Palatino Linotype"/>
          <w:i/>
          <w:sz w:val="22"/>
          <w:szCs w:val="22"/>
          <w:u w:val="single"/>
        </w:rPr>
      </w:pPr>
      <w:r w:rsidRPr="003F52B3">
        <w:rPr>
          <w:rFonts w:ascii="Palatino Linotype" w:eastAsia="Palatino Linotype" w:hAnsi="Palatino Linotype" w:cs="Palatino Linotype"/>
          <w:i/>
          <w:sz w:val="22"/>
          <w:szCs w:val="22"/>
          <w:u w:val="single"/>
        </w:rPr>
        <w:t>…</w:t>
      </w:r>
    </w:p>
    <w:p w14:paraId="5EDC6A28" w14:textId="77777777" w:rsidR="007A0E0A" w:rsidRPr="003F52B3" w:rsidRDefault="00871D72">
      <w:pPr>
        <w:pBdr>
          <w:top w:val="nil"/>
          <w:left w:val="nil"/>
          <w:bottom w:val="nil"/>
          <w:right w:val="nil"/>
          <w:between w:val="nil"/>
        </w:pBdr>
        <w:ind w:left="851" w:right="616"/>
        <w:jc w:val="both"/>
        <w:rPr>
          <w:rFonts w:ascii="Palatino Linotype" w:eastAsia="Palatino Linotype" w:hAnsi="Palatino Linotype" w:cs="Palatino Linotype"/>
          <w:i/>
          <w:sz w:val="22"/>
          <w:szCs w:val="22"/>
          <w:u w:val="single"/>
        </w:rPr>
      </w:pPr>
      <w:r w:rsidRPr="003F52B3">
        <w:rPr>
          <w:rFonts w:ascii="Palatino Linotype" w:eastAsia="Palatino Linotype" w:hAnsi="Palatino Linotype" w:cs="Palatino Linotype"/>
          <w:i/>
          <w:sz w:val="22"/>
          <w:szCs w:val="22"/>
          <w:u w:val="single"/>
        </w:rPr>
        <w:t>V. Pueda poner en riesgo la vida, seguridad o salud de una persona física;</w:t>
      </w:r>
    </w:p>
    <w:p w14:paraId="48E15D5E" w14:textId="77777777" w:rsidR="007A0E0A" w:rsidRPr="003F52B3" w:rsidRDefault="007A0E0A">
      <w:pPr>
        <w:pBdr>
          <w:top w:val="nil"/>
          <w:left w:val="nil"/>
          <w:bottom w:val="nil"/>
          <w:right w:val="nil"/>
          <w:between w:val="nil"/>
        </w:pBdr>
        <w:ind w:left="851" w:right="616"/>
        <w:jc w:val="both"/>
        <w:rPr>
          <w:rFonts w:ascii="Palatino Linotype" w:eastAsia="Palatino Linotype" w:hAnsi="Palatino Linotype" w:cs="Palatino Linotype"/>
          <w:i/>
          <w:sz w:val="22"/>
          <w:szCs w:val="22"/>
          <w:u w:val="single"/>
        </w:rPr>
      </w:pPr>
    </w:p>
    <w:p w14:paraId="08C7BB04" w14:textId="77777777" w:rsidR="007A0E0A" w:rsidRPr="003F52B3" w:rsidRDefault="00871D7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lastRenderedPageBreak/>
        <w:t>Artículo 140.</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i/>
          <w:sz w:val="22"/>
          <w:szCs w:val="22"/>
          <w:u w:val="single"/>
        </w:rPr>
        <w:t>El acceso a la información pública será restringido excepcionalmente, cuando por razones de interés público, ésta sea clasificada como reservada, conforme a los criterios siguientes:</w:t>
      </w:r>
    </w:p>
    <w:p w14:paraId="715E3016" w14:textId="77777777" w:rsidR="007A0E0A" w:rsidRPr="003F52B3" w:rsidRDefault="00871D7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 </w:t>
      </w:r>
    </w:p>
    <w:p w14:paraId="4567BF91" w14:textId="77777777" w:rsidR="007A0E0A" w:rsidRPr="003F52B3" w:rsidRDefault="00871D72">
      <w:pPr>
        <w:pBdr>
          <w:top w:val="nil"/>
          <w:left w:val="nil"/>
          <w:bottom w:val="nil"/>
          <w:right w:val="nil"/>
          <w:between w:val="nil"/>
        </w:pBdr>
        <w:ind w:left="851" w:right="616"/>
        <w:jc w:val="both"/>
        <w:rPr>
          <w:rFonts w:ascii="Palatino Linotype" w:eastAsia="Palatino Linotype" w:hAnsi="Palatino Linotype" w:cs="Palatino Linotype"/>
          <w:i/>
          <w:sz w:val="22"/>
          <w:szCs w:val="22"/>
          <w:u w:val="single"/>
        </w:rPr>
      </w:pPr>
      <w:r w:rsidRPr="003F52B3">
        <w:rPr>
          <w:rFonts w:ascii="Palatino Linotype" w:eastAsia="Palatino Linotype" w:hAnsi="Palatino Linotype" w:cs="Palatino Linotype"/>
          <w:i/>
          <w:sz w:val="22"/>
          <w:szCs w:val="22"/>
          <w:u w:val="single"/>
        </w:rPr>
        <w:t>IV. Ponga en riesgo la vida, la seguridad o la salud de una persona física;</w:t>
      </w:r>
    </w:p>
    <w:p w14:paraId="382CF604" w14:textId="77777777" w:rsidR="007A0E0A" w:rsidRPr="003F52B3" w:rsidRDefault="00871D7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roofErr w:type="gramStart"/>
      <w:r w:rsidRPr="003F52B3">
        <w:rPr>
          <w:rFonts w:ascii="Palatino Linotype" w:eastAsia="Palatino Linotype" w:hAnsi="Palatino Linotype" w:cs="Palatino Linotype"/>
          <w:i/>
          <w:sz w:val="22"/>
          <w:szCs w:val="22"/>
        </w:rPr>
        <w:t>.”(</w:t>
      </w:r>
      <w:proofErr w:type="gramEnd"/>
      <w:r w:rsidRPr="003F52B3">
        <w:rPr>
          <w:rFonts w:ascii="Palatino Linotype" w:eastAsia="Palatino Linotype" w:hAnsi="Palatino Linotype" w:cs="Palatino Linotype"/>
          <w:i/>
          <w:sz w:val="22"/>
          <w:szCs w:val="22"/>
        </w:rPr>
        <w:t>Sic)</w:t>
      </w:r>
    </w:p>
    <w:p w14:paraId="2FE6D736"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45DB11B3"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Al respecto, el Pleno del Órgano Garante Nacional ha sostenido el criterio número </w:t>
      </w:r>
      <w:r w:rsidRPr="003F52B3">
        <w:rPr>
          <w:rFonts w:ascii="Palatino Linotype" w:eastAsia="Palatino Linotype" w:hAnsi="Palatino Linotype" w:cs="Palatino Linotype"/>
          <w:b/>
          <w:sz w:val="22"/>
          <w:szCs w:val="22"/>
        </w:rPr>
        <w:t xml:space="preserve">006/2009 </w:t>
      </w:r>
      <w:r w:rsidRPr="003F52B3">
        <w:rPr>
          <w:rFonts w:ascii="Palatino Linotype" w:eastAsia="Palatino Linotype" w:hAnsi="Palatino Linotype" w:cs="Palatino Linotype"/>
          <w:sz w:val="22"/>
          <w:szCs w:val="22"/>
        </w:rPr>
        <w:t xml:space="preserve">cuyo rubro y texto disponen a la literalidad lo siguiente: </w:t>
      </w:r>
    </w:p>
    <w:p w14:paraId="0042ED21" w14:textId="77777777" w:rsidR="007A0E0A" w:rsidRPr="003F52B3" w:rsidRDefault="00871D7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p>
    <w:p w14:paraId="228FAA16" w14:textId="77777777" w:rsidR="007A0E0A" w:rsidRPr="003F52B3" w:rsidRDefault="00871D7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3F52B3">
        <w:rPr>
          <w:rFonts w:ascii="Palatino Linotype" w:eastAsia="Palatino Linotype" w:hAnsi="Palatino Linotype" w:cs="Palatino Linotype"/>
          <w:i/>
          <w:sz w:val="22"/>
          <w:szCs w:val="22"/>
        </w:rPr>
        <w:t>obstante</w:t>
      </w:r>
      <w:proofErr w:type="gramEnd"/>
      <w:r w:rsidRPr="003F52B3">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C7CD014" w14:textId="77777777" w:rsidR="007A0E0A" w:rsidRPr="003F52B3" w:rsidRDefault="00871D7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Precedentes:</w:t>
      </w:r>
    </w:p>
    <w:p w14:paraId="5B477F6F" w14:textId="77777777" w:rsidR="007A0E0A" w:rsidRPr="003F52B3" w:rsidRDefault="00871D72">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lastRenderedPageBreak/>
        <w:t>Acceso a la información pública. 4548/07. Sesión del 13 de febrero de 2008. Votación por unanimidad. Sin votos disidentes o particulares. Centro de Investigación y Seguridad Nacional. Comisionado Ponente Alonso Gómez-Robledo V.</w:t>
      </w:r>
    </w:p>
    <w:p w14:paraId="60F09C04" w14:textId="77777777" w:rsidR="007A0E0A" w:rsidRPr="003F52B3" w:rsidRDefault="00871D72">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 xml:space="preserve">Acceso a la información pública. 4130/08. Sesión del 17 de diciembre de 2008. Votación por unanimidad. Sin votos disidentes o particulares. Policía Federal Preventiva. Comisionada Ponente Jacqueline </w:t>
      </w:r>
      <w:proofErr w:type="spellStart"/>
      <w:r w:rsidRPr="003F52B3">
        <w:rPr>
          <w:rFonts w:ascii="Palatino Linotype" w:eastAsia="Palatino Linotype" w:hAnsi="Palatino Linotype" w:cs="Palatino Linotype"/>
          <w:i/>
          <w:sz w:val="22"/>
          <w:szCs w:val="22"/>
        </w:rPr>
        <w:t>Peschard</w:t>
      </w:r>
      <w:proofErr w:type="spellEnd"/>
      <w:r w:rsidRPr="003F52B3">
        <w:rPr>
          <w:rFonts w:ascii="Palatino Linotype" w:eastAsia="Palatino Linotype" w:hAnsi="Palatino Linotype" w:cs="Palatino Linotype"/>
          <w:i/>
          <w:sz w:val="22"/>
          <w:szCs w:val="22"/>
        </w:rPr>
        <w:t xml:space="preserve"> Mariscal.</w:t>
      </w:r>
    </w:p>
    <w:p w14:paraId="099E255D" w14:textId="77777777" w:rsidR="007A0E0A" w:rsidRPr="003F52B3" w:rsidRDefault="00871D72">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Acceso a la información pública. 4441/08. Sesión del 14 de enero de 2009. Votación por unanimidad. Sin votos disidentes o particulares. Policía Federal Preventiva. Comisionado Ponente Alonso Gómez-Robledo V.</w:t>
      </w:r>
    </w:p>
    <w:p w14:paraId="130C2772" w14:textId="77777777" w:rsidR="007A0E0A" w:rsidRPr="003F52B3" w:rsidRDefault="00871D72">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 xml:space="preserve">Acceso a la información pública. 5235/08. Sesión del 11 de febrero de 2009. Votación por unanimidad. Sin votos disidentes o particulares. Secretaría de la Defensa Nacional. Comisionada Ponente Jacqueline </w:t>
      </w:r>
      <w:proofErr w:type="spellStart"/>
      <w:r w:rsidRPr="003F52B3">
        <w:rPr>
          <w:rFonts w:ascii="Palatino Linotype" w:eastAsia="Palatino Linotype" w:hAnsi="Palatino Linotype" w:cs="Palatino Linotype"/>
          <w:i/>
          <w:sz w:val="22"/>
          <w:szCs w:val="22"/>
        </w:rPr>
        <w:t>Peschard</w:t>
      </w:r>
      <w:proofErr w:type="spellEnd"/>
      <w:r w:rsidRPr="003F52B3">
        <w:rPr>
          <w:rFonts w:ascii="Palatino Linotype" w:eastAsia="Palatino Linotype" w:hAnsi="Palatino Linotype" w:cs="Palatino Linotype"/>
          <w:i/>
          <w:sz w:val="22"/>
          <w:szCs w:val="22"/>
        </w:rPr>
        <w:t xml:space="preserve"> Mariscal.</w:t>
      </w:r>
    </w:p>
    <w:p w14:paraId="5451FEE7" w14:textId="77777777" w:rsidR="007A0E0A" w:rsidRPr="003F52B3" w:rsidRDefault="00871D72">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i/>
          <w:sz w:val="22"/>
          <w:szCs w:val="22"/>
        </w:rPr>
        <w:t>Acceso a la información pública. 2166/09. Sesión del 19 de agosto de 2009. Votación por unanimidad. Sin votos disidentes o particulares. Secretaría de Seguridad Pública. Comisionado Ponente Juan Pablo Guerrero Amparán.” (Sic)</w:t>
      </w:r>
    </w:p>
    <w:p w14:paraId="68ACD07D" w14:textId="77777777" w:rsidR="007A0E0A" w:rsidRPr="003F52B3" w:rsidRDefault="007A0E0A">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48C72CD1"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Así, el personal operativo se ocupa de garantizar la seguridad pública, a través de acciones preventivas y correctivas, encaminadas a la prevención o persecución de los delitos y combate a la delincuencia en sus diversas manifestaciones, y en ese sentido, una de las formas en que la delincuencia puede llegar a poner en riesgo la seguridad es precisamente anulando, impidiendo, obstaculizando la actuación de los servidores públicos que realizan funciones de carácter operativo.  </w:t>
      </w:r>
    </w:p>
    <w:p w14:paraId="1C0F2CDD"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0D38D316"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De tal forma que revelar la información de personal operativo atenta de forma directa contra sus funciones de independencia y autonomía, a su libertad de actuación libre de coacción o interferencia, incluso, los inhibe a actuar bajo el criterio de objetividad.</w:t>
      </w:r>
    </w:p>
    <w:p w14:paraId="58069A54" w14:textId="77777777" w:rsidR="007A0E0A" w:rsidRPr="003F52B3" w:rsidRDefault="007A0E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5B7038" w14:textId="77777777" w:rsidR="007A0E0A" w:rsidRPr="003F52B3" w:rsidRDefault="00871D7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sentido contrario, el personal de seguridad que desempeña funciones administrativas invariablemente deberá de recibir un tratamiento menos riguroso, puesto que sus funciones </w:t>
      </w:r>
      <w:r w:rsidRPr="003F52B3">
        <w:rPr>
          <w:rFonts w:ascii="Palatino Linotype" w:eastAsia="Palatino Linotype" w:hAnsi="Palatino Linotype" w:cs="Palatino Linotype"/>
          <w:sz w:val="22"/>
          <w:szCs w:val="22"/>
        </w:rPr>
        <w:lastRenderedPageBreak/>
        <w:t xml:space="preserve">no involucran riesgo a la vida, seguridad o salud, por lo que conocer el nombre de los servidores públicos con funciones administrativas adscritos al Sujeto Obligado es de interés general y alcance público, toda vez que al servicio a la sociedad a través de un empleo, cargo o comisión, al que le corresponden determinadas obligaciones a las que quedan constreñidos, y sujetos de que se les exijan determinadas responsabilidades, todo lo cual corresponde a cualquier persona física que preste sus servicios </w:t>
      </w:r>
      <w:r w:rsidRPr="003F52B3">
        <w:rPr>
          <w:rFonts w:ascii="Palatino Linotype" w:eastAsia="Palatino Linotype" w:hAnsi="Palatino Linotype" w:cs="Palatino Linotype"/>
          <w:b/>
          <w:sz w:val="22"/>
          <w:szCs w:val="22"/>
          <w:u w:val="single"/>
        </w:rPr>
        <w:t>bajo cualquier forma en que se sirva al interés público y a cualquier nivel de gobierno</w:t>
      </w:r>
      <w:r w:rsidRPr="003F52B3">
        <w:rPr>
          <w:rFonts w:ascii="Palatino Linotype" w:eastAsia="Palatino Linotype" w:hAnsi="Palatino Linotype" w:cs="Palatino Linotype"/>
          <w:sz w:val="22"/>
          <w:szCs w:val="22"/>
        </w:rPr>
        <w:t xml:space="preserve">, razón por la que es de explorado derecho que su nombre, sin duda alguna, debe ser público ya que es la condición esencial de todo el sistema de una efectiva rendición de cuentas, al que la transparencia y el derecho de acceso a la información contribuyen. </w:t>
      </w:r>
    </w:p>
    <w:p w14:paraId="1EECD6CF" w14:textId="77777777" w:rsidR="007A0E0A" w:rsidRPr="003F52B3" w:rsidRDefault="007A0E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F97B18" w14:textId="77777777" w:rsidR="007A0E0A" w:rsidRPr="003F52B3" w:rsidRDefault="00871D7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Por lo tanto, los nombres de los servidores públicos con funciones administrativas, son información a la que le reviste el carácter de pública y la misma no actualiza los supuestos establecidos en los artículos 140 de la Ley de Transparencia y Acceso a la Información Pública del Estado de México y Municipios y 113 de la Ley General para ser clasificada como información reservada.</w:t>
      </w:r>
    </w:p>
    <w:p w14:paraId="43F434E4" w14:textId="77777777" w:rsidR="007A0E0A" w:rsidRPr="003F52B3" w:rsidRDefault="00871D72">
      <w:pPr>
        <w:spacing w:before="240"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Bajo este orden de ideas, se tiene que la clasificación del nombre de policías previamente analizado y realizada por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es correcta, sin embargo, no pasa desapercibido para este Instituto que dicha versión pública no sólo se testaron los nombres de personal operativo, sino que también, los nombres del personal administrativo y únicamente se dejaron visibles los nombres de los mandos medios superiores. </w:t>
      </w:r>
    </w:p>
    <w:p w14:paraId="0A9DDB55" w14:textId="77777777" w:rsidR="007A0E0A" w:rsidRPr="003F52B3" w:rsidRDefault="00871D72">
      <w:pPr>
        <w:spacing w:before="240"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Por otra parte también hizo entrega del Reporte de Nómina del Sistema Municipal para el Desarrollo Integral de la Familia de Tenango del Aire; sin embargo, de la revisión a cada uno de ellos, se advierte que al igual que la nómina del ayuntamiento, clasificó los nombres de los servidores públicos que no ocupan un cargo de mando medio o superior, asimismo </w:t>
      </w:r>
      <w:r w:rsidRPr="003F52B3">
        <w:rPr>
          <w:rFonts w:ascii="Palatino Linotype" w:eastAsia="Palatino Linotype" w:hAnsi="Palatino Linotype" w:cs="Palatino Linotype"/>
          <w:sz w:val="22"/>
          <w:szCs w:val="22"/>
        </w:rPr>
        <w:lastRenderedPageBreak/>
        <w:t xml:space="preserve">y de la revisión a la versión pública de los documentos se advierte que no se testó de manera permanente por lo que se puede conocer el nombre de los policías operativos, aunado a que se dejó a la vista un número de seguridad correspondiente a un servidor público, sin que se tenga certeza de que dicho dato remita a información considerada como confidencial; no obstante, al tratarse del número de seguridad, este Instituto considera oportuno traer a contexto que 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 por lo que no se hizo del conocimiento de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xml:space="preserve"> </w:t>
      </w:r>
    </w:p>
    <w:p w14:paraId="64F410D0" w14:textId="77777777" w:rsidR="007A0E0A" w:rsidRPr="003F52B3" w:rsidRDefault="00871D72">
      <w:pPr>
        <w:spacing w:before="240"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Aunado a ello, cabe recordar que la parte </w:t>
      </w:r>
      <w:r w:rsidRPr="003F52B3">
        <w:rPr>
          <w:rFonts w:ascii="Palatino Linotype" w:eastAsia="Palatino Linotype" w:hAnsi="Palatino Linotype" w:cs="Palatino Linotype"/>
          <w:b/>
          <w:sz w:val="22"/>
          <w:szCs w:val="22"/>
        </w:rPr>
        <w:t xml:space="preserve">Recurrente </w:t>
      </w:r>
      <w:r w:rsidRPr="003F52B3">
        <w:rPr>
          <w:rFonts w:ascii="Palatino Linotype" w:eastAsia="Palatino Linotype" w:hAnsi="Palatino Linotype" w:cs="Palatino Linotype"/>
          <w:sz w:val="22"/>
          <w:szCs w:val="22"/>
        </w:rPr>
        <w:t xml:space="preserve">solicitó conocer la nómina de las unidades administrativas que integran la administración pública incluyendo los organismos descentralizados auxiliares del Ayuntamiento, por lo que resulta importante señalar, que este Instituto advierte de la revisión realizada a la nómina remitida en informe justificado, que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fue omiso en pronunciarse de todas las unidades administrativas, puesto que a manera de ejemplo, dentro de las direcciones que se contemplan en dichos documentos no se advierte la referente al personal de la Coordinación de Mejora Regulatoria, Sistema de Protección Integral de los Derechos de las Niñas, Niños y Adolescentes, Desarrollo Agropecuario, Coordinación de Ecología, Dirección de Atención a la Mujer, Instituto Municipal de Cultura, Física y Deporte de Tenango del Aire, México y Organismo Descentralizado de Agua Potable, Alcantarillado y Saneamiento, por mencionar algunos; por lo que, resulta procedente ordenar previa búsqueda exhaustiva y razonable, la entrega del documento en donde conste la nómina del Ayuntamiento de Tenango del Aire incluyendo los organismos descentralizados, de la primera quincena de abril a la segunda quincena de junio de dos mil veinticuatro, en versión pública. </w:t>
      </w:r>
    </w:p>
    <w:p w14:paraId="0235D99A" w14:textId="77777777" w:rsidR="007A0E0A" w:rsidRPr="003F52B3" w:rsidRDefault="00871D72">
      <w:pPr>
        <w:spacing w:before="240"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lastRenderedPageBreak/>
        <w:t xml:space="preserve">Finalmente, es de señalar que, como ya se mencionó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3F52B3">
        <w:rPr>
          <w:rFonts w:ascii="Palatino Linotype" w:eastAsia="Palatino Linotype" w:hAnsi="Palatino Linotype" w:cs="Palatino Linotype"/>
          <w:b/>
          <w:sz w:val="22"/>
          <w:szCs w:val="22"/>
        </w:rPr>
        <w:t>Secretaría Técnica del Pleno</w:t>
      </w:r>
      <w:r w:rsidRPr="003F52B3">
        <w:rPr>
          <w:rFonts w:ascii="Palatino Linotype" w:eastAsia="Palatino Linotype" w:hAnsi="Palatino Linotype" w:cs="Palatino Linotype"/>
          <w:sz w:val="22"/>
          <w:szCs w:val="22"/>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w:t>
      </w:r>
    </w:p>
    <w:p w14:paraId="66E99AD8" w14:textId="77777777" w:rsidR="007A0E0A" w:rsidRPr="003F52B3" w:rsidRDefault="00871D7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 xml:space="preserve">Quinto. Versión Pública. </w:t>
      </w:r>
      <w:r w:rsidRPr="003F52B3">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AE64FA0"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Artículo 3.</w:t>
      </w:r>
      <w:r w:rsidRPr="003F52B3">
        <w:rPr>
          <w:rFonts w:ascii="Palatino Linotype" w:eastAsia="Palatino Linotype" w:hAnsi="Palatino Linotype" w:cs="Palatino Linotype"/>
          <w:i/>
          <w:sz w:val="22"/>
          <w:szCs w:val="22"/>
        </w:rPr>
        <w:t xml:space="preserve"> Para los efectos de la presente Ley se entenderá </w:t>
      </w:r>
      <w:proofErr w:type="gramStart"/>
      <w:r w:rsidRPr="003F52B3">
        <w:rPr>
          <w:rFonts w:ascii="Palatino Linotype" w:eastAsia="Palatino Linotype" w:hAnsi="Palatino Linotype" w:cs="Palatino Linotype"/>
          <w:i/>
          <w:sz w:val="22"/>
          <w:szCs w:val="22"/>
        </w:rPr>
        <w:t>por:…</w:t>
      </w:r>
      <w:proofErr w:type="gramEnd"/>
    </w:p>
    <w:p w14:paraId="608980F8"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XX.</w:t>
      </w:r>
      <w:r w:rsidRPr="003F52B3">
        <w:rPr>
          <w:rFonts w:ascii="Palatino Linotype" w:eastAsia="Palatino Linotype" w:hAnsi="Palatino Linotype" w:cs="Palatino Linotype"/>
          <w:i/>
          <w:sz w:val="22"/>
          <w:szCs w:val="22"/>
        </w:rPr>
        <w:t xml:space="preserve"> Información clasificada: Aquella considerada por la presente Ley como reservada o confidencial; </w:t>
      </w:r>
    </w:p>
    <w:p w14:paraId="16258DC0"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XXI.</w:t>
      </w:r>
      <w:r w:rsidRPr="003F52B3">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9BBC88E"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lastRenderedPageBreak/>
        <w:t>…</w:t>
      </w:r>
    </w:p>
    <w:p w14:paraId="7409C633"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XXXIV</w:t>
      </w:r>
      <w:r w:rsidRPr="003F52B3">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360591D5"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0EB8633C"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XLV.</w:t>
      </w:r>
      <w:r w:rsidRPr="003F52B3">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2C3B9E1"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91.</w:t>
      </w:r>
      <w:r w:rsidRPr="003F52B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9BED8B6"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122.</w:t>
      </w:r>
      <w:r w:rsidRPr="003F52B3">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3F52B3">
        <w:rPr>
          <w:rFonts w:ascii="Palatino Linotype" w:eastAsia="Palatino Linotype" w:hAnsi="Palatino Linotype" w:cs="Palatino Linotype"/>
          <w:i/>
          <w:sz w:val="22"/>
          <w:szCs w:val="22"/>
        </w:rPr>
        <w:t>actualiza</w:t>
      </w:r>
      <w:proofErr w:type="spellEnd"/>
      <w:r w:rsidRPr="003F52B3">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698C8E23"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5035D49E"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3C2A8D90"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135.</w:t>
      </w:r>
      <w:r w:rsidRPr="003F52B3">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78590D3" w14:textId="77777777" w:rsidR="007A0E0A" w:rsidRPr="003F52B3" w:rsidRDefault="00871D72">
      <w:pPr>
        <w:tabs>
          <w:tab w:val="left" w:pos="709"/>
        </w:tabs>
        <w:ind w:left="567" w:right="567"/>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A11BB60"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143</w:t>
      </w:r>
      <w:r w:rsidRPr="003F52B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4E5214" w14:textId="77777777" w:rsidR="007A0E0A" w:rsidRPr="003F52B3" w:rsidRDefault="00871D72">
      <w:pPr>
        <w:tabs>
          <w:tab w:val="left" w:pos="709"/>
        </w:tabs>
        <w:ind w:left="567" w:right="567"/>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68AF9AEF"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II.</w:t>
      </w:r>
      <w:r w:rsidRPr="003F52B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3D7C294"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III.</w:t>
      </w:r>
      <w:r w:rsidRPr="003F52B3">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75075FD"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4CB5D06"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68BCA198" w14:textId="77777777" w:rsidR="007A0E0A" w:rsidRPr="003F52B3" w:rsidRDefault="00871D72">
      <w:pPr>
        <w:tabs>
          <w:tab w:val="left" w:pos="709"/>
        </w:tabs>
        <w:ind w:left="567" w:right="567"/>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27902C12"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148.</w:t>
      </w:r>
      <w:r w:rsidRPr="003F52B3">
        <w:rPr>
          <w:rFonts w:ascii="Palatino Linotype" w:eastAsia="Palatino Linotype" w:hAnsi="Palatino Linotype" w:cs="Palatino Linotype"/>
          <w:i/>
          <w:sz w:val="22"/>
          <w:szCs w:val="22"/>
        </w:rPr>
        <w:t xml:space="preserve"> No se requerirá el consentimiento del titular de la información confidencial cuando:</w:t>
      </w:r>
    </w:p>
    <w:p w14:paraId="60F77EEF"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w:t>
      </w:r>
      <w:r w:rsidRPr="003F52B3">
        <w:rPr>
          <w:rFonts w:ascii="Palatino Linotype" w:eastAsia="Palatino Linotype" w:hAnsi="Palatino Linotype" w:cs="Palatino Linotype"/>
          <w:i/>
          <w:sz w:val="22"/>
          <w:szCs w:val="22"/>
        </w:rPr>
        <w:t xml:space="preserve"> La información se encuentre en registros públicos o fuentes de acceso público;</w:t>
      </w:r>
    </w:p>
    <w:p w14:paraId="11CD9335"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II.</w:t>
      </w:r>
      <w:r w:rsidRPr="003F52B3">
        <w:rPr>
          <w:rFonts w:ascii="Palatino Linotype" w:eastAsia="Palatino Linotype" w:hAnsi="Palatino Linotype" w:cs="Palatino Linotype"/>
          <w:i/>
          <w:sz w:val="22"/>
          <w:szCs w:val="22"/>
        </w:rPr>
        <w:t xml:space="preserve"> Por Ley tenga el carácter de pública;</w:t>
      </w:r>
    </w:p>
    <w:p w14:paraId="16951FD0"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III</w:t>
      </w:r>
      <w:r w:rsidRPr="003F52B3">
        <w:rPr>
          <w:rFonts w:ascii="Palatino Linotype" w:eastAsia="Palatino Linotype" w:hAnsi="Palatino Linotype" w:cs="Palatino Linotype"/>
          <w:i/>
          <w:sz w:val="22"/>
          <w:szCs w:val="22"/>
        </w:rPr>
        <w:t>. Exista una orden judicial;</w:t>
      </w:r>
    </w:p>
    <w:p w14:paraId="71F233F2"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IV.</w:t>
      </w:r>
      <w:r w:rsidRPr="003F52B3">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73BFAC65"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V.</w:t>
      </w:r>
      <w:r w:rsidRPr="003F52B3">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1B4584AC"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4FF7634" w14:textId="77777777" w:rsidR="007A0E0A" w:rsidRPr="003F52B3" w:rsidRDefault="00871D72">
      <w:pPr>
        <w:tabs>
          <w:tab w:val="left" w:pos="709"/>
        </w:tabs>
        <w:ind w:left="567" w:right="567"/>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149.</w:t>
      </w:r>
      <w:r w:rsidRPr="003F52B3">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676679D0" w14:textId="77777777" w:rsidR="007A0E0A" w:rsidRPr="003F52B3" w:rsidRDefault="007A0E0A">
      <w:pPr>
        <w:spacing w:line="360" w:lineRule="auto"/>
        <w:ind w:right="49"/>
        <w:jc w:val="both"/>
        <w:rPr>
          <w:rFonts w:ascii="Palatino Linotype" w:eastAsia="Palatino Linotype" w:hAnsi="Palatino Linotype" w:cs="Palatino Linotype"/>
          <w:sz w:val="22"/>
          <w:szCs w:val="22"/>
        </w:rPr>
      </w:pPr>
    </w:p>
    <w:p w14:paraId="615C00FE"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219F07B6"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6CF7991F"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w:t>
      </w:r>
      <w:r w:rsidRPr="003F52B3">
        <w:rPr>
          <w:rFonts w:ascii="Palatino Linotype" w:eastAsia="Palatino Linotype" w:hAnsi="Palatino Linotype" w:cs="Palatino Linotype"/>
          <w:sz w:val="22"/>
          <w:szCs w:val="22"/>
        </w:rPr>
        <w:lastRenderedPageBreak/>
        <w:t>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71BA2974"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0DD53643"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78F6A34"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63EA19C4" w14:textId="77777777" w:rsidR="007A0E0A" w:rsidRPr="003F52B3" w:rsidRDefault="00871D72">
      <w:pPr>
        <w:ind w:left="567"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Artículo 168</w:t>
      </w:r>
      <w:r w:rsidRPr="003F52B3">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26EB5BFB" w14:textId="77777777" w:rsidR="007A0E0A" w:rsidRPr="003F52B3" w:rsidRDefault="00871D72">
      <w:pPr>
        <w:ind w:left="567"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w:t>
      </w:r>
      <w:r w:rsidRPr="003F52B3">
        <w:rPr>
          <w:rFonts w:ascii="Palatino Linotype" w:eastAsia="Palatino Linotype" w:hAnsi="Palatino Linotype" w:cs="Palatino Linotype"/>
          <w:i/>
          <w:sz w:val="22"/>
          <w:szCs w:val="22"/>
        </w:rPr>
        <w:t xml:space="preserve"> El Área deberá remitir la solicitud, así como un escrito en el que </w:t>
      </w:r>
      <w:r w:rsidRPr="003F52B3">
        <w:rPr>
          <w:rFonts w:ascii="Palatino Linotype" w:eastAsia="Palatino Linotype" w:hAnsi="Palatino Linotype" w:cs="Palatino Linotype"/>
          <w:b/>
          <w:i/>
          <w:sz w:val="22"/>
          <w:szCs w:val="22"/>
        </w:rPr>
        <w:t>funde y motive la clasificación al Comité de Transparencia</w:t>
      </w:r>
      <w:r w:rsidRPr="003F52B3">
        <w:rPr>
          <w:rFonts w:ascii="Palatino Linotype" w:eastAsia="Palatino Linotype" w:hAnsi="Palatino Linotype" w:cs="Palatino Linotype"/>
          <w:i/>
          <w:sz w:val="22"/>
          <w:szCs w:val="22"/>
        </w:rPr>
        <w:t>, mismo que deberá resolver para:</w:t>
      </w:r>
    </w:p>
    <w:p w14:paraId="2E34759D" w14:textId="77777777" w:rsidR="007A0E0A" w:rsidRPr="003F52B3" w:rsidRDefault="00871D72">
      <w:pPr>
        <w:ind w:left="567" w:right="616"/>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i/>
          <w:sz w:val="22"/>
          <w:szCs w:val="22"/>
        </w:rPr>
        <w:t>a</w:t>
      </w:r>
      <w:r w:rsidRPr="003F52B3">
        <w:rPr>
          <w:rFonts w:ascii="Palatino Linotype" w:eastAsia="Palatino Linotype" w:hAnsi="Palatino Linotype" w:cs="Palatino Linotype"/>
          <w:b/>
          <w:i/>
          <w:sz w:val="22"/>
          <w:szCs w:val="22"/>
        </w:rPr>
        <w:t>) Confirmar la clasificación;</w:t>
      </w:r>
    </w:p>
    <w:p w14:paraId="2D90E22D" w14:textId="77777777" w:rsidR="007A0E0A" w:rsidRPr="003F52B3" w:rsidRDefault="00871D72">
      <w:pPr>
        <w:ind w:left="567"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2A419F88" w14:textId="77777777" w:rsidR="007A0E0A" w:rsidRPr="003F52B3" w:rsidRDefault="00871D72">
      <w:pPr>
        <w:ind w:left="567"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II.</w:t>
      </w:r>
      <w:r w:rsidRPr="003F52B3">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3291ED50" w14:textId="77777777" w:rsidR="007A0E0A" w:rsidRPr="003F52B3" w:rsidRDefault="00871D72">
      <w:pPr>
        <w:ind w:left="567"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III.</w:t>
      </w:r>
      <w:r w:rsidRPr="003F52B3">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2349E5CA"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6501340C" w14:textId="77777777" w:rsidR="007A0E0A" w:rsidRPr="003F52B3" w:rsidRDefault="00871D72">
      <w:pPr>
        <w:spacing w:line="360" w:lineRule="auto"/>
        <w:ind w:right="51"/>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w:t>
      </w:r>
      <w:r w:rsidRPr="003F52B3">
        <w:rPr>
          <w:rFonts w:ascii="Palatino Linotype" w:eastAsia="Palatino Linotype" w:hAnsi="Palatino Linotype" w:cs="Palatino Linotype"/>
          <w:sz w:val="22"/>
          <w:szCs w:val="22"/>
        </w:rPr>
        <w:lastRenderedPageBreak/>
        <w:t>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A369D01"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3F52B3">
        <w:rPr>
          <w:rFonts w:ascii="Palatino Linotype" w:eastAsia="Palatino Linotype" w:hAnsi="Palatino Linotype" w:cs="Palatino Linotype"/>
          <w:b/>
          <w:sz w:val="22"/>
          <w:szCs w:val="22"/>
        </w:rPr>
        <w:t>Registro Federal de Contribuyentes</w:t>
      </w:r>
      <w:r w:rsidRPr="003F52B3">
        <w:rPr>
          <w:rFonts w:ascii="Palatino Linotype" w:eastAsia="Palatino Linotype" w:hAnsi="Palatino Linotype" w:cs="Palatino Linotype"/>
          <w:sz w:val="22"/>
          <w:szCs w:val="22"/>
        </w:rPr>
        <w:t xml:space="preserve"> (RFC), la </w:t>
      </w:r>
      <w:r w:rsidRPr="003F52B3">
        <w:rPr>
          <w:rFonts w:ascii="Palatino Linotype" w:eastAsia="Palatino Linotype" w:hAnsi="Palatino Linotype" w:cs="Palatino Linotype"/>
          <w:b/>
          <w:sz w:val="22"/>
          <w:szCs w:val="22"/>
        </w:rPr>
        <w:t>Clave Única de Registro de Población</w:t>
      </w:r>
      <w:r w:rsidRPr="003F52B3">
        <w:rPr>
          <w:rFonts w:ascii="Palatino Linotype" w:eastAsia="Palatino Linotype" w:hAnsi="Palatino Linotype" w:cs="Palatino Linotype"/>
          <w:sz w:val="22"/>
          <w:szCs w:val="22"/>
        </w:rPr>
        <w:t xml:space="preserve"> (CURP) y la </w:t>
      </w:r>
      <w:r w:rsidRPr="003F52B3">
        <w:rPr>
          <w:rFonts w:ascii="Palatino Linotype" w:eastAsia="Palatino Linotype" w:hAnsi="Palatino Linotype" w:cs="Palatino Linotype"/>
          <w:b/>
          <w:sz w:val="22"/>
          <w:szCs w:val="22"/>
        </w:rPr>
        <w:t>Clave de cualquier tipo de seguridad social</w:t>
      </w:r>
      <w:r w:rsidRPr="003F52B3">
        <w:rPr>
          <w:rFonts w:ascii="Palatino Linotype" w:eastAsia="Palatino Linotype" w:hAnsi="Palatino Linotype" w:cs="Palatino Linotype"/>
          <w:sz w:val="22"/>
          <w:szCs w:val="22"/>
        </w:rPr>
        <w:t xml:space="preserve"> (ISSEMYM, u otros), así como, los </w:t>
      </w:r>
      <w:r w:rsidRPr="003F52B3">
        <w:rPr>
          <w:rFonts w:ascii="Palatino Linotype" w:eastAsia="Palatino Linotype" w:hAnsi="Palatino Linotype" w:cs="Palatino Linotype"/>
          <w:b/>
          <w:sz w:val="22"/>
          <w:szCs w:val="22"/>
        </w:rPr>
        <w:t>préstamos o descuentos</w:t>
      </w:r>
      <w:r w:rsidRPr="003F52B3">
        <w:rPr>
          <w:rFonts w:ascii="Palatino Linotype" w:eastAsia="Palatino Linotype" w:hAnsi="Palatino Linotype" w:cs="Palatino Linotype"/>
          <w:sz w:val="22"/>
          <w:szCs w:val="22"/>
        </w:rPr>
        <w:t xml:space="preserve"> que se le hagan a la persona y que no tengan relación con los impuestos o la cuota por seguridad social, así el</w:t>
      </w:r>
      <w:r w:rsidRPr="003F52B3">
        <w:rPr>
          <w:rFonts w:ascii="Palatino Linotype" w:eastAsia="Palatino Linotype" w:hAnsi="Palatino Linotype" w:cs="Palatino Linotype"/>
          <w:b/>
          <w:sz w:val="22"/>
          <w:szCs w:val="22"/>
        </w:rPr>
        <w:t xml:space="preserve"> número de empleado, </w:t>
      </w:r>
      <w:r w:rsidRPr="003F52B3">
        <w:rPr>
          <w:rFonts w:ascii="Palatino Linotype" w:eastAsia="Palatino Linotype" w:hAnsi="Palatino Linotype" w:cs="Palatino Linotype"/>
          <w:sz w:val="22"/>
          <w:szCs w:val="22"/>
        </w:rPr>
        <w:t xml:space="preserve">así como de ser el caso, el </w:t>
      </w:r>
      <w:r w:rsidRPr="003F52B3">
        <w:rPr>
          <w:rFonts w:ascii="Palatino Linotype" w:eastAsia="Palatino Linotype" w:hAnsi="Palatino Linotype" w:cs="Palatino Linotype"/>
          <w:b/>
          <w:sz w:val="22"/>
          <w:szCs w:val="22"/>
        </w:rPr>
        <w:t>folio fiscal</w:t>
      </w:r>
      <w:r w:rsidRPr="003F52B3">
        <w:rPr>
          <w:rFonts w:ascii="Palatino Linotype" w:eastAsia="Palatino Linotype" w:hAnsi="Palatino Linotype" w:cs="Palatino Linotype"/>
          <w:sz w:val="22"/>
          <w:szCs w:val="22"/>
        </w:rPr>
        <w:t xml:space="preserve">, la  </w:t>
      </w:r>
      <w:r w:rsidRPr="003F52B3">
        <w:rPr>
          <w:rFonts w:ascii="Palatino Linotype" w:eastAsia="Palatino Linotype" w:hAnsi="Palatino Linotype" w:cs="Palatino Linotype"/>
          <w:b/>
          <w:sz w:val="22"/>
          <w:szCs w:val="22"/>
        </w:rPr>
        <w:t xml:space="preserve">cadena original, </w:t>
      </w:r>
      <w:r w:rsidRPr="003F52B3">
        <w:rPr>
          <w:rFonts w:ascii="Palatino Linotype" w:eastAsia="Palatino Linotype" w:hAnsi="Palatino Linotype" w:cs="Palatino Linotype"/>
          <w:sz w:val="22"/>
          <w:szCs w:val="22"/>
        </w:rPr>
        <w:t>los</w:t>
      </w:r>
      <w:r w:rsidRPr="003F52B3">
        <w:rPr>
          <w:rFonts w:ascii="Palatino Linotype" w:eastAsia="Palatino Linotype" w:hAnsi="Palatino Linotype" w:cs="Palatino Linotype"/>
          <w:b/>
          <w:sz w:val="22"/>
          <w:szCs w:val="22"/>
        </w:rPr>
        <w:t xml:space="preserve"> códigos bidimensionales o códigos QR,</w:t>
      </w:r>
      <w:r w:rsidRPr="003F52B3">
        <w:rPr>
          <w:rFonts w:ascii="Palatino Linotype" w:eastAsia="Palatino Linotype" w:hAnsi="Palatino Linotype" w:cs="Palatino Linotype"/>
          <w:sz w:val="22"/>
          <w:szCs w:val="22"/>
        </w:rPr>
        <w:t xml:space="preserve"> y cualquier información de carácter fiscal, bajo las siguientes consideraciones. </w:t>
      </w:r>
    </w:p>
    <w:p w14:paraId="1C3217BE"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48C5888C"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D14495C"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6E4F3AD7" w14:textId="77777777" w:rsidR="007A0E0A" w:rsidRPr="003F52B3" w:rsidRDefault="00871D72">
      <w:pPr>
        <w:spacing w:after="120"/>
        <w:ind w:left="851" w:right="902"/>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lastRenderedPageBreak/>
        <w:t xml:space="preserve">“Registro Federal de Contribuyentes (RFC) de personas físicas. </w:t>
      </w:r>
      <w:r w:rsidRPr="003F52B3">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709143F0" w14:textId="77777777" w:rsidR="007A0E0A" w:rsidRPr="003F52B3" w:rsidRDefault="00871D7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3F52B3">
        <w:rPr>
          <w:rFonts w:ascii="Palatino Linotype" w:eastAsia="Palatino Linotype" w:hAnsi="Palatino Linotype" w:cs="Palatino Linotype"/>
          <w:sz w:val="22"/>
          <w:szCs w:val="22"/>
        </w:rPr>
        <w:t>homoclave</w:t>
      </w:r>
      <w:proofErr w:type="spellEnd"/>
      <w:r w:rsidRPr="003F52B3">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FE83584" w14:textId="77777777" w:rsidR="007A0E0A" w:rsidRPr="003F52B3" w:rsidRDefault="00871D7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A59CF03"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3F52B3">
        <w:rPr>
          <w:rFonts w:ascii="Palatino Linotype" w:eastAsia="Palatino Linotype" w:hAnsi="Palatino Linotype" w:cs="Palatino Linotype"/>
          <w:b/>
          <w:sz w:val="22"/>
          <w:szCs w:val="22"/>
        </w:rPr>
        <w:t xml:space="preserve">, conforme al </w:t>
      </w:r>
      <w:r w:rsidRPr="003F52B3">
        <w:rPr>
          <w:rFonts w:ascii="Palatino Linotype" w:eastAsia="Palatino Linotype" w:hAnsi="Palatino Linotype" w:cs="Palatino Linotype"/>
          <w:sz w:val="22"/>
          <w:szCs w:val="22"/>
        </w:rPr>
        <w:t xml:space="preserve">criterio número 18/17, el cual refiere: </w:t>
      </w:r>
    </w:p>
    <w:p w14:paraId="4267798F" w14:textId="77777777" w:rsidR="007A0E0A" w:rsidRPr="003F52B3" w:rsidRDefault="00871D72">
      <w:pPr>
        <w:pBdr>
          <w:top w:val="nil"/>
          <w:left w:val="nil"/>
          <w:bottom w:val="nil"/>
          <w:right w:val="nil"/>
          <w:between w:val="nil"/>
        </w:pBdr>
        <w:spacing w:after="120"/>
        <w:ind w:left="851" w:right="902"/>
        <w:jc w:val="both"/>
        <w:rPr>
          <w:rFonts w:ascii="Palatino Linotype" w:eastAsia="Palatino Linotype" w:hAnsi="Palatino Linotype" w:cs="Palatino Linotype"/>
          <w:b/>
          <w:sz w:val="22"/>
          <w:szCs w:val="22"/>
        </w:rPr>
      </w:pPr>
      <w:r w:rsidRPr="003F52B3">
        <w:rPr>
          <w:rFonts w:ascii="Palatino Linotype" w:eastAsia="Palatino Linotype" w:hAnsi="Palatino Linotype" w:cs="Palatino Linotype"/>
          <w:b/>
          <w:i/>
          <w:sz w:val="22"/>
          <w:szCs w:val="22"/>
        </w:rPr>
        <w:t xml:space="preserve">“Clave Única de Registro de Población (CURP). </w:t>
      </w:r>
      <w:r w:rsidRPr="003F52B3">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6AF4A21"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w:t>
      </w:r>
      <w:r w:rsidRPr="003F52B3">
        <w:rPr>
          <w:rFonts w:ascii="Palatino Linotype" w:eastAsia="Palatino Linotype" w:hAnsi="Palatino Linotype" w:cs="Palatino Linotype"/>
          <w:sz w:val="22"/>
          <w:szCs w:val="22"/>
        </w:rPr>
        <w:lastRenderedPageBreak/>
        <w:t>como orientador el criterio número 15/10 emitido por el entonces Instituto Federal de Transparencia y Acceso a la Información (INAI, cuyo texto y sentido literal es el siguiente:</w:t>
      </w:r>
    </w:p>
    <w:p w14:paraId="5DBB8C08" w14:textId="77777777" w:rsidR="007A0E0A" w:rsidRPr="003F52B3" w:rsidRDefault="00871D72">
      <w:pPr>
        <w:spacing w:before="240" w:after="240"/>
        <w:ind w:left="567" w:right="900"/>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“El número de ficha de identificación única de los trabajadores es información de carácter confidencial.</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i/>
          <w:sz w:val="22"/>
          <w:szCs w:val="22"/>
          <w:u w:val="single"/>
        </w:rPr>
        <w:t>dicha información es susceptible de clasificarse con el carácter de confidencial</w:t>
      </w:r>
      <w:r w:rsidRPr="003F52B3">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7EF80A03"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Respecto de los </w:t>
      </w:r>
      <w:r w:rsidRPr="003F52B3">
        <w:rPr>
          <w:rFonts w:ascii="Palatino Linotype" w:eastAsia="Palatino Linotype" w:hAnsi="Palatino Linotype" w:cs="Palatino Linotype"/>
          <w:b/>
          <w:sz w:val="22"/>
          <w:szCs w:val="22"/>
        </w:rPr>
        <w:t>préstamos o descuentos</w:t>
      </w:r>
      <w:r w:rsidRPr="003F52B3">
        <w:rPr>
          <w:rFonts w:ascii="Palatino Linotype" w:eastAsia="Palatino Linotype" w:hAnsi="Palatino Linotype" w:cs="Palatino Linotype"/>
          <w:sz w:val="22"/>
          <w:szCs w:val="22"/>
        </w:rPr>
        <w:t xml:space="preserve"> </w:t>
      </w:r>
      <w:r w:rsidRPr="003F52B3">
        <w:rPr>
          <w:rFonts w:ascii="Palatino Linotype" w:eastAsia="Palatino Linotype" w:hAnsi="Palatino Linotype" w:cs="Palatino Linotype"/>
          <w:b/>
          <w:sz w:val="22"/>
          <w:szCs w:val="22"/>
        </w:rPr>
        <w:t>de carácter personal</w:t>
      </w:r>
      <w:r w:rsidRPr="003F52B3">
        <w:rPr>
          <w:rFonts w:ascii="Palatino Linotype" w:eastAsia="Palatino Linotype" w:hAnsi="Palatino Linotype" w:cs="Palatino Linotype"/>
          <w:sz w:val="22"/>
          <w:szCs w:val="22"/>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CA4FFA4" w14:textId="77777777" w:rsidR="007A0E0A" w:rsidRPr="003F52B3" w:rsidRDefault="00871D7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30EFF572" w14:textId="77777777" w:rsidR="007A0E0A" w:rsidRPr="003F52B3" w:rsidRDefault="00871D72">
      <w:pPr>
        <w:ind w:left="851" w:right="851"/>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 xml:space="preserve">“ARTÍCULO 84. </w:t>
      </w:r>
      <w:r w:rsidRPr="003F52B3">
        <w:rPr>
          <w:rFonts w:ascii="Palatino Linotype" w:eastAsia="Palatino Linotype" w:hAnsi="Palatino Linotype" w:cs="Palatino Linotype"/>
          <w:i/>
          <w:sz w:val="22"/>
          <w:szCs w:val="22"/>
        </w:rPr>
        <w:t>Sólo podrán hacerse retenciones, descuentos o deducciones al sueldo de los servidores públicos por concepto de:</w:t>
      </w:r>
    </w:p>
    <w:p w14:paraId="00A7D91B"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 Gravámenes fiscales relacionados con el sueldo;</w:t>
      </w:r>
    </w:p>
    <w:p w14:paraId="4240873F" w14:textId="77777777" w:rsidR="007A0E0A" w:rsidRPr="003F52B3" w:rsidRDefault="00871D72">
      <w:pPr>
        <w:ind w:left="851" w:right="851"/>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40915CB2"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III. Cuotas sindicales;</w:t>
      </w:r>
    </w:p>
    <w:p w14:paraId="239DF1AE"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lastRenderedPageBreak/>
        <w:t>IV. Cuotas de aportación a fondos para la constitución de cooperativas y de cajas de ahorro, siempre que el servidor público hubiese manifestado previamente, de manera expresa, su conformidad;</w:t>
      </w:r>
    </w:p>
    <w:p w14:paraId="7D4D71F4"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F19A45D"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35C34E0A"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VII. Faltas de puntualidad o de asistencia injustificadas;</w:t>
      </w:r>
    </w:p>
    <w:p w14:paraId="2095AFB3" w14:textId="77777777" w:rsidR="007A0E0A" w:rsidRPr="003F52B3" w:rsidRDefault="00871D72">
      <w:pPr>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VIII. Pensiones alimenticias ordenadas por la autoridad judicial;</w:t>
      </w:r>
      <w:r w:rsidRPr="003F52B3">
        <w:rPr>
          <w:rFonts w:ascii="Palatino Linotype" w:eastAsia="Palatino Linotype" w:hAnsi="Palatino Linotype" w:cs="Palatino Linotype"/>
          <w:i/>
          <w:sz w:val="22"/>
          <w:szCs w:val="22"/>
        </w:rPr>
        <w:t xml:space="preserve"> o</w:t>
      </w:r>
    </w:p>
    <w:p w14:paraId="2982263E" w14:textId="77777777" w:rsidR="007A0E0A" w:rsidRPr="003F52B3" w:rsidRDefault="00871D72">
      <w:pPr>
        <w:ind w:left="851" w:right="851"/>
        <w:jc w:val="both"/>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IX. Cualquier otro convenido con instituciones de servicios y aceptado por el servidor público.</w:t>
      </w:r>
    </w:p>
    <w:p w14:paraId="0101E58E" w14:textId="77777777" w:rsidR="007A0E0A" w:rsidRPr="003F52B3" w:rsidRDefault="00871D72">
      <w:pPr>
        <w:spacing w:after="120"/>
        <w:ind w:left="851" w:right="85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40D02192" w14:textId="77777777" w:rsidR="007A0E0A" w:rsidRPr="003F52B3" w:rsidRDefault="00871D7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BA4C598" w14:textId="77777777" w:rsidR="007A0E0A" w:rsidRPr="003F52B3" w:rsidRDefault="00871D7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En conclusión, los préstamos o descuentos de carácter personal, en virtud de no tener relación con la prestación del servicio y al no involucrar instituciones públicas, se consideran datos confidenciales.</w:t>
      </w:r>
    </w:p>
    <w:p w14:paraId="4B3D1835"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De la información fiscal</w:t>
      </w:r>
      <w:r w:rsidRPr="003F52B3">
        <w:rPr>
          <w:rFonts w:ascii="Palatino Linotype" w:eastAsia="Palatino Linotype" w:hAnsi="Palatino Linotype" w:cs="Palatino Linotype"/>
          <w:sz w:val="22"/>
          <w:szCs w:val="22"/>
        </w:rPr>
        <w:t xml:space="preserve">: </w:t>
      </w:r>
    </w:p>
    <w:p w14:paraId="01D687BE"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lastRenderedPageBreak/>
        <w:t xml:space="preserve">La </w:t>
      </w:r>
      <w:r w:rsidRPr="003F52B3">
        <w:rPr>
          <w:rFonts w:ascii="Palatino Linotype" w:eastAsia="Palatino Linotype" w:hAnsi="Palatino Linotype" w:cs="Palatino Linotype"/>
          <w:b/>
          <w:sz w:val="22"/>
          <w:szCs w:val="22"/>
        </w:rPr>
        <w:t>Cadena Original</w:t>
      </w:r>
      <w:r w:rsidRPr="003F52B3">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1E223960"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Los </w:t>
      </w:r>
      <w:r w:rsidRPr="003F52B3">
        <w:rPr>
          <w:rFonts w:ascii="Palatino Linotype" w:eastAsia="Palatino Linotype" w:hAnsi="Palatino Linotype" w:cs="Palatino Linotype"/>
          <w:b/>
          <w:sz w:val="22"/>
          <w:szCs w:val="22"/>
        </w:rPr>
        <w:t>códigos bidimensionales</w:t>
      </w:r>
      <w:r w:rsidRPr="003F52B3">
        <w:rPr>
          <w:rFonts w:ascii="Palatino Linotype" w:eastAsia="Palatino Linotype" w:hAnsi="Palatino Linotype" w:cs="Palatino Linotype"/>
          <w:sz w:val="22"/>
          <w:szCs w:val="22"/>
        </w:rPr>
        <w:t xml:space="preserve"> o </w:t>
      </w:r>
      <w:r w:rsidRPr="003F52B3">
        <w:rPr>
          <w:rFonts w:ascii="Palatino Linotype" w:eastAsia="Palatino Linotype" w:hAnsi="Palatino Linotype" w:cs="Palatino Linotype"/>
          <w:b/>
          <w:sz w:val="22"/>
          <w:szCs w:val="22"/>
        </w:rPr>
        <w:t xml:space="preserve">códigos QR, </w:t>
      </w:r>
      <w:r w:rsidRPr="003F52B3">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3F52B3">
        <w:rPr>
          <w:rFonts w:ascii="Palatino Linotype" w:eastAsia="Palatino Linotype" w:hAnsi="Palatino Linotype" w:cs="Palatino Linotype"/>
          <w:b/>
          <w:sz w:val="22"/>
          <w:szCs w:val="22"/>
        </w:rPr>
        <w:t xml:space="preserve">Sujeto Obligado </w:t>
      </w:r>
      <w:r w:rsidRPr="003F52B3">
        <w:rPr>
          <w:rFonts w:ascii="Palatino Linotype" w:eastAsia="Palatino Linotype" w:hAnsi="Palatino Linotype" w:cs="Palatino Linotype"/>
          <w:sz w:val="22"/>
          <w:szCs w:val="22"/>
        </w:rPr>
        <w:t>analizar dicha circunstancia con la finalidad de determinar si se actualiza algún supuesto de confidencialidad.</w:t>
      </w:r>
    </w:p>
    <w:p w14:paraId="21FFD7F1" w14:textId="77777777" w:rsidR="007A0E0A" w:rsidRPr="003F52B3" w:rsidRDefault="00871D72">
      <w:pPr>
        <w:spacing w:before="240" w:after="240"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tal sentido, si derivado del análisis efectuado por </w:t>
      </w:r>
      <w:r w:rsidRPr="003F52B3">
        <w:rPr>
          <w:rFonts w:ascii="Palatino Linotype" w:eastAsia="Palatino Linotype" w:hAnsi="Palatino Linotype" w:cs="Palatino Linotype"/>
          <w:b/>
          <w:sz w:val="22"/>
          <w:szCs w:val="22"/>
        </w:rPr>
        <w:t xml:space="preserve">SUJETO OBLIGADO </w:t>
      </w:r>
      <w:r w:rsidRPr="003F52B3">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6F0C0EA4" w14:textId="77777777" w:rsidR="007A0E0A" w:rsidRPr="003F52B3" w:rsidRDefault="007A0E0A">
      <w:pPr>
        <w:spacing w:line="360" w:lineRule="auto"/>
        <w:ind w:right="51"/>
        <w:jc w:val="both"/>
        <w:rPr>
          <w:rFonts w:ascii="Palatino Linotype" w:eastAsia="Palatino Linotype" w:hAnsi="Palatino Linotype" w:cs="Palatino Linotype"/>
          <w:sz w:val="22"/>
          <w:szCs w:val="22"/>
        </w:rPr>
      </w:pPr>
    </w:p>
    <w:p w14:paraId="3C9A9E77" w14:textId="77777777" w:rsidR="007A0E0A" w:rsidRPr="003F52B3" w:rsidRDefault="00871D72">
      <w:pPr>
        <w:spacing w:line="360" w:lineRule="auto"/>
        <w:ind w:right="51"/>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En ese contexto, la clasificación de la información no opera con la simple supresión de datos que se haga en los documentos de que se trate o con la simple decisión que tome el Servidor </w:t>
      </w:r>
      <w:r w:rsidRPr="003F52B3">
        <w:rPr>
          <w:rFonts w:ascii="Palatino Linotype" w:eastAsia="Palatino Linotype" w:hAnsi="Palatino Linotype" w:cs="Palatino Linotype"/>
          <w:sz w:val="22"/>
          <w:szCs w:val="22"/>
        </w:rPr>
        <w:lastRenderedPageBreak/>
        <w:t xml:space="preserve">Público Habilitado o el </w:t>
      </w:r>
      <w:proofErr w:type="gramStart"/>
      <w:r w:rsidRPr="003F52B3">
        <w:rPr>
          <w:rFonts w:ascii="Palatino Linotype" w:eastAsia="Palatino Linotype" w:hAnsi="Palatino Linotype" w:cs="Palatino Linotype"/>
          <w:sz w:val="22"/>
          <w:szCs w:val="22"/>
        </w:rPr>
        <w:t>Responsable</w:t>
      </w:r>
      <w:proofErr w:type="gramEnd"/>
      <w:r w:rsidRPr="003F52B3">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2BE22DC" w14:textId="77777777" w:rsidR="007A0E0A" w:rsidRPr="003F52B3" w:rsidRDefault="007A0E0A">
      <w:pPr>
        <w:spacing w:line="360" w:lineRule="auto"/>
        <w:ind w:right="51"/>
        <w:jc w:val="both"/>
        <w:rPr>
          <w:rFonts w:ascii="Palatino Linotype" w:eastAsia="Palatino Linotype" w:hAnsi="Palatino Linotype" w:cs="Palatino Linotype"/>
          <w:sz w:val="22"/>
          <w:szCs w:val="22"/>
        </w:rPr>
      </w:pPr>
    </w:p>
    <w:p w14:paraId="234C0D6B" w14:textId="77777777" w:rsidR="007A0E0A" w:rsidRPr="003F52B3" w:rsidRDefault="00871D72">
      <w:pPr>
        <w:ind w:left="992" w:right="1043"/>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49.</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b/>
          <w:i/>
          <w:sz w:val="22"/>
          <w:szCs w:val="22"/>
        </w:rPr>
        <w:t>Los Comités de Transparencia</w:t>
      </w:r>
      <w:r w:rsidRPr="003F52B3">
        <w:rPr>
          <w:rFonts w:ascii="Palatino Linotype" w:eastAsia="Palatino Linotype" w:hAnsi="Palatino Linotype" w:cs="Palatino Linotype"/>
          <w:i/>
          <w:sz w:val="22"/>
          <w:szCs w:val="22"/>
        </w:rPr>
        <w:t xml:space="preserve"> tendrán las siguientes atribuciones:</w:t>
      </w:r>
    </w:p>
    <w:p w14:paraId="37AB7DE4" w14:textId="77777777" w:rsidR="007A0E0A" w:rsidRPr="003F52B3" w:rsidRDefault="00871D72">
      <w:pPr>
        <w:ind w:left="992" w:right="1043"/>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VIII. Aprobar, modificar o revocar la clasificación de la información</w:t>
      </w:r>
      <w:r w:rsidRPr="003F52B3">
        <w:rPr>
          <w:rFonts w:ascii="Palatino Linotype" w:eastAsia="Palatino Linotype" w:hAnsi="Palatino Linotype" w:cs="Palatino Linotype"/>
          <w:i/>
          <w:sz w:val="22"/>
          <w:szCs w:val="22"/>
        </w:rPr>
        <w:t>…”</w:t>
      </w:r>
    </w:p>
    <w:p w14:paraId="49095A43" w14:textId="77777777" w:rsidR="007A0E0A" w:rsidRPr="003F52B3" w:rsidRDefault="00871D72">
      <w:pPr>
        <w:ind w:left="992" w:right="1043"/>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r w:rsidRPr="003F52B3">
        <w:rPr>
          <w:rFonts w:ascii="Palatino Linotype" w:eastAsia="Palatino Linotype" w:hAnsi="Palatino Linotype" w:cs="Palatino Linotype"/>
          <w:b/>
          <w:i/>
          <w:sz w:val="22"/>
          <w:szCs w:val="22"/>
        </w:rPr>
        <w:t>Artículo 53.</w:t>
      </w:r>
      <w:r w:rsidRPr="003F52B3">
        <w:rPr>
          <w:rFonts w:ascii="Palatino Linotype" w:eastAsia="Palatino Linotype" w:hAnsi="Palatino Linotype" w:cs="Palatino Linotype"/>
          <w:i/>
          <w:sz w:val="22"/>
          <w:szCs w:val="22"/>
        </w:rPr>
        <w:t xml:space="preserve"> Las </w:t>
      </w:r>
      <w:r w:rsidRPr="003F52B3">
        <w:rPr>
          <w:rFonts w:ascii="Palatino Linotype" w:eastAsia="Palatino Linotype" w:hAnsi="Palatino Linotype" w:cs="Palatino Linotype"/>
          <w:b/>
          <w:i/>
          <w:sz w:val="22"/>
          <w:szCs w:val="22"/>
        </w:rPr>
        <w:t>Unidades de Transparencia</w:t>
      </w:r>
      <w:r w:rsidRPr="003F52B3">
        <w:rPr>
          <w:rFonts w:ascii="Palatino Linotype" w:eastAsia="Palatino Linotype" w:hAnsi="Palatino Linotype" w:cs="Palatino Linotype"/>
          <w:i/>
          <w:sz w:val="22"/>
          <w:szCs w:val="22"/>
        </w:rPr>
        <w:t xml:space="preserve"> tendrán las siguientes </w:t>
      </w:r>
      <w:r w:rsidRPr="003F52B3">
        <w:rPr>
          <w:rFonts w:ascii="Palatino Linotype" w:eastAsia="Palatino Linotype" w:hAnsi="Palatino Linotype" w:cs="Palatino Linotype"/>
          <w:b/>
          <w:i/>
          <w:sz w:val="22"/>
          <w:szCs w:val="22"/>
        </w:rPr>
        <w:t>funciones</w:t>
      </w:r>
      <w:r w:rsidRPr="003F52B3">
        <w:rPr>
          <w:rFonts w:ascii="Palatino Linotype" w:eastAsia="Palatino Linotype" w:hAnsi="Palatino Linotype" w:cs="Palatino Linotype"/>
          <w:i/>
          <w:sz w:val="22"/>
          <w:szCs w:val="22"/>
        </w:rPr>
        <w:t>:</w:t>
      </w:r>
    </w:p>
    <w:p w14:paraId="06D88C4B" w14:textId="77777777" w:rsidR="007A0E0A" w:rsidRPr="003F52B3" w:rsidRDefault="00871D72">
      <w:pPr>
        <w:ind w:left="992" w:right="1043"/>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X. Presentar ante el Comité, el proyecto de clasificación de información</w:t>
      </w:r>
      <w:r w:rsidRPr="003F52B3">
        <w:rPr>
          <w:rFonts w:ascii="Palatino Linotype" w:eastAsia="Palatino Linotype" w:hAnsi="Palatino Linotype" w:cs="Palatino Linotype"/>
          <w:i/>
          <w:sz w:val="22"/>
          <w:szCs w:val="22"/>
        </w:rPr>
        <w:t xml:space="preserve">…” </w:t>
      </w:r>
    </w:p>
    <w:p w14:paraId="3C8AC574" w14:textId="77777777" w:rsidR="007A0E0A" w:rsidRPr="003F52B3" w:rsidRDefault="00871D72">
      <w:pPr>
        <w:ind w:left="992" w:right="1043"/>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“Artículo 59.</w:t>
      </w:r>
      <w:r w:rsidRPr="003F52B3">
        <w:rPr>
          <w:rFonts w:ascii="Palatino Linotype" w:eastAsia="Palatino Linotype" w:hAnsi="Palatino Linotype" w:cs="Palatino Linotype"/>
          <w:i/>
          <w:sz w:val="22"/>
          <w:szCs w:val="22"/>
        </w:rPr>
        <w:t xml:space="preserve"> Los </w:t>
      </w:r>
      <w:r w:rsidRPr="003F52B3">
        <w:rPr>
          <w:rFonts w:ascii="Palatino Linotype" w:eastAsia="Palatino Linotype" w:hAnsi="Palatino Linotype" w:cs="Palatino Linotype"/>
          <w:b/>
          <w:i/>
          <w:sz w:val="22"/>
          <w:szCs w:val="22"/>
        </w:rPr>
        <w:t>servidores públicos habilitados</w:t>
      </w:r>
      <w:r w:rsidRPr="003F52B3">
        <w:rPr>
          <w:rFonts w:ascii="Palatino Linotype" w:eastAsia="Palatino Linotype" w:hAnsi="Palatino Linotype" w:cs="Palatino Linotype"/>
          <w:i/>
          <w:sz w:val="22"/>
          <w:szCs w:val="22"/>
        </w:rPr>
        <w:t xml:space="preserve"> tendrán las </w:t>
      </w:r>
      <w:r w:rsidRPr="003F52B3">
        <w:rPr>
          <w:rFonts w:ascii="Palatino Linotype" w:eastAsia="Palatino Linotype" w:hAnsi="Palatino Linotype" w:cs="Palatino Linotype"/>
          <w:b/>
          <w:i/>
          <w:sz w:val="22"/>
          <w:szCs w:val="22"/>
        </w:rPr>
        <w:t>funciones</w:t>
      </w:r>
      <w:r w:rsidRPr="003F52B3">
        <w:rPr>
          <w:rFonts w:ascii="Palatino Linotype" w:eastAsia="Palatino Linotype" w:hAnsi="Palatino Linotype" w:cs="Palatino Linotype"/>
          <w:i/>
          <w:sz w:val="22"/>
          <w:szCs w:val="22"/>
        </w:rPr>
        <w:t xml:space="preserve"> siguientes:</w:t>
      </w:r>
    </w:p>
    <w:p w14:paraId="32C5D36D" w14:textId="77777777" w:rsidR="007A0E0A" w:rsidRPr="003F52B3" w:rsidRDefault="00871D72">
      <w:pPr>
        <w:ind w:left="992" w:right="1043"/>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F52B3">
        <w:rPr>
          <w:rFonts w:ascii="Palatino Linotype" w:eastAsia="Palatino Linotype" w:hAnsi="Palatino Linotype" w:cs="Palatino Linotype"/>
          <w:i/>
          <w:sz w:val="22"/>
          <w:szCs w:val="22"/>
        </w:rPr>
        <w:t>, la cual tendrá los fundamentos y argumentos en que se basa dicha propuesta</w:t>
      </w:r>
      <w:proofErr w:type="gramStart"/>
      <w:r w:rsidRPr="003F52B3">
        <w:rPr>
          <w:rFonts w:ascii="Palatino Linotype" w:eastAsia="Palatino Linotype" w:hAnsi="Palatino Linotype" w:cs="Palatino Linotype"/>
          <w:i/>
          <w:sz w:val="22"/>
          <w:szCs w:val="22"/>
        </w:rPr>
        <w:t>…”(</w:t>
      </w:r>
      <w:proofErr w:type="gramEnd"/>
      <w:r w:rsidRPr="003F52B3">
        <w:rPr>
          <w:rFonts w:ascii="Palatino Linotype" w:eastAsia="Palatino Linotype" w:hAnsi="Palatino Linotype" w:cs="Palatino Linotype"/>
          <w:i/>
          <w:sz w:val="22"/>
          <w:szCs w:val="22"/>
        </w:rPr>
        <w:t>Sic)</w:t>
      </w:r>
    </w:p>
    <w:p w14:paraId="6A4CBFBB" w14:textId="77777777" w:rsidR="007A0E0A" w:rsidRPr="003F52B3" w:rsidRDefault="007A0E0A">
      <w:pPr>
        <w:ind w:left="992" w:right="1043"/>
        <w:jc w:val="both"/>
        <w:rPr>
          <w:rFonts w:ascii="Palatino Linotype" w:eastAsia="Palatino Linotype" w:hAnsi="Palatino Linotype" w:cs="Palatino Linotype"/>
          <w:i/>
          <w:sz w:val="22"/>
          <w:szCs w:val="22"/>
        </w:rPr>
      </w:pPr>
    </w:p>
    <w:p w14:paraId="1D645F8C"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EB245F1"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0831FE5A"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0F78755"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30F8A0B" w14:textId="77777777" w:rsidR="007A0E0A" w:rsidRPr="003F52B3" w:rsidRDefault="00871D72">
      <w:pPr>
        <w:spacing w:after="240"/>
        <w:ind w:left="993" w:right="1041"/>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lastRenderedPageBreak/>
        <w:t>“</w:t>
      </w:r>
      <w:r w:rsidRPr="003F52B3">
        <w:rPr>
          <w:rFonts w:ascii="Palatino Linotype" w:eastAsia="Palatino Linotype" w:hAnsi="Palatino Linotype" w:cs="Palatino Linotype"/>
          <w:b/>
          <w:i/>
          <w:sz w:val="22"/>
          <w:szCs w:val="22"/>
        </w:rPr>
        <w:t>Artículo 149.</w:t>
      </w:r>
      <w:r w:rsidRPr="003F52B3">
        <w:rPr>
          <w:rFonts w:ascii="Palatino Linotype" w:eastAsia="Palatino Linotype" w:hAnsi="Palatino Linotype" w:cs="Palatino Linotype"/>
          <w:i/>
          <w:sz w:val="22"/>
          <w:szCs w:val="22"/>
        </w:rPr>
        <w:t xml:space="preserve"> El </w:t>
      </w:r>
      <w:r w:rsidRPr="003F52B3">
        <w:rPr>
          <w:rFonts w:ascii="Palatino Linotype" w:eastAsia="Palatino Linotype" w:hAnsi="Palatino Linotype" w:cs="Palatino Linotype"/>
          <w:b/>
          <w:i/>
          <w:sz w:val="22"/>
          <w:szCs w:val="22"/>
        </w:rPr>
        <w:t>acuerdo que clasifique la información como confidencial</w:t>
      </w:r>
      <w:r w:rsidRPr="003F52B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62F8A61" w14:textId="77777777" w:rsidR="007A0E0A" w:rsidRPr="003F52B3" w:rsidRDefault="007A0E0A">
      <w:pPr>
        <w:spacing w:before="240" w:line="360" w:lineRule="auto"/>
        <w:ind w:right="51"/>
        <w:jc w:val="both"/>
        <w:rPr>
          <w:rFonts w:ascii="Palatino Linotype" w:eastAsia="Palatino Linotype" w:hAnsi="Palatino Linotype" w:cs="Palatino Linotype"/>
          <w:sz w:val="22"/>
          <w:szCs w:val="22"/>
        </w:rPr>
      </w:pPr>
    </w:p>
    <w:p w14:paraId="18DCB466" w14:textId="77777777" w:rsidR="007A0E0A" w:rsidRPr="003F52B3" w:rsidRDefault="00871D72">
      <w:pPr>
        <w:spacing w:line="360" w:lineRule="auto"/>
        <w:ind w:right="51"/>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Es decir,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6016061" w14:textId="77777777" w:rsidR="007A0E0A" w:rsidRPr="003F52B3" w:rsidRDefault="007A0E0A">
      <w:pPr>
        <w:spacing w:line="360" w:lineRule="auto"/>
        <w:ind w:right="51"/>
        <w:jc w:val="both"/>
        <w:rPr>
          <w:rFonts w:ascii="Palatino Linotype" w:eastAsia="Palatino Linotype" w:hAnsi="Palatino Linotype" w:cs="Palatino Linotype"/>
          <w:sz w:val="22"/>
          <w:szCs w:val="22"/>
        </w:rPr>
      </w:pPr>
    </w:p>
    <w:p w14:paraId="5DDB5356"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Al respecto, se destaca que la versión pública que elabore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F52B3">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3F52B3">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218EBE0" w14:textId="77777777" w:rsidR="007A0E0A" w:rsidRPr="003F52B3" w:rsidRDefault="007A0E0A">
      <w:pPr>
        <w:ind w:left="709" w:right="709"/>
        <w:jc w:val="both"/>
        <w:rPr>
          <w:rFonts w:ascii="Palatino Linotype" w:eastAsia="Palatino Linotype" w:hAnsi="Palatino Linotype" w:cs="Palatino Linotype"/>
          <w:b/>
          <w:i/>
          <w:sz w:val="22"/>
          <w:szCs w:val="22"/>
        </w:rPr>
      </w:pPr>
    </w:p>
    <w:p w14:paraId="511DBDDA"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14:paraId="7D0926FD"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w:t>
      </w:r>
      <w:proofErr w:type="gramStart"/>
      <w:r w:rsidRPr="003F52B3">
        <w:rPr>
          <w:rFonts w:ascii="Palatino Linotype" w:eastAsia="Palatino Linotype" w:hAnsi="Palatino Linotype" w:cs="Palatino Linotype"/>
          <w:b/>
          <w:i/>
          <w:sz w:val="22"/>
          <w:szCs w:val="22"/>
        </w:rPr>
        <w:t>Segundo.-</w:t>
      </w:r>
      <w:proofErr w:type="gramEnd"/>
      <w:r w:rsidRPr="003F52B3">
        <w:rPr>
          <w:rFonts w:ascii="Palatino Linotype" w:eastAsia="Palatino Linotype" w:hAnsi="Palatino Linotype" w:cs="Palatino Linotype"/>
          <w:i/>
          <w:sz w:val="22"/>
          <w:szCs w:val="22"/>
        </w:rPr>
        <w:t xml:space="preserve"> Para efectos de los presentes Lineamientos Generales, se entenderá por:</w:t>
      </w:r>
    </w:p>
    <w:p w14:paraId="6329AD19"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XVIII.</w:t>
      </w:r>
      <w:r w:rsidRPr="003F52B3">
        <w:rPr>
          <w:rFonts w:ascii="Palatino Linotype" w:eastAsia="Palatino Linotype" w:hAnsi="Palatino Linotype" w:cs="Palatino Linotype"/>
          <w:i/>
          <w:sz w:val="22"/>
          <w:szCs w:val="22"/>
        </w:rPr>
        <w:t xml:space="preserve"> </w:t>
      </w:r>
      <w:r w:rsidRPr="003F52B3">
        <w:rPr>
          <w:rFonts w:ascii="Palatino Linotype" w:eastAsia="Palatino Linotype" w:hAnsi="Palatino Linotype" w:cs="Palatino Linotype"/>
          <w:b/>
          <w:i/>
          <w:sz w:val="22"/>
          <w:szCs w:val="22"/>
        </w:rPr>
        <w:t>Versión pública:</w:t>
      </w:r>
      <w:r w:rsidRPr="003F52B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F52B3">
        <w:rPr>
          <w:rFonts w:ascii="Palatino Linotype" w:eastAsia="Palatino Linotype" w:hAnsi="Palatino Linotype" w:cs="Palatino Linotype"/>
          <w:b/>
          <w:i/>
          <w:sz w:val="22"/>
          <w:szCs w:val="22"/>
          <w:u w:val="single"/>
        </w:rPr>
        <w:t>fundando y motivando la</w:t>
      </w:r>
      <w:r w:rsidRPr="003F52B3">
        <w:rPr>
          <w:rFonts w:ascii="Palatino Linotype" w:eastAsia="Palatino Linotype" w:hAnsi="Palatino Linotype" w:cs="Palatino Linotype"/>
          <w:i/>
          <w:sz w:val="22"/>
          <w:szCs w:val="22"/>
        </w:rPr>
        <w:t xml:space="preserve"> reserva o </w:t>
      </w:r>
      <w:r w:rsidRPr="003F52B3">
        <w:rPr>
          <w:rFonts w:ascii="Palatino Linotype" w:eastAsia="Palatino Linotype" w:hAnsi="Palatino Linotype" w:cs="Palatino Linotype"/>
          <w:b/>
          <w:i/>
          <w:sz w:val="22"/>
          <w:szCs w:val="22"/>
          <w:u w:val="single"/>
        </w:rPr>
        <w:t>confidencialidad</w:t>
      </w:r>
      <w:r w:rsidRPr="003F52B3">
        <w:rPr>
          <w:rFonts w:ascii="Palatino Linotype" w:eastAsia="Palatino Linotype" w:hAnsi="Palatino Linotype" w:cs="Palatino Linotype"/>
          <w:i/>
          <w:sz w:val="22"/>
          <w:szCs w:val="22"/>
        </w:rPr>
        <w:t>, a través de la resolución que para tal efecto emita el Comité de Transparencia.</w:t>
      </w:r>
    </w:p>
    <w:p w14:paraId="50E27538"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Cuarto.</w:t>
      </w:r>
      <w:r w:rsidRPr="003F52B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B7B6B8"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4E96E5D"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Quinto.</w:t>
      </w:r>
      <w:r w:rsidRPr="003F52B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A3B9E21"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w:t>
      </w:r>
    </w:p>
    <w:p w14:paraId="3C2E489B"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Séptimo.</w:t>
      </w:r>
      <w:r w:rsidRPr="003F52B3">
        <w:rPr>
          <w:rFonts w:ascii="Palatino Linotype" w:eastAsia="Palatino Linotype" w:hAnsi="Palatino Linotype" w:cs="Palatino Linotype"/>
          <w:i/>
          <w:sz w:val="22"/>
          <w:szCs w:val="22"/>
        </w:rPr>
        <w:t xml:space="preserve"> La clasificación de la información se llevará a cabo en el momento en que:</w:t>
      </w:r>
    </w:p>
    <w:p w14:paraId="56A43C5F"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I.</w:t>
      </w:r>
      <w:r w:rsidRPr="003F52B3">
        <w:rPr>
          <w:rFonts w:ascii="Palatino Linotype" w:eastAsia="Palatino Linotype" w:hAnsi="Palatino Linotype" w:cs="Palatino Linotype"/>
          <w:i/>
          <w:sz w:val="22"/>
          <w:szCs w:val="22"/>
        </w:rPr>
        <w:t xml:space="preserve"> Se reciba una solicitud de acceso a la información;</w:t>
      </w:r>
    </w:p>
    <w:p w14:paraId="75ACEF16" w14:textId="77777777" w:rsidR="007A0E0A" w:rsidRPr="003F52B3" w:rsidRDefault="00871D72">
      <w:pPr>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II.</w:t>
      </w:r>
      <w:r w:rsidRPr="003F52B3">
        <w:rPr>
          <w:rFonts w:ascii="Palatino Linotype" w:eastAsia="Palatino Linotype" w:hAnsi="Palatino Linotype" w:cs="Palatino Linotype"/>
          <w:i/>
          <w:sz w:val="22"/>
          <w:szCs w:val="22"/>
        </w:rPr>
        <w:t xml:space="preserve"> </w:t>
      </w:r>
      <w:proofErr w:type="gramStart"/>
      <w:r w:rsidRPr="003F52B3">
        <w:rPr>
          <w:rFonts w:ascii="Palatino Linotype" w:eastAsia="Palatino Linotype" w:hAnsi="Palatino Linotype" w:cs="Palatino Linotype"/>
          <w:i/>
          <w:sz w:val="22"/>
          <w:szCs w:val="22"/>
        </w:rPr>
        <w:t>Se  determine</w:t>
      </w:r>
      <w:proofErr w:type="gramEnd"/>
      <w:r w:rsidRPr="003F52B3">
        <w:rPr>
          <w:rFonts w:ascii="Palatino Linotype" w:eastAsia="Palatino Linotype" w:hAnsi="Palatino Linotype" w:cs="Palatino Linotype"/>
          <w:i/>
          <w:sz w:val="22"/>
          <w:szCs w:val="22"/>
        </w:rPr>
        <w:t xml:space="preserve"> mediante resolución del Comité de Transparencia, el órgano garante </w:t>
      </w:r>
    </w:p>
    <w:p w14:paraId="065D1263"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competente, o en cumplimiento a una sentencia del Poder Judicial; o</w:t>
      </w:r>
    </w:p>
    <w:p w14:paraId="3B9708F4"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III.</w:t>
      </w:r>
      <w:r w:rsidRPr="003F52B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C3F39D4"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09A54E8"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Octavo.</w:t>
      </w:r>
      <w:r w:rsidRPr="003F52B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B8086C"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2E27DD4B" w14:textId="77777777" w:rsidR="007A0E0A" w:rsidRPr="003F52B3" w:rsidRDefault="00871D72">
      <w:pPr>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A6159B7"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Noveno.</w:t>
      </w:r>
      <w:r w:rsidRPr="003F52B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BBA8A9"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Décimo.</w:t>
      </w:r>
      <w:r w:rsidRPr="003F52B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1421371"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EF0AACB" w14:textId="77777777" w:rsidR="007A0E0A" w:rsidRPr="003F52B3" w:rsidRDefault="00871D72">
      <w:pPr>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Décimo primero.</w:t>
      </w:r>
      <w:r w:rsidRPr="003F52B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1D5184B" w14:textId="77777777" w:rsidR="007A0E0A" w:rsidRPr="003F52B3" w:rsidRDefault="007A0E0A">
      <w:pPr>
        <w:ind w:right="709"/>
        <w:jc w:val="both"/>
        <w:rPr>
          <w:rFonts w:ascii="Palatino Linotype" w:eastAsia="Palatino Linotype" w:hAnsi="Palatino Linotype" w:cs="Palatino Linotype"/>
          <w:sz w:val="22"/>
          <w:szCs w:val="22"/>
        </w:rPr>
      </w:pPr>
    </w:p>
    <w:p w14:paraId="1711DA7A" w14:textId="77777777" w:rsidR="007A0E0A" w:rsidRPr="003F52B3" w:rsidRDefault="00871D72">
      <w:pPr>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w:t>
      </w:r>
    </w:p>
    <w:p w14:paraId="22F73D15" w14:textId="77777777" w:rsidR="007A0E0A" w:rsidRPr="003F52B3" w:rsidRDefault="00871D72">
      <w:pPr>
        <w:ind w:left="709" w:right="709"/>
        <w:jc w:val="center"/>
        <w:rPr>
          <w:rFonts w:ascii="Palatino Linotype" w:eastAsia="Palatino Linotype" w:hAnsi="Palatino Linotype" w:cs="Palatino Linotype"/>
          <w:sz w:val="22"/>
          <w:szCs w:val="22"/>
        </w:rPr>
      </w:pPr>
      <w:r w:rsidRPr="003F52B3">
        <w:rPr>
          <w:rFonts w:ascii="Palatino Linotype" w:eastAsia="Palatino Linotype" w:hAnsi="Palatino Linotype" w:cs="Palatino Linotype"/>
          <w:b/>
          <w:i/>
          <w:sz w:val="22"/>
          <w:szCs w:val="22"/>
        </w:rPr>
        <w:t>CAPÍTULO VIII</w:t>
      </w:r>
    </w:p>
    <w:p w14:paraId="01EF2267" w14:textId="77777777" w:rsidR="007A0E0A" w:rsidRPr="003F52B3" w:rsidRDefault="00871D72">
      <w:pPr>
        <w:spacing w:after="160"/>
        <w:ind w:left="709" w:right="709"/>
        <w:jc w:val="center"/>
        <w:rPr>
          <w:rFonts w:ascii="Palatino Linotype" w:eastAsia="Palatino Linotype" w:hAnsi="Palatino Linotype" w:cs="Palatino Linotype"/>
          <w:b/>
          <w:i/>
          <w:sz w:val="22"/>
          <w:szCs w:val="22"/>
        </w:rPr>
      </w:pPr>
      <w:r w:rsidRPr="003F52B3">
        <w:rPr>
          <w:rFonts w:ascii="Palatino Linotype" w:eastAsia="Palatino Linotype" w:hAnsi="Palatino Linotype" w:cs="Palatino Linotype"/>
          <w:b/>
          <w:i/>
          <w:sz w:val="22"/>
          <w:szCs w:val="22"/>
        </w:rPr>
        <w:t>DE LOS ELEMENTOS PARA LA CLASIFICACIÓN</w:t>
      </w:r>
    </w:p>
    <w:p w14:paraId="4E077FBE"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Quincuagésimo</w:t>
      </w:r>
      <w:r w:rsidRPr="003F52B3">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0BC69F4"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Quincuagésimo primero</w:t>
      </w:r>
      <w:r w:rsidRPr="003F52B3">
        <w:rPr>
          <w:rFonts w:ascii="Palatino Linotype" w:eastAsia="Palatino Linotype" w:hAnsi="Palatino Linotype" w:cs="Palatino Linotype"/>
          <w:i/>
          <w:sz w:val="22"/>
          <w:szCs w:val="22"/>
        </w:rPr>
        <w:t>. Toda acta del Comité de Transparencia deberá contener:</w:t>
      </w:r>
    </w:p>
    <w:p w14:paraId="27397C86"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I. El número de sesión y fecha; </w:t>
      </w:r>
    </w:p>
    <w:p w14:paraId="636AF413"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lastRenderedPageBreak/>
        <w:t>II. El nombre del área que solicitó la clasificación de información;</w:t>
      </w:r>
    </w:p>
    <w:p w14:paraId="19225D1D"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III. La fundamentación legal y motivación correspondiente;</w:t>
      </w:r>
    </w:p>
    <w:p w14:paraId="565ADDB4"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IV. La resolución o resoluciones aprobadas; y</w:t>
      </w:r>
    </w:p>
    <w:p w14:paraId="76F816C2"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V. La rúbrica o firma digital de cada integrante del Comité de Transparencia. </w:t>
      </w:r>
    </w:p>
    <w:p w14:paraId="268DFE8C"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306B1441"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 Los motivos y razonamientos que sustenten la confirmación o modificación de la prueba de daño;</w:t>
      </w:r>
    </w:p>
    <w:p w14:paraId="16F4E1D3"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II. Descripción de las partes o secciones reservadas, en caso de clasificación parcial;</w:t>
      </w:r>
    </w:p>
    <w:p w14:paraId="4B8817D2"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III. El periodo por el que mantendrá su clasificación y fecha de expiración; y</w:t>
      </w:r>
    </w:p>
    <w:p w14:paraId="3F06A7A9"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IV. El nombre del titular y área encargada de realizar la versión pública del documento, en su caso.</w:t>
      </w:r>
    </w:p>
    <w:p w14:paraId="7D5AC619"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E6EA6C5"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6008672"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b/>
          <w:i/>
          <w:sz w:val="22"/>
          <w:szCs w:val="22"/>
        </w:rPr>
        <w:t>Quincuagésimo segundo</w:t>
      </w:r>
      <w:r w:rsidRPr="003F52B3">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D3283B4"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5F36464"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55EF531"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6F140BB"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III. Señalar las personas o instancias autorizadas a acceder a la información clasificada.</w:t>
      </w:r>
    </w:p>
    <w:p w14:paraId="704CF6EF"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53AA2715"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w:t>
      </w:r>
    </w:p>
    <w:p w14:paraId="41AA3F00" w14:textId="77777777" w:rsidR="007A0E0A" w:rsidRPr="003F52B3" w:rsidRDefault="00871D72">
      <w:pPr>
        <w:spacing w:after="160"/>
        <w:ind w:left="709" w:right="709"/>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B3FABD5" w14:textId="77777777" w:rsidR="007A0E0A" w:rsidRPr="003F52B3" w:rsidRDefault="00871D72">
      <w:pPr>
        <w:spacing w:after="160"/>
        <w:ind w:left="709" w:right="70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F52B3">
        <w:rPr>
          <w:rFonts w:ascii="Palatino Linotype" w:eastAsia="Palatino Linotype" w:hAnsi="Palatino Linotype" w:cs="Palatino Linotype"/>
          <w:i/>
          <w:sz w:val="22"/>
          <w:szCs w:val="22"/>
        </w:rPr>
        <w:t>testado</w:t>
      </w:r>
      <w:proofErr w:type="spellEnd"/>
      <w:r w:rsidRPr="003F52B3">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3F52B3">
        <w:rPr>
          <w:rFonts w:ascii="Palatino Linotype" w:eastAsia="Palatino Linotype" w:hAnsi="Palatino Linotype" w:cs="Palatino Linotype"/>
          <w:sz w:val="22"/>
          <w:szCs w:val="22"/>
        </w:rPr>
        <w:t>.</w:t>
      </w:r>
    </w:p>
    <w:p w14:paraId="14AFD323"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3843A781"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167DC5C6" w14:textId="77777777" w:rsidR="007A0E0A" w:rsidRPr="003F52B3" w:rsidRDefault="007A0E0A">
      <w:pPr>
        <w:spacing w:line="360" w:lineRule="auto"/>
        <w:jc w:val="both"/>
        <w:rPr>
          <w:rFonts w:ascii="Palatino Linotype" w:eastAsia="Palatino Linotype" w:hAnsi="Palatino Linotype" w:cs="Palatino Linotype"/>
          <w:sz w:val="22"/>
          <w:szCs w:val="22"/>
        </w:rPr>
      </w:pPr>
    </w:p>
    <w:p w14:paraId="72190276" w14:textId="77777777" w:rsidR="007A0E0A" w:rsidRPr="003F52B3" w:rsidRDefault="00871D72">
      <w:pPr>
        <w:shd w:val="clear" w:color="auto" w:fill="FFFFFF"/>
        <w:spacing w:line="360" w:lineRule="auto"/>
        <w:ind w:right="51"/>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w:t>
      </w:r>
      <w:r w:rsidRPr="003F52B3">
        <w:rPr>
          <w:rFonts w:ascii="Palatino Linotype" w:eastAsia="Palatino Linotype" w:hAnsi="Palatino Linotype" w:cs="Palatino Linotype"/>
          <w:sz w:val="22"/>
          <w:szCs w:val="22"/>
        </w:rPr>
        <w:lastRenderedPageBreak/>
        <w:t xml:space="preserve">se estaría violentando desde un inicio el derecho de acceso a la información del solicitante, por lo que el acuerdo respectivo, deberá hacerse del conocimiento del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w:t>
      </w:r>
    </w:p>
    <w:p w14:paraId="44805849" w14:textId="77777777" w:rsidR="007A0E0A" w:rsidRPr="003F52B3" w:rsidRDefault="007A0E0A">
      <w:pPr>
        <w:spacing w:line="360" w:lineRule="auto"/>
        <w:jc w:val="both"/>
        <w:rPr>
          <w:rFonts w:ascii="Palatino Linotype" w:eastAsia="Palatino Linotype" w:hAnsi="Palatino Linotype" w:cs="Palatino Linotype"/>
          <w:b/>
          <w:sz w:val="22"/>
          <w:szCs w:val="22"/>
          <w:u w:val="single"/>
        </w:rPr>
      </w:pPr>
    </w:p>
    <w:p w14:paraId="0AC7C642" w14:textId="77777777" w:rsidR="007A0E0A" w:rsidRPr="003F52B3" w:rsidRDefault="00871D72">
      <w:pPr>
        <w:spacing w:line="360" w:lineRule="auto"/>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2D0D8E5F" w14:textId="77777777" w:rsidR="007A0E0A" w:rsidRPr="003F52B3" w:rsidRDefault="00871D72">
      <w:pPr>
        <w:spacing w:line="360" w:lineRule="auto"/>
        <w:ind w:left="567"/>
        <w:jc w:val="center"/>
        <w:rPr>
          <w:rFonts w:ascii="Palatino Linotype" w:eastAsia="Palatino Linotype" w:hAnsi="Palatino Linotype" w:cs="Palatino Linotype"/>
          <w:b/>
          <w:sz w:val="22"/>
          <w:szCs w:val="22"/>
        </w:rPr>
      </w:pPr>
      <w:r w:rsidRPr="003F52B3">
        <w:rPr>
          <w:rFonts w:ascii="Palatino Linotype" w:eastAsia="Palatino Linotype" w:hAnsi="Palatino Linotype" w:cs="Palatino Linotype"/>
          <w:b/>
          <w:sz w:val="22"/>
          <w:szCs w:val="22"/>
        </w:rPr>
        <w:t>R E S U E L V E</w:t>
      </w:r>
    </w:p>
    <w:p w14:paraId="7C1B956B" w14:textId="77777777" w:rsidR="007A0E0A" w:rsidRPr="003F52B3" w:rsidRDefault="007A0E0A">
      <w:pPr>
        <w:spacing w:line="360" w:lineRule="auto"/>
        <w:ind w:left="1080"/>
        <w:rPr>
          <w:rFonts w:ascii="Palatino Linotype" w:eastAsia="Palatino Linotype" w:hAnsi="Palatino Linotype" w:cs="Palatino Linotype"/>
          <w:b/>
          <w:sz w:val="22"/>
          <w:szCs w:val="22"/>
        </w:rPr>
      </w:pPr>
    </w:p>
    <w:p w14:paraId="494031F1"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Primero.</w:t>
      </w:r>
      <w:r w:rsidRPr="003F52B3">
        <w:rPr>
          <w:rFonts w:ascii="Palatino Linotype" w:eastAsia="Palatino Linotype" w:hAnsi="Palatino Linotype" w:cs="Palatino Linotype"/>
          <w:sz w:val="22"/>
          <w:szCs w:val="22"/>
        </w:rPr>
        <w:t xml:space="preserve"> Resultan </w:t>
      </w:r>
      <w:r w:rsidRPr="003F52B3">
        <w:rPr>
          <w:rFonts w:ascii="Palatino Linotype" w:eastAsia="Palatino Linotype" w:hAnsi="Palatino Linotype" w:cs="Palatino Linotype"/>
          <w:b/>
          <w:sz w:val="22"/>
          <w:szCs w:val="22"/>
        </w:rPr>
        <w:t>fundados</w:t>
      </w:r>
      <w:r w:rsidRPr="003F52B3">
        <w:rPr>
          <w:rFonts w:ascii="Palatino Linotype" w:eastAsia="Palatino Linotype" w:hAnsi="Palatino Linotype" w:cs="Palatino Linotype"/>
          <w:sz w:val="22"/>
          <w:szCs w:val="22"/>
        </w:rPr>
        <w:t xml:space="preserve"> los motivos de inconformidad hechos valer por la parte </w:t>
      </w:r>
      <w:r w:rsidRPr="003F52B3">
        <w:rPr>
          <w:rFonts w:ascii="Palatino Linotype" w:eastAsia="Palatino Linotype" w:hAnsi="Palatino Linotype" w:cs="Palatino Linotype"/>
          <w:b/>
          <w:sz w:val="22"/>
          <w:szCs w:val="22"/>
        </w:rPr>
        <w:t>Recurrente</w:t>
      </w:r>
      <w:r w:rsidRPr="003F52B3">
        <w:rPr>
          <w:rFonts w:ascii="Palatino Linotype" w:eastAsia="Palatino Linotype" w:hAnsi="Palatino Linotype" w:cs="Palatino Linotype"/>
          <w:sz w:val="22"/>
          <w:szCs w:val="22"/>
        </w:rPr>
        <w:t xml:space="preserve"> en el Recurso de Revisión </w:t>
      </w:r>
      <w:r w:rsidRPr="003F52B3">
        <w:rPr>
          <w:rFonts w:ascii="Palatino Linotype" w:eastAsia="Palatino Linotype" w:hAnsi="Palatino Linotype" w:cs="Palatino Linotype"/>
          <w:b/>
          <w:sz w:val="22"/>
          <w:szCs w:val="22"/>
        </w:rPr>
        <w:t>05069/INFOEM/IP/RR/2024</w:t>
      </w:r>
      <w:r w:rsidRPr="003F52B3">
        <w:rPr>
          <w:rFonts w:ascii="Palatino Linotype" w:eastAsia="Palatino Linotype" w:hAnsi="Palatino Linotype" w:cs="Palatino Linotype"/>
          <w:sz w:val="22"/>
          <w:szCs w:val="22"/>
        </w:rPr>
        <w:t xml:space="preserve">, en términos del </w:t>
      </w:r>
      <w:r w:rsidRPr="003F52B3">
        <w:rPr>
          <w:rFonts w:ascii="Palatino Linotype" w:eastAsia="Palatino Linotype" w:hAnsi="Palatino Linotype" w:cs="Palatino Linotype"/>
          <w:b/>
          <w:sz w:val="22"/>
          <w:szCs w:val="22"/>
        </w:rPr>
        <w:t xml:space="preserve">Considerando Cuarto </w:t>
      </w:r>
      <w:r w:rsidRPr="003F52B3">
        <w:rPr>
          <w:rFonts w:ascii="Palatino Linotype" w:eastAsia="Palatino Linotype" w:hAnsi="Palatino Linotype" w:cs="Palatino Linotype"/>
          <w:sz w:val="22"/>
          <w:szCs w:val="22"/>
        </w:rPr>
        <w:t xml:space="preserve">de la presente resolución. </w:t>
      </w:r>
    </w:p>
    <w:p w14:paraId="3EC8BEFF" w14:textId="77777777" w:rsidR="007A0E0A" w:rsidRPr="003F52B3" w:rsidRDefault="007A0E0A">
      <w:pPr>
        <w:spacing w:line="360" w:lineRule="auto"/>
        <w:ind w:right="49"/>
        <w:jc w:val="both"/>
        <w:rPr>
          <w:rFonts w:ascii="Palatino Linotype" w:eastAsia="Palatino Linotype" w:hAnsi="Palatino Linotype" w:cs="Palatino Linotype"/>
          <w:sz w:val="22"/>
          <w:szCs w:val="22"/>
        </w:rPr>
      </w:pPr>
    </w:p>
    <w:p w14:paraId="36540B50"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Segundo</w:t>
      </w:r>
      <w:r w:rsidRPr="003F52B3">
        <w:rPr>
          <w:rFonts w:ascii="Palatino Linotype" w:eastAsia="Palatino Linotype" w:hAnsi="Palatino Linotype" w:cs="Palatino Linotype"/>
          <w:sz w:val="22"/>
          <w:szCs w:val="22"/>
        </w:rPr>
        <w:t xml:space="preserve">. Se </w:t>
      </w:r>
      <w:r w:rsidRPr="003F52B3">
        <w:rPr>
          <w:rFonts w:ascii="Palatino Linotype" w:eastAsia="Palatino Linotype" w:hAnsi="Palatino Linotype" w:cs="Palatino Linotype"/>
          <w:b/>
          <w:sz w:val="22"/>
          <w:szCs w:val="22"/>
        </w:rPr>
        <w:t>ORDENA</w:t>
      </w:r>
      <w:r w:rsidRPr="003F52B3">
        <w:rPr>
          <w:rFonts w:ascii="Palatino Linotype" w:eastAsia="Palatino Linotype" w:hAnsi="Palatino Linotype" w:cs="Palatino Linotype"/>
          <w:sz w:val="22"/>
          <w:szCs w:val="22"/>
        </w:rPr>
        <w:t xml:space="preserve"> al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que, en términos del </w:t>
      </w:r>
      <w:r w:rsidRPr="003F52B3">
        <w:rPr>
          <w:rFonts w:ascii="Palatino Linotype" w:eastAsia="Palatino Linotype" w:hAnsi="Palatino Linotype" w:cs="Palatino Linotype"/>
          <w:b/>
          <w:sz w:val="22"/>
          <w:szCs w:val="22"/>
        </w:rPr>
        <w:t>Considerando Cuarto y Quinto</w:t>
      </w:r>
      <w:r w:rsidRPr="003F52B3">
        <w:rPr>
          <w:rFonts w:ascii="Palatino Linotype" w:eastAsia="Palatino Linotype" w:hAnsi="Palatino Linotype" w:cs="Palatino Linotype"/>
          <w:sz w:val="22"/>
          <w:szCs w:val="22"/>
        </w:rPr>
        <w:t xml:space="preserve">, haga entrega vía Sistema de Acceso a la Información Mexiquense, </w:t>
      </w:r>
      <w:r w:rsidR="007C0DA4" w:rsidRPr="003F52B3">
        <w:rPr>
          <w:rFonts w:ascii="Palatino Linotype" w:eastAsia="Palatino Linotype" w:hAnsi="Palatino Linotype" w:cs="Palatino Linotype"/>
          <w:sz w:val="22"/>
          <w:szCs w:val="22"/>
        </w:rPr>
        <w:t xml:space="preserve">en versión pública, </w:t>
      </w:r>
      <w:r w:rsidRPr="003F52B3">
        <w:rPr>
          <w:rFonts w:ascii="Palatino Linotype" w:eastAsia="Palatino Linotype" w:hAnsi="Palatino Linotype" w:cs="Palatino Linotype"/>
          <w:sz w:val="22"/>
          <w:szCs w:val="22"/>
        </w:rPr>
        <w:t xml:space="preserve">de lo siguiente: </w:t>
      </w:r>
    </w:p>
    <w:p w14:paraId="5142CB43" w14:textId="77777777" w:rsidR="007A0E0A" w:rsidRPr="003F52B3" w:rsidRDefault="007A0E0A">
      <w:pPr>
        <w:spacing w:line="360" w:lineRule="auto"/>
        <w:ind w:right="49"/>
        <w:jc w:val="both"/>
        <w:rPr>
          <w:rFonts w:ascii="Palatino Linotype" w:eastAsia="Palatino Linotype" w:hAnsi="Palatino Linotype" w:cs="Palatino Linotype"/>
          <w:sz w:val="22"/>
          <w:szCs w:val="22"/>
        </w:rPr>
      </w:pPr>
    </w:p>
    <w:p w14:paraId="0A7CA2F5" w14:textId="77777777" w:rsidR="007A0E0A" w:rsidRPr="003F52B3" w:rsidRDefault="00871D72">
      <w:pPr>
        <w:numPr>
          <w:ilvl w:val="0"/>
          <w:numId w:val="8"/>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La nómina de todo el personal del Ayuntamiento de Tenango del Aire incluidos sus organismos descentralizados, de la primera quincena de abril a la segunda quincena de junio de dos mil veinticuatro. </w:t>
      </w:r>
    </w:p>
    <w:p w14:paraId="6A844DC5" w14:textId="77777777" w:rsidR="007A0E0A" w:rsidRPr="003F52B3" w:rsidRDefault="007A0E0A">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0A86451" w14:textId="77777777" w:rsidR="007A0E0A" w:rsidRPr="003F52B3" w:rsidRDefault="00871D7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3F52B3">
        <w:rPr>
          <w:rFonts w:ascii="Palatino Linotype" w:eastAsia="Palatino Linotype" w:hAnsi="Palatino Linotype" w:cs="Palatino Linotype"/>
          <w:i/>
          <w:sz w:val="22"/>
          <w:szCs w:val="22"/>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3F52B3">
        <w:rPr>
          <w:rFonts w:ascii="Palatino Linotype" w:eastAsia="Palatino Linotype" w:hAnsi="Palatino Linotype" w:cs="Palatino Linotype"/>
          <w:b/>
          <w:i/>
          <w:sz w:val="22"/>
          <w:szCs w:val="22"/>
        </w:rPr>
        <w:t>Recurrente</w:t>
      </w:r>
      <w:r w:rsidRPr="003F52B3">
        <w:rPr>
          <w:rFonts w:ascii="Palatino Linotype" w:eastAsia="Palatino Linotype" w:hAnsi="Palatino Linotype" w:cs="Palatino Linotype"/>
          <w:i/>
          <w:sz w:val="22"/>
          <w:szCs w:val="22"/>
        </w:rPr>
        <w:t xml:space="preserve">, mismo que igualmente hará de su conocimiento. </w:t>
      </w:r>
    </w:p>
    <w:p w14:paraId="071D6AE5" w14:textId="77777777" w:rsidR="007A0E0A" w:rsidRPr="003F52B3" w:rsidRDefault="007A0E0A">
      <w:pPr>
        <w:pBdr>
          <w:top w:val="nil"/>
          <w:left w:val="nil"/>
          <w:bottom w:val="nil"/>
          <w:right w:val="nil"/>
          <w:between w:val="nil"/>
        </w:pBdr>
        <w:spacing w:line="360" w:lineRule="auto"/>
        <w:ind w:left="720"/>
        <w:rPr>
          <w:rFonts w:ascii="Palatino Linotype" w:eastAsia="Palatino Linotype" w:hAnsi="Palatino Linotype" w:cs="Palatino Linotype"/>
          <w:b/>
          <w:sz w:val="22"/>
          <w:szCs w:val="22"/>
        </w:rPr>
      </w:pPr>
    </w:p>
    <w:p w14:paraId="0E9A8339"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Tercero.</w:t>
      </w:r>
      <w:r w:rsidRPr="003F52B3">
        <w:rPr>
          <w:rFonts w:ascii="Palatino Linotype" w:eastAsia="Palatino Linotype" w:hAnsi="Palatino Linotype" w:cs="Palatino Linotype"/>
          <w:sz w:val="22"/>
          <w:szCs w:val="22"/>
        </w:rPr>
        <w:t xml:space="preserve"> </w:t>
      </w:r>
      <w:r w:rsidRPr="003F52B3">
        <w:rPr>
          <w:rFonts w:ascii="Palatino Linotype" w:eastAsia="Palatino Linotype" w:hAnsi="Palatino Linotype" w:cs="Palatino Linotype"/>
          <w:b/>
          <w:sz w:val="22"/>
          <w:szCs w:val="22"/>
        </w:rPr>
        <w:t xml:space="preserve">Notifíquese </w:t>
      </w:r>
      <w:r w:rsidRPr="003F52B3">
        <w:rPr>
          <w:rFonts w:ascii="Palatino Linotype" w:eastAsia="Palatino Linotype" w:hAnsi="Palatino Linotype" w:cs="Palatino Linotype"/>
          <w:sz w:val="22"/>
          <w:szCs w:val="22"/>
        </w:rPr>
        <w:t xml:space="preserve">vía </w:t>
      </w:r>
      <w:r w:rsidRPr="003F52B3">
        <w:rPr>
          <w:rFonts w:ascii="Palatino Linotype" w:eastAsia="Palatino Linotype" w:hAnsi="Palatino Linotype" w:cs="Palatino Linotype"/>
          <w:b/>
          <w:sz w:val="22"/>
          <w:szCs w:val="22"/>
        </w:rPr>
        <w:t>SAIMEX</w:t>
      </w:r>
      <w:r w:rsidRPr="003F52B3">
        <w:rPr>
          <w:rFonts w:ascii="Palatino Linotype" w:eastAsia="Palatino Linotype" w:hAnsi="Palatino Linotype" w:cs="Palatino Linotype"/>
          <w:sz w:val="22"/>
          <w:szCs w:val="22"/>
        </w:rPr>
        <w:t xml:space="preserve"> la presente resolución al T</w:t>
      </w:r>
      <w:r w:rsidRPr="003F52B3">
        <w:rPr>
          <w:rFonts w:ascii="Palatino Linotype" w:eastAsia="Palatino Linotype" w:hAnsi="Palatino Linotype" w:cs="Palatino Linotype"/>
          <w:b/>
          <w:sz w:val="22"/>
          <w:szCs w:val="22"/>
        </w:rPr>
        <w:t xml:space="preserve">itular de la Unidad de Transparencia </w:t>
      </w:r>
      <w:r w:rsidRPr="003F52B3">
        <w:rPr>
          <w:rFonts w:ascii="Palatino Linotype" w:eastAsia="Palatino Linotype" w:hAnsi="Palatino Linotype" w:cs="Palatino Linotype"/>
          <w:sz w:val="22"/>
          <w:szCs w:val="22"/>
        </w:rPr>
        <w:t xml:space="preserve">del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58A8E5BE" w14:textId="77777777" w:rsidR="007A0E0A" w:rsidRPr="003F52B3" w:rsidRDefault="007A0E0A">
      <w:pPr>
        <w:spacing w:line="360" w:lineRule="auto"/>
        <w:ind w:right="49"/>
        <w:jc w:val="both"/>
        <w:rPr>
          <w:rFonts w:ascii="Palatino Linotype" w:eastAsia="Palatino Linotype" w:hAnsi="Palatino Linotype" w:cs="Palatino Linotype"/>
          <w:sz w:val="22"/>
          <w:szCs w:val="22"/>
        </w:rPr>
      </w:pPr>
    </w:p>
    <w:p w14:paraId="6282812A" w14:textId="77777777" w:rsidR="007A0E0A" w:rsidRPr="003F52B3" w:rsidRDefault="00871D72">
      <w:pPr>
        <w:spacing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Cuarto.</w:t>
      </w:r>
      <w:r w:rsidRPr="003F52B3">
        <w:rPr>
          <w:rFonts w:ascii="Palatino Linotype" w:eastAsia="Palatino Linotype" w:hAnsi="Palatino Linotype" w:cs="Palatino Linotype"/>
          <w:sz w:val="22"/>
          <w:szCs w:val="22"/>
        </w:rPr>
        <w:t xml:space="preserve"> </w:t>
      </w:r>
      <w:r w:rsidRPr="003F52B3">
        <w:rPr>
          <w:rFonts w:ascii="Palatino Linotype" w:eastAsia="Palatino Linotype" w:hAnsi="Palatino Linotype" w:cs="Palatino Linotype"/>
          <w:b/>
          <w:sz w:val="22"/>
          <w:szCs w:val="22"/>
        </w:rPr>
        <w:t xml:space="preserve">Notifíquese vía SAIMEX </w:t>
      </w:r>
      <w:r w:rsidRPr="003F52B3">
        <w:rPr>
          <w:rFonts w:ascii="Palatino Linotype" w:eastAsia="Palatino Linotype" w:hAnsi="Palatino Linotype" w:cs="Palatino Linotype"/>
          <w:sz w:val="22"/>
          <w:szCs w:val="22"/>
        </w:rPr>
        <w:t xml:space="preserve">a la parte </w:t>
      </w:r>
      <w:r w:rsidRPr="003F52B3">
        <w:rPr>
          <w:rFonts w:ascii="Palatino Linotype" w:eastAsia="Palatino Linotype" w:hAnsi="Palatino Linotype" w:cs="Palatino Linotype"/>
          <w:b/>
          <w:sz w:val="22"/>
          <w:szCs w:val="22"/>
        </w:rPr>
        <w:t xml:space="preserve">Recurrente </w:t>
      </w:r>
      <w:r w:rsidRPr="003F52B3">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3A20B9D" w14:textId="77777777" w:rsidR="007A0E0A" w:rsidRPr="003F52B3" w:rsidRDefault="00871D72">
      <w:pPr>
        <w:spacing w:before="240" w:after="240" w:line="360" w:lineRule="auto"/>
        <w:ind w:right="49"/>
        <w:jc w:val="both"/>
        <w:rPr>
          <w:rFonts w:ascii="Palatino Linotype" w:eastAsia="Palatino Linotype" w:hAnsi="Palatino Linotype" w:cs="Palatino Linotype"/>
          <w:sz w:val="22"/>
          <w:szCs w:val="22"/>
        </w:rPr>
      </w:pPr>
      <w:r w:rsidRPr="003F52B3">
        <w:rPr>
          <w:rFonts w:ascii="Palatino Linotype" w:eastAsia="Palatino Linotype" w:hAnsi="Palatino Linotype" w:cs="Palatino Linotype"/>
          <w:b/>
          <w:sz w:val="22"/>
          <w:szCs w:val="22"/>
        </w:rPr>
        <w:t xml:space="preserve">Quinto. Notifíquese vía SAIMEX </w:t>
      </w:r>
      <w:r w:rsidRPr="003F52B3">
        <w:rPr>
          <w:rFonts w:ascii="Palatino Linotype" w:eastAsia="Palatino Linotype" w:hAnsi="Palatino Linotype" w:cs="Palatino Linotype"/>
          <w:sz w:val="22"/>
          <w:szCs w:val="22"/>
        </w:rPr>
        <w:t>a la parte</w:t>
      </w:r>
      <w:r w:rsidRPr="003F52B3">
        <w:rPr>
          <w:rFonts w:ascii="Palatino Linotype" w:eastAsia="Palatino Linotype" w:hAnsi="Palatino Linotype" w:cs="Palatino Linotype"/>
          <w:b/>
          <w:sz w:val="22"/>
          <w:szCs w:val="22"/>
        </w:rPr>
        <w:t xml:space="preserve"> Recurrente </w:t>
      </w:r>
      <w:r w:rsidRPr="003F52B3">
        <w:rPr>
          <w:rFonts w:ascii="Palatino Linotype" w:eastAsia="Palatino Linotype" w:hAnsi="Palatino Linotype" w:cs="Palatino Linotype"/>
          <w:sz w:val="22"/>
          <w:szCs w:val="22"/>
        </w:rPr>
        <w:t xml:space="preserve">que la respuesta que dé el </w:t>
      </w:r>
      <w:r w:rsidRPr="003F52B3">
        <w:rPr>
          <w:rFonts w:ascii="Palatino Linotype" w:eastAsia="Palatino Linotype" w:hAnsi="Palatino Linotype" w:cs="Palatino Linotype"/>
          <w:b/>
          <w:sz w:val="22"/>
          <w:szCs w:val="22"/>
        </w:rPr>
        <w:t>Sujeto Obligado</w:t>
      </w:r>
      <w:r w:rsidRPr="003F52B3">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AA45A55" w14:textId="77777777" w:rsidR="007A0E0A" w:rsidRPr="003F52B3" w:rsidRDefault="00871D72">
      <w:pPr>
        <w:spacing w:line="360" w:lineRule="auto"/>
        <w:jc w:val="both"/>
        <w:rPr>
          <w:rFonts w:ascii="Palatino Linotype" w:eastAsia="Palatino Linotype" w:hAnsi="Palatino Linotype" w:cs="Palatino Linotype"/>
          <w:sz w:val="22"/>
          <w:szCs w:val="22"/>
        </w:rPr>
      </w:pPr>
      <w:bookmarkStart w:id="5" w:name="_heading=h.1t3h5sf" w:colFirst="0" w:colLast="0"/>
      <w:bookmarkEnd w:id="5"/>
      <w:r w:rsidRPr="003F52B3">
        <w:rPr>
          <w:rFonts w:ascii="Palatino Linotype" w:eastAsia="Palatino Linotype" w:hAnsi="Palatino Linotype" w:cs="Palatino Linotype"/>
          <w:b/>
          <w:sz w:val="22"/>
          <w:szCs w:val="22"/>
        </w:rPr>
        <w:t>Sexto.</w:t>
      </w:r>
      <w:r w:rsidRPr="003F52B3">
        <w:rPr>
          <w:rFonts w:ascii="Palatino Linotype" w:eastAsia="Palatino Linotype" w:hAnsi="Palatino Linotype" w:cs="Palatino Linotype"/>
          <w:sz w:val="22"/>
          <w:szCs w:val="22"/>
        </w:rPr>
        <w:t xml:space="preserve"> Gírese oficio a la </w:t>
      </w:r>
      <w:r w:rsidRPr="003F52B3">
        <w:rPr>
          <w:rFonts w:ascii="Palatino Linotype" w:eastAsia="Palatino Linotype" w:hAnsi="Palatino Linotype" w:cs="Palatino Linotype"/>
          <w:b/>
          <w:sz w:val="22"/>
          <w:szCs w:val="22"/>
        </w:rPr>
        <w:t>Secretaría Técnica del Pleno de este Instituto</w:t>
      </w:r>
      <w:r w:rsidRPr="003F52B3">
        <w:rPr>
          <w:rFonts w:ascii="Palatino Linotype" w:eastAsia="Palatino Linotype" w:hAnsi="Palatino Linotype" w:cs="Palatino Linotype"/>
          <w:sz w:val="22"/>
          <w:szCs w:val="22"/>
        </w:rPr>
        <w:t xml:space="preserve">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4E2A2F9E" w14:textId="77777777" w:rsidR="007A0E0A" w:rsidRPr="003F52B3" w:rsidRDefault="007A0E0A">
      <w:pPr>
        <w:spacing w:line="360" w:lineRule="auto"/>
        <w:jc w:val="both"/>
        <w:rPr>
          <w:rFonts w:ascii="Palatino Linotype" w:eastAsia="Palatino Linotype" w:hAnsi="Palatino Linotype" w:cs="Palatino Linotype"/>
          <w:b/>
          <w:sz w:val="22"/>
          <w:szCs w:val="22"/>
        </w:rPr>
      </w:pPr>
    </w:p>
    <w:p w14:paraId="437197D7" w14:textId="77777777" w:rsidR="007A0E0A" w:rsidRPr="003F52B3" w:rsidRDefault="00871D72">
      <w:pPr>
        <w:spacing w:line="360" w:lineRule="auto"/>
        <w:jc w:val="both"/>
        <w:rPr>
          <w:rFonts w:ascii="Palatino Linotype" w:eastAsia="Palatino Linotype" w:hAnsi="Palatino Linotype" w:cs="Palatino Linotype"/>
          <w:sz w:val="22"/>
          <w:szCs w:val="22"/>
        </w:rPr>
        <w:sectPr w:rsidR="007A0E0A" w:rsidRPr="003F52B3">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r w:rsidRPr="003F52B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081FB9" w:rsidRPr="003F52B3">
        <w:rPr>
          <w:rFonts w:ascii="Palatino Linotype" w:eastAsia="Palatino Linotype" w:hAnsi="Palatino Linotype" w:cs="Palatino Linotype"/>
          <w:sz w:val="22"/>
          <w:szCs w:val="22"/>
        </w:rPr>
        <w:t xml:space="preserve"> (EMITIENDO VOTO PARTICULAR) </w:t>
      </w:r>
      <w:r w:rsidRPr="003F52B3">
        <w:rPr>
          <w:rFonts w:ascii="Palatino Linotype" w:eastAsia="Palatino Linotype" w:hAnsi="Palatino Linotype" w:cs="Palatino Linotype"/>
          <w:sz w:val="22"/>
          <w:szCs w:val="22"/>
        </w:rPr>
        <w:t>Y GUADALUPE RAMÍREZ PEÑA</w:t>
      </w:r>
      <w:r w:rsidR="00081FB9" w:rsidRPr="003F52B3">
        <w:rPr>
          <w:rFonts w:ascii="Palatino Linotype" w:eastAsia="Palatino Linotype" w:hAnsi="Palatino Linotype" w:cs="Palatino Linotype"/>
          <w:sz w:val="22"/>
          <w:szCs w:val="22"/>
        </w:rPr>
        <w:t xml:space="preserve"> (EMITIENDO VOTO PARTICULAR)</w:t>
      </w:r>
      <w:r w:rsidRPr="003F52B3">
        <w:rPr>
          <w:rFonts w:ascii="Palatino Linotype" w:eastAsia="Palatino Linotype" w:hAnsi="Palatino Linotype" w:cs="Palatino Linotype"/>
          <w:sz w:val="22"/>
          <w:szCs w:val="22"/>
        </w:rPr>
        <w:t xml:space="preserve">; EN LA TRIGÉSIMA SEXTA SESIÓN ORDINARIA CELEBRADA EL NUEVE DE OCTUBRE DE DOS MIL VEINTICUATRO, ANTE EL SECRETARIO TÉCNICO DEL PLENO ALEXIS TAPIA RAMÍREZ.                              </w:t>
      </w:r>
    </w:p>
    <w:p w14:paraId="77DAEBF8" w14:textId="77777777" w:rsidR="007A0E0A" w:rsidRPr="003F52B3" w:rsidRDefault="007A0E0A">
      <w:pPr>
        <w:spacing w:line="360" w:lineRule="auto"/>
        <w:jc w:val="both"/>
        <w:rPr>
          <w:rFonts w:ascii="Palatino Linotype" w:eastAsia="Palatino Linotype" w:hAnsi="Palatino Linotype" w:cs="Palatino Linotype"/>
          <w:sz w:val="22"/>
          <w:szCs w:val="22"/>
        </w:rPr>
      </w:pPr>
    </w:p>
    <w:sectPr w:rsidR="007A0E0A" w:rsidRPr="003F52B3">
      <w:headerReference w:type="first" r:id="rId2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EFD67" w14:textId="77777777" w:rsidR="007D22F7" w:rsidRDefault="007D22F7">
      <w:r>
        <w:separator/>
      </w:r>
    </w:p>
  </w:endnote>
  <w:endnote w:type="continuationSeparator" w:id="0">
    <w:p w14:paraId="4B4E90F6" w14:textId="77777777" w:rsidR="007D22F7" w:rsidRDefault="007D2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CECB" w14:textId="77777777" w:rsidR="007A0E0A" w:rsidRDefault="00871D7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13E32">
      <w:rPr>
        <w:rFonts w:ascii="Arial" w:eastAsia="Arial" w:hAnsi="Arial" w:cs="Arial"/>
        <w:b/>
        <w:noProof/>
        <w:color w:val="000000"/>
        <w:sz w:val="20"/>
        <w:szCs w:val="20"/>
      </w:rPr>
      <w:t>52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13E32">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625533BF" w14:textId="77777777" w:rsidR="007A0E0A" w:rsidRDefault="007A0E0A">
    <w:pPr>
      <w:pBdr>
        <w:top w:val="nil"/>
        <w:left w:val="nil"/>
        <w:bottom w:val="nil"/>
        <w:right w:val="nil"/>
        <w:between w:val="nil"/>
      </w:pBdr>
      <w:tabs>
        <w:tab w:val="center" w:pos="4252"/>
        <w:tab w:val="right" w:pos="8504"/>
      </w:tabs>
      <w:rPr>
        <w:color w:val="000000"/>
      </w:rPr>
    </w:pPr>
  </w:p>
  <w:p w14:paraId="79AF216A" w14:textId="77777777" w:rsidR="007A0E0A" w:rsidRDefault="007A0E0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510A" w14:textId="77777777" w:rsidR="007A0E0A" w:rsidRDefault="00871D7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13E32">
      <w:rPr>
        <w:rFonts w:ascii="Arial" w:eastAsia="Arial" w:hAnsi="Arial" w:cs="Arial"/>
        <w:b/>
        <w:noProof/>
        <w:color w:val="000000"/>
        <w:sz w:val="20"/>
        <w:szCs w:val="20"/>
      </w:rPr>
      <w:t>53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13E32">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75EBE7BD" w14:textId="77777777" w:rsidR="007A0E0A" w:rsidRDefault="007A0E0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2EE09" w14:textId="77777777" w:rsidR="007D22F7" w:rsidRDefault="007D22F7">
      <w:r>
        <w:separator/>
      </w:r>
    </w:p>
  </w:footnote>
  <w:footnote w:type="continuationSeparator" w:id="0">
    <w:p w14:paraId="353AC621" w14:textId="77777777" w:rsidR="007D22F7" w:rsidRDefault="007D2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E016" w14:textId="77777777" w:rsidR="007A0E0A" w:rsidRDefault="00871D72">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283FD95" wp14:editId="2CA42A60">
          <wp:simplePos x="0" y="0"/>
          <wp:positionH relativeFrom="column">
            <wp:posOffset>-638174</wp:posOffset>
          </wp:positionH>
          <wp:positionV relativeFrom="paragraph">
            <wp:posOffset>-450214</wp:posOffset>
          </wp:positionV>
          <wp:extent cx="7809876" cy="10165823"/>
          <wp:effectExtent l="0" t="0" r="0" b="0"/>
          <wp:wrapNone/>
          <wp:docPr id="8319354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528" w:type="dxa"/>
      <w:tblInd w:w="3261" w:type="dxa"/>
      <w:tblLayout w:type="fixed"/>
      <w:tblLook w:val="0400" w:firstRow="0" w:lastRow="0" w:firstColumn="0" w:lastColumn="0" w:noHBand="0" w:noVBand="1"/>
    </w:tblPr>
    <w:tblGrid>
      <w:gridCol w:w="2551"/>
      <w:gridCol w:w="2977"/>
    </w:tblGrid>
    <w:tr w:rsidR="007A0E0A" w14:paraId="5C768873" w14:textId="77777777">
      <w:tc>
        <w:tcPr>
          <w:tcW w:w="2551" w:type="dxa"/>
          <w:vAlign w:val="center"/>
        </w:tcPr>
        <w:p w14:paraId="3E2198CA" w14:textId="77777777" w:rsidR="007A0E0A" w:rsidRDefault="00871D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9EF4D55" w14:textId="77777777" w:rsidR="007A0E0A" w:rsidRDefault="00871D7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05069/INFOEM/IP/RR/2024</w:t>
          </w:r>
        </w:p>
      </w:tc>
    </w:tr>
    <w:tr w:rsidR="007A0E0A" w14:paraId="19836687" w14:textId="77777777">
      <w:trPr>
        <w:trHeight w:val="228"/>
      </w:trPr>
      <w:tc>
        <w:tcPr>
          <w:tcW w:w="2551" w:type="dxa"/>
          <w:vAlign w:val="center"/>
        </w:tcPr>
        <w:p w14:paraId="4A5D840F" w14:textId="77777777" w:rsidR="007A0E0A" w:rsidRDefault="00871D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0A01CF4" w14:textId="77777777" w:rsidR="007A0E0A" w:rsidRDefault="00871D7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Tenango del Aire</w:t>
          </w:r>
        </w:p>
      </w:tc>
    </w:tr>
    <w:tr w:rsidR="007A0E0A" w14:paraId="31A0FE6B" w14:textId="77777777">
      <w:tc>
        <w:tcPr>
          <w:tcW w:w="2551" w:type="dxa"/>
          <w:vAlign w:val="center"/>
        </w:tcPr>
        <w:p w14:paraId="61011120" w14:textId="77777777" w:rsidR="007A0E0A" w:rsidRDefault="00871D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0FAD3EE" w14:textId="77777777" w:rsidR="007A0E0A" w:rsidRDefault="00871D7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4D281E" w14:textId="77777777" w:rsidR="007A0E0A" w:rsidRDefault="00871D7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CA0D" w14:textId="77777777" w:rsidR="007A0E0A" w:rsidRDefault="00871D7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0FA7845" wp14:editId="13E4CF47">
          <wp:simplePos x="0" y="0"/>
          <wp:positionH relativeFrom="column">
            <wp:posOffset>-798193</wp:posOffset>
          </wp:positionH>
          <wp:positionV relativeFrom="paragraph">
            <wp:posOffset>-399413</wp:posOffset>
          </wp:positionV>
          <wp:extent cx="7809876" cy="10165823"/>
          <wp:effectExtent l="0" t="0" r="0" b="0"/>
          <wp:wrapNone/>
          <wp:docPr id="8319354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7A0E0A" w14:paraId="3637DA75" w14:textId="77777777">
      <w:tc>
        <w:tcPr>
          <w:tcW w:w="2551" w:type="dxa"/>
          <w:vAlign w:val="center"/>
        </w:tcPr>
        <w:p w14:paraId="0BA5366F" w14:textId="77777777" w:rsidR="007A0E0A" w:rsidRDefault="00871D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C25EE67" w14:textId="77777777" w:rsidR="007A0E0A" w:rsidRDefault="00871D7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05069/INFOEM/IP/RR/2024 </w:t>
          </w:r>
        </w:p>
      </w:tc>
    </w:tr>
    <w:tr w:rsidR="007A0E0A" w14:paraId="5B4B417E" w14:textId="77777777">
      <w:tc>
        <w:tcPr>
          <w:tcW w:w="2551" w:type="dxa"/>
          <w:vAlign w:val="center"/>
        </w:tcPr>
        <w:p w14:paraId="17C489B5" w14:textId="77777777" w:rsidR="007A0E0A" w:rsidRDefault="00871D7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9E39801" w14:textId="77777777" w:rsidR="007A0E0A" w:rsidRDefault="007A0E0A">
          <w:pPr>
            <w:ind w:right="-533"/>
            <w:jc w:val="both"/>
            <w:rPr>
              <w:rFonts w:ascii="Palatino Linotype" w:eastAsia="Palatino Linotype" w:hAnsi="Palatino Linotype" w:cs="Palatino Linotype"/>
              <w:b/>
              <w:sz w:val="22"/>
              <w:szCs w:val="22"/>
            </w:rPr>
          </w:pPr>
        </w:p>
      </w:tc>
    </w:tr>
    <w:tr w:rsidR="007A0E0A" w14:paraId="3E60CDD6" w14:textId="77777777">
      <w:trPr>
        <w:trHeight w:val="228"/>
      </w:trPr>
      <w:tc>
        <w:tcPr>
          <w:tcW w:w="2551" w:type="dxa"/>
          <w:vAlign w:val="center"/>
        </w:tcPr>
        <w:p w14:paraId="711C6486" w14:textId="77777777" w:rsidR="007A0E0A" w:rsidRDefault="00871D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9495C24" w14:textId="77777777" w:rsidR="007A0E0A" w:rsidRDefault="00871D72">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Tenango del Aire</w:t>
          </w:r>
        </w:p>
      </w:tc>
    </w:tr>
    <w:tr w:rsidR="007A0E0A" w14:paraId="783328AD" w14:textId="77777777">
      <w:tc>
        <w:tcPr>
          <w:tcW w:w="2551" w:type="dxa"/>
          <w:vAlign w:val="center"/>
        </w:tcPr>
        <w:p w14:paraId="22C54EC7" w14:textId="77777777" w:rsidR="007A0E0A" w:rsidRDefault="00871D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66BFF70" w14:textId="77777777" w:rsidR="007A0E0A" w:rsidRDefault="00871D7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AC6F81" w14:textId="77777777" w:rsidR="007A0E0A" w:rsidRDefault="007A0E0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5E7C" w14:textId="77777777" w:rsidR="007A0E0A" w:rsidRDefault="007A0E0A">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0F27DCF" w14:textId="77777777" w:rsidR="007A0E0A" w:rsidRDefault="007A0E0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039F"/>
    <w:multiLevelType w:val="multilevel"/>
    <w:tmpl w:val="13AE7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2B53C5"/>
    <w:multiLevelType w:val="multilevel"/>
    <w:tmpl w:val="C9DED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6C1882"/>
    <w:multiLevelType w:val="multilevel"/>
    <w:tmpl w:val="B9F8FFB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601494"/>
    <w:multiLevelType w:val="multilevel"/>
    <w:tmpl w:val="2FF67B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2A68AB"/>
    <w:multiLevelType w:val="multilevel"/>
    <w:tmpl w:val="54884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D311B0"/>
    <w:multiLevelType w:val="multilevel"/>
    <w:tmpl w:val="95FC518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716F0C88"/>
    <w:multiLevelType w:val="multilevel"/>
    <w:tmpl w:val="C23E788A"/>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 w15:restartNumberingAfterBreak="0">
    <w:nsid w:val="749267B1"/>
    <w:multiLevelType w:val="multilevel"/>
    <w:tmpl w:val="747C366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8" w15:restartNumberingAfterBreak="0">
    <w:nsid w:val="779A0F41"/>
    <w:multiLevelType w:val="multilevel"/>
    <w:tmpl w:val="A508A79A"/>
    <w:lvl w:ilvl="0">
      <w:start w:val="1"/>
      <w:numFmt w:val="bullet"/>
      <w:pStyle w:val="Listaconvietas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6"/>
  </w:num>
  <w:num w:numId="2">
    <w:abstractNumId w:val="4"/>
  </w:num>
  <w:num w:numId="3">
    <w:abstractNumId w:val="7"/>
  </w:num>
  <w:num w:numId="4">
    <w:abstractNumId w:val="0"/>
  </w:num>
  <w:num w:numId="5">
    <w:abstractNumId w:val="5"/>
  </w:num>
  <w:num w:numId="6">
    <w:abstractNumId w:val="1"/>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0A"/>
    <w:rsid w:val="00081FB9"/>
    <w:rsid w:val="003F52B3"/>
    <w:rsid w:val="00441E77"/>
    <w:rsid w:val="007A0E0A"/>
    <w:rsid w:val="007C0DA4"/>
    <w:rsid w:val="007D22F7"/>
    <w:rsid w:val="00871D72"/>
    <w:rsid w:val="008B025E"/>
    <w:rsid w:val="00E13E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8AC6"/>
  <w15:docId w15:val="{C15A57B8-51F0-4D38-BB74-2AC392329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A34A0"/>
    <w:rPr>
      <w:color w:val="605E5C"/>
      <w:shd w:val="clear" w:color="auto" w:fill="E1DFDD"/>
    </w:rPr>
  </w:style>
  <w:style w:type="paragraph" w:customStyle="1" w:styleId="Default">
    <w:name w:val="Default"/>
    <w:rsid w:val="00740F46"/>
    <w:pPr>
      <w:autoSpaceDE w:val="0"/>
      <w:autoSpaceDN w:val="0"/>
      <w:adjustRightInd w:val="0"/>
    </w:pPr>
    <w:rPr>
      <w:rFonts w:ascii="Arial" w:eastAsiaTheme="minorHAnsi" w:hAnsi="Arial" w:cs="Arial"/>
      <w:color w:val="000000"/>
      <w:lang w:val="es-MX" w:eastAsia="en-US"/>
    </w:rPr>
  </w:style>
  <w:style w:type="table" w:customStyle="1" w:styleId="Tablaconcuadrcula2">
    <w:name w:val="Tabla con cuadrícula2"/>
    <w:basedOn w:val="Tablanormal"/>
    <w:next w:val="Tablaconcuadrcula"/>
    <w:uiPriority w:val="39"/>
    <w:rsid w:val="0057641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Jk0twvsmqinZn3kOQIlVt/tRBQ==">CgMxLjAyCWguMWZvYjl0ZTIJaC4zem55c2g3MghoLmdqZGd4czIJaC4zMGowemxsMghoLnR5amN3dDIJaC4xdDNoNXNmOAByITF6VmhxSnRaR0pWeWpnZVl3S2ZQdGtFc1EyWUdUdDRmcw==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53</Pages>
  <Words>14220</Words>
  <Characters>78212</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2024-10-11T18:37:00Z</cp:lastPrinted>
  <dcterms:created xsi:type="dcterms:W3CDTF">2024-10-24T19:30:00Z</dcterms:created>
  <dcterms:modified xsi:type="dcterms:W3CDTF">2024-10-24T19:30:00Z</dcterms:modified>
</cp:coreProperties>
</file>