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19074" w14:textId="5ED6F084" w:rsidR="00A83B4F" w:rsidRPr="00DB300E" w:rsidRDefault="0029071C" w:rsidP="004309A2">
      <w:pPr>
        <w:shd w:val="clear" w:color="auto" w:fill="FFFFFF"/>
        <w:spacing w:line="360" w:lineRule="auto"/>
        <w:jc w:val="both"/>
        <w:rPr>
          <w:rFonts w:ascii="Palatino Linotype" w:hAnsi="Palatino Linotype" w:cs="Arial"/>
          <w:color w:val="000000"/>
          <w:lang w:val="es-MX" w:eastAsia="es-MX"/>
        </w:rPr>
      </w:pPr>
      <w:r w:rsidRPr="00DB300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973D62">
        <w:rPr>
          <w:rFonts w:ascii="Palatino Linotype" w:hAnsi="Palatino Linotype" w:cs="Arial"/>
          <w:color w:val="000000"/>
          <w:lang w:val="es-MX" w:eastAsia="es-MX"/>
        </w:rPr>
        <w:t>seis de noviembre</w:t>
      </w:r>
      <w:r w:rsidR="00650F75">
        <w:rPr>
          <w:rFonts w:ascii="Palatino Linotype" w:hAnsi="Palatino Linotype" w:cs="Arial"/>
          <w:color w:val="000000"/>
          <w:lang w:val="es-MX" w:eastAsia="es-MX"/>
        </w:rPr>
        <w:t xml:space="preserve"> de</w:t>
      </w:r>
      <w:r w:rsidR="007237B8" w:rsidRPr="00DB300E">
        <w:rPr>
          <w:rFonts w:ascii="Palatino Linotype" w:hAnsi="Palatino Linotype" w:cs="Arial"/>
          <w:color w:val="000000"/>
          <w:lang w:val="es-MX" w:eastAsia="es-MX"/>
        </w:rPr>
        <w:t xml:space="preserve"> dos mil veinti</w:t>
      </w:r>
      <w:r w:rsidR="00002E67" w:rsidRPr="00DB300E">
        <w:rPr>
          <w:rFonts w:ascii="Palatino Linotype" w:hAnsi="Palatino Linotype" w:cs="Arial"/>
          <w:color w:val="000000"/>
          <w:lang w:val="es-MX" w:eastAsia="es-MX"/>
        </w:rPr>
        <w:t>cuatro</w:t>
      </w:r>
      <w:r w:rsidRPr="00DB300E">
        <w:rPr>
          <w:rFonts w:ascii="Palatino Linotype" w:hAnsi="Palatino Linotype" w:cs="Arial"/>
          <w:color w:val="000000"/>
          <w:lang w:val="es-MX" w:eastAsia="es-MX"/>
        </w:rPr>
        <w:t>.</w:t>
      </w:r>
    </w:p>
    <w:p w14:paraId="4C6F6F35" w14:textId="77777777" w:rsidR="004309A2" w:rsidRPr="00DB300E" w:rsidRDefault="004309A2" w:rsidP="004309A2">
      <w:pPr>
        <w:shd w:val="clear" w:color="auto" w:fill="FFFFFF"/>
        <w:spacing w:line="360" w:lineRule="auto"/>
        <w:jc w:val="both"/>
        <w:rPr>
          <w:rFonts w:ascii="Palatino Linotype" w:hAnsi="Palatino Linotype" w:cs="Arial"/>
          <w:color w:val="000000"/>
          <w:lang w:val="es-MX" w:eastAsia="es-MX"/>
        </w:rPr>
      </w:pPr>
    </w:p>
    <w:p w14:paraId="2167EDF0" w14:textId="4B74659A" w:rsidR="00C753C2" w:rsidRPr="00DB300E" w:rsidRDefault="0029071C" w:rsidP="00C753C2">
      <w:pPr>
        <w:tabs>
          <w:tab w:val="left" w:pos="1701"/>
        </w:tabs>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b/>
          <w:lang w:val="es-MX" w:eastAsia="en-US"/>
        </w:rPr>
        <w:t>VISTO</w:t>
      </w:r>
      <w:r w:rsidRPr="00DB300E">
        <w:rPr>
          <w:rFonts w:ascii="Palatino Linotype" w:eastAsiaTheme="minorHAnsi" w:hAnsi="Palatino Linotype" w:cs="Arial"/>
          <w:lang w:val="es-MX" w:eastAsia="en-US"/>
        </w:rPr>
        <w:t xml:space="preserve"> el expediente electrónico formado con motivo del recurso de revisión número </w:t>
      </w:r>
      <w:r w:rsidR="00E250C8" w:rsidRPr="00DB300E">
        <w:rPr>
          <w:rFonts w:ascii="Palatino Linotype" w:eastAsiaTheme="minorHAnsi" w:hAnsi="Palatino Linotype" w:cs="Arial"/>
          <w:b/>
          <w:lang w:val="es-MX" w:eastAsia="en-US"/>
        </w:rPr>
        <w:t>0</w:t>
      </w:r>
      <w:r w:rsidR="00DB300E" w:rsidRPr="00DB300E">
        <w:rPr>
          <w:rFonts w:ascii="Palatino Linotype" w:eastAsiaTheme="minorHAnsi" w:hAnsi="Palatino Linotype" w:cs="Arial"/>
          <w:b/>
          <w:lang w:val="es-MX" w:eastAsia="en-US"/>
        </w:rPr>
        <w:t>5355</w:t>
      </w:r>
      <w:r w:rsidRPr="00DB300E">
        <w:rPr>
          <w:rFonts w:ascii="Palatino Linotype" w:eastAsiaTheme="minorHAnsi" w:hAnsi="Palatino Linotype" w:cs="Arial"/>
          <w:b/>
          <w:bCs/>
          <w:lang w:val="es-MX" w:eastAsia="es-MX"/>
        </w:rPr>
        <w:t>/INFOEM/IP/RR/202</w:t>
      </w:r>
      <w:r w:rsidR="00397ADA" w:rsidRPr="00DB300E">
        <w:rPr>
          <w:rFonts w:ascii="Palatino Linotype" w:eastAsiaTheme="minorHAnsi" w:hAnsi="Palatino Linotype" w:cs="Arial"/>
          <w:b/>
          <w:bCs/>
          <w:lang w:val="es-MX" w:eastAsia="es-MX"/>
        </w:rPr>
        <w:t>4</w:t>
      </w:r>
      <w:r w:rsidRPr="00DB300E">
        <w:rPr>
          <w:rFonts w:ascii="Palatino Linotype" w:eastAsiaTheme="minorHAnsi" w:hAnsi="Palatino Linotype" w:cs="Arial"/>
          <w:lang w:val="es-MX" w:eastAsia="en-US"/>
        </w:rPr>
        <w:t xml:space="preserve">, </w:t>
      </w:r>
      <w:r w:rsidR="005A19C5" w:rsidRPr="00DB300E">
        <w:rPr>
          <w:rFonts w:ascii="Palatino Linotype" w:hAnsi="Palatino Linotype" w:cs="Arial"/>
        </w:rPr>
        <w:t xml:space="preserve">interpuesto por </w:t>
      </w:r>
      <w:r w:rsidR="009D18C2" w:rsidRPr="00DB300E">
        <w:rPr>
          <w:rFonts w:ascii="Palatino Linotype" w:hAnsi="Palatino Linotype" w:cs="Arial"/>
        </w:rPr>
        <w:t xml:space="preserve">el </w:t>
      </w:r>
      <w:r w:rsidR="009D18C2" w:rsidRPr="00DB300E">
        <w:rPr>
          <w:rFonts w:ascii="Palatino Linotype" w:hAnsi="Palatino Linotype" w:cs="Arial"/>
          <w:b/>
          <w:bCs/>
        </w:rPr>
        <w:t xml:space="preserve">C. </w:t>
      </w:r>
      <w:r w:rsidR="00D46366">
        <w:rPr>
          <w:rFonts w:ascii="Palatino Linotype" w:hAnsi="Palatino Linotype" w:cs="Arial"/>
          <w:b/>
          <w:bCs/>
        </w:rPr>
        <w:t>XXXXXXXXXX</w:t>
      </w:r>
      <w:r w:rsidR="005F1F89" w:rsidRPr="00DB300E">
        <w:rPr>
          <w:rFonts w:ascii="Palatino Linotype" w:hAnsi="Palatino Linotype" w:cs="Arial"/>
        </w:rPr>
        <w:t>,</w:t>
      </w:r>
      <w:r w:rsidR="005F1F89" w:rsidRPr="00DB300E">
        <w:rPr>
          <w:rFonts w:ascii="Palatino Linotype" w:hAnsi="Palatino Linotype" w:cs="Arial"/>
          <w:b/>
        </w:rPr>
        <w:t xml:space="preserve"> </w:t>
      </w:r>
      <w:r w:rsidR="005F1F89" w:rsidRPr="00DB300E">
        <w:rPr>
          <w:rFonts w:ascii="Palatino Linotype" w:hAnsi="Palatino Linotype" w:cs="Arial"/>
        </w:rPr>
        <w:t>en lo sucesivo</w:t>
      </w:r>
      <w:r w:rsidR="00397ADA" w:rsidRPr="00DB300E">
        <w:rPr>
          <w:rFonts w:ascii="Palatino Linotype" w:hAnsi="Palatino Linotype" w:cs="Arial"/>
        </w:rPr>
        <w:t xml:space="preserve"> la parte</w:t>
      </w:r>
      <w:r w:rsidR="005F1F89" w:rsidRPr="00DB300E">
        <w:rPr>
          <w:rFonts w:ascii="Palatino Linotype" w:hAnsi="Palatino Linotype" w:cs="Arial"/>
        </w:rPr>
        <w:t xml:space="preserve"> </w:t>
      </w:r>
      <w:r w:rsidR="005F1F89" w:rsidRPr="00DB300E">
        <w:rPr>
          <w:rFonts w:ascii="Palatino Linotype" w:hAnsi="Palatino Linotype" w:cs="Arial"/>
          <w:b/>
        </w:rPr>
        <w:t>Recurrente</w:t>
      </w:r>
      <w:r w:rsidRPr="00DB300E">
        <w:rPr>
          <w:rFonts w:ascii="Palatino Linotype" w:eastAsiaTheme="minorHAnsi" w:hAnsi="Palatino Linotype" w:cs="Arial"/>
          <w:lang w:val="es-MX" w:eastAsia="en-US"/>
        </w:rPr>
        <w:t>, en contra de la respuesta de</w:t>
      </w:r>
      <w:r w:rsidR="005A19C5" w:rsidRPr="00DB300E">
        <w:rPr>
          <w:rFonts w:ascii="Palatino Linotype" w:eastAsiaTheme="minorHAnsi" w:hAnsi="Palatino Linotype" w:cs="Arial"/>
          <w:lang w:val="es-MX" w:eastAsia="en-US"/>
        </w:rPr>
        <w:t xml:space="preserve"> la</w:t>
      </w:r>
      <w:r w:rsidRPr="00DB300E">
        <w:rPr>
          <w:rFonts w:ascii="Palatino Linotype" w:eastAsiaTheme="minorHAnsi" w:hAnsi="Palatino Linotype" w:cs="Arial"/>
          <w:lang w:val="es-MX" w:eastAsia="en-US"/>
        </w:rPr>
        <w:t xml:space="preserve"> </w:t>
      </w:r>
      <w:r w:rsidR="00D0027F" w:rsidRPr="00DB300E">
        <w:rPr>
          <w:rFonts w:ascii="Palatino Linotype" w:eastAsiaTheme="minorHAnsi" w:hAnsi="Palatino Linotype" w:cs="Arial"/>
          <w:b/>
          <w:lang w:val="es-MX" w:eastAsia="en-US"/>
        </w:rPr>
        <w:t>Fiscalía</w:t>
      </w:r>
      <w:r w:rsidR="00143983">
        <w:rPr>
          <w:rFonts w:ascii="Palatino Linotype" w:eastAsiaTheme="minorHAnsi" w:hAnsi="Palatino Linotype" w:cs="Arial"/>
          <w:b/>
          <w:lang w:val="es-MX" w:eastAsia="en-US"/>
        </w:rPr>
        <w:t xml:space="preserve"> </w:t>
      </w:r>
      <w:r w:rsidR="00D0027F" w:rsidRPr="00DB300E">
        <w:rPr>
          <w:rFonts w:ascii="Palatino Linotype" w:eastAsiaTheme="minorHAnsi" w:hAnsi="Palatino Linotype" w:cs="Arial"/>
          <w:b/>
          <w:lang w:val="es-MX" w:eastAsia="en-US"/>
        </w:rPr>
        <w:t>General de Justicia del Estado de México</w:t>
      </w:r>
      <w:r w:rsidRPr="00DB300E">
        <w:rPr>
          <w:rFonts w:ascii="Palatino Linotype" w:eastAsiaTheme="minorHAnsi" w:hAnsi="Palatino Linotype" w:cs="Arial"/>
          <w:lang w:val="es-MX" w:eastAsia="en-US"/>
        </w:rPr>
        <w:t>,</w:t>
      </w:r>
      <w:r w:rsidRPr="00DB300E">
        <w:rPr>
          <w:rFonts w:ascii="Palatino Linotype" w:eastAsiaTheme="minorHAnsi" w:hAnsi="Palatino Linotype" w:cs="Arial"/>
          <w:b/>
          <w:lang w:val="es-MX" w:eastAsia="en-US"/>
        </w:rPr>
        <w:t xml:space="preserve"> </w:t>
      </w:r>
      <w:r w:rsidRPr="00DB300E">
        <w:rPr>
          <w:rFonts w:ascii="Palatino Linotype" w:eastAsiaTheme="minorHAnsi" w:hAnsi="Palatino Linotype" w:cs="Arial"/>
          <w:lang w:val="es-MX" w:eastAsia="en-US"/>
        </w:rPr>
        <w:t>en lo subsecuente</w:t>
      </w:r>
      <w:r w:rsidRPr="00DB300E">
        <w:rPr>
          <w:rFonts w:ascii="Palatino Linotype" w:eastAsiaTheme="minorHAnsi" w:hAnsi="Palatino Linotype" w:cs="Arial"/>
          <w:b/>
          <w:lang w:val="es-MX" w:eastAsia="en-US"/>
        </w:rPr>
        <w:t xml:space="preserve"> El Sujeto Obligado, </w:t>
      </w:r>
      <w:r w:rsidRPr="00DB300E">
        <w:rPr>
          <w:rFonts w:ascii="Palatino Linotype" w:eastAsiaTheme="minorHAnsi" w:hAnsi="Palatino Linotype" w:cs="Arial"/>
          <w:lang w:val="es-MX" w:eastAsia="en-US"/>
        </w:rPr>
        <w:t>se procede a dictar la presente resolución.</w:t>
      </w:r>
    </w:p>
    <w:p w14:paraId="0085D814" w14:textId="77777777" w:rsidR="00811065" w:rsidRPr="00DB300E" w:rsidRDefault="00811065" w:rsidP="00C753C2">
      <w:pPr>
        <w:tabs>
          <w:tab w:val="left" w:pos="1701"/>
        </w:tabs>
        <w:spacing w:line="360" w:lineRule="auto"/>
        <w:jc w:val="both"/>
        <w:rPr>
          <w:rFonts w:ascii="Palatino Linotype" w:eastAsiaTheme="minorHAnsi" w:hAnsi="Palatino Linotype" w:cs="Arial"/>
          <w:lang w:val="es-MX" w:eastAsia="en-US"/>
        </w:rPr>
      </w:pPr>
    </w:p>
    <w:p w14:paraId="7C5485EB" w14:textId="4E9E0669" w:rsidR="00C753C2" w:rsidRPr="00DB300E" w:rsidRDefault="0029071C" w:rsidP="00811065">
      <w:pPr>
        <w:spacing w:line="360" w:lineRule="auto"/>
        <w:jc w:val="center"/>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t>A N T E C E D E N T E S</w:t>
      </w:r>
    </w:p>
    <w:p w14:paraId="116729E5" w14:textId="77777777" w:rsidR="00811065" w:rsidRPr="00DB300E" w:rsidRDefault="00811065" w:rsidP="00811065">
      <w:pPr>
        <w:spacing w:line="360" w:lineRule="auto"/>
        <w:jc w:val="center"/>
        <w:rPr>
          <w:rFonts w:ascii="Palatino Linotype" w:eastAsiaTheme="minorHAnsi" w:hAnsi="Palatino Linotype" w:cs="Arial"/>
          <w:b/>
          <w:szCs w:val="22"/>
          <w:lang w:val="es-MX" w:eastAsia="en-US"/>
        </w:rPr>
      </w:pPr>
    </w:p>
    <w:p w14:paraId="51A2844D" w14:textId="77777777" w:rsidR="0029071C" w:rsidRPr="00DB300E" w:rsidRDefault="0029071C" w:rsidP="0029071C">
      <w:pPr>
        <w:spacing w:line="360" w:lineRule="auto"/>
        <w:jc w:val="both"/>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t>PRIMERO. De la solicitud de información.</w:t>
      </w:r>
    </w:p>
    <w:p w14:paraId="244B7B44" w14:textId="00D48609" w:rsidR="00676631" w:rsidRPr="00DB300E" w:rsidRDefault="0029071C" w:rsidP="00676631">
      <w:pPr>
        <w:spacing w:line="360" w:lineRule="auto"/>
        <w:jc w:val="both"/>
        <w:rPr>
          <w:rFonts w:ascii="Palatino Linotype" w:eastAsiaTheme="minorHAnsi" w:hAnsi="Palatino Linotype" w:cs="Arial"/>
          <w:szCs w:val="22"/>
          <w:lang w:val="es-MX" w:eastAsia="en-US"/>
        </w:rPr>
      </w:pPr>
      <w:r w:rsidRPr="00DB300E">
        <w:rPr>
          <w:rFonts w:ascii="Palatino Linotype" w:eastAsiaTheme="minorHAnsi" w:hAnsi="Palatino Linotype" w:cs="Arial"/>
          <w:szCs w:val="22"/>
          <w:lang w:val="es-MX" w:eastAsia="en-US"/>
        </w:rPr>
        <w:t xml:space="preserve">En fecha </w:t>
      </w:r>
      <w:r w:rsidR="007E2456">
        <w:rPr>
          <w:rFonts w:ascii="Palatino Linotype" w:eastAsiaTheme="minorHAnsi" w:hAnsi="Palatino Linotype" w:cs="Arial"/>
          <w:szCs w:val="22"/>
          <w:lang w:val="es-MX" w:eastAsia="en-US"/>
        </w:rPr>
        <w:t>diez de julio</w:t>
      </w:r>
      <w:r w:rsidR="00676631" w:rsidRPr="00DB300E">
        <w:rPr>
          <w:rFonts w:ascii="Palatino Linotype" w:eastAsiaTheme="minorHAnsi" w:hAnsi="Palatino Linotype" w:cs="Arial"/>
          <w:szCs w:val="22"/>
          <w:lang w:val="es-MX" w:eastAsia="en-US"/>
        </w:rPr>
        <w:t xml:space="preserve"> de dos mil veinti</w:t>
      </w:r>
      <w:r w:rsidR="00811065" w:rsidRPr="00DB300E">
        <w:rPr>
          <w:rFonts w:ascii="Palatino Linotype" w:eastAsiaTheme="minorHAnsi" w:hAnsi="Palatino Linotype" w:cs="Arial"/>
          <w:szCs w:val="22"/>
          <w:lang w:val="es-MX" w:eastAsia="en-US"/>
        </w:rPr>
        <w:t>cua</w:t>
      </w:r>
      <w:bookmarkStart w:id="0" w:name="_GoBack"/>
      <w:bookmarkEnd w:id="0"/>
      <w:r w:rsidR="00811065" w:rsidRPr="00DB300E">
        <w:rPr>
          <w:rFonts w:ascii="Palatino Linotype" w:eastAsiaTheme="minorHAnsi" w:hAnsi="Palatino Linotype" w:cs="Arial"/>
          <w:szCs w:val="22"/>
          <w:lang w:val="es-MX" w:eastAsia="en-US"/>
        </w:rPr>
        <w:t>tro</w:t>
      </w:r>
      <w:r w:rsidRPr="00DB300E">
        <w:rPr>
          <w:rFonts w:ascii="Palatino Linotype" w:eastAsiaTheme="minorHAnsi" w:hAnsi="Palatino Linotype" w:cs="Arial"/>
          <w:szCs w:val="22"/>
          <w:lang w:val="es-MX" w:eastAsia="en-US"/>
        </w:rPr>
        <w:t xml:space="preserve">, </w:t>
      </w:r>
      <w:r w:rsidR="00811065" w:rsidRPr="00DB300E">
        <w:rPr>
          <w:rFonts w:ascii="Palatino Linotype" w:eastAsiaTheme="minorHAnsi" w:hAnsi="Palatino Linotype" w:cs="Arial"/>
          <w:szCs w:val="22"/>
          <w:lang w:val="es-MX" w:eastAsia="en-US"/>
        </w:rPr>
        <w:t>la parte</w:t>
      </w:r>
      <w:r w:rsidRPr="00DB300E">
        <w:rPr>
          <w:rFonts w:ascii="Palatino Linotype" w:eastAsiaTheme="minorHAnsi" w:hAnsi="Palatino Linotype" w:cs="Arial"/>
          <w:szCs w:val="22"/>
          <w:lang w:val="es-MX" w:eastAsia="en-US"/>
        </w:rPr>
        <w:t xml:space="preserve"> </w:t>
      </w:r>
      <w:r w:rsidRPr="00DB300E">
        <w:rPr>
          <w:rFonts w:ascii="Palatino Linotype" w:eastAsiaTheme="minorHAnsi" w:hAnsi="Palatino Linotype" w:cs="Arial"/>
          <w:b/>
          <w:szCs w:val="22"/>
          <w:lang w:val="es-MX" w:eastAsia="en-US"/>
        </w:rPr>
        <w:t>Recurrente</w:t>
      </w:r>
      <w:r w:rsidRPr="00DB300E">
        <w:rPr>
          <w:rFonts w:ascii="Palatino Linotype" w:eastAsiaTheme="minorHAnsi" w:hAnsi="Palatino Linotype" w:cs="Arial"/>
          <w:szCs w:val="22"/>
          <w:lang w:val="es-MX" w:eastAsia="en-US"/>
        </w:rPr>
        <w:t>, presentó a través de</w:t>
      </w:r>
      <w:r w:rsidR="007E2456">
        <w:rPr>
          <w:rFonts w:ascii="Palatino Linotype" w:eastAsiaTheme="minorHAnsi" w:hAnsi="Palatino Linotype" w:cs="Arial"/>
          <w:szCs w:val="22"/>
          <w:lang w:val="es-MX" w:eastAsia="en-US"/>
        </w:rPr>
        <w:t xml:space="preserve"> la </w:t>
      </w:r>
      <w:r w:rsidR="007E2456" w:rsidRPr="007E2456">
        <w:rPr>
          <w:rFonts w:ascii="Palatino Linotype" w:eastAsiaTheme="minorHAnsi" w:hAnsi="Palatino Linotype" w:cs="Arial"/>
          <w:szCs w:val="22"/>
          <w:lang w:val="es-MX" w:eastAsia="en-US"/>
        </w:rPr>
        <w:t xml:space="preserve">Plataforma Nacional </w:t>
      </w:r>
      <w:r w:rsidR="007E2456">
        <w:rPr>
          <w:rFonts w:ascii="Palatino Linotype" w:eastAsiaTheme="minorHAnsi" w:hAnsi="Palatino Linotype" w:cs="Arial"/>
          <w:szCs w:val="22"/>
          <w:lang w:val="es-MX" w:eastAsia="en-US"/>
        </w:rPr>
        <w:t>d</w:t>
      </w:r>
      <w:r w:rsidR="007E2456" w:rsidRPr="007E2456">
        <w:rPr>
          <w:rFonts w:ascii="Palatino Linotype" w:eastAsiaTheme="minorHAnsi" w:hAnsi="Palatino Linotype" w:cs="Arial"/>
          <w:szCs w:val="22"/>
          <w:lang w:val="es-MX" w:eastAsia="en-US"/>
        </w:rPr>
        <w:t>e Transparencia</w:t>
      </w:r>
      <w:r w:rsidR="007E2456">
        <w:rPr>
          <w:rFonts w:ascii="Palatino Linotype" w:eastAsiaTheme="minorHAnsi" w:hAnsi="Palatino Linotype" w:cs="Arial"/>
          <w:szCs w:val="22"/>
          <w:lang w:val="es-MX" w:eastAsia="en-US"/>
        </w:rPr>
        <w:t xml:space="preserve"> </w:t>
      </w:r>
      <w:r w:rsidR="007E2456" w:rsidRPr="007E2456">
        <w:rPr>
          <w:rFonts w:ascii="Palatino Linotype" w:eastAsiaTheme="minorHAnsi" w:hAnsi="Palatino Linotype" w:cs="Arial"/>
          <w:b/>
          <w:bCs/>
          <w:szCs w:val="22"/>
          <w:lang w:val="es-MX" w:eastAsia="en-US"/>
        </w:rPr>
        <w:t>(PNT)</w:t>
      </w:r>
      <w:r w:rsidR="007E2456">
        <w:rPr>
          <w:rFonts w:ascii="Palatino Linotype" w:eastAsiaTheme="minorHAnsi" w:hAnsi="Palatino Linotype" w:cs="Arial"/>
          <w:szCs w:val="22"/>
          <w:lang w:val="es-MX" w:eastAsia="en-US"/>
        </w:rPr>
        <w:t xml:space="preserve">, vinculada con el </w:t>
      </w:r>
      <w:r w:rsidRPr="00DB300E">
        <w:rPr>
          <w:rFonts w:ascii="Palatino Linotype" w:eastAsiaTheme="minorHAnsi" w:hAnsi="Palatino Linotype" w:cs="Arial"/>
          <w:szCs w:val="22"/>
          <w:lang w:val="es-MX" w:eastAsia="en-US"/>
        </w:rPr>
        <w:t xml:space="preserve">Sistema de Acceso a la Información Mexiquense </w:t>
      </w:r>
      <w:r w:rsidRPr="00DB300E">
        <w:rPr>
          <w:rFonts w:ascii="Palatino Linotype" w:eastAsiaTheme="minorHAnsi" w:hAnsi="Palatino Linotype" w:cs="Arial"/>
          <w:b/>
          <w:szCs w:val="22"/>
          <w:lang w:val="es-MX" w:eastAsia="en-US"/>
        </w:rPr>
        <w:t>(SAIMEX),</w:t>
      </w:r>
      <w:r w:rsidRPr="00DB300E">
        <w:rPr>
          <w:rFonts w:ascii="Palatino Linotype" w:eastAsiaTheme="minorHAnsi" w:hAnsi="Palatino Linotype" w:cs="Arial"/>
          <w:szCs w:val="22"/>
          <w:lang w:val="es-MX" w:eastAsia="en-US"/>
        </w:rPr>
        <w:t xml:space="preserve"> ante el </w:t>
      </w:r>
      <w:r w:rsidRPr="00DB300E">
        <w:rPr>
          <w:rFonts w:ascii="Palatino Linotype" w:eastAsiaTheme="minorHAnsi" w:hAnsi="Palatino Linotype" w:cs="Arial"/>
          <w:b/>
          <w:szCs w:val="22"/>
          <w:lang w:val="es-MX" w:eastAsia="en-US"/>
        </w:rPr>
        <w:t>Sujeto Obligado</w:t>
      </w:r>
      <w:r w:rsidRPr="00DB300E">
        <w:rPr>
          <w:rFonts w:ascii="Palatino Linotype" w:eastAsiaTheme="minorHAnsi" w:hAnsi="Palatino Linotype" w:cs="Arial"/>
          <w:szCs w:val="22"/>
          <w:lang w:val="es-MX" w:eastAsia="en-US"/>
        </w:rPr>
        <w:t>, la solicitud de acceso a la información pública, a la que se le</w:t>
      </w:r>
      <w:r w:rsidR="00C753C2" w:rsidRPr="00DB300E">
        <w:rPr>
          <w:rFonts w:ascii="Palatino Linotype" w:eastAsiaTheme="minorHAnsi" w:hAnsi="Palatino Linotype" w:cs="Arial"/>
          <w:szCs w:val="22"/>
          <w:lang w:val="es-MX" w:eastAsia="en-US"/>
        </w:rPr>
        <w:t xml:space="preserve"> asignó el número de expediente </w:t>
      </w:r>
      <w:r w:rsidR="007E2456" w:rsidRPr="007E2456">
        <w:rPr>
          <w:rFonts w:ascii="Palatino Linotype" w:eastAsiaTheme="minorHAnsi" w:hAnsi="Palatino Linotype" w:cs="Arial"/>
          <w:b/>
          <w:szCs w:val="22"/>
          <w:lang w:val="es-MX" w:eastAsia="en-US"/>
        </w:rPr>
        <w:t>00670/FGJ/IP/2024</w:t>
      </w:r>
      <w:r w:rsidRPr="00DB300E">
        <w:rPr>
          <w:rFonts w:ascii="Palatino Linotype" w:eastAsiaTheme="minorHAnsi" w:hAnsi="Palatino Linotype" w:cs="Arial"/>
          <w:szCs w:val="22"/>
          <w:lang w:val="es-MX" w:eastAsia="en-US"/>
        </w:rPr>
        <w:t>, mediant</w:t>
      </w:r>
      <w:r w:rsidR="00676631" w:rsidRPr="00DB300E">
        <w:rPr>
          <w:rFonts w:ascii="Palatino Linotype" w:eastAsiaTheme="minorHAnsi" w:hAnsi="Palatino Linotype" w:cs="Arial"/>
          <w:szCs w:val="22"/>
          <w:lang w:val="es-MX" w:eastAsia="en-US"/>
        </w:rPr>
        <w:t>e la cual solicitó lo siguiente:</w:t>
      </w:r>
    </w:p>
    <w:p w14:paraId="1B3FE0F7" w14:textId="77777777" w:rsidR="00811065" w:rsidRPr="00DB300E" w:rsidRDefault="00811065" w:rsidP="00676631">
      <w:pPr>
        <w:spacing w:line="360" w:lineRule="auto"/>
        <w:jc w:val="both"/>
        <w:rPr>
          <w:rFonts w:ascii="Palatino Linotype" w:eastAsiaTheme="minorHAnsi" w:hAnsi="Palatino Linotype" w:cs="Arial"/>
          <w:szCs w:val="22"/>
          <w:lang w:val="es-MX" w:eastAsia="en-US"/>
        </w:rPr>
      </w:pPr>
    </w:p>
    <w:p w14:paraId="5BA1A015" w14:textId="5C3DAC66" w:rsidR="00676631" w:rsidRPr="00DB300E" w:rsidRDefault="0029071C" w:rsidP="00811065">
      <w:pPr>
        <w:spacing w:line="360" w:lineRule="auto"/>
        <w:ind w:left="284" w:right="332"/>
        <w:jc w:val="both"/>
        <w:rPr>
          <w:rFonts w:ascii="Palatino Linotype" w:hAnsi="Palatino Linotype"/>
          <w:i/>
          <w:sz w:val="22"/>
          <w:szCs w:val="22"/>
          <w:lang w:val="es-ES_tradnl"/>
        </w:rPr>
      </w:pPr>
      <w:r w:rsidRPr="00DB300E">
        <w:rPr>
          <w:rFonts w:ascii="Palatino Linotype" w:hAnsi="Palatino Linotype"/>
          <w:i/>
          <w:sz w:val="22"/>
          <w:szCs w:val="22"/>
          <w:lang w:val="es-MX"/>
        </w:rPr>
        <w:t>“</w:t>
      </w:r>
      <w:r w:rsidR="007E2456" w:rsidRPr="007E2456">
        <w:rPr>
          <w:rFonts w:ascii="Palatino Linotype" w:hAnsi="Palatino Linotype"/>
          <w:i/>
          <w:sz w:val="22"/>
          <w:szCs w:val="22"/>
          <w:lang w:val="es-MX" w:eastAsia="es-MX"/>
        </w:rPr>
        <w:t xml:space="preserve">¿Cuántas quejas/denuncias fueron presentadas en los órganos internos de control /unidad de asuntos internos u órganos similares en contra de personas servidoras públicas de la entonces Procuraduría General de Justicia del Estado de México y de la actual Fiscalía de esta entidad, sobre hechos acontecidos en los periodos de 2000 a 2010? Desagregar por sexo, cargo, tipo de </w:t>
      </w:r>
      <w:proofErr w:type="gramStart"/>
      <w:r w:rsidR="007E2456" w:rsidRPr="007E2456">
        <w:rPr>
          <w:rFonts w:ascii="Palatino Linotype" w:hAnsi="Palatino Linotype"/>
          <w:i/>
          <w:sz w:val="22"/>
          <w:szCs w:val="22"/>
          <w:lang w:val="es-MX" w:eastAsia="es-MX"/>
        </w:rPr>
        <w:t>conducta</w:t>
      </w:r>
      <w:proofErr w:type="gramEnd"/>
      <w:r w:rsidR="007E2456" w:rsidRPr="007E2456">
        <w:rPr>
          <w:rFonts w:ascii="Palatino Linotype" w:hAnsi="Palatino Linotype"/>
          <w:i/>
          <w:sz w:val="22"/>
          <w:szCs w:val="22"/>
          <w:lang w:val="es-MX" w:eastAsia="es-MX"/>
        </w:rPr>
        <w:t xml:space="preserve">, mes y año en que ocurrieron los hechos, lugar de los hechos (municipio y localidad). </w:t>
      </w:r>
      <w:r w:rsidR="007E2456" w:rsidRPr="007E2456">
        <w:rPr>
          <w:rFonts w:ascii="Palatino Linotype" w:hAnsi="Palatino Linotype"/>
          <w:i/>
          <w:sz w:val="22"/>
          <w:szCs w:val="22"/>
          <w:lang w:val="es-MX" w:eastAsia="es-MX"/>
        </w:rPr>
        <w:lastRenderedPageBreak/>
        <w:t>¿Cuántas personas servidoras públicas de la entonces Procuraduría General de Justicia del Estado de México y de la actual Fiscalía de esta entidad, fueron sometidas a procesos sancionatorios administrativos sobre hechos acontecidos en el periodo de 2000 a 2010? Desglosando los datos de dichas personas por sexo, cargo, tipo de hechos, tipo de conducta, mes y año en que ocurrieron los hechos, lugar de los hechos (municipio y localidad). ¿Cuántas personas servidoras públicas de la entonces Procuraduría General de Justicia del Estado de México y de la actual Fiscalía de esta entidad, fueron sancionadas administrativa o internamente sobre hechos acontecidos en el periodo de 2000 a 2010? Desglosando los datos de dichas personas por sexo, cargo, tipo de hechos, tipo de conducta, mes y año en que ocurrieron los hechos, lugar de los hechos (municipio y localidad) y sanción.</w:t>
      </w:r>
      <w:r w:rsidRPr="00DB300E">
        <w:rPr>
          <w:rFonts w:ascii="Palatino Linotype" w:hAnsi="Palatino Linotype"/>
          <w:i/>
          <w:sz w:val="22"/>
          <w:szCs w:val="22"/>
          <w:lang w:val="es-MX"/>
        </w:rPr>
        <w:t>”</w:t>
      </w:r>
      <w:r w:rsidRPr="00DB300E">
        <w:rPr>
          <w:rFonts w:ascii="Palatino Linotype" w:hAnsi="Palatino Linotype"/>
          <w:i/>
          <w:sz w:val="22"/>
          <w:szCs w:val="22"/>
          <w:lang w:val="es-ES_tradnl"/>
        </w:rPr>
        <w:t xml:space="preserve"> (Sic).</w:t>
      </w:r>
    </w:p>
    <w:p w14:paraId="78F6E227" w14:textId="77777777" w:rsidR="00811065" w:rsidRPr="00DB300E" w:rsidRDefault="00811065" w:rsidP="00811065">
      <w:pPr>
        <w:spacing w:line="276" w:lineRule="auto"/>
        <w:ind w:left="284" w:right="332"/>
        <w:jc w:val="both"/>
        <w:rPr>
          <w:rFonts w:ascii="Palatino Linotype" w:hAnsi="Palatino Linotype"/>
          <w:i/>
          <w:sz w:val="22"/>
          <w:szCs w:val="22"/>
          <w:lang w:val="es-ES_tradnl"/>
        </w:rPr>
      </w:pPr>
    </w:p>
    <w:p w14:paraId="34AA99F3" w14:textId="7CA62E6E" w:rsidR="00811065" w:rsidRPr="00DB300E" w:rsidRDefault="0029071C" w:rsidP="00811065">
      <w:pPr>
        <w:tabs>
          <w:tab w:val="left" w:pos="5647"/>
        </w:tabs>
        <w:spacing w:line="360" w:lineRule="auto"/>
        <w:ind w:right="49"/>
        <w:jc w:val="both"/>
        <w:rPr>
          <w:rFonts w:ascii="Palatino Linotype" w:eastAsiaTheme="minorHAnsi" w:hAnsi="Palatino Linotype" w:cstheme="minorBidi"/>
          <w:color w:val="000000"/>
          <w:lang w:val="es-MX" w:eastAsia="en-US"/>
        </w:rPr>
      </w:pPr>
      <w:r w:rsidRPr="00DB300E">
        <w:rPr>
          <w:rFonts w:ascii="Palatino Linotype" w:hAnsi="Palatino Linotype"/>
          <w:b/>
          <w:lang w:val="es-ES_tradnl"/>
        </w:rPr>
        <w:t>MODALIDAD DE ENTREGA:</w:t>
      </w:r>
      <w:r w:rsidRPr="00DB300E">
        <w:rPr>
          <w:rFonts w:ascii="Palatino Linotype" w:hAnsi="Palatino Linotype"/>
          <w:lang w:val="es-ES_tradnl"/>
        </w:rPr>
        <w:t xml:space="preserve"> </w:t>
      </w:r>
      <w:r w:rsidRPr="00DB300E">
        <w:rPr>
          <w:rFonts w:ascii="Palatino Linotype" w:eastAsiaTheme="minorHAnsi" w:hAnsi="Palatino Linotype" w:cstheme="minorBidi"/>
          <w:color w:val="000000"/>
          <w:lang w:val="es-MX" w:eastAsia="en-US"/>
        </w:rPr>
        <w:t>A través del</w:t>
      </w:r>
      <w:r w:rsidR="00811065" w:rsidRPr="00DB300E">
        <w:rPr>
          <w:rFonts w:ascii="Palatino Linotype" w:eastAsiaTheme="minorHAnsi" w:hAnsi="Palatino Linotype" w:cstheme="minorBidi"/>
          <w:color w:val="000000"/>
          <w:lang w:val="es-MX" w:eastAsia="en-US"/>
        </w:rPr>
        <w:t xml:space="preserve"> </w:t>
      </w:r>
      <w:r w:rsidRPr="00DB300E">
        <w:rPr>
          <w:rFonts w:ascii="Palatino Linotype" w:eastAsiaTheme="minorHAnsi" w:hAnsi="Palatino Linotype" w:cstheme="minorBidi"/>
          <w:b/>
          <w:color w:val="000000"/>
          <w:lang w:val="es-MX" w:eastAsia="en-US"/>
        </w:rPr>
        <w:t>SAIMEX</w:t>
      </w:r>
      <w:r w:rsidRPr="00DB300E">
        <w:rPr>
          <w:rFonts w:ascii="Palatino Linotype" w:eastAsiaTheme="minorHAnsi" w:hAnsi="Palatino Linotype" w:cstheme="minorBidi"/>
          <w:color w:val="000000"/>
          <w:lang w:val="es-MX" w:eastAsia="en-US"/>
        </w:rPr>
        <w:t>.</w:t>
      </w:r>
    </w:p>
    <w:p w14:paraId="25AC6EA3" w14:textId="77777777" w:rsidR="00811065" w:rsidRPr="00DB300E" w:rsidRDefault="00811065" w:rsidP="00811065">
      <w:pPr>
        <w:tabs>
          <w:tab w:val="left" w:pos="5647"/>
        </w:tabs>
        <w:spacing w:line="360" w:lineRule="auto"/>
        <w:ind w:right="49"/>
        <w:jc w:val="both"/>
        <w:rPr>
          <w:rFonts w:ascii="Palatino Linotype" w:eastAsiaTheme="minorHAnsi" w:hAnsi="Palatino Linotype" w:cstheme="minorBidi"/>
          <w:color w:val="000000"/>
          <w:lang w:val="es-MX" w:eastAsia="en-US"/>
        </w:rPr>
      </w:pPr>
    </w:p>
    <w:p w14:paraId="7403213F" w14:textId="465F0482" w:rsidR="009D1406" w:rsidRPr="00DB300E" w:rsidRDefault="00811065" w:rsidP="0029071C">
      <w:pPr>
        <w:spacing w:line="360" w:lineRule="auto"/>
        <w:jc w:val="both"/>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t>SEGUND</w:t>
      </w:r>
      <w:r w:rsidR="00E250C8" w:rsidRPr="00DB300E">
        <w:rPr>
          <w:rFonts w:ascii="Palatino Linotype" w:eastAsiaTheme="minorHAnsi" w:hAnsi="Palatino Linotype" w:cs="Arial"/>
          <w:b/>
          <w:sz w:val="28"/>
          <w:lang w:val="es-MX" w:eastAsia="en-US"/>
        </w:rPr>
        <w:t>O</w:t>
      </w:r>
      <w:r w:rsidR="0029071C" w:rsidRPr="00DB300E">
        <w:rPr>
          <w:rFonts w:ascii="Palatino Linotype" w:eastAsiaTheme="minorHAnsi" w:hAnsi="Palatino Linotype" w:cs="Arial"/>
          <w:b/>
          <w:sz w:val="28"/>
          <w:lang w:val="es-MX" w:eastAsia="en-US"/>
        </w:rPr>
        <w:t xml:space="preserve">. De la respuesta del Sujeto Obligado. </w:t>
      </w:r>
    </w:p>
    <w:p w14:paraId="4896BE28" w14:textId="14CEBC41" w:rsidR="0029071C" w:rsidRPr="00DB300E" w:rsidRDefault="0029071C" w:rsidP="0029071C">
      <w:pPr>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De las constancias que obran en el sistema SAIMEX, se advierte que en fecha </w:t>
      </w:r>
      <w:r w:rsidR="007E2456">
        <w:rPr>
          <w:rFonts w:ascii="Palatino Linotype" w:eastAsiaTheme="minorHAnsi" w:hAnsi="Palatino Linotype" w:cs="Arial"/>
          <w:lang w:val="es-MX" w:eastAsia="en-US"/>
        </w:rPr>
        <w:t>catorce de agosto</w:t>
      </w:r>
      <w:r w:rsidR="009D18C2" w:rsidRPr="00DB300E">
        <w:rPr>
          <w:rFonts w:ascii="Palatino Linotype" w:eastAsiaTheme="minorHAnsi" w:hAnsi="Palatino Linotype" w:cs="Arial"/>
          <w:lang w:val="es-MX" w:eastAsia="en-US"/>
        </w:rPr>
        <w:t xml:space="preserve"> </w:t>
      </w:r>
      <w:r w:rsidR="00E250C8" w:rsidRPr="00DB300E">
        <w:rPr>
          <w:rFonts w:ascii="Palatino Linotype" w:eastAsiaTheme="minorHAnsi" w:hAnsi="Palatino Linotype" w:cs="Arial"/>
          <w:lang w:val="es-MX" w:eastAsia="en-US"/>
        </w:rPr>
        <w:t>de dos mil veinti</w:t>
      </w:r>
      <w:r w:rsidR="00811065" w:rsidRPr="00DB300E">
        <w:rPr>
          <w:rFonts w:ascii="Palatino Linotype" w:eastAsiaTheme="minorHAnsi" w:hAnsi="Palatino Linotype" w:cs="Arial"/>
          <w:lang w:val="es-MX" w:eastAsia="en-US"/>
        </w:rPr>
        <w:t>cuatro</w:t>
      </w:r>
      <w:r w:rsidRPr="00DB300E">
        <w:rPr>
          <w:rFonts w:ascii="Palatino Linotype" w:eastAsiaTheme="minorHAnsi" w:hAnsi="Palatino Linotype" w:cs="Arial"/>
          <w:lang w:val="es-MX" w:eastAsia="en-US"/>
        </w:rPr>
        <w:t xml:space="preserve">, </w:t>
      </w:r>
      <w:r w:rsidRPr="00DB300E">
        <w:rPr>
          <w:rFonts w:ascii="Palatino Linotype" w:eastAsiaTheme="minorHAnsi" w:hAnsi="Palatino Linotype" w:cs="Arial"/>
          <w:b/>
          <w:lang w:val="es-MX" w:eastAsia="en-US"/>
        </w:rPr>
        <w:t>El Sujeto Obligado</w:t>
      </w:r>
      <w:r w:rsidRPr="00DB300E">
        <w:rPr>
          <w:rFonts w:ascii="Palatino Linotype" w:eastAsiaTheme="minorHAnsi" w:hAnsi="Palatino Linotype" w:cs="Arial"/>
          <w:lang w:val="es-MX" w:eastAsia="en-US"/>
        </w:rPr>
        <w:t xml:space="preserve"> emitió la respuesta en los siguientes términos:</w:t>
      </w:r>
    </w:p>
    <w:p w14:paraId="5A09E051" w14:textId="77777777" w:rsidR="0029071C" w:rsidRPr="00DB300E" w:rsidRDefault="0029071C" w:rsidP="0029071C">
      <w:pPr>
        <w:rPr>
          <w:lang w:val="es-MX"/>
        </w:rPr>
      </w:pPr>
    </w:p>
    <w:p w14:paraId="58F5106F" w14:textId="77777777" w:rsidR="007E2456" w:rsidRPr="007E2456" w:rsidRDefault="0029071C" w:rsidP="007E2456">
      <w:pPr>
        <w:spacing w:line="276" w:lineRule="auto"/>
        <w:ind w:left="567" w:right="567"/>
        <w:jc w:val="both"/>
        <w:rPr>
          <w:rFonts w:ascii="Palatino Linotype" w:hAnsi="Palatino Linotype"/>
          <w:i/>
          <w:sz w:val="22"/>
          <w:szCs w:val="22"/>
          <w:lang w:val="es-MX" w:eastAsia="es-MX"/>
        </w:rPr>
      </w:pPr>
      <w:r w:rsidRPr="00DB300E">
        <w:rPr>
          <w:rFonts w:ascii="Palatino Linotype" w:hAnsi="Palatino Linotype"/>
          <w:i/>
          <w:sz w:val="22"/>
          <w:szCs w:val="22"/>
          <w:lang w:val="es-MX" w:eastAsia="es-MX"/>
        </w:rPr>
        <w:t>“</w:t>
      </w:r>
      <w:r w:rsidR="007E2456" w:rsidRPr="007E245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019293" w14:textId="77777777" w:rsidR="007E2456" w:rsidRDefault="007E2456" w:rsidP="007E2456">
      <w:pPr>
        <w:spacing w:line="276" w:lineRule="auto"/>
        <w:ind w:left="567" w:right="567"/>
        <w:jc w:val="both"/>
        <w:rPr>
          <w:rFonts w:ascii="Palatino Linotype" w:hAnsi="Palatino Linotype"/>
          <w:i/>
          <w:sz w:val="22"/>
          <w:szCs w:val="22"/>
          <w:lang w:val="es-MX" w:eastAsia="es-MX"/>
        </w:rPr>
      </w:pPr>
    </w:p>
    <w:p w14:paraId="4C846869" w14:textId="68E9D79D" w:rsidR="007E2456" w:rsidRPr="007E2456" w:rsidRDefault="007E2456" w:rsidP="007E2456">
      <w:pPr>
        <w:spacing w:line="276" w:lineRule="auto"/>
        <w:ind w:left="567" w:right="567"/>
        <w:jc w:val="both"/>
        <w:rPr>
          <w:rFonts w:ascii="Palatino Linotype" w:hAnsi="Palatino Linotype"/>
          <w:i/>
          <w:sz w:val="22"/>
          <w:szCs w:val="22"/>
          <w:lang w:val="es-MX" w:eastAsia="es-MX"/>
        </w:rPr>
      </w:pPr>
      <w:r w:rsidRPr="007E2456">
        <w:rPr>
          <w:rFonts w:ascii="Palatino Linotype" w:hAnsi="Palatino Linotype"/>
          <w:i/>
          <w:sz w:val="22"/>
          <w:szCs w:val="22"/>
          <w:lang w:val="es-MX" w:eastAsia="es-MX"/>
        </w:rPr>
        <w:t>SE ANEXA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p>
    <w:p w14:paraId="20188D1A" w14:textId="77777777" w:rsidR="007E2456" w:rsidRDefault="007E2456" w:rsidP="007E2456">
      <w:pPr>
        <w:spacing w:line="276" w:lineRule="auto"/>
        <w:ind w:left="567" w:right="567"/>
        <w:jc w:val="both"/>
        <w:rPr>
          <w:rFonts w:ascii="Palatino Linotype" w:hAnsi="Palatino Linotype"/>
          <w:i/>
          <w:sz w:val="22"/>
          <w:szCs w:val="22"/>
          <w:lang w:val="es-MX" w:eastAsia="es-MX"/>
        </w:rPr>
      </w:pPr>
    </w:p>
    <w:p w14:paraId="0EA6682D" w14:textId="4A43A4DD" w:rsidR="007E2456" w:rsidRPr="007E2456" w:rsidRDefault="007E2456" w:rsidP="007E2456">
      <w:pPr>
        <w:spacing w:line="276" w:lineRule="auto"/>
        <w:ind w:left="567" w:right="567"/>
        <w:jc w:val="both"/>
        <w:rPr>
          <w:rFonts w:ascii="Palatino Linotype" w:hAnsi="Palatino Linotype"/>
          <w:i/>
          <w:sz w:val="22"/>
          <w:szCs w:val="22"/>
          <w:lang w:val="es-MX" w:eastAsia="es-MX"/>
        </w:rPr>
      </w:pPr>
      <w:r w:rsidRPr="007E2456">
        <w:rPr>
          <w:rFonts w:ascii="Palatino Linotype" w:hAnsi="Palatino Linotype"/>
          <w:i/>
          <w:sz w:val="22"/>
          <w:szCs w:val="22"/>
          <w:lang w:val="es-MX" w:eastAsia="es-MX"/>
        </w:rPr>
        <w:t>ATENTAMENTE</w:t>
      </w:r>
    </w:p>
    <w:p w14:paraId="36ED738A" w14:textId="20F74CA2" w:rsidR="0029071C" w:rsidRPr="00DB300E" w:rsidRDefault="007E2456" w:rsidP="007E2456">
      <w:pPr>
        <w:spacing w:line="276" w:lineRule="auto"/>
        <w:ind w:left="567" w:right="567"/>
        <w:jc w:val="both"/>
        <w:rPr>
          <w:rFonts w:ascii="Palatino Linotype" w:hAnsi="Palatino Linotype"/>
          <w:i/>
          <w:sz w:val="22"/>
          <w:szCs w:val="22"/>
          <w:lang w:val="es-MX" w:eastAsia="es-MX"/>
        </w:rPr>
      </w:pPr>
      <w:r w:rsidRPr="007E2456">
        <w:rPr>
          <w:rFonts w:ascii="Palatino Linotype" w:hAnsi="Palatino Linotype"/>
          <w:i/>
          <w:sz w:val="22"/>
          <w:szCs w:val="22"/>
          <w:lang w:val="es-MX" w:eastAsia="es-MX"/>
        </w:rPr>
        <w:lastRenderedPageBreak/>
        <w:t>LICENCIADA EN DERECHO NORMA ANGÉLICA ZETINA MARTÍNEZ</w:t>
      </w:r>
      <w:r w:rsidR="00E74701" w:rsidRPr="00DB300E">
        <w:rPr>
          <w:rFonts w:ascii="Palatino Linotype" w:hAnsi="Palatino Linotype"/>
          <w:i/>
          <w:sz w:val="22"/>
          <w:szCs w:val="22"/>
          <w:lang w:val="es-MX" w:eastAsia="es-MX"/>
        </w:rPr>
        <w:t>” (Sic).</w:t>
      </w:r>
    </w:p>
    <w:p w14:paraId="4E764C33" w14:textId="77777777" w:rsidR="00DC1583" w:rsidRPr="00DB300E" w:rsidRDefault="00DC1583" w:rsidP="00DC1583">
      <w:pPr>
        <w:ind w:right="567"/>
        <w:jc w:val="both"/>
        <w:rPr>
          <w:rFonts w:ascii="Palatino Linotype" w:hAnsi="Palatino Linotype"/>
          <w:i/>
          <w:sz w:val="14"/>
          <w:szCs w:val="22"/>
          <w:lang w:val="es-MX" w:eastAsia="es-MX"/>
        </w:rPr>
      </w:pPr>
    </w:p>
    <w:p w14:paraId="2B561CEA" w14:textId="77777777" w:rsidR="00B250D7" w:rsidRPr="00DB300E" w:rsidRDefault="00B250D7" w:rsidP="00B250D7">
      <w:pPr>
        <w:pStyle w:val="Sinespaciado"/>
        <w:rPr>
          <w:lang w:eastAsia="es-MX"/>
        </w:rPr>
      </w:pPr>
    </w:p>
    <w:p w14:paraId="21A0156D" w14:textId="750640AE" w:rsidR="004B2314" w:rsidRPr="00DB300E" w:rsidRDefault="00CF1DF5" w:rsidP="004309A2">
      <w:pPr>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El </w:t>
      </w:r>
      <w:r w:rsidRPr="00DB300E">
        <w:rPr>
          <w:rFonts w:ascii="Palatino Linotype" w:eastAsiaTheme="minorHAnsi" w:hAnsi="Palatino Linotype" w:cs="Arial"/>
          <w:b/>
          <w:lang w:val="es-MX" w:eastAsia="en-US"/>
        </w:rPr>
        <w:t>Sujeto Obligado</w:t>
      </w:r>
      <w:r w:rsidRPr="00DB300E">
        <w:rPr>
          <w:rFonts w:ascii="Palatino Linotype" w:eastAsiaTheme="minorHAnsi" w:hAnsi="Palatino Linotype" w:cs="Arial"/>
          <w:lang w:val="es-MX" w:eastAsia="en-US"/>
        </w:rPr>
        <w:t xml:space="preserve"> adjuntó</w:t>
      </w:r>
      <w:r w:rsidR="005F1F89" w:rsidRPr="00DB300E">
        <w:rPr>
          <w:rFonts w:ascii="Palatino Linotype" w:eastAsiaTheme="minorHAnsi" w:hAnsi="Palatino Linotype" w:cs="Arial"/>
          <w:lang w:val="es-MX" w:eastAsia="en-US"/>
        </w:rPr>
        <w:t xml:space="preserve"> a su respuesta</w:t>
      </w:r>
      <w:r w:rsidR="00DC1583" w:rsidRPr="00DB300E">
        <w:rPr>
          <w:rFonts w:ascii="Palatino Linotype" w:eastAsiaTheme="minorHAnsi" w:hAnsi="Palatino Linotype" w:cs="Arial"/>
          <w:lang w:val="es-MX" w:eastAsia="en-US"/>
        </w:rPr>
        <w:t xml:space="preserve">, </w:t>
      </w:r>
      <w:r w:rsidR="007E2456">
        <w:rPr>
          <w:rFonts w:ascii="Palatino Linotype" w:eastAsiaTheme="minorHAnsi" w:hAnsi="Palatino Linotype" w:cs="Arial"/>
          <w:lang w:val="es-MX" w:eastAsia="en-US"/>
        </w:rPr>
        <w:t>el</w:t>
      </w:r>
      <w:r w:rsidR="001D2DE0" w:rsidRPr="00DB300E">
        <w:rPr>
          <w:rFonts w:ascii="Palatino Linotype" w:eastAsiaTheme="minorHAnsi" w:hAnsi="Palatino Linotype" w:cs="Arial"/>
          <w:lang w:val="es-MX" w:eastAsia="en-US"/>
        </w:rPr>
        <w:t xml:space="preserve"> archivo electrónico denominado</w:t>
      </w:r>
      <w:r w:rsidR="004309A2" w:rsidRPr="00DB300E">
        <w:rPr>
          <w:rFonts w:ascii="Palatino Linotype" w:eastAsiaTheme="minorHAnsi" w:hAnsi="Palatino Linotype" w:cs="Arial"/>
          <w:lang w:val="es-MX" w:eastAsia="en-US"/>
        </w:rPr>
        <w:t xml:space="preserve"> </w:t>
      </w:r>
      <w:r w:rsidR="00184176" w:rsidRPr="00DB300E">
        <w:rPr>
          <w:rFonts w:ascii="Palatino Linotype" w:eastAsiaTheme="minorHAnsi" w:hAnsi="Palatino Linotype" w:cs="Arial"/>
          <w:i/>
          <w:lang w:val="es-MX" w:eastAsia="en-US"/>
        </w:rPr>
        <w:t>“</w:t>
      </w:r>
      <w:r w:rsidR="007E2456" w:rsidRPr="007E2456">
        <w:rPr>
          <w:rFonts w:ascii="Palatino Linotype" w:eastAsiaTheme="minorHAnsi" w:hAnsi="Palatino Linotype" w:cs="Arial"/>
          <w:i/>
          <w:lang w:val="es-MX" w:eastAsia="en-US"/>
        </w:rPr>
        <w:t>RESPUESTA 00670.pdf</w:t>
      </w:r>
      <w:r w:rsidR="00676631" w:rsidRPr="00DB300E">
        <w:rPr>
          <w:rFonts w:ascii="Palatino Linotype" w:eastAsiaTheme="minorHAnsi" w:hAnsi="Palatino Linotype" w:cs="Arial"/>
          <w:i/>
          <w:lang w:val="es-MX" w:eastAsia="en-US"/>
        </w:rPr>
        <w:t>”</w:t>
      </w:r>
      <w:r w:rsidR="00DC1583" w:rsidRPr="00DB300E">
        <w:rPr>
          <w:rFonts w:ascii="Palatino Linotype" w:eastAsiaTheme="minorHAnsi" w:hAnsi="Palatino Linotype" w:cs="Arial"/>
          <w:i/>
          <w:lang w:val="es-MX" w:eastAsia="en-US"/>
        </w:rPr>
        <w:t>;</w:t>
      </w:r>
      <w:r w:rsidR="00DC1583" w:rsidRPr="00DB300E">
        <w:rPr>
          <w:rFonts w:ascii="Palatino Linotype" w:eastAsiaTheme="minorHAnsi" w:hAnsi="Palatino Linotype" w:cs="Arial"/>
          <w:lang w:val="es-MX" w:eastAsia="en-US"/>
        </w:rPr>
        <w:t xml:space="preserve"> cuyo contenido no se inserta por ser del conocim</w:t>
      </w:r>
      <w:r w:rsidR="001D2DE0" w:rsidRPr="00DB300E">
        <w:rPr>
          <w:rFonts w:ascii="Palatino Linotype" w:eastAsiaTheme="minorHAnsi" w:hAnsi="Palatino Linotype" w:cs="Arial"/>
          <w:lang w:val="es-MX" w:eastAsia="en-US"/>
        </w:rPr>
        <w:t>iento de las partes, sin embargo, será</w:t>
      </w:r>
      <w:r w:rsidR="00DC1583" w:rsidRPr="00DB300E">
        <w:rPr>
          <w:rFonts w:ascii="Palatino Linotype" w:eastAsiaTheme="minorHAnsi" w:hAnsi="Palatino Linotype" w:cs="Arial"/>
          <w:lang w:val="es-MX" w:eastAsia="en-US"/>
        </w:rPr>
        <w:t xml:space="preserve"> motivo de estudio en el Considerado respectivo. </w:t>
      </w:r>
    </w:p>
    <w:p w14:paraId="2492E781" w14:textId="77777777" w:rsidR="00811065" w:rsidRPr="00DB300E" w:rsidRDefault="00811065" w:rsidP="004309A2">
      <w:pPr>
        <w:spacing w:line="360" w:lineRule="auto"/>
        <w:jc w:val="both"/>
        <w:rPr>
          <w:rFonts w:ascii="Palatino Linotype" w:hAnsi="Palatino Linotype"/>
          <w:i/>
          <w:sz w:val="22"/>
          <w:szCs w:val="22"/>
          <w:lang w:val="es-MX" w:eastAsia="es-MX"/>
        </w:rPr>
      </w:pPr>
    </w:p>
    <w:p w14:paraId="0711D655" w14:textId="6CC43F64" w:rsidR="0029071C" w:rsidRPr="00DB300E" w:rsidRDefault="00811065" w:rsidP="0029071C">
      <w:pPr>
        <w:spacing w:line="360" w:lineRule="auto"/>
        <w:jc w:val="both"/>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t>TERCER</w:t>
      </w:r>
      <w:r w:rsidR="0029071C" w:rsidRPr="00DB300E">
        <w:rPr>
          <w:rFonts w:ascii="Palatino Linotype" w:eastAsiaTheme="minorHAnsi" w:hAnsi="Palatino Linotype" w:cs="Arial"/>
          <w:b/>
          <w:sz w:val="28"/>
          <w:lang w:val="es-MX" w:eastAsia="en-US"/>
        </w:rPr>
        <w:t>O. Del recurso de revisión.</w:t>
      </w:r>
    </w:p>
    <w:p w14:paraId="1EE848D9" w14:textId="4582E796" w:rsidR="00676631" w:rsidRDefault="0029071C" w:rsidP="00CC0B81">
      <w:pPr>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Inconforme con la respuesta por parte del </w:t>
      </w:r>
      <w:r w:rsidRPr="00DB300E">
        <w:rPr>
          <w:rFonts w:ascii="Palatino Linotype" w:eastAsiaTheme="minorHAnsi" w:hAnsi="Palatino Linotype" w:cs="Arial"/>
          <w:b/>
          <w:lang w:val="es-MX" w:eastAsia="en-US"/>
        </w:rPr>
        <w:t>Sujeto Obligado</w:t>
      </w:r>
      <w:r w:rsidRPr="00DB300E">
        <w:rPr>
          <w:rFonts w:ascii="Palatino Linotype" w:eastAsiaTheme="minorHAnsi" w:hAnsi="Palatino Linotype" w:cs="Arial"/>
          <w:lang w:val="es-MX" w:eastAsia="en-US"/>
        </w:rPr>
        <w:t xml:space="preserve">, </w:t>
      </w:r>
      <w:r w:rsidR="00811065" w:rsidRPr="00DB300E">
        <w:rPr>
          <w:rFonts w:ascii="Palatino Linotype" w:eastAsiaTheme="minorHAnsi" w:hAnsi="Palatino Linotype" w:cs="Arial"/>
          <w:lang w:val="es-MX" w:eastAsia="en-US"/>
        </w:rPr>
        <w:t>la parte</w:t>
      </w:r>
      <w:r w:rsidRPr="00DB300E">
        <w:rPr>
          <w:rFonts w:ascii="Palatino Linotype" w:eastAsiaTheme="minorHAnsi" w:hAnsi="Palatino Linotype" w:cs="Arial"/>
          <w:lang w:val="es-MX" w:eastAsia="en-US"/>
        </w:rPr>
        <w:t xml:space="preserve"> </w:t>
      </w:r>
      <w:r w:rsidRPr="00DB300E">
        <w:rPr>
          <w:rFonts w:ascii="Palatino Linotype" w:eastAsiaTheme="minorHAnsi" w:hAnsi="Palatino Linotype" w:cs="Arial"/>
          <w:b/>
          <w:lang w:val="es-MX" w:eastAsia="en-US"/>
        </w:rPr>
        <w:t>Recurrente</w:t>
      </w:r>
      <w:r w:rsidRPr="00DB300E">
        <w:rPr>
          <w:rFonts w:ascii="Palatino Linotype" w:eastAsiaTheme="minorHAnsi" w:hAnsi="Palatino Linotype" w:cs="Arial"/>
          <w:lang w:val="es-MX" w:eastAsia="en-US"/>
        </w:rPr>
        <w:t xml:space="preserve"> interpuso el presente recurso de revisión en fecha </w:t>
      </w:r>
      <w:r w:rsidR="007E2456">
        <w:rPr>
          <w:rFonts w:ascii="Palatino Linotype" w:eastAsiaTheme="minorHAnsi" w:hAnsi="Palatino Linotype" w:cs="Arial"/>
          <w:lang w:val="es-MX" w:eastAsia="en-US"/>
        </w:rPr>
        <w:t>cuatro de septiembre</w:t>
      </w:r>
      <w:r w:rsidR="0003609F" w:rsidRPr="00DB300E">
        <w:rPr>
          <w:rFonts w:ascii="Palatino Linotype" w:eastAsiaTheme="minorHAnsi" w:hAnsi="Palatino Linotype" w:cs="Arial"/>
          <w:lang w:val="es-MX" w:eastAsia="en-US"/>
        </w:rPr>
        <w:t xml:space="preserve"> de dos mil veinti</w:t>
      </w:r>
      <w:r w:rsidR="00811065" w:rsidRPr="00DB300E">
        <w:rPr>
          <w:rFonts w:ascii="Palatino Linotype" w:eastAsiaTheme="minorHAnsi" w:hAnsi="Palatino Linotype" w:cs="Arial"/>
          <w:lang w:val="es-MX" w:eastAsia="en-US"/>
        </w:rPr>
        <w:t>cuatro</w:t>
      </w:r>
      <w:r w:rsidRPr="00DB300E">
        <w:rPr>
          <w:rFonts w:ascii="Palatino Linotype" w:eastAsiaTheme="minorHAnsi" w:hAnsi="Palatino Linotype" w:cs="Arial"/>
          <w:lang w:val="es-MX" w:eastAsia="en-US"/>
        </w:rPr>
        <w:t>, el cual fue registrado</w:t>
      </w:r>
      <w:r w:rsidRPr="00DB300E">
        <w:rPr>
          <w:rFonts w:ascii="Palatino Linotype" w:eastAsiaTheme="minorHAnsi" w:hAnsi="Palatino Linotype" w:cs="Arial"/>
          <w:b/>
          <w:lang w:val="es-MX" w:eastAsia="en-US"/>
        </w:rPr>
        <w:t xml:space="preserve"> </w:t>
      </w:r>
      <w:r w:rsidRPr="00DB300E">
        <w:rPr>
          <w:rFonts w:ascii="Palatino Linotype" w:eastAsiaTheme="minorHAnsi" w:hAnsi="Palatino Linotype" w:cs="Arial"/>
          <w:lang w:val="es-MX" w:eastAsia="en-US"/>
        </w:rPr>
        <w:t xml:space="preserve">en el sistema electrónico con el expediente número </w:t>
      </w:r>
      <w:r w:rsidR="00E60444" w:rsidRPr="00DB300E">
        <w:rPr>
          <w:rFonts w:ascii="Palatino Linotype" w:eastAsiaTheme="minorHAnsi" w:hAnsi="Palatino Linotype" w:cs="Arial"/>
          <w:b/>
          <w:bCs/>
          <w:lang w:val="es-MX" w:eastAsia="es-MX"/>
        </w:rPr>
        <w:t>0</w:t>
      </w:r>
      <w:r w:rsidR="007E2456">
        <w:rPr>
          <w:rFonts w:ascii="Palatino Linotype" w:eastAsiaTheme="minorHAnsi" w:hAnsi="Palatino Linotype" w:cs="Arial"/>
          <w:b/>
          <w:bCs/>
          <w:lang w:val="es-MX" w:eastAsia="es-MX"/>
        </w:rPr>
        <w:t>5355</w:t>
      </w:r>
      <w:r w:rsidR="00B250D7" w:rsidRPr="00DB300E">
        <w:rPr>
          <w:rFonts w:ascii="Palatino Linotype" w:eastAsiaTheme="minorHAnsi" w:hAnsi="Palatino Linotype" w:cs="Arial"/>
          <w:b/>
          <w:bCs/>
          <w:lang w:val="es-MX" w:eastAsia="es-MX"/>
        </w:rPr>
        <w:t>/INFOEM/IP/RR/202</w:t>
      </w:r>
      <w:r w:rsidR="00811065" w:rsidRPr="00DB300E">
        <w:rPr>
          <w:rFonts w:ascii="Palatino Linotype" w:eastAsiaTheme="minorHAnsi" w:hAnsi="Palatino Linotype" w:cs="Arial"/>
          <w:b/>
          <w:bCs/>
          <w:lang w:val="es-MX" w:eastAsia="es-MX"/>
        </w:rPr>
        <w:t>4</w:t>
      </w:r>
      <w:r w:rsidRPr="00DB300E">
        <w:rPr>
          <w:rFonts w:ascii="Palatino Linotype" w:eastAsiaTheme="minorHAnsi" w:hAnsi="Palatino Linotype" w:cs="Arial"/>
          <w:lang w:val="es-MX" w:eastAsia="en-US"/>
        </w:rPr>
        <w:t>, en el cual aduce, las siguientes manifestaciones:</w:t>
      </w:r>
    </w:p>
    <w:p w14:paraId="03ADA23E" w14:textId="77777777" w:rsidR="007E2456" w:rsidRPr="00DB300E" w:rsidRDefault="007E2456" w:rsidP="007E2456">
      <w:pPr>
        <w:pStyle w:val="Sinespaciado"/>
        <w:rPr>
          <w:rFonts w:eastAsiaTheme="minorHAnsi"/>
          <w:lang w:eastAsia="en-US"/>
        </w:rPr>
      </w:pPr>
    </w:p>
    <w:p w14:paraId="503F80AD" w14:textId="6896C262" w:rsidR="00CC0B81" w:rsidRPr="00DB300E" w:rsidRDefault="0029071C" w:rsidP="00CB4E28">
      <w:pPr>
        <w:numPr>
          <w:ilvl w:val="0"/>
          <w:numId w:val="1"/>
        </w:numPr>
        <w:spacing w:line="259" w:lineRule="auto"/>
        <w:jc w:val="both"/>
        <w:rPr>
          <w:rFonts w:ascii="Palatino Linotype" w:hAnsi="Palatino Linotype" w:cs="Arial"/>
          <w:b/>
          <w:sz w:val="26"/>
          <w:szCs w:val="26"/>
        </w:rPr>
      </w:pPr>
      <w:r w:rsidRPr="00DB300E">
        <w:rPr>
          <w:rFonts w:ascii="Palatino Linotype" w:hAnsi="Palatino Linotype" w:cs="Arial"/>
          <w:b/>
          <w:sz w:val="26"/>
          <w:szCs w:val="26"/>
        </w:rPr>
        <w:t>Acto Impugnado:</w:t>
      </w:r>
      <w:r w:rsidR="0003609F" w:rsidRPr="00DB300E">
        <w:rPr>
          <w:rFonts w:ascii="Palatino Linotype" w:hAnsi="Palatino Linotype" w:cs="Arial"/>
          <w:b/>
          <w:sz w:val="26"/>
          <w:szCs w:val="26"/>
        </w:rPr>
        <w:t xml:space="preserve"> </w:t>
      </w:r>
      <w:r w:rsidRPr="00DB300E">
        <w:rPr>
          <w:rFonts w:ascii="Palatino Linotype" w:eastAsiaTheme="minorHAnsi" w:hAnsi="Palatino Linotype" w:cstheme="minorBidi"/>
          <w:i/>
          <w:color w:val="000000"/>
          <w:sz w:val="22"/>
          <w:szCs w:val="22"/>
          <w:lang w:val="es-MX" w:eastAsia="en-US"/>
        </w:rPr>
        <w:t>“</w:t>
      </w:r>
      <w:r w:rsidR="007E2456" w:rsidRPr="007E2456">
        <w:rPr>
          <w:rFonts w:ascii="Palatino Linotype" w:eastAsiaTheme="minorHAnsi" w:hAnsi="Palatino Linotype" w:cstheme="minorBidi"/>
          <w:i/>
          <w:color w:val="000000"/>
          <w:sz w:val="22"/>
          <w:szCs w:val="22"/>
          <w:lang w:val="es-MX" w:eastAsia="en-US"/>
        </w:rPr>
        <w:t xml:space="preserve">Impugno la respuesta de la Fiscalía General de Justicia del Estado de México (FGJEM), a través de la Titular de la Unidad de Transparencia, de fecha 14 de agosto de este año, mediante el número de oficio 02607/MAIP/FGJ/2024; referente a la solicitud registrada bajo el folio 00670/FGJ/IP2024. La autoridad respondió que el Órgano Interno de Control no general la información por no encontrarse dentro de sus funciones; que la peticionaria incluyó a todos los órganos internos de control y no delimitó la información; que está impedida de realizar la búsqueda por el periodo de hechos acontecidos en 2000 a 2010 al no estar clasificada así la información; que la Fiscalía Especializada en Combate a la Corrupción inició en operaciones el 10 de julio de 2017 por lo que únicamente cuenta con registros a partir de esa fecha. PRIMER MOTIVO DE IMPUGNACIÓN La información solicitada sí se encuentra dentro de las facultades del Órgano Interno de Control establecidas en los artículos 109 (fracción II) de la Constitución Federal y 49 de la Ley de la FGJEM. Disposiciones que, incluso, fueron citadas por el propio sujeto obligado. Por su parte, la Ley de Transparencia y Acceso a la Información Pública del Estado indica que los sujetos obligados deberán documentar todo acto que derive del ejercicio de sus facultades, considerando desde su origen la eventual publicidad y reutilización de la información que generen (artículo 17), y que se presume que la información debe existir si se refiere a las funciones que la ley les otorga (artículo 18). Por lo tanto, necesariamente tendría que existir y estar documentada de alguna forma la información solicitada porque está relacionada con el ejercicio de las funciones del Órgano Interno de Control de la FGJEM, por lo que debió proporcionarla como obra en sus archivos y en el estado que la tuviera. O bien, en caso </w:t>
      </w:r>
      <w:r w:rsidR="007E2456" w:rsidRPr="007E2456">
        <w:rPr>
          <w:rFonts w:ascii="Palatino Linotype" w:eastAsiaTheme="minorHAnsi" w:hAnsi="Palatino Linotype" w:cstheme="minorBidi"/>
          <w:i/>
          <w:color w:val="000000"/>
          <w:sz w:val="22"/>
          <w:szCs w:val="22"/>
          <w:lang w:val="es-MX" w:eastAsia="en-US"/>
        </w:rPr>
        <w:lastRenderedPageBreak/>
        <w:t>de su inexistencia, debió hacerlo del conocimiento al Comité de Transparencia para que emitiera un acuerdo de inexistencia en el que justificara plenamente por qué que no cuenta con la información requerida, además de probar que utilizó un criterio de búsqueda exhaustivo (artículo 139 de la Ley General de Transparencia y Acceso a la Información Pública). SEGUNDO MOTIVO DE IMPUGNACIÓN El sujeto obligado se limitó a señalar el supuesto impedimento que tiene para realizar la búsqueda en el periodo de 2000 a 2010 porque la información que genera no se encuentra clasificada como se le requirió; pero no proporcionó una explicación puntual, fundada y razonable de su impedimento para realizar la búsqueda, no señaló por qué no podía proporcionar o buscar información sobre ese periodo, ni indicó cómo es que se encuentra clasificada, vulnerando los principios de máxima publicidad y eficacia. TERCER MOTIVO DE IMPUGNACIÓN De acuerdo con el artículo 29 Bis de la Ley de la FGJEM, la Fiscalía Especializada en Combate a la Corrupción, entre otras cosas, tiene competencia para conocer de hechos delictivos relacionados con corrupción, pero no de denuncias, quejas, procesos y sanciones de carácter administrativo (tipo de información que se solicitó) impuestas a personas servidoras públicas, por lo que al no tener facultades procedimentales y sancionatorias de corte administrativo, es irrelevante si dicha institución fue creada antes o después del periodo de 2000 a 2010.</w:t>
      </w:r>
      <w:r w:rsidRPr="00DB300E">
        <w:rPr>
          <w:rFonts w:ascii="Palatino Linotype" w:eastAsiaTheme="minorHAnsi" w:hAnsi="Palatino Linotype" w:cstheme="minorBidi"/>
          <w:i/>
          <w:color w:val="000000"/>
          <w:sz w:val="22"/>
          <w:szCs w:val="22"/>
          <w:lang w:val="es-MX" w:eastAsia="en-US"/>
        </w:rPr>
        <w:t>” (Sic).</w:t>
      </w:r>
    </w:p>
    <w:p w14:paraId="2F385081" w14:textId="77777777" w:rsidR="004309A2" w:rsidRPr="00DB300E" w:rsidRDefault="004309A2" w:rsidP="004309A2">
      <w:pPr>
        <w:spacing w:line="276" w:lineRule="auto"/>
        <w:ind w:left="284"/>
        <w:jc w:val="both"/>
        <w:rPr>
          <w:rFonts w:ascii="Palatino Linotype" w:eastAsiaTheme="minorHAnsi" w:hAnsi="Palatino Linotype" w:cstheme="minorBidi"/>
          <w:i/>
          <w:color w:val="000000"/>
          <w:sz w:val="22"/>
          <w:szCs w:val="22"/>
          <w:lang w:eastAsia="en-US"/>
        </w:rPr>
      </w:pPr>
    </w:p>
    <w:p w14:paraId="7A423486" w14:textId="2BCF9D56" w:rsidR="00D33EB5" w:rsidRPr="007E2456" w:rsidRDefault="0029071C" w:rsidP="00811065">
      <w:pPr>
        <w:pStyle w:val="Prrafodelista"/>
        <w:numPr>
          <w:ilvl w:val="0"/>
          <w:numId w:val="1"/>
        </w:numPr>
        <w:jc w:val="both"/>
        <w:rPr>
          <w:rFonts w:ascii="Palatino Linotype" w:eastAsiaTheme="minorHAnsi" w:hAnsi="Palatino Linotype" w:cs="Arial"/>
          <w:bCs/>
          <w:sz w:val="28"/>
          <w:szCs w:val="28"/>
          <w:lang w:val="es-MX" w:eastAsia="en-US"/>
        </w:rPr>
      </w:pPr>
      <w:r w:rsidRPr="00DB300E">
        <w:rPr>
          <w:rFonts w:ascii="Palatino Linotype" w:hAnsi="Palatino Linotype" w:cs="Arial"/>
          <w:b/>
          <w:sz w:val="26"/>
          <w:szCs w:val="26"/>
        </w:rPr>
        <w:t>Razones o Motivos de Inconformidad</w:t>
      </w:r>
      <w:r w:rsidR="0003609F" w:rsidRPr="00DB300E">
        <w:rPr>
          <w:rFonts w:ascii="Palatino Linotype" w:hAnsi="Palatino Linotype" w:cs="Arial"/>
          <w:sz w:val="26"/>
          <w:szCs w:val="26"/>
        </w:rPr>
        <w:t xml:space="preserve">: </w:t>
      </w:r>
      <w:r w:rsidR="007E2456" w:rsidRPr="007E2456">
        <w:rPr>
          <w:rFonts w:ascii="Palatino Linotype" w:eastAsiaTheme="minorHAnsi" w:hAnsi="Palatino Linotype" w:cs="Arial"/>
          <w:bCs/>
          <w:lang w:val="es-MX" w:eastAsia="en-US"/>
        </w:rPr>
        <w:t xml:space="preserve">No hubo pronunciamiento. </w:t>
      </w:r>
    </w:p>
    <w:p w14:paraId="466B5E6D" w14:textId="77777777" w:rsidR="00D33EB5" w:rsidRDefault="00D33EB5" w:rsidP="0029071C">
      <w:pPr>
        <w:spacing w:line="360" w:lineRule="auto"/>
        <w:jc w:val="both"/>
        <w:rPr>
          <w:rFonts w:ascii="Palatino Linotype" w:eastAsiaTheme="minorHAnsi" w:hAnsi="Palatino Linotype" w:cs="Arial"/>
          <w:bCs/>
          <w:lang w:val="es-MX" w:eastAsia="en-US"/>
        </w:rPr>
      </w:pPr>
    </w:p>
    <w:p w14:paraId="53CE089F" w14:textId="36DCF8F5" w:rsidR="007E2456" w:rsidRPr="00DB300E" w:rsidRDefault="007E2456" w:rsidP="007E2456">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La parte</w:t>
      </w:r>
      <w:r w:rsidRPr="00DB300E">
        <w:rPr>
          <w:rFonts w:ascii="Palatino Linotype" w:eastAsiaTheme="minorHAnsi" w:hAnsi="Palatino Linotype" w:cs="Arial"/>
          <w:lang w:val="es-MX" w:eastAsia="en-US"/>
        </w:rPr>
        <w:t xml:space="preserve"> </w:t>
      </w:r>
      <w:r>
        <w:rPr>
          <w:rFonts w:ascii="Palatino Linotype" w:eastAsiaTheme="minorHAnsi" w:hAnsi="Palatino Linotype" w:cs="Arial"/>
          <w:b/>
          <w:lang w:val="es-MX" w:eastAsia="en-US"/>
        </w:rPr>
        <w:t>Recurrente</w:t>
      </w:r>
      <w:r w:rsidRPr="00DB300E">
        <w:rPr>
          <w:rFonts w:ascii="Palatino Linotype" w:eastAsiaTheme="minorHAnsi" w:hAnsi="Palatino Linotype" w:cs="Arial"/>
          <w:lang w:val="es-MX" w:eastAsia="en-US"/>
        </w:rPr>
        <w:t xml:space="preserve"> adjuntó a</w:t>
      </w:r>
      <w:r>
        <w:rPr>
          <w:rFonts w:ascii="Palatino Linotype" w:eastAsiaTheme="minorHAnsi" w:hAnsi="Palatino Linotype" w:cs="Arial"/>
          <w:lang w:val="es-MX" w:eastAsia="en-US"/>
        </w:rPr>
        <w:t>l presente recurso de revisión</w:t>
      </w:r>
      <w:r w:rsidRPr="00DB300E">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DB300E">
        <w:rPr>
          <w:rFonts w:ascii="Palatino Linotype" w:eastAsiaTheme="minorHAnsi" w:hAnsi="Palatino Linotype" w:cs="Arial"/>
          <w:lang w:val="es-MX" w:eastAsia="en-US"/>
        </w:rPr>
        <w:t xml:space="preserve"> archivo electrónico denominado </w:t>
      </w:r>
      <w:r w:rsidRPr="00DB300E">
        <w:rPr>
          <w:rFonts w:ascii="Palatino Linotype" w:eastAsiaTheme="minorHAnsi" w:hAnsi="Palatino Linotype" w:cs="Arial"/>
          <w:i/>
          <w:lang w:val="es-MX" w:eastAsia="en-US"/>
        </w:rPr>
        <w:t>“</w:t>
      </w:r>
      <w:r w:rsidR="0008712F" w:rsidRPr="0008712F">
        <w:rPr>
          <w:rFonts w:ascii="Palatino Linotype" w:eastAsiaTheme="minorHAnsi" w:hAnsi="Palatino Linotype" w:cs="Arial"/>
          <w:i/>
          <w:lang w:val="es-MX" w:eastAsia="en-US"/>
        </w:rPr>
        <w:t>Archivo1725477018742null</w:t>
      </w:r>
      <w:r w:rsidRPr="00DB300E">
        <w:rPr>
          <w:rFonts w:ascii="Palatino Linotype" w:eastAsiaTheme="minorHAnsi" w:hAnsi="Palatino Linotype" w:cs="Arial"/>
          <w:i/>
          <w:lang w:val="es-MX" w:eastAsia="en-US"/>
        </w:rPr>
        <w:t>”;</w:t>
      </w:r>
      <w:r w:rsidRPr="00DB300E">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mismo que no se puede visualizar su contenido</w:t>
      </w:r>
      <w:r w:rsidRPr="00DB300E">
        <w:rPr>
          <w:rFonts w:ascii="Palatino Linotype" w:eastAsiaTheme="minorHAnsi" w:hAnsi="Palatino Linotype" w:cs="Arial"/>
          <w:lang w:val="es-MX" w:eastAsia="en-US"/>
        </w:rPr>
        <w:t xml:space="preserve">. </w:t>
      </w:r>
    </w:p>
    <w:p w14:paraId="039C7A47" w14:textId="77777777" w:rsidR="007E2456" w:rsidRPr="00DB300E" w:rsidRDefault="007E2456" w:rsidP="0029071C">
      <w:pPr>
        <w:spacing w:line="360" w:lineRule="auto"/>
        <w:jc w:val="both"/>
        <w:rPr>
          <w:rFonts w:ascii="Palatino Linotype" w:eastAsiaTheme="minorHAnsi" w:hAnsi="Palatino Linotype" w:cs="Arial"/>
          <w:bCs/>
          <w:lang w:val="es-MX" w:eastAsia="en-US"/>
        </w:rPr>
      </w:pPr>
    </w:p>
    <w:p w14:paraId="6C9D2799" w14:textId="7468454B" w:rsidR="0029071C" w:rsidRPr="00DB300E" w:rsidRDefault="00811065" w:rsidP="0029071C">
      <w:pPr>
        <w:spacing w:line="360" w:lineRule="auto"/>
        <w:jc w:val="both"/>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t>CUAR</w:t>
      </w:r>
      <w:r w:rsidR="00B250D7" w:rsidRPr="00DB300E">
        <w:rPr>
          <w:rFonts w:ascii="Palatino Linotype" w:eastAsiaTheme="minorHAnsi" w:hAnsi="Palatino Linotype" w:cs="Arial"/>
          <w:b/>
          <w:sz w:val="28"/>
          <w:lang w:val="es-MX" w:eastAsia="en-US"/>
        </w:rPr>
        <w:t>T</w:t>
      </w:r>
      <w:r w:rsidR="0029071C" w:rsidRPr="00DB300E">
        <w:rPr>
          <w:rFonts w:ascii="Palatino Linotype" w:eastAsiaTheme="minorHAnsi" w:hAnsi="Palatino Linotype" w:cs="Arial"/>
          <w:b/>
          <w:sz w:val="28"/>
          <w:lang w:val="es-MX" w:eastAsia="en-US"/>
        </w:rPr>
        <w:t>O. Del turno del recurso de revisión.</w:t>
      </w:r>
    </w:p>
    <w:p w14:paraId="20A02AF7" w14:textId="34E3AEB2" w:rsidR="00811065" w:rsidRPr="00DB300E" w:rsidRDefault="0029071C" w:rsidP="00DC1583">
      <w:pPr>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Medio de impugnación </w:t>
      </w:r>
      <w:r w:rsidR="00E74701" w:rsidRPr="00DB300E">
        <w:rPr>
          <w:rFonts w:ascii="Palatino Linotype" w:eastAsiaTheme="minorHAnsi" w:hAnsi="Palatino Linotype" w:cs="Arial"/>
          <w:lang w:val="es-MX" w:eastAsia="en-US"/>
        </w:rPr>
        <w:t>que le fue turnado al</w:t>
      </w:r>
      <w:r w:rsidRPr="00DB300E">
        <w:rPr>
          <w:rFonts w:ascii="Palatino Linotype" w:eastAsiaTheme="minorHAnsi" w:hAnsi="Palatino Linotype" w:cs="Arial"/>
          <w:lang w:val="es-MX" w:eastAsia="en-US"/>
        </w:rPr>
        <w:t xml:space="preserve"> </w:t>
      </w:r>
      <w:r w:rsidR="00E74701" w:rsidRPr="00DB300E">
        <w:rPr>
          <w:rFonts w:ascii="Palatino Linotype" w:eastAsiaTheme="minorHAnsi" w:hAnsi="Palatino Linotype" w:cs="Arial"/>
          <w:lang w:val="es-MX" w:eastAsia="en-US"/>
        </w:rPr>
        <w:t>Comisionado Presidente</w:t>
      </w:r>
      <w:r w:rsidRPr="00DB300E">
        <w:rPr>
          <w:rFonts w:ascii="Palatino Linotype" w:eastAsiaTheme="minorHAnsi" w:hAnsi="Palatino Linotype" w:cs="Arial"/>
          <w:lang w:val="es-MX" w:eastAsia="en-US"/>
        </w:rPr>
        <w:t xml:space="preserve"> </w:t>
      </w:r>
      <w:r w:rsidR="00E74701" w:rsidRPr="00DB300E">
        <w:rPr>
          <w:rFonts w:ascii="Palatino Linotype" w:eastAsiaTheme="minorHAnsi" w:hAnsi="Palatino Linotype" w:cs="Arial"/>
          <w:b/>
          <w:lang w:val="es-MX" w:eastAsia="en-US"/>
        </w:rPr>
        <w:t>José Martínez Vilchis</w:t>
      </w:r>
      <w:r w:rsidRPr="00DB300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08712F">
        <w:rPr>
          <w:rFonts w:ascii="Palatino Linotype" w:eastAsiaTheme="minorHAnsi" w:hAnsi="Palatino Linotype" w:cs="Arial"/>
          <w:lang w:val="es-MX" w:eastAsia="en-US"/>
        </w:rPr>
        <w:t>diez de septiembre</w:t>
      </w:r>
      <w:r w:rsidR="00BA27FC" w:rsidRPr="00DB300E">
        <w:rPr>
          <w:rFonts w:ascii="Palatino Linotype" w:eastAsiaTheme="minorHAnsi" w:hAnsi="Palatino Linotype" w:cs="Arial"/>
          <w:lang w:val="es-MX" w:eastAsia="en-US"/>
        </w:rPr>
        <w:t xml:space="preserve"> de</w:t>
      </w:r>
      <w:r w:rsidRPr="00DB300E">
        <w:rPr>
          <w:rFonts w:ascii="Palatino Linotype" w:eastAsiaTheme="minorHAnsi" w:hAnsi="Palatino Linotype" w:cs="Arial"/>
          <w:lang w:val="es-MX" w:eastAsia="en-US"/>
        </w:rPr>
        <w:t xml:space="preserve"> </w:t>
      </w:r>
      <w:r w:rsidR="0003609F" w:rsidRPr="00DB300E">
        <w:rPr>
          <w:rFonts w:ascii="Palatino Linotype" w:eastAsiaTheme="minorHAnsi" w:hAnsi="Palatino Linotype" w:cs="Arial"/>
          <w:lang w:val="es-MX" w:eastAsia="en-US"/>
        </w:rPr>
        <w:t>dos mil veinti</w:t>
      </w:r>
      <w:r w:rsidR="00811065" w:rsidRPr="00DB300E">
        <w:rPr>
          <w:rFonts w:ascii="Palatino Linotype" w:eastAsiaTheme="minorHAnsi" w:hAnsi="Palatino Linotype" w:cs="Arial"/>
          <w:lang w:val="es-MX" w:eastAsia="en-US"/>
        </w:rPr>
        <w:t>cuatro</w:t>
      </w:r>
      <w:r w:rsidRPr="00DB300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234C463" w14:textId="77777777" w:rsidR="00811065" w:rsidRPr="00DB300E" w:rsidRDefault="00811065" w:rsidP="00811065">
      <w:pPr>
        <w:spacing w:line="360" w:lineRule="auto"/>
        <w:jc w:val="both"/>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lastRenderedPageBreak/>
        <w:t>QUINTO. De la etapa de manifestaciones y/o alegatos.</w:t>
      </w:r>
    </w:p>
    <w:p w14:paraId="162BCFFF" w14:textId="3768B74C" w:rsidR="0008712F" w:rsidRDefault="00811065" w:rsidP="00811065">
      <w:pPr>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Una vez transcurrido el término legal referido se destaca que, el </w:t>
      </w:r>
      <w:r w:rsidRPr="00DB300E">
        <w:rPr>
          <w:rFonts w:ascii="Palatino Linotype" w:eastAsiaTheme="minorHAnsi" w:hAnsi="Palatino Linotype" w:cs="Arial"/>
          <w:b/>
          <w:lang w:val="es-MX" w:eastAsia="en-US"/>
        </w:rPr>
        <w:t>Sujeto Obligado</w:t>
      </w:r>
      <w:r w:rsidRPr="00DB300E">
        <w:rPr>
          <w:rFonts w:ascii="Palatino Linotype" w:eastAsiaTheme="minorHAnsi" w:hAnsi="Palatino Linotype" w:cs="Arial"/>
          <w:lang w:val="es-MX" w:eastAsia="en-US"/>
        </w:rPr>
        <w:t xml:space="preserve"> fue omiso en remitir su informe justificado; asimismo, se aprecia que la parte </w:t>
      </w:r>
      <w:r w:rsidRPr="00DB300E">
        <w:rPr>
          <w:rFonts w:ascii="Palatino Linotype" w:eastAsiaTheme="minorHAnsi" w:hAnsi="Palatino Linotype" w:cs="Arial"/>
          <w:b/>
          <w:lang w:val="es-MX" w:eastAsia="en-US"/>
        </w:rPr>
        <w:t>Recurrente</w:t>
      </w:r>
      <w:r w:rsidRPr="00DB300E">
        <w:rPr>
          <w:rFonts w:ascii="Palatino Linotype" w:eastAsiaTheme="minorHAnsi" w:hAnsi="Palatino Linotype" w:cs="Arial"/>
          <w:lang w:val="es-MX" w:eastAsia="en-US"/>
        </w:rPr>
        <w:t xml:space="preserve"> tampoco emitió alegatos, pruebas o manifestación alguna.</w:t>
      </w:r>
    </w:p>
    <w:p w14:paraId="3C78A5F5" w14:textId="474CB54D" w:rsidR="00811065" w:rsidRPr="00DB300E" w:rsidRDefault="0008712F" w:rsidP="00811065">
      <w:pPr>
        <w:spacing w:line="360" w:lineRule="auto"/>
        <w:jc w:val="both"/>
        <w:rPr>
          <w:rFonts w:ascii="Palatino Linotype" w:eastAsiaTheme="minorHAnsi" w:hAnsi="Palatino Linotype" w:cs="Arial"/>
          <w:lang w:val="es-MX" w:eastAsia="en-US"/>
        </w:rPr>
      </w:pPr>
      <w:r w:rsidRPr="0008712F">
        <w:rPr>
          <w:rFonts w:ascii="Palatino Linotype" w:eastAsiaTheme="minorHAnsi" w:hAnsi="Palatino Linotype" w:cs="Arial"/>
          <w:noProof/>
          <w:lang w:val="es-MX" w:eastAsia="es-MX"/>
        </w:rPr>
        <w:drawing>
          <wp:inline distT="0" distB="0" distL="0" distR="0" wp14:anchorId="44D98E3B" wp14:editId="1B0409DC">
            <wp:extent cx="5791835" cy="1388110"/>
            <wp:effectExtent l="152400" t="152400" r="361315" b="364490"/>
            <wp:docPr id="2047785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85252" name=""/>
                    <pic:cNvPicPr/>
                  </pic:nvPicPr>
                  <pic:blipFill>
                    <a:blip r:embed="rId8"/>
                    <a:stretch>
                      <a:fillRect/>
                    </a:stretch>
                  </pic:blipFill>
                  <pic:spPr>
                    <a:xfrm>
                      <a:off x="0" y="0"/>
                      <a:ext cx="5791835" cy="1388110"/>
                    </a:xfrm>
                    <a:prstGeom prst="rect">
                      <a:avLst/>
                    </a:prstGeom>
                    <a:ln>
                      <a:noFill/>
                    </a:ln>
                    <a:effectLst>
                      <a:outerShdw blurRad="292100" dist="139700" dir="2700000" algn="tl" rotWithShape="0">
                        <a:srgbClr val="333333">
                          <a:alpha val="65000"/>
                        </a:srgbClr>
                      </a:outerShdw>
                    </a:effectLst>
                  </pic:spPr>
                </pic:pic>
              </a:graphicData>
            </a:graphic>
          </wp:inline>
        </w:drawing>
      </w:r>
    </w:p>
    <w:p w14:paraId="7B837673" w14:textId="77777777" w:rsidR="00811065" w:rsidRPr="00DB300E" w:rsidRDefault="00811065" w:rsidP="00811065">
      <w:pPr>
        <w:tabs>
          <w:tab w:val="left" w:pos="3206"/>
        </w:tabs>
        <w:spacing w:line="360" w:lineRule="auto"/>
        <w:jc w:val="both"/>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t>SEXTO. Del cierre de instrucción.</w:t>
      </w:r>
      <w:r w:rsidRPr="00DB300E">
        <w:rPr>
          <w:rFonts w:ascii="Palatino Linotype" w:eastAsiaTheme="minorHAnsi" w:hAnsi="Palatino Linotype" w:cs="Arial"/>
          <w:b/>
          <w:sz w:val="28"/>
          <w:lang w:val="es-MX" w:eastAsia="en-US"/>
        </w:rPr>
        <w:tab/>
      </w:r>
    </w:p>
    <w:p w14:paraId="7D6420CB" w14:textId="12A98D0B" w:rsidR="00811065" w:rsidRPr="00DB300E" w:rsidRDefault="00811065" w:rsidP="00811065">
      <w:pPr>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Así, una vez transcurrido el término legal, permitió decretarse el cierre de instrucción en fecha </w:t>
      </w:r>
      <w:r w:rsidR="0008712F">
        <w:rPr>
          <w:rFonts w:ascii="Palatino Linotype" w:eastAsiaTheme="minorHAnsi" w:hAnsi="Palatino Linotype" w:cs="Arial"/>
          <w:lang w:val="es-MX" w:eastAsia="en-US"/>
        </w:rPr>
        <w:t>veintitrés de septiembre</w:t>
      </w:r>
      <w:r w:rsidRPr="00DB300E">
        <w:rPr>
          <w:rFonts w:ascii="Palatino Linotype" w:eastAsiaTheme="minorHAnsi" w:hAnsi="Palatino Linotype" w:cs="Arial"/>
          <w:lang w:val="es-MX" w:eastAsia="en-US"/>
        </w:rPr>
        <w:t xml:space="preserve"> de dos mil veinticuatro, en términos del artículo 185, Fracción VI, de la Ley de Transparencia y Acceso a la Información Pública del Estado de México y Municipios, iniciando el término legal para dictar resolución definitiva del asunto.</w:t>
      </w:r>
    </w:p>
    <w:p w14:paraId="70023FC3" w14:textId="77777777" w:rsidR="00811065" w:rsidRPr="00DB300E" w:rsidRDefault="00811065" w:rsidP="00811065">
      <w:pPr>
        <w:spacing w:line="360" w:lineRule="auto"/>
        <w:jc w:val="both"/>
        <w:rPr>
          <w:rFonts w:ascii="Palatino Linotype" w:eastAsiaTheme="minorHAnsi" w:hAnsi="Palatino Linotype" w:cs="Arial"/>
          <w:lang w:val="es-MX" w:eastAsia="en-US"/>
        </w:rPr>
      </w:pPr>
    </w:p>
    <w:p w14:paraId="2CEDA5D1" w14:textId="77777777" w:rsidR="00811065" w:rsidRPr="00DB300E" w:rsidRDefault="00811065" w:rsidP="00811065">
      <w:pPr>
        <w:spacing w:line="360" w:lineRule="auto"/>
        <w:rPr>
          <w:rFonts w:ascii="Palatino Linotype" w:hAnsi="Palatino Linotype"/>
          <w:b/>
          <w:sz w:val="28"/>
          <w:szCs w:val="26"/>
          <w:lang w:val="es-MX"/>
        </w:rPr>
      </w:pPr>
      <w:r w:rsidRPr="00DB300E">
        <w:rPr>
          <w:rFonts w:ascii="Palatino Linotype" w:hAnsi="Palatino Linotype"/>
          <w:b/>
          <w:sz w:val="28"/>
          <w:szCs w:val="26"/>
          <w:lang w:val="es-MX"/>
        </w:rPr>
        <w:t>SÉPTIMO. De la ampliación del término para resolver.</w:t>
      </w:r>
    </w:p>
    <w:p w14:paraId="33FF0B9B" w14:textId="6FCDDC6E" w:rsidR="00811065" w:rsidRPr="00DB300E" w:rsidRDefault="00811065" w:rsidP="00811065">
      <w:pPr>
        <w:spacing w:line="360" w:lineRule="auto"/>
        <w:jc w:val="both"/>
        <w:rPr>
          <w:rFonts w:ascii="Palatino Linotype" w:hAnsi="Palatino Linotype"/>
          <w:lang w:val="es-MX"/>
        </w:rPr>
      </w:pPr>
      <w:r w:rsidRPr="00DB300E">
        <w:rPr>
          <w:rFonts w:ascii="Palatino Linotype" w:hAnsi="Palatino Linotype"/>
          <w:lang w:val="es-MX"/>
        </w:rPr>
        <w:t xml:space="preserve">En fecha </w:t>
      </w:r>
      <w:r w:rsidR="0008712F">
        <w:rPr>
          <w:rFonts w:ascii="Palatino Linotype" w:hAnsi="Palatino Linotype"/>
          <w:lang w:val="es-MX"/>
        </w:rPr>
        <w:t>veinticuatro de octubre</w:t>
      </w:r>
      <w:r w:rsidRPr="00DB300E">
        <w:rPr>
          <w:rFonts w:ascii="Palatino Linotype" w:hAnsi="Palatino Linotype"/>
          <w:lang w:val="es-MX"/>
        </w:rPr>
        <w:t xml:space="preserv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5A6D1A7D" w14:textId="77777777" w:rsidR="00811065" w:rsidRPr="00DB300E" w:rsidRDefault="00811065" w:rsidP="00811065">
      <w:pPr>
        <w:spacing w:line="360" w:lineRule="auto"/>
        <w:jc w:val="both"/>
        <w:rPr>
          <w:rFonts w:ascii="Palatino Linotype" w:hAnsi="Palatino Linotype"/>
          <w:lang w:val="es-MX"/>
        </w:rPr>
      </w:pPr>
    </w:p>
    <w:p w14:paraId="476BBDF8" w14:textId="77777777" w:rsidR="00FE046B" w:rsidRPr="00DB300E" w:rsidRDefault="00FE046B" w:rsidP="00B96A17">
      <w:pPr>
        <w:spacing w:line="360" w:lineRule="auto"/>
        <w:jc w:val="both"/>
        <w:rPr>
          <w:rFonts w:ascii="Palatino Linotype" w:hAnsi="Palatino Linotype"/>
          <w:lang w:val="es-MX"/>
        </w:rPr>
      </w:pPr>
    </w:p>
    <w:p w14:paraId="0B63B315" w14:textId="77777777" w:rsidR="00E74701" w:rsidRPr="00DB300E" w:rsidRDefault="00E74701" w:rsidP="00D57F74">
      <w:pPr>
        <w:spacing w:line="360" w:lineRule="auto"/>
        <w:jc w:val="center"/>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lastRenderedPageBreak/>
        <w:t>C O N S I D E R A N</w:t>
      </w:r>
      <w:r w:rsidR="00D57F74" w:rsidRPr="00DB300E">
        <w:rPr>
          <w:rFonts w:ascii="Palatino Linotype" w:eastAsiaTheme="minorHAnsi" w:hAnsi="Palatino Linotype" w:cs="Arial"/>
          <w:b/>
          <w:sz w:val="28"/>
          <w:lang w:val="es-MX" w:eastAsia="en-US"/>
        </w:rPr>
        <w:t xml:space="preserve"> D O </w:t>
      </w:r>
    </w:p>
    <w:p w14:paraId="0AD9D3E5" w14:textId="77777777" w:rsidR="00D57F74" w:rsidRPr="00DB300E" w:rsidRDefault="00D57F74" w:rsidP="00D57F74">
      <w:pPr>
        <w:spacing w:line="360" w:lineRule="auto"/>
        <w:jc w:val="center"/>
        <w:rPr>
          <w:rFonts w:ascii="Palatino Linotype" w:eastAsiaTheme="minorHAnsi" w:hAnsi="Palatino Linotype" w:cs="Arial"/>
          <w:b/>
          <w:sz w:val="6"/>
          <w:lang w:val="es-MX" w:eastAsia="en-US"/>
        </w:rPr>
      </w:pPr>
    </w:p>
    <w:p w14:paraId="61A2B28F" w14:textId="77777777" w:rsidR="0029071C" w:rsidRPr="00DB300E" w:rsidRDefault="0029071C" w:rsidP="0029071C">
      <w:pPr>
        <w:spacing w:line="360" w:lineRule="auto"/>
        <w:jc w:val="both"/>
        <w:rPr>
          <w:rFonts w:ascii="Palatino Linotype" w:eastAsiaTheme="minorHAnsi" w:hAnsi="Palatino Linotype" w:cs="Arial"/>
          <w:sz w:val="28"/>
          <w:lang w:val="es-MX" w:eastAsia="en-US"/>
        </w:rPr>
      </w:pPr>
      <w:r w:rsidRPr="00DB300E">
        <w:rPr>
          <w:rFonts w:ascii="Palatino Linotype" w:eastAsiaTheme="minorHAnsi" w:hAnsi="Palatino Linotype" w:cs="Arial"/>
          <w:b/>
          <w:sz w:val="28"/>
          <w:lang w:val="es-MX" w:eastAsia="en-US"/>
        </w:rPr>
        <w:t>PRIMERO. De la competencia</w:t>
      </w:r>
      <w:r w:rsidRPr="00DB300E">
        <w:rPr>
          <w:rFonts w:ascii="Palatino Linotype" w:eastAsiaTheme="minorHAnsi" w:hAnsi="Palatino Linotype" w:cs="Arial"/>
          <w:sz w:val="28"/>
          <w:lang w:val="es-MX" w:eastAsia="en-US"/>
        </w:rPr>
        <w:t>.</w:t>
      </w:r>
    </w:p>
    <w:p w14:paraId="22221F5E" w14:textId="478E5F19" w:rsidR="00CB4E28" w:rsidRDefault="00CB4E28" w:rsidP="00CC0B81">
      <w:pPr>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E77A4B" w:rsidRPr="00DB300E">
        <w:rPr>
          <w:rFonts w:ascii="Palatino Linotype" w:eastAsiaTheme="minorHAnsi" w:hAnsi="Palatino Linotype" w:cs="Arial"/>
          <w:lang w:val="es-MX" w:eastAsia="en-US"/>
        </w:rPr>
        <w:t>tercero</w:t>
      </w:r>
      <w:r w:rsidRPr="00DB300E">
        <w:rPr>
          <w:rFonts w:ascii="Palatino Linotype" w:eastAsiaTheme="minorHAnsi" w:hAnsi="Palatino Linotype" w:cs="Arial"/>
          <w:lang w:val="es-MX" w:eastAsia="en-US"/>
        </w:rPr>
        <w:t xml:space="preserve"> y trigésimo </w:t>
      </w:r>
      <w:r w:rsidR="00E77A4B" w:rsidRPr="00DB300E">
        <w:rPr>
          <w:rFonts w:ascii="Palatino Linotype" w:eastAsiaTheme="minorHAnsi" w:hAnsi="Palatino Linotype" w:cs="Arial"/>
          <w:lang w:val="es-MX" w:eastAsia="en-US"/>
        </w:rPr>
        <w:t>cuarto</w:t>
      </w:r>
      <w:r w:rsidRPr="00DB300E">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19F0AD3" w14:textId="77777777" w:rsidR="0008712F" w:rsidRPr="00DB300E" w:rsidRDefault="0008712F" w:rsidP="00CC0B81">
      <w:pPr>
        <w:spacing w:line="360" w:lineRule="auto"/>
        <w:jc w:val="both"/>
        <w:rPr>
          <w:rFonts w:ascii="Palatino Linotype" w:eastAsiaTheme="minorHAnsi" w:hAnsi="Palatino Linotype" w:cs="Arial"/>
          <w:lang w:val="es-MX" w:eastAsia="en-US"/>
        </w:rPr>
      </w:pPr>
    </w:p>
    <w:p w14:paraId="05D60099" w14:textId="77777777" w:rsidR="0029071C" w:rsidRPr="00DB300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t xml:space="preserve">SEGUNDO. De los alcances del Recurso de Revisión. </w:t>
      </w:r>
    </w:p>
    <w:p w14:paraId="7DE1A83F" w14:textId="77777777" w:rsidR="0029071C" w:rsidRPr="00DB300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35BF99F" w14:textId="77777777" w:rsidR="00553D79" w:rsidRDefault="00553D79" w:rsidP="0029071C">
      <w:pPr>
        <w:autoSpaceDE w:val="0"/>
        <w:autoSpaceDN w:val="0"/>
        <w:adjustRightInd w:val="0"/>
        <w:spacing w:line="360" w:lineRule="auto"/>
        <w:jc w:val="both"/>
        <w:rPr>
          <w:rFonts w:ascii="Palatino Linotype" w:eastAsiaTheme="minorHAnsi" w:hAnsi="Palatino Linotype" w:cs="Arial"/>
          <w:lang w:val="es-MX" w:eastAsia="en-US"/>
        </w:rPr>
      </w:pPr>
    </w:p>
    <w:p w14:paraId="465313BE" w14:textId="77777777" w:rsidR="0008712F" w:rsidRPr="00DB300E" w:rsidRDefault="0008712F" w:rsidP="0029071C">
      <w:pPr>
        <w:autoSpaceDE w:val="0"/>
        <w:autoSpaceDN w:val="0"/>
        <w:adjustRightInd w:val="0"/>
        <w:spacing w:line="360" w:lineRule="auto"/>
        <w:jc w:val="both"/>
        <w:rPr>
          <w:rFonts w:ascii="Palatino Linotype" w:eastAsiaTheme="minorHAnsi" w:hAnsi="Palatino Linotype" w:cs="Arial"/>
          <w:lang w:val="es-MX" w:eastAsia="en-US"/>
        </w:rPr>
      </w:pPr>
    </w:p>
    <w:p w14:paraId="31BB8435" w14:textId="77777777" w:rsidR="009D18C2" w:rsidRPr="00DB300E" w:rsidRDefault="009D18C2" w:rsidP="009D18C2">
      <w:pPr>
        <w:autoSpaceDE w:val="0"/>
        <w:autoSpaceDN w:val="0"/>
        <w:adjustRightInd w:val="0"/>
        <w:spacing w:line="360" w:lineRule="auto"/>
        <w:jc w:val="both"/>
        <w:rPr>
          <w:rFonts w:ascii="Palatino Linotype" w:eastAsiaTheme="minorHAnsi" w:hAnsi="Palatino Linotype" w:cs="Arial"/>
          <w:b/>
          <w:sz w:val="28"/>
          <w:lang w:val="es-MX" w:eastAsia="en-US"/>
        </w:rPr>
      </w:pPr>
      <w:r w:rsidRPr="00DB300E">
        <w:rPr>
          <w:rFonts w:ascii="Palatino Linotype" w:eastAsiaTheme="minorHAnsi" w:hAnsi="Palatino Linotype" w:cs="Arial"/>
          <w:b/>
          <w:sz w:val="28"/>
          <w:lang w:val="es-MX" w:eastAsia="en-US"/>
        </w:rPr>
        <w:lastRenderedPageBreak/>
        <w:t xml:space="preserve">TERCERO. Del estudio de las causas de improcedencia. </w:t>
      </w:r>
    </w:p>
    <w:p w14:paraId="01CBBD99" w14:textId="77777777" w:rsidR="009D18C2" w:rsidRPr="00DB300E"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DB300E">
        <w:rPr>
          <w:rFonts w:ascii="Palatino Linotype" w:eastAsiaTheme="minorHAnsi" w:hAnsi="Palatino Linotype" w:cs="Arial"/>
          <w:lang w:val="es-MX" w:eastAsia="en-US"/>
        </w:rPr>
        <w:t>Resolutor</w:t>
      </w:r>
      <w:proofErr w:type="spellEnd"/>
      <w:r w:rsidRPr="00DB300E">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B300E">
        <w:rPr>
          <w:rStyle w:val="Refdenotaalpie"/>
          <w:rFonts w:ascii="Palatino Linotype" w:eastAsiaTheme="minorHAnsi" w:hAnsi="Palatino Linotype" w:cs="Arial"/>
          <w:lang w:val="es-MX" w:eastAsia="en-US"/>
        </w:rPr>
        <w:footnoteReference w:id="1"/>
      </w:r>
      <w:r w:rsidRPr="00DB300E">
        <w:rPr>
          <w:rFonts w:ascii="Palatino Linotype" w:eastAsiaTheme="minorHAnsi" w:hAnsi="Palatino Linotype" w:cs="Arial"/>
          <w:lang w:val="es-MX" w:eastAsia="en-US"/>
        </w:rPr>
        <w:t>.</w:t>
      </w:r>
    </w:p>
    <w:p w14:paraId="00354FFB" w14:textId="77777777" w:rsidR="009D18C2" w:rsidRPr="00DB300E"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p>
    <w:p w14:paraId="184A08E9" w14:textId="77777777" w:rsidR="009D18C2" w:rsidRPr="00DB300E"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6B448A02" w14:textId="77777777" w:rsidR="009D18C2" w:rsidRPr="00DB300E" w:rsidRDefault="009D18C2" w:rsidP="009D18C2">
      <w:pPr>
        <w:rPr>
          <w:lang w:val="es-MX"/>
        </w:rPr>
      </w:pPr>
    </w:p>
    <w:p w14:paraId="3F6F6796" w14:textId="77777777" w:rsidR="009D18C2" w:rsidRPr="00DB300E" w:rsidRDefault="009D18C2" w:rsidP="009D18C2">
      <w:pPr>
        <w:autoSpaceDE w:val="0"/>
        <w:autoSpaceDN w:val="0"/>
        <w:adjustRightInd w:val="0"/>
        <w:ind w:left="708" w:right="850"/>
        <w:jc w:val="both"/>
        <w:rPr>
          <w:rFonts w:ascii="Palatino Linotype" w:hAnsi="Palatino Linotype" w:cs="Arial"/>
          <w:i/>
          <w:sz w:val="22"/>
          <w:szCs w:val="22"/>
        </w:rPr>
      </w:pPr>
      <w:r w:rsidRPr="00DB300E">
        <w:rPr>
          <w:rFonts w:ascii="Palatino Linotype" w:hAnsi="Palatino Linotype" w:cs="Arial"/>
          <w:i/>
          <w:sz w:val="22"/>
          <w:szCs w:val="22"/>
        </w:rPr>
        <w:t>“</w:t>
      </w:r>
      <w:r w:rsidRPr="00DB300E">
        <w:rPr>
          <w:rFonts w:ascii="Palatino Linotype" w:hAnsi="Palatino Linotype" w:cs="Arial"/>
          <w:b/>
          <w:i/>
          <w:sz w:val="22"/>
          <w:szCs w:val="22"/>
        </w:rPr>
        <w:t>Artículo 191.</w:t>
      </w:r>
      <w:r w:rsidRPr="00DB300E">
        <w:rPr>
          <w:rFonts w:ascii="Palatino Linotype" w:hAnsi="Palatino Linotype" w:cs="Arial"/>
          <w:i/>
          <w:sz w:val="22"/>
          <w:szCs w:val="22"/>
        </w:rPr>
        <w:t xml:space="preserve"> El recurso será desechado por improcedente cuando:  </w:t>
      </w:r>
    </w:p>
    <w:p w14:paraId="2FE5BEE2" w14:textId="77777777" w:rsidR="009D18C2" w:rsidRPr="00DB300E" w:rsidRDefault="009D18C2" w:rsidP="009D18C2">
      <w:pPr>
        <w:autoSpaceDE w:val="0"/>
        <w:autoSpaceDN w:val="0"/>
        <w:adjustRightInd w:val="0"/>
        <w:ind w:left="708" w:right="850"/>
        <w:jc w:val="both"/>
        <w:rPr>
          <w:rFonts w:ascii="Palatino Linotype" w:hAnsi="Palatino Linotype" w:cs="Arial"/>
          <w:i/>
          <w:sz w:val="22"/>
          <w:szCs w:val="22"/>
        </w:rPr>
      </w:pPr>
      <w:r w:rsidRPr="00DB300E">
        <w:rPr>
          <w:rFonts w:ascii="Palatino Linotype" w:hAnsi="Palatino Linotype" w:cs="Arial"/>
          <w:i/>
          <w:sz w:val="22"/>
          <w:szCs w:val="22"/>
        </w:rPr>
        <w:lastRenderedPageBreak/>
        <w:t xml:space="preserve">I. Sea extemporáneo por haber transcurrido el plazo establecido en la presente Ley, a partir de la respuesta;  </w:t>
      </w:r>
    </w:p>
    <w:p w14:paraId="1BD8B254" w14:textId="77777777" w:rsidR="009D18C2" w:rsidRPr="00DB300E" w:rsidRDefault="009D18C2" w:rsidP="009D18C2">
      <w:pPr>
        <w:autoSpaceDE w:val="0"/>
        <w:autoSpaceDN w:val="0"/>
        <w:adjustRightInd w:val="0"/>
        <w:ind w:left="708" w:right="850"/>
        <w:jc w:val="both"/>
        <w:rPr>
          <w:rFonts w:ascii="Palatino Linotype" w:hAnsi="Palatino Linotype" w:cs="Arial"/>
          <w:i/>
          <w:sz w:val="22"/>
          <w:szCs w:val="22"/>
        </w:rPr>
      </w:pPr>
      <w:r w:rsidRPr="00DB300E">
        <w:rPr>
          <w:rFonts w:ascii="Palatino Linotype" w:hAnsi="Palatino Linotype" w:cs="Arial"/>
          <w:i/>
          <w:sz w:val="22"/>
          <w:szCs w:val="22"/>
        </w:rPr>
        <w:t xml:space="preserve">II. Se esté tramitando ante el Poder Judicial de la Federación algún recurso o medio de defensa interpuesto por el recurrente;  </w:t>
      </w:r>
    </w:p>
    <w:p w14:paraId="633E0C44" w14:textId="77777777" w:rsidR="009D18C2" w:rsidRPr="00DB300E" w:rsidRDefault="009D18C2" w:rsidP="009D18C2">
      <w:pPr>
        <w:autoSpaceDE w:val="0"/>
        <w:autoSpaceDN w:val="0"/>
        <w:adjustRightInd w:val="0"/>
        <w:ind w:left="708" w:right="850"/>
        <w:jc w:val="both"/>
        <w:rPr>
          <w:rFonts w:ascii="Palatino Linotype" w:hAnsi="Palatino Linotype" w:cs="Arial"/>
          <w:i/>
          <w:sz w:val="22"/>
          <w:szCs w:val="22"/>
        </w:rPr>
      </w:pPr>
      <w:r w:rsidRPr="00DB300E">
        <w:rPr>
          <w:rFonts w:ascii="Palatino Linotype" w:hAnsi="Palatino Linotype" w:cs="Arial"/>
          <w:i/>
          <w:sz w:val="22"/>
          <w:szCs w:val="22"/>
        </w:rPr>
        <w:t xml:space="preserve">III. No actualice alguno de los supuestos previstos en la presente Ley;  </w:t>
      </w:r>
    </w:p>
    <w:p w14:paraId="5E697F0B" w14:textId="77777777" w:rsidR="009D18C2" w:rsidRPr="00DB300E" w:rsidRDefault="009D18C2" w:rsidP="009D18C2">
      <w:pPr>
        <w:autoSpaceDE w:val="0"/>
        <w:autoSpaceDN w:val="0"/>
        <w:adjustRightInd w:val="0"/>
        <w:ind w:left="708" w:right="850"/>
        <w:jc w:val="both"/>
        <w:rPr>
          <w:rFonts w:ascii="Palatino Linotype" w:hAnsi="Palatino Linotype" w:cs="Arial"/>
          <w:i/>
          <w:sz w:val="22"/>
          <w:szCs w:val="22"/>
        </w:rPr>
      </w:pPr>
      <w:r w:rsidRPr="00DB300E">
        <w:rPr>
          <w:rFonts w:ascii="Palatino Linotype" w:hAnsi="Palatino Linotype" w:cs="Arial"/>
          <w:i/>
          <w:sz w:val="22"/>
          <w:szCs w:val="22"/>
        </w:rPr>
        <w:t>IV. No se haya desahogado la prevención en los términos establecidos en la presente Ley;</w:t>
      </w:r>
    </w:p>
    <w:p w14:paraId="103BA9E2" w14:textId="77777777" w:rsidR="009D18C2" w:rsidRPr="00DB300E" w:rsidRDefault="009D18C2" w:rsidP="009D18C2">
      <w:pPr>
        <w:autoSpaceDE w:val="0"/>
        <w:autoSpaceDN w:val="0"/>
        <w:adjustRightInd w:val="0"/>
        <w:ind w:left="708" w:right="850"/>
        <w:jc w:val="both"/>
        <w:rPr>
          <w:rFonts w:ascii="Palatino Linotype" w:hAnsi="Palatino Linotype" w:cs="Arial"/>
          <w:i/>
          <w:sz w:val="22"/>
          <w:szCs w:val="22"/>
        </w:rPr>
      </w:pPr>
      <w:r w:rsidRPr="00DB300E">
        <w:rPr>
          <w:rFonts w:ascii="Palatino Linotype" w:hAnsi="Palatino Linotype" w:cs="Arial"/>
          <w:i/>
          <w:sz w:val="22"/>
          <w:szCs w:val="22"/>
        </w:rPr>
        <w:t xml:space="preserve">V. Se impugne la veracidad de la información proporcionada;  </w:t>
      </w:r>
    </w:p>
    <w:p w14:paraId="5BF0F142" w14:textId="77777777" w:rsidR="009D18C2" w:rsidRPr="00DB300E" w:rsidRDefault="009D18C2" w:rsidP="009D18C2">
      <w:pPr>
        <w:autoSpaceDE w:val="0"/>
        <w:autoSpaceDN w:val="0"/>
        <w:adjustRightInd w:val="0"/>
        <w:ind w:left="708" w:right="850"/>
        <w:jc w:val="both"/>
        <w:rPr>
          <w:rFonts w:ascii="Palatino Linotype" w:hAnsi="Palatino Linotype" w:cs="Arial"/>
          <w:i/>
          <w:sz w:val="22"/>
          <w:szCs w:val="22"/>
        </w:rPr>
      </w:pPr>
      <w:r w:rsidRPr="00DB300E">
        <w:rPr>
          <w:rFonts w:ascii="Palatino Linotype" w:hAnsi="Palatino Linotype" w:cs="Arial"/>
          <w:i/>
          <w:sz w:val="22"/>
          <w:szCs w:val="22"/>
        </w:rPr>
        <w:t xml:space="preserve">VI. Se trate de una consulta, o trámite en específico; y  </w:t>
      </w:r>
    </w:p>
    <w:p w14:paraId="4564469F" w14:textId="77777777" w:rsidR="009D18C2" w:rsidRPr="00DB300E" w:rsidRDefault="009D18C2" w:rsidP="009D18C2">
      <w:pPr>
        <w:autoSpaceDE w:val="0"/>
        <w:autoSpaceDN w:val="0"/>
        <w:adjustRightInd w:val="0"/>
        <w:ind w:left="708" w:right="850"/>
        <w:jc w:val="both"/>
        <w:rPr>
          <w:rFonts w:ascii="Palatino Linotype" w:hAnsi="Palatino Linotype" w:cs="Arial"/>
          <w:i/>
          <w:sz w:val="22"/>
          <w:szCs w:val="22"/>
        </w:rPr>
      </w:pPr>
      <w:r w:rsidRPr="00DB300E">
        <w:rPr>
          <w:rFonts w:ascii="Palatino Linotype" w:hAnsi="Palatino Linotype" w:cs="Arial"/>
          <w:i/>
          <w:sz w:val="22"/>
          <w:szCs w:val="22"/>
        </w:rPr>
        <w:t>VII. El recurrente amplíe su solicitud en el recurso de revisión, únicamente respecto de los nuevos contenidos.”</w:t>
      </w:r>
    </w:p>
    <w:p w14:paraId="32F60CD7" w14:textId="77777777" w:rsidR="009D18C2" w:rsidRPr="00DB300E" w:rsidRDefault="009D18C2" w:rsidP="009D18C2">
      <w:pPr>
        <w:autoSpaceDE w:val="0"/>
        <w:autoSpaceDN w:val="0"/>
        <w:adjustRightInd w:val="0"/>
        <w:spacing w:line="360" w:lineRule="auto"/>
        <w:ind w:left="708" w:right="850"/>
        <w:jc w:val="both"/>
        <w:rPr>
          <w:rFonts w:ascii="Palatino Linotype" w:hAnsi="Palatino Linotype" w:cs="Arial"/>
          <w:i/>
        </w:rPr>
      </w:pPr>
    </w:p>
    <w:p w14:paraId="24576E19" w14:textId="77777777" w:rsidR="009D18C2" w:rsidRPr="00DB300E"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9276E54" w14:textId="77777777" w:rsidR="009D18C2" w:rsidRPr="00DB300E" w:rsidRDefault="009D18C2" w:rsidP="009D18C2">
      <w:pPr>
        <w:autoSpaceDE w:val="0"/>
        <w:autoSpaceDN w:val="0"/>
        <w:adjustRightInd w:val="0"/>
        <w:spacing w:line="360" w:lineRule="auto"/>
        <w:jc w:val="both"/>
        <w:rPr>
          <w:rFonts w:ascii="Palatino Linotype" w:hAnsi="Palatino Linotype" w:cs="Arial"/>
        </w:rPr>
      </w:pPr>
    </w:p>
    <w:p w14:paraId="08C05DAB" w14:textId="77777777" w:rsidR="009D18C2" w:rsidRPr="00DB300E" w:rsidRDefault="009D18C2" w:rsidP="009D18C2">
      <w:pPr>
        <w:autoSpaceDE w:val="0"/>
        <w:autoSpaceDN w:val="0"/>
        <w:adjustRightInd w:val="0"/>
        <w:spacing w:line="360" w:lineRule="auto"/>
        <w:jc w:val="both"/>
        <w:rPr>
          <w:rFonts w:ascii="Palatino Linotype" w:hAnsi="Palatino Linotype" w:cs="Arial"/>
        </w:rPr>
      </w:pPr>
      <w:r w:rsidRPr="00DB300E">
        <w:rPr>
          <w:rFonts w:ascii="Palatino Linotype" w:hAnsi="Palatino Linotype" w:cs="Arial"/>
        </w:rPr>
        <w:t xml:space="preserve">Así las cosas, al no existir causas de improcedencia invocadas por las partes ni advertidas de oficio por este </w:t>
      </w:r>
      <w:proofErr w:type="spellStart"/>
      <w:r w:rsidRPr="00DB300E">
        <w:rPr>
          <w:rFonts w:ascii="Palatino Linotype" w:hAnsi="Palatino Linotype" w:cs="Arial"/>
        </w:rPr>
        <w:t>Resolutor</w:t>
      </w:r>
      <w:proofErr w:type="spellEnd"/>
      <w:r w:rsidRPr="00DB300E">
        <w:rPr>
          <w:rFonts w:ascii="Palatino Linotype" w:hAnsi="Palatino Linotype" w:cs="Arial"/>
        </w:rPr>
        <w:t xml:space="preserve">, se </w:t>
      </w:r>
      <w:proofErr w:type="gramStart"/>
      <w:r w:rsidRPr="00DB300E">
        <w:rPr>
          <w:rFonts w:ascii="Palatino Linotype" w:hAnsi="Palatino Linotype" w:cs="Arial"/>
        </w:rPr>
        <w:t>procede</w:t>
      </w:r>
      <w:proofErr w:type="gramEnd"/>
      <w:r w:rsidRPr="00DB300E">
        <w:rPr>
          <w:rFonts w:ascii="Palatino Linotype" w:hAnsi="Palatino Linotype" w:cs="Arial"/>
        </w:rPr>
        <w:t xml:space="preserve"> al análisis del fondo de los asuntos en los siguientes términos.</w:t>
      </w:r>
    </w:p>
    <w:p w14:paraId="56D611BB" w14:textId="77777777" w:rsidR="009D18C2" w:rsidRPr="00DB300E" w:rsidRDefault="009D18C2" w:rsidP="009D18C2">
      <w:pPr>
        <w:autoSpaceDE w:val="0"/>
        <w:autoSpaceDN w:val="0"/>
        <w:adjustRightInd w:val="0"/>
        <w:spacing w:line="360" w:lineRule="auto"/>
        <w:jc w:val="both"/>
        <w:rPr>
          <w:rFonts w:ascii="Palatino Linotype" w:hAnsi="Palatino Linotype" w:cs="Arial"/>
        </w:rPr>
      </w:pPr>
    </w:p>
    <w:p w14:paraId="6D731E01" w14:textId="77777777" w:rsidR="009D18C2" w:rsidRPr="00DB300E" w:rsidRDefault="009D18C2" w:rsidP="009D18C2">
      <w:pPr>
        <w:autoSpaceDE w:val="0"/>
        <w:autoSpaceDN w:val="0"/>
        <w:adjustRightInd w:val="0"/>
        <w:spacing w:line="360" w:lineRule="auto"/>
        <w:jc w:val="both"/>
        <w:rPr>
          <w:rFonts w:ascii="Palatino Linotype" w:hAnsi="Palatino Linotype" w:cs="Arial"/>
          <w:sz w:val="28"/>
        </w:rPr>
      </w:pPr>
      <w:r w:rsidRPr="00DB300E">
        <w:rPr>
          <w:rFonts w:ascii="Palatino Linotype" w:hAnsi="Palatino Linotype" w:cs="Arial"/>
          <w:b/>
          <w:sz w:val="28"/>
        </w:rPr>
        <w:t>CUARTO. Del estudio y resolución del asunto.</w:t>
      </w:r>
      <w:r w:rsidRPr="00DB300E">
        <w:rPr>
          <w:rFonts w:ascii="Palatino Linotype" w:hAnsi="Palatino Linotype" w:cs="Arial"/>
          <w:sz w:val="28"/>
        </w:rPr>
        <w:t xml:space="preserve"> </w:t>
      </w:r>
    </w:p>
    <w:p w14:paraId="7452FBDB" w14:textId="77777777" w:rsidR="009D18C2" w:rsidRPr="00DB300E"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DB300E">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36FA73F7" w14:textId="77777777" w:rsidR="00E94A09" w:rsidRPr="00DB300E" w:rsidRDefault="00E94A09" w:rsidP="009D18C2">
      <w:pPr>
        <w:autoSpaceDE w:val="0"/>
        <w:autoSpaceDN w:val="0"/>
        <w:adjustRightInd w:val="0"/>
        <w:spacing w:line="360" w:lineRule="auto"/>
        <w:jc w:val="both"/>
        <w:rPr>
          <w:rFonts w:ascii="Palatino Linotype" w:eastAsiaTheme="minorHAnsi" w:hAnsi="Palatino Linotype" w:cs="Arial"/>
          <w:lang w:val="es-MX" w:eastAsia="en-US"/>
        </w:rPr>
      </w:pPr>
    </w:p>
    <w:p w14:paraId="21293A2E" w14:textId="5721BC40" w:rsidR="009D18C2" w:rsidRPr="00DB300E" w:rsidRDefault="009D18C2" w:rsidP="009D18C2">
      <w:pPr>
        <w:spacing w:line="360" w:lineRule="auto"/>
        <w:ind w:right="141"/>
        <w:jc w:val="both"/>
        <w:rPr>
          <w:rFonts w:ascii="Palatino Linotype" w:eastAsiaTheme="minorHAnsi" w:hAnsi="Palatino Linotype" w:cstheme="minorBidi"/>
          <w:lang w:val="es-MX" w:eastAsia="es-MX"/>
        </w:rPr>
      </w:pPr>
      <w:r w:rsidRPr="00DB300E">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DB300E">
        <w:rPr>
          <w:rFonts w:ascii="Palatino Linotype" w:eastAsiaTheme="minorHAnsi" w:hAnsi="Palatino Linotype" w:cstheme="minorBidi"/>
          <w:b/>
          <w:lang w:val="es-MX" w:eastAsia="es-MX"/>
        </w:rPr>
        <w:t xml:space="preserve"> </w:t>
      </w:r>
      <w:r w:rsidRPr="00DB300E">
        <w:rPr>
          <w:rFonts w:ascii="Palatino Linotype" w:eastAsiaTheme="minorHAnsi" w:hAnsi="Palatino Linotype" w:cstheme="minorBidi"/>
          <w:lang w:val="es-MX" w:eastAsia="es-MX"/>
        </w:rPr>
        <w:t>parte</w:t>
      </w:r>
      <w:r w:rsidRPr="00DB300E">
        <w:rPr>
          <w:rFonts w:ascii="Palatino Linotype" w:eastAsiaTheme="minorHAnsi" w:hAnsi="Palatino Linotype" w:cstheme="minorBidi"/>
          <w:b/>
          <w:lang w:val="es-MX" w:eastAsia="es-MX"/>
        </w:rPr>
        <w:t xml:space="preserve"> Recurrente</w:t>
      </w:r>
      <w:r w:rsidRPr="00DB300E">
        <w:rPr>
          <w:rFonts w:ascii="Palatino Linotype" w:eastAsiaTheme="minorHAnsi" w:hAnsi="Palatino Linotype" w:cstheme="minorBidi"/>
          <w:lang w:val="es-MX" w:eastAsia="es-MX"/>
        </w:rPr>
        <w:t>, para ello analizaremos lo solicitado y la información proporcionada.</w:t>
      </w:r>
    </w:p>
    <w:p w14:paraId="2CD8284B" w14:textId="77777777" w:rsidR="00FB5CCE" w:rsidRPr="00DB300E" w:rsidRDefault="00FB5CCE" w:rsidP="009D18C2">
      <w:pPr>
        <w:spacing w:line="360" w:lineRule="auto"/>
        <w:ind w:right="141"/>
        <w:jc w:val="both"/>
        <w:rPr>
          <w:rFonts w:ascii="Palatino Linotype" w:eastAsiaTheme="minorHAnsi" w:hAnsi="Palatino Linotype" w:cstheme="minorBidi"/>
          <w:lang w:val="es-MX" w:eastAsia="es-MX"/>
        </w:rPr>
      </w:pPr>
    </w:p>
    <w:p w14:paraId="6959047F" w14:textId="00588759" w:rsidR="00E64675" w:rsidRPr="00DB300E" w:rsidRDefault="009D18C2" w:rsidP="0065350C">
      <w:pPr>
        <w:spacing w:line="360" w:lineRule="auto"/>
        <w:ind w:right="141"/>
        <w:jc w:val="both"/>
        <w:rPr>
          <w:rFonts w:ascii="Palatino Linotype" w:eastAsiaTheme="minorHAnsi" w:hAnsi="Palatino Linotype" w:cstheme="minorBidi"/>
          <w:szCs w:val="22"/>
          <w:lang w:val="es-MX" w:eastAsia="es-MX"/>
        </w:rPr>
      </w:pPr>
      <w:r w:rsidRPr="00DB300E">
        <w:rPr>
          <w:rFonts w:ascii="Palatino Linotype" w:eastAsiaTheme="minorHAnsi" w:hAnsi="Palatino Linotype" w:cstheme="minorBidi"/>
          <w:b/>
          <w:szCs w:val="22"/>
          <w:lang w:val="es-MX" w:eastAsia="es-MX"/>
        </w:rPr>
        <w:t xml:space="preserve">REQUERIMIENTOS SOLICITADOS: </w:t>
      </w:r>
    </w:p>
    <w:p w14:paraId="5C3EC90B" w14:textId="77777777" w:rsidR="0008712F" w:rsidRPr="0008712F" w:rsidRDefault="0008712F" w:rsidP="0008712F">
      <w:pPr>
        <w:pStyle w:val="Prrafodelista"/>
        <w:numPr>
          <w:ilvl w:val="0"/>
          <w:numId w:val="33"/>
        </w:numPr>
        <w:spacing w:line="360" w:lineRule="auto"/>
        <w:ind w:right="141"/>
        <w:jc w:val="both"/>
        <w:rPr>
          <w:rFonts w:ascii="Palatino Linotype" w:eastAsiaTheme="minorHAnsi" w:hAnsi="Palatino Linotype" w:cstheme="minorBidi"/>
          <w:szCs w:val="22"/>
          <w:lang w:val="es-MX" w:eastAsia="es-MX"/>
        </w:rPr>
      </w:pPr>
      <w:bookmarkStart w:id="1" w:name="_Hlk179888426"/>
      <w:r w:rsidRPr="0008712F">
        <w:rPr>
          <w:rFonts w:ascii="Palatino Linotype" w:eastAsiaTheme="minorHAnsi" w:hAnsi="Palatino Linotype" w:cstheme="minorBidi"/>
          <w:szCs w:val="22"/>
          <w:lang w:eastAsia="es-MX"/>
        </w:rPr>
        <w:t>¿</w:t>
      </w:r>
      <w:r w:rsidRPr="0008712F">
        <w:rPr>
          <w:rFonts w:ascii="Palatino Linotype" w:eastAsiaTheme="minorHAnsi" w:hAnsi="Palatino Linotype" w:cstheme="minorBidi"/>
          <w:b/>
          <w:bCs/>
          <w:szCs w:val="22"/>
          <w:u w:val="single"/>
          <w:lang w:eastAsia="es-MX"/>
        </w:rPr>
        <w:t>Cuántas</w:t>
      </w:r>
      <w:r w:rsidRPr="0008712F">
        <w:rPr>
          <w:rFonts w:ascii="Palatino Linotype" w:eastAsiaTheme="minorHAnsi" w:hAnsi="Palatino Linotype" w:cstheme="minorBidi"/>
          <w:szCs w:val="22"/>
          <w:lang w:eastAsia="es-MX"/>
        </w:rPr>
        <w:t xml:space="preserve"> </w:t>
      </w:r>
      <w:r w:rsidRPr="0008712F">
        <w:rPr>
          <w:rFonts w:ascii="Palatino Linotype" w:eastAsiaTheme="minorHAnsi" w:hAnsi="Palatino Linotype" w:cstheme="minorBidi"/>
          <w:b/>
          <w:bCs/>
          <w:szCs w:val="22"/>
          <w:lang w:eastAsia="es-MX"/>
        </w:rPr>
        <w:t>quejas</w:t>
      </w:r>
      <w:r w:rsidRPr="0008712F">
        <w:rPr>
          <w:rFonts w:ascii="Palatino Linotype" w:eastAsiaTheme="minorHAnsi" w:hAnsi="Palatino Linotype" w:cstheme="minorBidi"/>
          <w:szCs w:val="22"/>
          <w:lang w:eastAsia="es-MX"/>
        </w:rPr>
        <w:t>/</w:t>
      </w:r>
      <w:r w:rsidRPr="0008712F">
        <w:rPr>
          <w:rFonts w:ascii="Palatino Linotype" w:eastAsiaTheme="minorHAnsi" w:hAnsi="Palatino Linotype" w:cstheme="minorBidi"/>
          <w:b/>
          <w:bCs/>
          <w:szCs w:val="22"/>
          <w:lang w:eastAsia="es-MX"/>
        </w:rPr>
        <w:t>denuncias</w:t>
      </w:r>
      <w:r w:rsidRPr="0008712F">
        <w:rPr>
          <w:rFonts w:ascii="Palatino Linotype" w:eastAsiaTheme="minorHAnsi" w:hAnsi="Palatino Linotype" w:cstheme="minorBidi"/>
          <w:szCs w:val="22"/>
          <w:lang w:eastAsia="es-MX"/>
        </w:rPr>
        <w:t xml:space="preserve"> fueron presentadas en los órganos internos de control /unidad de asuntos internos u órganos similares </w:t>
      </w:r>
      <w:r w:rsidRPr="0008712F">
        <w:rPr>
          <w:rFonts w:ascii="Palatino Linotype" w:eastAsiaTheme="minorHAnsi" w:hAnsi="Palatino Linotype" w:cstheme="minorBidi"/>
          <w:b/>
          <w:bCs/>
          <w:szCs w:val="22"/>
          <w:u w:val="single"/>
          <w:lang w:eastAsia="es-MX"/>
        </w:rPr>
        <w:t>en contra de personas servidoras públicas de la entonces Procuraduría General de Justicia del Estado de México y de la actual Fiscalía de esta entidad, sobre hechos acontecidos en los periodos de 2000 a 2010</w:t>
      </w:r>
      <w:r w:rsidRPr="0008712F">
        <w:rPr>
          <w:rFonts w:ascii="Palatino Linotype" w:eastAsiaTheme="minorHAnsi" w:hAnsi="Palatino Linotype" w:cstheme="minorBidi"/>
          <w:szCs w:val="22"/>
          <w:lang w:eastAsia="es-MX"/>
        </w:rPr>
        <w:t>? Desagregar por sexo, cargo, tipo de conducta, mes y año en que ocurrieron los hechos, lugar de los hechos (municipio y localidad).</w:t>
      </w:r>
    </w:p>
    <w:p w14:paraId="553B1491" w14:textId="77777777" w:rsidR="0008712F" w:rsidRPr="0008712F" w:rsidRDefault="0008712F" w:rsidP="0008712F">
      <w:pPr>
        <w:pStyle w:val="Prrafodelista"/>
        <w:spacing w:line="360" w:lineRule="auto"/>
        <w:ind w:left="720" w:right="141"/>
        <w:jc w:val="both"/>
        <w:rPr>
          <w:rFonts w:ascii="Palatino Linotype" w:eastAsiaTheme="minorHAnsi" w:hAnsi="Palatino Linotype" w:cstheme="minorBidi"/>
          <w:szCs w:val="22"/>
          <w:lang w:val="es-MX" w:eastAsia="es-MX"/>
        </w:rPr>
      </w:pPr>
    </w:p>
    <w:p w14:paraId="1166E83E" w14:textId="77777777" w:rsidR="0008712F" w:rsidRPr="0008712F" w:rsidRDefault="0008712F" w:rsidP="0008712F">
      <w:pPr>
        <w:pStyle w:val="Prrafodelista"/>
        <w:numPr>
          <w:ilvl w:val="0"/>
          <w:numId w:val="33"/>
        </w:numPr>
        <w:spacing w:line="360" w:lineRule="auto"/>
        <w:ind w:right="141"/>
        <w:jc w:val="both"/>
        <w:rPr>
          <w:rFonts w:ascii="Palatino Linotype" w:eastAsiaTheme="minorHAnsi" w:hAnsi="Palatino Linotype" w:cstheme="minorBidi"/>
          <w:szCs w:val="22"/>
          <w:lang w:val="es-MX" w:eastAsia="es-MX"/>
        </w:rPr>
      </w:pPr>
      <w:r w:rsidRPr="0008712F">
        <w:rPr>
          <w:rFonts w:ascii="Palatino Linotype" w:eastAsiaTheme="minorHAnsi" w:hAnsi="Palatino Linotype" w:cstheme="minorBidi"/>
          <w:szCs w:val="22"/>
          <w:lang w:eastAsia="es-MX"/>
        </w:rPr>
        <w:t>¿</w:t>
      </w:r>
      <w:r w:rsidRPr="0008712F">
        <w:rPr>
          <w:rFonts w:ascii="Palatino Linotype" w:eastAsiaTheme="minorHAnsi" w:hAnsi="Palatino Linotype" w:cstheme="minorBidi"/>
          <w:b/>
          <w:bCs/>
          <w:szCs w:val="22"/>
          <w:u w:val="single"/>
          <w:lang w:eastAsia="es-MX"/>
        </w:rPr>
        <w:t>Cuántas</w:t>
      </w:r>
      <w:r w:rsidRPr="0008712F">
        <w:rPr>
          <w:rFonts w:ascii="Palatino Linotype" w:eastAsiaTheme="minorHAnsi" w:hAnsi="Palatino Linotype" w:cstheme="minorBidi"/>
          <w:szCs w:val="22"/>
          <w:lang w:eastAsia="es-MX"/>
        </w:rPr>
        <w:t xml:space="preserve"> personas servidoras públicas de la entonces Procuraduría General de Justicia del Estado de México y de la actual Fiscalía de esta entidad, </w:t>
      </w:r>
      <w:r w:rsidRPr="0008712F">
        <w:rPr>
          <w:rFonts w:ascii="Palatino Linotype" w:eastAsiaTheme="minorHAnsi" w:hAnsi="Palatino Linotype" w:cstheme="minorBidi"/>
          <w:b/>
          <w:bCs/>
          <w:szCs w:val="22"/>
          <w:u w:val="single"/>
          <w:lang w:eastAsia="es-MX"/>
        </w:rPr>
        <w:t>fueron sometidas a procesos sancionatorios administrativos sobre hechos acontecidos en el periodo de 2000 a 2010?</w:t>
      </w:r>
      <w:r w:rsidRPr="0008712F">
        <w:rPr>
          <w:rFonts w:ascii="Palatino Linotype" w:eastAsiaTheme="minorHAnsi" w:hAnsi="Palatino Linotype" w:cstheme="minorBidi"/>
          <w:szCs w:val="22"/>
          <w:lang w:eastAsia="es-MX"/>
        </w:rPr>
        <w:t xml:space="preserve"> Desglosando los datos de dichas personas por sexo, cargo, tipo de hechos, tipo de conducta, mes y año en que ocurrieron los hechos, lugar de los hechos (municipio y localidad). </w:t>
      </w:r>
    </w:p>
    <w:p w14:paraId="33E85D87" w14:textId="77777777" w:rsidR="0008712F" w:rsidRPr="0008712F" w:rsidRDefault="0008712F" w:rsidP="0008712F">
      <w:pPr>
        <w:pStyle w:val="Prrafodelista"/>
        <w:rPr>
          <w:rFonts w:ascii="Palatino Linotype" w:eastAsiaTheme="minorHAnsi" w:hAnsi="Palatino Linotype" w:cstheme="minorBidi"/>
          <w:szCs w:val="22"/>
          <w:lang w:eastAsia="es-MX"/>
        </w:rPr>
      </w:pPr>
    </w:p>
    <w:p w14:paraId="640B55F2" w14:textId="5690F07E" w:rsidR="00FB5CCE" w:rsidRPr="0008712F" w:rsidRDefault="0008712F" w:rsidP="0008712F">
      <w:pPr>
        <w:pStyle w:val="Prrafodelista"/>
        <w:numPr>
          <w:ilvl w:val="0"/>
          <w:numId w:val="33"/>
        </w:numPr>
        <w:spacing w:line="360" w:lineRule="auto"/>
        <w:ind w:right="141"/>
        <w:jc w:val="both"/>
        <w:rPr>
          <w:rFonts w:ascii="Palatino Linotype" w:eastAsiaTheme="minorHAnsi" w:hAnsi="Palatino Linotype" w:cstheme="minorBidi"/>
          <w:szCs w:val="22"/>
          <w:lang w:val="es-MX" w:eastAsia="es-MX"/>
        </w:rPr>
      </w:pPr>
      <w:r w:rsidRPr="0008712F">
        <w:rPr>
          <w:rFonts w:ascii="Palatino Linotype" w:eastAsiaTheme="minorHAnsi" w:hAnsi="Palatino Linotype" w:cstheme="minorBidi"/>
          <w:szCs w:val="22"/>
          <w:lang w:eastAsia="es-MX"/>
        </w:rPr>
        <w:t>¿</w:t>
      </w:r>
      <w:r w:rsidRPr="0008712F">
        <w:rPr>
          <w:rFonts w:ascii="Palatino Linotype" w:eastAsiaTheme="minorHAnsi" w:hAnsi="Palatino Linotype" w:cstheme="minorBidi"/>
          <w:b/>
          <w:bCs/>
          <w:szCs w:val="22"/>
          <w:u w:val="single"/>
          <w:lang w:eastAsia="es-MX"/>
        </w:rPr>
        <w:t>Cuántas</w:t>
      </w:r>
      <w:r w:rsidRPr="0008712F">
        <w:rPr>
          <w:rFonts w:ascii="Palatino Linotype" w:eastAsiaTheme="minorHAnsi" w:hAnsi="Palatino Linotype" w:cstheme="minorBidi"/>
          <w:szCs w:val="22"/>
          <w:lang w:eastAsia="es-MX"/>
        </w:rPr>
        <w:t xml:space="preserve"> personas servidoras públicas de la entonces Procuraduría General de Justicia del Estado de México y de la actual Fiscalía de esta entidad, </w:t>
      </w:r>
      <w:r w:rsidRPr="0008712F">
        <w:rPr>
          <w:rFonts w:ascii="Palatino Linotype" w:eastAsiaTheme="minorHAnsi" w:hAnsi="Palatino Linotype" w:cstheme="minorBidi"/>
          <w:b/>
          <w:bCs/>
          <w:szCs w:val="22"/>
          <w:u w:val="single"/>
          <w:lang w:eastAsia="es-MX"/>
        </w:rPr>
        <w:t xml:space="preserve">fueron </w:t>
      </w:r>
      <w:r w:rsidRPr="0008712F">
        <w:rPr>
          <w:rFonts w:ascii="Palatino Linotype" w:eastAsiaTheme="minorHAnsi" w:hAnsi="Palatino Linotype" w:cstheme="minorBidi"/>
          <w:b/>
          <w:bCs/>
          <w:szCs w:val="22"/>
          <w:u w:val="single"/>
          <w:lang w:eastAsia="es-MX"/>
        </w:rPr>
        <w:lastRenderedPageBreak/>
        <w:t>sancionadas administrativa o internamente sobre hechos acontecidos en el periodo de 2000 a 2010</w:t>
      </w:r>
      <w:r w:rsidRPr="0008712F">
        <w:rPr>
          <w:rFonts w:ascii="Palatino Linotype" w:eastAsiaTheme="minorHAnsi" w:hAnsi="Palatino Linotype" w:cstheme="minorBidi"/>
          <w:szCs w:val="22"/>
          <w:lang w:eastAsia="es-MX"/>
        </w:rPr>
        <w:t>? Desglosando los datos de dichas personas por sexo, cargo, tipo de hechos, tipo de conducta, mes y año en que ocurrieron los hechos, lugar de los hechos (municipio y localidad) y sanción.</w:t>
      </w:r>
    </w:p>
    <w:bookmarkEnd w:id="1"/>
    <w:p w14:paraId="0E86E9DA" w14:textId="77777777" w:rsidR="0008712F" w:rsidRDefault="0008712F" w:rsidP="009D18C2">
      <w:pPr>
        <w:spacing w:line="360" w:lineRule="auto"/>
        <w:ind w:right="49"/>
        <w:jc w:val="both"/>
        <w:rPr>
          <w:rFonts w:ascii="Palatino Linotype" w:eastAsiaTheme="minorHAnsi" w:hAnsi="Palatino Linotype" w:cstheme="minorBidi"/>
          <w:lang w:val="es-MX" w:eastAsia="es-MX"/>
        </w:rPr>
      </w:pPr>
    </w:p>
    <w:p w14:paraId="5F9AFD10" w14:textId="6172DCA1" w:rsidR="009D18C2" w:rsidRPr="00DB300E" w:rsidRDefault="009D18C2" w:rsidP="009D18C2">
      <w:pPr>
        <w:spacing w:line="360" w:lineRule="auto"/>
        <w:ind w:right="49"/>
        <w:jc w:val="both"/>
        <w:rPr>
          <w:rFonts w:ascii="Palatino Linotype" w:hAnsi="Palatino Linotype" w:cs="Arial"/>
        </w:rPr>
      </w:pPr>
      <w:r w:rsidRPr="00DB300E">
        <w:rPr>
          <w:rFonts w:ascii="Palatino Linotype" w:eastAsiaTheme="minorHAnsi" w:hAnsi="Palatino Linotype" w:cstheme="minorBidi"/>
          <w:lang w:val="es-MX" w:eastAsia="es-MX"/>
        </w:rPr>
        <w:t xml:space="preserve">Atento a la solicitud de información </w:t>
      </w:r>
      <w:r w:rsidRPr="00DB300E">
        <w:rPr>
          <w:rFonts w:ascii="Palatino Linotype" w:eastAsiaTheme="minorHAnsi" w:hAnsi="Palatino Linotype" w:cstheme="minorBidi"/>
          <w:b/>
          <w:lang w:val="es-MX" w:eastAsia="es-MX"/>
        </w:rPr>
        <w:t>El Sujeto Obligado</w:t>
      </w:r>
      <w:r w:rsidRPr="00DB300E">
        <w:rPr>
          <w:rFonts w:ascii="Palatino Linotype" w:eastAsiaTheme="minorHAnsi" w:hAnsi="Palatino Linotype" w:cstheme="minorBidi"/>
          <w:lang w:val="es-MX" w:eastAsia="es-MX"/>
        </w:rPr>
        <w:t xml:space="preserve">, emitió su respuesta en donde </w:t>
      </w:r>
      <w:r w:rsidRPr="00DB300E">
        <w:rPr>
          <w:rFonts w:ascii="Palatino Linotype" w:hAnsi="Palatino Linotype" w:cs="Arial"/>
        </w:rPr>
        <w:t>se advierte lo siguiente:</w:t>
      </w:r>
    </w:p>
    <w:p w14:paraId="63D6722F" w14:textId="77777777" w:rsidR="00EE1844" w:rsidRPr="00DB300E" w:rsidRDefault="00EE1844" w:rsidP="009D18C2">
      <w:pPr>
        <w:spacing w:line="360" w:lineRule="auto"/>
        <w:ind w:right="49"/>
        <w:jc w:val="both"/>
        <w:rPr>
          <w:rFonts w:ascii="Palatino Linotype" w:hAnsi="Palatino Linotype" w:cs="Arial"/>
        </w:rPr>
      </w:pPr>
    </w:p>
    <w:p w14:paraId="794CC81A" w14:textId="57CADFAB" w:rsidR="00C23A37" w:rsidRDefault="00EE1844" w:rsidP="0008712F">
      <w:pPr>
        <w:spacing w:line="360" w:lineRule="auto"/>
        <w:ind w:right="49"/>
        <w:jc w:val="both"/>
        <w:rPr>
          <w:rFonts w:ascii="Palatino Linotype" w:hAnsi="Palatino Linotype" w:cs="Arial"/>
        </w:rPr>
      </w:pPr>
      <w:r w:rsidRPr="00DB300E">
        <w:rPr>
          <w:rFonts w:ascii="Palatino Linotype" w:hAnsi="Palatino Linotype" w:cs="Arial"/>
        </w:rPr>
        <w:t xml:space="preserve">Mediante el oficio número </w:t>
      </w:r>
      <w:r w:rsidR="0008712F">
        <w:rPr>
          <w:rFonts w:ascii="Palatino Linotype" w:hAnsi="Palatino Linotype" w:cs="Arial"/>
          <w:b/>
          <w:bCs/>
        </w:rPr>
        <w:t>2607</w:t>
      </w:r>
      <w:r w:rsidRPr="00DB300E">
        <w:rPr>
          <w:rFonts w:ascii="Palatino Linotype" w:hAnsi="Palatino Linotype" w:cs="Arial"/>
          <w:b/>
          <w:bCs/>
        </w:rPr>
        <w:t>/MAIP/FGJ/2024</w:t>
      </w:r>
      <w:r w:rsidRPr="00DB300E">
        <w:rPr>
          <w:rFonts w:ascii="Palatino Linotype" w:hAnsi="Palatino Linotype" w:cs="Arial"/>
        </w:rPr>
        <w:t xml:space="preserve">, firmado por la Titular de la Unidad de Transparencia, hizo del conocimiento que, </w:t>
      </w:r>
      <w:r w:rsidR="0008712F">
        <w:rPr>
          <w:rFonts w:ascii="Palatino Linotype" w:hAnsi="Palatino Linotype" w:cs="Arial"/>
        </w:rPr>
        <w:t>el</w:t>
      </w:r>
      <w:r w:rsidRPr="00DB300E">
        <w:rPr>
          <w:rFonts w:ascii="Palatino Linotype" w:hAnsi="Palatino Linotype" w:cs="Arial"/>
        </w:rPr>
        <w:t xml:space="preserve"> </w:t>
      </w:r>
      <w:r w:rsidR="0008712F">
        <w:rPr>
          <w:rFonts w:ascii="Palatino Linotype" w:hAnsi="Palatino Linotype" w:cs="Arial"/>
          <w:b/>
          <w:bCs/>
        </w:rPr>
        <w:t>Órgano Interno de Control</w:t>
      </w:r>
      <w:r w:rsidRPr="00DB300E">
        <w:rPr>
          <w:rFonts w:ascii="Palatino Linotype" w:hAnsi="Palatino Linotype" w:cs="Arial"/>
        </w:rPr>
        <w:t xml:space="preserve">, informó que, </w:t>
      </w:r>
      <w:r w:rsidR="0008712F" w:rsidRPr="0008712F">
        <w:rPr>
          <w:rFonts w:ascii="Palatino Linotype" w:hAnsi="Palatino Linotype" w:cs="Arial"/>
          <w:b/>
          <w:bCs/>
          <w:u w:val="single"/>
        </w:rPr>
        <w:t xml:space="preserve">no genera la información </w:t>
      </w:r>
      <w:bookmarkStart w:id="2" w:name="_Hlk179889042"/>
      <w:r w:rsidR="0008712F" w:rsidRPr="0008712F">
        <w:rPr>
          <w:rFonts w:ascii="Palatino Linotype" w:hAnsi="Palatino Linotype" w:cs="Arial"/>
          <w:b/>
          <w:bCs/>
          <w:u w:val="single"/>
        </w:rPr>
        <w:t>por no encontrarse dentro de las funciones</w:t>
      </w:r>
      <w:r w:rsidR="0008712F">
        <w:rPr>
          <w:rFonts w:ascii="Palatino Linotype" w:hAnsi="Palatino Linotype" w:cs="Arial"/>
        </w:rPr>
        <w:t xml:space="preserve"> que otorga el artículo 109 de la Constitución Política de los Estados Unidad Mexicanos, 49 de la Ley de la Fiscalía General de Justicia del Estado de México y la Ley de Responsabilidades Administrativas del Estado de México y Municipios.</w:t>
      </w:r>
    </w:p>
    <w:p w14:paraId="44473874" w14:textId="77777777" w:rsidR="0008712F" w:rsidRDefault="0008712F" w:rsidP="0008712F">
      <w:pPr>
        <w:spacing w:line="360" w:lineRule="auto"/>
        <w:ind w:right="49"/>
        <w:jc w:val="both"/>
        <w:rPr>
          <w:rFonts w:ascii="Palatino Linotype" w:hAnsi="Palatino Linotype" w:cs="Arial"/>
        </w:rPr>
      </w:pPr>
    </w:p>
    <w:p w14:paraId="69472075" w14:textId="6FB6EEE4" w:rsidR="0008712F" w:rsidRDefault="0008712F" w:rsidP="0008712F">
      <w:pPr>
        <w:spacing w:line="360" w:lineRule="auto"/>
        <w:ind w:right="49"/>
        <w:jc w:val="both"/>
        <w:rPr>
          <w:rFonts w:ascii="Palatino Linotype" w:hAnsi="Palatino Linotype" w:cs="Arial"/>
        </w:rPr>
      </w:pPr>
      <w:r>
        <w:rPr>
          <w:rFonts w:ascii="Palatino Linotype" w:hAnsi="Palatino Linotype" w:cs="Arial"/>
        </w:rPr>
        <w:t>Lo anterior, considerando que la petición incluye a TODOS los Órganos Internos de Control, Unidad de Asuntos Internos u órganos similares, sin delimitar la información.</w:t>
      </w:r>
      <w:bookmarkEnd w:id="2"/>
    </w:p>
    <w:p w14:paraId="4EF86389" w14:textId="77777777" w:rsidR="0008712F" w:rsidRDefault="0008712F" w:rsidP="0008712F">
      <w:pPr>
        <w:spacing w:line="360" w:lineRule="auto"/>
        <w:ind w:right="49"/>
        <w:jc w:val="both"/>
        <w:rPr>
          <w:rFonts w:ascii="Palatino Linotype" w:hAnsi="Palatino Linotype" w:cs="Arial"/>
        </w:rPr>
      </w:pPr>
    </w:p>
    <w:p w14:paraId="2B95F586" w14:textId="0B06DB02" w:rsidR="0008712F" w:rsidRDefault="0008712F" w:rsidP="0008712F">
      <w:pPr>
        <w:spacing w:line="360" w:lineRule="auto"/>
        <w:ind w:right="49"/>
        <w:jc w:val="both"/>
        <w:rPr>
          <w:rFonts w:ascii="Palatino Linotype" w:hAnsi="Palatino Linotype" w:cs="Arial"/>
        </w:rPr>
      </w:pPr>
      <w:r>
        <w:rPr>
          <w:rFonts w:ascii="Palatino Linotype" w:hAnsi="Palatino Linotype" w:cs="Arial"/>
        </w:rPr>
        <w:t xml:space="preserve">Cabe señalar que, la información requerida debe ser sobre hechos acontecidos en el periodo de 2000 a 2010, toda vez que el 07 de julio del año 2017, se creó la Fiscalía Especializada, conforme a lo señalado en el Acuerdo </w:t>
      </w:r>
      <w:r w:rsidR="00E74543">
        <w:rPr>
          <w:rFonts w:ascii="Palatino Linotype" w:hAnsi="Palatino Linotype" w:cs="Arial"/>
        </w:rPr>
        <w:t>10/2017, que inicio operaciones el día 10 de julio del mismo año, motivo por el cual únicamente cuenta con registros a partir de su creación que data del 10 de julio de 2017.</w:t>
      </w:r>
    </w:p>
    <w:p w14:paraId="0F80AE09" w14:textId="77777777" w:rsidR="0008712F" w:rsidRPr="00DB300E" w:rsidRDefault="0008712F" w:rsidP="0008712F">
      <w:pPr>
        <w:spacing w:line="360" w:lineRule="auto"/>
        <w:ind w:right="49"/>
        <w:jc w:val="both"/>
        <w:rPr>
          <w:rFonts w:ascii="Palatino Linotype" w:eastAsiaTheme="minorHAnsi" w:hAnsi="Palatino Linotype" w:cs="Arial"/>
          <w:bCs/>
          <w:lang w:eastAsia="en-US"/>
        </w:rPr>
      </w:pPr>
    </w:p>
    <w:p w14:paraId="67C64B63" w14:textId="35FBB0F2" w:rsidR="009D18C2" w:rsidRDefault="009D18C2" w:rsidP="00E74543">
      <w:pPr>
        <w:spacing w:line="360" w:lineRule="auto"/>
        <w:ind w:right="49"/>
        <w:jc w:val="both"/>
        <w:rPr>
          <w:rFonts w:ascii="Palatino Linotype" w:eastAsiaTheme="minorHAnsi" w:hAnsi="Palatino Linotype" w:cs="Arial"/>
          <w:bCs/>
          <w:lang w:val="es-MX" w:eastAsia="en-US"/>
        </w:rPr>
      </w:pPr>
      <w:r w:rsidRPr="00DB300E">
        <w:rPr>
          <w:rFonts w:ascii="Palatino Linotype" w:eastAsiaTheme="minorHAnsi" w:hAnsi="Palatino Linotype" w:cs="Arial"/>
          <w:bCs/>
          <w:lang w:val="es-MX" w:eastAsia="en-US"/>
        </w:rPr>
        <w:lastRenderedPageBreak/>
        <w:t xml:space="preserve">Es así que derivado de la respuesta emitida por </w:t>
      </w:r>
      <w:r w:rsidRPr="00DB300E">
        <w:rPr>
          <w:rFonts w:ascii="Palatino Linotype" w:eastAsiaTheme="minorHAnsi" w:hAnsi="Palatino Linotype" w:cs="Arial"/>
          <w:b/>
          <w:bCs/>
          <w:lang w:val="es-MX" w:eastAsia="en-US"/>
        </w:rPr>
        <w:t>El Sujeto Obligado</w:t>
      </w:r>
      <w:r w:rsidRPr="00DB300E">
        <w:rPr>
          <w:rFonts w:ascii="Palatino Linotype" w:eastAsiaTheme="minorHAnsi" w:hAnsi="Palatino Linotype" w:cs="Arial"/>
          <w:bCs/>
          <w:lang w:val="es-MX" w:eastAsia="en-US"/>
        </w:rPr>
        <w:t>,</w:t>
      </w:r>
      <w:r w:rsidR="00BD7FA2" w:rsidRPr="00DB300E">
        <w:rPr>
          <w:rFonts w:ascii="Palatino Linotype" w:eastAsiaTheme="minorHAnsi" w:hAnsi="Palatino Linotype" w:cs="Arial"/>
          <w:bCs/>
          <w:lang w:val="es-MX" w:eastAsia="en-US"/>
        </w:rPr>
        <w:t xml:space="preserve"> la parte </w:t>
      </w:r>
      <w:r w:rsidRPr="00DB300E">
        <w:rPr>
          <w:rFonts w:ascii="Palatino Linotype" w:eastAsiaTheme="minorHAnsi" w:hAnsi="Palatino Linotype" w:cs="Arial"/>
          <w:b/>
          <w:bCs/>
          <w:lang w:val="es-MX" w:eastAsia="en-US"/>
        </w:rPr>
        <w:t>Recurrente</w:t>
      </w:r>
      <w:r w:rsidRPr="00DB300E">
        <w:rPr>
          <w:rFonts w:ascii="Palatino Linotype" w:eastAsiaTheme="minorHAnsi" w:hAnsi="Palatino Linotype" w:cs="Arial"/>
          <w:bCs/>
          <w:lang w:val="es-MX" w:eastAsia="en-US"/>
        </w:rPr>
        <w:t xml:space="preserve">, interpuso el presente recurso de revisión, señalando sustancialmente como su </w:t>
      </w:r>
      <w:r w:rsidR="00E74543">
        <w:rPr>
          <w:rFonts w:ascii="Palatino Linotype" w:eastAsiaTheme="minorHAnsi" w:hAnsi="Palatino Linotype" w:cs="Arial"/>
          <w:bCs/>
          <w:lang w:val="es-MX" w:eastAsia="en-US"/>
        </w:rPr>
        <w:t>acto impugnado</w:t>
      </w:r>
      <w:r w:rsidRPr="00DB300E">
        <w:rPr>
          <w:rFonts w:ascii="Palatino Linotype" w:eastAsiaTheme="minorHAnsi" w:hAnsi="Palatino Linotype" w:cs="Arial"/>
          <w:bCs/>
          <w:lang w:val="es-MX" w:eastAsia="en-US"/>
        </w:rPr>
        <w:t>,</w:t>
      </w:r>
      <w:r w:rsidR="0002794C" w:rsidRPr="00DB300E">
        <w:rPr>
          <w:rFonts w:ascii="Palatino Linotype" w:eastAsiaTheme="minorHAnsi" w:hAnsi="Palatino Linotype" w:cs="Arial"/>
          <w:bCs/>
          <w:lang w:val="es-MX" w:eastAsia="en-US"/>
        </w:rPr>
        <w:t xml:space="preserve"> </w:t>
      </w:r>
      <w:r w:rsidRPr="00DB300E">
        <w:rPr>
          <w:rFonts w:ascii="Palatino Linotype" w:eastAsiaTheme="minorHAnsi" w:hAnsi="Palatino Linotype" w:cs="Arial"/>
          <w:bCs/>
          <w:lang w:val="es-MX" w:eastAsia="en-US"/>
        </w:rPr>
        <w:t>lo siguiente:</w:t>
      </w:r>
      <w:r w:rsidR="00BD7FA2" w:rsidRPr="00DB300E">
        <w:rPr>
          <w:rFonts w:ascii="Palatino Linotype" w:eastAsiaTheme="minorHAnsi" w:hAnsi="Palatino Linotype" w:cs="Arial"/>
          <w:bCs/>
          <w:lang w:val="es-MX" w:eastAsia="en-US"/>
        </w:rPr>
        <w:t xml:space="preserve"> </w:t>
      </w:r>
      <w:r w:rsidR="00BD7FA2" w:rsidRPr="00E74543">
        <w:rPr>
          <w:rFonts w:ascii="Palatino Linotype" w:eastAsiaTheme="minorHAnsi" w:hAnsi="Palatino Linotype" w:cs="Arial"/>
          <w:bCs/>
          <w:i/>
          <w:iCs/>
          <w:lang w:val="es-MX" w:eastAsia="en-US"/>
        </w:rPr>
        <w:t>“</w:t>
      </w:r>
      <w:r w:rsidR="00E74543" w:rsidRPr="00E74543">
        <w:rPr>
          <w:rFonts w:ascii="Palatino Linotype" w:eastAsiaTheme="minorHAnsi" w:hAnsi="Palatino Linotype" w:cs="Arial"/>
          <w:b/>
          <w:i/>
          <w:iCs/>
          <w:u w:val="single"/>
          <w:lang w:val="es-MX" w:eastAsia="en-US"/>
        </w:rPr>
        <w:t>Impugno la respuesta de la Fiscalía General de Justicia del Estado de México (FGJEM)</w:t>
      </w:r>
      <w:r w:rsidR="00E74543" w:rsidRPr="00E74543">
        <w:rPr>
          <w:rFonts w:ascii="Palatino Linotype" w:eastAsiaTheme="minorHAnsi" w:hAnsi="Palatino Linotype" w:cs="Arial"/>
          <w:bCs/>
          <w:i/>
          <w:iCs/>
          <w:lang w:val="es-MX" w:eastAsia="en-US"/>
        </w:rPr>
        <w:t xml:space="preserve">, a través de la Titular de la Unidad de Transparencia, de fecha 14 de agosto de este año, mediante el número de oficio 02607/MAIP/FGJ/2024; referente a la solicitud registrada bajo el folio 00670/FGJ/IP2024. La autoridad respondió que el Órgano Interno de Control no general la información por no encontrarse dentro de sus funciones; que la peticionaria incluyó a todos los órganos internos de control y no delimitó la información; que está impedida de realizar la búsqueda por el periodo de hechos acontecidos en 2000 a 2010 al no estar clasificada así la información; que la Fiscalía Especializada en Combate a la Corrupción inició en operaciones el 10 de julio de 2017 por lo que únicamente cuenta con registros a partir de esa fecha. </w:t>
      </w:r>
      <w:r w:rsidR="00E74543" w:rsidRPr="00E74543">
        <w:rPr>
          <w:rFonts w:ascii="Palatino Linotype" w:eastAsiaTheme="minorHAnsi" w:hAnsi="Palatino Linotype" w:cs="Arial"/>
          <w:b/>
          <w:i/>
          <w:iCs/>
          <w:u w:val="single"/>
          <w:lang w:val="es-MX" w:eastAsia="en-US"/>
        </w:rPr>
        <w:t>PRIMER MOTIVO DE IMPUGNACIÓN La información solicitada sí se encuentra dentro de las facultades del Órgano Interno de Control establecidas en los artículos 109 (fracción II) de la Constitución Federal y 49 de la Ley de la FGJEM.</w:t>
      </w:r>
      <w:r w:rsidR="00E74543" w:rsidRPr="00E74543">
        <w:rPr>
          <w:rFonts w:ascii="Palatino Linotype" w:eastAsiaTheme="minorHAnsi" w:hAnsi="Palatino Linotype" w:cs="Arial"/>
          <w:bCs/>
          <w:i/>
          <w:iCs/>
          <w:lang w:val="es-MX" w:eastAsia="en-US"/>
        </w:rPr>
        <w:t xml:space="preserve"> Disposiciones que, incluso, fueron citadas por el propio sujeto obligado. Por su parte, la Ley de Transparencia y Acceso a la Información Pública del Estado indica que los sujetos obligados deberán documentar todo acto que derive del ejercicio de sus facultades, considerando desde su origen la eventual publicidad y reutilización de la información que generen (artículo 17), y que se presume que la información debe existir si se refiere a las funciones que la ley les otorga (artículo 18). </w:t>
      </w:r>
      <w:r w:rsidR="00E74543" w:rsidRPr="00E74543">
        <w:rPr>
          <w:rFonts w:ascii="Palatino Linotype" w:eastAsiaTheme="minorHAnsi" w:hAnsi="Palatino Linotype" w:cs="Arial"/>
          <w:b/>
          <w:i/>
          <w:iCs/>
          <w:u w:val="single"/>
          <w:lang w:val="es-MX" w:eastAsia="en-US"/>
        </w:rPr>
        <w:t xml:space="preserve">Por lo tanto, necesariamente tendría que existir y estar documentada de alguna forma la información solicitada porque está relacionada con el ejercicio de las funciones del Órgano Interno de Control de la FGJEM, por lo que debió proporcionarla como obra en sus archivos y en el estado que la tuviera. O bien, en caso de su inexistencia, debió hacerlo del conocimiento al Comité de Transparencia para que emitiera un acuerdo de </w:t>
      </w:r>
      <w:r w:rsidR="00E74543" w:rsidRPr="00E74543">
        <w:rPr>
          <w:rFonts w:ascii="Palatino Linotype" w:eastAsiaTheme="minorHAnsi" w:hAnsi="Palatino Linotype" w:cs="Arial"/>
          <w:b/>
          <w:i/>
          <w:iCs/>
          <w:u w:val="single"/>
          <w:lang w:val="es-MX" w:eastAsia="en-US"/>
        </w:rPr>
        <w:lastRenderedPageBreak/>
        <w:t>inexistencia en el que justificara plenamente por qué que no cuenta con la información requerida, además de probar que utilizó un criterio de búsqueda exhaustivo</w:t>
      </w:r>
      <w:r w:rsidR="00E74543" w:rsidRPr="00E74543">
        <w:rPr>
          <w:rFonts w:ascii="Palatino Linotype" w:eastAsiaTheme="minorHAnsi" w:hAnsi="Palatino Linotype" w:cs="Arial"/>
          <w:bCs/>
          <w:i/>
          <w:iCs/>
          <w:lang w:val="es-MX" w:eastAsia="en-US"/>
        </w:rPr>
        <w:t xml:space="preserve"> (artículo 139 de la Ley General de Transparencia y Acceso a la Información Pública). </w:t>
      </w:r>
      <w:r w:rsidR="00E74543" w:rsidRPr="00E74543">
        <w:rPr>
          <w:rFonts w:ascii="Palatino Linotype" w:eastAsiaTheme="minorHAnsi" w:hAnsi="Palatino Linotype" w:cs="Arial"/>
          <w:b/>
          <w:i/>
          <w:iCs/>
          <w:u w:val="single"/>
          <w:lang w:val="es-MX" w:eastAsia="en-US"/>
        </w:rPr>
        <w:t>SEGUNDO MOTIVO DE IMPUGNACIÓN El sujeto obligado se limitó a señalar el supuesto impedimento que tiene para realizar la búsqueda en el periodo de 2000 a 2010 porque la información que genera no se encuentra clasificada como se le requirió</w:t>
      </w:r>
      <w:r w:rsidR="00E74543" w:rsidRPr="00E74543">
        <w:rPr>
          <w:rFonts w:ascii="Palatino Linotype" w:eastAsiaTheme="minorHAnsi" w:hAnsi="Palatino Linotype" w:cs="Arial"/>
          <w:bCs/>
          <w:i/>
          <w:iCs/>
          <w:lang w:val="es-MX" w:eastAsia="en-US"/>
        </w:rPr>
        <w:t xml:space="preserve">; pero no proporcionó una explicación puntual, fundada y razonable de su impedimento para realizar la búsqueda, no señaló por qué no podía proporcionar o buscar información sobre ese periodo, ni indicó cómo es que se encuentra clasificada, vulnerando los principios de máxima publicidad y eficacia. </w:t>
      </w:r>
      <w:r w:rsidR="00E74543" w:rsidRPr="00E74543">
        <w:rPr>
          <w:rFonts w:ascii="Palatino Linotype" w:eastAsiaTheme="minorHAnsi" w:hAnsi="Palatino Linotype" w:cs="Arial"/>
          <w:b/>
          <w:i/>
          <w:iCs/>
          <w:u w:val="single"/>
          <w:lang w:val="es-MX" w:eastAsia="en-US"/>
        </w:rPr>
        <w:t>TERCER MOTIVO DE IMPUGNACIÓN De acuerdo con el artículo 29 Bis de la Ley de la FGJEM, la Fiscalía Especializada en Combate a la Corrupción, entre otras cosas, tiene competencia para conocer de hechos delictivos relacionados con corrupción, pero no de denuncias, quejas, procesos y sanciones de carácter administrativo (tipo de información que se solicitó) impuestas a personas servidoras públicas, por lo que al no tener facultades procedimentales y sancionatorias de corte administrativo, es irrelevante si dicha institución fue creada antes o después del periodo de 2000 a 2010</w:t>
      </w:r>
      <w:r w:rsidR="00E74543" w:rsidRPr="00E74543">
        <w:rPr>
          <w:rFonts w:ascii="Palatino Linotype" w:eastAsiaTheme="minorHAnsi" w:hAnsi="Palatino Linotype" w:cs="Arial"/>
          <w:bCs/>
          <w:i/>
          <w:iCs/>
          <w:lang w:val="es-MX" w:eastAsia="en-US"/>
        </w:rPr>
        <w:t>.</w:t>
      </w:r>
      <w:r w:rsidR="00BD7FA2" w:rsidRPr="00E74543">
        <w:rPr>
          <w:rFonts w:ascii="Palatino Linotype" w:eastAsiaTheme="minorHAnsi" w:hAnsi="Palatino Linotype" w:cs="Arial"/>
          <w:bCs/>
          <w:i/>
          <w:iCs/>
          <w:lang w:val="es-MX" w:eastAsia="en-US"/>
        </w:rPr>
        <w:t>”</w:t>
      </w:r>
      <w:r w:rsidR="00BD7FA2" w:rsidRPr="00DB300E">
        <w:rPr>
          <w:rFonts w:ascii="Palatino Linotype" w:eastAsiaTheme="minorHAnsi" w:hAnsi="Palatino Linotype" w:cs="Arial"/>
          <w:bCs/>
          <w:lang w:val="es-MX" w:eastAsia="en-US"/>
        </w:rPr>
        <w:t xml:space="preserve"> (Sic). </w:t>
      </w:r>
    </w:p>
    <w:p w14:paraId="48EDE185" w14:textId="77777777" w:rsidR="00E74543" w:rsidRPr="00E74543" w:rsidRDefault="00E74543" w:rsidP="00E74543">
      <w:pPr>
        <w:spacing w:line="360" w:lineRule="auto"/>
        <w:ind w:right="49"/>
        <w:jc w:val="both"/>
        <w:rPr>
          <w:rFonts w:ascii="Palatino Linotype" w:eastAsiaTheme="minorHAnsi" w:hAnsi="Palatino Linotype" w:cs="Arial"/>
          <w:bCs/>
          <w:lang w:val="es-MX" w:eastAsia="en-US"/>
        </w:rPr>
      </w:pPr>
    </w:p>
    <w:p w14:paraId="3D47165E" w14:textId="77777777" w:rsidR="009D18C2" w:rsidRPr="00DB300E" w:rsidRDefault="009D18C2" w:rsidP="009D18C2">
      <w:pPr>
        <w:tabs>
          <w:tab w:val="left" w:pos="709"/>
        </w:tabs>
        <w:spacing w:line="360" w:lineRule="auto"/>
        <w:contextualSpacing/>
        <w:jc w:val="both"/>
        <w:rPr>
          <w:rFonts w:ascii="Palatino Linotype" w:hAnsi="Palatino Linotype" w:cs="Arial"/>
        </w:rPr>
      </w:pPr>
      <w:r w:rsidRPr="00DB300E">
        <w:rPr>
          <w:rFonts w:ascii="Palatino Linotype" w:hAnsi="Palatino Linotype" w:cs="Arial"/>
          <w:lang w:val="es-ES_tradnl"/>
        </w:rPr>
        <w:t xml:space="preserve">Ante ello, es de </w:t>
      </w:r>
      <w:r w:rsidRPr="00DB300E">
        <w:rPr>
          <w:rFonts w:ascii="Palatino Linotype" w:hAnsi="Palatino Linotype" w:cs="Arial"/>
        </w:rPr>
        <w:t>señalar que el artículo 4, párrafo segundo de la Ley de Transparencia y Acceso a la Información Pública del Estado de México y Municipios, dispone:</w:t>
      </w:r>
    </w:p>
    <w:p w14:paraId="6B31E239" w14:textId="77777777" w:rsidR="009D18C2" w:rsidRPr="00DB300E" w:rsidRDefault="009D18C2" w:rsidP="009D18C2">
      <w:pPr>
        <w:pStyle w:val="Sinespaciado"/>
      </w:pPr>
    </w:p>
    <w:p w14:paraId="73C088E2" w14:textId="77777777" w:rsidR="009D18C2" w:rsidRPr="00DB300E" w:rsidRDefault="009D18C2" w:rsidP="009D18C2">
      <w:pPr>
        <w:ind w:left="851" w:right="901"/>
        <w:jc w:val="both"/>
        <w:rPr>
          <w:rFonts w:ascii="Palatino Linotype" w:hAnsi="Palatino Linotype" w:cs="Arial"/>
          <w:i/>
          <w:sz w:val="22"/>
        </w:rPr>
      </w:pPr>
      <w:r w:rsidRPr="00DB300E">
        <w:rPr>
          <w:rFonts w:ascii="Palatino Linotype" w:hAnsi="Palatino Linotype" w:cs="Arial"/>
          <w:i/>
          <w:sz w:val="22"/>
        </w:rPr>
        <w:t>“</w:t>
      </w:r>
      <w:r w:rsidRPr="00DB300E">
        <w:rPr>
          <w:rFonts w:ascii="Palatino Linotype" w:hAnsi="Palatino Linotype" w:cs="Arial"/>
          <w:b/>
          <w:i/>
          <w:sz w:val="22"/>
        </w:rPr>
        <w:t xml:space="preserve">Artículo 4. </w:t>
      </w:r>
      <w:r w:rsidRPr="00DB300E">
        <w:rPr>
          <w:rFonts w:ascii="Palatino Linotype" w:hAnsi="Palatino Linotype" w:cs="Arial"/>
          <w:i/>
          <w:sz w:val="22"/>
        </w:rPr>
        <w:t xml:space="preserve">… </w:t>
      </w:r>
    </w:p>
    <w:p w14:paraId="3C5040C2" w14:textId="77777777" w:rsidR="009D18C2" w:rsidRPr="00DB300E" w:rsidRDefault="009D18C2" w:rsidP="009D18C2">
      <w:pPr>
        <w:ind w:left="567" w:right="616"/>
        <w:jc w:val="both"/>
        <w:rPr>
          <w:rFonts w:ascii="Palatino Linotype" w:hAnsi="Palatino Linotype" w:cs="Arial"/>
          <w:i/>
          <w:sz w:val="22"/>
        </w:rPr>
      </w:pPr>
      <w:r w:rsidRPr="00DB300E">
        <w:rPr>
          <w:rFonts w:ascii="Palatino Linotype" w:hAnsi="Palatino Linotype" w:cs="Arial"/>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DB300E">
        <w:rPr>
          <w:rFonts w:ascii="Palatino Linotype" w:hAnsi="Palatino Linotype" w:cs="Arial"/>
          <w:i/>
          <w:sz w:val="22"/>
        </w:rPr>
        <w:lastRenderedPageBreak/>
        <w:t>por razones de interés público, en los términos de las causas legítimas y estrictamente necesarias previstas por esta Ley.”</w:t>
      </w:r>
    </w:p>
    <w:p w14:paraId="6DD139A6" w14:textId="77777777" w:rsidR="009D18C2" w:rsidRPr="00DB300E" w:rsidRDefault="009D18C2" w:rsidP="009D18C2">
      <w:pPr>
        <w:tabs>
          <w:tab w:val="left" w:pos="709"/>
        </w:tabs>
        <w:spacing w:line="360" w:lineRule="auto"/>
        <w:contextualSpacing/>
        <w:jc w:val="both"/>
        <w:rPr>
          <w:rFonts w:ascii="Palatino Linotype" w:hAnsi="Palatino Linotype" w:cs="Arial"/>
          <w:lang w:val="es-ES_tradnl"/>
        </w:rPr>
      </w:pPr>
    </w:p>
    <w:p w14:paraId="0E9D9A15" w14:textId="77777777" w:rsidR="009D18C2" w:rsidRPr="00DB300E" w:rsidRDefault="009D18C2" w:rsidP="009D18C2">
      <w:pPr>
        <w:tabs>
          <w:tab w:val="left" w:pos="709"/>
        </w:tabs>
        <w:spacing w:line="360" w:lineRule="auto"/>
        <w:contextualSpacing/>
        <w:jc w:val="both"/>
        <w:rPr>
          <w:rFonts w:ascii="Palatino Linotype" w:hAnsi="Palatino Linotype" w:cs="Arial"/>
          <w:lang w:val="es-ES_tradnl"/>
        </w:rPr>
      </w:pPr>
      <w:r w:rsidRPr="00DB300E">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F2CC602" w14:textId="77777777" w:rsidR="009D18C2" w:rsidRPr="00DB300E" w:rsidRDefault="009D18C2" w:rsidP="009D18C2">
      <w:pPr>
        <w:tabs>
          <w:tab w:val="left" w:pos="709"/>
        </w:tabs>
        <w:spacing w:line="360" w:lineRule="auto"/>
        <w:contextualSpacing/>
        <w:jc w:val="both"/>
        <w:rPr>
          <w:rFonts w:ascii="Palatino Linotype" w:hAnsi="Palatino Linotype" w:cs="Arial"/>
        </w:rPr>
      </w:pPr>
    </w:p>
    <w:p w14:paraId="03B52547" w14:textId="77777777" w:rsidR="009D18C2" w:rsidRPr="00DB300E" w:rsidRDefault="009D18C2" w:rsidP="009D18C2">
      <w:pPr>
        <w:tabs>
          <w:tab w:val="left" w:pos="709"/>
        </w:tabs>
        <w:spacing w:line="360" w:lineRule="auto"/>
        <w:contextualSpacing/>
        <w:jc w:val="both"/>
        <w:rPr>
          <w:rFonts w:ascii="Palatino Linotype" w:hAnsi="Palatino Linotype" w:cs="Arial"/>
        </w:rPr>
      </w:pPr>
      <w:r w:rsidRPr="00DB300E">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763D382" w14:textId="77777777" w:rsidR="009D18C2" w:rsidRPr="00DB300E" w:rsidRDefault="009D18C2" w:rsidP="009D18C2">
      <w:pPr>
        <w:pStyle w:val="Sinespaciado"/>
      </w:pPr>
    </w:p>
    <w:p w14:paraId="7FC4C7A5" w14:textId="77777777" w:rsidR="009D18C2" w:rsidRPr="00DB300E" w:rsidRDefault="009D18C2" w:rsidP="009D18C2">
      <w:pPr>
        <w:ind w:left="567" w:right="616"/>
        <w:jc w:val="both"/>
        <w:rPr>
          <w:rFonts w:ascii="Palatino Linotype" w:hAnsi="Palatino Linotype" w:cs="Arial"/>
          <w:i/>
          <w:sz w:val="22"/>
        </w:rPr>
      </w:pPr>
      <w:r w:rsidRPr="00DB300E">
        <w:rPr>
          <w:rFonts w:ascii="Palatino Linotype" w:hAnsi="Palatino Linotype" w:cs="Arial"/>
          <w:i/>
          <w:sz w:val="22"/>
        </w:rPr>
        <w:t>“</w:t>
      </w:r>
      <w:r w:rsidRPr="00DB300E">
        <w:rPr>
          <w:rFonts w:ascii="Palatino Linotype" w:hAnsi="Palatino Linotype" w:cs="Arial"/>
          <w:b/>
          <w:i/>
          <w:sz w:val="22"/>
        </w:rPr>
        <w:t>Artículo 12.</w:t>
      </w:r>
      <w:r w:rsidRPr="00DB300E">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B2C0B5D" w14:textId="77777777" w:rsidR="009D18C2" w:rsidRPr="00DB300E" w:rsidRDefault="009D18C2" w:rsidP="009D18C2">
      <w:pPr>
        <w:ind w:left="567" w:right="616"/>
        <w:jc w:val="both"/>
        <w:rPr>
          <w:rFonts w:ascii="Palatino Linotype" w:hAnsi="Palatino Linotype" w:cs="Arial"/>
          <w:i/>
          <w:sz w:val="22"/>
        </w:rPr>
      </w:pPr>
    </w:p>
    <w:p w14:paraId="23BCC388" w14:textId="77777777" w:rsidR="009D18C2" w:rsidRPr="00DB300E" w:rsidRDefault="009D18C2" w:rsidP="009D18C2">
      <w:pPr>
        <w:ind w:left="567" w:right="616"/>
        <w:jc w:val="both"/>
        <w:rPr>
          <w:rFonts w:ascii="Palatino Linotype" w:hAnsi="Palatino Linotype" w:cs="Arial"/>
          <w:i/>
          <w:sz w:val="22"/>
        </w:rPr>
      </w:pPr>
      <w:r w:rsidRPr="00DB300E">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BA5FC98" w14:textId="77777777" w:rsidR="009D18C2" w:rsidRPr="00DB300E" w:rsidRDefault="009D18C2" w:rsidP="009D18C2">
      <w:pPr>
        <w:tabs>
          <w:tab w:val="left" w:pos="709"/>
        </w:tabs>
        <w:spacing w:line="360" w:lineRule="auto"/>
        <w:contextualSpacing/>
        <w:jc w:val="both"/>
        <w:rPr>
          <w:rFonts w:ascii="Palatino Linotype" w:hAnsi="Palatino Linotype" w:cs="Arial"/>
        </w:rPr>
      </w:pPr>
    </w:p>
    <w:p w14:paraId="49D811EF" w14:textId="77777777" w:rsidR="009D18C2" w:rsidRPr="00DB300E" w:rsidRDefault="009D18C2" w:rsidP="009D18C2">
      <w:pPr>
        <w:tabs>
          <w:tab w:val="left" w:pos="709"/>
        </w:tabs>
        <w:spacing w:line="360" w:lineRule="auto"/>
        <w:contextualSpacing/>
        <w:jc w:val="both"/>
        <w:rPr>
          <w:rFonts w:ascii="Palatino Linotype" w:hAnsi="Palatino Linotype" w:cs="Arial"/>
        </w:rPr>
      </w:pPr>
      <w:r w:rsidRPr="00DB300E">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DB300E">
        <w:rPr>
          <w:rFonts w:ascii="Palatino Linotype" w:hAnsi="Palatino Linotype" w:cs="Arial"/>
        </w:rPr>
        <w:lastRenderedPageBreak/>
        <w:t>disposición de cualquier persona, lo que implica que es deber de los Sujetos Obligados, garantizar el derecho de acceso a la información pública.</w:t>
      </w:r>
    </w:p>
    <w:p w14:paraId="0134D8F1" w14:textId="77777777" w:rsidR="009D18C2" w:rsidRPr="00DB300E" w:rsidRDefault="009D18C2" w:rsidP="009D18C2">
      <w:pPr>
        <w:tabs>
          <w:tab w:val="left" w:pos="709"/>
        </w:tabs>
        <w:spacing w:line="360" w:lineRule="auto"/>
        <w:contextualSpacing/>
        <w:jc w:val="both"/>
        <w:rPr>
          <w:rFonts w:ascii="Palatino Linotype" w:hAnsi="Palatino Linotype" w:cs="Arial"/>
        </w:rPr>
      </w:pPr>
    </w:p>
    <w:p w14:paraId="6373443B" w14:textId="77777777" w:rsidR="009D18C2" w:rsidRPr="00DB300E" w:rsidRDefault="009D18C2" w:rsidP="009D18C2">
      <w:pPr>
        <w:tabs>
          <w:tab w:val="left" w:pos="709"/>
        </w:tabs>
        <w:spacing w:line="360" w:lineRule="auto"/>
        <w:contextualSpacing/>
        <w:jc w:val="both"/>
        <w:rPr>
          <w:rFonts w:ascii="Palatino Linotype" w:hAnsi="Palatino Linotype" w:cs="Arial"/>
        </w:rPr>
      </w:pPr>
      <w:r w:rsidRPr="00DB300E">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DB300E">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B300E">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80D6B7E" w14:textId="77777777" w:rsidR="009D18C2" w:rsidRPr="00DB300E" w:rsidRDefault="009D18C2" w:rsidP="009D18C2">
      <w:pPr>
        <w:pStyle w:val="Sinespaciado"/>
      </w:pPr>
    </w:p>
    <w:p w14:paraId="15E1A0D6" w14:textId="77777777" w:rsidR="009D18C2" w:rsidRPr="00DB300E" w:rsidRDefault="009D18C2" w:rsidP="009D18C2">
      <w:pPr>
        <w:ind w:left="567" w:right="616"/>
        <w:jc w:val="both"/>
        <w:rPr>
          <w:rFonts w:ascii="Palatino Linotype" w:hAnsi="Palatino Linotype" w:cs="Arial"/>
          <w:i/>
          <w:sz w:val="22"/>
        </w:rPr>
      </w:pPr>
      <w:r w:rsidRPr="00DB300E">
        <w:rPr>
          <w:rFonts w:ascii="Palatino Linotype" w:hAnsi="Palatino Linotype" w:cs="Arial"/>
          <w:i/>
          <w:sz w:val="22"/>
        </w:rPr>
        <w:t>“</w:t>
      </w:r>
      <w:r w:rsidRPr="00DB300E">
        <w:rPr>
          <w:rFonts w:ascii="Palatino Linotype" w:hAnsi="Palatino Linotype" w:cs="Arial"/>
          <w:b/>
          <w:i/>
          <w:sz w:val="22"/>
        </w:rPr>
        <w:t xml:space="preserve">Artículo 3. </w:t>
      </w:r>
      <w:r w:rsidRPr="00DB300E">
        <w:rPr>
          <w:rFonts w:ascii="Palatino Linotype" w:hAnsi="Palatino Linotype" w:cs="Arial"/>
          <w:i/>
          <w:sz w:val="22"/>
        </w:rPr>
        <w:t>Para los efectos de la presente Ley se entenderá por:</w:t>
      </w:r>
    </w:p>
    <w:p w14:paraId="0BE3DFFA" w14:textId="77777777" w:rsidR="009D18C2" w:rsidRPr="00DB300E" w:rsidRDefault="009D18C2" w:rsidP="009D18C2">
      <w:pPr>
        <w:ind w:left="567" w:right="616"/>
        <w:jc w:val="both"/>
        <w:rPr>
          <w:rFonts w:ascii="Palatino Linotype" w:hAnsi="Palatino Linotype" w:cs="Arial"/>
          <w:i/>
          <w:sz w:val="22"/>
        </w:rPr>
      </w:pPr>
      <w:r w:rsidRPr="00DB300E">
        <w:rPr>
          <w:rFonts w:ascii="Palatino Linotype" w:hAnsi="Palatino Linotype" w:cs="Arial"/>
          <w:i/>
          <w:sz w:val="22"/>
        </w:rPr>
        <w:t>(…)</w:t>
      </w:r>
    </w:p>
    <w:p w14:paraId="40143012" w14:textId="77777777" w:rsidR="009D18C2" w:rsidRPr="00DB300E" w:rsidRDefault="009D18C2" w:rsidP="009D18C2">
      <w:pPr>
        <w:ind w:left="567" w:right="616"/>
        <w:jc w:val="both"/>
        <w:rPr>
          <w:rFonts w:ascii="Palatino Linotype" w:hAnsi="Palatino Linotype" w:cs="Arial"/>
          <w:i/>
          <w:sz w:val="22"/>
        </w:rPr>
      </w:pPr>
      <w:r w:rsidRPr="00DB300E">
        <w:rPr>
          <w:rFonts w:ascii="Palatino Linotype" w:hAnsi="Palatino Linotype" w:cs="Arial"/>
          <w:b/>
          <w:i/>
          <w:sz w:val="22"/>
        </w:rPr>
        <w:t>XI. Documento:</w:t>
      </w:r>
      <w:r w:rsidRPr="00DB300E">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B300E">
        <w:rPr>
          <w:rFonts w:ascii="Palatino Linotype" w:hAnsi="Palatino Linotype" w:cs="Arial"/>
          <w:b/>
          <w:i/>
          <w:sz w:val="22"/>
          <w:u w:val="single"/>
        </w:rPr>
        <w:t>registro que documente el ejercicio de las facultades, funciones y competencias de los sujetos obligados</w:t>
      </w:r>
      <w:r w:rsidRPr="00DB300E">
        <w:rPr>
          <w:rFonts w:ascii="Palatino Linotype" w:hAnsi="Palatino Linotype" w:cs="Arial"/>
          <w:i/>
          <w:sz w:val="22"/>
          <w:u w:val="single"/>
        </w:rPr>
        <w:t>,</w:t>
      </w:r>
      <w:r w:rsidRPr="00DB300E">
        <w:rPr>
          <w:rFonts w:ascii="Palatino Linotype" w:hAnsi="Palatino Linotype" w:cs="Arial"/>
          <w:i/>
          <w:sz w:val="22"/>
        </w:rPr>
        <w:t xml:space="preserve"> sus servidores públicos e integrantes, </w:t>
      </w:r>
      <w:r w:rsidRPr="00DB300E">
        <w:rPr>
          <w:rFonts w:ascii="Palatino Linotype" w:hAnsi="Palatino Linotype" w:cs="Arial"/>
          <w:b/>
          <w:i/>
          <w:sz w:val="22"/>
          <w:u w:val="single"/>
        </w:rPr>
        <w:t>sin importar su fuente o fecha de elaboración.</w:t>
      </w:r>
      <w:r w:rsidRPr="00DB300E">
        <w:rPr>
          <w:rFonts w:ascii="Palatino Linotype" w:hAnsi="Palatino Linotype" w:cs="Arial"/>
          <w:i/>
          <w:sz w:val="22"/>
        </w:rPr>
        <w:t xml:space="preserve"> Los documentos podrán estar en cualquier medio, sea escrito, impreso, sonoro, visual, electrónico, informático u holográfico;</w:t>
      </w:r>
    </w:p>
    <w:p w14:paraId="6184E97F" w14:textId="77777777" w:rsidR="009D18C2" w:rsidRPr="00DB300E" w:rsidRDefault="009D18C2" w:rsidP="009D18C2">
      <w:pPr>
        <w:ind w:left="567" w:right="616"/>
        <w:jc w:val="both"/>
        <w:rPr>
          <w:rFonts w:ascii="Palatino Linotype" w:hAnsi="Palatino Linotype" w:cs="Arial"/>
          <w:i/>
          <w:sz w:val="22"/>
        </w:rPr>
      </w:pPr>
      <w:r w:rsidRPr="00DB300E">
        <w:rPr>
          <w:rFonts w:ascii="Palatino Linotype" w:hAnsi="Palatino Linotype" w:cs="Arial"/>
          <w:i/>
          <w:sz w:val="22"/>
        </w:rPr>
        <w:t>(…)”</w:t>
      </w:r>
    </w:p>
    <w:p w14:paraId="42FE8780" w14:textId="77777777" w:rsidR="009D18C2" w:rsidRPr="00DB300E" w:rsidRDefault="009D18C2" w:rsidP="009D18C2">
      <w:pPr>
        <w:rPr>
          <w:sz w:val="14"/>
        </w:rPr>
      </w:pPr>
    </w:p>
    <w:p w14:paraId="39A11596" w14:textId="77777777" w:rsidR="009D18C2" w:rsidRPr="00DB300E" w:rsidRDefault="009D18C2" w:rsidP="009D18C2"/>
    <w:p w14:paraId="73C5FE65" w14:textId="77777777" w:rsidR="009D18C2" w:rsidRPr="00DB300E" w:rsidRDefault="009D18C2" w:rsidP="009D18C2">
      <w:pPr>
        <w:spacing w:before="240" w:after="240" w:line="360" w:lineRule="auto"/>
        <w:ind w:right="49"/>
        <w:contextualSpacing/>
        <w:jc w:val="both"/>
        <w:rPr>
          <w:rFonts w:ascii="Palatino Linotype" w:hAnsi="Palatino Linotype" w:cs="Arial"/>
          <w:lang w:eastAsia="es-MX"/>
        </w:rPr>
      </w:pPr>
      <w:r w:rsidRPr="00DB300E">
        <w:rPr>
          <w:rFonts w:ascii="Palatino Linotype" w:hAnsi="Palatino Linotype" w:cs="Arial"/>
        </w:rPr>
        <w:t xml:space="preserve">Además, </w:t>
      </w:r>
      <w:r w:rsidRPr="00DB300E">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DB300E">
        <w:rPr>
          <w:rFonts w:ascii="Palatino Linotype" w:eastAsia="MS Mincho" w:hAnsi="Palatino Linotype"/>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DBD5FE8" w14:textId="77777777" w:rsidR="009D18C2" w:rsidRPr="00DB300E" w:rsidRDefault="009D18C2" w:rsidP="009D18C2">
      <w:pPr>
        <w:spacing w:before="240" w:after="240" w:line="360" w:lineRule="auto"/>
        <w:ind w:right="49"/>
        <w:contextualSpacing/>
        <w:jc w:val="both"/>
        <w:rPr>
          <w:rFonts w:ascii="Palatino Linotype" w:hAnsi="Palatino Linotype" w:cs="Arial"/>
          <w:lang w:eastAsia="es-MX"/>
        </w:rPr>
      </w:pPr>
    </w:p>
    <w:p w14:paraId="3514FA75" w14:textId="77777777" w:rsidR="009D18C2" w:rsidRPr="00DB300E" w:rsidRDefault="009D18C2" w:rsidP="009D18C2">
      <w:pPr>
        <w:spacing w:before="240" w:after="240" w:line="360" w:lineRule="auto"/>
        <w:ind w:right="49"/>
        <w:contextualSpacing/>
        <w:jc w:val="both"/>
        <w:rPr>
          <w:rFonts w:ascii="Palatino Linotype" w:eastAsia="MS Mincho" w:hAnsi="Palatino Linotype" w:cs="Tahoma"/>
        </w:rPr>
      </w:pPr>
      <w:r w:rsidRPr="00DB300E">
        <w:rPr>
          <w:rFonts w:ascii="Palatino Linotype" w:hAnsi="Palatino Linotype" w:cs="Arial"/>
          <w:lang w:eastAsia="es-MX"/>
        </w:rPr>
        <w:t xml:space="preserve">De la misma forma, </w:t>
      </w:r>
      <w:r w:rsidRPr="00DB300E">
        <w:rPr>
          <w:rFonts w:ascii="Palatino Linotype" w:eastAsia="MS Mincho" w:hAnsi="Palatino Linotype"/>
        </w:rPr>
        <w:t>de acuerdo al contenido del artículo 160,</w:t>
      </w:r>
      <w:r w:rsidRPr="00DB300E">
        <w:rPr>
          <w:rFonts w:ascii="Palatino Linotype" w:hAnsi="Palatino Linotype" w:cs="Arial"/>
        </w:rPr>
        <w:t xml:space="preserve"> de la Ley </w:t>
      </w:r>
      <w:r w:rsidRPr="00DB300E">
        <w:rPr>
          <w:rFonts w:ascii="Palatino Linotype" w:eastAsia="MS Mincho" w:hAnsi="Palatino Linotype" w:cs="Tahoma"/>
        </w:rPr>
        <w:t>General de Transparencia y Acceso a la Información Pública que a la letra dispone:</w:t>
      </w:r>
    </w:p>
    <w:p w14:paraId="00D936AB" w14:textId="77777777" w:rsidR="009D18C2" w:rsidRPr="00DB300E" w:rsidRDefault="009D18C2" w:rsidP="009D18C2"/>
    <w:p w14:paraId="3615C31B" w14:textId="55F0FFB5" w:rsidR="009D18C2" w:rsidRDefault="009D18C2" w:rsidP="00E74543">
      <w:pPr>
        <w:ind w:left="567" w:right="616"/>
        <w:contextualSpacing/>
        <w:jc w:val="both"/>
        <w:rPr>
          <w:rFonts w:ascii="Palatino Linotype" w:hAnsi="Palatino Linotype" w:cs="Arial"/>
          <w:i/>
          <w:sz w:val="22"/>
          <w:lang w:eastAsia="gl-ES"/>
        </w:rPr>
      </w:pPr>
      <w:r w:rsidRPr="00DB300E">
        <w:rPr>
          <w:rFonts w:ascii="Palatino Linotype" w:hAnsi="Palatino Linotype" w:cs="Arial"/>
          <w:b/>
          <w:i/>
          <w:sz w:val="22"/>
          <w:lang w:eastAsia="gl-ES"/>
        </w:rPr>
        <w:t>Artículo 160</w:t>
      </w:r>
      <w:r w:rsidRPr="00DB300E">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0E63034" w14:textId="77777777" w:rsidR="00E74543" w:rsidRPr="00E74543" w:rsidRDefault="00E74543" w:rsidP="00E74543">
      <w:pPr>
        <w:ind w:left="567" w:right="616"/>
        <w:contextualSpacing/>
        <w:jc w:val="both"/>
        <w:rPr>
          <w:rFonts w:ascii="Palatino Linotype" w:hAnsi="Palatino Linotype" w:cs="Arial"/>
          <w:i/>
          <w:sz w:val="22"/>
          <w:lang w:eastAsia="gl-ES"/>
        </w:rPr>
      </w:pPr>
    </w:p>
    <w:p w14:paraId="7BEAC33D" w14:textId="77777777" w:rsidR="009D18C2" w:rsidRPr="00DB300E" w:rsidRDefault="009D18C2" w:rsidP="009D18C2">
      <w:pPr>
        <w:spacing w:line="360" w:lineRule="auto"/>
        <w:jc w:val="both"/>
        <w:rPr>
          <w:rFonts w:ascii="Palatino Linotype" w:hAnsi="Palatino Linotype" w:cs="Arial"/>
          <w:color w:val="222222"/>
          <w:szCs w:val="19"/>
          <w:lang w:eastAsia="es-MX"/>
        </w:rPr>
      </w:pPr>
      <w:r w:rsidRPr="00DB300E">
        <w:rPr>
          <w:rFonts w:ascii="Palatino Linotype" w:hAnsi="Palatino Linotype"/>
          <w:color w:val="000000"/>
        </w:rPr>
        <w:t xml:space="preserve">Sirve como apoyo </w:t>
      </w:r>
      <w:r w:rsidRPr="00DB300E">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850F298" w14:textId="77777777" w:rsidR="009D18C2" w:rsidRPr="00DB300E" w:rsidRDefault="009D18C2" w:rsidP="009D18C2">
      <w:pPr>
        <w:pStyle w:val="Sinespaciado"/>
        <w:rPr>
          <w:lang w:eastAsia="es-MX"/>
        </w:rPr>
      </w:pPr>
    </w:p>
    <w:p w14:paraId="54779FBD" w14:textId="77777777" w:rsidR="009D18C2" w:rsidRPr="00DB300E" w:rsidRDefault="009D18C2" w:rsidP="009D18C2">
      <w:pPr>
        <w:shd w:val="clear" w:color="auto" w:fill="FFFFFF"/>
        <w:tabs>
          <w:tab w:val="left" w:pos="8647"/>
        </w:tabs>
        <w:ind w:left="426" w:right="616"/>
        <w:jc w:val="both"/>
        <w:rPr>
          <w:rFonts w:ascii="Palatino Linotype" w:hAnsi="Palatino Linotype" w:cs="Arial"/>
          <w:i/>
          <w:iCs/>
          <w:color w:val="222222"/>
          <w:sz w:val="22"/>
          <w:lang w:eastAsia="es-MX"/>
        </w:rPr>
      </w:pPr>
      <w:r w:rsidRPr="00DB300E">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DB300E">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C37EC81" w14:textId="77777777" w:rsidR="009D18C2" w:rsidRPr="00DB300E" w:rsidRDefault="009D18C2" w:rsidP="009D18C2">
      <w:pPr>
        <w:pStyle w:val="Sinespaciado"/>
      </w:pPr>
    </w:p>
    <w:p w14:paraId="5878D858" w14:textId="77777777" w:rsidR="009D18C2" w:rsidRPr="00DB300E" w:rsidRDefault="009D18C2" w:rsidP="009D18C2">
      <w:pPr>
        <w:pStyle w:val="Sinespaciado"/>
      </w:pPr>
    </w:p>
    <w:p w14:paraId="2F108CC0" w14:textId="3398E119" w:rsidR="009D18C2" w:rsidRPr="00DB300E" w:rsidRDefault="009D18C2" w:rsidP="009D18C2">
      <w:pPr>
        <w:spacing w:line="360" w:lineRule="auto"/>
        <w:contextualSpacing/>
        <w:jc w:val="both"/>
        <w:rPr>
          <w:rFonts w:ascii="Palatino Linotype" w:hAnsi="Palatino Linotype" w:cs="Arial"/>
        </w:rPr>
      </w:pPr>
      <w:r w:rsidRPr="00DB300E">
        <w:rPr>
          <w:rFonts w:ascii="Palatino Linotype" w:hAnsi="Palatino Linotype" w:cs="Arial"/>
          <w:bCs/>
        </w:rPr>
        <w:t xml:space="preserve">Además, </w:t>
      </w:r>
      <w:r w:rsidRPr="00DB300E">
        <w:rPr>
          <w:rFonts w:ascii="Palatino Linotype" w:hAnsi="Palatino Linotype" w:cs="Arial"/>
        </w:rPr>
        <w:t xml:space="preserve">a Ley de Transparencia y Acceso a la Información Pública del Estado de México y Municipios, prevé en su artículo 23, fracción I, que son Sujetos Obligados a </w:t>
      </w:r>
      <w:r w:rsidRPr="00DB300E">
        <w:rPr>
          <w:rFonts w:ascii="Palatino Linotype" w:hAnsi="Palatino Linotype" w:cs="Arial"/>
        </w:rPr>
        <w:lastRenderedPageBreak/>
        <w:t>Transparentar y permitir el acceso a su información y proteger los datos que obren en su poder:</w:t>
      </w:r>
    </w:p>
    <w:p w14:paraId="28F460FE" w14:textId="77777777" w:rsidR="009D18C2" w:rsidRPr="00DB300E" w:rsidRDefault="009D18C2" w:rsidP="009D18C2">
      <w:pPr>
        <w:pStyle w:val="Sinespaciado"/>
      </w:pPr>
    </w:p>
    <w:p w14:paraId="22FEFDAC" w14:textId="200F15EE" w:rsidR="00C93A9A" w:rsidRPr="00DB300E" w:rsidRDefault="00C93A9A" w:rsidP="009D18C2">
      <w:pPr>
        <w:pStyle w:val="Prrafodelista"/>
        <w:ind w:left="426" w:right="567"/>
        <w:jc w:val="both"/>
        <w:rPr>
          <w:rFonts w:ascii="Palatino Linotype" w:hAnsi="Palatino Linotype" w:cs="Arial"/>
          <w:bCs/>
          <w:i/>
          <w:sz w:val="22"/>
        </w:rPr>
      </w:pPr>
      <w:r w:rsidRPr="00DB300E">
        <w:rPr>
          <w:rFonts w:ascii="Palatino Linotype" w:hAnsi="Palatino Linotype" w:cs="Arial"/>
          <w:b/>
          <w:i/>
          <w:sz w:val="22"/>
        </w:rPr>
        <w:t xml:space="preserve">Artículo 23. </w:t>
      </w:r>
      <w:r w:rsidRPr="00DB300E">
        <w:rPr>
          <w:rFonts w:ascii="Palatino Linotype" w:hAnsi="Palatino Linotype" w:cs="Arial"/>
          <w:bCs/>
          <w:i/>
          <w:sz w:val="22"/>
        </w:rPr>
        <w:t>Son sujetos obligados a transparentar y permitir el acceso a su información y proteger los datos personales que obren en su poder:</w:t>
      </w:r>
    </w:p>
    <w:p w14:paraId="1A0E135F" w14:textId="77777777" w:rsidR="003645FC" w:rsidRPr="00DB300E" w:rsidRDefault="003645FC" w:rsidP="009D18C2">
      <w:pPr>
        <w:pStyle w:val="Prrafodelista"/>
        <w:ind w:left="426" w:right="567"/>
        <w:jc w:val="both"/>
        <w:rPr>
          <w:rFonts w:ascii="Palatino Linotype" w:hAnsi="Palatino Linotype" w:cs="Arial"/>
          <w:bCs/>
          <w:i/>
          <w:sz w:val="22"/>
          <w:lang w:val="es-MX"/>
        </w:rPr>
      </w:pPr>
    </w:p>
    <w:p w14:paraId="4239AF70" w14:textId="0B003BB3" w:rsidR="009D18C2" w:rsidRPr="00DB300E" w:rsidRDefault="00C93A9A" w:rsidP="009D18C2">
      <w:pPr>
        <w:pStyle w:val="Prrafodelista"/>
        <w:ind w:left="426" w:right="567"/>
        <w:jc w:val="both"/>
        <w:rPr>
          <w:rFonts w:ascii="Palatino Linotype" w:hAnsi="Palatino Linotype" w:cs="Arial"/>
          <w:bCs/>
          <w:i/>
          <w:sz w:val="22"/>
        </w:rPr>
      </w:pPr>
      <w:r w:rsidRPr="00DB300E">
        <w:rPr>
          <w:rFonts w:ascii="Palatino Linotype" w:hAnsi="Palatino Linotype" w:cs="Arial"/>
          <w:b/>
          <w:i/>
          <w:sz w:val="22"/>
        </w:rPr>
        <w:t xml:space="preserve">I. </w:t>
      </w:r>
      <w:r w:rsidRPr="00DB300E">
        <w:rPr>
          <w:rFonts w:ascii="Palatino Linotype" w:hAnsi="Palatino Linotype" w:cs="Arial"/>
          <w:bCs/>
          <w:i/>
          <w:sz w:val="22"/>
        </w:rPr>
        <w:t xml:space="preserve">El Poder Ejecutivo del Estado de México, las dependencias, organismos auxiliares, órganos, entidades, fideicomisos y fondos públicos, así como la Fiscalía General de Justicia del Estado de México; </w:t>
      </w:r>
    </w:p>
    <w:p w14:paraId="3A0C3A3F" w14:textId="77777777" w:rsidR="009D18C2" w:rsidRPr="00DB300E" w:rsidRDefault="009D18C2" w:rsidP="009D18C2">
      <w:pPr>
        <w:spacing w:line="360" w:lineRule="auto"/>
        <w:jc w:val="both"/>
        <w:rPr>
          <w:rFonts w:ascii="Palatino Linotype" w:hAnsi="Palatino Linotype" w:cs="Arial"/>
        </w:rPr>
      </w:pPr>
    </w:p>
    <w:p w14:paraId="0424244D" w14:textId="515679ED" w:rsidR="00A23426" w:rsidRDefault="00A23426" w:rsidP="00A23426">
      <w:pPr>
        <w:spacing w:line="360" w:lineRule="auto"/>
        <w:jc w:val="both"/>
        <w:rPr>
          <w:rFonts w:ascii="Palatino Linotype" w:eastAsia="Palatino Linotype" w:hAnsi="Palatino Linotype" w:cs="Palatino Linotype"/>
          <w:lang w:eastAsia="es-MX"/>
        </w:rPr>
      </w:pPr>
      <w:r w:rsidRPr="00783C7C">
        <w:rPr>
          <w:rFonts w:ascii="Palatino Linotype" w:eastAsia="MS Mincho" w:hAnsi="Palatino Linotype" w:cs="Arial"/>
          <w:lang w:eastAsia="en-US"/>
        </w:rPr>
        <w:t xml:space="preserve">Ahora bien, como quedó precisado el </w:t>
      </w:r>
      <w:r w:rsidRPr="00783C7C">
        <w:rPr>
          <w:rFonts w:ascii="Palatino Linotype" w:eastAsia="MS Mincho" w:hAnsi="Palatino Linotype" w:cs="Arial"/>
          <w:b/>
          <w:lang w:eastAsia="en-US"/>
        </w:rPr>
        <w:t>Recurrente</w:t>
      </w:r>
      <w:r w:rsidRPr="00783C7C">
        <w:rPr>
          <w:rFonts w:ascii="Palatino Linotype" w:eastAsia="MS Mincho" w:hAnsi="Palatino Linotype" w:cs="Arial"/>
          <w:lang w:eastAsia="en-US"/>
        </w:rPr>
        <w:t xml:space="preserve"> peticiona </w:t>
      </w:r>
      <w:r w:rsidRPr="00A23426">
        <w:rPr>
          <w:rFonts w:ascii="Palatino Linotype" w:eastAsiaTheme="minorHAnsi" w:hAnsi="Palatino Linotype" w:cstheme="minorBidi"/>
          <w:szCs w:val="22"/>
          <w:lang w:eastAsia="es-MX"/>
        </w:rPr>
        <w:t>¿</w:t>
      </w:r>
      <w:r w:rsidRPr="00A23426">
        <w:rPr>
          <w:rFonts w:ascii="Palatino Linotype" w:eastAsiaTheme="minorHAnsi" w:hAnsi="Palatino Linotype" w:cstheme="minorBidi"/>
          <w:b/>
          <w:bCs/>
          <w:szCs w:val="22"/>
          <w:u w:val="single"/>
          <w:lang w:eastAsia="es-MX"/>
        </w:rPr>
        <w:t>Cuántas</w:t>
      </w:r>
      <w:r w:rsidRPr="00A23426">
        <w:rPr>
          <w:rFonts w:ascii="Palatino Linotype" w:eastAsiaTheme="minorHAnsi" w:hAnsi="Palatino Linotype" w:cstheme="minorBidi"/>
          <w:szCs w:val="22"/>
          <w:lang w:eastAsia="es-MX"/>
        </w:rPr>
        <w:t xml:space="preserve"> </w:t>
      </w:r>
      <w:r w:rsidRPr="00A23426">
        <w:rPr>
          <w:rFonts w:ascii="Palatino Linotype" w:eastAsiaTheme="minorHAnsi" w:hAnsi="Palatino Linotype" w:cstheme="minorBidi"/>
          <w:b/>
          <w:bCs/>
          <w:szCs w:val="22"/>
          <w:lang w:eastAsia="es-MX"/>
        </w:rPr>
        <w:t>quejas</w:t>
      </w:r>
      <w:r w:rsidRPr="00A23426">
        <w:rPr>
          <w:rFonts w:ascii="Palatino Linotype" w:eastAsiaTheme="minorHAnsi" w:hAnsi="Palatino Linotype" w:cstheme="minorBidi"/>
          <w:szCs w:val="22"/>
          <w:lang w:eastAsia="es-MX"/>
        </w:rPr>
        <w:t>/</w:t>
      </w:r>
      <w:r w:rsidRPr="00A23426">
        <w:rPr>
          <w:rFonts w:ascii="Palatino Linotype" w:eastAsiaTheme="minorHAnsi" w:hAnsi="Palatino Linotype" w:cstheme="minorBidi"/>
          <w:b/>
          <w:bCs/>
          <w:szCs w:val="22"/>
          <w:lang w:eastAsia="es-MX"/>
        </w:rPr>
        <w:t>denuncias</w:t>
      </w:r>
      <w:r w:rsidRPr="00A23426">
        <w:rPr>
          <w:rFonts w:ascii="Palatino Linotype" w:eastAsiaTheme="minorHAnsi" w:hAnsi="Palatino Linotype" w:cstheme="minorBidi"/>
          <w:szCs w:val="22"/>
          <w:lang w:eastAsia="es-MX"/>
        </w:rPr>
        <w:t xml:space="preserve"> fueron presentadas en los órganos internos de control /unidad de asuntos internos u órganos similares </w:t>
      </w:r>
      <w:r w:rsidRPr="00A23426">
        <w:rPr>
          <w:rFonts w:ascii="Palatino Linotype" w:eastAsiaTheme="minorHAnsi" w:hAnsi="Palatino Linotype" w:cstheme="minorBidi"/>
          <w:b/>
          <w:bCs/>
          <w:szCs w:val="22"/>
          <w:u w:val="single"/>
          <w:lang w:eastAsia="es-MX"/>
        </w:rPr>
        <w:t>en contra de personas servidoras públicas de la entonces Procuraduría General de Justicia del Estado de México y de la actual Fiscalía de esta entidad, sobre hechos acontecidos en los periodos de 2000 a 2010</w:t>
      </w:r>
      <w:r w:rsidRPr="00A23426">
        <w:rPr>
          <w:rFonts w:ascii="Palatino Linotype" w:eastAsiaTheme="minorHAnsi" w:hAnsi="Palatino Linotype" w:cstheme="minorBidi"/>
          <w:szCs w:val="22"/>
          <w:lang w:eastAsia="es-MX"/>
        </w:rPr>
        <w:t>?</w:t>
      </w:r>
      <w:r>
        <w:rPr>
          <w:rFonts w:ascii="Palatino Linotype" w:eastAsiaTheme="minorHAnsi" w:hAnsi="Palatino Linotype" w:cstheme="minorBidi"/>
          <w:szCs w:val="22"/>
          <w:lang w:eastAsia="es-MX"/>
        </w:rPr>
        <w:t xml:space="preserve"> </w:t>
      </w:r>
      <w:r w:rsidRPr="00A23426">
        <w:rPr>
          <w:rFonts w:ascii="Palatino Linotype" w:eastAsiaTheme="minorHAnsi" w:hAnsi="Palatino Linotype" w:cstheme="minorBidi"/>
          <w:szCs w:val="22"/>
          <w:lang w:eastAsia="es-MX"/>
        </w:rPr>
        <w:t>¿</w:t>
      </w:r>
      <w:r w:rsidRPr="00A23426">
        <w:rPr>
          <w:rFonts w:ascii="Palatino Linotype" w:eastAsiaTheme="minorHAnsi" w:hAnsi="Palatino Linotype" w:cstheme="minorBidi"/>
          <w:b/>
          <w:bCs/>
          <w:szCs w:val="22"/>
          <w:u w:val="single"/>
          <w:lang w:eastAsia="es-MX"/>
        </w:rPr>
        <w:t>Cuántas</w:t>
      </w:r>
      <w:r w:rsidRPr="00A23426">
        <w:rPr>
          <w:rFonts w:ascii="Palatino Linotype" w:eastAsiaTheme="minorHAnsi" w:hAnsi="Palatino Linotype" w:cstheme="minorBidi"/>
          <w:szCs w:val="22"/>
          <w:lang w:eastAsia="es-MX"/>
        </w:rPr>
        <w:t xml:space="preserve"> personas servidoras públicas de la entonces Procuraduría General de Justicia del Estado de México y de la actual Fiscalía de esta entidad, </w:t>
      </w:r>
      <w:r w:rsidRPr="00A23426">
        <w:rPr>
          <w:rFonts w:ascii="Palatino Linotype" w:eastAsiaTheme="minorHAnsi" w:hAnsi="Palatino Linotype" w:cstheme="minorBidi"/>
          <w:b/>
          <w:bCs/>
          <w:szCs w:val="22"/>
          <w:u w:val="single"/>
          <w:lang w:eastAsia="es-MX"/>
        </w:rPr>
        <w:t>fueron sometidas a procesos sancionatorios administrativos sobre hechos acontecidos en el periodo de 2000 a 2010?</w:t>
      </w:r>
      <w:r w:rsidRPr="00A23426">
        <w:rPr>
          <w:rFonts w:ascii="Palatino Linotype" w:eastAsiaTheme="minorHAnsi" w:hAnsi="Palatino Linotype" w:cstheme="minorBidi"/>
          <w:szCs w:val="22"/>
          <w:lang w:eastAsia="es-MX"/>
        </w:rPr>
        <w:t xml:space="preserve"> ¿</w:t>
      </w:r>
      <w:r w:rsidRPr="00A23426">
        <w:rPr>
          <w:rFonts w:ascii="Palatino Linotype" w:eastAsiaTheme="minorHAnsi" w:hAnsi="Palatino Linotype" w:cstheme="minorBidi"/>
          <w:b/>
          <w:bCs/>
          <w:szCs w:val="22"/>
          <w:u w:val="single"/>
          <w:lang w:eastAsia="es-MX"/>
        </w:rPr>
        <w:t>Cuántas</w:t>
      </w:r>
      <w:r w:rsidRPr="00A23426">
        <w:rPr>
          <w:rFonts w:ascii="Palatino Linotype" w:eastAsiaTheme="minorHAnsi" w:hAnsi="Palatino Linotype" w:cstheme="minorBidi"/>
          <w:szCs w:val="22"/>
          <w:lang w:eastAsia="es-MX"/>
        </w:rPr>
        <w:t xml:space="preserve"> personas servidoras públicas de la entonces Procuraduría General de Justicia del Estado de México y de la actual Fiscalía de esta entidad, </w:t>
      </w:r>
      <w:r w:rsidRPr="00A23426">
        <w:rPr>
          <w:rFonts w:ascii="Palatino Linotype" w:eastAsiaTheme="minorHAnsi" w:hAnsi="Palatino Linotype" w:cstheme="minorBidi"/>
          <w:b/>
          <w:bCs/>
          <w:szCs w:val="22"/>
          <w:u w:val="single"/>
          <w:lang w:eastAsia="es-MX"/>
        </w:rPr>
        <w:t>fueron sancionadas administrativa o internamente sobre hechos acontecidos en el periodo de 2000 a 2010</w:t>
      </w:r>
      <w:r w:rsidRPr="00A23426">
        <w:rPr>
          <w:rFonts w:ascii="Palatino Linotype" w:eastAsiaTheme="minorHAnsi" w:hAnsi="Palatino Linotype" w:cstheme="minorBidi"/>
          <w:szCs w:val="22"/>
          <w:lang w:eastAsia="es-MX"/>
        </w:rPr>
        <w:t>? Desglosando los datos de dichas personas por sexo, cargo, tipo de hechos, tipo de conducta, mes y año en que ocurrieron los hechos, lugar de los hechos (municipio y localidad) y sanción</w:t>
      </w:r>
      <w:r w:rsidRPr="00783C7C">
        <w:rPr>
          <w:rFonts w:ascii="Palatino Linotype" w:eastAsia="MS Mincho" w:hAnsi="Palatino Linotype" w:cs="Arial"/>
          <w:lang w:eastAsia="en-US"/>
        </w:rPr>
        <w:t>;</w:t>
      </w:r>
      <w:r w:rsidRPr="00783C7C">
        <w:rPr>
          <w:rFonts w:ascii="Palatino Linotype" w:eastAsia="Palatino Linotype" w:hAnsi="Palatino Linotype" w:cs="Palatino Linotype"/>
          <w:lang w:eastAsia="es-MX"/>
        </w:rPr>
        <w:t xml:space="preserve"> es decir, un número estadístico. </w:t>
      </w:r>
    </w:p>
    <w:p w14:paraId="524D9FF6" w14:textId="77777777" w:rsidR="00961370" w:rsidRDefault="00961370" w:rsidP="00A23426">
      <w:pPr>
        <w:spacing w:line="360" w:lineRule="auto"/>
        <w:jc w:val="both"/>
        <w:rPr>
          <w:rFonts w:ascii="Palatino Linotype" w:eastAsia="Palatino Linotype" w:hAnsi="Palatino Linotype" w:cs="Palatino Linotype"/>
          <w:lang w:eastAsia="es-MX"/>
        </w:rPr>
      </w:pPr>
    </w:p>
    <w:p w14:paraId="3DE3009D" w14:textId="6CABC03F" w:rsidR="00961370" w:rsidRPr="00961370" w:rsidRDefault="00961370" w:rsidP="00961370">
      <w:pPr>
        <w:spacing w:line="360" w:lineRule="auto"/>
        <w:jc w:val="both"/>
        <w:rPr>
          <w:rFonts w:ascii="Palatino Linotype" w:eastAsia="Palatino Linotype" w:hAnsi="Palatino Linotype" w:cs="Palatino Linotype"/>
          <w:lang w:val="es-MX" w:eastAsia="es-MX"/>
        </w:rPr>
      </w:pPr>
      <w:r w:rsidRPr="00961370">
        <w:rPr>
          <w:rFonts w:ascii="Palatino Linotype" w:eastAsia="Palatino Linotype" w:hAnsi="Palatino Linotype" w:cs="Palatino Linotype"/>
          <w:lang w:val="es-MX" w:eastAsia="es-MX"/>
        </w:rPr>
        <w:t>En tal contexto, debe mencionarse que, de la lectura de la respuesta emitida por el</w:t>
      </w:r>
      <w:r w:rsidRPr="00961370">
        <w:rPr>
          <w:rFonts w:ascii="Palatino Linotype" w:eastAsia="Palatino Linotype" w:hAnsi="Palatino Linotype" w:cs="Palatino Linotype"/>
          <w:b/>
          <w:lang w:val="es-MX" w:eastAsia="es-MX"/>
        </w:rPr>
        <w:t xml:space="preserve"> Sujeto Obligado</w:t>
      </w:r>
      <w:r w:rsidRPr="00961370">
        <w:rPr>
          <w:rFonts w:ascii="Palatino Linotype" w:eastAsia="Palatino Linotype" w:hAnsi="Palatino Linotype" w:cs="Palatino Linotype"/>
          <w:lang w:val="es-MX" w:eastAsia="es-MX"/>
        </w:rPr>
        <w:t xml:space="preserve">, se aduce que no genera la información solicitada, </w:t>
      </w:r>
      <w:r w:rsidRPr="0008712F">
        <w:rPr>
          <w:rFonts w:ascii="Palatino Linotype" w:hAnsi="Palatino Linotype" w:cs="Arial"/>
          <w:b/>
          <w:bCs/>
          <w:u w:val="single"/>
        </w:rPr>
        <w:t xml:space="preserve">por no encontrarse </w:t>
      </w:r>
      <w:r w:rsidRPr="0008712F">
        <w:rPr>
          <w:rFonts w:ascii="Palatino Linotype" w:hAnsi="Palatino Linotype" w:cs="Arial"/>
          <w:b/>
          <w:bCs/>
          <w:u w:val="single"/>
        </w:rPr>
        <w:lastRenderedPageBreak/>
        <w:t>dentro de las funciones</w:t>
      </w:r>
      <w:r>
        <w:rPr>
          <w:rFonts w:ascii="Palatino Linotype" w:hAnsi="Palatino Linotype" w:cs="Arial"/>
        </w:rPr>
        <w:t xml:space="preserve"> que otorga el artículo 109 de la Constitución Política de los Estados Unidad Mexicanos, 49 de la Ley de la Fiscalía General de Justicia del Estado de México y la Ley de Responsabilidades Administrativas del Estado de México y Municipios.</w:t>
      </w:r>
    </w:p>
    <w:p w14:paraId="489B5E7A" w14:textId="77777777" w:rsidR="00961370" w:rsidRDefault="00961370" w:rsidP="00961370">
      <w:pPr>
        <w:spacing w:line="360" w:lineRule="auto"/>
        <w:ind w:right="49"/>
        <w:jc w:val="both"/>
        <w:rPr>
          <w:rFonts w:ascii="Palatino Linotype" w:hAnsi="Palatino Linotype" w:cs="Arial"/>
        </w:rPr>
      </w:pPr>
    </w:p>
    <w:p w14:paraId="1366A6B3" w14:textId="4C1927F7" w:rsidR="00961370" w:rsidRDefault="00961370" w:rsidP="00A23426">
      <w:pPr>
        <w:spacing w:line="360" w:lineRule="auto"/>
        <w:jc w:val="both"/>
        <w:rPr>
          <w:rFonts w:ascii="Palatino Linotype" w:eastAsia="Palatino Linotype" w:hAnsi="Palatino Linotype" w:cs="Palatino Linotype"/>
          <w:lang w:val="es-MX" w:eastAsia="es-MX"/>
        </w:rPr>
      </w:pPr>
      <w:r>
        <w:rPr>
          <w:rFonts w:ascii="Palatino Linotype" w:hAnsi="Palatino Linotype" w:cs="Arial"/>
        </w:rPr>
        <w:t>Lo anterior, considerando que la petición incluye a TODOS los Órganos Internos de Control, Unidad de Asuntos Internos u órganos similares, sin delimitar la información.</w:t>
      </w:r>
    </w:p>
    <w:p w14:paraId="4EB52DE8" w14:textId="77777777" w:rsidR="00767981" w:rsidRPr="00767981" w:rsidRDefault="00767981" w:rsidP="00A23426">
      <w:pPr>
        <w:spacing w:line="360" w:lineRule="auto"/>
        <w:jc w:val="both"/>
        <w:rPr>
          <w:rFonts w:ascii="Palatino Linotype" w:eastAsia="Palatino Linotype" w:hAnsi="Palatino Linotype" w:cs="Palatino Linotype"/>
          <w:lang w:val="es-MX" w:eastAsia="es-MX"/>
        </w:rPr>
      </w:pPr>
    </w:p>
    <w:p w14:paraId="79A3AE17" w14:textId="77777777" w:rsidR="00A23426" w:rsidRDefault="00A23426" w:rsidP="00A23426">
      <w:pPr>
        <w:spacing w:line="360" w:lineRule="auto"/>
        <w:jc w:val="both"/>
        <w:rPr>
          <w:rFonts w:ascii="Palatino Linotype" w:eastAsia="Palatino Linotype" w:hAnsi="Palatino Linotype" w:cs="Palatino Linotype"/>
          <w:lang w:eastAsia="es-MX"/>
        </w:rPr>
      </w:pPr>
      <w:r w:rsidRPr="00783C7C">
        <w:rPr>
          <w:rFonts w:ascii="Palatino Linotype" w:eastAsia="Palatino Linotype" w:hAnsi="Palatino Linotype" w:cs="Palatino Linotype"/>
          <w:lang w:eastAsia="es-MX"/>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w:t>
      </w:r>
      <w:r w:rsidRPr="00783C7C">
        <w:rPr>
          <w:rFonts w:ascii="Palatino Linotype" w:eastAsia="Palatino Linotype" w:hAnsi="Palatino Linotype" w:cs="Palatino Linotype"/>
          <w:b/>
          <w:lang w:eastAsia="es-MX"/>
        </w:rPr>
        <w:t>expedientes</w:t>
      </w:r>
      <w:r w:rsidRPr="00783C7C">
        <w:rPr>
          <w:rFonts w:ascii="Palatino Linotype" w:eastAsia="Palatino Linotype" w:hAnsi="Palatino Linotype" w:cs="Palatino Linotype"/>
          <w:lang w:eastAsia="es-MX"/>
        </w:rPr>
        <w:t xml:space="preserve">, reportes, estudios, actas, resoluciones, oficios, correspondencia, acuerdos, directivas, directrices, circulares, contratos, convenios, instructivos, notas, memorandos, </w:t>
      </w:r>
      <w:r w:rsidRPr="00783C7C">
        <w:rPr>
          <w:rFonts w:ascii="Palatino Linotype" w:eastAsia="Palatino Linotype" w:hAnsi="Palatino Linotype" w:cs="Palatino Linotype"/>
          <w:b/>
          <w:u w:val="single"/>
          <w:lang w:eastAsia="es-MX"/>
        </w:rPr>
        <w:t>estadísticas</w:t>
      </w:r>
      <w:r w:rsidRPr="00783C7C">
        <w:rPr>
          <w:rFonts w:ascii="Palatino Linotype" w:eastAsia="Palatino Linotype" w:hAnsi="Palatino Linotype" w:cs="Palatino Linotype"/>
          <w:lang w:eastAsia="es-MX"/>
        </w:rPr>
        <w:t xml:space="preserve"> o bien, cualquier otro registro que documente el ejercicio de las facultades, funciones y competencias de los sujetos obligados, sus servidores públicos e integrantes, sin importar su fuente o fecha de elaboración.</w:t>
      </w:r>
    </w:p>
    <w:p w14:paraId="30565A66" w14:textId="77777777" w:rsidR="00767981" w:rsidRDefault="00767981" w:rsidP="00A23426">
      <w:pPr>
        <w:spacing w:line="360" w:lineRule="auto"/>
        <w:jc w:val="both"/>
        <w:rPr>
          <w:rFonts w:ascii="Palatino Linotype" w:eastAsia="Palatino Linotype" w:hAnsi="Palatino Linotype" w:cs="Palatino Linotype"/>
          <w:lang w:eastAsia="es-MX"/>
        </w:rPr>
      </w:pPr>
    </w:p>
    <w:p w14:paraId="6D52A550" w14:textId="53DC847E" w:rsidR="00767981" w:rsidRPr="00783C7C" w:rsidRDefault="00767981" w:rsidP="00767981">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Asimismo, es importante traer a colación el Organigrama del referido </w:t>
      </w:r>
      <w:r w:rsidRPr="00783C7C">
        <w:rPr>
          <w:rFonts w:ascii="Palatino Linotype" w:eastAsia="MS Mincho" w:hAnsi="Palatino Linotype" w:cs="Arial"/>
          <w:b/>
          <w:lang w:eastAsia="en-US"/>
        </w:rPr>
        <w:t>Sujeto Obligado</w:t>
      </w:r>
      <w:r w:rsidRPr="00783C7C">
        <w:rPr>
          <w:rFonts w:ascii="Palatino Linotype" w:eastAsia="MS Mincho" w:hAnsi="Palatino Linotype" w:cs="Arial"/>
          <w:lang w:eastAsia="en-US"/>
        </w:rPr>
        <w:t>, del que se advierte medularmente la existencia del Órgano Interno de Control, como se observa a continuación:</w:t>
      </w:r>
    </w:p>
    <w:p w14:paraId="78764C1B" w14:textId="77777777" w:rsidR="00767981" w:rsidRDefault="00767981" w:rsidP="00A23426">
      <w:pPr>
        <w:spacing w:line="360" w:lineRule="auto"/>
        <w:jc w:val="both"/>
        <w:rPr>
          <w:rFonts w:ascii="Palatino Linotype" w:eastAsia="Palatino Linotype" w:hAnsi="Palatino Linotype" w:cs="Palatino Linotype"/>
          <w:lang w:eastAsia="es-MX"/>
        </w:rPr>
      </w:pPr>
    </w:p>
    <w:p w14:paraId="25F03103" w14:textId="25BE7A14" w:rsidR="00A23426" w:rsidRDefault="00F606C6" w:rsidP="00A23426">
      <w:pPr>
        <w:spacing w:line="360" w:lineRule="auto"/>
        <w:jc w:val="both"/>
        <w:rPr>
          <w:rFonts w:ascii="Palatino Linotype" w:eastAsia="Palatino Linotype" w:hAnsi="Palatino Linotype" w:cs="Palatino Linotype"/>
          <w:lang w:eastAsia="es-MX"/>
        </w:rPr>
      </w:pPr>
      <w:r w:rsidRPr="00F606C6">
        <w:rPr>
          <w:rFonts w:ascii="Palatino Linotype" w:eastAsia="Palatino Linotype" w:hAnsi="Palatino Linotype" w:cs="Palatino Linotype"/>
          <w:noProof/>
          <w:lang w:val="es-MX" w:eastAsia="es-MX"/>
        </w:rPr>
        <w:lastRenderedPageBreak/>
        <w:drawing>
          <wp:inline distT="0" distB="0" distL="0" distR="0" wp14:anchorId="175E0FAF" wp14:editId="61FE0F12">
            <wp:extent cx="5791835" cy="2488565"/>
            <wp:effectExtent l="152400" t="152400" r="361315" b="368935"/>
            <wp:docPr id="10451402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40267" name=""/>
                    <pic:cNvPicPr/>
                  </pic:nvPicPr>
                  <pic:blipFill>
                    <a:blip r:embed="rId9"/>
                    <a:stretch>
                      <a:fillRect/>
                    </a:stretch>
                  </pic:blipFill>
                  <pic:spPr>
                    <a:xfrm>
                      <a:off x="0" y="0"/>
                      <a:ext cx="5791835" cy="2488565"/>
                    </a:xfrm>
                    <a:prstGeom prst="rect">
                      <a:avLst/>
                    </a:prstGeom>
                    <a:ln>
                      <a:noFill/>
                    </a:ln>
                    <a:effectLst>
                      <a:outerShdw blurRad="292100" dist="139700" dir="2700000" algn="tl" rotWithShape="0">
                        <a:srgbClr val="333333">
                          <a:alpha val="65000"/>
                        </a:srgbClr>
                      </a:outerShdw>
                    </a:effectLst>
                  </pic:spPr>
                </pic:pic>
              </a:graphicData>
            </a:graphic>
          </wp:inline>
        </w:drawing>
      </w:r>
    </w:p>
    <w:p w14:paraId="150DB144" w14:textId="77777777" w:rsidR="00A23426" w:rsidRPr="00783C7C" w:rsidRDefault="00A23426" w:rsidP="00A23426">
      <w:pPr>
        <w:spacing w:line="360" w:lineRule="auto"/>
        <w:jc w:val="both"/>
        <w:rPr>
          <w:rFonts w:ascii="Palatino Linotype" w:eastAsia="Palatino Linotype" w:hAnsi="Palatino Linotype" w:cs="Palatino Linotype"/>
          <w:lang w:eastAsia="es-MX"/>
        </w:rPr>
      </w:pPr>
    </w:p>
    <w:p w14:paraId="409770E5" w14:textId="1F8FCF5B" w:rsidR="00F606C6" w:rsidRPr="00783C7C" w:rsidRDefault="00F606C6" w:rsidP="00F606C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En ese orden de ideas, de conformidad con </w:t>
      </w:r>
      <w:r>
        <w:rPr>
          <w:rFonts w:ascii="Palatino Linotype" w:eastAsia="MS Mincho" w:hAnsi="Palatino Linotype" w:cs="Arial"/>
          <w:lang w:eastAsia="en-US"/>
        </w:rPr>
        <w:t>la</w:t>
      </w:r>
      <w:r w:rsidRPr="00783C7C">
        <w:rPr>
          <w:rFonts w:ascii="Palatino Linotype" w:eastAsia="MS Mincho" w:hAnsi="Palatino Linotype" w:cs="Arial"/>
          <w:lang w:eastAsia="en-US"/>
        </w:rPr>
        <w:t xml:space="preserve"> </w:t>
      </w:r>
      <w:r w:rsidRPr="00F606C6">
        <w:rPr>
          <w:rFonts w:ascii="Palatino Linotype" w:eastAsia="MS Mincho" w:hAnsi="Palatino Linotype" w:cs="Arial"/>
          <w:lang w:eastAsia="en-US"/>
        </w:rPr>
        <w:t xml:space="preserve">Ley de la Fiscalía General </w:t>
      </w:r>
      <w:r>
        <w:rPr>
          <w:rFonts w:ascii="Palatino Linotype" w:eastAsia="MS Mincho" w:hAnsi="Palatino Linotype" w:cs="Arial"/>
          <w:lang w:eastAsia="en-US"/>
        </w:rPr>
        <w:t>d</w:t>
      </w:r>
      <w:r w:rsidRPr="00F606C6">
        <w:rPr>
          <w:rFonts w:ascii="Palatino Linotype" w:eastAsia="MS Mincho" w:hAnsi="Palatino Linotype" w:cs="Arial"/>
          <w:lang w:eastAsia="en-US"/>
        </w:rPr>
        <w:t xml:space="preserve">e Justicia </w:t>
      </w:r>
      <w:r>
        <w:rPr>
          <w:rFonts w:ascii="Palatino Linotype" w:eastAsia="MS Mincho" w:hAnsi="Palatino Linotype" w:cs="Arial"/>
          <w:lang w:eastAsia="en-US"/>
        </w:rPr>
        <w:t>d</w:t>
      </w:r>
      <w:r w:rsidRPr="00F606C6">
        <w:rPr>
          <w:rFonts w:ascii="Palatino Linotype" w:eastAsia="MS Mincho" w:hAnsi="Palatino Linotype" w:cs="Arial"/>
          <w:lang w:eastAsia="en-US"/>
        </w:rPr>
        <w:t xml:space="preserve">el Estado </w:t>
      </w:r>
      <w:r>
        <w:rPr>
          <w:rFonts w:ascii="Palatino Linotype" w:eastAsia="MS Mincho" w:hAnsi="Palatino Linotype" w:cs="Arial"/>
          <w:lang w:eastAsia="en-US"/>
        </w:rPr>
        <w:t>d</w:t>
      </w:r>
      <w:r w:rsidRPr="00F606C6">
        <w:rPr>
          <w:rFonts w:ascii="Palatino Linotype" w:eastAsia="MS Mincho" w:hAnsi="Palatino Linotype" w:cs="Arial"/>
          <w:lang w:eastAsia="en-US"/>
        </w:rPr>
        <w:t>e México</w:t>
      </w:r>
      <w:r w:rsidRPr="00783C7C">
        <w:rPr>
          <w:rFonts w:ascii="Palatino Linotype" w:eastAsia="MS Mincho" w:hAnsi="Palatino Linotype" w:cs="Arial"/>
          <w:lang w:eastAsia="en-US"/>
        </w:rPr>
        <w:t>, se encuentra integrado de distintas áreas, de la que en el caso particular resulta necesario señalar la existencia del Órgano Interno de Control, estableciéndose las atribuciones siguientes:</w:t>
      </w:r>
    </w:p>
    <w:p w14:paraId="0CD2CCDF" w14:textId="77777777" w:rsidR="00F606C6" w:rsidRPr="00783C7C" w:rsidRDefault="00F606C6" w:rsidP="00F606C6">
      <w:pPr>
        <w:spacing w:line="360" w:lineRule="auto"/>
        <w:jc w:val="both"/>
        <w:rPr>
          <w:rFonts w:ascii="Palatino Linotype" w:eastAsia="MS Mincho" w:hAnsi="Palatino Linotype" w:cs="Arial"/>
          <w:lang w:eastAsia="en-US"/>
        </w:rPr>
      </w:pPr>
    </w:p>
    <w:p w14:paraId="46DE5A4E" w14:textId="77777777" w:rsidR="00F606C6" w:rsidRDefault="00F606C6" w:rsidP="00F606C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w:t>
      </w:r>
      <w:r w:rsidRPr="00F606C6">
        <w:rPr>
          <w:rFonts w:ascii="Palatino Linotype" w:eastAsia="MS Mincho" w:hAnsi="Palatino Linotype" w:cs="Arial"/>
          <w:b/>
          <w:bCs/>
          <w:i/>
          <w:sz w:val="22"/>
          <w:lang w:eastAsia="en-US"/>
        </w:rPr>
        <w:t>Artículo 49.</w:t>
      </w:r>
      <w:r w:rsidRPr="00F606C6">
        <w:rPr>
          <w:rFonts w:ascii="Palatino Linotype" w:eastAsia="MS Mincho" w:hAnsi="Palatino Linotype" w:cs="Arial"/>
          <w:i/>
          <w:sz w:val="22"/>
          <w:lang w:eastAsia="en-US"/>
        </w:rPr>
        <w:t xml:space="preserve"> Al frente del </w:t>
      </w:r>
      <w:r w:rsidRPr="00EE7713">
        <w:rPr>
          <w:rFonts w:ascii="Palatino Linotype" w:eastAsia="MS Mincho" w:hAnsi="Palatino Linotype" w:cs="Arial"/>
          <w:b/>
          <w:bCs/>
          <w:i/>
          <w:sz w:val="22"/>
          <w:u w:val="single"/>
          <w:lang w:eastAsia="en-US"/>
        </w:rPr>
        <w:t>Órgano Interno de Control de la Fiscalía</w:t>
      </w:r>
      <w:r w:rsidRPr="00F606C6">
        <w:rPr>
          <w:rFonts w:ascii="Palatino Linotype" w:eastAsia="MS Mincho" w:hAnsi="Palatino Linotype" w:cs="Arial"/>
          <w:i/>
          <w:sz w:val="22"/>
          <w:lang w:eastAsia="en-US"/>
        </w:rPr>
        <w:t>, habrá una persona titular, quien desempeñará el cargo por un periodo de cuatro años y podrá ser ratificado por un período inmediato</w:t>
      </w:r>
      <w:r>
        <w:rPr>
          <w:rFonts w:ascii="Palatino Linotype" w:eastAsia="MS Mincho" w:hAnsi="Palatino Linotype" w:cs="Arial"/>
          <w:i/>
          <w:sz w:val="22"/>
          <w:lang w:eastAsia="en-US"/>
        </w:rPr>
        <w:t xml:space="preserve"> </w:t>
      </w:r>
      <w:r w:rsidRPr="00F606C6">
        <w:rPr>
          <w:rFonts w:ascii="Palatino Linotype" w:eastAsia="MS Mincho" w:hAnsi="Palatino Linotype" w:cs="Arial"/>
          <w:i/>
          <w:sz w:val="22"/>
          <w:lang w:eastAsia="en-US"/>
        </w:rPr>
        <w:t xml:space="preserve">más. La designación o ratificación, será hecha por la Legislatura del Estado, dentro de los treinta días hábiles siguientes al término del periodo correspondiente, con el voto de las dos terceras partes de sus miembros presentes y, en tanto la Legislatura designa o ratifica al titular, en dicho plazo, quien se encuentre desempeñando dichas funciones, continuará en el encargo. A la persona titular del Órgano Interno de Control de la Fiscalía, </w:t>
      </w:r>
      <w:r w:rsidRPr="00EE7713">
        <w:rPr>
          <w:rFonts w:ascii="Palatino Linotype" w:eastAsia="MS Mincho" w:hAnsi="Palatino Linotype" w:cs="Arial"/>
          <w:b/>
          <w:bCs/>
          <w:i/>
          <w:sz w:val="22"/>
          <w:u w:val="single"/>
          <w:lang w:eastAsia="en-US"/>
        </w:rPr>
        <w:t>le corresponde el ejercicio de las funciones que le otorga la Constitución Federal, la Constitución del Estado, así como las leyes generales y estatales aplicables, entre éstas</w:t>
      </w:r>
      <w:r w:rsidRPr="00F606C6">
        <w:rPr>
          <w:rFonts w:ascii="Palatino Linotype" w:eastAsia="MS Mincho" w:hAnsi="Palatino Linotype" w:cs="Arial"/>
          <w:i/>
          <w:sz w:val="22"/>
          <w:lang w:eastAsia="en-US"/>
        </w:rPr>
        <w:t>:</w:t>
      </w:r>
    </w:p>
    <w:p w14:paraId="084735A1" w14:textId="77777777" w:rsidR="00F606C6" w:rsidRDefault="00F606C6" w:rsidP="00F606C6">
      <w:pPr>
        <w:ind w:left="567" w:right="567"/>
        <w:jc w:val="both"/>
        <w:rPr>
          <w:rFonts w:ascii="Palatino Linotype" w:eastAsia="MS Mincho" w:hAnsi="Palatino Linotype" w:cs="Arial"/>
          <w:i/>
          <w:sz w:val="22"/>
          <w:lang w:eastAsia="en-US"/>
        </w:rPr>
      </w:pPr>
    </w:p>
    <w:p w14:paraId="180D5274"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I.</w:t>
      </w:r>
      <w:r w:rsidRPr="00F606C6">
        <w:rPr>
          <w:rFonts w:ascii="Palatino Linotype" w:eastAsia="MS Mincho" w:hAnsi="Palatino Linotype" w:cs="Arial"/>
          <w:bCs/>
          <w:i/>
          <w:sz w:val="22"/>
          <w:lang w:eastAsia="en-US"/>
        </w:rPr>
        <w:t xml:space="preserve"> Proponer la instrumentación de acciones de mejora en materia de control y evaluación. </w:t>
      </w:r>
    </w:p>
    <w:p w14:paraId="546E6834"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lastRenderedPageBreak/>
        <w:t>II.</w:t>
      </w:r>
      <w:r w:rsidRPr="00F606C6">
        <w:rPr>
          <w:rFonts w:ascii="Palatino Linotype" w:eastAsia="MS Mincho" w:hAnsi="Palatino Linotype" w:cs="Arial"/>
          <w:bCs/>
          <w:i/>
          <w:sz w:val="22"/>
          <w:lang w:eastAsia="en-US"/>
        </w:rPr>
        <w:t xml:space="preserve"> Difundir entre los servidores públicos de la Fiscalía las disposiciones en materia de control y de responsabilidades, que incidan en el desarrollo de sus labores. </w:t>
      </w:r>
    </w:p>
    <w:p w14:paraId="6A5DB23D"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III.</w:t>
      </w:r>
      <w:r w:rsidRPr="00F606C6">
        <w:rPr>
          <w:rFonts w:ascii="Palatino Linotype" w:eastAsia="MS Mincho" w:hAnsi="Palatino Linotype" w:cs="Arial"/>
          <w:bCs/>
          <w:i/>
          <w:sz w:val="22"/>
          <w:lang w:eastAsia="en-US"/>
        </w:rPr>
        <w:t xml:space="preserve"> Realizar las acciones de control y evaluación a los ingresos, gastos, recursos y obligaciones de la Fiscalía. </w:t>
      </w:r>
    </w:p>
    <w:p w14:paraId="354B4791"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IV.</w:t>
      </w:r>
      <w:r w:rsidRPr="00F606C6">
        <w:rPr>
          <w:rFonts w:ascii="Palatino Linotype" w:eastAsia="MS Mincho" w:hAnsi="Palatino Linotype" w:cs="Arial"/>
          <w:bCs/>
          <w:i/>
          <w:sz w:val="22"/>
          <w:lang w:eastAsia="en-US"/>
        </w:rPr>
        <w:t xml:space="preserve"> Verificar el adecuado ejercicio del presupuesto de la Fiscalía, atendiendo a los principios de racionalidad, austeridad y disciplina presupuestaria que establece la normatividad aplicable. </w:t>
      </w:r>
    </w:p>
    <w:p w14:paraId="7CE35FFC"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V.</w:t>
      </w:r>
      <w:r w:rsidRPr="00F606C6">
        <w:rPr>
          <w:rFonts w:ascii="Palatino Linotype" w:eastAsia="MS Mincho" w:hAnsi="Palatino Linotype" w:cs="Arial"/>
          <w:bCs/>
          <w:i/>
          <w:sz w:val="22"/>
          <w:lang w:eastAsia="en-US"/>
        </w:rPr>
        <w:t xml:space="preserve"> Participar en los procesos de entrega y recepción de las unidades administrativas de la Fiscalía, verificando su apego a la normatividad correspondiente. </w:t>
      </w:r>
    </w:p>
    <w:p w14:paraId="50F313FB"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VI.</w:t>
      </w:r>
      <w:r w:rsidRPr="00F606C6">
        <w:rPr>
          <w:rFonts w:ascii="Palatino Linotype" w:eastAsia="MS Mincho" w:hAnsi="Palatino Linotype" w:cs="Arial"/>
          <w:bCs/>
          <w:i/>
          <w:sz w:val="22"/>
          <w:lang w:eastAsia="en-US"/>
        </w:rPr>
        <w:t xml:space="preserve"> Recibir y turnar a la autoridad competente las quejas y denuncias que se interpongan en contra del personal operativo por el ejercicio de su cargo, así como recibir y tramitar las sugerencias y reconocimientos ciudadanos. </w:t>
      </w:r>
    </w:p>
    <w:p w14:paraId="2C15F088"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VII.</w:t>
      </w:r>
      <w:r w:rsidRPr="00F606C6">
        <w:rPr>
          <w:rFonts w:ascii="Palatino Linotype" w:eastAsia="MS Mincho" w:hAnsi="Palatino Linotype" w:cs="Arial"/>
          <w:bCs/>
          <w:i/>
          <w:sz w:val="22"/>
          <w:lang w:eastAsia="en-US"/>
        </w:rPr>
        <w:t xml:space="preserve"> Verificar la presentación oportuna de las declaraciones patrimonial y de intereses, así como la constancia de presentación de la declaración fiscal de los servidores públicos de la Fiscalía sujetos a esta obligación. </w:t>
      </w:r>
    </w:p>
    <w:p w14:paraId="43E4069A"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VIII.</w:t>
      </w:r>
      <w:r w:rsidRPr="00F606C6">
        <w:rPr>
          <w:rFonts w:ascii="Palatino Linotype" w:eastAsia="MS Mincho" w:hAnsi="Palatino Linotype" w:cs="Arial"/>
          <w:bCs/>
          <w:i/>
          <w:sz w:val="22"/>
          <w:lang w:eastAsia="en-US"/>
        </w:rPr>
        <w:t xml:space="preserve"> Realizar las acciones de control y evaluación, a fin de constatar que se observen las disposiciones jurídicas aplicables en el ejercicio de los recursos federales. </w:t>
      </w:r>
    </w:p>
    <w:p w14:paraId="6DE253EC"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IX.</w:t>
      </w:r>
      <w:r w:rsidRPr="00F606C6">
        <w:rPr>
          <w:rFonts w:ascii="Palatino Linotype" w:eastAsia="MS Mincho" w:hAnsi="Palatino Linotype" w:cs="Arial"/>
          <w:bCs/>
          <w:i/>
          <w:sz w:val="22"/>
          <w:lang w:eastAsia="en-US"/>
        </w:rPr>
        <w:t xml:space="preserve"> Vigilar que la Fiscalía cumpla con las disposiciones jurídicas aplicables en sus diferentes ámbitos. </w:t>
      </w:r>
    </w:p>
    <w:p w14:paraId="700450FA"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X.</w:t>
      </w:r>
      <w:r w:rsidRPr="00F606C6">
        <w:rPr>
          <w:rFonts w:ascii="Palatino Linotype" w:eastAsia="MS Mincho" w:hAnsi="Palatino Linotype" w:cs="Arial"/>
          <w:bCs/>
          <w:i/>
          <w:sz w:val="22"/>
          <w:lang w:eastAsia="en-US"/>
        </w:rPr>
        <w:t xml:space="preserve"> Dar vista a la autoridad competente de los hechos que tenga conocimiento que puedan ser constitutivos de delito. </w:t>
      </w:r>
    </w:p>
    <w:p w14:paraId="485B12B9"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XI.</w:t>
      </w:r>
      <w:r w:rsidRPr="00F606C6">
        <w:rPr>
          <w:rFonts w:ascii="Palatino Linotype" w:eastAsia="MS Mincho" w:hAnsi="Palatino Linotype" w:cs="Arial"/>
          <w:bCs/>
          <w:i/>
          <w:sz w:val="22"/>
          <w:lang w:eastAsia="en-US"/>
        </w:rPr>
        <w:t xml:space="preserve"> Mantener informado al Fiscal General sobre el cumplimiento de su ámbito competencial. </w:t>
      </w:r>
    </w:p>
    <w:p w14:paraId="785DA78C"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XII.</w:t>
      </w:r>
      <w:r w:rsidRPr="00F606C6">
        <w:rPr>
          <w:rFonts w:ascii="Palatino Linotype" w:eastAsia="MS Mincho" w:hAnsi="Palatino Linotype" w:cs="Arial"/>
          <w:bCs/>
          <w:i/>
          <w:sz w:val="22"/>
          <w:lang w:eastAsia="en-US"/>
        </w:rPr>
        <w:t xml:space="preserve"> </w:t>
      </w:r>
      <w:r w:rsidRPr="00F606C6">
        <w:rPr>
          <w:rFonts w:ascii="Palatino Linotype" w:eastAsia="MS Mincho" w:hAnsi="Palatino Linotype" w:cs="Arial"/>
          <w:b/>
          <w:i/>
          <w:sz w:val="22"/>
          <w:u w:val="single"/>
          <w:lang w:eastAsia="en-US"/>
        </w:rPr>
        <w:t>Investigar, substanciar y resolver los procedimientos de responsabilidad administrativa, salvo cuando sea competencia del sistema disciplinario previsto en esta Ley, e imponer sanciones o solicitar su imposición a las autoridades competentes, de conformidad con lo que dispongan las leyes en materia de responsabilidades administrativas y en su caso, ejecutar las sanciones administrativas de su competencia.</w:t>
      </w:r>
      <w:r w:rsidRPr="00F606C6">
        <w:rPr>
          <w:rFonts w:ascii="Palatino Linotype" w:eastAsia="MS Mincho" w:hAnsi="Palatino Linotype" w:cs="Arial"/>
          <w:bCs/>
          <w:i/>
          <w:sz w:val="22"/>
          <w:lang w:eastAsia="en-US"/>
        </w:rPr>
        <w:t xml:space="preserve"> </w:t>
      </w:r>
    </w:p>
    <w:p w14:paraId="1E1AE3FD" w14:textId="68EA1CBF" w:rsidR="00F606C6" w:rsidRPr="00F606C6" w:rsidRDefault="00F606C6" w:rsidP="00EE7713">
      <w:pPr>
        <w:spacing w:after="240"/>
        <w:ind w:left="567" w:right="567"/>
        <w:jc w:val="both"/>
        <w:rPr>
          <w:rFonts w:ascii="Palatino Linotype" w:eastAsia="MS Mincho" w:hAnsi="Palatino Linotype" w:cs="Arial"/>
          <w:b/>
          <w:i/>
          <w:sz w:val="22"/>
          <w:u w:val="single"/>
          <w:lang w:eastAsia="en-US"/>
        </w:rPr>
      </w:pPr>
      <w:r w:rsidRPr="00EE7713">
        <w:rPr>
          <w:rFonts w:ascii="Palatino Linotype" w:eastAsia="MS Mincho" w:hAnsi="Palatino Linotype" w:cs="Arial"/>
          <w:b/>
          <w:i/>
          <w:sz w:val="22"/>
          <w:lang w:eastAsia="en-US"/>
        </w:rPr>
        <w:t>XIII.</w:t>
      </w:r>
      <w:r w:rsidRPr="00F606C6">
        <w:rPr>
          <w:rFonts w:ascii="Palatino Linotype" w:eastAsia="MS Mincho" w:hAnsi="Palatino Linotype" w:cs="Arial"/>
          <w:bCs/>
          <w:i/>
          <w:sz w:val="22"/>
          <w:lang w:eastAsia="en-US"/>
        </w:rPr>
        <w:t xml:space="preserve"> </w:t>
      </w:r>
      <w:r w:rsidRPr="00F606C6">
        <w:rPr>
          <w:rFonts w:ascii="Palatino Linotype" w:eastAsia="MS Mincho" w:hAnsi="Palatino Linotype" w:cs="Arial"/>
          <w:b/>
          <w:i/>
          <w:sz w:val="22"/>
          <w:u w:val="single"/>
          <w:lang w:eastAsia="en-US"/>
        </w:rPr>
        <w:t xml:space="preserve">Conocer de los actos de corrupción atribuibles a los servidores públicos, cometidos en beneficio propio o de terceros, caso en el cual no será competente ni la Comisión de Honor y Justicia ni el Consejo de Profesionalización que conforman </w:t>
      </w:r>
      <w:r w:rsidRPr="00F606C6">
        <w:rPr>
          <w:rFonts w:ascii="Palatino Linotype" w:eastAsia="MS Mincho" w:hAnsi="Palatino Linotype" w:cs="Arial"/>
          <w:b/>
          <w:i/>
          <w:sz w:val="22"/>
          <w:u w:val="single"/>
          <w:lang w:eastAsia="en-US"/>
        </w:rPr>
        <w:lastRenderedPageBreak/>
        <w:t>el sistema disciplinario previsto en esta Ley, pero sí aplicarán las disposiciones de la Ley de Seguridad del Estado de México, la Ley de Responsabilidades Administrativas del Estado de México y Municipios, y la presente Ley en lo conducente.</w:t>
      </w:r>
    </w:p>
    <w:p w14:paraId="02430762" w14:textId="77777777" w:rsidR="00F606C6" w:rsidRPr="00F606C6" w:rsidRDefault="00F606C6" w:rsidP="00EE7713">
      <w:pPr>
        <w:spacing w:after="240"/>
        <w:ind w:left="567" w:right="567"/>
        <w:jc w:val="both"/>
        <w:rPr>
          <w:rFonts w:ascii="Palatino Linotype" w:eastAsia="MS Mincho" w:hAnsi="Palatino Linotype" w:cs="Arial"/>
          <w:b/>
          <w:i/>
          <w:sz w:val="22"/>
          <w:u w:val="single"/>
          <w:lang w:eastAsia="en-US"/>
        </w:rPr>
      </w:pPr>
      <w:r w:rsidRPr="00EE7713">
        <w:rPr>
          <w:rFonts w:ascii="Palatino Linotype" w:eastAsia="MS Mincho" w:hAnsi="Palatino Linotype" w:cs="Arial"/>
          <w:b/>
          <w:i/>
          <w:sz w:val="22"/>
          <w:lang w:eastAsia="en-US"/>
        </w:rPr>
        <w:t>XIV.</w:t>
      </w:r>
      <w:r w:rsidRPr="00F606C6">
        <w:rPr>
          <w:rFonts w:ascii="Palatino Linotype" w:eastAsia="MS Mincho" w:hAnsi="Palatino Linotype" w:cs="Arial"/>
          <w:bCs/>
          <w:i/>
          <w:sz w:val="22"/>
          <w:lang w:eastAsia="en-US"/>
        </w:rPr>
        <w:t xml:space="preserve"> </w:t>
      </w:r>
      <w:r w:rsidRPr="00F606C6">
        <w:rPr>
          <w:rFonts w:ascii="Palatino Linotype" w:eastAsia="MS Mincho" w:hAnsi="Palatino Linotype" w:cs="Arial"/>
          <w:b/>
          <w:i/>
          <w:sz w:val="22"/>
          <w:u w:val="single"/>
          <w:lang w:eastAsia="en-US"/>
        </w:rPr>
        <w:t xml:space="preserve">Conocer de los asuntos en donde exista concurso de conductas del servidor público, y algunas sean competencia del Órgano Interno de Control, y otras sean del sistema disciplinario de esta Ley, a efecto de no dividir la continencia de la causa y emitir una sola resolución con motivo de dicho concurso. </w:t>
      </w:r>
    </w:p>
    <w:p w14:paraId="007D6713"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XV.</w:t>
      </w:r>
      <w:r w:rsidRPr="00F606C6">
        <w:rPr>
          <w:rFonts w:ascii="Palatino Linotype" w:eastAsia="MS Mincho" w:hAnsi="Palatino Linotype" w:cs="Arial"/>
          <w:bCs/>
          <w:i/>
          <w:sz w:val="22"/>
          <w:lang w:eastAsia="en-US"/>
        </w:rPr>
        <w:t xml:space="preserve"> Declinar competencia hacia la </w:t>
      </w:r>
      <w:proofErr w:type="spellStart"/>
      <w:r w:rsidRPr="00F606C6">
        <w:rPr>
          <w:rFonts w:ascii="Palatino Linotype" w:eastAsia="MS Mincho" w:hAnsi="Palatino Linotype" w:cs="Arial"/>
          <w:bCs/>
          <w:i/>
          <w:sz w:val="22"/>
          <w:lang w:eastAsia="en-US"/>
        </w:rPr>
        <w:t>Visitaduría</w:t>
      </w:r>
      <w:proofErr w:type="spellEnd"/>
      <w:r w:rsidRPr="00F606C6">
        <w:rPr>
          <w:rFonts w:ascii="Palatino Linotype" w:eastAsia="MS Mincho" w:hAnsi="Palatino Linotype" w:cs="Arial"/>
          <w:bCs/>
          <w:i/>
          <w:sz w:val="22"/>
          <w:lang w:eastAsia="en-US"/>
        </w:rPr>
        <w:t xml:space="preserve"> General en los casos en que resulte incompetente el Órgano Interno de Control, cuando exista conflicto de interés en su actuación, o cuando se trate de servidores públicos de dicho Órgano.</w:t>
      </w:r>
    </w:p>
    <w:p w14:paraId="0D49AA17" w14:textId="77777777" w:rsidR="00F606C6" w:rsidRPr="00F606C6" w:rsidRDefault="00F606C6" w:rsidP="00EE7713">
      <w:pPr>
        <w:spacing w:after="240"/>
        <w:ind w:left="567" w:right="567"/>
        <w:jc w:val="both"/>
        <w:rPr>
          <w:rFonts w:ascii="Palatino Linotype" w:eastAsia="MS Mincho" w:hAnsi="Palatino Linotype" w:cs="Arial"/>
          <w:b/>
          <w:i/>
          <w:sz w:val="22"/>
          <w:u w:val="single"/>
          <w:lang w:eastAsia="en-US"/>
        </w:rPr>
      </w:pPr>
      <w:r w:rsidRPr="00F606C6">
        <w:rPr>
          <w:rFonts w:ascii="Palatino Linotype" w:eastAsia="MS Mincho" w:hAnsi="Palatino Linotype" w:cs="Arial"/>
          <w:bCs/>
          <w:i/>
          <w:sz w:val="22"/>
          <w:lang w:eastAsia="en-US"/>
        </w:rPr>
        <w:t xml:space="preserve"> </w:t>
      </w:r>
      <w:r w:rsidRPr="00EE7713">
        <w:rPr>
          <w:rFonts w:ascii="Palatino Linotype" w:eastAsia="MS Mincho" w:hAnsi="Palatino Linotype" w:cs="Arial"/>
          <w:b/>
          <w:i/>
          <w:sz w:val="22"/>
          <w:lang w:eastAsia="en-US"/>
        </w:rPr>
        <w:t>XVI.</w:t>
      </w:r>
      <w:r w:rsidRPr="00F606C6">
        <w:rPr>
          <w:rFonts w:ascii="Palatino Linotype" w:eastAsia="MS Mincho" w:hAnsi="Palatino Linotype" w:cs="Arial"/>
          <w:bCs/>
          <w:i/>
          <w:sz w:val="22"/>
          <w:lang w:eastAsia="en-US"/>
        </w:rPr>
        <w:t xml:space="preserve"> </w:t>
      </w:r>
      <w:r w:rsidRPr="00F606C6">
        <w:rPr>
          <w:rFonts w:ascii="Palatino Linotype" w:eastAsia="MS Mincho" w:hAnsi="Palatino Linotype" w:cs="Arial"/>
          <w:b/>
          <w:i/>
          <w:sz w:val="22"/>
          <w:u w:val="single"/>
          <w:lang w:eastAsia="en-US"/>
        </w:rPr>
        <w:t xml:space="preserve">Conocer, tramitar y resolver los recursos administrativos que le correspondan, de acuerdo con las disposiciones jurídicas aplicables. </w:t>
      </w:r>
    </w:p>
    <w:p w14:paraId="7D22C513"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XVII.</w:t>
      </w:r>
      <w:r w:rsidRPr="00F606C6">
        <w:rPr>
          <w:rFonts w:ascii="Palatino Linotype" w:eastAsia="MS Mincho" w:hAnsi="Palatino Linotype" w:cs="Arial"/>
          <w:bCs/>
          <w:i/>
          <w:sz w:val="22"/>
          <w:lang w:eastAsia="en-US"/>
        </w:rPr>
        <w:t xml:space="preserve"> Vigilar que las actividades de las unidades administrativas de la Fiscalía, cumplan con las políticas, normas, lineamientos, procedimientos y demás disposiciones jurídicas aplicables en el ámbito de su competencia. </w:t>
      </w:r>
    </w:p>
    <w:p w14:paraId="2E005F6D" w14:textId="77777777"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XVIII.</w:t>
      </w:r>
      <w:r w:rsidRPr="00F606C6">
        <w:rPr>
          <w:rFonts w:ascii="Palatino Linotype" w:eastAsia="MS Mincho" w:hAnsi="Palatino Linotype" w:cs="Arial"/>
          <w:bCs/>
          <w:i/>
          <w:sz w:val="22"/>
          <w:lang w:eastAsia="en-US"/>
        </w:rPr>
        <w:t xml:space="preserve"> Verificar el adecuado ejercicio del presupuesto de la dependencia u organismo auxiliar de su adscripción, atendiendo a los principios de racionalidad, austeridad y disciplina presupuestaria que establece la normatividad aplicable. </w:t>
      </w:r>
    </w:p>
    <w:p w14:paraId="0C5F040C" w14:textId="77777777" w:rsidR="00F606C6" w:rsidRPr="00EE7713"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XIX.</w:t>
      </w:r>
      <w:r w:rsidRPr="00F606C6">
        <w:rPr>
          <w:rFonts w:ascii="Palatino Linotype" w:eastAsia="MS Mincho" w:hAnsi="Palatino Linotype" w:cs="Arial"/>
          <w:bCs/>
          <w:i/>
          <w:sz w:val="22"/>
          <w:lang w:eastAsia="en-US"/>
        </w:rPr>
        <w:t xml:space="preserve"> </w:t>
      </w:r>
      <w:r w:rsidRPr="00F606C6">
        <w:rPr>
          <w:rFonts w:ascii="Palatino Linotype" w:eastAsia="MS Mincho" w:hAnsi="Palatino Linotype" w:cs="Arial"/>
          <w:b/>
          <w:i/>
          <w:sz w:val="22"/>
          <w:u w:val="single"/>
          <w:lang w:eastAsia="en-US"/>
        </w:rPr>
        <w:t xml:space="preserve">Informar al Titular de la Fiscalía Especializada en Combate a la Corrupción sobre los resultados obtenidos en la materia, dentro del ámbito de su competencia. </w:t>
      </w:r>
      <w:proofErr w:type="gramStart"/>
      <w:r w:rsidRPr="00EE7713">
        <w:rPr>
          <w:rFonts w:ascii="Palatino Linotype" w:eastAsia="MS Mincho" w:hAnsi="Palatino Linotype" w:cs="Arial"/>
          <w:bCs/>
          <w:i/>
          <w:sz w:val="22"/>
          <w:lang w:eastAsia="en-US"/>
        </w:rPr>
        <w:t>y</w:t>
      </w:r>
      <w:proofErr w:type="gramEnd"/>
      <w:r w:rsidRPr="00EE7713">
        <w:rPr>
          <w:rFonts w:ascii="Palatino Linotype" w:eastAsia="MS Mincho" w:hAnsi="Palatino Linotype" w:cs="Arial"/>
          <w:bCs/>
          <w:i/>
          <w:sz w:val="22"/>
          <w:lang w:eastAsia="en-US"/>
        </w:rPr>
        <w:t xml:space="preserve"> </w:t>
      </w:r>
    </w:p>
    <w:p w14:paraId="70B25EC3" w14:textId="43AF12BE" w:rsidR="00F606C6" w:rsidRDefault="00F606C6" w:rsidP="00EE7713">
      <w:pPr>
        <w:spacing w:after="240"/>
        <w:ind w:left="567" w:right="567"/>
        <w:jc w:val="both"/>
        <w:rPr>
          <w:rFonts w:ascii="Palatino Linotype" w:eastAsia="MS Mincho" w:hAnsi="Palatino Linotype" w:cs="Arial"/>
          <w:bCs/>
          <w:i/>
          <w:sz w:val="22"/>
          <w:lang w:eastAsia="en-US"/>
        </w:rPr>
      </w:pPr>
      <w:r w:rsidRPr="00EE7713">
        <w:rPr>
          <w:rFonts w:ascii="Palatino Linotype" w:eastAsia="MS Mincho" w:hAnsi="Palatino Linotype" w:cs="Arial"/>
          <w:b/>
          <w:i/>
          <w:sz w:val="22"/>
          <w:lang w:eastAsia="en-US"/>
        </w:rPr>
        <w:t>XX.</w:t>
      </w:r>
      <w:r w:rsidRPr="00F606C6">
        <w:rPr>
          <w:rFonts w:ascii="Palatino Linotype" w:eastAsia="MS Mincho" w:hAnsi="Palatino Linotype" w:cs="Arial"/>
          <w:bCs/>
          <w:i/>
          <w:sz w:val="22"/>
          <w:lang w:eastAsia="en-US"/>
        </w:rPr>
        <w:t xml:space="preserve"> Las demás que le confieran otras disposiciones jurídicas aplicables. </w:t>
      </w:r>
    </w:p>
    <w:p w14:paraId="08E8B65E" w14:textId="77777777" w:rsidR="00F606C6" w:rsidRDefault="00F606C6" w:rsidP="00F606C6">
      <w:pPr>
        <w:ind w:left="567" w:right="567"/>
        <w:jc w:val="both"/>
        <w:rPr>
          <w:rFonts w:ascii="Palatino Linotype" w:eastAsia="MS Mincho" w:hAnsi="Palatino Linotype" w:cs="Arial"/>
          <w:bCs/>
          <w:i/>
          <w:sz w:val="22"/>
          <w:lang w:eastAsia="en-US"/>
        </w:rPr>
      </w:pPr>
      <w:r w:rsidRPr="00F606C6">
        <w:rPr>
          <w:rFonts w:ascii="Palatino Linotype" w:eastAsia="MS Mincho" w:hAnsi="Palatino Linotype" w:cs="Arial"/>
          <w:bCs/>
          <w:i/>
          <w:sz w:val="22"/>
          <w:lang w:eastAsia="en-US"/>
        </w:rPr>
        <w:t xml:space="preserve">Las responsabilidades administrativas en que incurran los servidores públicos del órgano interno de control de la Fiscalía, serán investigadas por la </w:t>
      </w:r>
      <w:proofErr w:type="spellStart"/>
      <w:r w:rsidRPr="00F606C6">
        <w:rPr>
          <w:rFonts w:ascii="Palatino Linotype" w:eastAsia="MS Mincho" w:hAnsi="Palatino Linotype" w:cs="Arial"/>
          <w:bCs/>
          <w:i/>
          <w:sz w:val="22"/>
          <w:lang w:eastAsia="en-US"/>
        </w:rPr>
        <w:t>Visitaduría</w:t>
      </w:r>
      <w:proofErr w:type="spellEnd"/>
      <w:r w:rsidRPr="00F606C6">
        <w:rPr>
          <w:rFonts w:ascii="Palatino Linotype" w:eastAsia="MS Mincho" w:hAnsi="Palatino Linotype" w:cs="Arial"/>
          <w:bCs/>
          <w:i/>
          <w:sz w:val="22"/>
          <w:lang w:eastAsia="en-US"/>
        </w:rPr>
        <w:t xml:space="preserve"> General y substanciadas y sancionadas por el Fiscal General, por conducto de la unidad jurídica, siempre y cuando éstas no sean competencia del Tribunal de Justicia Administrativa del Estado de México. </w:t>
      </w:r>
    </w:p>
    <w:p w14:paraId="0620C769" w14:textId="77777777" w:rsidR="00F606C6" w:rsidRDefault="00F606C6" w:rsidP="00F606C6">
      <w:pPr>
        <w:ind w:left="567" w:right="567"/>
        <w:jc w:val="both"/>
        <w:rPr>
          <w:rFonts w:ascii="Palatino Linotype" w:eastAsia="MS Mincho" w:hAnsi="Palatino Linotype" w:cs="Arial"/>
          <w:bCs/>
          <w:i/>
          <w:sz w:val="22"/>
          <w:lang w:eastAsia="en-US"/>
        </w:rPr>
      </w:pPr>
    </w:p>
    <w:p w14:paraId="3ED6D621" w14:textId="62A8F08A" w:rsidR="00F606C6" w:rsidRPr="00783C7C" w:rsidRDefault="00F606C6" w:rsidP="00F606C6">
      <w:pPr>
        <w:ind w:left="567" w:right="567"/>
        <w:jc w:val="both"/>
        <w:rPr>
          <w:rFonts w:ascii="Palatino Linotype" w:eastAsia="MS Mincho" w:hAnsi="Palatino Linotype" w:cs="Arial"/>
          <w:i/>
          <w:sz w:val="22"/>
          <w:lang w:val="es-MX" w:eastAsia="en-US"/>
        </w:rPr>
      </w:pPr>
      <w:r w:rsidRPr="00F606C6">
        <w:rPr>
          <w:rFonts w:ascii="Palatino Linotype" w:eastAsia="MS Mincho" w:hAnsi="Palatino Linotype" w:cs="Arial"/>
          <w:bCs/>
          <w:i/>
          <w:sz w:val="22"/>
          <w:lang w:eastAsia="en-US"/>
        </w:rPr>
        <w:t xml:space="preserve">Cuando la denuncia sea contra servidores de la </w:t>
      </w:r>
      <w:proofErr w:type="spellStart"/>
      <w:r w:rsidRPr="00F606C6">
        <w:rPr>
          <w:rFonts w:ascii="Palatino Linotype" w:eastAsia="MS Mincho" w:hAnsi="Palatino Linotype" w:cs="Arial"/>
          <w:bCs/>
          <w:i/>
          <w:sz w:val="22"/>
          <w:lang w:eastAsia="en-US"/>
        </w:rPr>
        <w:t>Visitaduría</w:t>
      </w:r>
      <w:proofErr w:type="spellEnd"/>
      <w:r w:rsidRPr="00F606C6">
        <w:rPr>
          <w:rFonts w:ascii="Palatino Linotype" w:eastAsia="MS Mincho" w:hAnsi="Palatino Linotype" w:cs="Arial"/>
          <w:bCs/>
          <w:i/>
          <w:sz w:val="22"/>
          <w:lang w:eastAsia="en-US"/>
        </w:rPr>
        <w:t xml:space="preserve"> General, la investigación estará a cargo del órgano interno de control.</w:t>
      </w:r>
      <w:r w:rsidRPr="00F606C6">
        <w:rPr>
          <w:rFonts w:ascii="Palatino Linotype" w:eastAsia="MS Mincho" w:hAnsi="Palatino Linotype" w:cs="Arial"/>
          <w:bCs/>
          <w:i/>
          <w:sz w:val="22"/>
          <w:lang w:val="es-MX" w:eastAsia="en-US"/>
        </w:rPr>
        <w:t>”</w:t>
      </w:r>
    </w:p>
    <w:p w14:paraId="03FEA947" w14:textId="77777777" w:rsidR="00A23426" w:rsidRPr="00F606C6" w:rsidRDefault="00A23426" w:rsidP="00A23426">
      <w:pPr>
        <w:spacing w:line="360" w:lineRule="auto"/>
        <w:jc w:val="both"/>
        <w:rPr>
          <w:rFonts w:ascii="Palatino Linotype" w:eastAsia="MS Mincho" w:hAnsi="Palatino Linotype" w:cs="Arial"/>
          <w:lang w:val="es-MX" w:eastAsia="en-US"/>
        </w:rPr>
      </w:pPr>
    </w:p>
    <w:p w14:paraId="1748F954" w14:textId="77777777" w:rsidR="00F606C6" w:rsidRPr="00783C7C" w:rsidRDefault="00F606C6" w:rsidP="00F606C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lastRenderedPageBreak/>
        <w:t xml:space="preserve">Atribuciones citadas, con las cuales podemos concluir que el Órgano Interno de Control del </w:t>
      </w:r>
      <w:r w:rsidRPr="00783C7C">
        <w:rPr>
          <w:rFonts w:ascii="Palatino Linotype" w:eastAsia="MS Mincho" w:hAnsi="Palatino Linotype" w:cs="Arial"/>
          <w:b/>
          <w:lang w:eastAsia="en-US"/>
        </w:rPr>
        <w:t>Sujeto Obligado</w:t>
      </w:r>
      <w:r w:rsidRPr="00783C7C">
        <w:rPr>
          <w:rFonts w:ascii="Palatino Linotype" w:eastAsia="MS Mincho" w:hAnsi="Palatino Linotype" w:cs="Arial"/>
          <w:lang w:eastAsia="en-US"/>
        </w:rPr>
        <w:t>, se encarga de investigar y calificar las faltas administrativas que detecte, la sustanciación y resolución de los procedimientos por cuestiones de faltas administrativas no graves; el inicio y substanciación de los procedimientos por cuestiones de faltas graves y posterior envió del expediente original al Tribunal de Justicia Administrativa del Estado de México, para su resolución.</w:t>
      </w:r>
    </w:p>
    <w:p w14:paraId="6591CF53" w14:textId="77777777" w:rsidR="00F606C6" w:rsidRPr="00783C7C" w:rsidRDefault="00F606C6" w:rsidP="00F606C6">
      <w:pPr>
        <w:spacing w:line="360" w:lineRule="auto"/>
        <w:jc w:val="both"/>
        <w:rPr>
          <w:rFonts w:ascii="Palatino Linotype" w:eastAsia="MS Mincho" w:hAnsi="Palatino Linotype" w:cs="Arial"/>
          <w:lang w:eastAsia="en-US"/>
        </w:rPr>
      </w:pPr>
    </w:p>
    <w:p w14:paraId="25CB8BC1" w14:textId="77777777" w:rsidR="00F606C6" w:rsidRDefault="00F606C6" w:rsidP="00F606C6">
      <w:pPr>
        <w:spacing w:line="360" w:lineRule="auto"/>
        <w:jc w:val="both"/>
        <w:rPr>
          <w:rFonts w:ascii="Palatino Linotype" w:eastAsia="MS Mincho" w:hAnsi="Palatino Linotype" w:cs="Arial"/>
          <w:lang w:val="es-MX" w:eastAsia="en-US"/>
        </w:rPr>
      </w:pPr>
      <w:r w:rsidRPr="00783C7C">
        <w:rPr>
          <w:rFonts w:ascii="Palatino Linotype" w:eastAsia="MS Mincho" w:hAnsi="Palatino Linotype" w:cs="Arial"/>
          <w:lang w:eastAsia="en-US"/>
        </w:rPr>
        <w:t xml:space="preserve">Ahora bien, </w:t>
      </w:r>
      <w:r w:rsidRPr="00783C7C">
        <w:rPr>
          <w:rFonts w:ascii="Palatino Linotype" w:eastAsia="MS Mincho" w:hAnsi="Palatino Linotype" w:cs="Arial"/>
          <w:lang w:val="es-MX" w:eastAsia="en-US"/>
        </w:rPr>
        <w:t xml:space="preserve">los Órganos Internos de Control son las áreas que </w:t>
      </w:r>
      <w:r w:rsidRPr="00783C7C">
        <w:rPr>
          <w:rFonts w:ascii="Palatino Linotype" w:eastAsia="MS Mincho" w:hAnsi="Palatino Linotype" w:cs="Arial"/>
          <w:b/>
          <w:lang w:val="es-MX" w:eastAsia="en-US"/>
        </w:rPr>
        <w:t>forman parte de la estructura orgánica dentro de las dependencias en las que se encuentran adscritos</w:t>
      </w:r>
      <w:r w:rsidRPr="00783C7C">
        <w:rPr>
          <w:rFonts w:ascii="Palatino Linotype" w:eastAsia="MS Mincho" w:hAnsi="Palatino Linotype" w:cs="Arial"/>
          <w:lang w:val="es-MX" w:eastAsia="en-US"/>
        </w:rPr>
        <w:t xml:space="preserve">, ejercen sus funciones y atribuciones respecto a las dependencias u organismo a los que pertenecen, por ello, el artículo, 3, fracción II, de la Ley de Transparencia y Acceso a la Información Pública del Estado de México y Municipio, claramente señala que por Área se entiende a las Instancias que cuentan o puedan contar con la información y tratándose del sector público, serán aquellas que estén previstas en el reglamento interior, estatuto orgánico respectivo o equivalentes, por lo que se puede evidenciar que el presente asunto el hoy </w:t>
      </w:r>
      <w:r w:rsidRPr="00783C7C">
        <w:rPr>
          <w:rFonts w:ascii="Palatino Linotype" w:eastAsia="MS Mincho" w:hAnsi="Palatino Linotype" w:cs="Arial"/>
          <w:b/>
          <w:lang w:val="es-MX" w:eastAsia="en-US"/>
        </w:rPr>
        <w:t>Recurrente</w:t>
      </w:r>
      <w:r w:rsidRPr="00783C7C">
        <w:rPr>
          <w:rFonts w:ascii="Palatino Linotype" w:eastAsia="MS Mincho" w:hAnsi="Palatino Linotype" w:cs="Arial"/>
          <w:lang w:val="es-MX" w:eastAsia="en-US"/>
        </w:rPr>
        <w:t xml:space="preserve"> realizó solicitud respecto a información deriva de las funciones o atribuciones del Órgano Interno de Control, que forma parte de las áreas del </w:t>
      </w:r>
      <w:r w:rsidRPr="00783C7C">
        <w:rPr>
          <w:rFonts w:ascii="Palatino Linotype" w:eastAsia="MS Mincho" w:hAnsi="Palatino Linotype" w:cs="Arial"/>
          <w:b/>
          <w:lang w:val="es-MX" w:eastAsia="en-US"/>
        </w:rPr>
        <w:t>Sujeto Obligado</w:t>
      </w:r>
      <w:r w:rsidRPr="00783C7C">
        <w:rPr>
          <w:rFonts w:ascii="Palatino Linotype" w:eastAsia="MS Mincho" w:hAnsi="Palatino Linotype" w:cs="Arial"/>
          <w:lang w:val="es-MX" w:eastAsia="en-US"/>
        </w:rPr>
        <w:t xml:space="preserve"> como quedo acreditado con el organigrama y manual general de organización que se citaron previamente. </w:t>
      </w:r>
    </w:p>
    <w:p w14:paraId="56F1F99F" w14:textId="77777777" w:rsidR="00EE7713" w:rsidRDefault="00EE7713" w:rsidP="00F606C6">
      <w:pPr>
        <w:spacing w:line="360" w:lineRule="auto"/>
        <w:jc w:val="both"/>
        <w:rPr>
          <w:rFonts w:ascii="Palatino Linotype" w:eastAsia="MS Mincho" w:hAnsi="Palatino Linotype" w:cs="Arial"/>
          <w:lang w:val="es-MX" w:eastAsia="en-US"/>
        </w:rPr>
      </w:pPr>
    </w:p>
    <w:p w14:paraId="7EF2DE28" w14:textId="1F0816EE" w:rsidR="00EE7713" w:rsidRPr="00783C7C" w:rsidRDefault="00EE7713" w:rsidP="00EE7713">
      <w:pPr>
        <w:spacing w:line="360" w:lineRule="auto"/>
        <w:jc w:val="both"/>
        <w:rPr>
          <w:rFonts w:ascii="Palatino Linotype" w:eastAsia="MS Mincho" w:hAnsi="Palatino Linotype" w:cs="Arial"/>
          <w:lang w:val="es-MX" w:eastAsia="en-US"/>
        </w:rPr>
      </w:pPr>
      <w:r w:rsidRPr="00783C7C">
        <w:rPr>
          <w:rFonts w:ascii="Palatino Linotype" w:eastAsia="MS Mincho" w:hAnsi="Palatino Linotype" w:cs="Arial"/>
          <w:lang w:val="es-MX" w:eastAsia="en-US"/>
        </w:rPr>
        <w:t xml:space="preserve">En tal contexto, se llega a la conclusión que en el caso particular sin duda el </w:t>
      </w:r>
      <w:r w:rsidRPr="00EE7713">
        <w:rPr>
          <w:rFonts w:ascii="Palatino Linotype" w:eastAsia="MS Mincho" w:hAnsi="Palatino Linotype" w:cs="Arial"/>
          <w:b/>
          <w:bCs/>
          <w:lang w:val="es-MX" w:eastAsia="en-US"/>
        </w:rPr>
        <w:t>Órgano Interno de Control de la Fiscalía General de Justicia del Estado de México</w:t>
      </w:r>
      <w:r w:rsidRPr="00783C7C">
        <w:rPr>
          <w:rFonts w:ascii="Palatino Linotype" w:eastAsia="MS Mincho" w:hAnsi="Palatino Linotype" w:cs="Arial"/>
          <w:lang w:val="es-MX" w:eastAsia="en-US"/>
        </w:rPr>
        <w:t xml:space="preserve">, es el área competente del </w:t>
      </w:r>
      <w:r w:rsidRPr="00783C7C">
        <w:rPr>
          <w:rFonts w:ascii="Palatino Linotype" w:eastAsia="MS Mincho" w:hAnsi="Palatino Linotype" w:cs="Arial"/>
          <w:b/>
          <w:lang w:val="es-MX" w:eastAsia="en-US"/>
        </w:rPr>
        <w:t>Sujeto Obligado</w:t>
      </w:r>
      <w:r w:rsidRPr="00783C7C">
        <w:rPr>
          <w:rFonts w:ascii="Palatino Linotype" w:eastAsia="MS Mincho" w:hAnsi="Palatino Linotype" w:cs="Arial"/>
          <w:lang w:val="es-MX" w:eastAsia="en-US"/>
        </w:rPr>
        <w:t xml:space="preserve">, para generar, recopilar, administrar manejar poseer archivar o conservar la información solicitada por el hoy </w:t>
      </w:r>
      <w:r w:rsidRPr="00783C7C">
        <w:rPr>
          <w:rFonts w:ascii="Palatino Linotype" w:eastAsia="MS Mincho" w:hAnsi="Palatino Linotype" w:cs="Arial"/>
          <w:b/>
          <w:lang w:val="es-MX" w:eastAsia="en-US"/>
        </w:rPr>
        <w:t>Recurrente</w:t>
      </w:r>
      <w:r w:rsidRPr="00783C7C">
        <w:rPr>
          <w:rFonts w:ascii="Palatino Linotype" w:eastAsia="MS Mincho" w:hAnsi="Palatino Linotype" w:cs="Arial"/>
          <w:lang w:val="es-MX" w:eastAsia="en-US"/>
        </w:rPr>
        <w:t xml:space="preserve">; por lo que </w:t>
      </w:r>
      <w:r w:rsidRPr="00783C7C">
        <w:rPr>
          <w:rFonts w:ascii="Palatino Linotype" w:eastAsia="MS Mincho" w:hAnsi="Palatino Linotype" w:cs="Arial"/>
          <w:lang w:val="es-MX" w:eastAsia="en-US"/>
        </w:rPr>
        <w:lastRenderedPageBreak/>
        <w:t xml:space="preserve">tomando en consideración que la información a que se hizo referencia es susceptible de ser generada por una de las unidades administrativas del </w:t>
      </w:r>
      <w:r w:rsidRPr="00EE7713">
        <w:rPr>
          <w:rFonts w:ascii="Palatino Linotype" w:eastAsia="MS Mincho" w:hAnsi="Palatino Linotype" w:cs="Arial"/>
          <w:b/>
          <w:bCs/>
          <w:lang w:val="es-MX" w:eastAsia="en-US"/>
        </w:rPr>
        <w:t>Sujeto Obligado</w:t>
      </w:r>
      <w:r w:rsidRPr="00783C7C">
        <w:rPr>
          <w:rFonts w:ascii="Palatino Linotype" w:eastAsia="MS Mincho" w:hAnsi="Palatino Linotype" w:cs="Arial"/>
          <w:lang w:val="es-MX" w:eastAsia="en-US"/>
        </w:rPr>
        <w:t xml:space="preserve">, </w:t>
      </w:r>
      <w:r w:rsidRPr="00783C7C">
        <w:rPr>
          <w:rFonts w:ascii="Palatino Linotype" w:eastAsia="MS Mincho" w:hAnsi="Palatino Linotype" w:cs="Arial"/>
          <w:b/>
          <w:lang w:val="es-MX" w:eastAsia="en-US"/>
        </w:rPr>
        <w:t>se considera que la misma cumplió con ser turnada al área competente, de conformidad con el artículo 162, de la Ley de Transparencia y Acceso a la Información Pública del Estado de México al Órgano Interno de Control para su atención</w:t>
      </w:r>
      <w:r w:rsidRPr="00783C7C">
        <w:rPr>
          <w:rFonts w:ascii="Palatino Linotype" w:eastAsia="MS Mincho" w:hAnsi="Palatino Linotype" w:cs="Arial"/>
          <w:lang w:val="es-MX" w:eastAsia="en-US"/>
        </w:rPr>
        <w:t xml:space="preserve">, en el que </w:t>
      </w:r>
      <w:r w:rsidRPr="00783C7C">
        <w:rPr>
          <w:rFonts w:ascii="Palatino Linotype" w:eastAsia="MS Mincho" w:hAnsi="Palatino Linotype" w:cs="Arial"/>
          <w:lang w:eastAsia="en-US"/>
        </w:rPr>
        <w:t xml:space="preserve">señala que las unidades de transparencia </w:t>
      </w:r>
      <w:r w:rsidRPr="00783C7C">
        <w:rPr>
          <w:rFonts w:ascii="Palatino Linotype" w:eastAsia="MS Mincho" w:hAnsi="Palatino Linotype" w:cs="Arial"/>
          <w:b/>
          <w:lang w:eastAsia="en-US"/>
        </w:rPr>
        <w:t>deberán garantizar que las solicitudes se turnen a todas las Áreas competentes</w:t>
      </w:r>
      <w:r w:rsidRPr="00783C7C">
        <w:rPr>
          <w:rFonts w:ascii="Palatino Linotype" w:eastAsia="MS Mincho" w:hAnsi="Palatino Linotype" w:cs="Arial"/>
          <w:lang w:eastAsia="en-US"/>
        </w:rPr>
        <w:t xml:space="preserve"> que cuenten con la información o deban tenerla de acuerdo a sus facultades, competencias y funciones, con el objeto de que realicen una búsqueda exhaustiva y razonable de la información solicitada.</w:t>
      </w:r>
    </w:p>
    <w:p w14:paraId="4641B07F" w14:textId="77777777" w:rsidR="00EE7713" w:rsidRPr="00783C7C" w:rsidRDefault="00EE7713" w:rsidP="00EE7713">
      <w:pPr>
        <w:spacing w:line="360" w:lineRule="auto"/>
        <w:jc w:val="both"/>
        <w:rPr>
          <w:rFonts w:ascii="Palatino Linotype" w:eastAsia="MS Mincho" w:hAnsi="Palatino Linotype" w:cs="Arial"/>
          <w:lang w:eastAsia="en-US"/>
        </w:rPr>
      </w:pPr>
    </w:p>
    <w:p w14:paraId="611CDDAA" w14:textId="77777777" w:rsidR="00EE7713" w:rsidRPr="00783C7C" w:rsidRDefault="00EE7713" w:rsidP="00EE7713">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En ese orden de ideas,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w:t>
      </w:r>
    </w:p>
    <w:p w14:paraId="2B70A152" w14:textId="77777777" w:rsidR="00EE7713" w:rsidRPr="00783C7C" w:rsidRDefault="00EE7713" w:rsidP="00EE7713">
      <w:pPr>
        <w:spacing w:line="360" w:lineRule="auto"/>
        <w:jc w:val="both"/>
        <w:rPr>
          <w:rFonts w:ascii="Palatino Linotype" w:eastAsia="MS Mincho" w:hAnsi="Palatino Linotype" w:cs="Arial"/>
          <w:lang w:eastAsia="en-US"/>
        </w:rPr>
      </w:pPr>
    </w:p>
    <w:p w14:paraId="1AE9831C" w14:textId="77777777" w:rsidR="00EE7713" w:rsidRPr="00783C7C" w:rsidRDefault="00EE7713" w:rsidP="00EE7713">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Por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0B57851E" w14:textId="77777777" w:rsidR="00EE7713" w:rsidRPr="00783C7C" w:rsidRDefault="00EE7713" w:rsidP="00EE7713">
      <w:pPr>
        <w:spacing w:line="360" w:lineRule="auto"/>
        <w:jc w:val="both"/>
        <w:rPr>
          <w:rFonts w:ascii="Palatino Linotype" w:eastAsia="MS Mincho" w:hAnsi="Palatino Linotype" w:cs="Arial"/>
          <w:lang w:eastAsia="en-US"/>
        </w:rPr>
      </w:pPr>
    </w:p>
    <w:p w14:paraId="379A8F5D" w14:textId="77777777" w:rsidR="00EE7713" w:rsidRPr="00783C7C" w:rsidRDefault="00EE7713" w:rsidP="00EE7713">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w:t>
      </w:r>
      <w:r w:rsidRPr="00783C7C">
        <w:rPr>
          <w:rFonts w:ascii="Palatino Linotype" w:eastAsia="MS Mincho" w:hAnsi="Palatino Linotype" w:cs="Arial"/>
          <w:lang w:eastAsia="en-US"/>
        </w:rPr>
        <w:lastRenderedPageBreak/>
        <w:t>trámites internos necesarios para la atención de las solicitudes de acceso a la información; así como, entregar, en su caso, a los particulares la información solicitada.</w:t>
      </w:r>
    </w:p>
    <w:p w14:paraId="3F7AB6DB" w14:textId="77777777" w:rsidR="00EE7713" w:rsidRPr="00783C7C" w:rsidRDefault="00EE7713" w:rsidP="00EE7713">
      <w:pPr>
        <w:spacing w:line="360" w:lineRule="auto"/>
        <w:jc w:val="both"/>
        <w:rPr>
          <w:rFonts w:ascii="Palatino Linotype" w:eastAsia="MS Mincho" w:hAnsi="Palatino Linotype" w:cs="Arial"/>
          <w:lang w:eastAsia="en-US"/>
        </w:rPr>
      </w:pPr>
    </w:p>
    <w:p w14:paraId="61C5C1C1" w14:textId="77777777" w:rsidR="00EE7713" w:rsidRPr="00783C7C" w:rsidRDefault="00EE7713" w:rsidP="00EE7713">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 situación que en el presente asunto aconteció.</w:t>
      </w:r>
    </w:p>
    <w:p w14:paraId="7AA6ECEA" w14:textId="77777777" w:rsidR="00EE7713" w:rsidRPr="00783C7C" w:rsidRDefault="00EE7713" w:rsidP="00EE7713">
      <w:pPr>
        <w:spacing w:line="360" w:lineRule="auto"/>
        <w:jc w:val="both"/>
        <w:rPr>
          <w:rFonts w:ascii="Palatino Linotype" w:eastAsia="MS Mincho" w:hAnsi="Palatino Linotype" w:cs="Arial"/>
          <w:lang w:eastAsia="en-US"/>
        </w:rPr>
      </w:pPr>
    </w:p>
    <w:p w14:paraId="70DBCB1C" w14:textId="77777777" w:rsidR="00EE7713" w:rsidRDefault="00EE7713" w:rsidP="00EE7713">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En ese orden de ideas, de conformidad con el artículo 12 de la Ley de Transparencia y Acceso a la Información Pública del Estado de México y Municipios , el cual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w:t>
      </w:r>
    </w:p>
    <w:p w14:paraId="7F2F5271" w14:textId="77777777" w:rsidR="00EE7713" w:rsidRPr="00783C7C" w:rsidRDefault="00EE7713" w:rsidP="00EE7713">
      <w:pPr>
        <w:pStyle w:val="Sinespaciado"/>
        <w:rPr>
          <w:rFonts w:eastAsia="MS Mincho"/>
          <w:lang w:eastAsia="en-US"/>
        </w:rPr>
      </w:pPr>
    </w:p>
    <w:p w14:paraId="3B0BE5FC" w14:textId="77777777" w:rsidR="00EE7713" w:rsidRPr="00783C7C" w:rsidRDefault="00EE7713" w:rsidP="00EE7713">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w:t>
      </w:r>
      <w:r w:rsidRPr="00783C7C">
        <w:rPr>
          <w:rFonts w:ascii="Palatino Linotype" w:eastAsia="MS Mincho" w:hAnsi="Palatino Linotype" w:cs="Arial"/>
          <w:b/>
          <w:i/>
          <w:sz w:val="22"/>
          <w:lang w:eastAsia="en-US"/>
        </w:rPr>
        <w:t>Artículo 12.</w:t>
      </w:r>
      <w:r w:rsidRPr="00783C7C">
        <w:rPr>
          <w:rFonts w:ascii="Palatino Linotype" w:eastAsia="MS Mincho" w:hAnsi="Palatino Linotype" w:cs="Arial"/>
          <w:i/>
          <w:sz w:val="22"/>
          <w:lang w:eastAsia="en-US"/>
        </w:rPr>
        <w:t xml:space="preserve"> Quienes generen, recopilen, administren, manejen, procesen, archiven o conserven información pública serán responsables de la misma en los términos de las disposiciones jurídicas aplicables.</w:t>
      </w:r>
    </w:p>
    <w:p w14:paraId="5282D547" w14:textId="77777777" w:rsidR="00EE7713" w:rsidRPr="00783C7C" w:rsidRDefault="00EE7713" w:rsidP="00EE7713">
      <w:pPr>
        <w:ind w:left="567" w:right="567"/>
        <w:jc w:val="both"/>
        <w:rPr>
          <w:rFonts w:ascii="Palatino Linotype" w:eastAsia="MS Mincho" w:hAnsi="Palatino Linotype" w:cs="Arial"/>
          <w:i/>
          <w:sz w:val="22"/>
          <w:lang w:eastAsia="en-US"/>
        </w:rPr>
      </w:pPr>
    </w:p>
    <w:p w14:paraId="003CF1BE" w14:textId="77777777" w:rsidR="00EE7713" w:rsidRPr="00783C7C" w:rsidRDefault="00EE7713" w:rsidP="00EE7713">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D12BD8C" w14:textId="77777777" w:rsidR="00EE7713" w:rsidRPr="00783C7C" w:rsidRDefault="00EE7713" w:rsidP="00EE7713">
      <w:pPr>
        <w:ind w:left="567" w:right="567"/>
        <w:jc w:val="both"/>
        <w:rPr>
          <w:rFonts w:ascii="Palatino Linotype" w:eastAsia="MS Mincho" w:hAnsi="Palatino Linotype" w:cs="Arial"/>
          <w:i/>
          <w:sz w:val="22"/>
          <w:lang w:eastAsia="en-US"/>
        </w:rPr>
      </w:pPr>
    </w:p>
    <w:p w14:paraId="12FE6E31" w14:textId="484A2073" w:rsidR="00EE7713" w:rsidRDefault="00EE7713" w:rsidP="00EE7713">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Del ordenamiento normativo citado, se actualiza que los sujetos obligados, deberán hacer entrega de la información que generen, administre, recopilen, manejen, procesen </w:t>
      </w:r>
      <w:r w:rsidRPr="00783C7C">
        <w:rPr>
          <w:rFonts w:ascii="Palatino Linotype" w:eastAsia="MS Mincho" w:hAnsi="Palatino Linotype" w:cs="Arial"/>
          <w:lang w:eastAsia="en-US"/>
        </w:rPr>
        <w:lastRenderedPageBreak/>
        <w:t>o archiven, en ejercicio de sus atribuciones</w:t>
      </w:r>
      <w:r>
        <w:rPr>
          <w:rFonts w:ascii="Palatino Linotype" w:eastAsia="MS Mincho" w:hAnsi="Palatino Linotype" w:cs="Arial"/>
          <w:lang w:eastAsia="en-US"/>
        </w:rPr>
        <w:t>;</w:t>
      </w:r>
      <w:r w:rsidRPr="00783C7C">
        <w:rPr>
          <w:rFonts w:ascii="Palatino Linotype" w:eastAsia="MS Mincho" w:hAnsi="Palatino Linotype" w:cs="Arial"/>
          <w:lang w:eastAsia="en-US"/>
        </w:rPr>
        <w:t xml:space="preserve"> sin embargo</w:t>
      </w:r>
      <w:r>
        <w:rPr>
          <w:rFonts w:ascii="Palatino Linotype" w:eastAsia="MS Mincho" w:hAnsi="Palatino Linotype" w:cs="Arial"/>
          <w:lang w:eastAsia="en-US"/>
        </w:rPr>
        <w:t>,</w:t>
      </w:r>
      <w:r w:rsidRPr="00783C7C">
        <w:rPr>
          <w:rFonts w:ascii="Palatino Linotype" w:eastAsia="MS Mincho" w:hAnsi="Palatino Linotype" w:cs="Arial"/>
          <w:lang w:eastAsia="en-US"/>
        </w:rPr>
        <w:t xml:space="preserve"> el proporcionar la información no obliga al procesamiento de la misma, a su generación, a resumirla, ni a efectuar cálculos o practicar investigaciones, ni a presentarla conforme al interés del solicitante.</w:t>
      </w:r>
    </w:p>
    <w:p w14:paraId="48006033" w14:textId="77777777" w:rsidR="00EE7713" w:rsidRDefault="00EE7713" w:rsidP="00EE7713">
      <w:pPr>
        <w:spacing w:line="360" w:lineRule="auto"/>
        <w:jc w:val="both"/>
        <w:rPr>
          <w:rFonts w:ascii="Palatino Linotype" w:eastAsia="MS Mincho" w:hAnsi="Palatino Linotype" w:cs="Arial"/>
          <w:lang w:eastAsia="en-US"/>
        </w:rPr>
      </w:pPr>
    </w:p>
    <w:p w14:paraId="6BF8E77B" w14:textId="37ED2494" w:rsidR="00EE7713" w:rsidRDefault="00EE7713" w:rsidP="00EE7713">
      <w:pPr>
        <w:spacing w:line="360" w:lineRule="auto"/>
        <w:jc w:val="both"/>
        <w:rPr>
          <w:rFonts w:ascii="Palatino Linotype" w:eastAsiaTheme="minorHAnsi" w:hAnsi="Palatino Linotype" w:cs="Arial"/>
          <w:b/>
          <w:bCs/>
          <w:szCs w:val="22"/>
          <w:u w:val="single"/>
          <w:lang w:val="es-MX" w:eastAsia="en-US"/>
        </w:rPr>
      </w:pPr>
      <w:r w:rsidRPr="00783C7C">
        <w:rPr>
          <w:rFonts w:ascii="Palatino Linotype" w:eastAsiaTheme="minorHAnsi" w:hAnsi="Palatino Linotype" w:cstheme="minorBidi"/>
          <w:szCs w:val="22"/>
          <w:lang w:val="es-MX" w:eastAsia="en-US"/>
        </w:rPr>
        <w:t>No pasa desapercibido para este Órgano Garante que, en el presente asunto la información requerida corresponde a las estadísticas que se realizan en razón de los expedientes formados con motivo de procedimientos de responsabilidad administrativa que se encuentren en proceso investigación y los que se encuentren en responsabilidad, los cuales se encuentran previstos en la Ley de Responsabilidades Administrativas del Estado de México, y la cual tiene su naturaleza en el derecho administrativo, entendiéndose desde el inicio de la investigación correspondiente y hasta antes del dictado de la resolución del procedimiento</w:t>
      </w:r>
      <w:r w:rsidRPr="00783C7C">
        <w:rPr>
          <w:rFonts w:ascii="Palatino Linotype" w:eastAsiaTheme="minorHAnsi" w:hAnsi="Palatino Linotype" w:cs="Arial"/>
          <w:szCs w:val="22"/>
          <w:lang w:val="es-MX" w:eastAsia="en-US"/>
        </w:rPr>
        <w:t xml:space="preserve">; por lo que no se encontraría en ningún supuesto de </w:t>
      </w:r>
      <w:r w:rsidRPr="00783C7C">
        <w:rPr>
          <w:rFonts w:ascii="Palatino Linotype" w:eastAsiaTheme="minorHAnsi" w:hAnsi="Palatino Linotype" w:cs="Arial"/>
          <w:b/>
          <w:bCs/>
          <w:szCs w:val="22"/>
          <w:lang w:val="es-MX" w:eastAsia="en-US"/>
        </w:rPr>
        <w:t>RESERVA</w:t>
      </w:r>
      <w:r w:rsidRPr="00783C7C">
        <w:rPr>
          <w:rFonts w:ascii="Palatino Linotype" w:eastAsiaTheme="minorHAnsi" w:hAnsi="Palatino Linotype" w:cs="Arial"/>
          <w:szCs w:val="22"/>
          <w:lang w:val="es-MX" w:eastAsia="en-US"/>
        </w:rPr>
        <w:t>, ya que únicamente se daría a conocer</w:t>
      </w:r>
      <w:r>
        <w:rPr>
          <w:rFonts w:ascii="Palatino Linotype" w:eastAsiaTheme="minorHAnsi" w:hAnsi="Palatino Linotype" w:cs="Arial"/>
          <w:szCs w:val="22"/>
          <w:lang w:val="es-MX" w:eastAsia="en-US"/>
        </w:rPr>
        <w:t xml:space="preserve"> </w:t>
      </w:r>
      <w:r w:rsidRPr="00783C7C">
        <w:rPr>
          <w:rFonts w:ascii="Palatino Linotype" w:eastAsiaTheme="minorHAnsi" w:hAnsi="Palatino Linotype" w:cs="Arial"/>
          <w:b/>
          <w:bCs/>
          <w:szCs w:val="22"/>
          <w:u w:val="single"/>
          <w:lang w:val="es-MX" w:eastAsia="en-US"/>
        </w:rPr>
        <w:t>el número de resoluciones</w:t>
      </w:r>
      <w:r w:rsidR="00AE24C1">
        <w:rPr>
          <w:rFonts w:ascii="Palatino Linotype" w:eastAsiaTheme="minorHAnsi" w:hAnsi="Palatino Linotype" w:cs="Arial"/>
          <w:b/>
          <w:bCs/>
          <w:szCs w:val="22"/>
          <w:u w:val="single"/>
          <w:lang w:val="es-MX" w:eastAsia="en-US"/>
        </w:rPr>
        <w:t xml:space="preserve"> de quejas/denuncias</w:t>
      </w:r>
      <w:r w:rsidR="00AE24C1" w:rsidRPr="00AE24C1">
        <w:rPr>
          <w:rFonts w:ascii="Palatino Linotype" w:eastAsiaTheme="minorHAnsi" w:hAnsi="Palatino Linotype" w:cs="Arial"/>
          <w:szCs w:val="22"/>
          <w:lang w:val="es-MX" w:eastAsia="en-US"/>
        </w:rPr>
        <w:t xml:space="preserve"> y </w:t>
      </w:r>
      <w:r w:rsidR="00AE24C1" w:rsidRPr="00AE24C1">
        <w:rPr>
          <w:rFonts w:ascii="Palatino Linotype" w:eastAsiaTheme="minorHAnsi" w:hAnsi="Palatino Linotype" w:cs="Arial"/>
          <w:b/>
          <w:bCs/>
          <w:szCs w:val="22"/>
          <w:u w:val="single"/>
          <w:lang w:val="es-MX" w:eastAsia="en-US"/>
        </w:rPr>
        <w:t>procesos sancionatorios administrativos</w:t>
      </w:r>
      <w:r w:rsidR="000F7BD6">
        <w:rPr>
          <w:rFonts w:ascii="Palatino Linotype" w:eastAsiaTheme="minorHAnsi" w:hAnsi="Palatino Linotype" w:cs="Arial"/>
          <w:b/>
          <w:bCs/>
          <w:szCs w:val="22"/>
          <w:u w:val="single"/>
          <w:lang w:val="es-MX" w:eastAsia="en-US"/>
        </w:rPr>
        <w:t>.</w:t>
      </w:r>
    </w:p>
    <w:p w14:paraId="01DDE44C" w14:textId="77777777" w:rsidR="000F7BD6" w:rsidRDefault="000F7BD6" w:rsidP="00EE7713">
      <w:pPr>
        <w:spacing w:line="360" w:lineRule="auto"/>
        <w:jc w:val="both"/>
        <w:rPr>
          <w:rFonts w:ascii="Palatino Linotype" w:eastAsiaTheme="minorHAnsi" w:hAnsi="Palatino Linotype" w:cs="Arial"/>
          <w:b/>
          <w:bCs/>
          <w:szCs w:val="22"/>
          <w:u w:val="single"/>
          <w:lang w:val="es-MX" w:eastAsia="en-US"/>
        </w:rPr>
      </w:pPr>
    </w:p>
    <w:p w14:paraId="309AB9AD" w14:textId="77777777" w:rsidR="000F7BD6" w:rsidRPr="00783C7C" w:rsidRDefault="000F7BD6" w:rsidP="000F7BD6">
      <w:pPr>
        <w:tabs>
          <w:tab w:val="left" w:pos="709"/>
        </w:tabs>
        <w:spacing w:line="360" w:lineRule="auto"/>
        <w:jc w:val="both"/>
        <w:rPr>
          <w:rFonts w:ascii="Palatino Linotype" w:eastAsia="Calibri" w:hAnsi="Palatino Linotype" w:cs="Tahoma"/>
          <w:bCs/>
          <w:szCs w:val="22"/>
          <w:lang w:val="es-MX" w:eastAsia="en-US"/>
        </w:rPr>
      </w:pPr>
      <w:r w:rsidRPr="00783C7C">
        <w:rPr>
          <w:rFonts w:ascii="Palatino Linotype" w:eastAsiaTheme="minorHAnsi" w:hAnsi="Palatino Linotype" w:cstheme="minorBidi"/>
          <w:szCs w:val="22"/>
          <w:lang w:val="es-MX" w:eastAsia="en-US"/>
        </w:rPr>
        <w:t xml:space="preserve">En suma a lo anterior, no se omite señalar que, es criterio del Pleno del máximo Tribunal que, </w:t>
      </w:r>
      <w:r w:rsidRPr="00783C7C">
        <w:rPr>
          <w:rFonts w:ascii="Palatino Linotype" w:eastAsia="Calibri" w:hAnsi="Palatino Linotype" w:cs="Tahoma"/>
          <w:bCs/>
          <w:szCs w:val="22"/>
          <w:lang w:val="es-MX" w:eastAsia="en-US"/>
        </w:rPr>
        <w:t xml:space="preserve">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w:t>
      </w:r>
      <w:r w:rsidRPr="00783C7C">
        <w:rPr>
          <w:rFonts w:ascii="Palatino Linotype" w:eastAsia="Calibri" w:hAnsi="Palatino Linotype" w:cs="Tahoma"/>
          <w:bCs/>
          <w:szCs w:val="22"/>
          <w:lang w:val="es-MX" w:eastAsia="en-US"/>
        </w:rPr>
        <w:lastRenderedPageBreak/>
        <w:t>punitiva del Estado, en tal contexto es un derecho fundamental de toda persona, sometida a un procedimiento administrativo sancionador, lo anterior tiene sustento en la Contradicción de Tesis, con registro digital: 2006590, la cual es del tenor literal siguiente:</w:t>
      </w:r>
    </w:p>
    <w:p w14:paraId="3AD1FE89" w14:textId="77777777" w:rsidR="000F7BD6" w:rsidRPr="00783C7C" w:rsidRDefault="000F7BD6" w:rsidP="000F7BD6">
      <w:pPr>
        <w:tabs>
          <w:tab w:val="left" w:pos="709"/>
        </w:tabs>
        <w:spacing w:line="360" w:lineRule="auto"/>
        <w:jc w:val="both"/>
        <w:rPr>
          <w:rFonts w:ascii="Palatino Linotype" w:eastAsia="Calibri" w:hAnsi="Palatino Linotype" w:cs="Tahoma"/>
          <w:bCs/>
          <w:szCs w:val="22"/>
          <w:lang w:val="es-MX" w:eastAsia="en-US"/>
        </w:rPr>
      </w:pPr>
    </w:p>
    <w:p w14:paraId="251E9BB2"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
          <w:i/>
          <w:sz w:val="22"/>
          <w:szCs w:val="22"/>
          <w:lang w:val="es-MX" w:eastAsia="en-US"/>
        </w:rPr>
        <w:t xml:space="preserve">PRESUNCIÓN DE INOCENCIA. ESTE PRINCIPIO ES APLICABLE AL PROCEDIMIENTO ADMINISTRATIVO SANCIONADOR, CON MATICES O MODULACIONES. </w:t>
      </w:r>
      <w:r w:rsidRPr="00783C7C">
        <w:rPr>
          <w:rFonts w:ascii="Palatino Linotype" w:eastAsia="Calibri" w:hAnsi="Palatino Linotype" w:cs="Tahoma"/>
          <w:bCs/>
          <w:i/>
          <w:sz w:val="22"/>
          <w:szCs w:val="22"/>
          <w:lang w:val="es-MX" w:eastAsia="en-US"/>
        </w:rPr>
        <w:t>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2247D1E9"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384C8DBE"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 xml:space="preserve">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w:t>
      </w:r>
      <w:r w:rsidRPr="00783C7C">
        <w:rPr>
          <w:rFonts w:ascii="Palatino Linotype" w:eastAsia="Calibri" w:hAnsi="Palatino Linotype" w:cs="Tahoma"/>
          <w:bCs/>
          <w:i/>
          <w:sz w:val="22"/>
          <w:szCs w:val="22"/>
          <w:lang w:val="es-MX" w:eastAsia="en-US"/>
        </w:rPr>
        <w:lastRenderedPageBreak/>
        <w:t xml:space="preserve">Mario Pardo Rebolledo, Sergio A. Valls Hernández, Olga Sánchez Cordero de García Villegas y Juan N. Silva Meza; votaron en contra: Luis María Aguilar Morales y Alberto Pérez </w:t>
      </w:r>
      <w:proofErr w:type="spellStart"/>
      <w:r w:rsidRPr="00783C7C">
        <w:rPr>
          <w:rFonts w:ascii="Palatino Linotype" w:eastAsia="Calibri" w:hAnsi="Palatino Linotype" w:cs="Tahoma"/>
          <w:bCs/>
          <w:i/>
          <w:sz w:val="22"/>
          <w:szCs w:val="22"/>
          <w:lang w:val="es-MX" w:eastAsia="en-US"/>
        </w:rPr>
        <w:t>Dayán</w:t>
      </w:r>
      <w:proofErr w:type="spellEnd"/>
      <w:r w:rsidRPr="00783C7C">
        <w:rPr>
          <w:rFonts w:ascii="Palatino Linotype" w:eastAsia="Calibri" w:hAnsi="Palatino Linotype" w:cs="Tahoma"/>
          <w:bCs/>
          <w:i/>
          <w:sz w:val="22"/>
          <w:szCs w:val="22"/>
          <w:lang w:val="es-MX" w:eastAsia="en-US"/>
        </w:rPr>
        <w:t>. Ponente: Olga Sánchez Cordero de García Villegas. Secretario: Octavio Joel Flores Díaz.</w:t>
      </w:r>
    </w:p>
    <w:p w14:paraId="6BE69168"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07652564"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Tesis y/o criterios contendientes:</w:t>
      </w:r>
    </w:p>
    <w:p w14:paraId="4E58224D"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Tesis 1a. XCIII/2013 (10a.),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2628CDEC"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0670AA6F"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Tesis 1a. XCVII/2013 (10a.), de rubro: "PRESUNCIÓN DE INOCENCIA. EL ARTÍCULO 61 DE LA LEY DE FISCALIZACIÓN SUPERIOR DEL ESTADO DE MORELOS, NO VULNERA 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2B4713AE"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60CACC41"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Tesis 2a. XC/2012 (10a.),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5F0AD5D8"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3DBA9F74"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3B83F2C4"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500529EF"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El Tribunal Pleno, el veintiséis de mayo en curso, aprobó, con el número 43/2014 (10a.), la tesis jurisprudencial que antecede. México, Distrito Federal, a veintiséis de mayo de dos mil catorce.</w:t>
      </w:r>
    </w:p>
    <w:p w14:paraId="7126A2C4"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723F3D73"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Nota: La tesis aislada P. XXXV/2002 citada, aparece publicada en el Semanario Judicial de la Federación y su Gaceta, Novena Época, Tomo XVI, agosto de 2002, página 14, con el rubro: "PRESUNCIÓN DE INOCENCIA. EL PRINCIPIO RELATIVO SE CONTIENE DE MANERA IMPLÍCITA EN LA CONSTITUCIÓN FEDERAL."</w:t>
      </w:r>
    </w:p>
    <w:p w14:paraId="7F25558A"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564F9D92" w14:textId="77777777" w:rsidR="000F7BD6" w:rsidRPr="00783C7C" w:rsidRDefault="000F7BD6" w:rsidP="000F7BD6">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783C7C">
        <w:rPr>
          <w:rFonts w:ascii="Palatino Linotype" w:eastAsia="Calibri" w:hAnsi="Palatino Linotype" w:cs="Tahoma"/>
          <w:bCs/>
          <w:i/>
          <w:sz w:val="22"/>
          <w:szCs w:val="22"/>
          <w:lang w:val="es-MX" w:eastAsia="en-US"/>
        </w:rPr>
        <w:t>Esta tesis se publicó el viernes 06 de junio de 2014 a las 12:30 horas en el Semanario Judicial de la Federación y, por ende, se considera de aplicación obligatoria a partir del lunes 09 de junio de 2014, para los efectos previstos en el punto séptimo del Acuerdo General Plenario 19/2013.</w:t>
      </w:r>
    </w:p>
    <w:p w14:paraId="475CCF6B"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4E8E0C7E"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783C7C">
        <w:rPr>
          <w:rFonts w:asciiTheme="minorHAnsi" w:eastAsiaTheme="minorHAnsi" w:hAnsiTheme="minorHAnsi" w:cstheme="minorBidi"/>
          <w:szCs w:val="22"/>
          <w:lang w:val="es-MX" w:eastAsia="en-US"/>
        </w:rPr>
        <w:t xml:space="preserve"> </w:t>
      </w:r>
      <w:r w:rsidRPr="00783C7C">
        <w:rPr>
          <w:rFonts w:ascii="Palatino Linotype" w:eastAsiaTheme="minorHAnsi" w:hAnsi="Palatino Linotype" w:cstheme="minorBidi"/>
          <w:szCs w:val="22"/>
          <w:lang w:val="es-MX" w:eastAsia="en-US"/>
        </w:rPr>
        <w:t>o actos de corrupción, preceptos legales que establecen lo siguiente:</w:t>
      </w:r>
    </w:p>
    <w:p w14:paraId="3A8228B2"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2E601639" w14:textId="77777777" w:rsidR="000F7BD6" w:rsidRPr="00783C7C" w:rsidRDefault="000F7BD6" w:rsidP="000F7BD6">
      <w:pPr>
        <w:tabs>
          <w:tab w:val="left" w:pos="709"/>
        </w:tabs>
        <w:spacing w:line="259" w:lineRule="auto"/>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General de Transparencia y Acceso a la Información Pública</w:t>
      </w:r>
    </w:p>
    <w:p w14:paraId="37414F37"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5F88C7E5"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b/>
          <w:i/>
          <w:sz w:val="22"/>
          <w:szCs w:val="22"/>
          <w:lang w:val="es-MX" w:eastAsia="en-US"/>
        </w:rPr>
        <w:t>Artículo 115.</w:t>
      </w:r>
      <w:r w:rsidRPr="00783C7C">
        <w:rPr>
          <w:rFonts w:ascii="Palatino Linotype" w:eastAsiaTheme="minorHAnsi" w:hAnsi="Palatino Linotype" w:cstheme="minorBidi"/>
          <w:i/>
          <w:sz w:val="22"/>
          <w:szCs w:val="22"/>
          <w:lang w:val="es-MX" w:eastAsia="en-US"/>
        </w:rPr>
        <w:t xml:space="preserve"> No podrá invocarse el carácter de reservado cuando:</w:t>
      </w:r>
    </w:p>
    <w:p w14:paraId="1D699102"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I. Se trate de violaciones graves de derechos humanos o delitos de lesa humanidad, o</w:t>
      </w:r>
    </w:p>
    <w:p w14:paraId="75ECB405"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II. Se trate de información relacionada con actos de corrupción de acuerdo con las leyes aplicables.</w:t>
      </w:r>
    </w:p>
    <w:p w14:paraId="14C309CC"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195B92D4"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de Transparencia y Acceso a la Información Pública del Estado de México y Municipios</w:t>
      </w:r>
    </w:p>
    <w:p w14:paraId="691C9FF0"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0A309AA0"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Artículo 142. Bajo ninguna circunstancia podrá invocarse el carácter de reservado cuando:</w:t>
      </w:r>
    </w:p>
    <w:p w14:paraId="05A896D7"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I. Se trate de violaciones graves de derechos humanos, calificada así por autoridad competente;</w:t>
      </w:r>
    </w:p>
    <w:p w14:paraId="2FAF57C0"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lastRenderedPageBreak/>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74C62994"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713601E2"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IV. Se trate de información relacionada con actos de corrupción de conformidad con las disposiciones jurídicas aplicables.</w:t>
      </w:r>
    </w:p>
    <w:p w14:paraId="3FF32354"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color w:val="2F2F2F"/>
          <w:sz w:val="22"/>
          <w:szCs w:val="22"/>
          <w:shd w:val="clear" w:color="auto" w:fill="FFFFFF"/>
          <w:lang w:val="es-MX" w:eastAsia="en-US"/>
        </w:rPr>
      </w:pPr>
    </w:p>
    <w:p w14:paraId="6D9F1A77"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color w:val="2F2F2F"/>
          <w:sz w:val="22"/>
          <w:szCs w:val="22"/>
          <w:shd w:val="clear" w:color="auto" w:fill="FFFFFF"/>
          <w:lang w:val="es-MX" w:eastAsia="en-US"/>
        </w:rPr>
        <w:t>LINEAMIENTOS GENERALES EN MATERIA DE CLASIFICACIÓN Y DESCLASIFICACIÓN DE LA INFORMACIÓN, ASÍ COMO PARA LA ELABORACIÓN DE VERSIONES PÚBLICAS.</w:t>
      </w:r>
    </w:p>
    <w:p w14:paraId="0BC735FA"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746E7D47"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Trigésimo séptimo. No podrá invocarse el carácter de reservado de la información cuando:</w:t>
      </w:r>
    </w:p>
    <w:p w14:paraId="4DC8F53E"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I.        Se trate de violaciones graves de derechos humanos;</w:t>
      </w:r>
    </w:p>
    <w:p w14:paraId="31752D75"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775DA47D"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5E7C3815"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5E807464"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00FDF65A"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 xml:space="preserve">Al respecto, derivado de la excepción establecida en los preceptos legales antes citados, resulta oportuno mencionar que en tal supuesto, esta ponencia considera que si la información del expediente que lo originó o que se encuentra contenida dentro de la investigación o procedimiento de responsabilidad administrativa es relativa a alguna </w:t>
      </w:r>
      <w:r w:rsidRPr="00783C7C">
        <w:rPr>
          <w:rFonts w:ascii="Palatino Linotype" w:eastAsiaTheme="minorHAnsi" w:hAnsi="Palatino Linotype" w:cstheme="minorBidi"/>
          <w:szCs w:val="22"/>
          <w:lang w:val="es-MX" w:eastAsia="en-US"/>
        </w:rPr>
        <w:lastRenderedPageBreak/>
        <w:t xml:space="preserve">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29E07BE4"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23FD9F37"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Asimismo,</w:t>
      </w:r>
      <w:r w:rsidRPr="00783C7C">
        <w:rPr>
          <w:rFonts w:ascii="Palatino Linotype" w:eastAsiaTheme="minorHAnsi" w:hAnsi="Palatino Linotype" w:cstheme="minorBidi"/>
          <w:b/>
          <w:szCs w:val="22"/>
          <w:lang w:val="es-MX" w:eastAsia="en-US"/>
        </w:rPr>
        <w:t xml:space="preserve"> </w:t>
      </w:r>
      <w:r w:rsidRPr="00783C7C">
        <w:rPr>
          <w:rFonts w:ascii="Palatino Linotype" w:eastAsiaTheme="minorHAnsi" w:hAnsi="Palatino Linotype" w:cstheme="minorBidi"/>
          <w:szCs w:val="22"/>
          <w:lang w:val="es-MX" w:eastAsia="en-US"/>
        </w:rPr>
        <w:t>con</w:t>
      </w:r>
      <w:r w:rsidRPr="00783C7C">
        <w:rPr>
          <w:rFonts w:ascii="Palatino Linotype" w:eastAsiaTheme="minorHAnsi" w:hAnsi="Palatino Linotype" w:cstheme="minorBidi"/>
          <w:b/>
          <w:szCs w:val="22"/>
          <w:lang w:val="es-MX" w:eastAsia="en-US"/>
        </w:rPr>
        <w:t xml:space="preserve"> </w:t>
      </w:r>
      <w:r w:rsidRPr="00783C7C">
        <w:rPr>
          <w:rFonts w:ascii="Palatino Linotype" w:eastAsiaTheme="minorHAnsi" w:hAnsi="Palatino Linotype" w:cstheme="minorBidi"/>
          <w:szCs w:val="22"/>
          <w:lang w:val="es-MX" w:eastAsia="en-US"/>
        </w:rPr>
        <w:t>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53D1C799"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31E32D22" w14:textId="77777777" w:rsidR="000F7BD6" w:rsidRPr="00783C7C" w:rsidRDefault="000F7BD6" w:rsidP="000F7BD6">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General del Sistema Nacional Anticorrupción.</w:t>
      </w:r>
    </w:p>
    <w:p w14:paraId="73474CC3"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1158C5C3"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b/>
          <w:i/>
          <w:sz w:val="22"/>
          <w:szCs w:val="22"/>
          <w:lang w:val="es-MX" w:eastAsia="en-US"/>
        </w:rPr>
        <w:t>“Artículo 53.</w:t>
      </w:r>
      <w:r w:rsidRPr="00783C7C">
        <w:rPr>
          <w:rFonts w:ascii="Palatino Linotype" w:eastAsiaTheme="minorHAnsi" w:hAnsi="Palatino Linotype" w:cstheme="minorBidi"/>
          <w:i/>
          <w:sz w:val="22"/>
          <w:szCs w:val="22"/>
          <w:lang w:val="es-MX" w:eastAsia="en-US"/>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15A77321"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53F86FAF" w14:textId="77777777" w:rsidR="000F7BD6" w:rsidRPr="00783C7C" w:rsidRDefault="000F7BD6" w:rsidP="000F7BD6">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General de Responsabilidades Administrativas.</w:t>
      </w:r>
    </w:p>
    <w:p w14:paraId="7CE17D57" w14:textId="77777777" w:rsidR="000F7BD6" w:rsidRPr="00783C7C" w:rsidRDefault="000F7BD6" w:rsidP="000F7BD6">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p>
    <w:p w14:paraId="71925A9A"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“Artículo 27…</w:t>
      </w:r>
    </w:p>
    <w:p w14:paraId="16AACAA5"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312CE9CB"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8"/>
          <w:szCs w:val="22"/>
          <w:lang w:val="es-MX" w:eastAsia="en-US"/>
        </w:rPr>
      </w:pPr>
    </w:p>
    <w:p w14:paraId="2311E006" w14:textId="77777777" w:rsidR="000F7BD6" w:rsidRPr="00783C7C" w:rsidRDefault="000F7BD6" w:rsidP="000F7BD6">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del Sistema Anticorrupción del Estado de México</w:t>
      </w:r>
    </w:p>
    <w:p w14:paraId="7FCC0065"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50382810"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 xml:space="preserve">“Artículo 53. </w:t>
      </w:r>
      <w:r w:rsidRPr="00783C7C">
        <w:rPr>
          <w:rFonts w:ascii="Palatino Linotype" w:eastAsiaTheme="minorHAnsi" w:hAnsi="Palatino Linotype" w:cstheme="minorBidi"/>
          <w:i/>
          <w:sz w:val="22"/>
          <w:szCs w:val="22"/>
          <w:lang w:val="es-MX" w:eastAsia="en-US"/>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783C7C">
        <w:rPr>
          <w:rFonts w:ascii="Palatino Linotype" w:eastAsiaTheme="minorHAnsi" w:hAnsi="Palatino Linotype" w:cstheme="minorBidi"/>
          <w:b/>
          <w:i/>
          <w:sz w:val="22"/>
          <w:szCs w:val="22"/>
          <w:lang w:val="es-MX" w:eastAsia="en-US"/>
        </w:rPr>
        <w:t>”.</w:t>
      </w:r>
    </w:p>
    <w:p w14:paraId="1565D3F1"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7E808E20" w14:textId="77777777" w:rsidR="000F7BD6" w:rsidRPr="00783C7C" w:rsidRDefault="000F7BD6" w:rsidP="000F7BD6">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General de Transparencia y Acceso a la Información Pública.</w:t>
      </w:r>
    </w:p>
    <w:p w14:paraId="24D97011"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44ACFB31"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b/>
          <w:i/>
          <w:sz w:val="22"/>
          <w:szCs w:val="22"/>
          <w:lang w:val="es-MX" w:eastAsia="en-US"/>
        </w:rPr>
        <w:t>Artículo 70.</w:t>
      </w:r>
      <w:r w:rsidRPr="00783C7C">
        <w:rPr>
          <w:rFonts w:ascii="Palatino Linotype" w:eastAsiaTheme="minorHAnsi" w:hAnsi="Palatino Linotype" w:cstheme="minorBidi"/>
          <w:i/>
          <w:sz w:val="22"/>
          <w:szCs w:val="22"/>
          <w:lang w:val="es-MX" w:eastAsia="en-US"/>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B2D576D"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b/>
          <w:i/>
          <w:sz w:val="22"/>
          <w:szCs w:val="22"/>
          <w:lang w:val="es-MX" w:eastAsia="en-US"/>
        </w:rPr>
        <w:t>…</w:t>
      </w:r>
    </w:p>
    <w:p w14:paraId="557FB528"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b/>
          <w:i/>
          <w:sz w:val="22"/>
          <w:szCs w:val="22"/>
          <w:lang w:val="es-MX" w:eastAsia="en-US"/>
        </w:rPr>
        <w:t>XVII.</w:t>
      </w:r>
      <w:r w:rsidRPr="00783C7C">
        <w:rPr>
          <w:rFonts w:ascii="Palatino Linotype" w:eastAsiaTheme="minorHAnsi" w:hAnsi="Palatino Linotype" w:cstheme="minorBidi"/>
          <w:i/>
          <w:sz w:val="22"/>
          <w:szCs w:val="22"/>
          <w:lang w:val="es-MX" w:eastAsia="en-US"/>
        </w:rPr>
        <w:t xml:space="preserve"> La información curricular, desde el nivel de jefe de departamento o equivalente, hasta el titular del sujeto obligado, así como, en su caso, las sanciones administrativas de que haya sido objeto;</w:t>
      </w:r>
    </w:p>
    <w:p w14:paraId="1F55A117"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b/>
          <w:i/>
          <w:sz w:val="22"/>
          <w:szCs w:val="22"/>
          <w:lang w:val="es-MX" w:eastAsia="en-US"/>
        </w:rPr>
        <w:t>XVIII.</w:t>
      </w:r>
      <w:r w:rsidRPr="00783C7C">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3311B5DD"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497AB634"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03ACB758" w14:textId="77777777" w:rsidR="000F7BD6" w:rsidRPr="00783C7C" w:rsidRDefault="000F7BD6" w:rsidP="000F7BD6">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de Transparencia y Acceso a la Información Pública del Estado de México y Municipios.</w:t>
      </w:r>
    </w:p>
    <w:p w14:paraId="14026544"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b/>
          <w:i/>
          <w:sz w:val="22"/>
          <w:szCs w:val="22"/>
          <w:lang w:val="es-MX" w:eastAsia="en-US"/>
        </w:rPr>
        <w:t>Artículo 92.</w:t>
      </w:r>
      <w:r w:rsidRPr="00783C7C">
        <w:rPr>
          <w:rFonts w:ascii="Palatino Linotype" w:eastAsiaTheme="minorHAnsi" w:hAnsi="Palatino Linotype" w:cstheme="minorBidi"/>
          <w:i/>
          <w:sz w:val="22"/>
          <w:szCs w:val="22"/>
          <w:lang w:val="es-MX"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AF3A151"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w:t>
      </w:r>
    </w:p>
    <w:p w14:paraId="2F80826F" w14:textId="77777777" w:rsidR="000F7BD6" w:rsidRPr="00783C7C" w:rsidRDefault="000F7BD6" w:rsidP="000F7BD6">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b/>
          <w:i/>
          <w:sz w:val="22"/>
          <w:szCs w:val="22"/>
          <w:lang w:val="es-MX" w:eastAsia="en-US"/>
        </w:rPr>
        <w:t>XXII.</w:t>
      </w:r>
      <w:r w:rsidRPr="00783C7C">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7018A647"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7CAFD658"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En tal sentido, en el supuesto de que los expedientes formados con motivo de procedimientos administrativo</w:t>
      </w:r>
      <w:r w:rsidRPr="00783C7C">
        <w:rPr>
          <w:rFonts w:ascii="Palatino Linotype" w:eastAsiaTheme="minorHAnsi" w:hAnsi="Palatino Linotype" w:cs="Arial"/>
          <w:b/>
          <w:szCs w:val="22"/>
          <w:lang w:val="es-MX" w:eastAsia="en-US"/>
        </w:rPr>
        <w:t>s</w:t>
      </w:r>
      <w:r w:rsidRPr="00783C7C">
        <w:rPr>
          <w:rFonts w:ascii="Palatino Linotype" w:eastAsiaTheme="minorHAnsi" w:hAnsi="Palatino Linotype" w:cstheme="minorBidi"/>
          <w:szCs w:val="22"/>
          <w:lang w:val="es-MX" w:eastAsia="en-US"/>
        </w:rPr>
        <w:t xml:space="preserve"> se ajusten a las hipótesis establecidos en los artículos de referencia, es decir que en los expedientes en referencia </w:t>
      </w:r>
      <w:r w:rsidRPr="00783C7C">
        <w:rPr>
          <w:rFonts w:ascii="Palatino Linotype" w:eastAsiaTheme="minorHAnsi" w:hAnsi="Palatino Linotype" w:cstheme="minorBidi"/>
          <w:b/>
          <w:szCs w:val="22"/>
          <w:lang w:val="es-MX" w:eastAsia="en-US"/>
        </w:rPr>
        <w:t>contengan resolución con sanción  por responsabilidad administrativa por motivo de una faltas administrativas graves, y la misma hayan causado estado,</w:t>
      </w:r>
      <w:r w:rsidRPr="00783C7C">
        <w:rPr>
          <w:rFonts w:ascii="Palatino Linotype" w:eastAsiaTheme="minorHAnsi" w:hAnsi="Palatino Linotype" w:cstheme="minorBidi"/>
          <w:szCs w:val="22"/>
          <w:lang w:val="es-MX" w:eastAsia="en-US"/>
        </w:rPr>
        <w:t xml:space="preserve"> </w:t>
      </w:r>
      <w:r w:rsidRPr="00783C7C">
        <w:rPr>
          <w:rFonts w:ascii="Palatino Linotype" w:eastAsiaTheme="minorHAnsi" w:hAnsi="Palatino Linotype" w:cstheme="minorBidi"/>
          <w:b/>
          <w:szCs w:val="22"/>
          <w:lang w:val="es-MX" w:eastAsia="en-US"/>
        </w:rPr>
        <w:t xml:space="preserve">debe ser considerado como información pública, </w:t>
      </w:r>
      <w:r w:rsidRPr="00783C7C">
        <w:rPr>
          <w:rFonts w:ascii="Palatino Linotype" w:eastAsiaTheme="minorHAnsi" w:hAnsi="Palatino Linotype" w:cstheme="minorBidi"/>
          <w:szCs w:val="22"/>
          <w:lang w:val="es-MX" w:eastAsia="en-US"/>
        </w:rPr>
        <w:t>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00BEE52F"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 xml:space="preserve">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w:t>
      </w:r>
      <w:r w:rsidRPr="00783C7C">
        <w:rPr>
          <w:rFonts w:ascii="Palatino Linotype" w:eastAsiaTheme="minorHAnsi" w:hAnsi="Palatino Linotype" w:cstheme="minorBidi"/>
          <w:szCs w:val="22"/>
          <w:lang w:val="es-MX" w:eastAsia="en-US"/>
        </w:rPr>
        <w:lastRenderedPageBreak/>
        <w:t>eventual reincidencia, pero no serán públicas, porciones legales cuyo contenido literal es el siguiente:</w:t>
      </w:r>
    </w:p>
    <w:p w14:paraId="366AEF40"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3F69466A" w14:textId="77777777" w:rsidR="000F7BD6" w:rsidRPr="00783C7C" w:rsidRDefault="000F7BD6" w:rsidP="000F7BD6">
      <w:pPr>
        <w:tabs>
          <w:tab w:val="left" w:pos="709"/>
        </w:tabs>
        <w:ind w:left="567" w:right="567"/>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General del Sistema Nacional Anticorrupción</w:t>
      </w:r>
    </w:p>
    <w:p w14:paraId="44BF1F7B" w14:textId="77777777" w:rsidR="000F7BD6" w:rsidRPr="00783C7C" w:rsidRDefault="000F7BD6" w:rsidP="000F7BD6">
      <w:pPr>
        <w:tabs>
          <w:tab w:val="left" w:pos="709"/>
        </w:tabs>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“53…</w:t>
      </w:r>
    </w:p>
    <w:p w14:paraId="73279CC1" w14:textId="77777777" w:rsidR="000F7BD6" w:rsidRPr="00783C7C" w:rsidRDefault="000F7BD6" w:rsidP="000F7BD6">
      <w:pPr>
        <w:tabs>
          <w:tab w:val="left" w:pos="709"/>
        </w:tabs>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i/>
          <w:sz w:val="22"/>
          <w:szCs w:val="22"/>
          <w:lang w:val="es-MX" w:eastAsia="en-US"/>
        </w:rPr>
        <w:t>Los registros de las sanciones relativas a responsabilidades administrativas no graves, quedarán registradas para efectos de eventual reincidencia, pero no serán públicas</w:t>
      </w:r>
      <w:r w:rsidRPr="00783C7C">
        <w:rPr>
          <w:rFonts w:ascii="Palatino Linotype" w:eastAsiaTheme="minorHAnsi" w:hAnsi="Palatino Linotype" w:cstheme="minorBidi"/>
          <w:b/>
          <w:i/>
          <w:sz w:val="22"/>
          <w:szCs w:val="22"/>
          <w:lang w:val="es-MX" w:eastAsia="en-US"/>
        </w:rPr>
        <w:t xml:space="preserve">...” </w:t>
      </w:r>
    </w:p>
    <w:p w14:paraId="51B5879B" w14:textId="77777777" w:rsidR="000F7BD6" w:rsidRPr="00783C7C" w:rsidRDefault="000F7BD6" w:rsidP="000F7BD6">
      <w:pPr>
        <w:tabs>
          <w:tab w:val="left" w:pos="709"/>
        </w:tabs>
        <w:ind w:left="567" w:right="567"/>
        <w:jc w:val="both"/>
        <w:rPr>
          <w:rFonts w:ascii="Palatino Linotype" w:eastAsiaTheme="minorHAnsi" w:hAnsi="Palatino Linotype" w:cstheme="minorBidi"/>
          <w:b/>
          <w:i/>
          <w:sz w:val="22"/>
          <w:szCs w:val="22"/>
          <w:lang w:val="es-MX" w:eastAsia="en-US"/>
        </w:rPr>
      </w:pPr>
    </w:p>
    <w:p w14:paraId="3C2029F0" w14:textId="77777777" w:rsidR="000F7BD6" w:rsidRPr="00783C7C" w:rsidRDefault="000F7BD6" w:rsidP="000F7BD6">
      <w:pPr>
        <w:tabs>
          <w:tab w:val="left" w:pos="709"/>
        </w:tabs>
        <w:ind w:left="567" w:right="567"/>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del Sistema Anticorrupción del Estado de México</w:t>
      </w:r>
    </w:p>
    <w:p w14:paraId="38F5B3DB" w14:textId="77777777" w:rsidR="000F7BD6" w:rsidRPr="00783C7C" w:rsidRDefault="000F7BD6" w:rsidP="000F7BD6">
      <w:pPr>
        <w:tabs>
          <w:tab w:val="left" w:pos="709"/>
        </w:tabs>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“53…</w:t>
      </w:r>
    </w:p>
    <w:p w14:paraId="45019FF7" w14:textId="77777777" w:rsidR="000F7BD6" w:rsidRPr="00783C7C" w:rsidRDefault="000F7BD6" w:rsidP="000F7BD6">
      <w:pPr>
        <w:tabs>
          <w:tab w:val="left" w:pos="709"/>
        </w:tabs>
        <w:ind w:left="567" w:right="567"/>
        <w:jc w:val="both"/>
        <w:rPr>
          <w:rFonts w:ascii="Palatino Linotype" w:eastAsiaTheme="minorHAnsi" w:hAnsi="Palatino Linotype" w:cstheme="minorBidi"/>
          <w:sz w:val="22"/>
          <w:szCs w:val="22"/>
          <w:lang w:val="es-MX" w:eastAsia="en-US"/>
        </w:rPr>
      </w:pPr>
      <w:r w:rsidRPr="00783C7C">
        <w:rPr>
          <w:rFonts w:ascii="Palatino Linotype" w:eastAsiaTheme="minorHAnsi" w:hAnsi="Palatino Linotype" w:cstheme="minorBidi"/>
          <w:sz w:val="22"/>
          <w:szCs w:val="22"/>
          <w:lang w:val="es-MX" w:eastAsia="en-US"/>
        </w:rPr>
        <w:t>Los registros de las sanciones relativas a responsabilidades administrativas no graves, quedarán registradas para efectos de eventual reincidencia, pero no serán públicas…”</w:t>
      </w:r>
    </w:p>
    <w:p w14:paraId="6A62A48A" w14:textId="77777777" w:rsidR="000F7BD6" w:rsidRPr="00783C7C" w:rsidRDefault="000F7BD6" w:rsidP="000F7BD6">
      <w:pPr>
        <w:tabs>
          <w:tab w:val="left" w:pos="709"/>
        </w:tabs>
        <w:ind w:left="567" w:right="567"/>
        <w:jc w:val="both"/>
        <w:rPr>
          <w:rFonts w:ascii="Palatino Linotype" w:eastAsiaTheme="minorHAnsi" w:hAnsi="Palatino Linotype" w:cstheme="minorBidi"/>
          <w:sz w:val="22"/>
          <w:szCs w:val="22"/>
          <w:lang w:val="es-MX" w:eastAsia="en-US"/>
        </w:rPr>
      </w:pPr>
    </w:p>
    <w:p w14:paraId="654F2BDB" w14:textId="77777777" w:rsidR="000F7BD6" w:rsidRPr="00783C7C" w:rsidRDefault="000F7BD6" w:rsidP="000F7BD6">
      <w:pPr>
        <w:tabs>
          <w:tab w:val="left" w:pos="709"/>
        </w:tabs>
        <w:ind w:left="567" w:right="567"/>
        <w:jc w:val="center"/>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Ley General de Responsabilidades Administrativas</w:t>
      </w:r>
    </w:p>
    <w:p w14:paraId="295255B7" w14:textId="77777777" w:rsidR="000F7BD6" w:rsidRPr="00783C7C" w:rsidRDefault="000F7BD6" w:rsidP="000F7BD6">
      <w:pPr>
        <w:tabs>
          <w:tab w:val="left" w:pos="709"/>
        </w:tabs>
        <w:ind w:left="567" w:right="567"/>
        <w:jc w:val="both"/>
        <w:rPr>
          <w:rFonts w:ascii="Palatino Linotype" w:eastAsiaTheme="minorHAnsi" w:hAnsi="Palatino Linotype" w:cstheme="minorBidi"/>
          <w:b/>
          <w:i/>
          <w:sz w:val="22"/>
          <w:szCs w:val="22"/>
          <w:lang w:val="es-MX" w:eastAsia="en-US"/>
        </w:rPr>
      </w:pPr>
      <w:r w:rsidRPr="00783C7C">
        <w:rPr>
          <w:rFonts w:ascii="Palatino Linotype" w:eastAsiaTheme="minorHAnsi" w:hAnsi="Palatino Linotype" w:cstheme="minorBidi"/>
          <w:b/>
          <w:i/>
          <w:sz w:val="22"/>
          <w:szCs w:val="22"/>
          <w:lang w:val="es-MX" w:eastAsia="en-US"/>
        </w:rPr>
        <w:t>“27…</w:t>
      </w:r>
    </w:p>
    <w:p w14:paraId="56AF0932" w14:textId="77777777" w:rsidR="000F7BD6" w:rsidRPr="00783C7C" w:rsidRDefault="000F7BD6" w:rsidP="000F7BD6">
      <w:pPr>
        <w:tabs>
          <w:tab w:val="left" w:pos="709"/>
        </w:tabs>
        <w:ind w:left="567" w:right="567"/>
        <w:jc w:val="both"/>
        <w:rPr>
          <w:rFonts w:ascii="Palatino Linotype" w:eastAsiaTheme="minorHAnsi" w:hAnsi="Palatino Linotype" w:cstheme="minorBidi"/>
          <w:i/>
          <w:sz w:val="22"/>
          <w:szCs w:val="22"/>
          <w:lang w:val="es-MX" w:eastAsia="en-US"/>
        </w:rPr>
      </w:pPr>
      <w:proofErr w:type="gramStart"/>
      <w:r w:rsidRPr="00783C7C">
        <w:rPr>
          <w:rFonts w:ascii="Palatino Linotype" w:eastAsiaTheme="minorHAnsi" w:hAnsi="Palatino Linotype" w:cstheme="minorBidi"/>
          <w:i/>
          <w:sz w:val="22"/>
          <w:szCs w:val="22"/>
          <w:lang w:val="es-MX" w:eastAsia="en-US"/>
        </w:rPr>
        <w:t>así</w:t>
      </w:r>
      <w:proofErr w:type="gramEnd"/>
      <w:r w:rsidRPr="00783C7C">
        <w:rPr>
          <w:rFonts w:ascii="Palatino Linotype" w:eastAsiaTheme="minorHAnsi" w:hAnsi="Palatino Linotype" w:cstheme="minorBidi"/>
          <w:i/>
          <w:sz w:val="22"/>
          <w:szCs w:val="22"/>
          <w:lang w:val="es-MX" w:eastAsia="en-US"/>
        </w:rPr>
        <w:t xml:space="preserve"> como la anotación de aquellas abstenciones que hayan realizado las autoridades investigadoras o el Tribunal, en términos de los artículos 77 y 80 de esta Ley”.</w:t>
      </w:r>
    </w:p>
    <w:p w14:paraId="1400BA74" w14:textId="77777777" w:rsidR="000F7BD6" w:rsidRPr="00783C7C" w:rsidRDefault="000F7BD6" w:rsidP="000F7BD6">
      <w:pPr>
        <w:tabs>
          <w:tab w:val="left" w:pos="709"/>
        </w:tabs>
        <w:spacing w:line="360" w:lineRule="auto"/>
        <w:ind w:right="567"/>
        <w:jc w:val="both"/>
        <w:rPr>
          <w:rFonts w:ascii="Palatino Linotype" w:eastAsiaTheme="minorHAnsi" w:hAnsi="Palatino Linotype" w:cstheme="minorBidi"/>
          <w:szCs w:val="22"/>
          <w:lang w:val="es-MX" w:eastAsia="en-US"/>
        </w:rPr>
      </w:pPr>
    </w:p>
    <w:p w14:paraId="7AFDAE35"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los oficios que integran expedientes que contienen procedimientos de responsabilidad administrativa originados por motivo de faltas administrativas no graves, en las que se haya determinado imponer alguna sanción, por determinación de la ley las mismas no son consideradas públicas.</w:t>
      </w:r>
    </w:p>
    <w:p w14:paraId="71111EB0"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38D33475"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 xml:space="preserve">Correlativo a lo anterior, con fundamento en el artículo 27, párrafo cuarto, segundo supuesto de la Ley General de Responsabilidades Administrativas, se determina que los expedientes que contienen abstenciones derivadas de investigaciones o </w:t>
      </w:r>
      <w:r w:rsidRPr="00783C7C">
        <w:rPr>
          <w:rFonts w:ascii="Palatino Linotype" w:eastAsiaTheme="minorHAnsi" w:hAnsi="Palatino Linotype" w:cstheme="minorBidi"/>
          <w:szCs w:val="22"/>
          <w:lang w:val="es-MX" w:eastAsia="en-US"/>
        </w:rPr>
        <w:lastRenderedPageBreak/>
        <w:t>procedimientos de responsabilidad administrativa originados por faltas administrativas no graves, no se harán públicas.</w:t>
      </w:r>
    </w:p>
    <w:p w14:paraId="19904359"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4E7474D0"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Finalmente, para el caso de que algún documento forme parte de procedimientos de sanciones graves absolutorias, concluidos, se procederá a su acceso en versión 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64B23457" w14:textId="77777777" w:rsidR="000F7BD6" w:rsidRPr="00783C7C" w:rsidRDefault="000F7BD6" w:rsidP="000F7BD6">
      <w:pPr>
        <w:tabs>
          <w:tab w:val="left" w:pos="709"/>
        </w:tabs>
        <w:spacing w:line="360" w:lineRule="auto"/>
        <w:jc w:val="both"/>
        <w:rPr>
          <w:rFonts w:ascii="Palatino Linotype" w:eastAsiaTheme="minorHAnsi" w:hAnsi="Palatino Linotype" w:cstheme="minorBidi"/>
          <w:b/>
          <w:szCs w:val="22"/>
          <w:lang w:val="es-MX" w:eastAsia="en-US"/>
        </w:rPr>
      </w:pPr>
    </w:p>
    <w:p w14:paraId="238ED336"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 xml:space="preserve">Bajo este contexto, se considera que en el supuesto de que la información se encuentre en alguno de los supuestos antes establecidos, el </w:t>
      </w:r>
      <w:r w:rsidRPr="00783C7C">
        <w:rPr>
          <w:rFonts w:ascii="Palatino Linotype" w:eastAsiaTheme="minorHAnsi" w:hAnsi="Palatino Linotype" w:cstheme="minorBidi"/>
          <w:b/>
          <w:szCs w:val="22"/>
          <w:lang w:val="es-MX" w:eastAsia="en-US"/>
        </w:rPr>
        <w:t>Sujeto Obligado</w:t>
      </w:r>
      <w:r w:rsidRPr="00783C7C">
        <w:rPr>
          <w:rFonts w:ascii="Palatino Linotype" w:eastAsiaTheme="minorHAnsi" w:hAnsi="Palatino Linotype" w:cstheme="minorBidi"/>
          <w:szCs w:val="22"/>
          <w:lang w:val="es-MX" w:eastAsia="en-US"/>
        </w:rPr>
        <w:t xml:space="preserve"> deberá clasificar la información, emitiendo en su caso el acuerdo correspondiente</w:t>
      </w:r>
      <w:r w:rsidRPr="00783C7C">
        <w:rPr>
          <w:rFonts w:ascii="Palatino Linotype" w:eastAsiaTheme="minorHAnsi" w:hAnsi="Palatino Linotype" w:cstheme="minorBidi"/>
          <w:b/>
          <w:szCs w:val="22"/>
          <w:lang w:val="es-MX" w:eastAsia="en-US"/>
        </w:rPr>
        <w:t xml:space="preserve">, </w:t>
      </w:r>
      <w:r w:rsidRPr="00783C7C">
        <w:rPr>
          <w:rFonts w:ascii="Palatino Linotype" w:eastAsiaTheme="minorHAnsi" w:hAnsi="Palatino Linotype" w:cstheme="minorBidi"/>
          <w:szCs w:val="22"/>
          <w:lang w:val="es-MX" w:eastAsia="en-US"/>
        </w:rPr>
        <w:t>tomando en consideración que, de proporcionar el nombre de los servidores públicos relacionados al procedimiento de responsabilidades administrativas por faltas no graves, podría afectar su honor, buen nombre y su imagen.</w:t>
      </w:r>
    </w:p>
    <w:p w14:paraId="39497DC8"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536B4037"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Al respecto, la Suprema Corte de Justicia de la Nación ha reconocido como derechos fundamentales de las personas, el derecho a la intimidad y a la propia imagen, en el siguiente criterio:</w:t>
      </w:r>
    </w:p>
    <w:p w14:paraId="548B60A9"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020815B4" w14:textId="77777777" w:rsidR="000F7BD6" w:rsidRPr="00783C7C" w:rsidRDefault="000F7BD6" w:rsidP="000F7BD6">
      <w:pPr>
        <w:spacing w:line="259" w:lineRule="auto"/>
        <w:ind w:left="567" w:right="567"/>
        <w:jc w:val="both"/>
        <w:rPr>
          <w:rFonts w:ascii="Palatino Linotype" w:eastAsiaTheme="minorHAnsi" w:hAnsi="Palatino Linotype" w:cstheme="minorBidi"/>
          <w:i/>
          <w:sz w:val="22"/>
          <w:szCs w:val="22"/>
          <w:lang w:val="es-MX" w:eastAsia="en-US"/>
        </w:rPr>
      </w:pPr>
      <w:r w:rsidRPr="00783C7C">
        <w:rPr>
          <w:rFonts w:ascii="Palatino Linotype" w:eastAsiaTheme="minorHAnsi" w:hAnsi="Palatino Linotype" w:cstheme="minorBidi"/>
          <w:i/>
          <w:sz w:val="22"/>
          <w:szCs w:val="22"/>
          <w:lang w:val="es-MX" w:eastAsia="en-US"/>
        </w:rPr>
        <w:t>“</w:t>
      </w:r>
      <w:r w:rsidRPr="00783C7C">
        <w:rPr>
          <w:rFonts w:ascii="Palatino Linotype" w:eastAsiaTheme="minorHAnsi" w:hAnsi="Palatino Linotype" w:cstheme="minorBidi"/>
          <w:b/>
          <w:bCs/>
          <w:i/>
          <w:sz w:val="22"/>
          <w:szCs w:val="22"/>
          <w:lang w:val="es-MX" w:eastAsia="en-US"/>
        </w:rPr>
        <w:t xml:space="preserve">DERECHOS A LA INTIMIDAD, PROPIA IMAGEN, IDENTIDAD PERSONAL Y SEXUAL. CONSTITUYEN DERECHOS DE DEFENSA Y GARANTÍA ESENCIAL </w:t>
      </w:r>
      <w:r w:rsidRPr="00783C7C">
        <w:rPr>
          <w:rFonts w:ascii="Palatino Linotype" w:eastAsiaTheme="minorHAnsi" w:hAnsi="Palatino Linotype" w:cstheme="minorBidi"/>
          <w:b/>
          <w:bCs/>
          <w:i/>
          <w:sz w:val="22"/>
          <w:szCs w:val="22"/>
          <w:lang w:val="es-MX" w:eastAsia="en-US"/>
        </w:rPr>
        <w:lastRenderedPageBreak/>
        <w:t>PARA LA CONDICIÓN HUMANA</w:t>
      </w:r>
      <w:r w:rsidRPr="00783C7C">
        <w:rPr>
          <w:rFonts w:ascii="Palatino Linotype" w:eastAsiaTheme="minorHAnsi" w:hAnsi="Palatino Linotype" w:cstheme="minorBidi"/>
          <w:i/>
          <w:sz w:val="22"/>
          <w:szCs w:val="22"/>
          <w:lang w:val="es-MX" w:eastAsia="en-US"/>
        </w:rPr>
        <w:t>.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0B3559DC"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 xml:space="preserve"> </w:t>
      </w:r>
    </w:p>
    <w:p w14:paraId="18C4FAA2"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57CFDBAD"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5C2B6DB3"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lastRenderedPageBreak/>
        <w:t xml:space="preserve">Por lo expuesto, se desprende que dar a conocer el nombre del servidor público de un procedimiento de responsabilidad administrativa no grave, constituye información </w:t>
      </w:r>
      <w:r w:rsidRPr="00783C7C">
        <w:rPr>
          <w:rFonts w:ascii="Palatino Linotype" w:eastAsiaTheme="minorHAnsi" w:hAnsi="Palatino Linotype" w:cstheme="minorBidi"/>
          <w:b/>
          <w:bCs/>
          <w:szCs w:val="22"/>
          <w:lang w:val="es-MX" w:eastAsia="en-US"/>
        </w:rPr>
        <w:t xml:space="preserve">CONFIDENCIAL </w:t>
      </w:r>
      <w:r w:rsidRPr="00783C7C">
        <w:rPr>
          <w:rFonts w:ascii="Palatino Linotype" w:eastAsiaTheme="minorHAnsi" w:hAnsi="Palatino Linotype" w:cstheme="minorBidi"/>
          <w:szCs w:val="22"/>
          <w:lang w:val="es-MX" w:eastAsia="en-US"/>
        </w:rPr>
        <w:t>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091C5920"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p>
    <w:p w14:paraId="1F93E616"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 xml:space="preserve">En relación a los procedimientos de responsabilidades administrativas, por </w:t>
      </w:r>
      <w:r w:rsidRPr="00783C7C">
        <w:rPr>
          <w:rFonts w:ascii="Palatino Linotype" w:eastAsiaTheme="minorHAnsi" w:hAnsi="Palatino Linotype" w:cstheme="minorBidi"/>
          <w:b/>
          <w:bCs/>
          <w:szCs w:val="22"/>
          <w:lang w:val="es-MX" w:eastAsia="en-US"/>
        </w:rPr>
        <w:t>faltas graves</w:t>
      </w:r>
      <w:r w:rsidRPr="00783C7C">
        <w:rPr>
          <w:rFonts w:ascii="Palatino Linotype" w:eastAsiaTheme="minorHAnsi" w:hAnsi="Palatino Linotype" w:cstheme="minorBidi"/>
          <w:szCs w:val="22"/>
          <w:lang w:val="es-MX" w:eastAsia="en-US"/>
        </w:rPr>
        <w:t xml:space="preserve">, </w:t>
      </w:r>
      <w:r w:rsidRPr="00783C7C">
        <w:rPr>
          <w:rFonts w:ascii="Palatino Linotype" w:eastAsia="Calibri" w:hAnsi="Palatino Linotype" w:cs="Tahoma"/>
          <w:iCs/>
          <w:lang w:eastAsia="es-ES_tradnl"/>
        </w:rPr>
        <w:t xml:space="preserve">cabe señalar que, si bien entregar el nombre del servidor público que obtuvo una sanción administrativa, podría generar </w:t>
      </w:r>
      <w:r w:rsidRPr="00783C7C">
        <w:rPr>
          <w:rFonts w:ascii="Palatino Linotype" w:eastAsia="Calibri" w:hAnsi="Palatino Linotype" w:cs="Tahoma"/>
          <w:iCs/>
          <w:lang w:val="es-MX" w:eastAsia="es-ES_tradnl"/>
        </w:rPr>
        <w:t xml:space="preserve">una percepción negativa de éste, ocasionando un perjuicio en su </w:t>
      </w:r>
      <w:r w:rsidRPr="00783C7C">
        <w:rPr>
          <w:rFonts w:ascii="Palatino Linotype" w:eastAsia="Calibri" w:hAnsi="Palatino Linotype" w:cs="Tahoma"/>
          <w:b/>
          <w:iCs/>
          <w:lang w:val="es-MX" w:eastAsia="es-ES_tradnl"/>
        </w:rPr>
        <w:t xml:space="preserve">honor, intimidad, buena imagen y nombre, así como a su vida privada, </w:t>
      </w:r>
      <w:r w:rsidRPr="00783C7C">
        <w:rPr>
          <w:rFonts w:ascii="Palatino Linotype" w:eastAsia="Calibri" w:hAnsi="Palatino Linotype" w:cs="Tahoma"/>
          <w:iCs/>
          <w:lang w:val="es-MX" w:eastAsia="es-ES_tradnl"/>
        </w:rPr>
        <w:t xml:space="preserve">también lo es, que en el presente caso se trata de </w:t>
      </w:r>
      <w:r w:rsidRPr="00783C7C">
        <w:rPr>
          <w:rFonts w:ascii="Palatino Linotype" w:eastAsia="Calibri" w:hAnsi="Palatino Linotype" w:cs="Tahoma"/>
          <w:b/>
          <w:iCs/>
          <w:lang w:val="es-MX" w:eastAsia="es-ES_tradnl"/>
        </w:rPr>
        <w:t>faltas graves.</w:t>
      </w:r>
    </w:p>
    <w:p w14:paraId="07EE9C15" w14:textId="77777777" w:rsidR="000F7BD6" w:rsidRPr="00783C7C" w:rsidRDefault="000F7BD6" w:rsidP="000F7BD6">
      <w:pPr>
        <w:spacing w:line="360" w:lineRule="auto"/>
        <w:jc w:val="both"/>
        <w:rPr>
          <w:rFonts w:ascii="Palatino Linotype" w:eastAsia="Calibri" w:hAnsi="Palatino Linotype" w:cs="Tahoma"/>
          <w:iCs/>
          <w:lang w:val="es-MX" w:eastAsia="es-ES_tradnl"/>
        </w:rPr>
      </w:pPr>
    </w:p>
    <w:p w14:paraId="67E68D0C" w14:textId="77777777" w:rsidR="000F7BD6" w:rsidRPr="00783C7C" w:rsidRDefault="000F7BD6" w:rsidP="000F7BD6">
      <w:pPr>
        <w:spacing w:line="360" w:lineRule="auto"/>
        <w:jc w:val="both"/>
        <w:rPr>
          <w:rFonts w:ascii="Palatino Linotype" w:eastAsia="Calibri" w:hAnsi="Palatino Linotype" w:cs="Tahoma"/>
          <w:iCs/>
          <w:lang w:val="es-MX" w:eastAsia="es-ES_tradnl"/>
        </w:rPr>
      </w:pPr>
      <w:r w:rsidRPr="00783C7C">
        <w:rPr>
          <w:rFonts w:ascii="Palatino Linotype" w:eastAsia="Calibri" w:hAnsi="Palatino Linotype" w:cs="Tahoma"/>
          <w:iCs/>
          <w:lang w:val="es-MX" w:eastAsia="es-ES_tradnl"/>
        </w:rPr>
        <w:t>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influencias, entre otros, los cuales recaer en diversas sanciones, entre las que se encuentran la destitución o en su caso, la sanción económica.</w:t>
      </w:r>
    </w:p>
    <w:p w14:paraId="12BDE0C6"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1964D67C"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14:paraId="4C85229F"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2A8E03DB"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2536B716"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3F1A8841"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 xml:space="preserve">En ese orden de ideas, si bien el nombre de los servidores públicos sancionados por un procedimientos de responsabilidades administrativas por faltas graves, en caso de existir, podrían generar </w:t>
      </w:r>
      <w:r w:rsidRPr="00783C7C">
        <w:rPr>
          <w:rFonts w:ascii="Palatino Linotype" w:eastAsia="Calibri" w:hAnsi="Palatino Linotype" w:cs="Tahoma"/>
          <w:iCs/>
          <w:lang w:val="es-MX" w:eastAsia="es-ES_tradnl"/>
        </w:rPr>
        <w:t>una percepción negativa de éste,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77EA0777" w14:textId="77777777" w:rsidR="000F7BD6" w:rsidRPr="00783C7C" w:rsidRDefault="000F7BD6" w:rsidP="000F7BD6">
      <w:pPr>
        <w:spacing w:line="360" w:lineRule="auto"/>
        <w:jc w:val="both"/>
        <w:rPr>
          <w:rFonts w:ascii="Palatino Linotype" w:eastAsia="Calibri" w:hAnsi="Palatino Linotype" w:cs="Tahoma"/>
          <w:b/>
          <w:iCs/>
          <w:lang w:eastAsia="es-ES_tradnl"/>
        </w:rPr>
      </w:pPr>
    </w:p>
    <w:p w14:paraId="682D68F9" w14:textId="77777777" w:rsidR="000F7BD6" w:rsidRPr="00783C7C" w:rsidRDefault="000F7BD6" w:rsidP="000F7BD6">
      <w:pPr>
        <w:spacing w:line="360" w:lineRule="auto"/>
        <w:ind w:right="-93"/>
        <w:jc w:val="both"/>
        <w:rPr>
          <w:rFonts w:ascii="Palatino Linotype" w:eastAsia="Calibri" w:hAnsi="Palatino Linotype" w:cs="Tahoma"/>
          <w:bCs/>
          <w:lang w:val="es-MX" w:eastAsia="en-US"/>
        </w:rPr>
      </w:pPr>
      <w:r w:rsidRPr="00783C7C">
        <w:rPr>
          <w:rFonts w:ascii="Palatino Linotype" w:eastAsia="Calibri" w:hAnsi="Palatino Linotype" w:cs="Tahoma"/>
          <w:bCs/>
          <w:lang w:val="es-MX" w:eastAsia="en-US"/>
        </w:rPr>
        <w:t xml:space="preserve">Ante tales circunstancias, se desprende que, en el caso concreto, sobreviene una </w:t>
      </w:r>
      <w:r w:rsidRPr="00783C7C">
        <w:rPr>
          <w:rFonts w:ascii="Palatino Linotype" w:eastAsia="Calibri" w:hAnsi="Palatino Linotype" w:cs="Tahoma"/>
          <w:b/>
          <w:bCs/>
          <w:lang w:val="es-MX" w:eastAsia="en-US"/>
        </w:rPr>
        <w:t>colisión de derechos fundamentales,</w:t>
      </w:r>
      <w:r w:rsidRPr="00783C7C">
        <w:rPr>
          <w:rFonts w:ascii="Palatino Linotype" w:eastAsia="Calibri" w:hAnsi="Palatino Linotype" w:cs="Tahoma"/>
          <w:bCs/>
          <w:lang w:val="es-MX" w:eastAsia="en-US"/>
        </w:rPr>
        <w:t xml:space="preserve">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dar a conocer que estuvo inmerso en un procedimiento de responsabilidad administrativa de falta grave.</w:t>
      </w:r>
    </w:p>
    <w:p w14:paraId="31210554" w14:textId="77777777" w:rsidR="000F7BD6" w:rsidRPr="00783C7C" w:rsidRDefault="000F7BD6" w:rsidP="000F7BD6">
      <w:pPr>
        <w:spacing w:line="360" w:lineRule="auto"/>
        <w:ind w:right="-93"/>
        <w:jc w:val="both"/>
        <w:rPr>
          <w:rFonts w:ascii="Palatino Linotype" w:eastAsia="Calibri" w:hAnsi="Palatino Linotype" w:cs="Tahoma"/>
          <w:bCs/>
          <w:lang w:val="es-MX" w:eastAsia="en-US"/>
        </w:rPr>
      </w:pPr>
    </w:p>
    <w:p w14:paraId="5AD63E6E" w14:textId="77777777" w:rsidR="000F7BD6" w:rsidRPr="00783C7C" w:rsidRDefault="000F7BD6" w:rsidP="000F7BD6">
      <w:pPr>
        <w:spacing w:line="360" w:lineRule="auto"/>
        <w:ind w:right="-93"/>
        <w:jc w:val="both"/>
        <w:rPr>
          <w:rFonts w:ascii="Palatino Linotype" w:eastAsia="Calibri" w:hAnsi="Palatino Linotype" w:cs="Tahoma"/>
          <w:bCs/>
          <w:lang w:val="es-MX" w:eastAsia="en-US"/>
        </w:rPr>
      </w:pPr>
      <w:r w:rsidRPr="00783C7C">
        <w:rPr>
          <w:rFonts w:ascii="Palatino Linotype" w:eastAsia="Calibri" w:hAnsi="Palatino Linotype" w:cs="Tahoma"/>
          <w:bCs/>
          <w:lang w:val="es-MX" w:eastAsia="en-US"/>
        </w:rPr>
        <w:t xml:space="preserve">Sobre el particular, debe señalarse que, en un sistema jurídico racional, el contenido de ciertos derechos fundamentales no es absoluto y la colisión entre derechos fundamentales debe resolverse mediante una ponderación que determine el derecho </w:t>
      </w:r>
      <w:r w:rsidRPr="00783C7C">
        <w:rPr>
          <w:rFonts w:ascii="Palatino Linotype" w:eastAsia="Calibri" w:hAnsi="Palatino Linotype" w:cs="Tahoma"/>
          <w:bCs/>
          <w:lang w:val="es-MX" w:eastAsia="en-US"/>
        </w:rPr>
        <w:lastRenderedPageBreak/>
        <w:t>que ha de prevalecer en el caso concretó, y no apelando a reglas de prioridad entre normas.</w:t>
      </w:r>
    </w:p>
    <w:p w14:paraId="6825F6C6" w14:textId="77777777" w:rsidR="000F7BD6" w:rsidRPr="00783C7C" w:rsidRDefault="000F7BD6" w:rsidP="000F7BD6">
      <w:pPr>
        <w:spacing w:line="360" w:lineRule="auto"/>
        <w:ind w:right="-93"/>
        <w:jc w:val="both"/>
        <w:rPr>
          <w:rFonts w:ascii="Palatino Linotype" w:eastAsia="Calibri" w:hAnsi="Palatino Linotype" w:cs="Tahoma"/>
          <w:bCs/>
          <w:lang w:val="es-MX" w:eastAsia="en-US"/>
        </w:rPr>
      </w:pPr>
    </w:p>
    <w:p w14:paraId="1378EA97" w14:textId="77777777" w:rsidR="000F7BD6" w:rsidRPr="00783C7C" w:rsidRDefault="000F7BD6" w:rsidP="000F7BD6">
      <w:pPr>
        <w:spacing w:line="360" w:lineRule="auto"/>
        <w:ind w:right="-93"/>
        <w:jc w:val="both"/>
        <w:rPr>
          <w:rFonts w:ascii="Palatino Linotype" w:eastAsia="Calibri" w:hAnsi="Palatino Linotype" w:cs="Tahoma"/>
          <w:bCs/>
          <w:lang w:val="es-MX" w:eastAsia="en-US"/>
        </w:rPr>
      </w:pPr>
      <w:r w:rsidRPr="00783C7C">
        <w:rPr>
          <w:rFonts w:ascii="Palatino Linotype" w:eastAsia="Calibri" w:hAnsi="Palatino Linotype" w:cs="Tahoma"/>
          <w:bCs/>
          <w:lang w:val="es-MX" w:eastAsia="en-US"/>
        </w:rPr>
        <w:t xml:space="preserve">Por cuanto hace a la colisión entre el derecho a la información y el derecho a la intimidad o a la vida privada, el Poder Judicial de la Federación ha sostenido la </w:t>
      </w:r>
      <w:r w:rsidRPr="00783C7C">
        <w:rPr>
          <w:rFonts w:ascii="Palatino Linotype" w:eastAsia="Calibri" w:hAnsi="Palatino Linotype" w:cs="Tahoma"/>
          <w:b/>
          <w:bCs/>
          <w:lang w:val="es-MX" w:eastAsia="en-U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783C7C">
        <w:rPr>
          <w:rFonts w:ascii="Palatino Linotype" w:eastAsia="Calibri" w:hAnsi="Palatino Linotype" w:cs="Tahoma"/>
          <w:bCs/>
          <w:lang w:val="es-MX" w:eastAsia="en-U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0CC6279" w14:textId="77777777" w:rsidR="000F7BD6" w:rsidRPr="00783C7C" w:rsidRDefault="000F7BD6" w:rsidP="000F7BD6">
      <w:pPr>
        <w:spacing w:line="360" w:lineRule="auto"/>
        <w:rPr>
          <w:rFonts w:ascii="Palatino Linotype" w:eastAsia="Calibri" w:hAnsi="Palatino Linotype" w:cs="Tahoma"/>
          <w:bCs/>
          <w:lang w:val="es-MX" w:eastAsia="en-US"/>
        </w:rPr>
      </w:pPr>
    </w:p>
    <w:p w14:paraId="5BEA7799" w14:textId="77777777" w:rsidR="000F7BD6" w:rsidRPr="00783C7C" w:rsidRDefault="000F7BD6" w:rsidP="000F7BD6">
      <w:pPr>
        <w:spacing w:line="360" w:lineRule="auto"/>
        <w:jc w:val="both"/>
        <w:rPr>
          <w:rFonts w:ascii="Palatino Linotype" w:hAnsi="Palatino Linotype" w:cs="Tahoma"/>
          <w:bCs/>
          <w:iCs/>
          <w:lang w:val="es-MX"/>
        </w:rPr>
      </w:pPr>
      <w:r w:rsidRPr="00783C7C">
        <w:rPr>
          <w:rFonts w:ascii="Palatino Linotype" w:eastAsia="Calibri" w:hAnsi="Palatino Linotype" w:cs="Tahoma"/>
          <w:bCs/>
          <w:lang w:val="es-MX" w:eastAsia="en-US"/>
        </w:rPr>
        <w:t>En ese mismo sentido y atendiendo a la naturaleza del derecho a la protección de datos personales, por analogía, este debe ceder cuando exista un interés público mayor de acuerdo a las circunstancias del caso.</w:t>
      </w:r>
      <w:r w:rsidRPr="00783C7C">
        <w:rPr>
          <w:rFonts w:ascii="Palatino Linotype" w:hAnsi="Palatino Linotype" w:cs="Tahoma"/>
          <w:bCs/>
          <w:iCs/>
          <w:lang w:val="es-MX"/>
        </w:rPr>
        <w:t xml:space="preserve"> Señalado lo anterior, resulta necesario realizar una ponderación de los dos intereses jurídicos tutelados que convergen en la controversia que se dirime; para lo cual, el artículo </w:t>
      </w:r>
      <w:r w:rsidRPr="00783C7C">
        <w:rPr>
          <w:rFonts w:ascii="Palatino Linotype" w:eastAsia="Calibri" w:hAnsi="Palatino Linotype" w:cs="Tahoma"/>
          <w:bCs/>
          <w:lang w:val="es-MX" w:eastAsia="en-US"/>
        </w:rPr>
        <w:t>184 de la Ley de Transparencia y Acceso a la Información Pública del Estado de México y Municipios</w:t>
      </w:r>
      <w:r w:rsidRPr="00783C7C">
        <w:rPr>
          <w:rFonts w:ascii="Palatino Linotype" w:hAnsi="Palatino Linotype" w:cs="Tahoma"/>
          <w:bCs/>
          <w:iCs/>
          <w:lang w:val="es-MX"/>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4CFB18E6" w14:textId="77777777" w:rsidR="000F7BD6" w:rsidRPr="00783C7C" w:rsidRDefault="000F7BD6" w:rsidP="000F7BD6">
      <w:pPr>
        <w:spacing w:line="360" w:lineRule="auto"/>
        <w:ind w:right="49"/>
        <w:jc w:val="both"/>
        <w:rPr>
          <w:rFonts w:ascii="Palatino Linotype" w:hAnsi="Palatino Linotype" w:cs="Tahoma"/>
          <w:bCs/>
          <w:iCs/>
          <w:lang w:val="es-MX"/>
        </w:rPr>
      </w:pPr>
    </w:p>
    <w:p w14:paraId="57F7141B" w14:textId="77777777" w:rsidR="000F7BD6" w:rsidRPr="00783C7C" w:rsidRDefault="000F7BD6" w:rsidP="000F7BD6">
      <w:pPr>
        <w:numPr>
          <w:ilvl w:val="0"/>
          <w:numId w:val="38"/>
        </w:numPr>
        <w:spacing w:after="160" w:line="360" w:lineRule="auto"/>
        <w:ind w:left="426" w:right="49" w:hanging="426"/>
        <w:contextualSpacing/>
        <w:jc w:val="both"/>
        <w:rPr>
          <w:rFonts w:ascii="Palatino Linotype" w:hAnsi="Palatino Linotype" w:cs="Tahoma"/>
          <w:bCs/>
          <w:iCs/>
          <w:lang w:val="es-MX"/>
        </w:rPr>
      </w:pPr>
      <w:r w:rsidRPr="00783C7C">
        <w:rPr>
          <w:rFonts w:ascii="Palatino Linotype" w:hAnsi="Palatino Linotype" w:cs="Tahoma"/>
          <w:b/>
          <w:bCs/>
          <w:iCs/>
          <w:lang w:val="es-MX"/>
        </w:rPr>
        <w:lastRenderedPageBreak/>
        <w:t>Idoneidad:</w:t>
      </w:r>
      <w:r w:rsidRPr="00783C7C">
        <w:rPr>
          <w:rFonts w:ascii="Palatino Linotype" w:hAnsi="Palatino Linotype" w:cs="Tahoma"/>
          <w:bCs/>
          <w:iCs/>
          <w:lang w:val="es-MX"/>
        </w:rPr>
        <w:t xml:space="preserve"> La legitimidad del derecho adoptado como preferente, que sea el adecuado para el logro de un fin constitucionalmente válido o apto para conseguir el fin pretendido;</w:t>
      </w:r>
    </w:p>
    <w:p w14:paraId="3CCB46DF" w14:textId="77777777" w:rsidR="000F7BD6" w:rsidRPr="00783C7C" w:rsidRDefault="000F7BD6" w:rsidP="000F7BD6">
      <w:pPr>
        <w:spacing w:line="360" w:lineRule="auto"/>
        <w:ind w:left="426" w:right="49"/>
        <w:contextualSpacing/>
        <w:jc w:val="both"/>
        <w:rPr>
          <w:rFonts w:ascii="Palatino Linotype" w:hAnsi="Palatino Linotype" w:cs="Tahoma"/>
          <w:bCs/>
          <w:iCs/>
          <w:lang w:val="es-MX"/>
        </w:rPr>
      </w:pPr>
    </w:p>
    <w:p w14:paraId="5D6AA48A" w14:textId="77777777" w:rsidR="000F7BD6" w:rsidRPr="00783C7C" w:rsidRDefault="000F7BD6" w:rsidP="000F7BD6">
      <w:pPr>
        <w:numPr>
          <w:ilvl w:val="0"/>
          <w:numId w:val="38"/>
        </w:numPr>
        <w:spacing w:after="160" w:line="360" w:lineRule="auto"/>
        <w:ind w:left="426" w:right="49" w:hanging="426"/>
        <w:contextualSpacing/>
        <w:jc w:val="both"/>
        <w:rPr>
          <w:rFonts w:ascii="Palatino Linotype" w:hAnsi="Palatino Linotype" w:cs="Tahoma"/>
          <w:bCs/>
          <w:iCs/>
          <w:lang w:val="es-MX"/>
        </w:rPr>
      </w:pPr>
      <w:r w:rsidRPr="00783C7C">
        <w:rPr>
          <w:rFonts w:ascii="Palatino Linotype" w:hAnsi="Palatino Linotype" w:cs="Tahoma"/>
          <w:b/>
          <w:bCs/>
          <w:iCs/>
          <w:lang w:val="es-MX"/>
        </w:rPr>
        <w:t>Necesidad:</w:t>
      </w:r>
      <w:r w:rsidRPr="00783C7C">
        <w:rPr>
          <w:rFonts w:ascii="Palatino Linotype" w:hAnsi="Palatino Linotype" w:cs="Tahoma"/>
          <w:bCs/>
          <w:iCs/>
          <w:lang w:val="es-MX"/>
        </w:rPr>
        <w:t xml:space="preserve"> La falta de un medio alternativo menos lesivo a la apertura de la información, para satisfacer el interés público, y</w:t>
      </w:r>
    </w:p>
    <w:p w14:paraId="5F371F91" w14:textId="77777777" w:rsidR="000F7BD6" w:rsidRPr="00783C7C" w:rsidRDefault="000F7BD6" w:rsidP="000F7BD6">
      <w:pPr>
        <w:spacing w:line="360" w:lineRule="auto"/>
        <w:ind w:left="426" w:right="49"/>
        <w:contextualSpacing/>
        <w:jc w:val="both"/>
        <w:rPr>
          <w:rFonts w:ascii="Palatino Linotype" w:hAnsi="Palatino Linotype" w:cs="Tahoma"/>
          <w:bCs/>
          <w:iCs/>
          <w:lang w:val="es-MX"/>
        </w:rPr>
      </w:pPr>
    </w:p>
    <w:p w14:paraId="60C2EAEB" w14:textId="77777777" w:rsidR="000F7BD6" w:rsidRPr="00783C7C" w:rsidRDefault="000F7BD6" w:rsidP="000F7BD6">
      <w:pPr>
        <w:numPr>
          <w:ilvl w:val="0"/>
          <w:numId w:val="38"/>
        </w:numPr>
        <w:spacing w:after="160" w:line="360" w:lineRule="auto"/>
        <w:ind w:left="426" w:right="49" w:hanging="426"/>
        <w:contextualSpacing/>
        <w:jc w:val="both"/>
        <w:rPr>
          <w:rFonts w:ascii="Palatino Linotype" w:hAnsi="Palatino Linotype" w:cs="Tahoma"/>
          <w:bCs/>
          <w:iCs/>
          <w:lang w:val="es-MX"/>
        </w:rPr>
      </w:pPr>
      <w:r w:rsidRPr="00783C7C">
        <w:rPr>
          <w:rFonts w:ascii="Palatino Linotype" w:hAnsi="Palatino Linotype" w:cs="Tahoma"/>
          <w:b/>
          <w:bCs/>
          <w:iCs/>
          <w:lang w:val="es-MX"/>
        </w:rPr>
        <w:t>Proporcionalidad:</w:t>
      </w:r>
      <w:r w:rsidRPr="00783C7C">
        <w:rPr>
          <w:rFonts w:ascii="Palatino Linotype" w:hAnsi="Palatino Linotype" w:cs="Tahoma"/>
          <w:bCs/>
          <w:iCs/>
          <w:lang w:val="es-MX"/>
        </w:rPr>
        <w:t xml:space="preserve"> El equilibrio entre perjuicio y beneficio a favor del interés público, a fin de que la decisión tomada represente un beneficio mayor al perjuicio que podría causar a la población.</w:t>
      </w:r>
    </w:p>
    <w:p w14:paraId="30BB3321" w14:textId="77777777" w:rsidR="000F7BD6" w:rsidRPr="00783C7C" w:rsidRDefault="000F7BD6" w:rsidP="000F7BD6">
      <w:pPr>
        <w:spacing w:line="360" w:lineRule="auto"/>
        <w:ind w:right="-93"/>
        <w:jc w:val="both"/>
        <w:rPr>
          <w:rFonts w:ascii="Palatino Linotype" w:eastAsia="Calibri" w:hAnsi="Palatino Linotype" w:cs="Tahoma"/>
          <w:bCs/>
          <w:lang w:val="es-MX" w:eastAsia="en-US"/>
        </w:rPr>
      </w:pPr>
    </w:p>
    <w:p w14:paraId="18A55933" w14:textId="77777777" w:rsidR="000F7BD6" w:rsidRPr="00783C7C" w:rsidRDefault="000F7BD6" w:rsidP="000F7BD6">
      <w:pPr>
        <w:spacing w:line="360" w:lineRule="auto"/>
        <w:ind w:right="-1"/>
        <w:jc w:val="both"/>
        <w:rPr>
          <w:rFonts w:ascii="Palatino Linotype" w:eastAsia="Calibri" w:hAnsi="Palatino Linotype" w:cs="Tahoma"/>
          <w:lang w:val="es-MX"/>
        </w:rPr>
      </w:pPr>
      <w:r w:rsidRPr="00783C7C">
        <w:rPr>
          <w:rFonts w:ascii="Palatino Linotype" w:eastAsia="Calibri" w:hAnsi="Palatino Linotype" w:cs="Tahoma"/>
          <w:lang w:val="es-MX"/>
        </w:rPr>
        <w:t>En ese orden de ideas, resulta procedente analizar cada uno de los elementos referidos, partiendo de que, en el caso concreto, se estima como preferente el derecho de acceso a la información, bajo las consideraciones que se verterán a continuación.</w:t>
      </w:r>
    </w:p>
    <w:p w14:paraId="1A5BB5B3" w14:textId="77777777" w:rsidR="000F7BD6" w:rsidRPr="00783C7C" w:rsidRDefault="000F7BD6" w:rsidP="000F7BD6">
      <w:pPr>
        <w:spacing w:line="360" w:lineRule="auto"/>
        <w:ind w:right="-1"/>
        <w:jc w:val="both"/>
        <w:rPr>
          <w:rFonts w:ascii="Palatino Linotype" w:eastAsia="Calibri" w:hAnsi="Palatino Linotype" w:cs="Tahoma"/>
          <w:lang w:val="es-MX"/>
        </w:rPr>
      </w:pPr>
    </w:p>
    <w:p w14:paraId="4B564208" w14:textId="77777777" w:rsidR="000F7BD6" w:rsidRPr="00783C7C" w:rsidRDefault="000F7BD6" w:rsidP="000F7BD6">
      <w:pPr>
        <w:spacing w:line="360" w:lineRule="auto"/>
        <w:jc w:val="both"/>
        <w:rPr>
          <w:rFonts w:ascii="Palatino Linotype" w:eastAsia="Calibri" w:hAnsi="Palatino Linotype" w:cs="Tahoma"/>
          <w:b/>
          <w:iCs/>
          <w:lang w:eastAsia="es-ES_tradnl"/>
        </w:rPr>
      </w:pPr>
      <w:r w:rsidRPr="00783C7C">
        <w:rPr>
          <w:rFonts w:ascii="Palatino Linotype" w:eastAsia="Calibri" w:hAnsi="Palatino Linotype" w:cs="Tahoma"/>
          <w:b/>
          <w:bCs/>
          <w:iCs/>
          <w:lang w:val="es-MX"/>
        </w:rPr>
        <w:t>a) Idoneidad</w:t>
      </w:r>
      <w:r w:rsidRPr="00783C7C">
        <w:rPr>
          <w:rFonts w:ascii="Palatino Linotype" w:eastAsia="Calibri" w:hAnsi="Palatino Linotype" w:cs="Tahoma"/>
          <w:bCs/>
          <w:lang w:val="es-MX" w:eastAsia="en-US"/>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47301AFA" w14:textId="77777777" w:rsidR="000F7BD6" w:rsidRPr="00783C7C" w:rsidRDefault="000F7BD6" w:rsidP="000F7BD6">
      <w:pPr>
        <w:spacing w:line="360" w:lineRule="auto"/>
        <w:jc w:val="both"/>
        <w:rPr>
          <w:rFonts w:ascii="Palatino Linotype" w:eastAsia="Calibri" w:hAnsi="Palatino Linotype" w:cs="Tahoma"/>
          <w:b/>
          <w:iCs/>
          <w:lang w:eastAsia="es-ES_tradnl"/>
        </w:rPr>
      </w:pPr>
    </w:p>
    <w:p w14:paraId="1B87BC25"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 xml:space="preserve">Sin embargo, en el presente caso, </w:t>
      </w:r>
      <w:r w:rsidRPr="00783C7C">
        <w:rPr>
          <w:rFonts w:ascii="Palatino Linotype" w:eastAsia="Calibri" w:hAnsi="Palatino Linotype" w:cs="Tahoma"/>
          <w:bCs/>
          <w:iCs/>
          <w:lang w:eastAsia="es-ES_tradnl"/>
        </w:rPr>
        <w:t xml:space="preserve">existen dos fines válidos para otorgar </w:t>
      </w:r>
      <w:r w:rsidRPr="00783C7C">
        <w:rPr>
          <w:rFonts w:ascii="Palatino Linotype" w:eastAsia="Calibri" w:hAnsi="Palatino Linotype" w:cs="Tahoma"/>
          <w:iCs/>
          <w:lang w:eastAsia="es-ES_tradnl"/>
        </w:rPr>
        <w:t>los expedientes de procedimientos de responsabilidades administrativas graves, en caso de existir</w:t>
      </w:r>
      <w:r w:rsidRPr="00783C7C">
        <w:rPr>
          <w:rFonts w:ascii="Palatino Linotype" w:eastAsia="Calibri" w:hAnsi="Palatino Linotype" w:cs="Tahoma"/>
          <w:bCs/>
          <w:iCs/>
          <w:lang w:eastAsia="es-ES_tradnl"/>
        </w:rPr>
        <w:t xml:space="preserve">; los cuales, </w:t>
      </w:r>
      <w:r w:rsidRPr="00783C7C">
        <w:rPr>
          <w:rFonts w:ascii="Palatino Linotype" w:eastAsia="Calibri" w:hAnsi="Palatino Linotype" w:cs="Tahoma"/>
          <w:iCs/>
          <w:lang w:eastAsia="es-ES_tradnl"/>
        </w:rPr>
        <w:t xml:space="preserve">consisten en transparentar, por un lado, el desempeño de dichos trabajadores en cuestión en el ejercicio de sus funciones, con la finalidad de calificar su actuar, ello con independencia de que tal funcionario también revista el carácter de persona física </w:t>
      </w:r>
      <w:r w:rsidRPr="00783C7C">
        <w:rPr>
          <w:rFonts w:ascii="Palatino Linotype" w:eastAsia="Calibri" w:hAnsi="Palatino Linotype" w:cs="Tahoma"/>
          <w:iCs/>
          <w:lang w:eastAsia="es-ES_tradnl"/>
        </w:rPr>
        <w:lastRenderedPageBreak/>
        <w:t xml:space="preserve">identificada e identificable, y por otro lado, la actividad desplegada por el </w:t>
      </w:r>
      <w:r w:rsidRPr="00783C7C">
        <w:rPr>
          <w:rFonts w:ascii="Palatino Linotype" w:hAnsi="Palatino Linotype" w:cs="Tahoma"/>
          <w:bCs/>
          <w:iCs/>
          <w:lang w:val="es-ES_tradnl"/>
        </w:rPr>
        <w:t>Órgano Interno de Control</w:t>
      </w:r>
      <w:r w:rsidRPr="00783C7C">
        <w:rPr>
          <w:rFonts w:ascii="Palatino Linotype" w:eastAsia="Calibri" w:hAnsi="Palatino Linotype" w:cs="Tahoma"/>
          <w:iCs/>
          <w:lang w:eastAsia="es-ES_tradnl"/>
        </w:rPr>
        <w:t xml:space="preserve"> de dicho ente y del Tribunal de Justicia Administrativa del Estado de México, en la investigación y determinación de los asuntos. Aunado, a que se relacionan dichas faltas, con actos de corrupción.</w:t>
      </w:r>
    </w:p>
    <w:p w14:paraId="41498A51" w14:textId="77777777" w:rsidR="000F7BD6" w:rsidRPr="00783C7C" w:rsidRDefault="000F7BD6" w:rsidP="000F7BD6">
      <w:pPr>
        <w:spacing w:line="360" w:lineRule="auto"/>
        <w:jc w:val="both"/>
        <w:rPr>
          <w:rFonts w:ascii="Palatino Linotype" w:eastAsia="Calibri" w:hAnsi="Palatino Linotype" w:cs="Tahoma"/>
          <w:b/>
          <w:iCs/>
          <w:lang w:eastAsia="es-ES_tradnl"/>
        </w:rPr>
      </w:pPr>
    </w:p>
    <w:p w14:paraId="3D4C2C14"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2E43CF43" w14:textId="77777777" w:rsidR="000F7BD6" w:rsidRPr="00783C7C" w:rsidRDefault="000F7BD6" w:rsidP="000F7BD6">
      <w:pPr>
        <w:spacing w:line="360" w:lineRule="auto"/>
        <w:jc w:val="both"/>
        <w:rPr>
          <w:rFonts w:ascii="Palatino Linotype" w:eastAsia="Calibri" w:hAnsi="Palatino Linotype" w:cs="Tahoma"/>
          <w:b/>
          <w:iCs/>
          <w:lang w:eastAsia="es-ES_tradnl"/>
        </w:rPr>
      </w:pPr>
    </w:p>
    <w:p w14:paraId="7A730891"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2A1C8A9A"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645467D4" w14:textId="7CA48618"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 xml:space="preserve">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w:t>
      </w:r>
      <w:r w:rsidRPr="00783C7C">
        <w:rPr>
          <w:rFonts w:ascii="Palatino Linotype" w:eastAsia="Calibri" w:hAnsi="Palatino Linotype" w:cs="Tahoma"/>
          <w:b/>
          <w:iCs/>
          <w:lang w:eastAsia="es-ES_tradnl"/>
        </w:rPr>
        <w:t>respecto de su desempeño</w:t>
      </w:r>
      <w:r w:rsidRPr="00783C7C">
        <w:rPr>
          <w:rFonts w:ascii="Palatino Linotype" w:eastAsia="Calibri" w:hAnsi="Palatino Linotype" w:cs="Tahoma"/>
          <w:iCs/>
          <w:lang w:eastAsia="es-ES_tradnl"/>
        </w:rPr>
        <w:t xml:space="preserve"> o que se termine el mayor nivel de tolerancia que debe tener frente a la crítica, sino que ese mayor nivel de tolerancia, sólo se tiene frente a la información de interés público.</w:t>
      </w:r>
    </w:p>
    <w:p w14:paraId="15201A31" w14:textId="6832B707" w:rsidR="000F7BD6" w:rsidRPr="00783C7C" w:rsidRDefault="000F7BD6" w:rsidP="000F7BD6">
      <w:pPr>
        <w:spacing w:line="360" w:lineRule="auto"/>
        <w:jc w:val="both"/>
        <w:rPr>
          <w:rFonts w:ascii="Palatino Linotype" w:eastAsia="Calibri" w:hAnsi="Palatino Linotype" w:cs="Tahoma"/>
          <w:bCs/>
          <w:iCs/>
          <w:lang w:eastAsia="es-ES_tradnl"/>
        </w:rPr>
      </w:pPr>
      <w:r w:rsidRPr="00783C7C">
        <w:rPr>
          <w:rFonts w:ascii="Palatino Linotype" w:eastAsia="Calibri" w:hAnsi="Palatino Linotype" w:cs="Tahoma"/>
          <w:iCs/>
          <w:lang w:eastAsia="es-ES_tradnl"/>
        </w:rPr>
        <w:lastRenderedPageBreak/>
        <w:t>En ese contexto</w:t>
      </w:r>
      <w:r w:rsidRPr="00783C7C">
        <w:rPr>
          <w:rFonts w:ascii="Palatino Linotype" w:eastAsia="Calibri" w:hAnsi="Palatino Linotype" w:cs="Tahoma"/>
          <w:bCs/>
          <w:iCs/>
          <w:lang w:eastAsia="es-ES_tradnl"/>
        </w:rPr>
        <w:t xml:space="preserve">, dado que la información se relaciona con el actuar de los servidores públicos, </w:t>
      </w:r>
      <w:r w:rsidRPr="00783C7C">
        <w:rPr>
          <w:rFonts w:ascii="Palatino Linotype" w:eastAsia="Calibri" w:hAnsi="Palatino Linotype" w:cs="Tahoma"/>
          <w:b/>
          <w:bCs/>
          <w:iCs/>
          <w:lang w:eastAsia="es-ES_tradnl"/>
        </w:rPr>
        <w:t xml:space="preserve">existe un interés público por conocer </w:t>
      </w:r>
      <w:r w:rsidRPr="00783C7C">
        <w:rPr>
          <w:rFonts w:ascii="Palatino Linotype" w:eastAsia="Calibri" w:hAnsi="Palatino Linotype" w:cs="Tahoma"/>
          <w:iCs/>
          <w:lang w:eastAsia="es-ES_tradnl"/>
        </w:rPr>
        <w:t>el nombre del servidor público sancionado,</w:t>
      </w:r>
      <w:r w:rsidRPr="00783C7C">
        <w:rPr>
          <w:rFonts w:ascii="Palatino Linotype" w:eastAsia="Calibri" w:hAnsi="Palatino Linotype" w:cs="Tahoma"/>
          <w:bCs/>
          <w:iCs/>
          <w:lang w:eastAsia="es-ES_tradnl"/>
        </w:rPr>
        <w:t xml:space="preserve"> y, por lo tanto, la información del interés del Particular no es susceptible de protección en tanto que su vinculación con una persona determinada reviste un interés público mayor de ser dado a conocer. </w:t>
      </w:r>
    </w:p>
    <w:p w14:paraId="0B998C0A" w14:textId="77777777" w:rsidR="000F7BD6" w:rsidRPr="00783C7C" w:rsidRDefault="000F7BD6" w:rsidP="000F7BD6">
      <w:pPr>
        <w:spacing w:line="360" w:lineRule="auto"/>
        <w:jc w:val="both"/>
        <w:rPr>
          <w:rFonts w:ascii="Palatino Linotype" w:eastAsia="Calibri" w:hAnsi="Palatino Linotype" w:cs="Tahoma"/>
          <w:bCs/>
          <w:iCs/>
          <w:lang w:eastAsia="es-ES_tradnl"/>
        </w:rPr>
      </w:pPr>
    </w:p>
    <w:p w14:paraId="1C9E24FD"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bCs/>
          <w:iCs/>
          <w:lang w:eastAsia="es-ES_tradnl"/>
        </w:rPr>
        <w:t xml:space="preserve">Lo anterior, ya que como se precisó en párrafos anteriores, </w:t>
      </w:r>
      <w:r w:rsidRPr="00783C7C">
        <w:rPr>
          <w:rFonts w:ascii="Palatino Linotype" w:eastAsia="Calibri" w:hAnsi="Palatino Linotype" w:cs="Tahoma"/>
          <w:iCs/>
          <w:lang w:eastAsia="es-ES_tradnl"/>
        </w:rPr>
        <w:t xml:space="preserve">proporcionar la información de referencia, garantizaría la rendición de cuentas por parte del </w:t>
      </w:r>
      <w:r w:rsidRPr="00783C7C">
        <w:rPr>
          <w:rFonts w:ascii="Palatino Linotype" w:hAnsi="Palatino Linotype" w:cs="Tahoma"/>
          <w:bCs/>
          <w:iCs/>
          <w:lang w:val="es-ES_tradnl"/>
        </w:rPr>
        <w:t>Órgano Interno de Control</w:t>
      </w:r>
      <w:r w:rsidRPr="00783C7C">
        <w:rPr>
          <w:rFonts w:ascii="Palatino Linotype" w:eastAsia="Calibri" w:hAnsi="Palatino Linotype" w:cs="Tahoma"/>
          <w:iCs/>
          <w:lang w:eastAsia="es-ES_tradnl"/>
        </w:rPr>
        <w:t xml:space="preserve"> y del Tribunal de Justicia Administrativa del Estado de México, relativo a su actuación, teniendo como consecuencia que los ciudadanos tengan confianza en sus autoridades, al poder conocer el nombre de los servidores públicos que fueron sancionados por una falta grave.</w:t>
      </w:r>
    </w:p>
    <w:p w14:paraId="79FDD114"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194ADDEF"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Además, que, con dicha información, se estaría revelando que el desempeño de estos, no fue conforme a derecho, asimismo, de dar a conocer que los referidos acreditaron que había cometido faltas graves e inclusive actos de corrupción.</w:t>
      </w:r>
    </w:p>
    <w:p w14:paraId="6830E26D"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366B702D"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52BB3C7F"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740CBF48"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b/>
          <w:iCs/>
          <w:lang w:eastAsia="es-ES_tradnl"/>
        </w:rPr>
        <w:t xml:space="preserve">b) Necesidad: </w:t>
      </w:r>
      <w:r w:rsidRPr="00783C7C">
        <w:rPr>
          <w:rFonts w:ascii="Palatino Linotype" w:eastAsia="Calibri" w:hAnsi="Palatino Linotype" w:cs="Tahoma"/>
          <w:iCs/>
          <w:lang w:eastAsia="es-ES_tradnl"/>
        </w:rPr>
        <w:t xml:space="preserve">Por otra parte, este Instituto observa que también se actualiza el principio de necesidad, ya que no existe un medio menos oneroso para lograr el fin </w:t>
      </w:r>
      <w:r w:rsidRPr="00783C7C">
        <w:rPr>
          <w:rFonts w:ascii="Palatino Linotype" w:eastAsia="Calibri" w:hAnsi="Palatino Linotype" w:cs="Tahoma"/>
          <w:iCs/>
          <w:lang w:eastAsia="es-ES_tradnl"/>
        </w:rPr>
        <w:lastRenderedPageBreak/>
        <w:t>válido, pues se estima necesaria la difusión, en caso de existir, de la información requerida, es decir, del nombre de los servidores públicos sancionados</w:t>
      </w:r>
      <w:r w:rsidRPr="00783C7C">
        <w:rPr>
          <w:rFonts w:ascii="Palatino Linotype" w:eastAsia="Calibri" w:hAnsi="Palatino Linotype" w:cs="Tahoma"/>
          <w:bCs/>
          <w:iCs/>
          <w:lang w:eastAsia="es-ES_tradnl"/>
        </w:rPr>
        <w:t>, pues se relacionan con el ejercicio de sus funciones de los cargos ocupados</w:t>
      </w:r>
      <w:r w:rsidRPr="00783C7C">
        <w:rPr>
          <w:rFonts w:ascii="Palatino Linotype" w:eastAsia="Calibri" w:hAnsi="Palatino Linotype" w:cs="Tahoma"/>
          <w:iCs/>
          <w:lang w:eastAsia="es-ES_tradnl"/>
        </w:rPr>
        <w:t>,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14:paraId="2813239F"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014A44FC"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 xml:space="preserve">Además, ello permite evaluar la actuación tanto del Tribunal de Justicia Administrativa del Estado de México, como del </w:t>
      </w:r>
      <w:r w:rsidRPr="00783C7C">
        <w:rPr>
          <w:rFonts w:ascii="Palatino Linotype" w:hAnsi="Palatino Linotype" w:cs="Tahoma"/>
          <w:bCs/>
          <w:iCs/>
          <w:lang w:val="es-ES_tradnl"/>
        </w:rPr>
        <w:t>Órgano Interno de Control</w:t>
      </w:r>
      <w:r w:rsidRPr="00783C7C">
        <w:rPr>
          <w:rFonts w:ascii="Palatino Linotype" w:eastAsia="Calibri" w:hAnsi="Palatino Linotype" w:cs="Tahoma"/>
          <w:iCs/>
          <w:lang w:eastAsia="es-ES_tradnl"/>
        </w:rPr>
        <w:t>, pues se podrá advertir la forma en la que ejercieron las funciones que legalmente tienen conferidas.</w:t>
      </w:r>
    </w:p>
    <w:p w14:paraId="19453032"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0E56ADEF"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 xml:space="preserve">Lo anterior, considerando que sólo por esta vía se podría lograr el acceso a la información correspondiente </w:t>
      </w:r>
      <w:r w:rsidRPr="00783C7C">
        <w:rPr>
          <w:rFonts w:ascii="Palatino Linotype" w:eastAsia="Calibri" w:hAnsi="Palatino Linotype" w:cs="Tahoma"/>
          <w:bCs/>
          <w:iCs/>
          <w:lang w:eastAsia="es-ES_tradnl"/>
        </w:rPr>
        <w:t xml:space="preserve">a los documentos </w:t>
      </w:r>
      <w:r w:rsidRPr="00783C7C">
        <w:rPr>
          <w:rFonts w:ascii="Palatino Linotype" w:eastAsia="Calibri" w:hAnsi="Palatino Linotype" w:cs="Tahoma"/>
          <w:iCs/>
          <w:lang w:eastAsia="es-ES_tradnl"/>
        </w:rPr>
        <w:t>del interés del Particular, para garantizar la rendición de cuentas sobre su actuación, así como, la de los servidores públicos sancionados.</w:t>
      </w:r>
    </w:p>
    <w:p w14:paraId="2E5B588B"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01609CDC"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 xml:space="preserve">Situación que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w:t>
      </w:r>
      <w:r w:rsidRPr="00783C7C">
        <w:rPr>
          <w:rFonts w:ascii="Palatino Linotype" w:eastAsia="Calibri" w:hAnsi="Palatino Linotype" w:cs="Tahoma"/>
          <w:iCs/>
          <w:lang w:eastAsia="es-ES_tradnl"/>
        </w:rPr>
        <w:lastRenderedPageBreak/>
        <w:t>administrativas graves; de la misma manera, lo prevé el artículo 28, de la Ley de Responsabilidades Administrativas del Estado de México.</w:t>
      </w:r>
    </w:p>
    <w:p w14:paraId="726E6345"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0FE3513C"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1EB01522" w14:textId="77777777" w:rsidR="000F7BD6" w:rsidRPr="00783C7C" w:rsidRDefault="000F7BD6" w:rsidP="000F7BD6">
      <w:pPr>
        <w:spacing w:line="360" w:lineRule="auto"/>
        <w:jc w:val="both"/>
        <w:rPr>
          <w:rFonts w:ascii="Palatino Linotype" w:eastAsia="Calibri" w:hAnsi="Palatino Linotype" w:cs="Tahoma"/>
          <w:b/>
          <w:iCs/>
          <w:lang w:eastAsia="es-ES_tradnl"/>
        </w:rPr>
      </w:pPr>
    </w:p>
    <w:p w14:paraId="642784E1"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b/>
          <w:iCs/>
          <w:lang w:eastAsia="es-ES_tradnl"/>
        </w:rPr>
        <w:t>c) Proporcionalidad en sentido estricto:</w:t>
      </w:r>
      <w:r w:rsidRPr="00783C7C">
        <w:rPr>
          <w:rFonts w:ascii="Palatino Linotype" w:eastAsia="Calibri" w:hAnsi="Palatino Linotype" w:cs="Tahoma"/>
          <w:iCs/>
          <w:lang w:eastAsia="es-ES_tradnl"/>
        </w:rPr>
        <w:t xml:space="preserve"> El sacrificio de la protección del nombre de los servidores públicos, </w:t>
      </w:r>
      <w:r w:rsidRPr="00783C7C">
        <w:rPr>
          <w:rFonts w:ascii="Palatino Linotype" w:eastAsia="Calibri" w:hAnsi="Palatino Linotype" w:cs="Tahoma"/>
          <w:bCs/>
          <w:iCs/>
          <w:lang w:eastAsia="es-ES_tradnl"/>
        </w:rPr>
        <w:t xml:space="preserve">en caso de que </w:t>
      </w:r>
      <w:r w:rsidRPr="00783C7C">
        <w:rPr>
          <w:rFonts w:ascii="Palatino Linotype" w:eastAsia="Calibri" w:hAnsi="Palatino Linotype" w:cs="Tahoma"/>
          <w:iCs/>
          <w:lang w:eastAsia="es-ES_tradnl"/>
        </w:rPr>
        <w:t>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5B21892C"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30984A3B"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5D648CD4"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757B8138" w14:textId="77777777" w:rsidR="000F7BD6" w:rsidRPr="00783C7C" w:rsidRDefault="000F7BD6" w:rsidP="000F7BD6">
      <w:pPr>
        <w:spacing w:line="360" w:lineRule="auto"/>
        <w:jc w:val="both"/>
        <w:rPr>
          <w:rFonts w:ascii="Palatino Linotype" w:eastAsia="Calibri" w:hAnsi="Palatino Linotype" w:cs="Tahoma"/>
          <w:bCs/>
          <w:iCs/>
          <w:lang w:eastAsia="es-ES_tradnl"/>
        </w:rPr>
      </w:pPr>
      <w:r w:rsidRPr="00783C7C">
        <w:rPr>
          <w:rFonts w:ascii="Palatino Linotype" w:eastAsia="Calibri" w:hAnsi="Palatino Linotype" w:cs="Tahoma"/>
          <w:bCs/>
          <w:iCs/>
          <w:lang w:eastAsia="es-ES_tradnl"/>
        </w:rPr>
        <w:lastRenderedPageBreak/>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1E194A3D"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4B41DA9B" w14:textId="77777777" w:rsidR="000F7BD6" w:rsidRPr="00783C7C" w:rsidRDefault="000F7BD6" w:rsidP="000F7BD6">
      <w:pPr>
        <w:spacing w:line="360" w:lineRule="auto"/>
        <w:jc w:val="both"/>
        <w:rPr>
          <w:rFonts w:ascii="Palatino Linotype" w:eastAsia="Calibri" w:hAnsi="Palatino Linotype" w:cs="Tahoma"/>
          <w:iCs/>
          <w:lang w:eastAsia="es-ES_tradnl"/>
        </w:rPr>
      </w:pPr>
      <w:r w:rsidRPr="00783C7C">
        <w:rPr>
          <w:rFonts w:ascii="Palatino Linotype" w:eastAsia="Calibri" w:hAnsi="Palatino Linotype" w:cs="Tahoma"/>
          <w:iCs/>
          <w:lang w:eastAsia="es-ES_tradnl"/>
        </w:rPr>
        <w:t>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386C3AFC" w14:textId="77777777" w:rsidR="000F7BD6" w:rsidRPr="00783C7C" w:rsidRDefault="000F7BD6" w:rsidP="000F7BD6">
      <w:pPr>
        <w:spacing w:line="360" w:lineRule="auto"/>
        <w:jc w:val="both"/>
        <w:rPr>
          <w:rFonts w:ascii="Palatino Linotype" w:eastAsia="Calibri" w:hAnsi="Palatino Linotype" w:cs="Tahoma"/>
          <w:iCs/>
          <w:lang w:eastAsia="es-ES_tradnl"/>
        </w:rPr>
      </w:pPr>
    </w:p>
    <w:p w14:paraId="2B1FA4BF" w14:textId="77777777" w:rsidR="000F7BD6" w:rsidRPr="00783C7C" w:rsidRDefault="000F7BD6" w:rsidP="000F7BD6">
      <w:pPr>
        <w:spacing w:line="360" w:lineRule="auto"/>
        <w:jc w:val="both"/>
        <w:rPr>
          <w:rFonts w:ascii="Palatino Linotype" w:eastAsia="Calibri" w:hAnsi="Palatino Linotype" w:cs="Tahoma"/>
          <w:b/>
          <w:iCs/>
          <w:lang w:eastAsia="es-ES_tradnl"/>
        </w:rPr>
      </w:pPr>
      <w:r w:rsidRPr="00783C7C">
        <w:rPr>
          <w:rFonts w:ascii="Palatino Linotype" w:eastAsia="Calibri" w:hAnsi="Palatino Linotype" w:cs="Tahoma"/>
          <w:iCs/>
          <w:lang w:eastAsia="es-ES_tradnl"/>
        </w:rPr>
        <w:t xml:space="preserve">Por tanto, se concluye que, al tenor de la ponderación realizada, se cumple con los tres elementos para darle preminencia, en el caso concreto, </w:t>
      </w:r>
      <w:r w:rsidRPr="00783C7C">
        <w:rPr>
          <w:rFonts w:ascii="Palatino Linotype" w:eastAsia="Calibri" w:hAnsi="Palatino Linotype" w:cs="Tahoma"/>
          <w:b/>
          <w:iCs/>
          <w:lang w:eastAsia="es-ES_tradnl"/>
        </w:rPr>
        <w:t>al derecho de acceso a la información.</w:t>
      </w:r>
    </w:p>
    <w:p w14:paraId="78000CFF" w14:textId="77777777" w:rsidR="000F7BD6" w:rsidRPr="00783C7C" w:rsidRDefault="000F7BD6" w:rsidP="000F7BD6">
      <w:pPr>
        <w:spacing w:line="360" w:lineRule="auto"/>
        <w:jc w:val="both"/>
        <w:rPr>
          <w:rFonts w:ascii="Palatino Linotype" w:eastAsia="Calibri" w:hAnsi="Palatino Linotype" w:cs="Tahoma"/>
          <w:b/>
          <w:iCs/>
          <w:lang w:eastAsia="es-ES_tradnl"/>
        </w:rPr>
      </w:pPr>
    </w:p>
    <w:p w14:paraId="34FF9C22" w14:textId="77777777" w:rsidR="000F7BD6" w:rsidRDefault="000F7BD6" w:rsidP="000F7BD6">
      <w:pPr>
        <w:spacing w:line="360" w:lineRule="auto"/>
        <w:jc w:val="both"/>
        <w:rPr>
          <w:rFonts w:ascii="Palatino Linotype" w:eastAsia="Calibri" w:hAnsi="Palatino Linotype" w:cs="Tahoma"/>
          <w:iCs/>
          <w:lang w:val="es-ES_tradnl" w:eastAsia="es-ES_tradnl"/>
        </w:rPr>
      </w:pPr>
      <w:r w:rsidRPr="00783C7C">
        <w:rPr>
          <w:rFonts w:ascii="Palatino Linotype" w:eastAsia="Calibri" w:hAnsi="Palatino Linotype" w:cs="Tahoma"/>
          <w:iCs/>
          <w:lang w:eastAsia="es-ES_tradnl"/>
        </w:rPr>
        <w:t xml:space="preserve">Por lo expuesto, se determina que, en caso de existir procedimientos de responsabilidades administrativas por faltas graves, que se encuentran relacionadas con el desempeño de sus funciones como servidores públicos, el nombre de estos guardan la naturaleza pública, en razón de que, si bien es cierto </w:t>
      </w:r>
      <w:r w:rsidRPr="00783C7C">
        <w:rPr>
          <w:rFonts w:ascii="Palatino Linotype" w:eastAsia="Calibri" w:hAnsi="Palatino Linotype" w:cs="Tahoma"/>
          <w:iCs/>
          <w:lang w:val="es-ES_tradnl" w:eastAsia="es-ES_tradnl"/>
        </w:rPr>
        <w:t xml:space="preserve">la difusión de los mismos afectaría los derechos a la confidencialidad, a la privacidad, al honor y a la propia imagen, también lo es que </w:t>
      </w:r>
      <w:r w:rsidRPr="00783C7C">
        <w:rPr>
          <w:rFonts w:ascii="Palatino Linotype" w:eastAsia="Calibri" w:hAnsi="Palatino Linotype" w:cs="Tahoma"/>
          <w:b/>
          <w:iCs/>
          <w:lang w:val="es-ES_tradnl" w:eastAsia="es-ES_tradnl"/>
        </w:rPr>
        <w:t xml:space="preserve">tratándose de asuntos relacionados con actos de corrupción, al ser faltas graves, tales prerrogativas quedan supeditadas al interés </w:t>
      </w:r>
      <w:r w:rsidRPr="00783C7C">
        <w:rPr>
          <w:rFonts w:ascii="Palatino Linotype" w:eastAsia="Calibri" w:hAnsi="Palatino Linotype" w:cs="Tahoma"/>
          <w:b/>
          <w:iCs/>
          <w:lang w:val="es-ES_tradnl" w:eastAsia="es-ES_tradnl"/>
        </w:rPr>
        <w:lastRenderedPageBreak/>
        <w:t>mayor de conocer tales eventualidades</w:t>
      </w:r>
      <w:r w:rsidRPr="00783C7C">
        <w:rPr>
          <w:rFonts w:ascii="Palatino Linotype" w:eastAsia="Calibri" w:hAnsi="Palatino Linotype" w:cs="Tahoma"/>
          <w:iCs/>
          <w:lang w:val="es-ES_tradnl" w:eastAsia="es-ES_tradnl"/>
        </w:rPr>
        <w:t xml:space="preserve"> y por lo tanto </w:t>
      </w:r>
      <w:r w:rsidRPr="00783C7C">
        <w:rPr>
          <w:rFonts w:ascii="Palatino Linotype" w:eastAsia="Calibri" w:hAnsi="Palatino Linotype" w:cs="Tahoma"/>
          <w:b/>
          <w:bCs/>
          <w:iCs/>
          <w:u w:val="single"/>
          <w:lang w:val="es-ES_tradnl" w:eastAsia="es-ES_tradnl"/>
        </w:rPr>
        <w:t>no procede su clasificación</w:t>
      </w:r>
      <w:r w:rsidRPr="00783C7C">
        <w:rPr>
          <w:rFonts w:ascii="Palatino Linotype" w:eastAsia="Calibri" w:hAnsi="Palatino Linotype" w:cs="Tahoma"/>
          <w:iCs/>
          <w:lang w:val="es-ES_tradnl" w:eastAsia="es-ES_tradnl"/>
        </w:rPr>
        <w:t xml:space="preserve"> en términos del artículo 143, fracción I de la Ley de la materia.</w:t>
      </w:r>
    </w:p>
    <w:p w14:paraId="656F609A" w14:textId="77777777" w:rsidR="00FC2116" w:rsidRDefault="00FC2116" w:rsidP="000F7BD6">
      <w:pPr>
        <w:spacing w:line="360" w:lineRule="auto"/>
        <w:jc w:val="both"/>
        <w:rPr>
          <w:rFonts w:ascii="Palatino Linotype" w:eastAsia="Calibri" w:hAnsi="Palatino Linotype" w:cs="Tahoma"/>
          <w:iCs/>
          <w:lang w:val="es-ES_tradnl" w:eastAsia="es-ES_tradnl"/>
        </w:rPr>
      </w:pPr>
    </w:p>
    <w:p w14:paraId="254A1E26" w14:textId="79B0EFB1" w:rsidR="00FC2116" w:rsidRPr="00FC2116" w:rsidRDefault="00FC2116" w:rsidP="00FC2116">
      <w:pPr>
        <w:spacing w:line="360" w:lineRule="auto"/>
        <w:ind w:right="51"/>
        <w:jc w:val="both"/>
        <w:rPr>
          <w:rFonts w:ascii="Palatino Linotype" w:eastAsiaTheme="minorHAnsi" w:hAnsi="Palatino Linotype" w:cstheme="minorBidi"/>
          <w:szCs w:val="22"/>
          <w:lang w:val="es-MX" w:eastAsia="en-US"/>
        </w:rPr>
      </w:pPr>
      <w:r>
        <w:rPr>
          <w:rFonts w:ascii="Palatino Linotype" w:eastAsia="Calibri" w:hAnsi="Palatino Linotype" w:cs="Tahoma"/>
          <w:iCs/>
          <w:lang w:val="es-ES_tradnl" w:eastAsia="es-ES_tradnl"/>
        </w:rPr>
        <w:t xml:space="preserve">Finalmente, </w:t>
      </w:r>
      <w:r w:rsidRPr="00FC2116">
        <w:rPr>
          <w:rFonts w:ascii="Palatino Linotype" w:eastAsiaTheme="minorHAnsi" w:hAnsi="Palatino Linotype" w:cstheme="minorBidi"/>
          <w:szCs w:val="22"/>
          <w:lang w:val="es-MX" w:eastAsia="en-US"/>
        </w:rPr>
        <w:t>no</w:t>
      </w:r>
      <w:r>
        <w:rPr>
          <w:rFonts w:ascii="Palatino Linotype" w:eastAsiaTheme="minorHAnsi" w:hAnsi="Palatino Linotype" w:cstheme="minorBidi"/>
          <w:szCs w:val="22"/>
          <w:lang w:val="es-MX" w:eastAsia="en-US"/>
        </w:rPr>
        <w:t xml:space="preserve"> se </w:t>
      </w:r>
      <w:r w:rsidRPr="00FC2116">
        <w:rPr>
          <w:rFonts w:ascii="Palatino Linotype" w:eastAsiaTheme="minorHAnsi" w:hAnsi="Palatino Linotype" w:cstheme="minorBidi"/>
          <w:szCs w:val="22"/>
          <w:lang w:val="es-MX" w:eastAsia="en-US"/>
        </w:rPr>
        <w:t xml:space="preserve">debe </w:t>
      </w:r>
      <w:r>
        <w:rPr>
          <w:rFonts w:ascii="Palatino Linotype" w:eastAsiaTheme="minorHAnsi" w:hAnsi="Palatino Linotype" w:cstheme="minorBidi"/>
          <w:szCs w:val="22"/>
          <w:lang w:val="es-MX" w:eastAsia="en-US"/>
        </w:rPr>
        <w:t>pasar por alto que,</w:t>
      </w:r>
      <w:r w:rsidRPr="00FC2116">
        <w:rPr>
          <w:rFonts w:ascii="Palatino Linotype" w:eastAsiaTheme="minorHAnsi" w:hAnsi="Palatino Linotype" w:cstheme="minorBidi"/>
          <w:szCs w:val="22"/>
          <w:lang w:val="es-MX" w:eastAsia="en-US"/>
        </w:rPr>
        <w:t xml:space="preserve"> el hecho de que el </w:t>
      </w:r>
      <w:r w:rsidRPr="00FC2116">
        <w:rPr>
          <w:rFonts w:ascii="Palatino Linotype" w:eastAsiaTheme="minorHAnsi" w:hAnsi="Palatino Linotype" w:cstheme="minorBidi"/>
          <w:b/>
          <w:szCs w:val="22"/>
          <w:lang w:val="es-MX" w:eastAsia="en-US"/>
        </w:rPr>
        <w:t>Recurrente</w:t>
      </w:r>
      <w:r w:rsidRPr="00FC2116">
        <w:rPr>
          <w:rFonts w:ascii="Palatino Linotype" w:eastAsiaTheme="minorHAnsi" w:hAnsi="Palatino Linotype" w:cstheme="minorBidi"/>
          <w:szCs w:val="22"/>
          <w:lang w:val="es-MX" w:eastAsia="en-US"/>
        </w:rPr>
        <w:t xml:space="preserve"> solicitó dicha información, </w:t>
      </w:r>
      <w:r w:rsidRPr="00FC2116">
        <w:rPr>
          <w:rFonts w:ascii="Palatino Linotype" w:eastAsiaTheme="minorHAnsi" w:hAnsi="Palatino Linotype" w:cstheme="minorBidi"/>
          <w:b/>
          <w:bCs/>
          <w:szCs w:val="22"/>
          <w:u w:val="single"/>
          <w:lang w:val="es-MX" w:eastAsia="en-US"/>
        </w:rPr>
        <w:t>del periodo comprendido del año 2000 a 2010</w:t>
      </w:r>
      <w:r w:rsidRPr="00FC2116">
        <w:rPr>
          <w:rFonts w:ascii="Palatino Linotype" w:eastAsiaTheme="minorHAnsi" w:hAnsi="Palatino Linotype" w:cstheme="minorBidi"/>
          <w:szCs w:val="22"/>
          <w:lang w:val="es-MX" w:eastAsia="en-US"/>
        </w:rPr>
        <w:t>.</w:t>
      </w:r>
    </w:p>
    <w:p w14:paraId="27735CF7" w14:textId="77777777" w:rsidR="00FC2116" w:rsidRPr="00FC2116" w:rsidRDefault="00FC2116" w:rsidP="00FC2116">
      <w:pPr>
        <w:spacing w:line="360" w:lineRule="auto"/>
        <w:ind w:right="51"/>
        <w:jc w:val="both"/>
        <w:rPr>
          <w:rFonts w:ascii="Palatino Linotype" w:eastAsiaTheme="minorHAnsi" w:hAnsi="Palatino Linotype" w:cstheme="minorBidi"/>
          <w:szCs w:val="22"/>
          <w:lang w:val="es-MX" w:eastAsia="en-US"/>
        </w:rPr>
      </w:pPr>
    </w:p>
    <w:p w14:paraId="0FC23C4F" w14:textId="77777777" w:rsidR="00FC2116" w:rsidRPr="00FC2116" w:rsidRDefault="00FC2116" w:rsidP="00FC2116">
      <w:pPr>
        <w:spacing w:line="360" w:lineRule="auto"/>
        <w:jc w:val="both"/>
        <w:rPr>
          <w:rFonts w:ascii="Palatino Linotype" w:eastAsiaTheme="minorHAnsi" w:hAnsi="Palatino Linotype" w:cstheme="minorBidi"/>
          <w:szCs w:val="22"/>
          <w:lang w:val="es-MX" w:eastAsia="en-US"/>
        </w:rPr>
      </w:pPr>
      <w:r w:rsidRPr="00FC2116">
        <w:rPr>
          <w:rFonts w:ascii="Palatino Linotype" w:eastAsiaTheme="minorHAnsi" w:hAnsi="Palatino Linotype" w:cstheme="minorBidi"/>
          <w:szCs w:val="22"/>
          <w:lang w:val="es-MX" w:eastAsia="en-US"/>
        </w:rPr>
        <w:t xml:space="preserve">Al respecto, </w:t>
      </w:r>
      <w:r w:rsidRPr="00FC2116">
        <w:rPr>
          <w:rFonts w:ascii="Palatino Linotype" w:eastAsiaTheme="minorHAnsi" w:hAnsi="Palatino Linotype" w:cs="Arial"/>
          <w:szCs w:val="22"/>
          <w:lang w:val="es-MX" w:eastAsia="en-US"/>
        </w:rPr>
        <w:t>p</w:t>
      </w:r>
      <w:r w:rsidRPr="00FC2116">
        <w:rPr>
          <w:rFonts w:ascii="Palatino Linotype" w:eastAsiaTheme="minorHAnsi" w:hAnsi="Palatino Linotype" w:cstheme="minorBidi"/>
          <w:szCs w:val="22"/>
          <w:lang w:val="es-MX" w:eastAsia="en-US"/>
        </w:rPr>
        <w:t xml:space="preserve">ara estar en posibilidad de analizar de manera idónea los requerimientos del particular, es necesario señalar que los Lineamientos para la Organización y Conservación de los Archivos </w:t>
      </w:r>
      <w:r w:rsidRPr="00FC2116">
        <w:rPr>
          <w:rFonts w:ascii="Palatino Linotype" w:eastAsiaTheme="minorHAnsi" w:hAnsi="Palatino Linotype" w:cs="Arial"/>
          <w:color w:val="2F2F2F"/>
          <w:szCs w:val="22"/>
          <w:shd w:val="clear" w:color="auto" w:fill="FFFFFF"/>
          <w:lang w:val="es-MX" w:eastAsia="en-US"/>
        </w:rPr>
        <w:t>son de observancia obligatoria y de aplicación general para los sujetos obligados y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En dichos Lineamientos se establecen las siguientes definiciones:</w:t>
      </w:r>
    </w:p>
    <w:p w14:paraId="29906E9A" w14:textId="77777777" w:rsidR="00FC2116" w:rsidRPr="00FC2116" w:rsidRDefault="00FC2116" w:rsidP="00FC2116">
      <w:pPr>
        <w:ind w:left="567" w:right="567"/>
        <w:jc w:val="both"/>
        <w:rPr>
          <w:rFonts w:ascii="Palatino Linotype" w:hAnsi="Palatino Linotype"/>
          <w:sz w:val="22"/>
          <w:szCs w:val="22"/>
          <w:lang w:val="es-MX"/>
        </w:rPr>
      </w:pPr>
    </w:p>
    <w:p w14:paraId="24EFE3DC" w14:textId="77777777" w:rsidR="00FC2116" w:rsidRPr="00FC2116" w:rsidRDefault="00FC2116" w:rsidP="00FC2116">
      <w:pPr>
        <w:ind w:left="567" w:right="567"/>
        <w:jc w:val="both"/>
        <w:rPr>
          <w:rFonts w:ascii="Palatino Linotype" w:hAnsi="Palatino Linotype"/>
          <w:b/>
          <w:i/>
          <w:sz w:val="22"/>
          <w:szCs w:val="20"/>
          <w:lang w:val="es-MX"/>
        </w:rPr>
      </w:pPr>
      <w:r w:rsidRPr="00FC2116">
        <w:rPr>
          <w:rFonts w:ascii="Palatino Linotype" w:hAnsi="Palatino Linotype"/>
          <w:b/>
          <w:i/>
          <w:sz w:val="22"/>
          <w:szCs w:val="20"/>
          <w:lang w:val="es-MX"/>
        </w:rPr>
        <w:t>Cuarto.</w:t>
      </w:r>
    </w:p>
    <w:p w14:paraId="22054790"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i/>
          <w:sz w:val="22"/>
          <w:szCs w:val="20"/>
          <w:lang w:val="es-MX"/>
        </w:rPr>
        <w:t>(…)</w:t>
      </w:r>
    </w:p>
    <w:p w14:paraId="3F973495"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b/>
          <w:i/>
          <w:sz w:val="22"/>
          <w:szCs w:val="20"/>
          <w:lang w:val="es-MX"/>
        </w:rPr>
        <w:t>II. Archivo:</w:t>
      </w:r>
      <w:r w:rsidRPr="00FC2116">
        <w:rPr>
          <w:rFonts w:ascii="Palatino Linotype" w:hAnsi="Palatino Linotype"/>
          <w:i/>
          <w:sz w:val="22"/>
          <w:szCs w:val="20"/>
          <w:lang w:val="es-MX"/>
        </w:rPr>
        <w:t xml:space="preserve"> El conjunto orgánico de documentos en cualquier soporte, que son producidos o recibidos por los sujetos obligados o los particulares en el ejercicio de sus atribuciones o en el desarrollo de sus actividades;</w:t>
      </w:r>
    </w:p>
    <w:p w14:paraId="26C906BB" w14:textId="77777777" w:rsidR="00FC2116" w:rsidRPr="00FC2116" w:rsidRDefault="00FC2116" w:rsidP="00FC2116">
      <w:pPr>
        <w:ind w:left="567" w:right="567"/>
        <w:jc w:val="both"/>
        <w:rPr>
          <w:rFonts w:ascii="Palatino Linotype" w:hAnsi="Palatino Linotype"/>
          <w:b/>
          <w:i/>
          <w:sz w:val="22"/>
          <w:szCs w:val="20"/>
          <w:lang w:val="es-MX"/>
        </w:rPr>
      </w:pPr>
    </w:p>
    <w:p w14:paraId="0913FC2B"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b/>
          <w:i/>
          <w:sz w:val="22"/>
          <w:szCs w:val="20"/>
          <w:lang w:val="es-MX"/>
        </w:rPr>
        <w:t>III. Archivo de concentración:</w:t>
      </w:r>
      <w:r w:rsidRPr="00FC2116">
        <w:rPr>
          <w:rFonts w:ascii="Palatino Linotype" w:hAnsi="Palatino Linotype"/>
          <w:i/>
          <w:sz w:val="22"/>
          <w:szCs w:val="20"/>
          <w:lang w:val="es-MX"/>
        </w:rPr>
        <w:t xml:space="preserve"> La unidad de la administración de documentos cuya consulta es esporádica y que permanecen en ella hasta su transferencia secundaria o baja documental;</w:t>
      </w:r>
    </w:p>
    <w:p w14:paraId="5EBDB4FE" w14:textId="77777777" w:rsidR="00FC2116" w:rsidRPr="00FC2116" w:rsidRDefault="00FC2116" w:rsidP="00FC2116">
      <w:pPr>
        <w:ind w:left="567" w:right="567"/>
        <w:jc w:val="both"/>
        <w:rPr>
          <w:rFonts w:ascii="Palatino Linotype" w:hAnsi="Palatino Linotype"/>
          <w:b/>
          <w:i/>
          <w:sz w:val="22"/>
          <w:szCs w:val="20"/>
          <w:lang w:val="es-MX"/>
        </w:rPr>
      </w:pPr>
    </w:p>
    <w:p w14:paraId="2ED55708"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b/>
          <w:i/>
          <w:sz w:val="22"/>
          <w:szCs w:val="20"/>
          <w:lang w:val="es-MX"/>
        </w:rPr>
        <w:t>IV. Archivo histórico.</w:t>
      </w:r>
      <w:r w:rsidRPr="00FC2116">
        <w:rPr>
          <w:rFonts w:ascii="Palatino Linotype" w:hAnsi="Palatino Linotype"/>
          <w:i/>
          <w:sz w:val="22"/>
          <w:szCs w:val="20"/>
          <w:lang w:val="es-MX"/>
        </w:rPr>
        <w:t xml:space="preserve"> La unidad responsable de la administración de los documentos de conservación permanente y que son fuente de acceso público;</w:t>
      </w:r>
    </w:p>
    <w:p w14:paraId="497890D1" w14:textId="77777777" w:rsidR="00FC2116" w:rsidRPr="00FC2116" w:rsidRDefault="00FC2116" w:rsidP="00FC2116">
      <w:pPr>
        <w:ind w:left="567" w:right="567"/>
        <w:jc w:val="both"/>
        <w:rPr>
          <w:rFonts w:ascii="Palatino Linotype" w:hAnsi="Palatino Linotype"/>
          <w:b/>
          <w:i/>
          <w:sz w:val="22"/>
          <w:szCs w:val="20"/>
          <w:lang w:val="es-MX"/>
        </w:rPr>
      </w:pPr>
    </w:p>
    <w:p w14:paraId="315883A2"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b/>
          <w:i/>
          <w:sz w:val="22"/>
          <w:szCs w:val="20"/>
          <w:lang w:val="es-MX"/>
        </w:rPr>
        <w:lastRenderedPageBreak/>
        <w:t>V. Archivo de trámite:</w:t>
      </w:r>
      <w:r w:rsidRPr="00FC2116">
        <w:rPr>
          <w:rFonts w:ascii="Palatino Linotype" w:hAnsi="Palatino Linotype"/>
          <w:i/>
          <w:sz w:val="22"/>
          <w:szCs w:val="20"/>
          <w:lang w:val="es-MX"/>
        </w:rPr>
        <w:t xml:space="preserve"> La unidad responsable de la administración de documentos de uso cotidiano y necesario para el ejercicio de las atribuciones de una unidad administrativa, los cuales permanecen en ella hasta su transferencia primaria;</w:t>
      </w:r>
    </w:p>
    <w:p w14:paraId="2BBEB24C" w14:textId="77777777" w:rsidR="00FC2116" w:rsidRPr="00FC2116" w:rsidRDefault="00FC2116" w:rsidP="00FC2116">
      <w:pPr>
        <w:ind w:left="567" w:right="567"/>
        <w:jc w:val="both"/>
        <w:rPr>
          <w:rFonts w:ascii="Palatino Linotype" w:hAnsi="Palatino Linotype"/>
          <w:b/>
          <w:i/>
          <w:sz w:val="22"/>
          <w:szCs w:val="20"/>
          <w:lang w:val="es-MX"/>
        </w:rPr>
      </w:pPr>
    </w:p>
    <w:p w14:paraId="4DCADC49"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b/>
          <w:i/>
          <w:sz w:val="22"/>
          <w:szCs w:val="20"/>
          <w:lang w:val="es-MX"/>
        </w:rPr>
        <w:t>VIII. Baja documental.</w:t>
      </w:r>
      <w:r w:rsidRPr="00FC2116">
        <w:rPr>
          <w:rFonts w:ascii="Palatino Linotype" w:hAnsi="Palatino Linotype"/>
          <w:i/>
          <w:sz w:val="22"/>
          <w:szCs w:val="20"/>
          <w:lang w:val="es-MX"/>
        </w:rPr>
        <w:t xml:space="preserve"> La eliminación de aquella documentación que haya prescrito en sus valores administrativos, legales, fiscales, contables, y que no contenga valores históricos;</w:t>
      </w:r>
    </w:p>
    <w:p w14:paraId="7A71ABB7"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i/>
          <w:sz w:val="22"/>
          <w:szCs w:val="20"/>
          <w:lang w:val="es-MX"/>
        </w:rPr>
        <w:t>(…)</w:t>
      </w:r>
    </w:p>
    <w:p w14:paraId="75D58B74" w14:textId="77777777" w:rsidR="00FC2116" w:rsidRPr="00FC2116" w:rsidRDefault="00FC2116" w:rsidP="00FC2116">
      <w:pPr>
        <w:ind w:left="567" w:right="567"/>
        <w:jc w:val="both"/>
        <w:rPr>
          <w:rFonts w:ascii="Palatino Linotype" w:hAnsi="Palatino Linotype"/>
          <w:b/>
          <w:i/>
          <w:sz w:val="22"/>
          <w:szCs w:val="20"/>
          <w:lang w:val="es-MX"/>
        </w:rPr>
      </w:pPr>
    </w:p>
    <w:p w14:paraId="1C53EAA3"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b/>
          <w:i/>
          <w:sz w:val="22"/>
          <w:szCs w:val="20"/>
          <w:lang w:val="es-MX"/>
        </w:rPr>
        <w:t>X. Ciclo vital del documento:</w:t>
      </w:r>
      <w:r w:rsidRPr="00FC2116">
        <w:rPr>
          <w:rFonts w:ascii="Palatino Linotype" w:hAnsi="Palatino Linotype"/>
          <w:i/>
          <w:sz w:val="22"/>
          <w:szCs w:val="20"/>
          <w:lang w:val="es-MX"/>
        </w:rPr>
        <w:t xml:space="preserve"> La etapas de los documentos desde su producción o recepción hasta su baja o transferencia a un archivo histórico;</w:t>
      </w:r>
    </w:p>
    <w:p w14:paraId="5A5D2EAE"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i/>
          <w:sz w:val="22"/>
          <w:szCs w:val="20"/>
          <w:lang w:val="es-MX"/>
        </w:rPr>
        <w:t>(…)</w:t>
      </w:r>
    </w:p>
    <w:p w14:paraId="43D49D48" w14:textId="77777777" w:rsidR="00FC2116" w:rsidRPr="00FC2116" w:rsidRDefault="00FC2116" w:rsidP="00FC2116">
      <w:pPr>
        <w:ind w:left="567" w:right="567"/>
        <w:jc w:val="both"/>
        <w:rPr>
          <w:rFonts w:ascii="Palatino Linotype" w:hAnsi="Palatino Linotype"/>
          <w:b/>
          <w:i/>
          <w:sz w:val="22"/>
          <w:szCs w:val="20"/>
          <w:lang w:val="es-MX"/>
        </w:rPr>
      </w:pPr>
    </w:p>
    <w:p w14:paraId="4EA2A55A" w14:textId="77777777" w:rsidR="00FC2116" w:rsidRPr="00FC2116" w:rsidRDefault="00FC2116" w:rsidP="00FC2116">
      <w:pPr>
        <w:ind w:left="567" w:right="567"/>
        <w:jc w:val="both"/>
        <w:rPr>
          <w:rFonts w:ascii="Palatino Linotype" w:hAnsi="Palatino Linotype" w:cs="Arial"/>
          <w:i/>
          <w:color w:val="2F2F2F"/>
          <w:sz w:val="22"/>
          <w:szCs w:val="20"/>
          <w:lang w:val="es-MX" w:eastAsia="es-MX"/>
        </w:rPr>
      </w:pPr>
      <w:r w:rsidRPr="00FC2116">
        <w:rPr>
          <w:rFonts w:ascii="Palatino Linotype" w:hAnsi="Palatino Linotype"/>
          <w:b/>
          <w:i/>
          <w:sz w:val="22"/>
          <w:szCs w:val="20"/>
          <w:lang w:val="es-MX"/>
        </w:rPr>
        <w:t xml:space="preserve">XLVIII. Transferencia documental: </w:t>
      </w:r>
      <w:r w:rsidRPr="00FC2116">
        <w:rPr>
          <w:rFonts w:ascii="Palatino Linotype" w:hAnsi="Palatino Linotype"/>
          <w:i/>
          <w:sz w:val="22"/>
          <w:szCs w:val="20"/>
          <w:lang w:val="es-MX"/>
        </w:rPr>
        <w:t>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50AE5180" w14:textId="77777777" w:rsidR="00FC2116" w:rsidRPr="00FC2116" w:rsidRDefault="00FC2116" w:rsidP="00FC2116">
      <w:pPr>
        <w:spacing w:line="360" w:lineRule="auto"/>
        <w:jc w:val="both"/>
        <w:rPr>
          <w:rFonts w:ascii="Palatino Linotype" w:hAnsi="Palatino Linotype"/>
          <w:lang w:val="es-MX"/>
        </w:rPr>
      </w:pPr>
    </w:p>
    <w:p w14:paraId="4A79733E" w14:textId="64975DE8" w:rsidR="00FC2116" w:rsidRPr="00FC2116" w:rsidRDefault="00FC2116" w:rsidP="00FC2116">
      <w:pPr>
        <w:spacing w:line="360" w:lineRule="auto"/>
        <w:ind w:right="51"/>
        <w:jc w:val="both"/>
        <w:rPr>
          <w:rFonts w:ascii="Palatino Linotype" w:eastAsiaTheme="minorHAnsi" w:hAnsi="Palatino Linotype" w:cstheme="minorBidi"/>
          <w:szCs w:val="22"/>
          <w:lang w:val="es-MX" w:eastAsia="en-US"/>
        </w:rPr>
      </w:pPr>
      <w:r w:rsidRPr="00FC2116">
        <w:rPr>
          <w:rFonts w:ascii="Palatino Linotype" w:eastAsiaTheme="minorHAnsi" w:hAnsi="Palatino Linotype" w:cstheme="minorBidi"/>
          <w:szCs w:val="22"/>
          <w:lang w:val="es-MX" w:eastAsia="en-US"/>
        </w:rPr>
        <w:t xml:space="preserve">En ese contexto se observa que en materia de archivo se establecen tres fases o etapas para su organización y conservación que se identifican dependiendo la importancia y temporalidad de los mismos, se clasifican conforme a lo siguiente: </w:t>
      </w:r>
      <w:r w:rsidRPr="00FC2116">
        <w:rPr>
          <w:rFonts w:ascii="Palatino Linotype" w:eastAsiaTheme="minorHAnsi" w:hAnsi="Palatino Linotype" w:cstheme="minorBidi"/>
          <w:b/>
          <w:i/>
          <w:szCs w:val="22"/>
          <w:u w:val="single"/>
          <w:lang w:val="es-MX" w:eastAsia="en-US"/>
        </w:rPr>
        <w:t>a) archivo de trámite</w:t>
      </w:r>
      <w:r w:rsidRPr="00FC2116">
        <w:rPr>
          <w:rFonts w:ascii="Palatino Linotype" w:eastAsiaTheme="minorHAnsi" w:hAnsi="Palatino Linotype" w:cstheme="minorBidi"/>
          <w:szCs w:val="22"/>
          <w:lang w:val="es-MX" w:eastAsia="en-US"/>
        </w:rPr>
        <w:t>, ésta es la primera etapa, pues en ella se encuentran los documentos de uso cotidiano y necesario para el ejercicio de las atribuciones de una unidad administrativa, posterior a ello, son transferidos al</w:t>
      </w:r>
      <w:r>
        <w:rPr>
          <w:rFonts w:ascii="Palatino Linotype" w:eastAsiaTheme="minorHAnsi" w:hAnsi="Palatino Linotype" w:cstheme="minorBidi"/>
          <w:szCs w:val="22"/>
          <w:lang w:val="es-MX" w:eastAsia="en-US"/>
        </w:rPr>
        <w:t xml:space="preserve">; </w:t>
      </w:r>
      <w:r w:rsidRPr="00FC2116">
        <w:rPr>
          <w:rFonts w:ascii="Palatino Linotype" w:eastAsiaTheme="minorHAnsi" w:hAnsi="Palatino Linotype" w:cstheme="minorBidi"/>
          <w:b/>
          <w:i/>
          <w:szCs w:val="22"/>
          <w:u w:val="single"/>
          <w:lang w:val="es-MX" w:eastAsia="en-US"/>
        </w:rPr>
        <w:t>b) archivo de concentración</w:t>
      </w:r>
      <w:r w:rsidRPr="00FC2116">
        <w:rPr>
          <w:rFonts w:ascii="Palatino Linotype" w:eastAsiaTheme="minorHAnsi" w:hAnsi="Palatino Linotype" w:cstheme="minorBidi"/>
          <w:szCs w:val="22"/>
          <w:lang w:val="es-MX" w:eastAsia="en-US"/>
        </w:rPr>
        <w:t xml:space="preserve">, pues en esta etapa se administran los documentos cuya consulta es esporádica, sin embargo existe una tercer etapa que es la denominada </w:t>
      </w:r>
      <w:r w:rsidRPr="00FC2116">
        <w:rPr>
          <w:rFonts w:ascii="Palatino Linotype" w:eastAsiaTheme="minorHAnsi" w:hAnsi="Palatino Linotype" w:cstheme="minorBidi"/>
          <w:b/>
          <w:i/>
          <w:szCs w:val="22"/>
          <w:u w:val="single"/>
          <w:lang w:val="es-MX" w:eastAsia="en-US"/>
        </w:rPr>
        <w:t>c) archivo histórico</w:t>
      </w:r>
      <w:r w:rsidRPr="00FC2116">
        <w:rPr>
          <w:rFonts w:ascii="Palatino Linotype" w:eastAsiaTheme="minorHAnsi" w:hAnsi="Palatino Linotype" w:cstheme="minorBidi"/>
          <w:szCs w:val="22"/>
          <w:lang w:val="es-MX" w:eastAsia="en-US"/>
        </w:rPr>
        <w:t>, no obstante a esta última no llegan todos los documentos, toda vez que es el “</w:t>
      </w:r>
      <w:r w:rsidRPr="00FC2116">
        <w:rPr>
          <w:rFonts w:ascii="Palatino Linotype" w:eastAsia="MS Mincho" w:hAnsi="Palatino Linotype" w:cstheme="majorBidi"/>
          <w:szCs w:val="22"/>
          <w:lang w:val="es-MX" w:eastAsia="en-US"/>
        </w:rPr>
        <w:t xml:space="preserve">Conjunto organizado de expedientes conservados en forma permanente por el valor científico cultural de su información y que constituyen parte del Patrimonio Documental del Estado. Unidad responsable de recibir, administrar, organizar, describir, conservar y divulgar la memoria documental institucional, así como la integrada por documentos o colecciones documentales facticias de relevancia para la historia del Estado de </w:t>
      </w:r>
      <w:r w:rsidRPr="00FC2116">
        <w:rPr>
          <w:rFonts w:ascii="Palatino Linotype" w:eastAsia="MS Mincho" w:hAnsi="Palatino Linotype" w:cstheme="majorBidi"/>
          <w:szCs w:val="22"/>
          <w:lang w:val="es-MX" w:eastAsia="en-US"/>
        </w:rPr>
        <w:lastRenderedPageBreak/>
        <w:t>México”;</w:t>
      </w:r>
      <w:r w:rsidRPr="00FC2116">
        <w:rPr>
          <w:rFonts w:ascii="Palatino Linotype" w:eastAsia="MS Mincho" w:hAnsi="Palatino Linotype" w:cstheme="majorBidi"/>
          <w:i/>
          <w:szCs w:val="22"/>
          <w:lang w:val="es-MX" w:eastAsia="en-US"/>
        </w:rPr>
        <w:t xml:space="preserve"> </w:t>
      </w:r>
      <w:r w:rsidRPr="00FC2116">
        <w:rPr>
          <w:rFonts w:ascii="Palatino Linotype" w:eastAsia="MS Mincho" w:hAnsi="Palatino Linotype" w:cstheme="majorBidi"/>
          <w:szCs w:val="22"/>
          <w:lang w:val="es-MX" w:eastAsia="en-US"/>
        </w:rPr>
        <w:t xml:space="preserve">sin embargo, es de apreciarse que la normatividad en materia lo establece el término </w:t>
      </w:r>
      <w:r w:rsidRPr="00FC2116">
        <w:rPr>
          <w:rFonts w:ascii="Palatino Linotype" w:eastAsia="MS Mincho" w:hAnsi="Palatino Linotype" w:cstheme="majorBidi"/>
          <w:i/>
          <w:szCs w:val="22"/>
          <w:lang w:val="es-MX" w:eastAsia="en-US"/>
        </w:rPr>
        <w:t>“la Unidad responsable”</w:t>
      </w:r>
      <w:r w:rsidRPr="00FC2116">
        <w:rPr>
          <w:rFonts w:ascii="Palatino Linotype" w:eastAsia="MS Mincho" w:hAnsi="Palatino Linotype" w:cstheme="majorBidi"/>
          <w:szCs w:val="22"/>
          <w:lang w:val="es-MX" w:eastAsia="en-US"/>
        </w:rPr>
        <w:t xml:space="preserve"> entendiendo dicha manifestación que se refiere a una unidad administrativa exclusiva al resguardo de dicha información.</w:t>
      </w:r>
    </w:p>
    <w:p w14:paraId="3046DFE6" w14:textId="77777777" w:rsidR="00FC2116" w:rsidRPr="00FC2116" w:rsidRDefault="00FC2116" w:rsidP="00FC2116">
      <w:pPr>
        <w:spacing w:line="360" w:lineRule="auto"/>
        <w:ind w:right="51"/>
        <w:jc w:val="both"/>
        <w:rPr>
          <w:rFonts w:ascii="Palatino Linotype" w:eastAsia="MS Mincho" w:hAnsi="Palatino Linotype" w:cstheme="majorBidi"/>
          <w:szCs w:val="22"/>
          <w:lang w:val="es-MX" w:eastAsia="en-US"/>
        </w:rPr>
      </w:pPr>
    </w:p>
    <w:p w14:paraId="2A08543F" w14:textId="77777777" w:rsidR="00FC2116" w:rsidRPr="00FC2116" w:rsidRDefault="00FC2116" w:rsidP="00FC2116">
      <w:pPr>
        <w:spacing w:line="360" w:lineRule="auto"/>
        <w:jc w:val="both"/>
        <w:rPr>
          <w:rFonts w:ascii="Palatino Linotype" w:hAnsi="Palatino Linotype"/>
          <w:szCs w:val="22"/>
          <w:lang w:val="es-MX"/>
        </w:rPr>
      </w:pPr>
      <w:r w:rsidRPr="00FC2116">
        <w:rPr>
          <w:rFonts w:ascii="Palatino Linotype" w:hAnsi="Palatino Linotype"/>
          <w:szCs w:val="22"/>
          <w:lang w:val="es-MX"/>
        </w:rPr>
        <w:t>Por lo expuesto, se colige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sus transferencia secundaria al Archivo Histórico o su baja documental.</w:t>
      </w:r>
    </w:p>
    <w:p w14:paraId="1C94B8A0" w14:textId="77777777" w:rsidR="00FC2116" w:rsidRPr="00FC2116" w:rsidRDefault="00FC2116" w:rsidP="00FC2116">
      <w:pPr>
        <w:spacing w:line="360" w:lineRule="auto"/>
        <w:jc w:val="both"/>
        <w:rPr>
          <w:rFonts w:ascii="Palatino Linotype" w:hAnsi="Palatino Linotype"/>
          <w:szCs w:val="22"/>
          <w:lang w:val="es-MX"/>
        </w:rPr>
      </w:pPr>
    </w:p>
    <w:p w14:paraId="107B8D66" w14:textId="13E8426E" w:rsidR="00FC2116" w:rsidRPr="00FC2116" w:rsidRDefault="00FC2116" w:rsidP="00FC2116">
      <w:pPr>
        <w:spacing w:line="360" w:lineRule="auto"/>
        <w:jc w:val="both"/>
        <w:rPr>
          <w:rFonts w:ascii="Palatino Linotype" w:hAnsi="Palatino Linotype"/>
          <w:szCs w:val="22"/>
          <w:lang w:val="es-MX"/>
        </w:rPr>
      </w:pPr>
      <w:r w:rsidRPr="00FC2116">
        <w:rPr>
          <w:rFonts w:ascii="Palatino Linotype" w:hAnsi="Palatino Linotype"/>
          <w:szCs w:val="22"/>
          <w:lang w:val="es-MX"/>
        </w:rPr>
        <w:t>En ese orden de ideas, se tiene que</w:t>
      </w:r>
      <w:r>
        <w:rPr>
          <w:rFonts w:ascii="Palatino Linotype" w:hAnsi="Palatino Linotype"/>
          <w:szCs w:val="22"/>
          <w:lang w:val="es-MX"/>
        </w:rPr>
        <w:t>,</w:t>
      </w:r>
      <w:r w:rsidRPr="00FC2116">
        <w:rPr>
          <w:rFonts w:ascii="Palatino Linotype" w:hAnsi="Palatino Linotype"/>
          <w:szCs w:val="22"/>
          <w:lang w:val="es-MX"/>
        </w:rPr>
        <w:t xml:space="preserve"> en los Lineamientos para la Valoración, Selección y Baja de los Documentos, Expedientes y Series de Trámite Concluido en los Archivos del Estado de México se establece lo siguiente:</w:t>
      </w:r>
    </w:p>
    <w:p w14:paraId="6EEC292A" w14:textId="77777777" w:rsidR="00FC2116" w:rsidRPr="00FC2116" w:rsidRDefault="00FC2116" w:rsidP="00FC2116">
      <w:pPr>
        <w:spacing w:line="360" w:lineRule="auto"/>
        <w:jc w:val="both"/>
        <w:rPr>
          <w:rFonts w:ascii="Palatino Linotype" w:hAnsi="Palatino Linotype"/>
          <w:sz w:val="22"/>
          <w:szCs w:val="22"/>
          <w:lang w:val="es-MX"/>
        </w:rPr>
      </w:pPr>
    </w:p>
    <w:p w14:paraId="74F4296A"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b/>
          <w:i/>
          <w:sz w:val="22"/>
          <w:szCs w:val="20"/>
          <w:lang w:val="es-MX"/>
        </w:rPr>
        <w:t>Artículo 20.</w:t>
      </w:r>
      <w:r w:rsidRPr="00FC2116">
        <w:rPr>
          <w:rFonts w:ascii="Palatino Linotype" w:hAnsi="Palatino Linotype"/>
          <w:i/>
          <w:sz w:val="22"/>
          <w:szCs w:val="20"/>
          <w:lang w:val="es-MX"/>
        </w:rPr>
        <w:t xml:space="preserve"> </w:t>
      </w:r>
      <w:r w:rsidRPr="00FC2116">
        <w:rPr>
          <w:rFonts w:ascii="Palatino Linotype" w:hAnsi="Palatino Linotype"/>
          <w:b/>
          <w:i/>
          <w:sz w:val="22"/>
          <w:szCs w:val="20"/>
          <w:u w:val="single"/>
          <w:lang w:val="es-MX"/>
        </w:rPr>
        <w:t>Los expedientes de trámite concluido y los desclasificados se mantendrán íntegros por un periodo de dos años en los Archivos de Trámite de las Unidades Administrativas.</w:t>
      </w:r>
      <w:r w:rsidRPr="00FC2116">
        <w:rPr>
          <w:rFonts w:ascii="Palatino Linotype" w:hAnsi="Palatino Linotype"/>
          <w:i/>
          <w:sz w:val="22"/>
          <w:szCs w:val="20"/>
          <w:lang w:val="es-MX"/>
        </w:rPr>
        <w:t xml:space="preserve"> Cumplido este plazo se podrá proceder a su selección preliminar y transferencia al Archivo de Concentración.</w:t>
      </w:r>
    </w:p>
    <w:p w14:paraId="55E5BCC5" w14:textId="77777777" w:rsidR="00FC2116" w:rsidRPr="00FC2116" w:rsidRDefault="00FC2116" w:rsidP="00FC2116">
      <w:pPr>
        <w:ind w:left="567" w:right="567"/>
        <w:jc w:val="both"/>
        <w:rPr>
          <w:rFonts w:ascii="Palatino Linotype" w:hAnsi="Palatino Linotype"/>
          <w:i/>
          <w:sz w:val="22"/>
          <w:szCs w:val="20"/>
          <w:lang w:val="es-MX"/>
        </w:rPr>
      </w:pPr>
    </w:p>
    <w:p w14:paraId="6987B5BE"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i/>
          <w:sz w:val="22"/>
          <w:szCs w:val="20"/>
          <w:lang w:val="es-MX"/>
        </w:rPr>
        <w:t>El periodo señalado se computará a partir del día siguiente a la fecha del documento con el cual se dé por concluido el asunto pro el que los expedientes fueron creados.</w:t>
      </w:r>
    </w:p>
    <w:p w14:paraId="1654349C" w14:textId="77777777" w:rsidR="00FC2116" w:rsidRPr="00FC2116" w:rsidRDefault="00FC2116" w:rsidP="00FC2116">
      <w:pPr>
        <w:ind w:left="567" w:right="567"/>
        <w:jc w:val="both"/>
        <w:rPr>
          <w:rFonts w:ascii="Palatino Linotype" w:hAnsi="Palatino Linotype"/>
          <w:i/>
          <w:sz w:val="22"/>
          <w:szCs w:val="20"/>
          <w:lang w:val="es-MX"/>
        </w:rPr>
      </w:pPr>
    </w:p>
    <w:p w14:paraId="3772FE71" w14:textId="77777777" w:rsidR="00FC2116" w:rsidRPr="00FC2116" w:rsidRDefault="00FC2116" w:rsidP="00FC2116">
      <w:pPr>
        <w:ind w:left="567" w:right="567"/>
        <w:jc w:val="both"/>
        <w:rPr>
          <w:rFonts w:ascii="Palatino Linotype" w:hAnsi="Palatino Linotype"/>
          <w:i/>
          <w:sz w:val="22"/>
          <w:szCs w:val="20"/>
          <w:lang w:val="es-MX"/>
        </w:rPr>
      </w:pPr>
      <w:r w:rsidRPr="00FC2116">
        <w:rPr>
          <w:rFonts w:ascii="Palatino Linotype" w:hAnsi="Palatino Linotype"/>
          <w:b/>
          <w:i/>
          <w:sz w:val="22"/>
          <w:szCs w:val="20"/>
          <w:lang w:val="es-MX"/>
        </w:rPr>
        <w:t>Artículo 27.</w:t>
      </w:r>
      <w:r w:rsidRPr="00FC2116">
        <w:rPr>
          <w:rFonts w:ascii="Palatino Linotype" w:hAnsi="Palatino Linotype"/>
          <w:i/>
          <w:sz w:val="22"/>
          <w:szCs w:val="20"/>
          <w:lang w:val="es-MX"/>
        </w:rPr>
        <w:t xml:space="preserve">- Las Unidades Administrativas al realizar la transferencia de los expedientes de trámite concluido, señalarán en el Inventario correspondiente los plazos de conservación </w:t>
      </w:r>
      <w:proofErr w:type="spellStart"/>
      <w:r w:rsidRPr="00FC2116">
        <w:rPr>
          <w:rFonts w:ascii="Palatino Linotype" w:hAnsi="Palatino Linotype"/>
          <w:i/>
          <w:sz w:val="22"/>
          <w:szCs w:val="20"/>
          <w:lang w:val="es-MX"/>
        </w:rPr>
        <w:t>precaucional</w:t>
      </w:r>
      <w:proofErr w:type="spellEnd"/>
      <w:r w:rsidRPr="00FC2116">
        <w:rPr>
          <w:rFonts w:ascii="Palatino Linotype" w:hAnsi="Palatino Linotype"/>
          <w:i/>
          <w:sz w:val="22"/>
          <w:szCs w:val="20"/>
          <w:lang w:val="es-MX"/>
        </w:rPr>
        <w:t xml:space="preserve"> de éstos en el Archivo de Concentración. Para determinar el plazo de conservación </w:t>
      </w:r>
      <w:proofErr w:type="spellStart"/>
      <w:r w:rsidRPr="00FC2116">
        <w:rPr>
          <w:rFonts w:ascii="Palatino Linotype" w:hAnsi="Palatino Linotype"/>
          <w:i/>
          <w:sz w:val="22"/>
          <w:szCs w:val="20"/>
          <w:lang w:val="es-MX"/>
        </w:rPr>
        <w:t>precaucional</w:t>
      </w:r>
      <w:proofErr w:type="spellEnd"/>
      <w:r w:rsidRPr="00FC2116">
        <w:rPr>
          <w:rFonts w:ascii="Palatino Linotype" w:hAnsi="Palatino Linotype"/>
          <w:i/>
          <w:sz w:val="22"/>
          <w:szCs w:val="20"/>
          <w:lang w:val="es-MX"/>
        </w:rPr>
        <w:t xml:space="preserve"> deberán considerar el marco legal o administrativo bajo el cual se produjeron o recibieron los documentos y los siguientes períodos:</w:t>
      </w:r>
    </w:p>
    <w:p w14:paraId="5198109D" w14:textId="77777777" w:rsidR="00FC2116" w:rsidRPr="00FC2116" w:rsidRDefault="00FC2116" w:rsidP="00FC2116">
      <w:pPr>
        <w:ind w:left="567" w:right="567"/>
        <w:jc w:val="both"/>
        <w:rPr>
          <w:rFonts w:ascii="Palatino Linotype" w:hAnsi="Palatino Linotype"/>
          <w:i/>
          <w:sz w:val="22"/>
          <w:szCs w:val="20"/>
          <w:lang w:val="es-MX"/>
        </w:rPr>
      </w:pPr>
    </w:p>
    <w:p w14:paraId="51C22F86" w14:textId="77777777" w:rsidR="00FC2116" w:rsidRPr="00FC2116" w:rsidRDefault="00FC2116" w:rsidP="00FC2116">
      <w:pPr>
        <w:numPr>
          <w:ilvl w:val="0"/>
          <w:numId w:val="39"/>
        </w:numPr>
        <w:spacing w:after="160" w:line="259" w:lineRule="auto"/>
        <w:ind w:right="567" w:hanging="720"/>
        <w:jc w:val="both"/>
        <w:rPr>
          <w:rFonts w:ascii="Palatino Linotype" w:hAnsi="Palatino Linotype"/>
          <w:i/>
          <w:sz w:val="22"/>
          <w:szCs w:val="20"/>
          <w:lang w:val="es-MX"/>
        </w:rPr>
      </w:pPr>
      <w:r w:rsidRPr="00FC2116">
        <w:rPr>
          <w:rFonts w:ascii="Palatino Linotype" w:hAnsi="Palatino Linotype"/>
          <w:i/>
          <w:sz w:val="22"/>
          <w:szCs w:val="20"/>
          <w:lang w:val="es-MX"/>
        </w:rPr>
        <w:t>6 años para expedientes con información administrativa;</w:t>
      </w:r>
    </w:p>
    <w:p w14:paraId="21A61560" w14:textId="77777777" w:rsidR="00FC2116" w:rsidRPr="00FC2116" w:rsidRDefault="00FC2116" w:rsidP="00FC2116">
      <w:pPr>
        <w:numPr>
          <w:ilvl w:val="0"/>
          <w:numId w:val="39"/>
        </w:numPr>
        <w:spacing w:after="160" w:line="259" w:lineRule="auto"/>
        <w:ind w:right="567" w:hanging="720"/>
        <w:jc w:val="both"/>
        <w:rPr>
          <w:rFonts w:ascii="Palatino Linotype" w:hAnsi="Palatino Linotype"/>
          <w:i/>
          <w:sz w:val="22"/>
          <w:szCs w:val="20"/>
          <w:lang w:val="es-MX"/>
        </w:rPr>
      </w:pPr>
      <w:r w:rsidRPr="00FC2116">
        <w:rPr>
          <w:rFonts w:ascii="Palatino Linotype" w:hAnsi="Palatino Linotype"/>
          <w:i/>
          <w:sz w:val="22"/>
          <w:szCs w:val="20"/>
          <w:lang w:val="es-MX"/>
        </w:rPr>
        <w:t>6 años como mínimo para expedientes con información fiscal y presupuestal contable;</w:t>
      </w:r>
    </w:p>
    <w:p w14:paraId="7B8EDAB7" w14:textId="77777777" w:rsidR="00FC2116" w:rsidRPr="00FC2116" w:rsidRDefault="00FC2116" w:rsidP="00FC2116">
      <w:pPr>
        <w:numPr>
          <w:ilvl w:val="0"/>
          <w:numId w:val="39"/>
        </w:numPr>
        <w:spacing w:after="160" w:line="259" w:lineRule="auto"/>
        <w:ind w:right="567" w:hanging="720"/>
        <w:jc w:val="both"/>
        <w:rPr>
          <w:rFonts w:ascii="Palatino Linotype" w:hAnsi="Palatino Linotype"/>
          <w:i/>
          <w:sz w:val="22"/>
          <w:szCs w:val="20"/>
          <w:lang w:val="es-MX"/>
        </w:rPr>
      </w:pPr>
      <w:r w:rsidRPr="00FC2116">
        <w:rPr>
          <w:rFonts w:ascii="Palatino Linotype" w:hAnsi="Palatino Linotype"/>
          <w:b/>
          <w:i/>
          <w:sz w:val="22"/>
          <w:szCs w:val="20"/>
          <w:u w:val="single"/>
          <w:lang w:val="es-MX"/>
        </w:rPr>
        <w:t>12 años como mínimo para expedientes con información jurídico-legal, obra pública y activo fijo</w:t>
      </w:r>
      <w:r w:rsidRPr="00FC2116">
        <w:rPr>
          <w:rFonts w:ascii="Palatino Linotype" w:hAnsi="Palatino Linotype"/>
          <w:i/>
          <w:sz w:val="22"/>
          <w:szCs w:val="20"/>
          <w:lang w:val="es-MX"/>
        </w:rPr>
        <w:t>; y</w:t>
      </w:r>
    </w:p>
    <w:p w14:paraId="32698C54" w14:textId="77777777" w:rsidR="00FC2116" w:rsidRPr="00FC2116" w:rsidRDefault="00FC2116" w:rsidP="00FC2116">
      <w:pPr>
        <w:numPr>
          <w:ilvl w:val="0"/>
          <w:numId w:val="39"/>
        </w:numPr>
        <w:spacing w:after="160" w:line="259" w:lineRule="auto"/>
        <w:ind w:right="567" w:hanging="720"/>
        <w:jc w:val="both"/>
        <w:rPr>
          <w:rFonts w:ascii="Palatino Linotype" w:hAnsi="Palatino Linotype"/>
          <w:sz w:val="22"/>
          <w:szCs w:val="20"/>
          <w:lang w:val="es-MX"/>
        </w:rPr>
      </w:pPr>
      <w:r w:rsidRPr="00FC2116">
        <w:rPr>
          <w:rFonts w:ascii="Palatino Linotype" w:hAnsi="Palatino Linotype"/>
          <w:i/>
          <w:sz w:val="22"/>
          <w:szCs w:val="20"/>
          <w:lang w:val="es-MX"/>
        </w:rPr>
        <w:t>Cuando en la legislación se establezcan períodos de conservación mayores a los señalados en las fracciones I, II y III, se considerarán los estipulados en dicha legislación para efectos de realización del proceso de selección final.</w:t>
      </w:r>
    </w:p>
    <w:p w14:paraId="16393115" w14:textId="77777777" w:rsidR="00FC2116" w:rsidRPr="00FC2116" w:rsidRDefault="00FC2116" w:rsidP="00FC2116">
      <w:pPr>
        <w:numPr>
          <w:ilvl w:val="0"/>
          <w:numId w:val="39"/>
        </w:numPr>
        <w:spacing w:after="160" w:line="259" w:lineRule="auto"/>
        <w:ind w:right="567" w:hanging="720"/>
        <w:jc w:val="both"/>
        <w:rPr>
          <w:rFonts w:ascii="Palatino Linotype" w:hAnsi="Palatino Linotype"/>
          <w:sz w:val="22"/>
          <w:szCs w:val="20"/>
          <w:lang w:val="es-MX"/>
        </w:rPr>
      </w:pPr>
      <w:r w:rsidRPr="00FC2116">
        <w:rPr>
          <w:rFonts w:ascii="Palatino Linotype" w:hAnsi="Palatino Linotype"/>
          <w:i/>
          <w:sz w:val="22"/>
          <w:szCs w:val="20"/>
          <w:lang w:val="es-MX"/>
        </w:rPr>
        <w:t xml:space="preserve">Cuando las Unidades Administrativas no indique el plazo de conservación </w:t>
      </w:r>
      <w:proofErr w:type="spellStart"/>
      <w:r w:rsidRPr="00FC2116">
        <w:rPr>
          <w:rFonts w:ascii="Palatino Linotype" w:hAnsi="Palatino Linotype"/>
          <w:i/>
          <w:sz w:val="22"/>
          <w:szCs w:val="20"/>
          <w:lang w:val="es-MX"/>
        </w:rPr>
        <w:t>precaucional</w:t>
      </w:r>
      <w:proofErr w:type="spellEnd"/>
      <w:r w:rsidRPr="00FC2116">
        <w:rPr>
          <w:rFonts w:ascii="Palatino Linotype" w:hAnsi="Palatino Linotype"/>
          <w:i/>
          <w:sz w:val="22"/>
          <w:szCs w:val="20"/>
          <w:lang w:val="es-MX"/>
        </w:rPr>
        <w:t xml:space="preserve"> de sus expedientes en el Inventario correspondiente, los Archivos de Concentración podrán rechazar la transferencia de los expedientes.</w:t>
      </w:r>
    </w:p>
    <w:p w14:paraId="2B1CBFCF" w14:textId="77777777" w:rsidR="00FC2116" w:rsidRPr="00FC2116" w:rsidRDefault="00FC2116" w:rsidP="00FC2116">
      <w:pPr>
        <w:spacing w:line="360" w:lineRule="auto"/>
        <w:jc w:val="both"/>
        <w:rPr>
          <w:rFonts w:ascii="Palatino Linotype" w:hAnsi="Palatino Linotype"/>
          <w:sz w:val="20"/>
          <w:szCs w:val="20"/>
          <w:lang w:val="es-MX"/>
        </w:rPr>
      </w:pPr>
    </w:p>
    <w:p w14:paraId="08F71F20" w14:textId="77777777" w:rsidR="00FC2116" w:rsidRPr="00FC2116" w:rsidRDefault="00FC2116" w:rsidP="00FC2116">
      <w:pPr>
        <w:spacing w:line="360" w:lineRule="auto"/>
        <w:jc w:val="both"/>
        <w:rPr>
          <w:rFonts w:ascii="Palatino Linotype" w:hAnsi="Palatino Linotype"/>
          <w:szCs w:val="22"/>
          <w:lang w:val="es-MX"/>
        </w:rPr>
      </w:pPr>
      <w:r w:rsidRPr="00FC2116">
        <w:rPr>
          <w:rFonts w:ascii="Palatino Linotype" w:hAnsi="Palatino Linotype"/>
          <w:szCs w:val="22"/>
          <w:lang w:val="es-MX"/>
        </w:rPr>
        <w:t>En apego de lo anterior, se tiene que una vez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w:t>
      </w:r>
    </w:p>
    <w:p w14:paraId="0B71C793" w14:textId="77777777" w:rsidR="00FC2116" w:rsidRPr="00FC2116" w:rsidRDefault="00FC2116" w:rsidP="00FC2116">
      <w:pPr>
        <w:spacing w:line="360" w:lineRule="auto"/>
        <w:jc w:val="both"/>
        <w:rPr>
          <w:rFonts w:ascii="Palatino Linotype" w:hAnsi="Palatino Linotype"/>
          <w:szCs w:val="22"/>
          <w:lang w:val="es-MX"/>
        </w:rPr>
      </w:pPr>
    </w:p>
    <w:p w14:paraId="270207AE" w14:textId="77777777" w:rsidR="00FC2116" w:rsidRPr="00FC2116" w:rsidRDefault="00FC2116" w:rsidP="00FC2116">
      <w:pPr>
        <w:spacing w:line="360" w:lineRule="auto"/>
        <w:jc w:val="both"/>
        <w:rPr>
          <w:rFonts w:ascii="Palatino Linotype" w:hAnsi="Palatino Linotype"/>
          <w:szCs w:val="22"/>
          <w:lang w:val="es-MX"/>
        </w:rPr>
      </w:pPr>
      <w:r w:rsidRPr="00FC2116">
        <w:rPr>
          <w:rFonts w:ascii="Palatino Linotype" w:hAnsi="Palatino Linotype"/>
          <w:szCs w:val="22"/>
          <w:lang w:val="es-MX"/>
        </w:rPr>
        <w:t xml:space="preserve">Una vez establecido lo anterior, se tiene que el </w:t>
      </w:r>
      <w:r w:rsidRPr="00FC2116">
        <w:rPr>
          <w:rFonts w:ascii="Palatino Linotype" w:hAnsi="Palatino Linotype"/>
          <w:b/>
          <w:szCs w:val="22"/>
          <w:lang w:val="es-MX"/>
        </w:rPr>
        <w:t>Sujeto Obligado</w:t>
      </w:r>
      <w:r w:rsidRPr="00FC2116">
        <w:rPr>
          <w:rFonts w:ascii="Palatino Linotype" w:hAnsi="Palatino Linotype"/>
          <w:szCs w:val="22"/>
          <w:lang w:val="es-MX"/>
        </w:rPr>
        <w:t xml:space="preserve"> tiene la obligación de mantener la información que genere, posea o administre en su archivo de trámite por un periodo de dos años, posteriormente, de acuerdo a la naturaleza de la información que requirió el Recurrente, ésta deberá ser custodiada por un periodo de doce años en el archivo de concentración, lo que da un total de catorce años.</w:t>
      </w:r>
    </w:p>
    <w:p w14:paraId="13ED574F" w14:textId="77777777" w:rsidR="00FC2116" w:rsidRPr="00FC2116" w:rsidRDefault="00FC2116" w:rsidP="00FC2116">
      <w:pPr>
        <w:spacing w:line="360" w:lineRule="auto"/>
        <w:jc w:val="both"/>
        <w:rPr>
          <w:rFonts w:ascii="Palatino Linotype" w:hAnsi="Palatino Linotype"/>
          <w:szCs w:val="22"/>
          <w:lang w:val="es-MX"/>
        </w:rPr>
      </w:pPr>
    </w:p>
    <w:p w14:paraId="133B34EA" w14:textId="77777777" w:rsidR="00FC2116" w:rsidRPr="00FC2116" w:rsidRDefault="00FC2116" w:rsidP="00FC2116">
      <w:pPr>
        <w:spacing w:line="360" w:lineRule="auto"/>
        <w:jc w:val="both"/>
        <w:rPr>
          <w:rFonts w:ascii="Palatino Linotype" w:eastAsia="Calibri" w:hAnsi="Palatino Linotype"/>
          <w:lang w:val="es-MX"/>
        </w:rPr>
      </w:pPr>
      <w:r w:rsidRPr="00FC2116">
        <w:rPr>
          <w:rFonts w:ascii="Palatino Linotype" w:eastAsia="Calibri" w:hAnsi="Palatino Linotype"/>
          <w:lang w:val="es-MX"/>
        </w:rPr>
        <w:lastRenderedPageBreak/>
        <w:t xml:space="preserve">De tal manera que, si bien, el Titular de la Unidad de Transparencia no tiene bajo su resguardo el archivo que pudiese contener la documentación solicitada, sino que puede obrar en las distintas áreas que conforman la estructura del </w:t>
      </w:r>
      <w:r w:rsidRPr="00FC2116">
        <w:rPr>
          <w:rFonts w:ascii="Palatino Linotype" w:eastAsia="Calibri" w:hAnsi="Palatino Linotype"/>
          <w:b/>
          <w:lang w:val="es-MX"/>
        </w:rPr>
        <w:t>Sujeto Obligado</w:t>
      </w:r>
      <w:r w:rsidRPr="00FC2116">
        <w:rPr>
          <w:rFonts w:ascii="Palatino Linotype" w:eastAsia="Calibri" w:hAnsi="Palatino Linotype"/>
          <w:lang w:val="es-MX"/>
        </w:rPr>
        <w:t>, es por ello que, debe turnar la solicitud al servidor público habilitado que tiene bajo su resguardo la misma. Los servidores públicos habilitados tienen como función, buscar, localizar y en su caso entregar la información solicitada.</w:t>
      </w:r>
    </w:p>
    <w:p w14:paraId="4B64E1EE" w14:textId="6010E80F" w:rsidR="00FC2116" w:rsidRDefault="00FC2116" w:rsidP="000F7BD6">
      <w:pPr>
        <w:spacing w:line="360" w:lineRule="auto"/>
        <w:jc w:val="both"/>
        <w:rPr>
          <w:rFonts w:ascii="Palatino Linotype" w:eastAsia="Calibri" w:hAnsi="Palatino Linotype" w:cs="Tahoma"/>
          <w:iCs/>
          <w:lang w:val="es-MX" w:eastAsia="es-ES_tradnl"/>
        </w:rPr>
      </w:pPr>
    </w:p>
    <w:p w14:paraId="7983958C" w14:textId="77777777" w:rsidR="00FC2116" w:rsidRPr="00FC2116" w:rsidRDefault="00FC2116" w:rsidP="00FC2116">
      <w:pPr>
        <w:spacing w:line="360" w:lineRule="auto"/>
        <w:jc w:val="both"/>
        <w:rPr>
          <w:rFonts w:ascii="Palatino Linotype" w:eastAsiaTheme="minorHAnsi" w:hAnsi="Palatino Linotype" w:cstheme="minorBidi"/>
          <w:szCs w:val="22"/>
          <w:lang w:val="es-MX" w:eastAsia="en-US"/>
        </w:rPr>
      </w:pPr>
      <w:r w:rsidRPr="00FC2116">
        <w:rPr>
          <w:rFonts w:ascii="Palatino Linotype" w:eastAsiaTheme="minorHAnsi" w:hAnsi="Palatino Linotype" w:cstheme="minorBidi"/>
          <w:szCs w:val="22"/>
          <w:lang w:val="es-MX" w:eastAsia="en-US"/>
        </w:rPr>
        <w:t>No se omite señalar que una vez acreditada la búsqueda de la información y el</w:t>
      </w:r>
      <w:r w:rsidRPr="00FC2116">
        <w:rPr>
          <w:rFonts w:ascii="Palatino Linotype" w:eastAsiaTheme="minorHAnsi" w:hAnsi="Palatino Linotype" w:cstheme="minorBidi"/>
          <w:b/>
          <w:szCs w:val="22"/>
          <w:lang w:val="es-MX" w:eastAsia="en-US"/>
        </w:rPr>
        <w:t xml:space="preserve"> Sujeto Obligado </w:t>
      </w:r>
      <w:r w:rsidRPr="00FC2116">
        <w:rPr>
          <w:rFonts w:ascii="Palatino Linotype" w:eastAsiaTheme="minorHAnsi" w:hAnsi="Palatino Linotype" w:cstheme="minorBidi"/>
          <w:szCs w:val="22"/>
          <w:lang w:val="es-MX" w:eastAsia="en-US"/>
        </w:rPr>
        <w:t xml:space="preserve">no localice la misma o no sea generada al grado de detalle que lo solicitó la particular; bastara con que lo haga del conocimiento del </w:t>
      </w:r>
      <w:r w:rsidRPr="00FC2116">
        <w:rPr>
          <w:rFonts w:ascii="Palatino Linotype" w:eastAsiaTheme="minorHAnsi" w:hAnsi="Palatino Linotype" w:cstheme="minorBidi"/>
          <w:b/>
          <w:szCs w:val="22"/>
          <w:lang w:val="es-MX" w:eastAsia="en-US"/>
        </w:rPr>
        <w:t xml:space="preserve">Recurrente </w:t>
      </w:r>
      <w:r w:rsidRPr="00FC2116">
        <w:rPr>
          <w:rFonts w:ascii="Palatino Linotype" w:eastAsiaTheme="minorHAnsi" w:hAnsi="Palatino Linotype" w:cstheme="minorBidi"/>
          <w:szCs w:val="22"/>
          <w:lang w:val="es-MX" w:eastAsia="en-US"/>
        </w:rPr>
        <w:t>al momento de dar cumplimiento a la presente resolución de manera fundada y motivada.</w:t>
      </w:r>
    </w:p>
    <w:p w14:paraId="480D1D69" w14:textId="77777777" w:rsidR="00FC2116" w:rsidRPr="00FC2116" w:rsidRDefault="00FC2116" w:rsidP="00FC2116">
      <w:pPr>
        <w:spacing w:line="360" w:lineRule="auto"/>
        <w:jc w:val="both"/>
        <w:rPr>
          <w:rFonts w:ascii="Palatino Linotype" w:eastAsiaTheme="minorHAnsi" w:hAnsi="Palatino Linotype" w:cstheme="minorBidi"/>
          <w:szCs w:val="22"/>
          <w:lang w:val="es-MX" w:eastAsia="en-US"/>
        </w:rPr>
      </w:pPr>
    </w:p>
    <w:p w14:paraId="3A2E213B" w14:textId="77777777" w:rsidR="00FC2116" w:rsidRPr="00FC2116" w:rsidRDefault="00FC2116" w:rsidP="00FC2116">
      <w:pPr>
        <w:spacing w:line="360" w:lineRule="auto"/>
        <w:jc w:val="both"/>
        <w:rPr>
          <w:rFonts w:ascii="Palatino Linotype" w:hAnsi="Palatino Linotype"/>
          <w:lang w:val="es-MX"/>
        </w:rPr>
      </w:pPr>
      <w:r w:rsidRPr="00FC2116">
        <w:rPr>
          <w:rFonts w:ascii="Palatino Linotype" w:hAnsi="Palatino Linotype"/>
          <w:lang w:val="es-MX"/>
        </w:rPr>
        <w:t xml:space="preserve">Sin embargo, en el caso de que aún no se cuente con el documento referido, no basta con que el </w:t>
      </w:r>
      <w:r w:rsidRPr="00FC2116">
        <w:rPr>
          <w:rFonts w:ascii="Palatino Linotype" w:hAnsi="Palatino Linotype"/>
          <w:b/>
          <w:lang w:val="es-MX"/>
        </w:rPr>
        <w:t>Sujeto Obligado</w:t>
      </w:r>
      <w:r w:rsidRPr="00FC2116">
        <w:rPr>
          <w:rFonts w:ascii="Palatino Linotype" w:hAnsi="Palatino Linotype"/>
          <w:lang w:val="es-MX"/>
        </w:rPr>
        <w:t xml:space="preserve"> haya manifestado no contar con la información dentro del término señalado, es necesario que el </w:t>
      </w:r>
      <w:r w:rsidRPr="00FC2116">
        <w:rPr>
          <w:rFonts w:ascii="Palatino Linotype" w:hAnsi="Palatino Linotype"/>
          <w:b/>
          <w:lang w:val="es-MX"/>
        </w:rPr>
        <w:t>Sujeto Obligado</w:t>
      </w:r>
      <w:r w:rsidRPr="00FC2116">
        <w:rPr>
          <w:rFonts w:ascii="Palatino Linotype" w:hAnsi="Palatino Linotype"/>
          <w:lang w:val="es-MX"/>
        </w:rPr>
        <w:t xml:space="preserve">, mediante su Comité de Transparencia, emita un Acuerdo en el que se declare la Inexistencia del documento solicitado, pues existe una fuente obligacional que constriñe al </w:t>
      </w:r>
      <w:r w:rsidRPr="00FC2116">
        <w:rPr>
          <w:rFonts w:ascii="Palatino Linotype" w:hAnsi="Palatino Linotype"/>
          <w:b/>
          <w:lang w:val="es-MX"/>
        </w:rPr>
        <w:t>Sujeto Obligado</w:t>
      </w:r>
      <w:r w:rsidRPr="00FC2116">
        <w:rPr>
          <w:rFonts w:ascii="Palatino Linotype" w:hAnsi="Palatino Linotype"/>
          <w:lang w:val="es-MX"/>
        </w:rPr>
        <w:t xml:space="preserve"> a contar con la información solicitada en un tiempo establecido.</w:t>
      </w:r>
    </w:p>
    <w:p w14:paraId="16BDB757" w14:textId="77777777" w:rsidR="00FC2116" w:rsidRPr="00FC2116" w:rsidRDefault="00FC2116" w:rsidP="00FC2116">
      <w:pPr>
        <w:spacing w:line="360" w:lineRule="auto"/>
        <w:jc w:val="both"/>
        <w:rPr>
          <w:rFonts w:ascii="Palatino Linotype" w:hAnsi="Palatino Linotype"/>
          <w:lang w:val="es-MX"/>
        </w:rPr>
      </w:pPr>
    </w:p>
    <w:p w14:paraId="072F5575" w14:textId="77777777" w:rsidR="00FC2116" w:rsidRPr="00FC2116" w:rsidRDefault="00FC2116" w:rsidP="00FC2116">
      <w:pPr>
        <w:spacing w:line="360" w:lineRule="auto"/>
        <w:jc w:val="both"/>
        <w:rPr>
          <w:rFonts w:ascii="Palatino Linotype" w:hAnsi="Palatino Linotype"/>
          <w:lang w:val="es-MX"/>
        </w:rPr>
      </w:pPr>
      <w:r w:rsidRPr="00FC2116">
        <w:rPr>
          <w:rFonts w:ascii="Palatino Linotype" w:hAnsi="Palatino Linotype"/>
          <w:lang w:val="es-MX"/>
        </w:rPr>
        <w:t>Para los casos en los que no exista la documentación de la cual se tiene la fuente obligación para generarla, poseerla o administrarla y con la que se pueda dar respuesta a una solicitud de información, la autoridad tiene la obligación de emitir un acuerdo de inexistencia, el cual debe reunir los requisitos señalados en la norma jurídica, según se establece en el artículo 19 de la Ley de Transparencia Estatal, que a la letra dispone lo siguiente:</w:t>
      </w:r>
    </w:p>
    <w:p w14:paraId="3DEE1C9B" w14:textId="77777777" w:rsidR="00FC2116" w:rsidRPr="00FC2116" w:rsidRDefault="00FC2116" w:rsidP="00FC2116">
      <w:pPr>
        <w:spacing w:after="160" w:line="259" w:lineRule="auto"/>
        <w:rPr>
          <w:rFonts w:asciiTheme="minorHAnsi" w:eastAsiaTheme="minorHAnsi" w:hAnsiTheme="minorHAnsi" w:cstheme="minorBidi"/>
          <w:sz w:val="22"/>
          <w:szCs w:val="22"/>
          <w:lang w:val="es-MX"/>
        </w:rPr>
      </w:pPr>
    </w:p>
    <w:p w14:paraId="72CC3B80" w14:textId="77777777" w:rsidR="00FC2116" w:rsidRPr="00FC2116" w:rsidRDefault="00FC2116" w:rsidP="00FC2116">
      <w:pPr>
        <w:ind w:left="567" w:right="567"/>
        <w:jc w:val="both"/>
        <w:rPr>
          <w:rFonts w:ascii="Palatino Linotype" w:hAnsi="Palatino Linotype"/>
          <w:i/>
          <w:sz w:val="22"/>
          <w:szCs w:val="22"/>
          <w:lang w:val="es-MX"/>
        </w:rPr>
      </w:pPr>
      <w:r w:rsidRPr="00FC2116">
        <w:rPr>
          <w:rFonts w:ascii="Palatino Linotype" w:hAnsi="Palatino Linotype"/>
          <w:b/>
          <w:i/>
          <w:sz w:val="22"/>
          <w:szCs w:val="22"/>
          <w:lang w:val="es-MX"/>
        </w:rPr>
        <w:t>Artículo 19.</w:t>
      </w:r>
      <w:r w:rsidRPr="00FC2116">
        <w:rPr>
          <w:rFonts w:ascii="Palatino Linotype" w:hAnsi="Palatino Linotype"/>
          <w:i/>
          <w:sz w:val="22"/>
          <w:szCs w:val="22"/>
          <w:lang w:val="es-MX"/>
        </w:rPr>
        <w:t xml:space="preserve"> Se presume que la información debe existir si se refiere a las facultades, competencias y funciones que los ordenamientos jurídicos aplicables otorgan a los sujetos obligados.</w:t>
      </w:r>
    </w:p>
    <w:p w14:paraId="20138B7F" w14:textId="77777777" w:rsidR="00FC2116" w:rsidRPr="00FC2116" w:rsidRDefault="00FC2116" w:rsidP="00FC2116">
      <w:pPr>
        <w:ind w:left="567" w:right="567"/>
        <w:jc w:val="both"/>
        <w:rPr>
          <w:rFonts w:ascii="Palatino Linotype" w:hAnsi="Palatino Linotype"/>
          <w:i/>
          <w:sz w:val="22"/>
          <w:szCs w:val="22"/>
          <w:lang w:val="es-MX"/>
        </w:rPr>
      </w:pPr>
    </w:p>
    <w:p w14:paraId="28DB537E" w14:textId="77777777" w:rsidR="00FC2116" w:rsidRPr="00FC2116" w:rsidRDefault="00FC2116" w:rsidP="00FC2116">
      <w:pPr>
        <w:ind w:left="567" w:right="567"/>
        <w:jc w:val="both"/>
        <w:rPr>
          <w:rFonts w:ascii="Palatino Linotype" w:hAnsi="Palatino Linotype"/>
          <w:i/>
          <w:sz w:val="22"/>
          <w:szCs w:val="22"/>
          <w:lang w:val="es-MX"/>
        </w:rPr>
      </w:pPr>
      <w:r w:rsidRPr="00FC2116">
        <w:rPr>
          <w:rFonts w:ascii="Palatino Linotype" w:hAnsi="Palatino Linotype"/>
          <w:i/>
          <w:sz w:val="22"/>
          <w:szCs w:val="22"/>
          <w:lang w:val="es-MX"/>
        </w:rPr>
        <w:t>En los casos en que ciertas facultades, competencias o funciones no se hayan ejercido, se debe motivar la respuesta en función de las causas que motiven tal circunstancia.</w:t>
      </w:r>
    </w:p>
    <w:p w14:paraId="011EBFC6" w14:textId="77777777" w:rsidR="00FC2116" w:rsidRPr="00FC2116" w:rsidRDefault="00FC2116" w:rsidP="00FC2116">
      <w:pPr>
        <w:ind w:left="567" w:right="567"/>
        <w:jc w:val="both"/>
        <w:rPr>
          <w:rFonts w:ascii="Palatino Linotype" w:hAnsi="Palatino Linotype"/>
          <w:i/>
          <w:sz w:val="22"/>
          <w:szCs w:val="22"/>
          <w:lang w:val="es-MX"/>
        </w:rPr>
      </w:pPr>
    </w:p>
    <w:p w14:paraId="13AFCED9" w14:textId="77777777" w:rsidR="00FC2116" w:rsidRPr="00FC2116" w:rsidRDefault="00FC2116" w:rsidP="00FC2116">
      <w:pPr>
        <w:ind w:left="567" w:right="567"/>
        <w:jc w:val="both"/>
        <w:rPr>
          <w:rFonts w:ascii="Palatino Linotype" w:hAnsi="Palatino Linotype"/>
          <w:i/>
          <w:sz w:val="22"/>
          <w:szCs w:val="22"/>
          <w:lang w:val="es-MX"/>
        </w:rPr>
      </w:pPr>
      <w:r w:rsidRPr="00FC2116">
        <w:rPr>
          <w:rFonts w:ascii="Palatino Linotype" w:hAnsi="Palatino Linotype"/>
          <w:b/>
          <w:i/>
          <w:sz w:val="22"/>
          <w:szCs w:val="22"/>
          <w:u w:val="single"/>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FC2116">
        <w:rPr>
          <w:rFonts w:ascii="Palatino Linotype" w:hAnsi="Palatino Linotype"/>
          <w:i/>
          <w:sz w:val="22"/>
          <w:szCs w:val="22"/>
          <w:lang w:val="es-MX"/>
        </w:rPr>
        <w:t>.</w:t>
      </w:r>
    </w:p>
    <w:p w14:paraId="5A9F0BFC" w14:textId="77777777" w:rsidR="00FC2116" w:rsidRPr="00FC2116" w:rsidRDefault="00FC2116" w:rsidP="00FC2116">
      <w:pPr>
        <w:spacing w:line="360" w:lineRule="auto"/>
        <w:jc w:val="both"/>
        <w:rPr>
          <w:rFonts w:ascii="Palatino Linotype" w:hAnsi="Palatino Linotype"/>
          <w:lang w:val="es-MX"/>
        </w:rPr>
      </w:pPr>
    </w:p>
    <w:p w14:paraId="229BADE2" w14:textId="50492371" w:rsidR="00FC2116" w:rsidRPr="00FC2116" w:rsidRDefault="00FC2116" w:rsidP="00FC2116">
      <w:pPr>
        <w:spacing w:line="360" w:lineRule="auto"/>
        <w:jc w:val="both"/>
        <w:rPr>
          <w:rFonts w:ascii="Palatino Linotype" w:hAnsi="Palatino Linotype"/>
          <w:lang w:val="es-MX"/>
        </w:rPr>
      </w:pPr>
      <w:r w:rsidRPr="00FC2116">
        <w:rPr>
          <w:rFonts w:ascii="Palatino Linotype" w:hAnsi="Palatino Linotype"/>
          <w:lang w:val="es-MX"/>
        </w:rPr>
        <w:t xml:space="preserve">En el caso en concreto, se deduce que la información solicitada debió ser poseída o administrada por el </w:t>
      </w:r>
      <w:r w:rsidRPr="00FC2116">
        <w:rPr>
          <w:rFonts w:ascii="Palatino Linotype" w:hAnsi="Palatino Linotype"/>
          <w:b/>
          <w:lang w:val="es-MX"/>
        </w:rPr>
        <w:t>Sujeto Obligado</w:t>
      </w:r>
      <w:r w:rsidRPr="00FC2116">
        <w:rPr>
          <w:rFonts w:ascii="Palatino Linotype" w:hAnsi="Palatino Linotype"/>
          <w:lang w:val="es-MX"/>
        </w:rPr>
        <w:t>; sin embargo, debido a que éste no se cuenta con el documento requerido, se actualiza la hipótesis prevista en el tercer párrafo del artículo citado. De ser el caso, es necesario hacer referencia a los criterios orientadores aprobados por el Pleno de este Instituto, que establecen el criterio de inexistencia y en qué circunstancia debe emitirse la declaratoria de la misma:</w:t>
      </w:r>
    </w:p>
    <w:p w14:paraId="496A857A" w14:textId="77777777" w:rsidR="00FC2116" w:rsidRPr="00FC2116" w:rsidRDefault="00FC2116" w:rsidP="00FC2116">
      <w:pPr>
        <w:ind w:left="567" w:right="567"/>
        <w:jc w:val="both"/>
        <w:rPr>
          <w:rFonts w:ascii="Palatino Linotype" w:hAnsi="Palatino Linotype"/>
          <w:sz w:val="22"/>
          <w:szCs w:val="22"/>
          <w:lang w:val="es-MX"/>
        </w:rPr>
      </w:pPr>
    </w:p>
    <w:p w14:paraId="168F7303" w14:textId="77777777" w:rsidR="00FC2116" w:rsidRPr="00FC2116" w:rsidRDefault="00FC2116" w:rsidP="00FC2116">
      <w:pPr>
        <w:ind w:left="567" w:right="567"/>
        <w:jc w:val="center"/>
        <w:rPr>
          <w:rFonts w:ascii="Palatino Linotype" w:eastAsia="Calibri" w:hAnsi="Palatino Linotype" w:cs="Arial"/>
          <w:b/>
          <w:i/>
          <w:color w:val="000000"/>
          <w:sz w:val="22"/>
          <w:szCs w:val="22"/>
          <w:lang w:val="es-ES_tradnl"/>
        </w:rPr>
      </w:pPr>
      <w:r w:rsidRPr="00FC2116">
        <w:rPr>
          <w:rFonts w:ascii="Palatino Linotype" w:eastAsia="Calibri" w:hAnsi="Palatino Linotype" w:cs="Arial"/>
          <w:b/>
          <w:i/>
          <w:color w:val="000000"/>
          <w:sz w:val="22"/>
          <w:szCs w:val="22"/>
          <w:lang w:val="es-ES_tradnl"/>
        </w:rPr>
        <w:t>CRITERIO 0003-11</w:t>
      </w:r>
    </w:p>
    <w:p w14:paraId="183BFDD4" w14:textId="77777777" w:rsidR="00FC2116" w:rsidRPr="00FC2116" w:rsidRDefault="00FC2116" w:rsidP="00FC2116">
      <w:pPr>
        <w:ind w:left="567" w:right="567"/>
        <w:jc w:val="both"/>
        <w:rPr>
          <w:rFonts w:ascii="Palatino Linotype" w:eastAsia="Calibri" w:hAnsi="Palatino Linotype" w:cs="Arial"/>
          <w:b/>
          <w:i/>
          <w:color w:val="000000"/>
          <w:sz w:val="22"/>
          <w:szCs w:val="22"/>
          <w:lang w:val="es-ES_tradnl"/>
        </w:rPr>
      </w:pPr>
    </w:p>
    <w:p w14:paraId="50856949"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b/>
          <w:i/>
          <w:color w:val="000000"/>
          <w:sz w:val="22"/>
          <w:szCs w:val="22"/>
          <w:lang w:val="es-ES_tradnl"/>
        </w:rPr>
        <w:t>INEXISTENCIA, CONCEPTO DE, EN MATERIA DE TRANSPARENCIA</w:t>
      </w:r>
      <w:r w:rsidRPr="00FC2116">
        <w:rPr>
          <w:rFonts w:ascii="Palatino Linotype" w:eastAsia="Calibri" w:hAnsi="Palatino Linotype" w:cs="Arial"/>
          <w:i/>
          <w:color w:val="000000"/>
          <w:sz w:val="22"/>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2924E2FF"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p>
    <w:p w14:paraId="07252370"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i/>
          <w:color w:val="000000"/>
          <w:sz w:val="22"/>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36CD2826"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i/>
          <w:color w:val="000000"/>
          <w:sz w:val="22"/>
          <w:szCs w:val="22"/>
          <w:lang w:val="es-ES_tradnl"/>
        </w:rPr>
        <w:lastRenderedPageBreak/>
        <w:t xml:space="preserve">b) En los casos en que por las atribuciones conferidas al Sujeto Obligado éste debió generar, administrar o poseer la información, pero en incumplimiento a la normatividad respectiva no llevó a cabo </w:t>
      </w:r>
      <w:proofErr w:type="gramStart"/>
      <w:r w:rsidRPr="00FC2116">
        <w:rPr>
          <w:rFonts w:ascii="Palatino Linotype" w:eastAsia="Calibri" w:hAnsi="Palatino Linotype" w:cs="Arial"/>
          <w:i/>
          <w:color w:val="000000"/>
          <w:sz w:val="22"/>
          <w:szCs w:val="22"/>
          <w:lang w:val="es-ES_tradnl"/>
        </w:rPr>
        <w:t>ninguna</w:t>
      </w:r>
      <w:proofErr w:type="gramEnd"/>
      <w:r w:rsidRPr="00FC2116">
        <w:rPr>
          <w:rFonts w:ascii="Palatino Linotype" w:eastAsia="Calibri" w:hAnsi="Palatino Linotype" w:cs="Arial"/>
          <w:i/>
          <w:color w:val="000000"/>
          <w:sz w:val="22"/>
          <w:szCs w:val="22"/>
          <w:lang w:val="es-ES_tradnl"/>
        </w:rPr>
        <w:t xml:space="preserve"> de esas acciones.</w:t>
      </w:r>
    </w:p>
    <w:p w14:paraId="778A16F0"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p>
    <w:p w14:paraId="079EECED"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i/>
          <w:color w:val="000000"/>
          <w:sz w:val="22"/>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6F3FDC3" w14:textId="77777777" w:rsidR="00FC2116" w:rsidRDefault="00FC2116" w:rsidP="00FC2116">
      <w:pPr>
        <w:ind w:left="567" w:right="567"/>
        <w:jc w:val="both"/>
        <w:rPr>
          <w:rFonts w:ascii="Palatino Linotype" w:eastAsia="Calibri" w:hAnsi="Palatino Linotype" w:cs="Arial"/>
          <w:i/>
          <w:color w:val="000000"/>
          <w:sz w:val="22"/>
          <w:szCs w:val="22"/>
          <w:lang w:val="es-ES_tradnl"/>
        </w:rPr>
      </w:pPr>
    </w:p>
    <w:p w14:paraId="076CAE90"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p>
    <w:p w14:paraId="095B0E7D" w14:textId="77777777" w:rsidR="00FC2116" w:rsidRPr="00FC2116" w:rsidRDefault="00FC2116" w:rsidP="00FC2116">
      <w:pPr>
        <w:ind w:left="567" w:right="567"/>
        <w:jc w:val="center"/>
        <w:rPr>
          <w:rFonts w:ascii="Palatino Linotype" w:eastAsia="Calibri" w:hAnsi="Palatino Linotype" w:cs="Arial"/>
          <w:b/>
          <w:i/>
          <w:color w:val="000000"/>
          <w:sz w:val="22"/>
          <w:szCs w:val="22"/>
          <w:lang w:val="es-ES_tradnl"/>
        </w:rPr>
      </w:pPr>
      <w:r w:rsidRPr="00FC2116">
        <w:rPr>
          <w:rFonts w:ascii="Palatino Linotype" w:eastAsia="Calibri" w:hAnsi="Palatino Linotype" w:cs="Arial"/>
          <w:b/>
          <w:i/>
          <w:color w:val="000000"/>
          <w:sz w:val="22"/>
          <w:szCs w:val="22"/>
          <w:lang w:val="es-ES_tradnl"/>
        </w:rPr>
        <w:t>CRITERIO 0004-11</w:t>
      </w:r>
    </w:p>
    <w:p w14:paraId="05479393" w14:textId="77777777" w:rsidR="00FC2116" w:rsidRPr="00FC2116" w:rsidRDefault="00FC2116" w:rsidP="00FC2116">
      <w:pPr>
        <w:ind w:left="567" w:right="567"/>
        <w:jc w:val="both"/>
        <w:rPr>
          <w:rFonts w:ascii="Palatino Linotype" w:eastAsia="Calibri" w:hAnsi="Palatino Linotype" w:cs="Arial"/>
          <w:b/>
          <w:i/>
          <w:color w:val="000000"/>
          <w:sz w:val="22"/>
          <w:szCs w:val="22"/>
          <w:lang w:val="es-ES_tradnl"/>
        </w:rPr>
      </w:pPr>
    </w:p>
    <w:p w14:paraId="25F530CA"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b/>
          <w:i/>
          <w:color w:val="000000"/>
          <w:sz w:val="22"/>
          <w:szCs w:val="22"/>
          <w:lang w:val="es-ES_tradnl"/>
        </w:rPr>
        <w:t>INEXISTENCIA. DECLARATORIA DE LA. ALCANCES Y PROCEDIMIENTOS</w:t>
      </w:r>
      <w:r w:rsidRPr="00FC2116">
        <w:rPr>
          <w:rFonts w:ascii="Palatino Linotype" w:eastAsia="Calibri" w:hAnsi="Palatino Linotype" w:cs="Arial"/>
          <w:i/>
          <w:color w:val="000000"/>
          <w:sz w:val="22"/>
          <w:szCs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4A5D8CAD"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p>
    <w:p w14:paraId="01EA93C8"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i/>
          <w:color w:val="000000"/>
          <w:sz w:val="22"/>
          <w:szCs w:val="22"/>
          <w:lang w:val="es-ES_tradnl"/>
        </w:rPr>
        <w:t>Bajo el entendido de que dicha búsqueda exhaustiva permitirá dos determinaciones:</w:t>
      </w:r>
    </w:p>
    <w:p w14:paraId="1F340559"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p>
    <w:p w14:paraId="29BDE8D3"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i/>
          <w:color w:val="000000"/>
          <w:sz w:val="22"/>
          <w:szCs w:val="22"/>
          <w:lang w:val="es-ES_tradnl"/>
        </w:rPr>
        <w:t>1ª) Que se localice la documentación que contenga la información solicitada y de ser así la información pueda entregarse al solicitante en la forma en que se encuentra disponible, o</w:t>
      </w:r>
    </w:p>
    <w:p w14:paraId="7599A7B0"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i/>
          <w:color w:val="000000"/>
          <w:sz w:val="22"/>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2C2FE41"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p>
    <w:p w14:paraId="2DA0CC12" w14:textId="77777777" w:rsidR="00FC2116" w:rsidRPr="00FC2116" w:rsidRDefault="00FC2116" w:rsidP="00FC2116">
      <w:pPr>
        <w:ind w:left="567" w:right="567"/>
        <w:jc w:val="both"/>
        <w:rPr>
          <w:rFonts w:ascii="Palatino Linotype" w:eastAsia="Calibri" w:hAnsi="Palatino Linotype" w:cs="Arial"/>
          <w:i/>
          <w:color w:val="000000"/>
          <w:sz w:val="22"/>
          <w:szCs w:val="22"/>
          <w:lang w:val="es-ES_tradnl"/>
        </w:rPr>
      </w:pPr>
      <w:r w:rsidRPr="00FC2116">
        <w:rPr>
          <w:rFonts w:ascii="Palatino Linotype" w:eastAsia="Calibri" w:hAnsi="Palatino Linotype" w:cs="Arial"/>
          <w:i/>
          <w:color w:val="000000"/>
          <w:sz w:val="22"/>
          <w:szCs w:val="22"/>
          <w:lang w:val="es-ES_tradnl"/>
        </w:rPr>
        <w:lastRenderedPageBreak/>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CC19AD2" w14:textId="77777777" w:rsidR="00FC2116" w:rsidRPr="00FC2116" w:rsidRDefault="00FC2116" w:rsidP="00FC2116">
      <w:pPr>
        <w:spacing w:line="360" w:lineRule="auto"/>
        <w:ind w:right="567"/>
        <w:jc w:val="both"/>
        <w:rPr>
          <w:rFonts w:ascii="Palatino Linotype" w:hAnsi="Palatino Linotype"/>
          <w:sz w:val="22"/>
          <w:szCs w:val="22"/>
          <w:lang w:val="es-MX"/>
        </w:rPr>
      </w:pPr>
    </w:p>
    <w:p w14:paraId="7A5D1A51" w14:textId="6F77E59D" w:rsidR="00FC2116" w:rsidRPr="00FC2116" w:rsidRDefault="00FC2116" w:rsidP="00FC2116">
      <w:pPr>
        <w:spacing w:line="360" w:lineRule="auto"/>
        <w:jc w:val="both"/>
        <w:rPr>
          <w:rFonts w:ascii="Palatino Linotype" w:hAnsi="Palatino Linotype"/>
        </w:rPr>
      </w:pPr>
      <w:r w:rsidRPr="00FC2116">
        <w:rPr>
          <w:rFonts w:ascii="Palatino Linotype" w:hAnsi="Palatino Linotype"/>
          <w:lang w:val="es-ES_tradnl"/>
        </w:rPr>
        <w:t xml:space="preserve">En consecuencia, </w:t>
      </w:r>
      <w:r w:rsidRPr="00FC2116">
        <w:rPr>
          <w:rFonts w:ascii="Palatino Linotype" w:hAnsi="Palatino Linotype"/>
        </w:rPr>
        <w:t xml:space="preserve">el Comité de Información deberá emitir el correspondiente Acuerdo de Inexistencia de la Información y notificarlo al </w:t>
      </w:r>
      <w:r w:rsidRPr="00FC2116">
        <w:rPr>
          <w:rFonts w:ascii="Palatino Linotype" w:hAnsi="Palatino Linotype"/>
          <w:b/>
        </w:rPr>
        <w:t>Recurrente</w:t>
      </w:r>
      <w:r w:rsidRPr="00FC2116">
        <w:rPr>
          <w:rFonts w:ascii="Palatino Linotype" w:hAnsi="Palatino Linotype"/>
        </w:rPr>
        <w:t>.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De este modo, el particular puede tener la certeza de que se hizo una búsqueda exhaustiva de la información solicitada y de que se le dio la adecuada atención a su solicitud.</w:t>
      </w:r>
    </w:p>
    <w:p w14:paraId="60C77FD3" w14:textId="77777777" w:rsidR="00FC2116" w:rsidRPr="00FC2116" w:rsidRDefault="00FC2116" w:rsidP="00FC2116">
      <w:pPr>
        <w:spacing w:line="360" w:lineRule="auto"/>
        <w:jc w:val="both"/>
        <w:rPr>
          <w:rFonts w:ascii="Palatino Linotype" w:hAnsi="Palatino Linotype"/>
          <w:lang w:val="es-ES_tradnl"/>
        </w:rPr>
      </w:pPr>
    </w:p>
    <w:p w14:paraId="607F98CB" w14:textId="77777777" w:rsidR="00FC2116" w:rsidRDefault="00FC2116" w:rsidP="00FC2116">
      <w:pPr>
        <w:spacing w:line="360" w:lineRule="auto"/>
        <w:jc w:val="both"/>
        <w:rPr>
          <w:rFonts w:ascii="Palatino Linotype" w:hAnsi="Palatino Linotype"/>
          <w:lang w:val="es-ES_tradnl"/>
        </w:rPr>
      </w:pPr>
      <w:r w:rsidRPr="00FC2116">
        <w:rPr>
          <w:rFonts w:ascii="Palatino Linotype" w:hAnsi="Palatino Linotype"/>
          <w:lang w:val="es-ES_tradnl"/>
        </w:rPr>
        <w:t xml:space="preserve">Al respecto, es importante considerar </w:t>
      </w:r>
      <w:r w:rsidRPr="00FC2116">
        <w:rPr>
          <w:rFonts w:ascii="Palatino Linotype" w:hAnsi="Palatino Linotype"/>
        </w:rPr>
        <w:t xml:space="preserve">lo dispuesto por el artículo 19, de la Ley de la materia, transcrito con antelación, del cual </w:t>
      </w:r>
      <w:r w:rsidRPr="00FC2116">
        <w:rPr>
          <w:rFonts w:ascii="Palatino Linotype" w:hAnsi="Palatino Linotype"/>
          <w:lang w:val="es-ES_tradnl"/>
        </w:rPr>
        <w:t>se desprende la presunción de existencia de la información cuando se refiere a las facultades, competencias y funciones otorgadas a los sujetos obligados. Asimismo, se establece, para el caso de que el Sujeto Obligado debió generar, poseer o administrar la información, derivado de sus facultades y no cuenta con ella, el Comité de Información debe emitir un acuerdo de inexistencia, en el que detalle las razones del por qué no obra en sus archivos.</w:t>
      </w:r>
    </w:p>
    <w:p w14:paraId="519D4BED" w14:textId="77777777" w:rsidR="00FC2116" w:rsidRPr="00FC2116" w:rsidRDefault="00FC2116" w:rsidP="00FC2116">
      <w:pPr>
        <w:spacing w:line="360" w:lineRule="auto"/>
        <w:jc w:val="both"/>
        <w:rPr>
          <w:rFonts w:ascii="Palatino Linotype" w:hAnsi="Palatino Linotype"/>
          <w:lang w:val="es-ES_tradnl"/>
        </w:rPr>
      </w:pPr>
    </w:p>
    <w:p w14:paraId="1A15871B" w14:textId="77777777" w:rsidR="00FC2116" w:rsidRPr="00FC2116" w:rsidRDefault="00FC2116" w:rsidP="00FC2116">
      <w:pPr>
        <w:spacing w:line="360" w:lineRule="auto"/>
        <w:jc w:val="both"/>
        <w:rPr>
          <w:rFonts w:ascii="Palatino Linotype" w:hAnsi="Palatino Linotype"/>
        </w:rPr>
      </w:pPr>
      <w:r w:rsidRPr="00FC2116">
        <w:rPr>
          <w:rFonts w:ascii="Palatino Linotype" w:hAnsi="Palatino Linotype"/>
        </w:rPr>
        <w:t>En referidas condiciones es necesario considerar que al aducir la inexistencia, el</w:t>
      </w:r>
      <w:r w:rsidRPr="00FC2116">
        <w:rPr>
          <w:rFonts w:ascii="Palatino Linotype" w:hAnsi="Palatino Linotype"/>
          <w:b/>
        </w:rPr>
        <w:t xml:space="preserve"> </w:t>
      </w:r>
      <w:r w:rsidRPr="00FC2116">
        <w:rPr>
          <w:rFonts w:ascii="Palatino Linotype" w:hAnsi="Palatino Linotype"/>
        </w:rPr>
        <w:t xml:space="preserve">Sujeto Obligado deberá emitir el acuerdo de inexistencia correspondiente por medio de su Comité de Información, ello en estricto apego a lo dispuesto por el artículo 19 de la Ley </w:t>
      </w:r>
      <w:r w:rsidRPr="00FC2116">
        <w:rPr>
          <w:rFonts w:ascii="Palatino Linotype" w:hAnsi="Palatino Linotype"/>
        </w:rPr>
        <w:lastRenderedPageBreak/>
        <w:t>de Transparencia del Estado de México y Municipios, puesto que en los casos en que ciertas facultades, competencias o funciones no se hayan ejercido, se debe motivar la respuesta en función de las causas que motiven tal circunstancia, tal como acontece en el caso que nos ocupa.</w:t>
      </w:r>
    </w:p>
    <w:p w14:paraId="46ECC4BD" w14:textId="77777777" w:rsidR="00FC2116" w:rsidRPr="00FC2116" w:rsidRDefault="00FC2116" w:rsidP="00FC2116">
      <w:pPr>
        <w:spacing w:line="360" w:lineRule="auto"/>
        <w:jc w:val="both"/>
        <w:rPr>
          <w:rFonts w:ascii="Palatino Linotype" w:hAnsi="Palatino Linotype"/>
        </w:rPr>
      </w:pPr>
    </w:p>
    <w:p w14:paraId="04446DC4" w14:textId="77777777" w:rsidR="00FC2116" w:rsidRPr="00FC2116" w:rsidRDefault="00FC2116" w:rsidP="00FC2116">
      <w:pPr>
        <w:spacing w:line="360" w:lineRule="auto"/>
        <w:jc w:val="both"/>
        <w:rPr>
          <w:rFonts w:ascii="Palatino Linotype" w:hAnsi="Palatino Linotype"/>
        </w:rPr>
      </w:pPr>
      <w:r w:rsidRPr="00FC2116">
        <w:rPr>
          <w:rFonts w:ascii="Palatino Linotype" w:hAnsi="Palatino Linotype"/>
        </w:rPr>
        <w:t>La emisión del acuerdo de inexistencia que de manera fundada y motivada, sustente las razones por las cuales no se tiene la información para hacer entrega de ella es una facultad que le corresponde al Comité de Transparencia del sujeto obligado correspondiente, de acuerdo a los artículos 47 y 49, fracciones II y XIII, de la Ley en estudio:</w:t>
      </w:r>
    </w:p>
    <w:p w14:paraId="5033A948" w14:textId="77777777" w:rsidR="00FC2116" w:rsidRPr="00FC2116" w:rsidRDefault="00FC2116" w:rsidP="00FC2116">
      <w:pPr>
        <w:spacing w:line="360" w:lineRule="auto"/>
        <w:ind w:right="567"/>
        <w:jc w:val="both"/>
        <w:rPr>
          <w:rFonts w:ascii="Palatino Linotype" w:hAnsi="Palatino Linotype"/>
        </w:rPr>
      </w:pPr>
    </w:p>
    <w:p w14:paraId="68F20805"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b/>
          <w:i/>
          <w:sz w:val="22"/>
          <w:szCs w:val="22"/>
          <w:lang w:val="es-ES_tradnl"/>
        </w:rPr>
        <w:t>Artículo 47.</w:t>
      </w:r>
      <w:r w:rsidRPr="00FC2116">
        <w:rPr>
          <w:rFonts w:ascii="Palatino Linotype" w:hAnsi="Palatino Linotype"/>
          <w:i/>
          <w:sz w:val="22"/>
          <w:szCs w:val="22"/>
          <w:lang w:val="es-ES_tradnl"/>
        </w:rPr>
        <w:t xml:space="preserve"> El Comité de Transparencia será la autoridad máxima al interior del sujeto obligado en materia del derecho de acceso a la información.</w:t>
      </w:r>
    </w:p>
    <w:p w14:paraId="282A91FE" w14:textId="77777777" w:rsidR="00FC2116" w:rsidRPr="00FC2116" w:rsidRDefault="00FC2116" w:rsidP="00FC2116">
      <w:pPr>
        <w:ind w:left="567" w:right="567"/>
        <w:jc w:val="both"/>
        <w:rPr>
          <w:rFonts w:ascii="Palatino Linotype" w:hAnsi="Palatino Linotype"/>
          <w:i/>
          <w:sz w:val="22"/>
          <w:szCs w:val="22"/>
          <w:lang w:val="es-ES_tradnl"/>
        </w:rPr>
      </w:pPr>
    </w:p>
    <w:p w14:paraId="042F7F84"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2D3B8DF2" w14:textId="77777777" w:rsidR="00FC2116" w:rsidRPr="00FC2116" w:rsidRDefault="00FC2116" w:rsidP="00FC2116">
      <w:pPr>
        <w:ind w:left="567" w:right="567"/>
        <w:jc w:val="both"/>
        <w:rPr>
          <w:rFonts w:ascii="Palatino Linotype" w:hAnsi="Palatino Linotype"/>
          <w:i/>
          <w:sz w:val="22"/>
          <w:szCs w:val="22"/>
          <w:lang w:val="es-ES_tradnl"/>
        </w:rPr>
      </w:pPr>
    </w:p>
    <w:p w14:paraId="60C15015"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El Comité se reunirá en sesión ordinaria o extraordinaria las veces que estime necesario. El tipo de sesión se precisará en la convocatoria emitida.</w:t>
      </w:r>
    </w:p>
    <w:p w14:paraId="732A274B" w14:textId="77777777" w:rsidR="00FC2116" w:rsidRPr="00FC2116" w:rsidRDefault="00FC2116" w:rsidP="00FC2116">
      <w:pPr>
        <w:ind w:left="567" w:right="567"/>
        <w:jc w:val="both"/>
        <w:rPr>
          <w:rFonts w:ascii="Palatino Linotype" w:hAnsi="Palatino Linotype"/>
          <w:i/>
          <w:sz w:val="22"/>
          <w:szCs w:val="22"/>
          <w:lang w:val="es-ES_tradnl"/>
        </w:rPr>
      </w:pPr>
    </w:p>
    <w:p w14:paraId="33325724"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Los integrantes del Comité de Transparencia tendrán acceso a la información para determinar su clasificación, conforme a la normatividad aplicable previamente establecida por los sujetos obligados para el resguardo o salvaguarda de la información.</w:t>
      </w:r>
    </w:p>
    <w:p w14:paraId="2D45D353" w14:textId="77777777" w:rsidR="00FC2116" w:rsidRPr="00FC2116" w:rsidRDefault="00FC2116" w:rsidP="00FC2116">
      <w:pPr>
        <w:ind w:left="567" w:right="567"/>
        <w:jc w:val="both"/>
        <w:rPr>
          <w:rFonts w:ascii="Palatino Linotype" w:hAnsi="Palatino Linotype"/>
          <w:i/>
          <w:sz w:val="22"/>
          <w:szCs w:val="22"/>
          <w:lang w:val="es-ES_tradnl"/>
        </w:rPr>
      </w:pPr>
    </w:p>
    <w:p w14:paraId="6AC8E96C"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En las sesiones y trabajos del Comité, podrán participar como invitados permanentes, los representantes de las áreas que decida el Comité, y contará con derecho de voz, pero no voto.</w:t>
      </w:r>
    </w:p>
    <w:p w14:paraId="38AFBF02" w14:textId="77777777" w:rsidR="00FC2116" w:rsidRPr="00FC2116" w:rsidRDefault="00FC2116" w:rsidP="00FC2116">
      <w:pPr>
        <w:ind w:left="567" w:right="567"/>
        <w:jc w:val="both"/>
        <w:rPr>
          <w:rFonts w:ascii="Palatino Linotype" w:hAnsi="Palatino Linotype"/>
          <w:i/>
          <w:sz w:val="22"/>
          <w:szCs w:val="22"/>
          <w:lang w:val="es-ES_tradnl"/>
        </w:rPr>
      </w:pPr>
    </w:p>
    <w:p w14:paraId="493F836C"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Los titulares de las unidades administrativas que propongan la reserva, confidencialidad o declaren la inexistencia de información, acudirán a las sesiones de dicho Comité donde se discuta la propuesta correspondiente.”</w:t>
      </w:r>
    </w:p>
    <w:p w14:paraId="24A19BF4" w14:textId="77777777" w:rsidR="00FC2116" w:rsidRPr="00FC2116" w:rsidRDefault="00FC2116" w:rsidP="00FC2116">
      <w:pPr>
        <w:ind w:left="567" w:right="567"/>
        <w:jc w:val="both"/>
        <w:rPr>
          <w:rFonts w:ascii="Palatino Linotype" w:hAnsi="Palatino Linotype"/>
          <w:i/>
          <w:sz w:val="22"/>
          <w:szCs w:val="22"/>
          <w:lang w:val="es-ES_tradnl"/>
        </w:rPr>
      </w:pPr>
    </w:p>
    <w:p w14:paraId="66E8B1AF"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lastRenderedPageBreak/>
        <w:t>“</w:t>
      </w:r>
      <w:r w:rsidRPr="00FC2116">
        <w:rPr>
          <w:rFonts w:ascii="Palatino Linotype" w:hAnsi="Palatino Linotype"/>
          <w:b/>
          <w:i/>
          <w:sz w:val="22"/>
          <w:szCs w:val="22"/>
          <w:lang w:val="es-ES_tradnl"/>
        </w:rPr>
        <w:t>Artículo 49.</w:t>
      </w:r>
      <w:r w:rsidRPr="00FC2116">
        <w:rPr>
          <w:rFonts w:ascii="Palatino Linotype" w:hAnsi="Palatino Linotype"/>
          <w:i/>
          <w:sz w:val="22"/>
          <w:szCs w:val="22"/>
          <w:lang w:val="es-ES_tradnl"/>
        </w:rPr>
        <w:t xml:space="preserve"> Los Comités de Transparencia tendrán las siguientes atribuciones:</w:t>
      </w:r>
    </w:p>
    <w:p w14:paraId="07F582CF"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w:t>
      </w:r>
    </w:p>
    <w:p w14:paraId="70A7F8D1"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77015DE9"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w:t>
      </w:r>
    </w:p>
    <w:p w14:paraId="0A7CBABE" w14:textId="77777777" w:rsidR="00FC2116" w:rsidRPr="00FC2116" w:rsidRDefault="00FC2116" w:rsidP="00FC2116">
      <w:pPr>
        <w:ind w:left="567" w:right="567"/>
        <w:jc w:val="both"/>
        <w:rPr>
          <w:rFonts w:ascii="Palatino Linotype" w:hAnsi="Palatino Linotype"/>
          <w:i/>
          <w:lang w:val="es-ES_tradnl"/>
        </w:rPr>
      </w:pPr>
      <w:r w:rsidRPr="00FC2116">
        <w:rPr>
          <w:rFonts w:ascii="Palatino Linotype" w:hAnsi="Palatino Linotype"/>
          <w:i/>
          <w:sz w:val="22"/>
          <w:szCs w:val="22"/>
          <w:lang w:val="es-ES_tradnl"/>
        </w:rPr>
        <w:t>XIII. Dictaminar las declaratorias de inexistencia de la información que les remitan las unidades administrativas y resolver en consecuencia;</w:t>
      </w:r>
    </w:p>
    <w:p w14:paraId="6E14D1AE" w14:textId="77777777" w:rsidR="00FC2116" w:rsidRPr="00FC2116" w:rsidRDefault="00FC2116" w:rsidP="00FC2116">
      <w:pPr>
        <w:spacing w:line="360" w:lineRule="auto"/>
        <w:jc w:val="both"/>
        <w:rPr>
          <w:rFonts w:ascii="Palatino Linotype" w:hAnsi="Palatino Linotype"/>
          <w:i/>
          <w:lang w:val="es-ES_tradnl"/>
        </w:rPr>
      </w:pPr>
    </w:p>
    <w:p w14:paraId="2FBCE511" w14:textId="77777777" w:rsidR="00FC2116" w:rsidRPr="00FC2116" w:rsidRDefault="00FC2116" w:rsidP="00FC2116">
      <w:pPr>
        <w:spacing w:line="360" w:lineRule="auto"/>
        <w:jc w:val="both"/>
        <w:rPr>
          <w:rFonts w:ascii="Palatino Linotype" w:hAnsi="Palatino Linotype"/>
        </w:rPr>
      </w:pPr>
      <w:r w:rsidRPr="00FC2116">
        <w:rPr>
          <w:rFonts w:ascii="Palatino Linotype" w:hAnsi="Palatino Linotype"/>
        </w:rPr>
        <w:t xml:space="preserve">Asimismo, el acuerdo de inexistencia deberá apegarse a lo dispuesto por los artículos 169 y 170, de la Ley de la materia que ordenan: </w:t>
      </w:r>
    </w:p>
    <w:p w14:paraId="7CAC8388" w14:textId="77777777" w:rsidR="00FC2116" w:rsidRPr="00FC2116" w:rsidRDefault="00FC2116" w:rsidP="00FC2116">
      <w:pPr>
        <w:spacing w:line="360" w:lineRule="auto"/>
        <w:jc w:val="both"/>
        <w:rPr>
          <w:rFonts w:ascii="Palatino Linotype" w:hAnsi="Palatino Linotype"/>
          <w:i/>
        </w:rPr>
      </w:pPr>
    </w:p>
    <w:p w14:paraId="013EE7C1"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b/>
          <w:i/>
          <w:sz w:val="22"/>
          <w:szCs w:val="22"/>
          <w:lang w:val="es-ES_tradnl"/>
        </w:rPr>
        <w:t>Artículo 169.</w:t>
      </w:r>
      <w:r w:rsidRPr="00FC2116">
        <w:rPr>
          <w:rFonts w:ascii="Palatino Linotype" w:hAnsi="Palatino Linotype"/>
          <w:i/>
          <w:sz w:val="22"/>
          <w:szCs w:val="22"/>
          <w:lang w:val="es-ES_tradnl"/>
        </w:rPr>
        <w:t xml:space="preserve"> Cuando la información no se encuentre en los archivos del sujeto obligado, el Comité de Transparencia:</w:t>
      </w:r>
    </w:p>
    <w:p w14:paraId="654D8797" w14:textId="77777777" w:rsidR="00FC2116" w:rsidRPr="00FC2116" w:rsidRDefault="00FC2116" w:rsidP="00FC2116">
      <w:pPr>
        <w:ind w:left="567" w:right="567"/>
        <w:jc w:val="both"/>
        <w:rPr>
          <w:rFonts w:ascii="Palatino Linotype" w:hAnsi="Palatino Linotype"/>
          <w:i/>
          <w:sz w:val="22"/>
          <w:szCs w:val="22"/>
          <w:lang w:val="es-ES_tradnl"/>
        </w:rPr>
      </w:pPr>
    </w:p>
    <w:p w14:paraId="6A5799B3"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I. Analizará el caso y tomará las medidas necesarias para localizar la información;</w:t>
      </w:r>
    </w:p>
    <w:p w14:paraId="3DB05845" w14:textId="77777777" w:rsidR="00FC2116" w:rsidRPr="00FC2116" w:rsidRDefault="00FC2116" w:rsidP="00FC2116">
      <w:pPr>
        <w:ind w:left="567" w:right="567"/>
        <w:jc w:val="both"/>
        <w:rPr>
          <w:rFonts w:ascii="Palatino Linotype" w:hAnsi="Palatino Linotype"/>
          <w:i/>
          <w:sz w:val="22"/>
          <w:szCs w:val="22"/>
          <w:lang w:val="es-ES_tradnl"/>
        </w:rPr>
      </w:pPr>
    </w:p>
    <w:p w14:paraId="31372CA7"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II. Expedirá una resolución que confirme la inexistencia del documento;</w:t>
      </w:r>
    </w:p>
    <w:p w14:paraId="2CB8D77D" w14:textId="77777777" w:rsidR="00FC2116" w:rsidRPr="00FC2116" w:rsidRDefault="00FC2116" w:rsidP="00FC2116">
      <w:pPr>
        <w:ind w:left="567" w:right="567"/>
        <w:jc w:val="both"/>
        <w:rPr>
          <w:rFonts w:ascii="Palatino Linotype" w:hAnsi="Palatino Linotype"/>
          <w:i/>
          <w:sz w:val="22"/>
          <w:szCs w:val="22"/>
          <w:lang w:val="es-ES_tradnl"/>
        </w:rPr>
      </w:pPr>
    </w:p>
    <w:p w14:paraId="4A2FA190"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055F246" w14:textId="77777777" w:rsidR="00FC2116" w:rsidRPr="00FC2116" w:rsidRDefault="00FC2116" w:rsidP="00FC2116">
      <w:pPr>
        <w:ind w:left="567" w:right="567"/>
        <w:jc w:val="both"/>
        <w:rPr>
          <w:rFonts w:ascii="Palatino Linotype" w:hAnsi="Palatino Linotype"/>
          <w:i/>
          <w:sz w:val="22"/>
          <w:szCs w:val="22"/>
          <w:lang w:val="es-ES_tradnl"/>
        </w:rPr>
      </w:pPr>
    </w:p>
    <w:p w14:paraId="1C3C1C8E"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IV. Notificará al órgano interno de control o equivalente del sujeto obligado quien, en su caso, deberá iniciar el procedimiento de responsabilidad administrativa que corresponda.</w:t>
      </w:r>
    </w:p>
    <w:p w14:paraId="4920451C" w14:textId="77777777" w:rsidR="00FC2116" w:rsidRPr="00FC2116" w:rsidRDefault="00FC2116" w:rsidP="00FC2116">
      <w:pPr>
        <w:ind w:left="567" w:right="567"/>
        <w:jc w:val="both"/>
        <w:rPr>
          <w:rFonts w:ascii="Palatino Linotype" w:hAnsi="Palatino Linotype"/>
          <w:i/>
          <w:sz w:val="22"/>
          <w:szCs w:val="22"/>
          <w:lang w:val="es-ES_tradnl"/>
        </w:rPr>
      </w:pPr>
    </w:p>
    <w:p w14:paraId="76080E9F"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La Unidad de Transparencia deberá notificarlo al solicitante por escrito, en un plazo que no exceda de quince días hábiles contados a partir del día siguiente a la presentación de la solicitud.</w:t>
      </w:r>
    </w:p>
    <w:p w14:paraId="2E25E698" w14:textId="77777777" w:rsidR="00FC2116" w:rsidRPr="00FC2116" w:rsidRDefault="00FC2116" w:rsidP="00FC2116">
      <w:pPr>
        <w:ind w:left="567" w:right="567"/>
        <w:jc w:val="both"/>
        <w:rPr>
          <w:rFonts w:ascii="Palatino Linotype" w:hAnsi="Palatino Linotype"/>
          <w:i/>
          <w:sz w:val="22"/>
          <w:szCs w:val="22"/>
          <w:lang w:val="es-ES_tradnl"/>
        </w:rPr>
      </w:pPr>
    </w:p>
    <w:p w14:paraId="7F0C205E" w14:textId="77777777" w:rsidR="00FC2116" w:rsidRPr="00FC2116" w:rsidRDefault="00FC2116" w:rsidP="00FC2116">
      <w:pPr>
        <w:ind w:left="567" w:right="567"/>
        <w:jc w:val="both"/>
        <w:rPr>
          <w:rFonts w:ascii="Palatino Linotype" w:hAnsi="Palatino Linotype"/>
          <w:i/>
          <w:sz w:val="22"/>
          <w:szCs w:val="22"/>
          <w:lang w:val="es-ES_tradnl"/>
        </w:rPr>
      </w:pPr>
      <w:r w:rsidRPr="00FC2116">
        <w:rPr>
          <w:rFonts w:ascii="Palatino Linotype" w:hAnsi="Palatino Linotype"/>
          <w:i/>
          <w:sz w:val="22"/>
          <w:szCs w:val="22"/>
          <w:lang w:val="es-ES_tradnl"/>
        </w:rPr>
        <w:t>Este plazo podrá ampliarse hasta por otros siete días hábiles, siempre que existan razones para ello, debiendo notificarse por escrito al solicitante.</w:t>
      </w:r>
    </w:p>
    <w:p w14:paraId="0F42BD79" w14:textId="77777777" w:rsidR="00FC2116" w:rsidRPr="00FC2116" w:rsidRDefault="00FC2116" w:rsidP="00FC2116">
      <w:pPr>
        <w:ind w:left="567" w:right="567"/>
        <w:jc w:val="both"/>
        <w:rPr>
          <w:rFonts w:ascii="Palatino Linotype" w:hAnsi="Palatino Linotype"/>
          <w:i/>
          <w:sz w:val="22"/>
          <w:szCs w:val="22"/>
          <w:lang w:val="es-ES_tradnl"/>
        </w:rPr>
      </w:pPr>
    </w:p>
    <w:p w14:paraId="0E6B803C" w14:textId="77777777" w:rsidR="00FC2116" w:rsidRPr="00FC2116" w:rsidRDefault="00FC2116" w:rsidP="00FC2116">
      <w:pPr>
        <w:ind w:left="567" w:right="567"/>
        <w:jc w:val="both"/>
        <w:rPr>
          <w:rFonts w:ascii="Palatino Linotype" w:eastAsiaTheme="minorHAnsi" w:hAnsi="Palatino Linotype" w:cstheme="minorBidi"/>
          <w:lang w:val="es-MX" w:eastAsia="en-US"/>
        </w:rPr>
      </w:pPr>
      <w:r w:rsidRPr="00FC2116">
        <w:rPr>
          <w:rFonts w:ascii="Palatino Linotype" w:eastAsiaTheme="minorHAnsi" w:hAnsi="Palatino Linotype" w:cstheme="minorBidi"/>
          <w:b/>
          <w:i/>
          <w:sz w:val="22"/>
          <w:szCs w:val="22"/>
          <w:lang w:val="es-ES_tradnl" w:eastAsia="en-US"/>
        </w:rPr>
        <w:t>Artículo 170.</w:t>
      </w:r>
      <w:r w:rsidRPr="00FC2116">
        <w:rPr>
          <w:rFonts w:ascii="Palatino Linotype" w:eastAsiaTheme="minorHAnsi" w:hAnsi="Palatino Linotype" w:cstheme="minorBidi"/>
          <w:i/>
          <w:sz w:val="22"/>
          <w:szCs w:val="22"/>
          <w:lang w:val="es-ES_tradnl" w:eastAsia="en-US"/>
        </w:rPr>
        <w:t xml:space="preserve"> La resolución del Comité de Transparencia que confirme la inexistencia de la información solicitada contendrá los elementos mínimos que permitan al solicitante tener </w:t>
      </w:r>
      <w:r w:rsidRPr="00FC2116">
        <w:rPr>
          <w:rFonts w:ascii="Palatino Linotype" w:eastAsiaTheme="minorHAnsi" w:hAnsi="Palatino Linotype" w:cstheme="minorBidi"/>
          <w:i/>
          <w:sz w:val="22"/>
          <w:szCs w:val="22"/>
          <w:lang w:val="es-ES_tradnl" w:eastAsia="en-US"/>
        </w:rPr>
        <w:lastRenderedPageBreak/>
        <w:t>la certeza de que se utilizó un criterio de búsqueda exhaustivo, además de señalar las circunstancias de tiempo, modo y lugar que generaron la existencia en cuestión y señalará al servidor público responsable de contar con la misma.</w:t>
      </w:r>
    </w:p>
    <w:p w14:paraId="4D2336E4" w14:textId="77777777" w:rsidR="00FC2116" w:rsidRPr="00FC2116" w:rsidRDefault="00FC2116" w:rsidP="00FC2116">
      <w:pPr>
        <w:spacing w:line="360" w:lineRule="auto"/>
        <w:jc w:val="both"/>
        <w:rPr>
          <w:rFonts w:ascii="Palatino Linotype" w:hAnsi="Palatino Linotype"/>
          <w:lang w:val="es-MX"/>
        </w:rPr>
      </w:pPr>
    </w:p>
    <w:p w14:paraId="5AFDB267" w14:textId="77777777" w:rsidR="00FC2116" w:rsidRPr="00FC2116" w:rsidRDefault="00FC2116" w:rsidP="00FC2116">
      <w:pPr>
        <w:spacing w:line="360" w:lineRule="auto"/>
        <w:jc w:val="both"/>
        <w:rPr>
          <w:rFonts w:ascii="Palatino Linotype" w:eastAsiaTheme="minorHAnsi" w:hAnsi="Palatino Linotype" w:cs="Bookman Old Style"/>
          <w:szCs w:val="22"/>
          <w:lang w:val="es-MX" w:eastAsia="en-US"/>
        </w:rPr>
      </w:pPr>
      <w:bookmarkStart w:id="3" w:name="_Hlk22119860"/>
      <w:bookmarkStart w:id="4" w:name="_Hlk22229808"/>
      <w:r w:rsidRPr="00FC2116">
        <w:rPr>
          <w:rFonts w:ascii="Palatino Linotype" w:eastAsiaTheme="minorHAnsi" w:hAnsi="Palatino Linotype" w:cs="Bookman Old Style"/>
          <w:szCs w:val="22"/>
          <w:lang w:val="es-MX" w:eastAsia="en-US"/>
        </w:rPr>
        <w:t>De no encontrarse la información que se ordena entregar, deberá proporcionarse acuerdo de inexistencia en términos del artículo 19, párrafo tercero y 169, de la Ley de Transparencia y Acceso a la Información Pública del Estado de México y Municipios.</w:t>
      </w:r>
      <w:bookmarkEnd w:id="3"/>
      <w:bookmarkEnd w:id="4"/>
    </w:p>
    <w:p w14:paraId="4D1583D1" w14:textId="77777777" w:rsidR="000F7BD6" w:rsidRPr="00FC2116" w:rsidRDefault="000F7BD6" w:rsidP="000F7BD6">
      <w:pPr>
        <w:spacing w:line="360" w:lineRule="auto"/>
        <w:jc w:val="both"/>
        <w:rPr>
          <w:rFonts w:ascii="Palatino Linotype" w:eastAsia="Calibri" w:hAnsi="Palatino Linotype" w:cs="Tahoma"/>
          <w:iCs/>
          <w:lang w:val="es-MX" w:eastAsia="es-ES_tradnl"/>
        </w:rPr>
      </w:pPr>
    </w:p>
    <w:p w14:paraId="4D6EBCFF" w14:textId="77777777" w:rsidR="000F7BD6" w:rsidRPr="00783C7C" w:rsidRDefault="000F7BD6" w:rsidP="000F7BD6">
      <w:pPr>
        <w:tabs>
          <w:tab w:val="left" w:pos="709"/>
        </w:tabs>
        <w:spacing w:line="360" w:lineRule="auto"/>
        <w:jc w:val="both"/>
        <w:rPr>
          <w:rFonts w:ascii="Palatino Linotype" w:eastAsiaTheme="minorHAnsi" w:hAnsi="Palatino Linotype" w:cstheme="minorBidi"/>
          <w:szCs w:val="22"/>
          <w:lang w:val="es-MX" w:eastAsia="en-US"/>
        </w:rPr>
      </w:pPr>
      <w:r w:rsidRPr="00783C7C">
        <w:rPr>
          <w:rFonts w:ascii="Palatino Linotype" w:eastAsiaTheme="minorHAnsi" w:hAnsi="Palatino Linotype" w:cstheme="minorBidi"/>
          <w:szCs w:val="22"/>
          <w:lang w:val="es-MX" w:eastAsia="en-US"/>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2C5554D6" w14:textId="77777777" w:rsidR="000F7BD6" w:rsidRPr="00783C7C" w:rsidRDefault="000F7BD6" w:rsidP="000F7BD6">
      <w:pPr>
        <w:spacing w:line="360" w:lineRule="auto"/>
        <w:jc w:val="both"/>
        <w:rPr>
          <w:rFonts w:ascii="Palatino Linotype" w:eastAsia="MS Mincho" w:hAnsi="Palatino Linotype" w:cs="Arial"/>
          <w:sz w:val="28"/>
          <w:lang w:eastAsia="en-US"/>
        </w:rPr>
      </w:pPr>
    </w:p>
    <w:p w14:paraId="60A4532F" w14:textId="77777777" w:rsidR="000F7BD6" w:rsidRPr="00783C7C" w:rsidRDefault="000F7BD6" w:rsidP="000F7BD6">
      <w:pPr>
        <w:numPr>
          <w:ilvl w:val="0"/>
          <w:numId w:val="22"/>
        </w:numPr>
        <w:spacing w:line="360" w:lineRule="auto"/>
        <w:jc w:val="both"/>
        <w:rPr>
          <w:rFonts w:ascii="Palatino Linotype" w:hAnsi="Palatino Linotype" w:cs="Arial"/>
          <w:b/>
          <w:i/>
          <w:sz w:val="28"/>
        </w:rPr>
      </w:pPr>
      <w:r w:rsidRPr="00783C7C">
        <w:rPr>
          <w:rFonts w:ascii="Palatino Linotype" w:hAnsi="Palatino Linotype" w:cs="Arial"/>
          <w:b/>
          <w:i/>
          <w:sz w:val="28"/>
        </w:rPr>
        <w:t>De la Versión Pública.</w:t>
      </w:r>
    </w:p>
    <w:p w14:paraId="1B1809D1"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w:t>
      </w:r>
      <w:r w:rsidRPr="00783C7C">
        <w:rPr>
          <w:rFonts w:ascii="Palatino Linotype" w:eastAsia="MS Mincho" w:hAnsi="Palatino Linotype" w:cs="Arial"/>
          <w:lang w:eastAsia="en-US"/>
        </w:rPr>
        <w:lastRenderedPageBreak/>
        <w:t>así como, firmas y calificaciones, entre otros datos.</w:t>
      </w:r>
      <w:r w:rsidRPr="00783C7C">
        <w:rPr>
          <w:rFonts w:ascii="Palatino Linotype" w:eastAsia="MS Mincho" w:hAnsi="Palatino Linotype" w:cs="Arial"/>
          <w:lang w:eastAsia="en-US"/>
        </w:rPr>
        <w:cr/>
      </w:r>
    </w:p>
    <w:p w14:paraId="043D654E"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783C7C">
        <w:rPr>
          <w:rFonts w:ascii="Palatino Linotype" w:eastAsia="MS Mincho" w:hAnsi="Palatino Linotype" w:cs="Arial"/>
          <w:lang w:eastAsia="en-US"/>
        </w:rPr>
        <w:t>homoclave</w:t>
      </w:r>
      <w:proofErr w:type="spellEnd"/>
      <w:r w:rsidRPr="00783C7C">
        <w:rPr>
          <w:rFonts w:ascii="Palatino Linotype" w:eastAsia="MS Mincho" w:hAnsi="Palatino Linotype" w:cs="Arial"/>
          <w:lang w:eastAsia="en-US"/>
        </w:rPr>
        <w:t>; la cual para su obtención es necesario acreditar personalidad, fecha de nacimiento entre otros con documentos oficiales.</w:t>
      </w:r>
    </w:p>
    <w:p w14:paraId="426414A9" w14:textId="77777777" w:rsidR="000F7BD6" w:rsidRPr="00783C7C" w:rsidRDefault="000F7BD6" w:rsidP="000F7BD6">
      <w:pPr>
        <w:spacing w:line="360" w:lineRule="auto"/>
        <w:jc w:val="both"/>
        <w:rPr>
          <w:rFonts w:ascii="Palatino Linotype" w:eastAsia="MS Mincho" w:hAnsi="Palatino Linotype" w:cs="Arial"/>
          <w:lang w:eastAsia="en-US"/>
        </w:rPr>
      </w:pPr>
    </w:p>
    <w:p w14:paraId="1479817F"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Al respecto, el Instituto Nacional de Transparencia, Acceso a la Información y Protección de Datos Personales (INAI) a través del Criterio 19/17, señala literalmente lo siguiente:</w:t>
      </w:r>
    </w:p>
    <w:p w14:paraId="1469A068" w14:textId="77777777" w:rsidR="000F7BD6" w:rsidRPr="00783C7C" w:rsidRDefault="000F7BD6" w:rsidP="000F7BD6">
      <w:pPr>
        <w:spacing w:line="360" w:lineRule="auto"/>
        <w:jc w:val="both"/>
        <w:rPr>
          <w:rFonts w:ascii="Palatino Linotype" w:eastAsia="MS Mincho" w:hAnsi="Palatino Linotype" w:cs="Arial"/>
          <w:lang w:eastAsia="en-US"/>
        </w:rPr>
      </w:pPr>
    </w:p>
    <w:p w14:paraId="333B8342"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w:t>
      </w:r>
      <w:r w:rsidRPr="00783C7C">
        <w:rPr>
          <w:rFonts w:ascii="Palatino Linotype" w:eastAsia="MS Mincho" w:hAnsi="Palatino Linotype" w:cs="Arial"/>
          <w:b/>
          <w:i/>
          <w:sz w:val="22"/>
          <w:lang w:eastAsia="en-US"/>
        </w:rPr>
        <w:t>Registro Federal de Contribuyentes (RFC) de personas físicas</w:t>
      </w:r>
      <w:r w:rsidRPr="00783C7C">
        <w:rPr>
          <w:rFonts w:ascii="Palatino Linotype" w:eastAsia="MS Mincho" w:hAnsi="Palatino Linotype" w:cs="Arial"/>
          <w:i/>
          <w:sz w:val="22"/>
          <w:lang w:eastAsia="en-US"/>
        </w:rPr>
        <w:t xml:space="preserve">. El RFC es una clave de carácter fiscal, </w:t>
      </w:r>
      <w:proofErr w:type="gramStart"/>
      <w:r w:rsidRPr="00783C7C">
        <w:rPr>
          <w:rFonts w:ascii="Palatino Linotype" w:eastAsia="MS Mincho" w:hAnsi="Palatino Linotype" w:cs="Arial"/>
          <w:i/>
          <w:sz w:val="22"/>
          <w:lang w:eastAsia="en-US"/>
        </w:rPr>
        <w:t>única</w:t>
      </w:r>
      <w:proofErr w:type="gramEnd"/>
      <w:r w:rsidRPr="00783C7C">
        <w:rPr>
          <w:rFonts w:ascii="Palatino Linotype" w:eastAsia="MS Mincho" w:hAnsi="Palatino Linotype" w:cs="Arial"/>
          <w:i/>
          <w:sz w:val="22"/>
          <w:lang w:eastAsia="en-US"/>
        </w:rPr>
        <w:t xml:space="preserve"> e irrepetible, que permite identificar al titular, su edad y fecha de nacimiento, por lo que es un dato personal de carácter confidencial.</w:t>
      </w:r>
    </w:p>
    <w:p w14:paraId="0D274DC7" w14:textId="77777777" w:rsidR="000F7BD6" w:rsidRPr="00783C7C" w:rsidRDefault="000F7BD6" w:rsidP="000F7BD6">
      <w:pPr>
        <w:ind w:left="567" w:right="567"/>
        <w:jc w:val="both"/>
        <w:rPr>
          <w:rFonts w:ascii="Palatino Linotype" w:eastAsia="MS Mincho" w:hAnsi="Palatino Linotype" w:cs="Arial"/>
          <w:i/>
          <w:sz w:val="22"/>
          <w:lang w:eastAsia="en-US"/>
        </w:rPr>
      </w:pPr>
    </w:p>
    <w:p w14:paraId="37DF73C1"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Resoluciones:</w:t>
      </w:r>
    </w:p>
    <w:p w14:paraId="12689041" w14:textId="77777777" w:rsidR="000F7BD6" w:rsidRPr="00783C7C" w:rsidRDefault="000F7BD6" w:rsidP="000F7BD6">
      <w:pPr>
        <w:ind w:left="567" w:right="567"/>
        <w:jc w:val="both"/>
        <w:rPr>
          <w:rFonts w:ascii="Palatino Linotype" w:eastAsia="MS Mincho" w:hAnsi="Palatino Linotype" w:cs="Arial"/>
          <w:i/>
          <w:sz w:val="20"/>
          <w:lang w:eastAsia="en-US"/>
        </w:rPr>
      </w:pPr>
      <w:r w:rsidRPr="00783C7C">
        <w:rPr>
          <w:rFonts w:ascii="Palatino Linotype" w:eastAsia="MS Mincho" w:hAnsi="Palatino Linotype" w:cs="Arial"/>
          <w:i/>
          <w:sz w:val="20"/>
          <w:lang w:eastAsia="en-US"/>
        </w:rPr>
        <w:t>• RRA 0189/17. Morena. 08 de febrero de 2017. Por unanimidad.</w:t>
      </w:r>
    </w:p>
    <w:p w14:paraId="5072B89F" w14:textId="77777777" w:rsidR="000F7BD6" w:rsidRPr="00783C7C" w:rsidRDefault="000F7BD6" w:rsidP="000F7BD6">
      <w:pPr>
        <w:ind w:left="567" w:right="567"/>
        <w:jc w:val="both"/>
        <w:rPr>
          <w:rFonts w:ascii="Palatino Linotype" w:eastAsia="MS Mincho" w:hAnsi="Palatino Linotype" w:cs="Arial"/>
          <w:i/>
          <w:sz w:val="20"/>
          <w:lang w:eastAsia="en-US"/>
        </w:rPr>
      </w:pPr>
      <w:r w:rsidRPr="00783C7C">
        <w:rPr>
          <w:rFonts w:ascii="Palatino Linotype" w:eastAsia="MS Mincho" w:hAnsi="Palatino Linotype" w:cs="Arial"/>
          <w:i/>
          <w:sz w:val="20"/>
          <w:lang w:eastAsia="en-US"/>
        </w:rPr>
        <w:t>Comisionado Ponente Joel Salas Suárez.</w:t>
      </w:r>
    </w:p>
    <w:p w14:paraId="5C218FA4" w14:textId="77777777" w:rsidR="000F7BD6" w:rsidRPr="00783C7C" w:rsidRDefault="000F7BD6" w:rsidP="000F7BD6">
      <w:pPr>
        <w:ind w:left="567" w:right="567"/>
        <w:jc w:val="both"/>
        <w:rPr>
          <w:rFonts w:ascii="Palatino Linotype" w:eastAsia="MS Mincho" w:hAnsi="Palatino Linotype" w:cs="Arial"/>
          <w:i/>
          <w:sz w:val="20"/>
          <w:lang w:eastAsia="en-US"/>
        </w:rPr>
      </w:pPr>
      <w:r w:rsidRPr="00783C7C">
        <w:rPr>
          <w:rFonts w:ascii="Palatino Linotype" w:eastAsia="MS Mincho" w:hAnsi="Palatino Linotype" w:cs="Arial"/>
          <w:i/>
          <w:sz w:val="20"/>
          <w:lang w:eastAsia="en-US"/>
        </w:rPr>
        <w:t>• RRA 0677/17. Universidad Nacional Autónoma de México. 08 de marzo de</w:t>
      </w:r>
    </w:p>
    <w:p w14:paraId="0E90654A" w14:textId="77777777" w:rsidR="000F7BD6" w:rsidRPr="00783C7C" w:rsidRDefault="000F7BD6" w:rsidP="000F7BD6">
      <w:pPr>
        <w:ind w:left="567" w:right="567"/>
        <w:jc w:val="both"/>
        <w:rPr>
          <w:rFonts w:ascii="Palatino Linotype" w:eastAsia="MS Mincho" w:hAnsi="Palatino Linotype" w:cs="Arial"/>
          <w:i/>
          <w:sz w:val="20"/>
          <w:lang w:eastAsia="en-US"/>
        </w:rPr>
      </w:pPr>
      <w:r w:rsidRPr="00783C7C">
        <w:rPr>
          <w:rFonts w:ascii="Palatino Linotype" w:eastAsia="MS Mincho" w:hAnsi="Palatino Linotype" w:cs="Arial"/>
          <w:i/>
          <w:sz w:val="20"/>
          <w:lang w:eastAsia="en-US"/>
        </w:rPr>
        <w:t xml:space="preserve">2017. Por unanimidad. Comisionado Ponente </w:t>
      </w:r>
      <w:proofErr w:type="spellStart"/>
      <w:r w:rsidRPr="00783C7C">
        <w:rPr>
          <w:rFonts w:ascii="Palatino Linotype" w:eastAsia="MS Mincho" w:hAnsi="Palatino Linotype" w:cs="Arial"/>
          <w:i/>
          <w:sz w:val="20"/>
          <w:lang w:eastAsia="en-US"/>
        </w:rPr>
        <w:t>Rosendoevgueni</w:t>
      </w:r>
      <w:proofErr w:type="spellEnd"/>
      <w:r w:rsidRPr="00783C7C">
        <w:rPr>
          <w:rFonts w:ascii="Palatino Linotype" w:eastAsia="MS Mincho" w:hAnsi="Palatino Linotype" w:cs="Arial"/>
          <w:i/>
          <w:sz w:val="20"/>
          <w:lang w:eastAsia="en-US"/>
        </w:rPr>
        <w:t xml:space="preserve"> Monterrey </w:t>
      </w:r>
      <w:proofErr w:type="spellStart"/>
      <w:r w:rsidRPr="00783C7C">
        <w:rPr>
          <w:rFonts w:ascii="Palatino Linotype" w:eastAsia="MS Mincho" w:hAnsi="Palatino Linotype" w:cs="Arial"/>
          <w:i/>
          <w:sz w:val="20"/>
          <w:lang w:eastAsia="en-US"/>
        </w:rPr>
        <w:t>Chepov</w:t>
      </w:r>
      <w:proofErr w:type="spellEnd"/>
      <w:r w:rsidRPr="00783C7C">
        <w:rPr>
          <w:rFonts w:ascii="Palatino Linotype" w:eastAsia="MS Mincho" w:hAnsi="Palatino Linotype" w:cs="Arial"/>
          <w:i/>
          <w:sz w:val="20"/>
          <w:lang w:eastAsia="en-US"/>
        </w:rPr>
        <w:t>.</w:t>
      </w:r>
    </w:p>
    <w:p w14:paraId="548A9223" w14:textId="77777777" w:rsidR="000F7BD6" w:rsidRPr="00783C7C" w:rsidRDefault="000F7BD6" w:rsidP="000F7BD6">
      <w:pPr>
        <w:ind w:left="567" w:right="567"/>
        <w:jc w:val="both"/>
        <w:rPr>
          <w:rFonts w:ascii="Palatino Linotype" w:eastAsia="MS Mincho" w:hAnsi="Palatino Linotype" w:cs="Arial"/>
          <w:i/>
          <w:sz w:val="20"/>
          <w:lang w:eastAsia="en-US"/>
        </w:rPr>
      </w:pPr>
      <w:r w:rsidRPr="00783C7C">
        <w:rPr>
          <w:rFonts w:ascii="Palatino Linotype" w:eastAsia="MS Mincho" w:hAnsi="Palatino Linotype" w:cs="Arial"/>
          <w:i/>
          <w:sz w:val="20"/>
          <w:lang w:eastAsia="en-US"/>
        </w:rPr>
        <w:t>• RRA 1564/17. Tribunal Electoral del Poder Judicial de la Federación. 26 de abril de 2017. Por unanimidad. Comisionado Ponente Oscar Mauricio Guerra Ford.”</w:t>
      </w:r>
    </w:p>
    <w:p w14:paraId="631522C7" w14:textId="77777777" w:rsidR="000F7BD6" w:rsidRPr="00783C7C" w:rsidRDefault="000F7BD6" w:rsidP="000F7BD6">
      <w:pPr>
        <w:spacing w:line="360" w:lineRule="auto"/>
        <w:jc w:val="both"/>
        <w:rPr>
          <w:rFonts w:ascii="Palatino Linotype" w:eastAsia="MS Mincho" w:hAnsi="Palatino Linotype" w:cs="Arial"/>
          <w:lang w:eastAsia="en-US"/>
        </w:rPr>
      </w:pPr>
    </w:p>
    <w:p w14:paraId="3CE412DF"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De lo anterior, se desprende que el Registro Federal de Contribuyentes se vincula al nombre de su titular, permitiendo identificar la edad de la persona, fecha de </w:t>
      </w:r>
      <w:r w:rsidRPr="00783C7C">
        <w:rPr>
          <w:rFonts w:ascii="Palatino Linotype" w:eastAsia="MS Mincho" w:hAnsi="Palatino Linotype" w:cs="Arial"/>
          <w:lang w:eastAsia="en-US"/>
        </w:rPr>
        <w:lastRenderedPageBreak/>
        <w:t xml:space="preserve">nacimiento, así como su </w:t>
      </w:r>
      <w:proofErr w:type="spellStart"/>
      <w:r w:rsidRPr="00783C7C">
        <w:rPr>
          <w:rFonts w:ascii="Palatino Linotype" w:eastAsia="MS Mincho" w:hAnsi="Palatino Linotype" w:cs="Arial"/>
          <w:lang w:eastAsia="en-US"/>
        </w:rPr>
        <w:t>homoclave</w:t>
      </w:r>
      <w:proofErr w:type="spellEnd"/>
      <w:r w:rsidRPr="00783C7C">
        <w:rPr>
          <w:rFonts w:ascii="Palatino Linotype" w:eastAsia="MS Mincho" w:hAnsi="Palatino Linotype" w:cs="Arial"/>
          <w:lang w:eastAsia="en-US"/>
        </w:rPr>
        <w:t>,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4B4C20A" w14:textId="77777777" w:rsidR="000F7BD6" w:rsidRPr="00783C7C" w:rsidRDefault="000F7BD6" w:rsidP="000F7BD6">
      <w:pPr>
        <w:spacing w:line="360" w:lineRule="auto"/>
        <w:jc w:val="both"/>
        <w:rPr>
          <w:rFonts w:ascii="Palatino Linotype" w:eastAsia="MS Mincho" w:hAnsi="Palatino Linotype" w:cs="Arial"/>
          <w:lang w:eastAsia="en-US"/>
        </w:rPr>
      </w:pPr>
    </w:p>
    <w:p w14:paraId="7584C8FB"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21F2CBD" w14:textId="77777777" w:rsidR="000F7BD6" w:rsidRPr="00783C7C" w:rsidRDefault="000F7BD6" w:rsidP="000F7BD6">
      <w:pPr>
        <w:spacing w:line="360" w:lineRule="auto"/>
        <w:jc w:val="both"/>
        <w:rPr>
          <w:rFonts w:ascii="Palatino Linotype" w:eastAsia="MS Mincho" w:hAnsi="Palatino Linotype" w:cs="Arial"/>
          <w:lang w:eastAsia="en-US"/>
        </w:rPr>
      </w:pPr>
    </w:p>
    <w:p w14:paraId="01040357"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Lo anterior, tiene sustento en los artículos 86 y 91, de la Ley General de Población, la cual señala lo siguiente:</w:t>
      </w:r>
    </w:p>
    <w:p w14:paraId="1200C853" w14:textId="77777777" w:rsidR="000F7BD6" w:rsidRPr="00783C7C" w:rsidRDefault="000F7BD6" w:rsidP="000F7BD6">
      <w:pPr>
        <w:spacing w:line="360" w:lineRule="auto"/>
        <w:jc w:val="both"/>
        <w:rPr>
          <w:rFonts w:ascii="Palatino Linotype" w:eastAsia="MS Mincho" w:hAnsi="Palatino Linotype" w:cs="Arial"/>
          <w:lang w:eastAsia="en-US"/>
        </w:rPr>
      </w:pPr>
    </w:p>
    <w:p w14:paraId="4311C69A"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w:t>
      </w:r>
      <w:r w:rsidRPr="00783C7C">
        <w:rPr>
          <w:rFonts w:ascii="Palatino Linotype" w:eastAsia="MS Mincho" w:hAnsi="Palatino Linotype" w:cs="Arial"/>
          <w:b/>
          <w:i/>
          <w:sz w:val="22"/>
          <w:lang w:eastAsia="en-US"/>
        </w:rPr>
        <w:t>Artículo 86.</w:t>
      </w:r>
      <w:r w:rsidRPr="00783C7C">
        <w:rPr>
          <w:rFonts w:ascii="Palatino Linotype" w:eastAsia="MS Mincho" w:hAnsi="Palatino Linotype" w:cs="Arial"/>
          <w:i/>
          <w:sz w:val="22"/>
          <w:lang w:eastAsia="en-US"/>
        </w:rPr>
        <w:t xml:space="preserve"> El Registro Nacional de Población tiene como finalidad registrar a cada una de las personas que integran la población del país, con los datos que permitan certificar y acreditar fehacientemente su identidad.</w:t>
      </w:r>
    </w:p>
    <w:p w14:paraId="1BFCE057" w14:textId="77777777" w:rsidR="000F7BD6" w:rsidRPr="00783C7C" w:rsidRDefault="000F7BD6" w:rsidP="000F7BD6">
      <w:pPr>
        <w:ind w:left="567" w:right="567"/>
        <w:jc w:val="both"/>
        <w:rPr>
          <w:rFonts w:ascii="Palatino Linotype" w:eastAsia="MS Mincho" w:hAnsi="Palatino Linotype" w:cs="Arial"/>
          <w:i/>
          <w:sz w:val="22"/>
          <w:lang w:eastAsia="en-US"/>
        </w:rPr>
      </w:pPr>
    </w:p>
    <w:p w14:paraId="4F371FDA"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b/>
          <w:i/>
          <w:sz w:val="22"/>
          <w:lang w:eastAsia="en-US"/>
        </w:rPr>
        <w:t>Artículo 91.</w:t>
      </w:r>
      <w:r w:rsidRPr="00783C7C">
        <w:rPr>
          <w:rFonts w:ascii="Palatino Linotype" w:eastAsia="MS Mincho" w:hAnsi="Palatino Linotype" w:cs="Arial"/>
          <w:i/>
          <w:sz w:val="22"/>
          <w:lang w:eastAsia="en-US"/>
        </w:rPr>
        <w:t xml:space="preserve"> Al incorporar a una persona en el Registro Nacional de Población, se le asignará una clave que se denominará Clave Única de Registro de Población. Esta servirá para registrarla e identificarla en forma individual.”</w:t>
      </w:r>
    </w:p>
    <w:p w14:paraId="10CDDB85" w14:textId="77777777" w:rsidR="000F7BD6" w:rsidRPr="00783C7C" w:rsidRDefault="000F7BD6" w:rsidP="000F7BD6">
      <w:pPr>
        <w:spacing w:line="360" w:lineRule="auto"/>
        <w:jc w:val="both"/>
        <w:rPr>
          <w:rFonts w:ascii="Palatino Linotype" w:eastAsia="MS Mincho" w:hAnsi="Palatino Linotype" w:cs="Arial"/>
          <w:lang w:eastAsia="en-US"/>
        </w:rPr>
      </w:pPr>
    </w:p>
    <w:p w14:paraId="446B3151"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w:t>
      </w:r>
      <w:r w:rsidRPr="00783C7C">
        <w:rPr>
          <w:rFonts w:ascii="Palatino Linotype" w:eastAsia="MS Mincho" w:hAnsi="Palatino Linotype" w:cs="Arial"/>
          <w:lang w:eastAsia="en-US"/>
        </w:rPr>
        <w:lastRenderedPageBreak/>
        <w:t xml:space="preserve">apellido paterno; seguida de la primera letra vocal del primer apellido; seguida de la primera letra del segundo apellido y por último la primera letra del nombre; fecha de nacimiento año/mes/día; sexo; entidad federativa o lugar de nacimiento; finalmente una </w:t>
      </w:r>
      <w:proofErr w:type="spellStart"/>
      <w:r w:rsidRPr="00783C7C">
        <w:rPr>
          <w:rFonts w:ascii="Palatino Linotype" w:eastAsia="MS Mincho" w:hAnsi="Palatino Linotype" w:cs="Arial"/>
          <w:lang w:eastAsia="en-US"/>
        </w:rPr>
        <w:t>homoclave</w:t>
      </w:r>
      <w:proofErr w:type="spellEnd"/>
      <w:r w:rsidRPr="00783C7C">
        <w:rPr>
          <w:rFonts w:ascii="Palatino Linotype" w:eastAsia="MS Mincho" w:hAnsi="Palatino Linotype" w:cs="Arial"/>
          <w:lang w:eastAsia="en-US"/>
        </w:rPr>
        <w:t xml:space="preserve"> o digito verificador, compuesto de dos elementos, con el que se evitan duplicaciones en la Clave, identifican el cambio de siglo y garantizan la correcta integración.</w:t>
      </w:r>
    </w:p>
    <w:p w14:paraId="5F4FCC83" w14:textId="77777777" w:rsidR="000F7BD6" w:rsidRPr="00783C7C" w:rsidRDefault="000F7BD6" w:rsidP="000F7BD6">
      <w:pPr>
        <w:spacing w:line="360" w:lineRule="auto"/>
        <w:jc w:val="both"/>
        <w:rPr>
          <w:rFonts w:ascii="Palatino Linotype" w:eastAsia="MS Mincho" w:hAnsi="Palatino Linotype" w:cs="Arial"/>
          <w:lang w:eastAsia="en-US"/>
        </w:rPr>
      </w:pPr>
    </w:p>
    <w:p w14:paraId="1365A080"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Al respecto, el INAI a través del Criterio 18/17, señala literalmente lo siguiente:</w:t>
      </w:r>
    </w:p>
    <w:p w14:paraId="3CCAF8FC" w14:textId="77777777" w:rsidR="000F7BD6" w:rsidRPr="00783C7C" w:rsidRDefault="000F7BD6" w:rsidP="000F7BD6">
      <w:pPr>
        <w:spacing w:line="360" w:lineRule="auto"/>
        <w:jc w:val="both"/>
        <w:rPr>
          <w:rFonts w:ascii="Palatino Linotype" w:eastAsia="MS Mincho" w:hAnsi="Palatino Linotype" w:cs="Arial"/>
          <w:lang w:eastAsia="en-US"/>
        </w:rPr>
      </w:pPr>
    </w:p>
    <w:p w14:paraId="51BEB503"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w:t>
      </w:r>
      <w:r w:rsidRPr="00783C7C">
        <w:rPr>
          <w:rFonts w:ascii="Palatino Linotype" w:eastAsia="MS Mincho" w:hAnsi="Palatino Linotype" w:cs="Arial"/>
          <w:b/>
          <w:i/>
          <w:sz w:val="22"/>
          <w:lang w:eastAsia="en-US"/>
        </w:rPr>
        <w:t>Clave Única de Registro de Población (CURP).</w:t>
      </w:r>
      <w:r w:rsidRPr="00783C7C">
        <w:rPr>
          <w:rFonts w:ascii="Palatino Linotype" w:eastAsia="MS Mincho" w:hAnsi="Palatino Linotype" w:cs="Arial"/>
          <w:i/>
          <w:sz w:val="22"/>
          <w:lang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C330949" w14:textId="77777777" w:rsidR="000F7BD6" w:rsidRPr="00783C7C" w:rsidRDefault="000F7BD6" w:rsidP="000F7BD6">
      <w:pPr>
        <w:ind w:left="567" w:right="567"/>
        <w:jc w:val="both"/>
        <w:rPr>
          <w:rFonts w:ascii="Palatino Linotype" w:eastAsia="MS Mincho" w:hAnsi="Palatino Linotype" w:cs="Arial"/>
          <w:i/>
          <w:sz w:val="22"/>
          <w:lang w:eastAsia="en-US"/>
        </w:rPr>
      </w:pPr>
    </w:p>
    <w:p w14:paraId="6CF7FD26"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Resoluciones:</w:t>
      </w:r>
    </w:p>
    <w:p w14:paraId="00B78D86" w14:textId="77777777" w:rsidR="000F7BD6" w:rsidRPr="00783C7C" w:rsidRDefault="000F7BD6" w:rsidP="000F7BD6">
      <w:pPr>
        <w:ind w:left="567" w:right="567"/>
        <w:jc w:val="both"/>
        <w:rPr>
          <w:rFonts w:ascii="Palatino Linotype" w:eastAsia="MS Mincho" w:hAnsi="Palatino Linotype" w:cs="Arial"/>
          <w:i/>
          <w:sz w:val="20"/>
          <w:lang w:eastAsia="en-US"/>
        </w:rPr>
      </w:pPr>
      <w:r w:rsidRPr="00783C7C">
        <w:rPr>
          <w:rFonts w:ascii="Palatino Linotype" w:eastAsia="MS Mincho" w:hAnsi="Palatino Linotype" w:cs="Arial"/>
          <w:i/>
          <w:sz w:val="22"/>
          <w:lang w:eastAsia="en-US"/>
        </w:rPr>
        <w:t xml:space="preserve">• </w:t>
      </w:r>
      <w:r w:rsidRPr="00783C7C">
        <w:rPr>
          <w:rFonts w:ascii="Palatino Linotype" w:eastAsia="MS Mincho" w:hAnsi="Palatino Linotype" w:cs="Arial"/>
          <w:i/>
          <w:sz w:val="20"/>
          <w:lang w:eastAsia="en-US"/>
        </w:rPr>
        <w:t xml:space="preserve">RRA 3995/16. Secretaría de la Defensa Nacional. 1 de febrero de 2017. Por unanimidad. Comisionado Ponente </w:t>
      </w:r>
      <w:proofErr w:type="spellStart"/>
      <w:r w:rsidRPr="00783C7C">
        <w:rPr>
          <w:rFonts w:ascii="Palatino Linotype" w:eastAsia="MS Mincho" w:hAnsi="Palatino Linotype" w:cs="Arial"/>
          <w:i/>
          <w:sz w:val="20"/>
          <w:lang w:eastAsia="en-US"/>
        </w:rPr>
        <w:t>Rosendoevgueni</w:t>
      </w:r>
      <w:proofErr w:type="spellEnd"/>
      <w:r w:rsidRPr="00783C7C">
        <w:rPr>
          <w:rFonts w:ascii="Palatino Linotype" w:eastAsia="MS Mincho" w:hAnsi="Palatino Linotype" w:cs="Arial"/>
          <w:i/>
          <w:sz w:val="20"/>
          <w:lang w:eastAsia="en-US"/>
        </w:rPr>
        <w:t xml:space="preserve"> Monterrey </w:t>
      </w:r>
      <w:proofErr w:type="spellStart"/>
      <w:r w:rsidRPr="00783C7C">
        <w:rPr>
          <w:rFonts w:ascii="Palatino Linotype" w:eastAsia="MS Mincho" w:hAnsi="Palatino Linotype" w:cs="Arial"/>
          <w:i/>
          <w:sz w:val="20"/>
          <w:lang w:eastAsia="en-US"/>
        </w:rPr>
        <w:t>Chepov</w:t>
      </w:r>
      <w:proofErr w:type="spellEnd"/>
      <w:r w:rsidRPr="00783C7C">
        <w:rPr>
          <w:rFonts w:ascii="Palatino Linotype" w:eastAsia="MS Mincho" w:hAnsi="Palatino Linotype" w:cs="Arial"/>
          <w:i/>
          <w:sz w:val="20"/>
          <w:lang w:eastAsia="en-US"/>
        </w:rPr>
        <w:t>.</w:t>
      </w:r>
    </w:p>
    <w:p w14:paraId="1CBD04C1" w14:textId="77777777" w:rsidR="000F7BD6" w:rsidRPr="00783C7C" w:rsidRDefault="000F7BD6" w:rsidP="000F7BD6">
      <w:pPr>
        <w:ind w:left="567" w:right="567"/>
        <w:jc w:val="both"/>
        <w:rPr>
          <w:rFonts w:ascii="Palatino Linotype" w:eastAsia="MS Mincho" w:hAnsi="Palatino Linotype" w:cs="Arial"/>
          <w:i/>
          <w:sz w:val="20"/>
          <w:lang w:eastAsia="en-US"/>
        </w:rPr>
      </w:pPr>
      <w:r w:rsidRPr="00783C7C">
        <w:rPr>
          <w:rFonts w:ascii="Palatino Linotype" w:eastAsia="MS Mincho" w:hAnsi="Palatino Linotype" w:cs="Arial"/>
          <w:i/>
          <w:sz w:val="20"/>
          <w:lang w:eastAsia="en-US"/>
        </w:rPr>
        <w:t>• RRA 0937/17. Senado de la República. 15 de marzo de 2017. Por unanimidad. Comisionada Ponente Ximena Puente de la Mora.</w:t>
      </w:r>
    </w:p>
    <w:p w14:paraId="1A6C2700" w14:textId="77777777" w:rsidR="000F7BD6" w:rsidRPr="00783C7C" w:rsidRDefault="000F7BD6" w:rsidP="000F7BD6">
      <w:pPr>
        <w:ind w:left="567" w:right="567"/>
        <w:jc w:val="both"/>
        <w:rPr>
          <w:rFonts w:ascii="Palatino Linotype" w:eastAsia="MS Mincho" w:hAnsi="Palatino Linotype" w:cs="Arial"/>
          <w:i/>
          <w:sz w:val="20"/>
          <w:lang w:eastAsia="en-US"/>
        </w:rPr>
      </w:pPr>
      <w:r w:rsidRPr="00783C7C">
        <w:rPr>
          <w:rFonts w:ascii="Palatino Linotype" w:eastAsia="MS Mincho" w:hAnsi="Palatino Linotype" w:cs="Arial"/>
          <w:i/>
          <w:sz w:val="20"/>
          <w:lang w:eastAsia="en-US"/>
        </w:rPr>
        <w:t>• RRA 0478/17. Secretaría de Relaciones Exteriores. 26 de abril de 2017. Por unanimidad. Comisionada Ponente Areli Cano Guadiana.”</w:t>
      </w:r>
    </w:p>
    <w:p w14:paraId="4220E389" w14:textId="77777777" w:rsidR="000F7BD6" w:rsidRPr="00783C7C" w:rsidRDefault="000F7BD6" w:rsidP="000F7BD6">
      <w:pPr>
        <w:spacing w:line="360" w:lineRule="auto"/>
        <w:jc w:val="both"/>
        <w:rPr>
          <w:rFonts w:ascii="Palatino Linotype" w:eastAsia="MS Mincho" w:hAnsi="Palatino Linotype" w:cs="Arial"/>
          <w:lang w:eastAsia="en-US"/>
        </w:rPr>
      </w:pPr>
    </w:p>
    <w:p w14:paraId="02C5C744"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 xml:space="preserve">De lo anterior, se desprende que la Clave Única de Registro de Población, se encuentra vinculado al nombre de la persona, permitiendo identificar la edad, fecha de nacimiento, sexo, lugar de nacimiento, así como su </w:t>
      </w:r>
      <w:proofErr w:type="spellStart"/>
      <w:r w:rsidRPr="00783C7C">
        <w:rPr>
          <w:rFonts w:ascii="Palatino Linotype" w:eastAsia="MS Mincho" w:hAnsi="Palatino Linotype" w:cs="Arial"/>
          <w:lang w:eastAsia="en-US"/>
        </w:rPr>
        <w:t>homoclave</w:t>
      </w:r>
      <w:proofErr w:type="spellEnd"/>
      <w:r w:rsidRPr="00783C7C">
        <w:rPr>
          <w:rFonts w:ascii="Palatino Linotype" w:eastAsia="MS Mincho" w:hAnsi="Palatino Linotype" w:cs="Arial"/>
          <w:lang w:eastAsia="en-US"/>
        </w:rPr>
        <w:t xml:space="preserve">;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w:t>
      </w:r>
      <w:r w:rsidRPr="00783C7C">
        <w:rPr>
          <w:rFonts w:ascii="Palatino Linotype" w:eastAsia="MS Mincho" w:hAnsi="Palatino Linotype" w:cs="Arial"/>
          <w:lang w:eastAsia="en-US"/>
        </w:rPr>
        <w:lastRenderedPageBreak/>
        <w:t>Municipios y 4 fracción VII de la Ley de Protección de Datos Personales del Estado de México.</w:t>
      </w:r>
    </w:p>
    <w:p w14:paraId="787A383E" w14:textId="77777777" w:rsidR="000F7BD6" w:rsidRPr="00783C7C" w:rsidRDefault="000F7BD6" w:rsidP="000F7BD6">
      <w:pPr>
        <w:spacing w:line="360" w:lineRule="auto"/>
        <w:jc w:val="both"/>
        <w:rPr>
          <w:rFonts w:ascii="Palatino Linotype" w:eastAsia="MS Mincho" w:hAnsi="Palatino Linotype" w:cs="Arial"/>
          <w:lang w:eastAsia="en-US"/>
        </w:rPr>
      </w:pPr>
    </w:p>
    <w:p w14:paraId="03CC99BE"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Por cuanto hace a la Clave de cualquier tipo de seguridad social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5B32B1C3" w14:textId="77777777" w:rsidR="000F7BD6" w:rsidRPr="00783C7C" w:rsidRDefault="000F7BD6" w:rsidP="000F7BD6">
      <w:pPr>
        <w:spacing w:line="360" w:lineRule="auto"/>
        <w:jc w:val="both"/>
        <w:rPr>
          <w:rFonts w:ascii="Palatino Linotype" w:eastAsia="MS Mincho" w:hAnsi="Palatino Linotype" w:cs="Arial"/>
          <w:lang w:eastAsia="en-US"/>
        </w:rPr>
      </w:pPr>
    </w:p>
    <w:p w14:paraId="42DA7855" w14:textId="77777777" w:rsidR="000F7BD6" w:rsidRPr="00783C7C" w:rsidRDefault="000F7BD6" w:rsidP="000F7BD6">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Por lo que hace a la firma y calificaciones,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52471D55" w14:textId="77777777" w:rsidR="000F7BD6" w:rsidRPr="00783C7C" w:rsidRDefault="000F7BD6" w:rsidP="000F7BD6">
      <w:pPr>
        <w:spacing w:line="360" w:lineRule="auto"/>
        <w:jc w:val="both"/>
        <w:rPr>
          <w:rFonts w:ascii="Palatino Linotype" w:eastAsia="MS Mincho" w:hAnsi="Palatino Linotype" w:cs="Arial"/>
          <w:lang w:eastAsia="en-US"/>
        </w:rPr>
      </w:pPr>
    </w:p>
    <w:p w14:paraId="0D3D3886"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b/>
          <w:i/>
          <w:sz w:val="22"/>
          <w:lang w:eastAsia="en-US"/>
        </w:rPr>
        <w:t xml:space="preserve">Artículo 3. </w:t>
      </w:r>
      <w:r w:rsidRPr="00783C7C">
        <w:rPr>
          <w:rFonts w:ascii="Palatino Linotype" w:eastAsia="MS Mincho" w:hAnsi="Palatino Linotype" w:cs="Arial"/>
          <w:i/>
          <w:sz w:val="22"/>
          <w:lang w:eastAsia="en-US"/>
        </w:rPr>
        <w:t>Para los efectos de la presente Ley se entenderá por:</w:t>
      </w:r>
    </w:p>
    <w:p w14:paraId="00AE1CB7"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w:t>
      </w:r>
    </w:p>
    <w:p w14:paraId="32903627"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IX. Datos personales: La información concerniente a una persona, identificada o identificable según lo dispuesto por la Ley de Protección de Datos Personales del Estado de México;</w:t>
      </w:r>
    </w:p>
    <w:p w14:paraId="617A4D4F"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lastRenderedPageBreak/>
        <w:t>XX. Información clasificada: Aquella considerada por la presente Ley como reservada o confidencial;</w:t>
      </w:r>
    </w:p>
    <w:p w14:paraId="2BF4BE8F"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73F307D"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XLV. Versión pública: Documento en el que se elimine, suprime o borra la información clasificada como reservada o confidencial para permitir su acceso.</w:t>
      </w:r>
    </w:p>
    <w:p w14:paraId="7E34229E" w14:textId="77777777" w:rsidR="000F7BD6" w:rsidRPr="00783C7C" w:rsidRDefault="000F7BD6" w:rsidP="000F7BD6">
      <w:pPr>
        <w:ind w:left="567" w:right="567"/>
        <w:jc w:val="both"/>
        <w:rPr>
          <w:rFonts w:ascii="Palatino Linotype" w:eastAsia="MS Mincho" w:hAnsi="Palatino Linotype" w:cs="Arial"/>
          <w:i/>
          <w:sz w:val="22"/>
          <w:lang w:eastAsia="en-US"/>
        </w:rPr>
      </w:pPr>
      <w:r w:rsidRPr="00783C7C">
        <w:rPr>
          <w:rFonts w:ascii="Palatino Linotype" w:eastAsia="MS Mincho" w:hAnsi="Palatino Linotype" w:cs="Arial"/>
          <w:i/>
          <w:sz w:val="22"/>
          <w:lang w:eastAsia="en-US"/>
        </w:rPr>
        <w:t>[…]</w:t>
      </w:r>
    </w:p>
    <w:p w14:paraId="3121073A" w14:textId="77777777" w:rsidR="000F7BD6" w:rsidRPr="00783C7C" w:rsidRDefault="000F7BD6" w:rsidP="000F7BD6">
      <w:pPr>
        <w:spacing w:line="360" w:lineRule="auto"/>
        <w:jc w:val="both"/>
        <w:rPr>
          <w:rFonts w:ascii="Palatino Linotype" w:eastAsia="MS Mincho" w:hAnsi="Palatino Linotype" w:cs="Arial"/>
          <w:lang w:eastAsia="en-US"/>
        </w:rPr>
      </w:pPr>
    </w:p>
    <w:p w14:paraId="4DAA54BD" w14:textId="0D121E10" w:rsidR="004B6F56" w:rsidRPr="000F7BD6" w:rsidRDefault="000F7BD6" w:rsidP="00810D67">
      <w:pPr>
        <w:spacing w:line="360" w:lineRule="auto"/>
        <w:jc w:val="both"/>
        <w:rPr>
          <w:rFonts w:ascii="Palatino Linotype" w:eastAsia="MS Mincho" w:hAnsi="Palatino Linotype" w:cs="Arial"/>
          <w:lang w:eastAsia="en-US"/>
        </w:rPr>
      </w:pPr>
      <w:r w:rsidRPr="00783C7C">
        <w:rPr>
          <w:rFonts w:ascii="Palatino Linotype" w:eastAsia="MS Mincho" w:hAnsi="Palatino Linotype" w:cs="Arial"/>
          <w:lang w:eastAsia="en-U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76629ED" w14:textId="77777777" w:rsidR="003823E3" w:rsidRPr="00DB300E" w:rsidRDefault="003823E3" w:rsidP="00810D67">
      <w:pPr>
        <w:spacing w:line="360" w:lineRule="auto"/>
        <w:jc w:val="both"/>
        <w:rPr>
          <w:rFonts w:ascii="Palatino Linotype" w:eastAsia="MS Mincho" w:hAnsi="Palatino Linotype" w:cs="Arial"/>
          <w:lang w:eastAsia="en-US"/>
        </w:rPr>
      </w:pPr>
    </w:p>
    <w:p w14:paraId="1B7FF046" w14:textId="1DD9F709" w:rsidR="00810D67" w:rsidRPr="00DB300E" w:rsidRDefault="00810D67" w:rsidP="00810D67">
      <w:pPr>
        <w:spacing w:line="360" w:lineRule="auto"/>
        <w:jc w:val="both"/>
        <w:rPr>
          <w:rFonts w:ascii="Palatino Linotype" w:hAnsi="Palatino Linotype"/>
        </w:rPr>
      </w:pPr>
      <w:r w:rsidRPr="00DB300E">
        <w:rPr>
          <w:rFonts w:ascii="Palatino Linotype" w:hAnsi="Palatino Linotype" w:cs="Arial"/>
          <w:lang w:eastAsia="es-MX"/>
        </w:rPr>
        <w:t>Final</w:t>
      </w:r>
      <w:r w:rsidRPr="00DB300E">
        <w:rPr>
          <w:rFonts w:ascii="Palatino Linotype" w:hAnsi="Palatino Linotype"/>
        </w:rPr>
        <w:t>mente, y en mérito de lo expuesto en líneas anteriores, resultan</w:t>
      </w:r>
      <w:r w:rsidR="007C5E96" w:rsidRPr="00DB300E">
        <w:rPr>
          <w:rFonts w:ascii="Palatino Linotype" w:hAnsi="Palatino Linotype"/>
        </w:rPr>
        <w:t xml:space="preserve"> </w:t>
      </w:r>
      <w:r w:rsidRPr="00DB300E">
        <w:rPr>
          <w:rFonts w:ascii="Palatino Linotype" w:hAnsi="Palatino Linotype"/>
        </w:rPr>
        <w:t>fundados los motivos de inconformidad vertidos por</w:t>
      </w:r>
      <w:r w:rsidR="003823E3" w:rsidRPr="00DB300E">
        <w:rPr>
          <w:rFonts w:ascii="Palatino Linotype" w:hAnsi="Palatino Linotype"/>
        </w:rPr>
        <w:t xml:space="preserve"> la parte </w:t>
      </w:r>
      <w:r w:rsidRPr="00DB300E">
        <w:rPr>
          <w:rFonts w:ascii="Palatino Linotype" w:hAnsi="Palatino Linotype"/>
          <w:b/>
        </w:rPr>
        <w:t>Recurrente</w:t>
      </w:r>
      <w:r w:rsidRPr="00DB300E">
        <w:rPr>
          <w:rFonts w:ascii="Palatino Linotype" w:hAnsi="Palatino Linotype"/>
        </w:rPr>
        <w:t xml:space="preserve">, por ello con fundamento en la </w:t>
      </w:r>
      <w:r w:rsidRPr="00DB300E">
        <w:rPr>
          <w:rFonts w:ascii="Palatino Linotype" w:hAnsi="Palatino Linotype"/>
          <w:i/>
        </w:rPr>
        <w:t>segunda hipótesis</w:t>
      </w:r>
      <w:r w:rsidRPr="00DB300E">
        <w:rPr>
          <w:rFonts w:ascii="Palatino Linotype" w:hAnsi="Palatino Linotype"/>
        </w:rPr>
        <w:t xml:space="preserve"> del artículo 186, fracción III, de la Ley de Transparencia y Acceso a la Información Pública del Estado de México y Municipios, se </w:t>
      </w:r>
      <w:r w:rsidR="007C5E96" w:rsidRPr="00DB300E">
        <w:rPr>
          <w:rFonts w:ascii="Palatino Linotype" w:hAnsi="Palatino Linotype"/>
          <w:b/>
        </w:rPr>
        <w:t>REVO</w:t>
      </w:r>
      <w:r w:rsidRPr="00DB300E">
        <w:rPr>
          <w:rFonts w:ascii="Palatino Linotype" w:hAnsi="Palatino Linotype"/>
          <w:b/>
        </w:rPr>
        <w:t xml:space="preserve">CA </w:t>
      </w:r>
      <w:r w:rsidRPr="00DB300E">
        <w:rPr>
          <w:rFonts w:ascii="Palatino Linotype" w:hAnsi="Palatino Linotype"/>
        </w:rPr>
        <w:t xml:space="preserve">la respuesta a la solicitud de información </w:t>
      </w:r>
      <w:r w:rsidR="000F7BD6" w:rsidRPr="000F7BD6">
        <w:rPr>
          <w:rFonts w:ascii="Palatino Linotype" w:hAnsi="Palatino Linotype" w:cs="Arial"/>
          <w:b/>
        </w:rPr>
        <w:t>00670/FGJ/IP/2024</w:t>
      </w:r>
      <w:r w:rsidRPr="00DB300E">
        <w:rPr>
          <w:rFonts w:ascii="Palatino Linotype" w:hAnsi="Palatino Linotype" w:cs="Arial"/>
        </w:rPr>
        <w:t xml:space="preserve">, </w:t>
      </w:r>
      <w:r w:rsidRPr="00DB300E">
        <w:rPr>
          <w:rFonts w:ascii="Palatino Linotype" w:hAnsi="Palatino Linotype"/>
        </w:rPr>
        <w:t>que ha sido materia del presente fallo.</w:t>
      </w:r>
    </w:p>
    <w:p w14:paraId="16316A93" w14:textId="77777777" w:rsidR="00810D67" w:rsidRPr="00DB300E" w:rsidRDefault="00810D67" w:rsidP="00810D67">
      <w:pPr>
        <w:spacing w:line="360" w:lineRule="auto"/>
        <w:jc w:val="both"/>
        <w:rPr>
          <w:rFonts w:ascii="Palatino Linotype" w:hAnsi="Palatino Linotype"/>
        </w:rPr>
      </w:pPr>
    </w:p>
    <w:p w14:paraId="67DB2921" w14:textId="65B0A940" w:rsidR="00436194" w:rsidRPr="00DB300E" w:rsidRDefault="00810D67" w:rsidP="00810D67">
      <w:pPr>
        <w:spacing w:line="360" w:lineRule="auto"/>
        <w:jc w:val="both"/>
        <w:rPr>
          <w:rFonts w:ascii="Palatino Linotype" w:hAnsi="Palatino Linotype"/>
        </w:rPr>
      </w:pPr>
      <w:r w:rsidRPr="00DB300E">
        <w:rPr>
          <w:rFonts w:ascii="Palatino Linotype" w:hAnsi="Palatino Linotype"/>
        </w:rPr>
        <w:t xml:space="preserve">Por lo antes expuesto y fundado. </w:t>
      </w:r>
    </w:p>
    <w:p w14:paraId="4185CA4A" w14:textId="77777777" w:rsidR="00810D67" w:rsidRPr="00DB300E" w:rsidRDefault="00810D67" w:rsidP="00810D67">
      <w:pPr>
        <w:spacing w:line="360" w:lineRule="auto"/>
        <w:jc w:val="center"/>
        <w:rPr>
          <w:rFonts w:ascii="Palatino Linotype" w:hAnsi="Palatino Linotype"/>
          <w:b/>
          <w:bCs/>
          <w:spacing w:val="60"/>
          <w:sz w:val="28"/>
          <w:lang w:val="es-ES_tradnl"/>
        </w:rPr>
      </w:pPr>
      <w:r w:rsidRPr="00DB300E">
        <w:rPr>
          <w:rFonts w:ascii="Palatino Linotype" w:hAnsi="Palatino Linotype"/>
          <w:b/>
          <w:bCs/>
          <w:spacing w:val="60"/>
          <w:sz w:val="28"/>
          <w:lang w:val="es-ES_tradnl"/>
        </w:rPr>
        <w:lastRenderedPageBreak/>
        <w:t>SE    RESUELVE</w:t>
      </w:r>
    </w:p>
    <w:p w14:paraId="44AE5635" w14:textId="77777777" w:rsidR="00810D67" w:rsidRPr="00DB300E" w:rsidRDefault="00810D67" w:rsidP="00810D67">
      <w:pPr>
        <w:rPr>
          <w:rFonts w:ascii="Palatino Linotype" w:hAnsi="Palatino Linotype"/>
          <w:lang w:val="es-ES_tradnl"/>
        </w:rPr>
      </w:pPr>
    </w:p>
    <w:p w14:paraId="6F2DFED3" w14:textId="346D4C3C" w:rsidR="00810D67" w:rsidRPr="00DB300E" w:rsidRDefault="00810D67" w:rsidP="00810D67">
      <w:pPr>
        <w:autoSpaceDE w:val="0"/>
        <w:autoSpaceDN w:val="0"/>
        <w:adjustRightInd w:val="0"/>
        <w:spacing w:line="360" w:lineRule="auto"/>
        <w:ind w:right="49"/>
        <w:jc w:val="both"/>
        <w:rPr>
          <w:rFonts w:ascii="Palatino Linotype" w:hAnsi="Palatino Linotype" w:cs="Arial"/>
        </w:rPr>
      </w:pPr>
      <w:r w:rsidRPr="00DB300E">
        <w:rPr>
          <w:rFonts w:ascii="Palatino Linotype" w:hAnsi="Palatino Linotype" w:cs="Arial"/>
          <w:b/>
          <w:sz w:val="28"/>
          <w:szCs w:val="28"/>
          <w:lang w:val="es-ES_tradnl"/>
        </w:rPr>
        <w:t>PRIMERO.</w:t>
      </w:r>
      <w:r w:rsidRPr="00DB300E">
        <w:rPr>
          <w:rFonts w:ascii="Palatino Linotype" w:hAnsi="Palatino Linotype" w:cs="Arial"/>
          <w:lang w:val="es-ES_tradnl"/>
        </w:rPr>
        <w:t xml:space="preserve"> </w:t>
      </w:r>
      <w:r w:rsidRPr="00DB300E">
        <w:rPr>
          <w:rFonts w:ascii="Palatino Linotype" w:hAnsi="Palatino Linotype" w:cs="Arial"/>
        </w:rPr>
        <w:t>Se</w:t>
      </w:r>
      <w:r w:rsidRPr="00DB300E">
        <w:rPr>
          <w:rFonts w:ascii="Palatino Linotype" w:hAnsi="Palatino Linotype" w:cs="Arial"/>
          <w:b/>
        </w:rPr>
        <w:t xml:space="preserve"> </w:t>
      </w:r>
      <w:r w:rsidR="007C5E96" w:rsidRPr="00DB300E">
        <w:rPr>
          <w:rFonts w:ascii="Palatino Linotype" w:hAnsi="Palatino Linotype" w:cs="Arial"/>
          <w:b/>
        </w:rPr>
        <w:t>REVO</w:t>
      </w:r>
      <w:r w:rsidRPr="00DB300E">
        <w:rPr>
          <w:rFonts w:ascii="Palatino Linotype" w:hAnsi="Palatino Linotype" w:cs="Arial"/>
          <w:b/>
        </w:rPr>
        <w:t xml:space="preserve">CA </w:t>
      </w:r>
      <w:r w:rsidRPr="00DB300E">
        <w:rPr>
          <w:rFonts w:ascii="Palatino Linotype" w:eastAsia="Arial Unicode MS" w:hAnsi="Palatino Linotype" w:cs="Arial"/>
        </w:rPr>
        <w:t>la respuesta entregada por</w:t>
      </w:r>
      <w:r w:rsidR="003823E3" w:rsidRPr="00DB300E">
        <w:rPr>
          <w:rFonts w:ascii="Palatino Linotype" w:eastAsia="Arial Unicode MS" w:hAnsi="Palatino Linotype" w:cs="Arial"/>
        </w:rPr>
        <w:t xml:space="preserve"> el </w:t>
      </w:r>
      <w:r w:rsidRPr="00DB300E">
        <w:rPr>
          <w:rFonts w:ascii="Palatino Linotype" w:eastAsia="Arial Unicode MS" w:hAnsi="Palatino Linotype" w:cs="Arial"/>
          <w:b/>
        </w:rPr>
        <w:t xml:space="preserve">Sujeto Obligado </w:t>
      </w:r>
      <w:r w:rsidRPr="00DB300E">
        <w:rPr>
          <w:rFonts w:ascii="Palatino Linotype" w:eastAsia="Arial Unicode MS" w:hAnsi="Palatino Linotype" w:cs="Arial"/>
        </w:rPr>
        <w:t xml:space="preserve">a la solicitud de información número </w:t>
      </w:r>
      <w:r w:rsidR="000F7BD6" w:rsidRPr="000F7BD6">
        <w:rPr>
          <w:rFonts w:ascii="Palatino Linotype" w:hAnsi="Palatino Linotype" w:cs="Arial"/>
          <w:b/>
        </w:rPr>
        <w:t>00670/FGJ/IP/2024</w:t>
      </w:r>
      <w:r w:rsidRPr="00DB300E">
        <w:rPr>
          <w:rFonts w:ascii="Palatino Linotype" w:hAnsi="Palatino Linotype" w:cs="Arial"/>
        </w:rPr>
        <w:t>, por resultar</w:t>
      </w:r>
      <w:r w:rsidR="00EC6C4E" w:rsidRPr="00DB300E">
        <w:rPr>
          <w:rFonts w:ascii="Palatino Linotype" w:hAnsi="Palatino Linotype" w:cs="Arial"/>
        </w:rPr>
        <w:t xml:space="preserve"> </w:t>
      </w:r>
      <w:r w:rsidRPr="00DB300E">
        <w:rPr>
          <w:rFonts w:ascii="Palatino Linotype" w:hAnsi="Palatino Linotype" w:cs="Arial"/>
        </w:rPr>
        <w:t xml:space="preserve">fundados los motivos de inconformidad vertidos por </w:t>
      </w:r>
      <w:r w:rsidR="003823E3" w:rsidRPr="00DB300E">
        <w:rPr>
          <w:rFonts w:ascii="Palatino Linotype" w:hAnsi="Palatino Linotype" w:cs="Arial"/>
        </w:rPr>
        <w:t>la parte</w:t>
      </w:r>
      <w:r w:rsidRPr="00DB300E">
        <w:rPr>
          <w:rFonts w:ascii="Palatino Linotype" w:hAnsi="Palatino Linotype" w:cs="Arial"/>
          <w:b/>
        </w:rPr>
        <w:t xml:space="preserve"> Recurrente</w:t>
      </w:r>
      <w:r w:rsidRPr="00DB300E">
        <w:rPr>
          <w:rFonts w:ascii="Palatino Linotype" w:hAnsi="Palatino Linotype" w:cs="Arial"/>
        </w:rPr>
        <w:t xml:space="preserve">, en términos del Considerando </w:t>
      </w:r>
      <w:r w:rsidRPr="00DB300E">
        <w:rPr>
          <w:rFonts w:ascii="Palatino Linotype" w:hAnsi="Palatino Linotype" w:cs="Arial"/>
          <w:b/>
        </w:rPr>
        <w:t>CUARTO</w:t>
      </w:r>
      <w:r w:rsidRPr="00DB300E">
        <w:rPr>
          <w:rFonts w:ascii="Palatino Linotype" w:hAnsi="Palatino Linotype" w:cs="Arial"/>
        </w:rPr>
        <w:t xml:space="preserve"> de esta resolución.</w:t>
      </w:r>
    </w:p>
    <w:p w14:paraId="5295E11C" w14:textId="77777777" w:rsidR="00810D67" w:rsidRPr="00DB300E" w:rsidRDefault="00810D67" w:rsidP="00810D67">
      <w:pPr>
        <w:autoSpaceDE w:val="0"/>
        <w:autoSpaceDN w:val="0"/>
        <w:adjustRightInd w:val="0"/>
        <w:spacing w:line="360" w:lineRule="auto"/>
        <w:ind w:right="49"/>
        <w:jc w:val="both"/>
        <w:rPr>
          <w:rFonts w:ascii="Palatino Linotype" w:hAnsi="Palatino Linotype" w:cs="Arial"/>
        </w:rPr>
      </w:pPr>
    </w:p>
    <w:p w14:paraId="5AE9BDC5" w14:textId="60F6CAA5" w:rsidR="00810D67" w:rsidRPr="00DB300E" w:rsidRDefault="00810D67" w:rsidP="00810D67">
      <w:pPr>
        <w:spacing w:line="360" w:lineRule="auto"/>
        <w:jc w:val="both"/>
        <w:rPr>
          <w:rFonts w:ascii="Palatino Linotype" w:hAnsi="Palatino Linotype" w:cs="Arial"/>
        </w:rPr>
      </w:pPr>
      <w:r w:rsidRPr="00DB300E">
        <w:rPr>
          <w:rFonts w:ascii="Palatino Linotype" w:hAnsi="Palatino Linotype" w:cs="Arial"/>
          <w:b/>
          <w:sz w:val="28"/>
          <w:szCs w:val="28"/>
        </w:rPr>
        <w:t>SEGUNDO.</w:t>
      </w:r>
      <w:r w:rsidRPr="00DB300E">
        <w:rPr>
          <w:rFonts w:ascii="Palatino Linotype" w:hAnsi="Palatino Linotype" w:cs="Arial"/>
        </w:rPr>
        <w:t xml:space="preserve"> Se </w:t>
      </w:r>
      <w:r w:rsidRPr="00DB300E">
        <w:rPr>
          <w:rFonts w:ascii="Palatino Linotype" w:hAnsi="Palatino Linotype" w:cs="Arial"/>
          <w:b/>
        </w:rPr>
        <w:t>ORDENA</w:t>
      </w:r>
      <w:r w:rsidRPr="00DB300E">
        <w:rPr>
          <w:rFonts w:ascii="Palatino Linotype" w:hAnsi="Palatino Linotype" w:cs="Arial"/>
        </w:rPr>
        <w:t xml:space="preserve"> al </w:t>
      </w:r>
      <w:r w:rsidRPr="00DB300E">
        <w:rPr>
          <w:rFonts w:ascii="Palatino Linotype" w:hAnsi="Palatino Linotype" w:cs="Arial"/>
          <w:b/>
        </w:rPr>
        <w:t>Sujeto Obligado</w:t>
      </w:r>
      <w:r w:rsidRPr="00DB300E">
        <w:rPr>
          <w:rFonts w:ascii="Palatino Linotype" w:hAnsi="Palatino Linotype" w:cs="Arial"/>
        </w:rPr>
        <w:t xml:space="preserve"> haga entrega a</w:t>
      </w:r>
      <w:r w:rsidR="003823E3" w:rsidRPr="00DB300E">
        <w:rPr>
          <w:rFonts w:ascii="Palatino Linotype" w:hAnsi="Palatino Linotype" w:cs="Arial"/>
        </w:rPr>
        <w:t xml:space="preserve"> la parte</w:t>
      </w:r>
      <w:r w:rsidRPr="00DB300E">
        <w:rPr>
          <w:rFonts w:ascii="Palatino Linotype" w:hAnsi="Palatino Linotype" w:cs="Arial"/>
        </w:rPr>
        <w:t xml:space="preserve"> </w:t>
      </w:r>
      <w:r w:rsidRPr="00DB300E">
        <w:rPr>
          <w:rFonts w:ascii="Palatino Linotype" w:hAnsi="Palatino Linotype" w:cs="Arial"/>
          <w:b/>
        </w:rPr>
        <w:t xml:space="preserve">Recurrente </w:t>
      </w:r>
      <w:r w:rsidRPr="00DB300E">
        <w:rPr>
          <w:rFonts w:ascii="Palatino Linotype" w:hAnsi="Palatino Linotype" w:cs="Arial"/>
        </w:rPr>
        <w:t xml:space="preserve">en términos del Considerando </w:t>
      </w:r>
      <w:r w:rsidRPr="00DB300E">
        <w:rPr>
          <w:rFonts w:ascii="Palatino Linotype" w:hAnsi="Palatino Linotype" w:cs="Arial"/>
          <w:b/>
        </w:rPr>
        <w:t xml:space="preserve">CUARTO </w:t>
      </w:r>
      <w:r w:rsidRPr="00DB300E">
        <w:rPr>
          <w:rFonts w:ascii="Palatino Linotype" w:hAnsi="Palatino Linotype" w:cs="Arial"/>
        </w:rPr>
        <w:t>de esta resolución, a través del</w:t>
      </w:r>
      <w:r w:rsidRPr="00DB300E">
        <w:rPr>
          <w:rFonts w:ascii="Palatino Linotype" w:hAnsi="Palatino Linotype" w:cs="Arial"/>
          <w:b/>
        </w:rPr>
        <w:t xml:space="preserve"> </w:t>
      </w:r>
      <w:r w:rsidRPr="00DB300E">
        <w:rPr>
          <w:rFonts w:ascii="Palatino Linotype" w:hAnsi="Palatino Linotype" w:cs="Arial"/>
        </w:rPr>
        <w:t xml:space="preserve">Sistema de Acceso a la Información Mexiquense </w:t>
      </w:r>
      <w:r w:rsidRPr="00DB300E">
        <w:rPr>
          <w:rFonts w:ascii="Palatino Linotype" w:hAnsi="Palatino Linotype" w:cs="Arial"/>
          <w:b/>
        </w:rPr>
        <w:t>(SAIMEX)</w:t>
      </w:r>
      <w:r w:rsidR="00AF1C0E" w:rsidRPr="00DB300E">
        <w:rPr>
          <w:rFonts w:ascii="Palatino Linotype" w:hAnsi="Palatino Linotype" w:cs="Arial"/>
        </w:rPr>
        <w:t xml:space="preserve">, </w:t>
      </w:r>
      <w:r w:rsidRPr="00DB300E">
        <w:rPr>
          <w:rFonts w:ascii="Palatino Linotype" w:hAnsi="Palatino Linotype" w:cs="Arial"/>
        </w:rPr>
        <w:t>de ser procedente en versión pública,</w:t>
      </w:r>
      <w:r w:rsidR="00FC2116">
        <w:rPr>
          <w:rFonts w:ascii="Palatino Linotype" w:hAnsi="Palatino Linotype" w:cs="Arial"/>
        </w:rPr>
        <w:t xml:space="preserve"> al mayor grado de desagregación posible </w:t>
      </w:r>
      <w:r w:rsidR="00FC2116" w:rsidRPr="00FC2116">
        <w:rPr>
          <w:rFonts w:ascii="Palatino Linotype" w:hAnsi="Palatino Linotype" w:cs="Arial"/>
          <w:i/>
          <w:iCs/>
        </w:rPr>
        <w:t>(desglosando los datos de dichas personas por sexo, cargo, tipo de hechos, tipo de conducta, mes y año en que ocurrieron los hechos, lugar de los hechos [municipio y localidad])</w:t>
      </w:r>
      <w:r w:rsidR="00FC2116">
        <w:rPr>
          <w:rFonts w:ascii="Palatino Linotype" w:hAnsi="Palatino Linotype" w:cs="Arial"/>
        </w:rPr>
        <w:t xml:space="preserve">, </w:t>
      </w:r>
      <w:r w:rsidR="00FC2116" w:rsidRPr="00FC2116">
        <w:rPr>
          <w:rFonts w:ascii="Palatino Linotype" w:hAnsi="Palatino Linotype" w:cs="Arial"/>
        </w:rPr>
        <w:t>del periodo comprendido del uno de enero de</w:t>
      </w:r>
      <w:r w:rsidR="00FC2116">
        <w:rPr>
          <w:rFonts w:ascii="Palatino Linotype" w:hAnsi="Palatino Linotype" w:cs="Arial"/>
        </w:rPr>
        <w:t>l año</w:t>
      </w:r>
      <w:r w:rsidR="00FC2116" w:rsidRPr="00FC2116">
        <w:rPr>
          <w:rFonts w:ascii="Palatino Linotype" w:hAnsi="Palatino Linotype" w:cs="Arial"/>
        </w:rPr>
        <w:t xml:space="preserve"> dos mil al treinta y uno de diciembre de</w:t>
      </w:r>
      <w:r w:rsidR="00FC2116">
        <w:rPr>
          <w:rFonts w:ascii="Palatino Linotype" w:hAnsi="Palatino Linotype" w:cs="Arial"/>
        </w:rPr>
        <w:t>l año</w:t>
      </w:r>
      <w:r w:rsidR="00FC2116" w:rsidRPr="00FC2116">
        <w:rPr>
          <w:rFonts w:ascii="Palatino Linotype" w:hAnsi="Palatino Linotype" w:cs="Arial"/>
        </w:rPr>
        <w:t xml:space="preserve"> dos mil diez</w:t>
      </w:r>
      <w:r w:rsidR="00FC2116">
        <w:rPr>
          <w:rFonts w:ascii="Palatino Linotype" w:hAnsi="Palatino Linotype" w:cs="Arial"/>
        </w:rPr>
        <w:t xml:space="preserve">, </w:t>
      </w:r>
      <w:r w:rsidRPr="00DB300E">
        <w:rPr>
          <w:rFonts w:ascii="Palatino Linotype" w:hAnsi="Palatino Linotype" w:cs="Arial"/>
        </w:rPr>
        <w:t>de lo siguiente:</w:t>
      </w:r>
    </w:p>
    <w:p w14:paraId="54221D29" w14:textId="77777777" w:rsidR="00810D67" w:rsidRPr="00DB300E" w:rsidRDefault="00810D67" w:rsidP="00810D67">
      <w:pPr>
        <w:spacing w:line="360" w:lineRule="auto"/>
        <w:jc w:val="both"/>
        <w:rPr>
          <w:rFonts w:ascii="Palatino Linotype" w:hAnsi="Palatino Linotype" w:cs="Arial"/>
        </w:rPr>
      </w:pPr>
    </w:p>
    <w:p w14:paraId="5649AEC9" w14:textId="4DA3AA76" w:rsidR="00FC2116" w:rsidRDefault="00914429" w:rsidP="00FC2116">
      <w:pPr>
        <w:pStyle w:val="Prrafodelista"/>
        <w:numPr>
          <w:ilvl w:val="0"/>
          <w:numId w:val="41"/>
        </w:numPr>
        <w:spacing w:after="240" w:line="360" w:lineRule="auto"/>
        <w:jc w:val="both"/>
        <w:rPr>
          <w:rFonts w:ascii="Palatino Linotype" w:hAnsi="Palatino Linotype" w:cs="Arial"/>
        </w:rPr>
      </w:pPr>
      <w:bookmarkStart w:id="5" w:name="_Hlk179893953"/>
      <w:r w:rsidRPr="00DB300E">
        <w:rPr>
          <w:rFonts w:ascii="Palatino Linotype" w:hAnsi="Palatino Linotype" w:cs="Arial"/>
        </w:rPr>
        <w:t xml:space="preserve">El o los documentos en donde conste el número </w:t>
      </w:r>
      <w:bookmarkEnd w:id="5"/>
      <w:r w:rsidRPr="00DB300E">
        <w:rPr>
          <w:rFonts w:ascii="Palatino Linotype" w:hAnsi="Palatino Linotype" w:cs="Arial"/>
        </w:rPr>
        <w:t xml:space="preserve">de </w:t>
      </w:r>
      <w:r w:rsidR="00FC2116" w:rsidRPr="0008712F">
        <w:rPr>
          <w:rFonts w:ascii="Palatino Linotype" w:eastAsiaTheme="minorHAnsi" w:hAnsi="Palatino Linotype" w:cstheme="minorBidi"/>
          <w:b/>
          <w:bCs/>
          <w:szCs w:val="22"/>
          <w:lang w:eastAsia="es-MX"/>
        </w:rPr>
        <w:t>quejas</w:t>
      </w:r>
      <w:r w:rsidR="00FC2116" w:rsidRPr="0008712F">
        <w:rPr>
          <w:rFonts w:ascii="Palatino Linotype" w:eastAsiaTheme="minorHAnsi" w:hAnsi="Palatino Linotype" w:cstheme="minorBidi"/>
          <w:szCs w:val="22"/>
          <w:lang w:eastAsia="es-MX"/>
        </w:rPr>
        <w:t>/</w:t>
      </w:r>
      <w:r w:rsidR="00FC2116" w:rsidRPr="0008712F">
        <w:rPr>
          <w:rFonts w:ascii="Palatino Linotype" w:eastAsiaTheme="minorHAnsi" w:hAnsi="Palatino Linotype" w:cstheme="minorBidi"/>
          <w:b/>
          <w:bCs/>
          <w:szCs w:val="22"/>
          <w:lang w:eastAsia="es-MX"/>
        </w:rPr>
        <w:t>denuncias</w:t>
      </w:r>
      <w:r w:rsidR="00FC2116" w:rsidRPr="0008712F">
        <w:rPr>
          <w:rFonts w:ascii="Palatino Linotype" w:eastAsiaTheme="minorHAnsi" w:hAnsi="Palatino Linotype" w:cstheme="minorBidi"/>
          <w:szCs w:val="22"/>
          <w:lang w:eastAsia="es-MX"/>
        </w:rPr>
        <w:t xml:space="preserve"> presentadas en los órganos internos de control/unidad de asuntos internos u órganos similares</w:t>
      </w:r>
      <w:r w:rsidR="00FC2116">
        <w:rPr>
          <w:rFonts w:ascii="Palatino Linotype" w:eastAsiaTheme="minorHAnsi" w:hAnsi="Palatino Linotype" w:cstheme="minorBidi"/>
          <w:szCs w:val="22"/>
          <w:lang w:eastAsia="es-MX"/>
        </w:rPr>
        <w:t>,</w:t>
      </w:r>
      <w:r w:rsidR="00FC2116" w:rsidRPr="0008712F">
        <w:rPr>
          <w:rFonts w:ascii="Palatino Linotype" w:eastAsiaTheme="minorHAnsi" w:hAnsi="Palatino Linotype" w:cstheme="minorBidi"/>
          <w:szCs w:val="22"/>
          <w:lang w:eastAsia="es-MX"/>
        </w:rPr>
        <w:t xml:space="preserve"> </w:t>
      </w:r>
      <w:r w:rsidR="00FC2116" w:rsidRPr="00FC2116">
        <w:rPr>
          <w:rFonts w:ascii="Palatino Linotype" w:eastAsiaTheme="minorHAnsi" w:hAnsi="Palatino Linotype" w:cstheme="minorBidi"/>
          <w:b/>
          <w:bCs/>
          <w:szCs w:val="22"/>
          <w:lang w:eastAsia="es-MX"/>
        </w:rPr>
        <w:t>en contra de personas servidoras públicas de la entonces Procuraduría General de Justicia del Estado de México y de la actual Fiscalía</w:t>
      </w:r>
      <w:r w:rsidR="00FC2116">
        <w:rPr>
          <w:rFonts w:ascii="Palatino Linotype" w:eastAsiaTheme="minorHAnsi" w:hAnsi="Palatino Linotype" w:cstheme="minorBidi"/>
          <w:szCs w:val="22"/>
          <w:lang w:eastAsia="es-MX"/>
        </w:rPr>
        <w:t>.</w:t>
      </w:r>
    </w:p>
    <w:p w14:paraId="773FEAA1" w14:textId="0181696B" w:rsidR="000F7BD6" w:rsidRDefault="00940BE4" w:rsidP="004941FD">
      <w:pPr>
        <w:pStyle w:val="Prrafodelista"/>
        <w:numPr>
          <w:ilvl w:val="0"/>
          <w:numId w:val="41"/>
        </w:numPr>
        <w:spacing w:line="360" w:lineRule="auto"/>
        <w:ind w:right="141"/>
        <w:jc w:val="both"/>
        <w:rPr>
          <w:rFonts w:ascii="Palatino Linotype" w:eastAsiaTheme="minorHAnsi" w:hAnsi="Palatino Linotype" w:cstheme="minorBidi"/>
          <w:szCs w:val="22"/>
          <w:lang w:eastAsia="es-MX"/>
        </w:rPr>
      </w:pPr>
      <w:r w:rsidRPr="00FC2116">
        <w:rPr>
          <w:rFonts w:ascii="Palatino Linotype" w:eastAsiaTheme="minorHAnsi" w:hAnsi="Palatino Linotype" w:cstheme="minorBidi"/>
          <w:szCs w:val="22"/>
          <w:lang w:eastAsia="es-MX"/>
        </w:rPr>
        <w:t xml:space="preserve">El o los documentos en donde conste el número de personas servidoras públicas de la entonces Procuraduría General de Justicia del Estado de México y de la actual Fiscalía, sometidas a </w:t>
      </w:r>
      <w:r w:rsidRPr="00FC2116">
        <w:rPr>
          <w:rFonts w:ascii="Palatino Linotype" w:eastAsiaTheme="minorHAnsi" w:hAnsi="Palatino Linotype" w:cstheme="minorBidi"/>
          <w:b/>
          <w:bCs/>
          <w:szCs w:val="22"/>
          <w:u w:val="single"/>
          <w:lang w:eastAsia="es-MX"/>
        </w:rPr>
        <w:t>procesos sancionatorios administrativos</w:t>
      </w:r>
      <w:r>
        <w:rPr>
          <w:rFonts w:ascii="Palatino Linotype" w:eastAsiaTheme="minorHAnsi" w:hAnsi="Palatino Linotype" w:cstheme="minorBidi"/>
          <w:szCs w:val="22"/>
          <w:lang w:eastAsia="es-MX"/>
        </w:rPr>
        <w:t>.</w:t>
      </w:r>
    </w:p>
    <w:p w14:paraId="0E20ADF6" w14:textId="20A79909" w:rsidR="00940BE4" w:rsidRPr="00940BE4" w:rsidRDefault="00940BE4" w:rsidP="00940BE4">
      <w:pPr>
        <w:pStyle w:val="Prrafodelista"/>
        <w:numPr>
          <w:ilvl w:val="0"/>
          <w:numId w:val="41"/>
        </w:numPr>
        <w:spacing w:line="360" w:lineRule="auto"/>
        <w:ind w:right="141"/>
        <w:jc w:val="both"/>
        <w:rPr>
          <w:rFonts w:ascii="Palatino Linotype" w:eastAsiaTheme="minorHAnsi" w:hAnsi="Palatino Linotype" w:cstheme="minorBidi"/>
          <w:szCs w:val="22"/>
          <w:lang w:eastAsia="es-MX"/>
        </w:rPr>
      </w:pPr>
      <w:r>
        <w:rPr>
          <w:rFonts w:ascii="Palatino Linotype" w:eastAsiaTheme="minorHAnsi" w:hAnsi="Palatino Linotype" w:cstheme="minorBidi"/>
          <w:szCs w:val="22"/>
          <w:lang w:eastAsia="es-MX"/>
        </w:rPr>
        <w:lastRenderedPageBreak/>
        <w:t xml:space="preserve">El o los documentos en donde conste el número de </w:t>
      </w:r>
      <w:r w:rsidR="000F7BD6" w:rsidRPr="00940BE4">
        <w:rPr>
          <w:rFonts w:ascii="Palatino Linotype" w:eastAsiaTheme="minorHAnsi" w:hAnsi="Palatino Linotype" w:cstheme="minorBidi"/>
          <w:szCs w:val="22"/>
          <w:lang w:eastAsia="es-MX"/>
        </w:rPr>
        <w:t xml:space="preserve">personas servidoras públicas de la entonces Procuraduría General de Justicia del Estado de México y de la actual Fiscalía, </w:t>
      </w:r>
      <w:r w:rsidR="000F7BD6" w:rsidRPr="00940BE4">
        <w:rPr>
          <w:rFonts w:ascii="Palatino Linotype" w:eastAsiaTheme="minorHAnsi" w:hAnsi="Palatino Linotype" w:cstheme="minorBidi"/>
          <w:b/>
          <w:bCs/>
          <w:szCs w:val="22"/>
          <w:u w:val="single"/>
          <w:lang w:eastAsia="es-MX"/>
        </w:rPr>
        <w:t>sancionadas administrativa o internamente</w:t>
      </w:r>
      <w:r>
        <w:rPr>
          <w:rFonts w:ascii="Palatino Linotype" w:eastAsiaTheme="minorHAnsi" w:hAnsi="Palatino Linotype" w:cstheme="minorBidi"/>
          <w:b/>
          <w:bCs/>
          <w:szCs w:val="22"/>
          <w:u w:val="single"/>
          <w:lang w:eastAsia="es-MX"/>
        </w:rPr>
        <w:t>.</w:t>
      </w:r>
    </w:p>
    <w:p w14:paraId="0BA92D49" w14:textId="77777777" w:rsidR="00940BE4" w:rsidRDefault="00940BE4" w:rsidP="00940BE4">
      <w:pPr>
        <w:pStyle w:val="Prrafodelista"/>
        <w:spacing w:line="360" w:lineRule="auto"/>
        <w:ind w:left="720" w:right="141"/>
        <w:jc w:val="both"/>
        <w:rPr>
          <w:rFonts w:ascii="Palatino Linotype" w:eastAsiaTheme="minorHAnsi" w:hAnsi="Palatino Linotype" w:cstheme="minorBidi"/>
          <w:szCs w:val="22"/>
          <w:lang w:eastAsia="es-MX"/>
        </w:rPr>
      </w:pPr>
    </w:p>
    <w:p w14:paraId="5C93114A" w14:textId="09DE4F17" w:rsidR="004B6F56" w:rsidRDefault="00810D67" w:rsidP="00940BE4">
      <w:pPr>
        <w:ind w:left="284" w:right="332"/>
        <w:jc w:val="both"/>
        <w:rPr>
          <w:rFonts w:ascii="Palatino Linotype" w:hAnsi="Palatino Linotype"/>
          <w:i/>
          <w:sz w:val="22"/>
        </w:rPr>
      </w:pPr>
      <w:r w:rsidRPr="00940BE4">
        <w:rPr>
          <w:rFonts w:ascii="Palatino Linotype" w:hAnsi="Palatino Linotype"/>
          <w:i/>
          <w:sz w:val="22"/>
        </w:rPr>
        <w:t xml:space="preserve">Como sustento de la versión pública que se ordena su entrega referida en el </w:t>
      </w:r>
      <w:r w:rsidRPr="00940BE4">
        <w:rPr>
          <w:rFonts w:ascii="Palatino Linotype" w:hAnsi="Palatino Linotype"/>
          <w:b/>
          <w:i/>
          <w:sz w:val="22"/>
        </w:rPr>
        <w:t>Resolutivo Segundo</w:t>
      </w:r>
      <w:r w:rsidRPr="00940BE4">
        <w:rPr>
          <w:rFonts w:ascii="Palatino Linotype" w:hAnsi="Palatino Linotype"/>
          <w:i/>
          <w:sz w:val="22"/>
        </w:rPr>
        <w:t xml:space="preserve">,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940BE4">
        <w:rPr>
          <w:rFonts w:ascii="Palatino Linotype" w:hAnsi="Palatino Linotype"/>
          <w:b/>
          <w:i/>
          <w:sz w:val="22"/>
        </w:rPr>
        <w:t>Recurrente</w:t>
      </w:r>
      <w:r w:rsidRPr="00940BE4">
        <w:rPr>
          <w:rFonts w:ascii="Palatino Linotype" w:hAnsi="Palatino Linotype"/>
          <w:i/>
          <w:sz w:val="22"/>
        </w:rPr>
        <w:t>.</w:t>
      </w:r>
    </w:p>
    <w:p w14:paraId="79E080DD" w14:textId="77777777" w:rsidR="00940BE4" w:rsidRDefault="00940BE4" w:rsidP="00940BE4">
      <w:pPr>
        <w:ind w:left="284" w:right="332"/>
        <w:jc w:val="both"/>
        <w:rPr>
          <w:rFonts w:ascii="Palatino Linotype" w:hAnsi="Palatino Linotype"/>
          <w:i/>
          <w:sz w:val="22"/>
        </w:rPr>
      </w:pPr>
    </w:p>
    <w:p w14:paraId="51E6A917" w14:textId="432AF3CB" w:rsidR="00940BE4" w:rsidRPr="00940BE4" w:rsidRDefault="00940BE4" w:rsidP="00940BE4">
      <w:pPr>
        <w:ind w:left="284" w:right="332"/>
        <w:jc w:val="both"/>
        <w:rPr>
          <w:rFonts w:ascii="Palatino Linotype" w:hAnsi="Palatino Linotype"/>
          <w:i/>
          <w:sz w:val="22"/>
          <w:lang w:val="es-MX"/>
        </w:rPr>
      </w:pPr>
      <w:r w:rsidRPr="00940BE4">
        <w:rPr>
          <w:rFonts w:ascii="Palatino Linotype" w:hAnsi="Palatino Linotype"/>
          <w:i/>
          <w:sz w:val="22"/>
          <w:lang w:val="es-MX"/>
        </w:rPr>
        <w:t>Respecto de</w:t>
      </w:r>
      <w:r>
        <w:rPr>
          <w:rFonts w:ascii="Palatino Linotype" w:hAnsi="Palatino Linotype"/>
          <w:i/>
          <w:sz w:val="22"/>
          <w:lang w:val="es-MX"/>
        </w:rPr>
        <w:t xml:space="preserve"> los</w:t>
      </w:r>
      <w:r w:rsidRPr="00940BE4">
        <w:rPr>
          <w:rFonts w:ascii="Palatino Linotype" w:hAnsi="Palatino Linotype"/>
          <w:i/>
          <w:sz w:val="22"/>
          <w:lang w:val="es-MX"/>
        </w:rPr>
        <w:t xml:space="preserve"> documento</w:t>
      </w:r>
      <w:r>
        <w:rPr>
          <w:rFonts w:ascii="Palatino Linotype" w:hAnsi="Palatino Linotype"/>
          <w:i/>
          <w:sz w:val="22"/>
          <w:lang w:val="es-MX"/>
        </w:rPr>
        <w:t>s</w:t>
      </w:r>
      <w:r w:rsidRPr="00940BE4">
        <w:rPr>
          <w:rFonts w:ascii="Palatino Linotype" w:hAnsi="Palatino Linotype"/>
          <w:i/>
          <w:sz w:val="22"/>
          <w:lang w:val="es-MX"/>
        </w:rPr>
        <w:t xml:space="preserve"> referido</w:t>
      </w:r>
      <w:r>
        <w:rPr>
          <w:rFonts w:ascii="Palatino Linotype" w:hAnsi="Palatino Linotype"/>
          <w:i/>
          <w:sz w:val="22"/>
          <w:lang w:val="es-MX"/>
        </w:rPr>
        <w:t>s</w:t>
      </w:r>
      <w:r w:rsidRPr="00940BE4">
        <w:rPr>
          <w:rFonts w:ascii="Palatino Linotype" w:hAnsi="Palatino Linotype"/>
          <w:i/>
          <w:sz w:val="22"/>
          <w:lang w:val="es-MX"/>
        </w:rPr>
        <w:t xml:space="preserve"> en el </w:t>
      </w:r>
      <w:r w:rsidRPr="00940BE4">
        <w:rPr>
          <w:rFonts w:ascii="Palatino Linotype" w:hAnsi="Palatino Linotype"/>
          <w:b/>
          <w:bCs/>
          <w:i/>
          <w:sz w:val="22"/>
          <w:lang w:val="es-MX"/>
        </w:rPr>
        <w:t>Resolutivo Segundo</w:t>
      </w:r>
      <w:r w:rsidRPr="00940BE4">
        <w:rPr>
          <w:rFonts w:ascii="Palatino Linotype" w:hAnsi="Palatino Linotype"/>
          <w:i/>
          <w:sz w:val="22"/>
          <w:lang w:val="es-MX"/>
        </w:rPr>
        <w:t xml:space="preserve">, en el supuesto de que no se cuente con el mismo, el </w:t>
      </w:r>
      <w:r w:rsidRPr="00940BE4">
        <w:rPr>
          <w:rFonts w:ascii="Palatino Linotype" w:hAnsi="Palatino Linotype"/>
          <w:b/>
          <w:i/>
          <w:sz w:val="22"/>
          <w:lang w:val="es-MX"/>
        </w:rPr>
        <w:t>Sujeto Obligado</w:t>
      </w:r>
      <w:r w:rsidRPr="00940BE4">
        <w:rPr>
          <w:rFonts w:ascii="Palatino Linotype" w:hAnsi="Palatino Linotype"/>
          <w:i/>
          <w:sz w:val="22"/>
          <w:lang w:val="es-MX"/>
        </w:rPr>
        <w:t xml:space="preserve"> deberá hacer entrega del acuerdo emitido por su Comité de Transparencia mediante el cual confirme la inexistencia de la documentación requerida, en los términos señalados por la normatividad vigente y aplicable.</w:t>
      </w:r>
    </w:p>
    <w:p w14:paraId="72AA2600" w14:textId="77777777" w:rsidR="004B6F56" w:rsidRPr="00940BE4" w:rsidRDefault="004B6F56" w:rsidP="00810D67">
      <w:pPr>
        <w:spacing w:line="360" w:lineRule="auto"/>
        <w:jc w:val="both"/>
        <w:rPr>
          <w:rFonts w:ascii="Palatino Linotype" w:hAnsi="Palatino Linotype" w:cs="Arial"/>
          <w:lang w:val="es-MX"/>
        </w:rPr>
      </w:pPr>
    </w:p>
    <w:p w14:paraId="554911A3" w14:textId="6DA62897" w:rsidR="00810D67" w:rsidRPr="00DB300E" w:rsidRDefault="00810D67" w:rsidP="00810D67">
      <w:pPr>
        <w:autoSpaceDE w:val="0"/>
        <w:autoSpaceDN w:val="0"/>
        <w:adjustRightInd w:val="0"/>
        <w:spacing w:line="360" w:lineRule="auto"/>
        <w:ind w:right="49"/>
        <w:jc w:val="both"/>
        <w:rPr>
          <w:rFonts w:ascii="Palatino Linotype" w:hAnsi="Palatino Linotype" w:cs="Arial"/>
          <w:szCs w:val="28"/>
          <w:lang w:val="es-ES_tradnl"/>
        </w:rPr>
      </w:pPr>
      <w:r w:rsidRPr="00DB300E">
        <w:rPr>
          <w:rFonts w:ascii="Palatino Linotype" w:hAnsi="Palatino Linotype" w:cs="Arial"/>
          <w:b/>
          <w:sz w:val="28"/>
          <w:szCs w:val="28"/>
          <w:lang w:val="es-ES_tradnl"/>
        </w:rPr>
        <w:t xml:space="preserve">TERCERO. </w:t>
      </w:r>
      <w:r w:rsidRPr="00DB300E">
        <w:rPr>
          <w:rFonts w:ascii="Palatino Linotype" w:hAnsi="Palatino Linotype" w:cs="Arial"/>
          <w:b/>
          <w:szCs w:val="28"/>
          <w:lang w:val="es-ES_tradnl"/>
        </w:rPr>
        <w:t xml:space="preserve">NOTIFÍQUESE </w:t>
      </w:r>
      <w:r w:rsidRPr="00DB300E">
        <w:rPr>
          <w:rFonts w:ascii="Palatino Linotype" w:hAnsi="Palatino Linotype" w:cs="Arial"/>
          <w:szCs w:val="28"/>
          <w:lang w:val="es-ES_tradnl"/>
        </w:rPr>
        <w:t xml:space="preserve">la presente resolución </w:t>
      </w:r>
      <w:r w:rsidRPr="00DB300E">
        <w:rPr>
          <w:rFonts w:ascii="Palatino Linotype" w:hAnsi="Palatino Linotype" w:cs="Arial"/>
        </w:rPr>
        <w:t xml:space="preserve">a través del Sistema de Acceso a la Información Mexiquense </w:t>
      </w:r>
      <w:r w:rsidRPr="00DB300E">
        <w:rPr>
          <w:rFonts w:ascii="Palatino Linotype" w:hAnsi="Palatino Linotype" w:cs="Arial"/>
          <w:b/>
        </w:rPr>
        <w:t>(SAIMEX)</w:t>
      </w:r>
      <w:r w:rsidRPr="00DB300E">
        <w:rPr>
          <w:rFonts w:ascii="Palatino Linotype" w:hAnsi="Palatino Linotype" w:cs="Arial"/>
          <w:szCs w:val="28"/>
          <w:lang w:val="es-ES_tradnl"/>
        </w:rPr>
        <w:t xml:space="preserve"> al Titular de la Unidad de Transparencia del </w:t>
      </w:r>
      <w:r w:rsidRPr="00DB300E">
        <w:rPr>
          <w:rFonts w:ascii="Palatino Linotype" w:hAnsi="Palatino Linotype" w:cs="Arial"/>
          <w:b/>
          <w:szCs w:val="28"/>
          <w:lang w:val="es-ES_tradnl"/>
        </w:rPr>
        <w:t>Sujeto Obligado</w:t>
      </w:r>
      <w:r w:rsidRPr="00DB300E">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EF4D6E" w14:textId="77777777" w:rsidR="003823E3" w:rsidRPr="00DB300E" w:rsidRDefault="003823E3" w:rsidP="00810D67">
      <w:pPr>
        <w:autoSpaceDE w:val="0"/>
        <w:autoSpaceDN w:val="0"/>
        <w:adjustRightInd w:val="0"/>
        <w:spacing w:line="360" w:lineRule="auto"/>
        <w:ind w:right="49"/>
        <w:jc w:val="both"/>
        <w:rPr>
          <w:rFonts w:ascii="Palatino Linotype" w:hAnsi="Palatino Linotype" w:cs="Arial"/>
          <w:szCs w:val="28"/>
          <w:lang w:val="es-ES_tradnl"/>
        </w:rPr>
      </w:pPr>
    </w:p>
    <w:p w14:paraId="6F3673E7" w14:textId="77777777" w:rsidR="00810D67" w:rsidRPr="00DB300E" w:rsidRDefault="00810D67" w:rsidP="00810D67">
      <w:pPr>
        <w:spacing w:line="360" w:lineRule="auto"/>
        <w:jc w:val="both"/>
        <w:rPr>
          <w:rFonts w:ascii="Palatino Linotype" w:hAnsi="Palatino Linotype" w:cs="Arial"/>
          <w:bCs/>
          <w:szCs w:val="28"/>
        </w:rPr>
      </w:pPr>
      <w:r w:rsidRPr="00DB300E">
        <w:rPr>
          <w:rFonts w:ascii="Palatino Linotype" w:hAnsi="Palatino Linotype" w:cs="Arial"/>
          <w:b/>
          <w:bCs/>
          <w:sz w:val="28"/>
          <w:szCs w:val="28"/>
        </w:rPr>
        <w:lastRenderedPageBreak/>
        <w:t>CUARTO.</w:t>
      </w:r>
      <w:r w:rsidRPr="00DB300E">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DB300E">
        <w:rPr>
          <w:rFonts w:ascii="Palatino Linotype" w:hAnsi="Palatino Linotype" w:cs="Arial"/>
          <w:b/>
          <w:bCs/>
          <w:szCs w:val="28"/>
        </w:rPr>
        <w:t>Sujeto Obligado</w:t>
      </w:r>
      <w:r w:rsidRPr="00DB300E">
        <w:rPr>
          <w:rFonts w:ascii="Palatino Linotype" w:hAnsi="Palatino Linotype" w:cs="Arial"/>
          <w:bCs/>
          <w:szCs w:val="28"/>
        </w:rPr>
        <w:t xml:space="preserve"> de manera fundada y motivada, podrá solicitar una ampliación de plazo para el cumplimiento de la presente resolución.</w:t>
      </w:r>
    </w:p>
    <w:p w14:paraId="17094F05" w14:textId="77777777" w:rsidR="00810D67" w:rsidRPr="00DB300E" w:rsidRDefault="00810D67" w:rsidP="00810D67">
      <w:pPr>
        <w:autoSpaceDE w:val="0"/>
        <w:autoSpaceDN w:val="0"/>
        <w:adjustRightInd w:val="0"/>
        <w:spacing w:line="360" w:lineRule="auto"/>
        <w:ind w:right="49"/>
        <w:jc w:val="both"/>
        <w:rPr>
          <w:rFonts w:ascii="Palatino Linotype" w:hAnsi="Palatino Linotype" w:cs="Arial"/>
          <w:b/>
          <w:szCs w:val="28"/>
        </w:rPr>
      </w:pPr>
    </w:p>
    <w:p w14:paraId="5B292E15" w14:textId="7D1D8501" w:rsidR="00810D67" w:rsidRPr="00DB300E" w:rsidRDefault="00810D67" w:rsidP="00810D67">
      <w:pPr>
        <w:autoSpaceDE w:val="0"/>
        <w:autoSpaceDN w:val="0"/>
        <w:adjustRightInd w:val="0"/>
        <w:spacing w:line="360" w:lineRule="auto"/>
        <w:ind w:right="49"/>
        <w:jc w:val="both"/>
        <w:rPr>
          <w:rFonts w:ascii="Palatino Linotype" w:hAnsi="Palatino Linotype" w:cs="Arial"/>
        </w:rPr>
      </w:pPr>
      <w:r w:rsidRPr="00DB300E">
        <w:rPr>
          <w:rFonts w:ascii="Palatino Linotype" w:hAnsi="Palatino Linotype" w:cs="Arial"/>
          <w:b/>
          <w:sz w:val="28"/>
          <w:szCs w:val="28"/>
        </w:rPr>
        <w:t>QUINTO.</w:t>
      </w:r>
      <w:r w:rsidRPr="00DB300E">
        <w:rPr>
          <w:rFonts w:ascii="Palatino Linotype" w:hAnsi="Palatino Linotype" w:cs="Arial"/>
          <w:b/>
        </w:rPr>
        <w:t xml:space="preserve"> NOTIFÍQUESE</w:t>
      </w:r>
      <w:r w:rsidRPr="00DB300E">
        <w:rPr>
          <w:rFonts w:ascii="Palatino Linotype" w:hAnsi="Palatino Linotype" w:cs="Arial"/>
        </w:rPr>
        <w:t xml:space="preserve"> al </w:t>
      </w:r>
      <w:r w:rsidRPr="00DB300E">
        <w:rPr>
          <w:rFonts w:ascii="Palatino Linotype" w:hAnsi="Palatino Linotype" w:cs="Arial"/>
          <w:b/>
        </w:rPr>
        <w:t>Recurrente</w:t>
      </w:r>
      <w:r w:rsidRPr="00DB300E">
        <w:rPr>
          <w:rFonts w:ascii="Palatino Linotype" w:hAnsi="Palatino Linotype" w:cs="Arial"/>
        </w:rPr>
        <w:t xml:space="preserve"> la presente resolución a través del Sistema de Acceso a la Información Mexiquense </w:t>
      </w:r>
      <w:r w:rsidRPr="00DB300E">
        <w:rPr>
          <w:rFonts w:ascii="Palatino Linotype" w:hAnsi="Palatino Linotype" w:cs="Arial"/>
          <w:b/>
        </w:rPr>
        <w:t>(SAIMEX),</w:t>
      </w:r>
      <w:r w:rsidRPr="00DB300E">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8D625B" w:rsidRPr="00DB300E">
        <w:rPr>
          <w:rFonts w:ascii="Palatino Linotype" w:hAnsi="Palatino Linotype" w:cs="Arial"/>
        </w:rPr>
        <w:t>.</w:t>
      </w:r>
    </w:p>
    <w:p w14:paraId="243C1620" w14:textId="77777777" w:rsidR="008B42ED" w:rsidRPr="00DB300E" w:rsidRDefault="008B42ED" w:rsidP="00867B96">
      <w:pPr>
        <w:pStyle w:val="Textoindependiente"/>
        <w:spacing w:after="0" w:line="360" w:lineRule="auto"/>
        <w:jc w:val="both"/>
        <w:rPr>
          <w:rFonts w:ascii="Palatino Linotype" w:hAnsi="Palatino Linotype"/>
          <w:sz w:val="24"/>
          <w:szCs w:val="24"/>
        </w:rPr>
      </w:pPr>
    </w:p>
    <w:p w14:paraId="6AC18BF6" w14:textId="560305EF" w:rsidR="009C5C70" w:rsidRPr="00DB300E" w:rsidRDefault="0029071C" w:rsidP="00054E04">
      <w:pPr>
        <w:spacing w:line="360" w:lineRule="auto"/>
        <w:jc w:val="both"/>
        <w:rPr>
          <w:rFonts w:ascii="Palatino Linotype" w:eastAsiaTheme="minorHAnsi" w:hAnsi="Palatino Linotype" w:cs="Arial"/>
          <w:lang w:val="es-MX" w:eastAsia="en-US"/>
        </w:rPr>
      </w:pPr>
      <w:r w:rsidRPr="00DB300E">
        <w:rPr>
          <w:rFonts w:ascii="Palatino Linotype" w:eastAsiaTheme="minorHAnsi" w:hAnsi="Palatino Linotype" w:cs="Arial"/>
          <w:lang w:val="es-MX" w:eastAsia="en-US"/>
        </w:rPr>
        <w:t xml:space="preserve">ASÍ LO RESUELVE, POR </w:t>
      </w:r>
      <w:r w:rsidR="00C3621F">
        <w:rPr>
          <w:rFonts w:ascii="Palatino Linotype" w:eastAsiaTheme="minorHAnsi" w:hAnsi="Palatino Linotype" w:cs="Arial"/>
          <w:lang w:val="es-MX" w:eastAsia="en-US"/>
        </w:rPr>
        <w:t>UNANIMIDAD</w:t>
      </w:r>
      <w:r w:rsidRPr="00DB300E">
        <w:rPr>
          <w:rFonts w:ascii="Palatino Linotype" w:eastAsiaTheme="minorHAnsi" w:hAnsi="Palatino Linotype" w:cs="Arial"/>
          <w:lang w:val="es-MX" w:eastAsia="en-US"/>
        </w:rPr>
        <w:t xml:space="preserve"> DE VOTOS, EL PLENO DEL</w:t>
      </w:r>
      <w:r w:rsidRPr="00DB300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B300E">
        <w:rPr>
          <w:rFonts w:ascii="Palatino Linotype" w:eastAsiaTheme="minorHAnsi" w:hAnsi="Palatino Linotype" w:cs="Arial"/>
          <w:lang w:val="es-MX" w:eastAsia="en-US"/>
        </w:rPr>
        <w:t xml:space="preserve">, CONFORMADO POR LOS COMISIONADOS JOSÉ MARTÍNEZ VILCHIS; MARÍA </w:t>
      </w:r>
      <w:r w:rsidR="0056737E" w:rsidRPr="00DB300E">
        <w:rPr>
          <w:rFonts w:ascii="Palatino Linotype" w:eastAsiaTheme="minorHAnsi" w:hAnsi="Palatino Linotype" w:cs="Arial"/>
          <w:lang w:val="es-MX" w:eastAsia="en-US"/>
        </w:rPr>
        <w:t>DEL ROSARIO MEJÍA AYALA; SHARON CRISTINA MORALES MARTÍNEZ; LUIS GUSTAVO PARRA NORIEGA</w:t>
      </w:r>
      <w:r w:rsidR="006E300E" w:rsidRPr="00DB300E">
        <w:rPr>
          <w:rFonts w:ascii="Palatino Linotype" w:eastAsiaTheme="minorHAnsi" w:hAnsi="Palatino Linotype" w:cs="Arial"/>
          <w:lang w:val="es-MX" w:eastAsia="en-US"/>
        </w:rPr>
        <w:t xml:space="preserve"> </w:t>
      </w:r>
      <w:r w:rsidR="0056737E" w:rsidRPr="00DB300E">
        <w:rPr>
          <w:rFonts w:ascii="Palatino Linotype" w:eastAsiaTheme="minorHAnsi" w:hAnsi="Palatino Linotype" w:cs="Arial"/>
          <w:lang w:val="es-MX" w:eastAsia="en-US"/>
        </w:rPr>
        <w:t xml:space="preserve">Y GUADALUPE RAMÍREZ </w:t>
      </w:r>
      <w:r w:rsidR="00640D42" w:rsidRPr="00DB300E">
        <w:rPr>
          <w:rFonts w:ascii="Palatino Linotype" w:eastAsiaTheme="minorHAnsi" w:hAnsi="Palatino Linotype" w:cs="Arial"/>
          <w:lang w:val="es-MX" w:eastAsia="en-US"/>
        </w:rPr>
        <w:t xml:space="preserve">PEÑA; </w:t>
      </w:r>
      <w:r w:rsidR="0056737E" w:rsidRPr="00DB300E">
        <w:rPr>
          <w:rFonts w:ascii="Palatino Linotype" w:eastAsiaTheme="minorHAnsi" w:hAnsi="Palatino Linotype" w:cs="Arial"/>
          <w:lang w:val="es-MX" w:eastAsia="en-US"/>
        </w:rPr>
        <w:t xml:space="preserve">EN LA </w:t>
      </w:r>
      <w:r w:rsidR="0097545C" w:rsidRPr="00DB300E">
        <w:rPr>
          <w:rFonts w:ascii="Palatino Linotype" w:eastAsiaTheme="minorHAnsi" w:hAnsi="Palatino Linotype" w:cs="Arial"/>
          <w:lang w:val="es-MX" w:eastAsia="en-US"/>
        </w:rPr>
        <w:t>TRIGÉSIMA</w:t>
      </w:r>
      <w:r w:rsidR="00DB300E">
        <w:rPr>
          <w:rFonts w:ascii="Palatino Linotype" w:eastAsiaTheme="minorHAnsi" w:hAnsi="Palatino Linotype" w:cs="Arial"/>
          <w:lang w:val="es-MX" w:eastAsia="en-US"/>
        </w:rPr>
        <w:t xml:space="preserve"> </w:t>
      </w:r>
      <w:r w:rsidR="00973D62">
        <w:rPr>
          <w:rFonts w:ascii="Palatino Linotype" w:eastAsiaTheme="minorHAnsi" w:hAnsi="Palatino Linotype" w:cs="Arial"/>
          <w:lang w:val="es-MX" w:eastAsia="en-US"/>
        </w:rPr>
        <w:t>OCTAV</w:t>
      </w:r>
      <w:r w:rsidR="00DB300E">
        <w:rPr>
          <w:rFonts w:ascii="Palatino Linotype" w:eastAsiaTheme="minorHAnsi" w:hAnsi="Palatino Linotype" w:cs="Arial"/>
          <w:lang w:val="es-MX" w:eastAsia="en-US"/>
        </w:rPr>
        <w:t>A</w:t>
      </w:r>
      <w:r w:rsidR="006A6E76" w:rsidRPr="00DB300E">
        <w:rPr>
          <w:rFonts w:ascii="Palatino Linotype" w:eastAsiaTheme="minorHAnsi" w:hAnsi="Palatino Linotype" w:cs="Arial"/>
          <w:lang w:val="es-MX" w:eastAsia="en-US"/>
        </w:rPr>
        <w:t xml:space="preserve"> </w:t>
      </w:r>
      <w:r w:rsidR="0056737E" w:rsidRPr="00DB300E">
        <w:rPr>
          <w:rFonts w:ascii="Palatino Linotype" w:eastAsiaTheme="minorHAnsi" w:hAnsi="Palatino Linotype" w:cs="Arial"/>
          <w:lang w:val="es-MX" w:eastAsia="en-US"/>
        </w:rPr>
        <w:t xml:space="preserve">SESIÓN ORDINARIA CELEBRADA EL </w:t>
      </w:r>
      <w:r w:rsidR="00973D62">
        <w:rPr>
          <w:rFonts w:ascii="Palatino Linotype" w:eastAsiaTheme="minorHAnsi" w:hAnsi="Palatino Linotype" w:cs="Arial"/>
          <w:lang w:val="es-MX" w:eastAsia="en-US"/>
        </w:rPr>
        <w:t>SEIS DE NOVIEMBRE</w:t>
      </w:r>
      <w:r w:rsidR="00811065" w:rsidRPr="00DB300E">
        <w:rPr>
          <w:rFonts w:ascii="Palatino Linotype" w:eastAsiaTheme="minorHAnsi" w:hAnsi="Palatino Linotype" w:cs="Arial"/>
          <w:lang w:val="es-MX" w:eastAsia="en-US"/>
        </w:rPr>
        <w:t xml:space="preserve"> </w:t>
      </w:r>
      <w:r w:rsidRPr="00DB300E">
        <w:rPr>
          <w:rFonts w:ascii="Palatino Linotype" w:hAnsi="Palatino Linotype" w:cs="Arial"/>
          <w:color w:val="000000"/>
          <w:lang w:val="es-MX" w:eastAsia="es-MX"/>
        </w:rPr>
        <w:t>DE</w:t>
      </w:r>
      <w:r w:rsidR="004309A2" w:rsidRPr="00DB300E">
        <w:rPr>
          <w:rFonts w:ascii="Palatino Linotype" w:eastAsiaTheme="minorHAnsi" w:hAnsi="Palatino Linotype" w:cs="Arial"/>
          <w:lang w:val="es-MX" w:eastAsia="en-US"/>
        </w:rPr>
        <w:t xml:space="preserve"> DOS MIL VEINTI</w:t>
      </w:r>
      <w:r w:rsidR="00D0027F" w:rsidRPr="00DB300E">
        <w:rPr>
          <w:rFonts w:ascii="Palatino Linotype" w:eastAsiaTheme="minorHAnsi" w:hAnsi="Palatino Linotype" w:cs="Arial"/>
          <w:lang w:val="es-MX" w:eastAsia="en-US"/>
        </w:rPr>
        <w:t>CUATRO</w:t>
      </w:r>
      <w:r w:rsidRPr="00DB300E">
        <w:rPr>
          <w:rFonts w:ascii="Palatino Linotype" w:eastAsiaTheme="minorHAnsi" w:hAnsi="Palatino Linotype" w:cs="Arial"/>
          <w:lang w:val="es-MX" w:eastAsia="en-US"/>
        </w:rPr>
        <w:t>, ANTE EL SECRETARIO TÉCNICO</w:t>
      </w:r>
      <w:r w:rsidR="00650F75">
        <w:rPr>
          <w:rFonts w:ascii="Palatino Linotype" w:eastAsiaTheme="minorHAnsi" w:hAnsi="Palatino Linotype" w:cs="Arial"/>
          <w:lang w:val="es-MX" w:eastAsia="en-US"/>
        </w:rPr>
        <w:t xml:space="preserve"> DEL PLENO</w:t>
      </w:r>
      <w:r w:rsidRPr="00DB300E">
        <w:rPr>
          <w:rFonts w:ascii="Palatino Linotype" w:eastAsiaTheme="minorHAnsi" w:hAnsi="Palatino Linotype" w:cs="Arial"/>
          <w:lang w:val="es-MX" w:eastAsia="en-US"/>
        </w:rPr>
        <w:t>, ALEXIS TAPIA RA</w:t>
      </w:r>
      <w:r w:rsidR="00054E04" w:rsidRPr="00DB300E">
        <w:rPr>
          <w:rFonts w:ascii="Palatino Linotype" w:eastAsiaTheme="minorHAnsi" w:hAnsi="Palatino Linotype" w:cs="Arial"/>
          <w:lang w:val="es-MX" w:eastAsia="en-US"/>
        </w:rPr>
        <w:t>MÍREZ.</w:t>
      </w:r>
      <w:r w:rsidR="00F04815" w:rsidRPr="00DB300E">
        <w:rPr>
          <w:rFonts w:ascii="Palatino Linotype" w:eastAsiaTheme="minorHAnsi" w:hAnsi="Palatino Linotype" w:cs="Arial"/>
          <w:lang w:val="es-MX" w:eastAsia="en-US"/>
        </w:rPr>
        <w:t>---------------------------------------------------------------------------------------------------</w:t>
      </w:r>
      <w:r w:rsidR="009C5C70" w:rsidRPr="00DB300E">
        <w:rPr>
          <w:rFonts w:ascii="Palatino Linotype" w:eastAsiaTheme="minorHAnsi" w:hAnsi="Palatino Linotype" w:cs="Arial"/>
          <w:lang w:val="es-MX" w:eastAsia="en-US"/>
        </w:rPr>
        <w:t>-------------------------</w:t>
      </w:r>
      <w:r w:rsidR="00094028" w:rsidRPr="00DB300E">
        <w:rPr>
          <w:rFonts w:ascii="Palatino Linotype" w:eastAsiaTheme="minorHAnsi" w:hAnsi="Palatino Linotype" w:cs="Arial"/>
          <w:lang w:val="es-MX" w:eastAsia="en-US"/>
        </w:rPr>
        <w:t>-</w:t>
      </w:r>
      <w:r w:rsidR="002D3F7F" w:rsidRPr="00DB300E">
        <w:rPr>
          <w:rFonts w:ascii="Palatino Linotype" w:eastAsiaTheme="minorHAnsi" w:hAnsi="Palatino Linotype" w:cs="Arial"/>
          <w:lang w:val="es-MX" w:eastAsia="en-US"/>
        </w:rPr>
        <w:t>----------------------------------------------------------------------------------------</w:t>
      </w:r>
      <w:r w:rsidR="00436194" w:rsidRPr="00DB300E">
        <w:rPr>
          <w:rFonts w:ascii="Palatino Linotype" w:eastAsiaTheme="minorHAnsi" w:hAnsi="Palatino Linotype" w:cs="Arial"/>
          <w:lang w:val="es-MX" w:eastAsia="en-US"/>
        </w:rPr>
        <w:t>----------------------------------------------------------------------------------------------------------------------------------------------------------</w:t>
      </w:r>
      <w:r w:rsidR="00C3621F">
        <w:rPr>
          <w:rFonts w:ascii="Palatino Linotype" w:eastAsiaTheme="minorHAnsi" w:hAnsi="Palatino Linotype" w:cs="Arial"/>
          <w:lang w:val="es-MX" w:eastAsia="en-US"/>
        </w:rPr>
        <w:t>---------------------------------</w:t>
      </w:r>
      <w:r w:rsidR="00436194" w:rsidRPr="00DB300E">
        <w:rPr>
          <w:rFonts w:ascii="Palatino Linotype" w:eastAsiaTheme="minorHAnsi" w:hAnsi="Palatino Linotype" w:cs="Arial"/>
          <w:lang w:val="es-MX" w:eastAsia="en-US"/>
        </w:rPr>
        <w:t>-------------------</w:t>
      </w:r>
      <w:r w:rsidR="00650F75">
        <w:rPr>
          <w:rFonts w:ascii="Palatino Linotype" w:eastAsiaTheme="minorHAnsi" w:hAnsi="Palatino Linotype" w:cs="Arial"/>
          <w:lang w:val="es-MX" w:eastAsia="en-US"/>
        </w:rPr>
        <w:t>-</w:t>
      </w:r>
    </w:p>
    <w:p w14:paraId="1E235647" w14:textId="77777777" w:rsidR="00054E04" w:rsidRPr="00F04815" w:rsidRDefault="00F04815" w:rsidP="00054E04">
      <w:pPr>
        <w:spacing w:line="360" w:lineRule="auto"/>
        <w:jc w:val="both"/>
        <w:rPr>
          <w:rFonts w:ascii="Palatino Linotype" w:eastAsiaTheme="minorHAnsi" w:hAnsi="Palatino Linotype" w:cs="Arial"/>
          <w:sz w:val="18"/>
          <w:lang w:val="es-MX" w:eastAsia="en-US"/>
        </w:rPr>
      </w:pPr>
      <w:r w:rsidRPr="00DB300E">
        <w:rPr>
          <w:rFonts w:ascii="Palatino Linotype" w:eastAsiaTheme="minorHAnsi" w:hAnsi="Palatino Linotype" w:cs="Arial"/>
          <w:sz w:val="18"/>
          <w:lang w:val="es-MX" w:eastAsia="en-US"/>
        </w:rPr>
        <w:t>JMV/CCR/</w:t>
      </w:r>
      <w:proofErr w:type="spellStart"/>
      <w:r w:rsidRPr="00DB300E">
        <w:rPr>
          <w:rFonts w:ascii="Palatino Linotype" w:eastAsiaTheme="minorHAnsi" w:hAnsi="Palatino Linotype" w:cs="Arial"/>
          <w:sz w:val="18"/>
          <w:lang w:val="es-MX" w:eastAsia="en-US"/>
        </w:rPr>
        <w:t>jasm</w:t>
      </w:r>
      <w:proofErr w:type="spellEnd"/>
    </w:p>
    <w:p w14:paraId="4CB1A993"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56C346B1" w14:textId="77777777" w:rsidR="0029071C" w:rsidRDefault="0029071C" w:rsidP="003E56C9"/>
    <w:p w14:paraId="1C7BC96C" w14:textId="77777777" w:rsidR="0029071C" w:rsidRDefault="0029071C" w:rsidP="003E56C9"/>
    <w:p w14:paraId="53EAF4E6" w14:textId="77777777" w:rsidR="0029071C" w:rsidRDefault="0029071C" w:rsidP="003E56C9"/>
    <w:p w14:paraId="77C1EC06" w14:textId="77777777" w:rsidR="0029071C" w:rsidRDefault="0029071C" w:rsidP="003E56C9"/>
    <w:p w14:paraId="6588A587" w14:textId="77777777" w:rsidR="0029071C" w:rsidRDefault="0029071C" w:rsidP="003E56C9"/>
    <w:p w14:paraId="464315EB" w14:textId="77777777" w:rsidR="0029071C" w:rsidRDefault="0029071C" w:rsidP="003E56C9"/>
    <w:p w14:paraId="16ACA51A" w14:textId="77777777" w:rsidR="0029071C" w:rsidRDefault="0029071C" w:rsidP="003E56C9"/>
    <w:p w14:paraId="784689EB" w14:textId="77777777" w:rsidR="0029071C" w:rsidRDefault="0029071C" w:rsidP="003E56C9"/>
    <w:p w14:paraId="4525F468" w14:textId="77777777" w:rsidR="0029071C" w:rsidRDefault="0029071C" w:rsidP="003E56C9"/>
    <w:p w14:paraId="5C1E1352" w14:textId="77777777" w:rsidR="0029071C" w:rsidRDefault="0029071C" w:rsidP="003E56C9"/>
    <w:p w14:paraId="08D80CF4" w14:textId="77777777" w:rsidR="0029071C" w:rsidRDefault="0029071C" w:rsidP="003E56C9"/>
    <w:p w14:paraId="6375B026" w14:textId="77777777" w:rsidR="0029071C" w:rsidRDefault="0029071C" w:rsidP="003E56C9"/>
    <w:p w14:paraId="34F394E5" w14:textId="77777777" w:rsidR="0029071C" w:rsidRDefault="0029071C" w:rsidP="003E56C9"/>
    <w:p w14:paraId="7FA3EF07" w14:textId="77777777" w:rsidR="0029071C" w:rsidRDefault="0029071C" w:rsidP="003E56C9"/>
    <w:p w14:paraId="4F15D794" w14:textId="77777777" w:rsidR="0029071C" w:rsidRDefault="0029071C" w:rsidP="003E56C9"/>
    <w:p w14:paraId="13FC224F" w14:textId="77777777" w:rsidR="0029071C" w:rsidRDefault="0029071C" w:rsidP="003E56C9"/>
    <w:p w14:paraId="4ABCE67F" w14:textId="77777777" w:rsidR="0029071C" w:rsidRDefault="0029071C" w:rsidP="003E56C9"/>
    <w:p w14:paraId="4BE38003" w14:textId="77777777" w:rsidR="0029071C" w:rsidRDefault="0029071C" w:rsidP="003E56C9"/>
    <w:p w14:paraId="71B2BFD0" w14:textId="77777777" w:rsidR="0029071C" w:rsidRDefault="0029071C" w:rsidP="003E56C9"/>
    <w:p w14:paraId="71758EC3" w14:textId="77777777" w:rsidR="0029071C" w:rsidRDefault="0029071C" w:rsidP="003E56C9"/>
    <w:p w14:paraId="45F2C6F3" w14:textId="77777777" w:rsidR="0029071C" w:rsidRDefault="0029071C" w:rsidP="003E56C9"/>
    <w:p w14:paraId="0DC738B7" w14:textId="77777777" w:rsidR="0029071C" w:rsidRDefault="0029071C" w:rsidP="003E56C9"/>
    <w:p w14:paraId="2ED76F31" w14:textId="77777777" w:rsidR="0029071C" w:rsidRDefault="0029071C" w:rsidP="003E56C9"/>
    <w:p w14:paraId="19D172CF" w14:textId="77777777" w:rsidR="0029071C" w:rsidRDefault="0029071C" w:rsidP="003E56C9"/>
    <w:p w14:paraId="132E3808" w14:textId="77777777" w:rsidR="0029071C" w:rsidRDefault="0029071C" w:rsidP="003E56C9"/>
    <w:p w14:paraId="6F2853A9" w14:textId="77777777" w:rsidR="0029071C" w:rsidRDefault="0029071C" w:rsidP="003E56C9"/>
    <w:p w14:paraId="791E628B" w14:textId="77777777" w:rsidR="0029071C" w:rsidRDefault="0029071C" w:rsidP="003E56C9"/>
    <w:p w14:paraId="1DB75AEB" w14:textId="77777777" w:rsidR="0029071C" w:rsidRDefault="0029071C" w:rsidP="003E56C9"/>
    <w:p w14:paraId="1E27BCEB" w14:textId="77777777" w:rsidR="0029071C" w:rsidRDefault="0029071C" w:rsidP="003E56C9"/>
    <w:p w14:paraId="75874B26" w14:textId="77777777" w:rsidR="0029071C" w:rsidRDefault="0029071C" w:rsidP="003E56C9"/>
    <w:p w14:paraId="625AF174" w14:textId="77777777" w:rsidR="0029071C" w:rsidRDefault="0029071C" w:rsidP="003E56C9"/>
    <w:p w14:paraId="55EDEAB2" w14:textId="77777777" w:rsidR="0029071C" w:rsidRDefault="0029071C" w:rsidP="003E56C9"/>
    <w:p w14:paraId="23519CA9" w14:textId="77777777" w:rsidR="0029071C" w:rsidRDefault="0029071C" w:rsidP="003E56C9"/>
    <w:p w14:paraId="0CF3CBC0" w14:textId="77777777" w:rsidR="0029071C" w:rsidRDefault="0029071C" w:rsidP="003E56C9"/>
    <w:p w14:paraId="7FDC3BBE" w14:textId="2FD08E91" w:rsidR="0029071C" w:rsidRPr="003E56C9" w:rsidRDefault="0029071C" w:rsidP="003E56C9"/>
    <w:sectPr w:rsidR="0029071C" w:rsidRPr="003E56C9" w:rsidSect="00F700A7">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EA9EA" w14:textId="77777777" w:rsidR="00B66F84" w:rsidRDefault="00B66F84" w:rsidP="000B5E25">
      <w:r>
        <w:separator/>
      </w:r>
    </w:p>
  </w:endnote>
  <w:endnote w:type="continuationSeparator" w:id="0">
    <w:p w14:paraId="7501A4DD" w14:textId="77777777" w:rsidR="00B66F84" w:rsidRDefault="00B66F8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2D985" w14:textId="77777777" w:rsidR="0097545C" w:rsidRPr="000D3AD4" w:rsidRDefault="009754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4636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46366">
      <w:rPr>
        <w:rFonts w:ascii="Palatino Linotype" w:hAnsi="Palatino Linotype" w:cs="Arial"/>
        <w:bCs/>
        <w:noProof/>
        <w:sz w:val="20"/>
        <w:szCs w:val="20"/>
      </w:rPr>
      <w:t>63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7827" w14:textId="77777777" w:rsidR="0097545C" w:rsidRPr="000D3AD4" w:rsidRDefault="009754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4636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46366">
      <w:rPr>
        <w:rFonts w:ascii="Palatino Linotype" w:hAnsi="Palatino Linotype" w:cs="Arial"/>
        <w:bCs/>
        <w:noProof/>
        <w:sz w:val="20"/>
        <w:szCs w:val="20"/>
      </w:rPr>
      <w:t>63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2524" w14:textId="77777777" w:rsidR="00B66F84" w:rsidRDefault="00B66F84" w:rsidP="000B5E25">
      <w:r>
        <w:separator/>
      </w:r>
    </w:p>
  </w:footnote>
  <w:footnote w:type="continuationSeparator" w:id="0">
    <w:p w14:paraId="2298F552" w14:textId="77777777" w:rsidR="00B66F84" w:rsidRDefault="00B66F84" w:rsidP="000B5E25">
      <w:r>
        <w:continuationSeparator/>
      </w:r>
    </w:p>
  </w:footnote>
  <w:footnote w:id="1">
    <w:p w14:paraId="3F0D4A19" w14:textId="77777777" w:rsidR="0097545C" w:rsidRPr="008A64CB" w:rsidRDefault="0097545C" w:rsidP="009D18C2">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BE077FF" w14:textId="77777777" w:rsidR="0097545C" w:rsidRDefault="0097545C" w:rsidP="009D18C2">
      <w:pPr>
        <w:autoSpaceDE w:val="0"/>
        <w:autoSpaceDN w:val="0"/>
        <w:adjustRightInd w:val="0"/>
        <w:ind w:right="49"/>
        <w:jc w:val="both"/>
        <w:rPr>
          <w:rFonts w:ascii="Palatino Linotype" w:hAnsi="Palatino Linotype"/>
          <w:i/>
          <w:sz w:val="18"/>
          <w:szCs w:val="22"/>
        </w:rPr>
      </w:pPr>
    </w:p>
    <w:p w14:paraId="6D687D73" w14:textId="77777777" w:rsidR="0097545C" w:rsidRPr="008A64CB" w:rsidRDefault="0097545C" w:rsidP="009D18C2">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5CA1A2E1" w14:textId="77777777" w:rsidR="0097545C" w:rsidRPr="008A64CB" w:rsidRDefault="0097545C" w:rsidP="009D18C2">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94E6D" w14:textId="77777777" w:rsidR="0097545C" w:rsidRDefault="00D46366">
    <w:pPr>
      <w:pStyle w:val="Encabezado"/>
    </w:pPr>
    <w:r>
      <w:rPr>
        <w:noProof/>
        <w:lang w:val="es-MX" w:eastAsia="es-MX"/>
      </w:rPr>
      <w:pict w14:anchorId="03350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7545C" w:rsidRPr="008F2CCC" w14:paraId="043DC4F3" w14:textId="77777777" w:rsidTr="00BA27FC">
      <w:tc>
        <w:tcPr>
          <w:tcW w:w="2551" w:type="dxa"/>
          <w:shd w:val="clear" w:color="auto" w:fill="auto"/>
          <w:vAlign w:val="center"/>
        </w:tcPr>
        <w:p w14:paraId="49F8F6BD"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F1E9B6E" w14:textId="59FDF161" w:rsidR="0097545C" w:rsidRPr="0029071C" w:rsidRDefault="0097545C" w:rsidP="007F3E5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B300E">
            <w:rPr>
              <w:rFonts w:ascii="Palatino Linotype" w:hAnsi="Palatino Linotype"/>
              <w:sz w:val="22"/>
              <w:szCs w:val="22"/>
              <w:lang w:val="es-ES_tradnl"/>
            </w:rPr>
            <w:t>5355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7545C" w:rsidRPr="008F2CCC" w14:paraId="0BFB0298" w14:textId="77777777" w:rsidTr="00BA27FC">
      <w:trPr>
        <w:trHeight w:val="228"/>
      </w:trPr>
      <w:tc>
        <w:tcPr>
          <w:tcW w:w="2551" w:type="dxa"/>
          <w:shd w:val="clear" w:color="auto" w:fill="auto"/>
          <w:vAlign w:val="center"/>
        </w:tcPr>
        <w:p w14:paraId="50B946AA"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F1DA2B2" w14:textId="77777777" w:rsidR="0097545C" w:rsidRDefault="0097545C" w:rsidP="00B6659F">
          <w:pPr>
            <w:spacing w:line="276" w:lineRule="auto"/>
            <w:jc w:val="right"/>
            <w:rPr>
              <w:rFonts w:ascii="Palatino Linotype" w:hAnsi="Palatino Linotype"/>
              <w:sz w:val="22"/>
              <w:szCs w:val="22"/>
            </w:rPr>
          </w:pPr>
          <w:r w:rsidRPr="00002E67">
            <w:rPr>
              <w:rFonts w:ascii="Palatino Linotype" w:hAnsi="Palatino Linotype"/>
              <w:sz w:val="22"/>
              <w:szCs w:val="22"/>
            </w:rPr>
            <w:t xml:space="preserve">Fiscalía General de Justicia </w:t>
          </w:r>
        </w:p>
        <w:p w14:paraId="6ED8BDEC" w14:textId="71B81C2B" w:rsidR="0097545C" w:rsidRPr="0029071C" w:rsidRDefault="0097545C" w:rsidP="00B6659F">
          <w:pPr>
            <w:spacing w:line="276" w:lineRule="auto"/>
            <w:jc w:val="right"/>
            <w:rPr>
              <w:rFonts w:ascii="Palatino Linotype" w:hAnsi="Palatino Linotype"/>
              <w:sz w:val="22"/>
              <w:szCs w:val="22"/>
            </w:rPr>
          </w:pPr>
          <w:r w:rsidRPr="00002E67">
            <w:rPr>
              <w:rFonts w:ascii="Palatino Linotype" w:hAnsi="Palatino Linotype"/>
              <w:sz w:val="22"/>
              <w:szCs w:val="22"/>
            </w:rPr>
            <w:t>del Estado de México</w:t>
          </w:r>
        </w:p>
      </w:tc>
    </w:tr>
    <w:tr w:rsidR="0097545C" w:rsidRPr="008F2CCC" w14:paraId="564C1C6B" w14:textId="77777777" w:rsidTr="00BA27FC">
      <w:tc>
        <w:tcPr>
          <w:tcW w:w="2551" w:type="dxa"/>
          <w:shd w:val="clear" w:color="auto" w:fill="auto"/>
          <w:vAlign w:val="center"/>
        </w:tcPr>
        <w:p w14:paraId="379F3E70"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2B1185" w14:textId="77777777" w:rsidR="0097545C" w:rsidRPr="0029071C" w:rsidRDefault="009754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0EB0D83" w14:textId="77777777" w:rsidR="0097545C" w:rsidRPr="001779E0" w:rsidRDefault="00D4636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4542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8.2pt;margin-top:-119.7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7545C" w:rsidRPr="008F2CCC" w14:paraId="79FD558B" w14:textId="77777777" w:rsidTr="00BA27FC">
      <w:tc>
        <w:tcPr>
          <w:tcW w:w="2551" w:type="dxa"/>
          <w:shd w:val="clear" w:color="auto" w:fill="auto"/>
          <w:vAlign w:val="center"/>
        </w:tcPr>
        <w:p w14:paraId="0AD91562"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45160CFE" w14:textId="2C81B273" w:rsidR="0097545C" w:rsidRPr="0029071C" w:rsidRDefault="0097545C" w:rsidP="007F3E5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B300E">
            <w:rPr>
              <w:rFonts w:ascii="Palatino Linotype" w:hAnsi="Palatino Linotype"/>
              <w:sz w:val="22"/>
              <w:szCs w:val="22"/>
              <w:lang w:val="es-ES_tradnl"/>
            </w:rPr>
            <w:t>5355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7545C" w:rsidRPr="008F2CCC" w14:paraId="6435CBEF" w14:textId="77777777" w:rsidTr="00BA27FC">
      <w:tc>
        <w:tcPr>
          <w:tcW w:w="2551" w:type="dxa"/>
          <w:shd w:val="clear" w:color="auto" w:fill="auto"/>
          <w:vAlign w:val="center"/>
        </w:tcPr>
        <w:p w14:paraId="06C7BD92"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7C0381F" w14:textId="76580F60" w:rsidR="0097545C" w:rsidRPr="006D30E6" w:rsidRDefault="00D4636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w:t>
          </w:r>
        </w:p>
      </w:tc>
    </w:tr>
    <w:tr w:rsidR="0097545C" w:rsidRPr="008F2CCC" w14:paraId="724A10E5" w14:textId="77777777" w:rsidTr="00BA27FC">
      <w:trPr>
        <w:trHeight w:val="228"/>
      </w:trPr>
      <w:tc>
        <w:tcPr>
          <w:tcW w:w="2551" w:type="dxa"/>
          <w:shd w:val="clear" w:color="auto" w:fill="auto"/>
          <w:vAlign w:val="center"/>
        </w:tcPr>
        <w:p w14:paraId="7EDD8562"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82BB93B" w14:textId="77777777" w:rsidR="0097545C" w:rsidRDefault="0097545C" w:rsidP="00E57BDB">
          <w:pPr>
            <w:spacing w:line="276" w:lineRule="auto"/>
            <w:jc w:val="right"/>
            <w:rPr>
              <w:rFonts w:ascii="Palatino Linotype" w:hAnsi="Palatino Linotype"/>
              <w:sz w:val="22"/>
              <w:szCs w:val="22"/>
            </w:rPr>
          </w:pPr>
          <w:r w:rsidRPr="00002E67">
            <w:rPr>
              <w:rFonts w:ascii="Palatino Linotype" w:hAnsi="Palatino Linotype"/>
              <w:sz w:val="22"/>
              <w:szCs w:val="22"/>
            </w:rPr>
            <w:t xml:space="preserve">Fiscalía General de Justicia </w:t>
          </w:r>
        </w:p>
        <w:p w14:paraId="13530095" w14:textId="106DB8A5" w:rsidR="0097545C" w:rsidRPr="0029071C" w:rsidRDefault="0097545C" w:rsidP="00002E67">
          <w:pPr>
            <w:spacing w:line="276" w:lineRule="auto"/>
            <w:jc w:val="right"/>
            <w:rPr>
              <w:rFonts w:ascii="Palatino Linotype" w:hAnsi="Palatino Linotype"/>
              <w:sz w:val="22"/>
              <w:szCs w:val="22"/>
            </w:rPr>
          </w:pPr>
          <w:r w:rsidRPr="00002E67">
            <w:rPr>
              <w:rFonts w:ascii="Palatino Linotype" w:hAnsi="Palatino Linotype"/>
              <w:sz w:val="22"/>
              <w:szCs w:val="22"/>
            </w:rPr>
            <w:t>del Estado de México</w:t>
          </w:r>
        </w:p>
      </w:tc>
    </w:tr>
    <w:tr w:rsidR="0097545C" w:rsidRPr="008F2CCC" w14:paraId="094E1284" w14:textId="77777777" w:rsidTr="00BA27FC">
      <w:tc>
        <w:tcPr>
          <w:tcW w:w="2551" w:type="dxa"/>
          <w:shd w:val="clear" w:color="auto" w:fill="auto"/>
          <w:vAlign w:val="center"/>
        </w:tcPr>
        <w:p w14:paraId="1E7706F2" w14:textId="77777777" w:rsidR="0097545C" w:rsidRPr="008F5DAE" w:rsidRDefault="009754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7523F2A" w14:textId="77777777" w:rsidR="0097545C" w:rsidRPr="0029071C" w:rsidRDefault="009754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7545C" w:rsidRPr="008F2CCC" w14:paraId="1E117846" w14:textId="77777777" w:rsidTr="00BA27FC">
      <w:tc>
        <w:tcPr>
          <w:tcW w:w="2551" w:type="dxa"/>
          <w:shd w:val="clear" w:color="auto" w:fill="auto"/>
          <w:vAlign w:val="center"/>
        </w:tcPr>
        <w:p w14:paraId="132906C8" w14:textId="77777777" w:rsidR="0097545C" w:rsidRPr="008F5DAE" w:rsidRDefault="0097545C"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7F5DC4F" w14:textId="77777777" w:rsidR="0097545C" w:rsidRPr="00BA27FC" w:rsidRDefault="0097545C" w:rsidP="00BA27FC">
          <w:pPr>
            <w:spacing w:line="276" w:lineRule="auto"/>
            <w:rPr>
              <w:rFonts w:ascii="Palatino Linotype" w:hAnsi="Palatino Linotype"/>
              <w:sz w:val="14"/>
              <w:szCs w:val="22"/>
              <w:lang w:val="es-ES_tradnl"/>
            </w:rPr>
          </w:pPr>
        </w:p>
      </w:tc>
    </w:tr>
  </w:tbl>
  <w:p w14:paraId="1F3FEA67" w14:textId="77777777" w:rsidR="0097545C" w:rsidRPr="009F1AB6" w:rsidRDefault="00D46366">
    <w:pPr>
      <w:pStyle w:val="Encabezado"/>
      <w:rPr>
        <w:sz w:val="10"/>
      </w:rPr>
    </w:pPr>
    <w:r>
      <w:rPr>
        <w:noProof/>
        <w:sz w:val="10"/>
        <w:lang w:val="es-MX" w:eastAsia="es-MX"/>
      </w:rPr>
      <w:pict w14:anchorId="4A8FB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1ACF"/>
      </v:shape>
    </w:pict>
  </w:numPicBullet>
  <w:abstractNum w:abstractNumId="0" w15:restartNumberingAfterBreak="0">
    <w:nsid w:val="065C19D3"/>
    <w:multiLevelType w:val="multilevel"/>
    <w:tmpl w:val="E09A3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65410"/>
    <w:multiLevelType w:val="multilevel"/>
    <w:tmpl w:val="6398274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A02641"/>
    <w:multiLevelType w:val="hybridMultilevel"/>
    <w:tmpl w:val="FD706BF2"/>
    <w:lvl w:ilvl="0" w:tplc="4F24AB2A">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6D1E0C"/>
    <w:multiLevelType w:val="hybridMultilevel"/>
    <w:tmpl w:val="CD746D24"/>
    <w:lvl w:ilvl="0" w:tplc="EC7865EE">
      <w:numFmt w:val="bullet"/>
      <w:lvlText w:val="-"/>
      <w:lvlJc w:val="left"/>
      <w:pPr>
        <w:ind w:left="927" w:hanging="360"/>
      </w:pPr>
      <w:rPr>
        <w:rFonts w:ascii="Palatino Linotype" w:eastAsia="MS Mincho" w:hAnsi="Palatino Linotype"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C40FA6"/>
    <w:multiLevelType w:val="hybridMultilevel"/>
    <w:tmpl w:val="E0E441DA"/>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631CA"/>
    <w:multiLevelType w:val="hybridMultilevel"/>
    <w:tmpl w:val="B5482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647753F"/>
    <w:multiLevelType w:val="hybridMultilevel"/>
    <w:tmpl w:val="8F86A1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42003D1F"/>
    <w:multiLevelType w:val="hybridMultilevel"/>
    <w:tmpl w:val="59AA2CF2"/>
    <w:lvl w:ilvl="0" w:tplc="48F663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0D595B"/>
    <w:multiLevelType w:val="hybridMultilevel"/>
    <w:tmpl w:val="D7F46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702F25"/>
    <w:multiLevelType w:val="hybridMultilevel"/>
    <w:tmpl w:val="771CF6B2"/>
    <w:lvl w:ilvl="0" w:tplc="CBB43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D77D3"/>
    <w:multiLevelType w:val="hybridMultilevel"/>
    <w:tmpl w:val="E0E441DA"/>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03604B"/>
    <w:multiLevelType w:val="hybridMultilevel"/>
    <w:tmpl w:val="18582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226D78"/>
    <w:multiLevelType w:val="hybridMultilevel"/>
    <w:tmpl w:val="D7F46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14739D"/>
    <w:multiLevelType w:val="multilevel"/>
    <w:tmpl w:val="2882577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902431"/>
    <w:multiLevelType w:val="hybridMultilevel"/>
    <w:tmpl w:val="D7F46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26014E"/>
    <w:multiLevelType w:val="hybridMultilevel"/>
    <w:tmpl w:val="93E43718"/>
    <w:lvl w:ilvl="0" w:tplc="1B4C962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CB6B76"/>
    <w:multiLevelType w:val="multilevel"/>
    <w:tmpl w:val="9F42475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866662"/>
    <w:multiLevelType w:val="hybridMultilevel"/>
    <w:tmpl w:val="0FFCA8DA"/>
    <w:lvl w:ilvl="0" w:tplc="0EFA0958">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955974"/>
    <w:multiLevelType w:val="hybridMultilevel"/>
    <w:tmpl w:val="DC5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417FF2"/>
    <w:multiLevelType w:val="hybridMultilevel"/>
    <w:tmpl w:val="B6EC3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713BA4"/>
    <w:multiLevelType w:val="hybridMultilevel"/>
    <w:tmpl w:val="E0E441DA"/>
    <w:lvl w:ilvl="0" w:tplc="9BA804D4">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0D7957"/>
    <w:multiLevelType w:val="multilevel"/>
    <w:tmpl w:val="89DE8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BB43EB"/>
    <w:multiLevelType w:val="multilevel"/>
    <w:tmpl w:val="ACBC3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12"/>
  </w:num>
  <w:num w:numId="3">
    <w:abstractNumId w:val="6"/>
  </w:num>
  <w:num w:numId="4">
    <w:abstractNumId w:val="28"/>
  </w:num>
  <w:num w:numId="5">
    <w:abstractNumId w:val="10"/>
  </w:num>
  <w:num w:numId="6">
    <w:abstractNumId w:val="8"/>
  </w:num>
  <w:num w:numId="7">
    <w:abstractNumId w:val="32"/>
  </w:num>
  <w:num w:numId="8">
    <w:abstractNumId w:val="3"/>
  </w:num>
  <w:num w:numId="9">
    <w:abstractNumId w:val="1"/>
  </w:num>
  <w:num w:numId="10">
    <w:abstractNumId w:val="27"/>
  </w:num>
  <w:num w:numId="11">
    <w:abstractNumId w:val="40"/>
  </w:num>
  <w:num w:numId="12">
    <w:abstractNumId w:val="16"/>
  </w:num>
  <w:num w:numId="13">
    <w:abstractNumId w:val="11"/>
  </w:num>
  <w:num w:numId="14">
    <w:abstractNumId w:val="26"/>
  </w:num>
  <w:num w:numId="15">
    <w:abstractNumId w:val="15"/>
  </w:num>
  <w:num w:numId="16">
    <w:abstractNumId w:val="24"/>
  </w:num>
  <w:num w:numId="17">
    <w:abstractNumId w:val="29"/>
  </w:num>
  <w:num w:numId="18">
    <w:abstractNumId w:val="21"/>
  </w:num>
  <w:num w:numId="19">
    <w:abstractNumId w:val="4"/>
  </w:num>
  <w:num w:numId="20">
    <w:abstractNumId w:val="35"/>
  </w:num>
  <w:num w:numId="21">
    <w:abstractNumId w:val="39"/>
  </w:num>
  <w:num w:numId="22">
    <w:abstractNumId w:val="13"/>
  </w:num>
  <w:num w:numId="23">
    <w:abstractNumId w:val="33"/>
  </w:num>
  <w:num w:numId="24">
    <w:abstractNumId w:val="17"/>
  </w:num>
  <w:num w:numId="25">
    <w:abstractNumId w:val="19"/>
  </w:num>
  <w:num w:numId="26">
    <w:abstractNumId w:val="0"/>
  </w:num>
  <w:num w:numId="27">
    <w:abstractNumId w:val="9"/>
  </w:num>
  <w:num w:numId="28">
    <w:abstractNumId w:val="2"/>
  </w:num>
  <w:num w:numId="29">
    <w:abstractNumId w:val="36"/>
  </w:num>
  <w:num w:numId="30">
    <w:abstractNumId w:val="38"/>
  </w:num>
  <w:num w:numId="31">
    <w:abstractNumId w:val="30"/>
  </w:num>
  <w:num w:numId="32">
    <w:abstractNumId w:val="23"/>
  </w:num>
  <w:num w:numId="33">
    <w:abstractNumId w:val="25"/>
  </w:num>
  <w:num w:numId="34">
    <w:abstractNumId w:val="34"/>
  </w:num>
  <w:num w:numId="35">
    <w:abstractNumId w:val="5"/>
  </w:num>
  <w:num w:numId="36">
    <w:abstractNumId w:val="22"/>
  </w:num>
  <w:num w:numId="37">
    <w:abstractNumId w:val="18"/>
  </w:num>
  <w:num w:numId="38">
    <w:abstractNumId w:val="14"/>
  </w:num>
  <w:num w:numId="39">
    <w:abstractNumId w:val="31"/>
  </w:num>
  <w:num w:numId="40">
    <w:abstractNumId w:val="20"/>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E67"/>
    <w:rsid w:val="0000611A"/>
    <w:rsid w:val="000120BC"/>
    <w:rsid w:val="000264B1"/>
    <w:rsid w:val="0002794C"/>
    <w:rsid w:val="00031EFF"/>
    <w:rsid w:val="00032D08"/>
    <w:rsid w:val="0003609F"/>
    <w:rsid w:val="00036F8B"/>
    <w:rsid w:val="00037D70"/>
    <w:rsid w:val="00054E04"/>
    <w:rsid w:val="000572E9"/>
    <w:rsid w:val="00070547"/>
    <w:rsid w:val="00071173"/>
    <w:rsid w:val="000775FC"/>
    <w:rsid w:val="0008712F"/>
    <w:rsid w:val="00087797"/>
    <w:rsid w:val="00093AE1"/>
    <w:rsid w:val="00094028"/>
    <w:rsid w:val="00095B5A"/>
    <w:rsid w:val="000A34BB"/>
    <w:rsid w:val="000A34BE"/>
    <w:rsid w:val="000A717C"/>
    <w:rsid w:val="000B5876"/>
    <w:rsid w:val="000B5E25"/>
    <w:rsid w:val="000B7C6C"/>
    <w:rsid w:val="000C43CE"/>
    <w:rsid w:val="000C49B8"/>
    <w:rsid w:val="000C512C"/>
    <w:rsid w:val="000C5FDF"/>
    <w:rsid w:val="000C615C"/>
    <w:rsid w:val="000D3AD4"/>
    <w:rsid w:val="000E592F"/>
    <w:rsid w:val="000E64B7"/>
    <w:rsid w:val="000F16BA"/>
    <w:rsid w:val="000F383F"/>
    <w:rsid w:val="000F7A25"/>
    <w:rsid w:val="000F7BD6"/>
    <w:rsid w:val="00100C2B"/>
    <w:rsid w:val="00101AD8"/>
    <w:rsid w:val="0010712B"/>
    <w:rsid w:val="00115B15"/>
    <w:rsid w:val="00115D8E"/>
    <w:rsid w:val="00123996"/>
    <w:rsid w:val="00124934"/>
    <w:rsid w:val="0012510D"/>
    <w:rsid w:val="0014397A"/>
    <w:rsid w:val="00143983"/>
    <w:rsid w:val="00143F6E"/>
    <w:rsid w:val="00151D4C"/>
    <w:rsid w:val="001558F3"/>
    <w:rsid w:val="00155CBF"/>
    <w:rsid w:val="00160DE4"/>
    <w:rsid w:val="00162DBE"/>
    <w:rsid w:val="00170AA7"/>
    <w:rsid w:val="00182EDF"/>
    <w:rsid w:val="00184176"/>
    <w:rsid w:val="00186CCB"/>
    <w:rsid w:val="00191418"/>
    <w:rsid w:val="0019170F"/>
    <w:rsid w:val="001A46ED"/>
    <w:rsid w:val="001A6109"/>
    <w:rsid w:val="001C054C"/>
    <w:rsid w:val="001C14AC"/>
    <w:rsid w:val="001C66B7"/>
    <w:rsid w:val="001D2DE0"/>
    <w:rsid w:val="001D4046"/>
    <w:rsid w:val="001D5495"/>
    <w:rsid w:val="001E2DA3"/>
    <w:rsid w:val="001E2F3D"/>
    <w:rsid w:val="001E45B5"/>
    <w:rsid w:val="001F1FCC"/>
    <w:rsid w:val="001F2305"/>
    <w:rsid w:val="0020249A"/>
    <w:rsid w:val="00202C04"/>
    <w:rsid w:val="002167BB"/>
    <w:rsid w:val="00217E6C"/>
    <w:rsid w:val="00225163"/>
    <w:rsid w:val="00225AA5"/>
    <w:rsid w:val="00235936"/>
    <w:rsid w:val="00236CBA"/>
    <w:rsid w:val="00240887"/>
    <w:rsid w:val="0024271A"/>
    <w:rsid w:val="0024323F"/>
    <w:rsid w:val="00247138"/>
    <w:rsid w:val="00255F1A"/>
    <w:rsid w:val="00261BC7"/>
    <w:rsid w:val="00267458"/>
    <w:rsid w:val="00267BB5"/>
    <w:rsid w:val="00274BB1"/>
    <w:rsid w:val="00275B11"/>
    <w:rsid w:val="00277A4D"/>
    <w:rsid w:val="00277C9E"/>
    <w:rsid w:val="0029071C"/>
    <w:rsid w:val="002926E5"/>
    <w:rsid w:val="002934B4"/>
    <w:rsid w:val="00293E78"/>
    <w:rsid w:val="00295B3F"/>
    <w:rsid w:val="00297475"/>
    <w:rsid w:val="002A040B"/>
    <w:rsid w:val="002A4B43"/>
    <w:rsid w:val="002A676F"/>
    <w:rsid w:val="002B48AD"/>
    <w:rsid w:val="002C0BE5"/>
    <w:rsid w:val="002C240F"/>
    <w:rsid w:val="002C2FDE"/>
    <w:rsid w:val="002D17B8"/>
    <w:rsid w:val="002D2614"/>
    <w:rsid w:val="002D32D2"/>
    <w:rsid w:val="002D3F7F"/>
    <w:rsid w:val="002D61F7"/>
    <w:rsid w:val="002D6656"/>
    <w:rsid w:val="002D6E4B"/>
    <w:rsid w:val="002E3085"/>
    <w:rsid w:val="002F3B20"/>
    <w:rsid w:val="002F6B68"/>
    <w:rsid w:val="00307006"/>
    <w:rsid w:val="0030701F"/>
    <w:rsid w:val="0031309A"/>
    <w:rsid w:val="00314E62"/>
    <w:rsid w:val="00320F38"/>
    <w:rsid w:val="00326B44"/>
    <w:rsid w:val="00330FC3"/>
    <w:rsid w:val="00331E82"/>
    <w:rsid w:val="00340A06"/>
    <w:rsid w:val="00343F0B"/>
    <w:rsid w:val="00347EEB"/>
    <w:rsid w:val="003520C5"/>
    <w:rsid w:val="00352879"/>
    <w:rsid w:val="0035559A"/>
    <w:rsid w:val="00362C39"/>
    <w:rsid w:val="0036414A"/>
    <w:rsid w:val="003645FC"/>
    <w:rsid w:val="00371835"/>
    <w:rsid w:val="003746DE"/>
    <w:rsid w:val="00374B94"/>
    <w:rsid w:val="003804E8"/>
    <w:rsid w:val="00380D3E"/>
    <w:rsid w:val="003823E3"/>
    <w:rsid w:val="003851A4"/>
    <w:rsid w:val="00385416"/>
    <w:rsid w:val="00386D38"/>
    <w:rsid w:val="00387CCE"/>
    <w:rsid w:val="00396DB6"/>
    <w:rsid w:val="00397ADA"/>
    <w:rsid w:val="003A40A2"/>
    <w:rsid w:val="003B1C85"/>
    <w:rsid w:val="003B70B0"/>
    <w:rsid w:val="003C5D98"/>
    <w:rsid w:val="003C6E1C"/>
    <w:rsid w:val="003D1214"/>
    <w:rsid w:val="003D2159"/>
    <w:rsid w:val="003E1CB6"/>
    <w:rsid w:val="003E21A7"/>
    <w:rsid w:val="003E2221"/>
    <w:rsid w:val="003E56C9"/>
    <w:rsid w:val="003E72BC"/>
    <w:rsid w:val="004018F9"/>
    <w:rsid w:val="00407CE5"/>
    <w:rsid w:val="00421CB6"/>
    <w:rsid w:val="00425E0F"/>
    <w:rsid w:val="00430981"/>
    <w:rsid w:val="004309A2"/>
    <w:rsid w:val="004344EA"/>
    <w:rsid w:val="0043515A"/>
    <w:rsid w:val="00436194"/>
    <w:rsid w:val="004403F7"/>
    <w:rsid w:val="00442FD8"/>
    <w:rsid w:val="00443892"/>
    <w:rsid w:val="00443920"/>
    <w:rsid w:val="004445A1"/>
    <w:rsid w:val="00445CAA"/>
    <w:rsid w:val="0045097B"/>
    <w:rsid w:val="004509C5"/>
    <w:rsid w:val="00455031"/>
    <w:rsid w:val="004612A5"/>
    <w:rsid w:val="004622AB"/>
    <w:rsid w:val="004672ED"/>
    <w:rsid w:val="00471919"/>
    <w:rsid w:val="0047330D"/>
    <w:rsid w:val="004835A2"/>
    <w:rsid w:val="00486C4B"/>
    <w:rsid w:val="004A0B63"/>
    <w:rsid w:val="004B2314"/>
    <w:rsid w:val="004B3D54"/>
    <w:rsid w:val="004B6F56"/>
    <w:rsid w:val="004C7B47"/>
    <w:rsid w:val="004D18B6"/>
    <w:rsid w:val="004D35C9"/>
    <w:rsid w:val="004D5D2F"/>
    <w:rsid w:val="004D6F71"/>
    <w:rsid w:val="004D76D6"/>
    <w:rsid w:val="004E48A3"/>
    <w:rsid w:val="004E5628"/>
    <w:rsid w:val="004E6520"/>
    <w:rsid w:val="004E76E0"/>
    <w:rsid w:val="004F0A83"/>
    <w:rsid w:val="004F5E38"/>
    <w:rsid w:val="00500A83"/>
    <w:rsid w:val="00500B82"/>
    <w:rsid w:val="0050130E"/>
    <w:rsid w:val="0050243E"/>
    <w:rsid w:val="005110A5"/>
    <w:rsid w:val="005203E9"/>
    <w:rsid w:val="00522DFA"/>
    <w:rsid w:val="005239DB"/>
    <w:rsid w:val="00524A8D"/>
    <w:rsid w:val="00532E30"/>
    <w:rsid w:val="0054391A"/>
    <w:rsid w:val="00553D79"/>
    <w:rsid w:val="00555C87"/>
    <w:rsid w:val="00563B39"/>
    <w:rsid w:val="0056664C"/>
    <w:rsid w:val="0056737E"/>
    <w:rsid w:val="0057289F"/>
    <w:rsid w:val="005729E2"/>
    <w:rsid w:val="00572EEA"/>
    <w:rsid w:val="00574FDC"/>
    <w:rsid w:val="005769F1"/>
    <w:rsid w:val="00581DC8"/>
    <w:rsid w:val="0059032F"/>
    <w:rsid w:val="0059614C"/>
    <w:rsid w:val="00597D71"/>
    <w:rsid w:val="005A19C5"/>
    <w:rsid w:val="005A6216"/>
    <w:rsid w:val="005B0692"/>
    <w:rsid w:val="005B234D"/>
    <w:rsid w:val="005B26AD"/>
    <w:rsid w:val="005B2CAF"/>
    <w:rsid w:val="005B36A8"/>
    <w:rsid w:val="005B5693"/>
    <w:rsid w:val="005C6646"/>
    <w:rsid w:val="005D77CC"/>
    <w:rsid w:val="005D7A27"/>
    <w:rsid w:val="005E09AB"/>
    <w:rsid w:val="005E3EB6"/>
    <w:rsid w:val="005E5716"/>
    <w:rsid w:val="005F1F89"/>
    <w:rsid w:val="005F4BFB"/>
    <w:rsid w:val="005F74BD"/>
    <w:rsid w:val="006000C5"/>
    <w:rsid w:val="006002E0"/>
    <w:rsid w:val="00617956"/>
    <w:rsid w:val="00620280"/>
    <w:rsid w:val="0062211D"/>
    <w:rsid w:val="0062349E"/>
    <w:rsid w:val="006258FD"/>
    <w:rsid w:val="00632E48"/>
    <w:rsid w:val="00640312"/>
    <w:rsid w:val="00640D42"/>
    <w:rsid w:val="00643B58"/>
    <w:rsid w:val="00644822"/>
    <w:rsid w:val="00644D13"/>
    <w:rsid w:val="00646F1E"/>
    <w:rsid w:val="00650F75"/>
    <w:rsid w:val="0065350C"/>
    <w:rsid w:val="00654BE0"/>
    <w:rsid w:val="00676631"/>
    <w:rsid w:val="0068081B"/>
    <w:rsid w:val="006810FF"/>
    <w:rsid w:val="00684CB2"/>
    <w:rsid w:val="00694976"/>
    <w:rsid w:val="006A0D76"/>
    <w:rsid w:val="006A2933"/>
    <w:rsid w:val="006A6254"/>
    <w:rsid w:val="006A6E76"/>
    <w:rsid w:val="006B321A"/>
    <w:rsid w:val="006B418F"/>
    <w:rsid w:val="006C3931"/>
    <w:rsid w:val="006C7022"/>
    <w:rsid w:val="006D1713"/>
    <w:rsid w:val="006D30E6"/>
    <w:rsid w:val="006D3A03"/>
    <w:rsid w:val="006E08FA"/>
    <w:rsid w:val="006E300E"/>
    <w:rsid w:val="006E3370"/>
    <w:rsid w:val="006E527A"/>
    <w:rsid w:val="006F5F93"/>
    <w:rsid w:val="006F7EF2"/>
    <w:rsid w:val="00710FED"/>
    <w:rsid w:val="00716632"/>
    <w:rsid w:val="00717A0C"/>
    <w:rsid w:val="007237B8"/>
    <w:rsid w:val="0072658E"/>
    <w:rsid w:val="00732345"/>
    <w:rsid w:val="00743C53"/>
    <w:rsid w:val="007532C7"/>
    <w:rsid w:val="00756F04"/>
    <w:rsid w:val="00757D60"/>
    <w:rsid w:val="00761AC9"/>
    <w:rsid w:val="00762AA9"/>
    <w:rsid w:val="007637CE"/>
    <w:rsid w:val="00767981"/>
    <w:rsid w:val="00770F18"/>
    <w:rsid w:val="007764BB"/>
    <w:rsid w:val="00781B55"/>
    <w:rsid w:val="007828DC"/>
    <w:rsid w:val="00790167"/>
    <w:rsid w:val="007A118C"/>
    <w:rsid w:val="007A377A"/>
    <w:rsid w:val="007A37FE"/>
    <w:rsid w:val="007A3CC6"/>
    <w:rsid w:val="007B2189"/>
    <w:rsid w:val="007C1D5B"/>
    <w:rsid w:val="007C285B"/>
    <w:rsid w:val="007C3435"/>
    <w:rsid w:val="007C35A4"/>
    <w:rsid w:val="007C3E46"/>
    <w:rsid w:val="007C4E16"/>
    <w:rsid w:val="007C5E03"/>
    <w:rsid w:val="007C5E96"/>
    <w:rsid w:val="007D2A81"/>
    <w:rsid w:val="007E2456"/>
    <w:rsid w:val="007E52D5"/>
    <w:rsid w:val="007E534B"/>
    <w:rsid w:val="007E7C02"/>
    <w:rsid w:val="007F3E5A"/>
    <w:rsid w:val="007F55E7"/>
    <w:rsid w:val="007F7462"/>
    <w:rsid w:val="00800A80"/>
    <w:rsid w:val="0080764A"/>
    <w:rsid w:val="00810D67"/>
    <w:rsid w:val="00811065"/>
    <w:rsid w:val="00814FA1"/>
    <w:rsid w:val="0081709C"/>
    <w:rsid w:val="00835035"/>
    <w:rsid w:val="00843F80"/>
    <w:rsid w:val="00845AE9"/>
    <w:rsid w:val="008500D3"/>
    <w:rsid w:val="00852668"/>
    <w:rsid w:val="008578BF"/>
    <w:rsid w:val="008660D6"/>
    <w:rsid w:val="00867B96"/>
    <w:rsid w:val="008803EF"/>
    <w:rsid w:val="0088341E"/>
    <w:rsid w:val="00887E17"/>
    <w:rsid w:val="00896891"/>
    <w:rsid w:val="00896D29"/>
    <w:rsid w:val="00897699"/>
    <w:rsid w:val="008A12CF"/>
    <w:rsid w:val="008A1A90"/>
    <w:rsid w:val="008A64CB"/>
    <w:rsid w:val="008B082B"/>
    <w:rsid w:val="008B1216"/>
    <w:rsid w:val="008B14F6"/>
    <w:rsid w:val="008B42ED"/>
    <w:rsid w:val="008B4E0F"/>
    <w:rsid w:val="008B6546"/>
    <w:rsid w:val="008C3B24"/>
    <w:rsid w:val="008D625B"/>
    <w:rsid w:val="008E01E4"/>
    <w:rsid w:val="008E7F32"/>
    <w:rsid w:val="008F0627"/>
    <w:rsid w:val="008F148C"/>
    <w:rsid w:val="008F5DAE"/>
    <w:rsid w:val="00900C9B"/>
    <w:rsid w:val="00901487"/>
    <w:rsid w:val="00914429"/>
    <w:rsid w:val="00921551"/>
    <w:rsid w:val="009217E8"/>
    <w:rsid w:val="00925B0B"/>
    <w:rsid w:val="0092622F"/>
    <w:rsid w:val="00926C44"/>
    <w:rsid w:val="0093645B"/>
    <w:rsid w:val="00940BE4"/>
    <w:rsid w:val="0094381A"/>
    <w:rsid w:val="00951FBF"/>
    <w:rsid w:val="00961002"/>
    <w:rsid w:val="00961370"/>
    <w:rsid w:val="00964569"/>
    <w:rsid w:val="0097176F"/>
    <w:rsid w:val="00973D62"/>
    <w:rsid w:val="00973EC7"/>
    <w:rsid w:val="0097545C"/>
    <w:rsid w:val="009758CB"/>
    <w:rsid w:val="00980909"/>
    <w:rsid w:val="00993406"/>
    <w:rsid w:val="0099368F"/>
    <w:rsid w:val="00994DBB"/>
    <w:rsid w:val="009A0F77"/>
    <w:rsid w:val="009A5223"/>
    <w:rsid w:val="009A6B97"/>
    <w:rsid w:val="009A6D6A"/>
    <w:rsid w:val="009B23B7"/>
    <w:rsid w:val="009B2B6B"/>
    <w:rsid w:val="009B4F58"/>
    <w:rsid w:val="009B5D8D"/>
    <w:rsid w:val="009B6126"/>
    <w:rsid w:val="009C5C70"/>
    <w:rsid w:val="009D1406"/>
    <w:rsid w:val="009D18C2"/>
    <w:rsid w:val="009D2E87"/>
    <w:rsid w:val="009D39B3"/>
    <w:rsid w:val="009D7E06"/>
    <w:rsid w:val="009E0C45"/>
    <w:rsid w:val="009E0E89"/>
    <w:rsid w:val="009E1F26"/>
    <w:rsid w:val="009E3A2B"/>
    <w:rsid w:val="009F15BF"/>
    <w:rsid w:val="009F4FF4"/>
    <w:rsid w:val="009F62C3"/>
    <w:rsid w:val="009F71DC"/>
    <w:rsid w:val="00A0100D"/>
    <w:rsid w:val="00A05133"/>
    <w:rsid w:val="00A05D3A"/>
    <w:rsid w:val="00A16F28"/>
    <w:rsid w:val="00A23426"/>
    <w:rsid w:val="00A24BB9"/>
    <w:rsid w:val="00A2560A"/>
    <w:rsid w:val="00A26BD8"/>
    <w:rsid w:val="00A32EE4"/>
    <w:rsid w:val="00A3432D"/>
    <w:rsid w:val="00A50767"/>
    <w:rsid w:val="00A5260D"/>
    <w:rsid w:val="00A54C18"/>
    <w:rsid w:val="00A6692F"/>
    <w:rsid w:val="00A6775F"/>
    <w:rsid w:val="00A70575"/>
    <w:rsid w:val="00A72262"/>
    <w:rsid w:val="00A7773A"/>
    <w:rsid w:val="00A83B4F"/>
    <w:rsid w:val="00A9389D"/>
    <w:rsid w:val="00A97381"/>
    <w:rsid w:val="00AA1194"/>
    <w:rsid w:val="00AA26B4"/>
    <w:rsid w:val="00AB15E3"/>
    <w:rsid w:val="00AB4982"/>
    <w:rsid w:val="00AC3DB9"/>
    <w:rsid w:val="00AC687D"/>
    <w:rsid w:val="00AD16CA"/>
    <w:rsid w:val="00AD33BE"/>
    <w:rsid w:val="00AE1A47"/>
    <w:rsid w:val="00AE24C1"/>
    <w:rsid w:val="00AE4E04"/>
    <w:rsid w:val="00AE5448"/>
    <w:rsid w:val="00AE5995"/>
    <w:rsid w:val="00AE6704"/>
    <w:rsid w:val="00AE78CA"/>
    <w:rsid w:val="00AF1C0E"/>
    <w:rsid w:val="00AF4A72"/>
    <w:rsid w:val="00B01BD5"/>
    <w:rsid w:val="00B04476"/>
    <w:rsid w:val="00B05B83"/>
    <w:rsid w:val="00B07EBD"/>
    <w:rsid w:val="00B11C8E"/>
    <w:rsid w:val="00B17992"/>
    <w:rsid w:val="00B20C2B"/>
    <w:rsid w:val="00B23344"/>
    <w:rsid w:val="00B24B11"/>
    <w:rsid w:val="00B250D7"/>
    <w:rsid w:val="00B25A66"/>
    <w:rsid w:val="00B309E3"/>
    <w:rsid w:val="00B31853"/>
    <w:rsid w:val="00B33F9E"/>
    <w:rsid w:val="00B36260"/>
    <w:rsid w:val="00B50B07"/>
    <w:rsid w:val="00B57219"/>
    <w:rsid w:val="00B579E5"/>
    <w:rsid w:val="00B642EC"/>
    <w:rsid w:val="00B6659F"/>
    <w:rsid w:val="00B66F84"/>
    <w:rsid w:val="00B71058"/>
    <w:rsid w:val="00B8098B"/>
    <w:rsid w:val="00B80C9E"/>
    <w:rsid w:val="00B83E10"/>
    <w:rsid w:val="00B85697"/>
    <w:rsid w:val="00B85F29"/>
    <w:rsid w:val="00B911AF"/>
    <w:rsid w:val="00B96A17"/>
    <w:rsid w:val="00BA0F27"/>
    <w:rsid w:val="00BA27FC"/>
    <w:rsid w:val="00BA43DC"/>
    <w:rsid w:val="00BB05C4"/>
    <w:rsid w:val="00BB06D2"/>
    <w:rsid w:val="00BB134B"/>
    <w:rsid w:val="00BB3B8B"/>
    <w:rsid w:val="00BC0CFA"/>
    <w:rsid w:val="00BC462B"/>
    <w:rsid w:val="00BC6E53"/>
    <w:rsid w:val="00BD14B3"/>
    <w:rsid w:val="00BD677A"/>
    <w:rsid w:val="00BD74AF"/>
    <w:rsid w:val="00BD7FA2"/>
    <w:rsid w:val="00BE0190"/>
    <w:rsid w:val="00BE233B"/>
    <w:rsid w:val="00BE7172"/>
    <w:rsid w:val="00BE7A6E"/>
    <w:rsid w:val="00BF6E0F"/>
    <w:rsid w:val="00C0414E"/>
    <w:rsid w:val="00C058C8"/>
    <w:rsid w:val="00C112A4"/>
    <w:rsid w:val="00C172FE"/>
    <w:rsid w:val="00C20F80"/>
    <w:rsid w:val="00C23A37"/>
    <w:rsid w:val="00C249A6"/>
    <w:rsid w:val="00C30A78"/>
    <w:rsid w:val="00C3621F"/>
    <w:rsid w:val="00C41F95"/>
    <w:rsid w:val="00C4326C"/>
    <w:rsid w:val="00C43606"/>
    <w:rsid w:val="00C56DD5"/>
    <w:rsid w:val="00C63F7B"/>
    <w:rsid w:val="00C6588E"/>
    <w:rsid w:val="00C70447"/>
    <w:rsid w:val="00C715A7"/>
    <w:rsid w:val="00C753C2"/>
    <w:rsid w:val="00C802FB"/>
    <w:rsid w:val="00C85653"/>
    <w:rsid w:val="00C8746D"/>
    <w:rsid w:val="00C93A9A"/>
    <w:rsid w:val="00C9669A"/>
    <w:rsid w:val="00CA216C"/>
    <w:rsid w:val="00CA4BF9"/>
    <w:rsid w:val="00CB26DE"/>
    <w:rsid w:val="00CB4E28"/>
    <w:rsid w:val="00CC0700"/>
    <w:rsid w:val="00CC0B81"/>
    <w:rsid w:val="00CC2630"/>
    <w:rsid w:val="00CD024D"/>
    <w:rsid w:val="00CD3A41"/>
    <w:rsid w:val="00CD431E"/>
    <w:rsid w:val="00CE1807"/>
    <w:rsid w:val="00CE1C82"/>
    <w:rsid w:val="00CE1E72"/>
    <w:rsid w:val="00CE51D0"/>
    <w:rsid w:val="00CE53C1"/>
    <w:rsid w:val="00CF1DF5"/>
    <w:rsid w:val="00CF6512"/>
    <w:rsid w:val="00CF7FBE"/>
    <w:rsid w:val="00D0027F"/>
    <w:rsid w:val="00D01A63"/>
    <w:rsid w:val="00D12C36"/>
    <w:rsid w:val="00D17375"/>
    <w:rsid w:val="00D21ECE"/>
    <w:rsid w:val="00D27727"/>
    <w:rsid w:val="00D33EB5"/>
    <w:rsid w:val="00D4431A"/>
    <w:rsid w:val="00D46366"/>
    <w:rsid w:val="00D553D4"/>
    <w:rsid w:val="00D57210"/>
    <w:rsid w:val="00D5787C"/>
    <w:rsid w:val="00D57AED"/>
    <w:rsid w:val="00D57F74"/>
    <w:rsid w:val="00D630FA"/>
    <w:rsid w:val="00D65431"/>
    <w:rsid w:val="00D72E75"/>
    <w:rsid w:val="00D73EE3"/>
    <w:rsid w:val="00D901D7"/>
    <w:rsid w:val="00D92BFE"/>
    <w:rsid w:val="00DB1371"/>
    <w:rsid w:val="00DB244B"/>
    <w:rsid w:val="00DB300E"/>
    <w:rsid w:val="00DB41E7"/>
    <w:rsid w:val="00DC1583"/>
    <w:rsid w:val="00DC2B31"/>
    <w:rsid w:val="00DC3D4C"/>
    <w:rsid w:val="00DC46C2"/>
    <w:rsid w:val="00DD1866"/>
    <w:rsid w:val="00DD1DA7"/>
    <w:rsid w:val="00DD5A69"/>
    <w:rsid w:val="00DE0A8D"/>
    <w:rsid w:val="00DE562A"/>
    <w:rsid w:val="00DE7148"/>
    <w:rsid w:val="00DF22DF"/>
    <w:rsid w:val="00DF233A"/>
    <w:rsid w:val="00DF4689"/>
    <w:rsid w:val="00DF62A4"/>
    <w:rsid w:val="00E00D15"/>
    <w:rsid w:val="00E04E4C"/>
    <w:rsid w:val="00E0696F"/>
    <w:rsid w:val="00E11B18"/>
    <w:rsid w:val="00E1234C"/>
    <w:rsid w:val="00E24B9B"/>
    <w:rsid w:val="00E250C8"/>
    <w:rsid w:val="00E303A4"/>
    <w:rsid w:val="00E341AD"/>
    <w:rsid w:val="00E40828"/>
    <w:rsid w:val="00E42B2B"/>
    <w:rsid w:val="00E5647F"/>
    <w:rsid w:val="00E57BDB"/>
    <w:rsid w:val="00E60444"/>
    <w:rsid w:val="00E625D3"/>
    <w:rsid w:val="00E64675"/>
    <w:rsid w:val="00E65F37"/>
    <w:rsid w:val="00E707BE"/>
    <w:rsid w:val="00E70B77"/>
    <w:rsid w:val="00E711DE"/>
    <w:rsid w:val="00E74543"/>
    <w:rsid w:val="00E74701"/>
    <w:rsid w:val="00E75E5F"/>
    <w:rsid w:val="00E77A4B"/>
    <w:rsid w:val="00E823B8"/>
    <w:rsid w:val="00E85E17"/>
    <w:rsid w:val="00E9091C"/>
    <w:rsid w:val="00E913B0"/>
    <w:rsid w:val="00E93BB3"/>
    <w:rsid w:val="00E94A09"/>
    <w:rsid w:val="00E9680B"/>
    <w:rsid w:val="00EA0E97"/>
    <w:rsid w:val="00EA21B0"/>
    <w:rsid w:val="00EA46CC"/>
    <w:rsid w:val="00EA49B9"/>
    <w:rsid w:val="00EA5AA1"/>
    <w:rsid w:val="00EA61B9"/>
    <w:rsid w:val="00EA7BF4"/>
    <w:rsid w:val="00EB3989"/>
    <w:rsid w:val="00EB6C62"/>
    <w:rsid w:val="00EC4100"/>
    <w:rsid w:val="00EC4295"/>
    <w:rsid w:val="00EC6154"/>
    <w:rsid w:val="00EC6C4E"/>
    <w:rsid w:val="00EC7868"/>
    <w:rsid w:val="00ED6373"/>
    <w:rsid w:val="00EE1844"/>
    <w:rsid w:val="00EE2FB1"/>
    <w:rsid w:val="00EE4D9C"/>
    <w:rsid w:val="00EE515E"/>
    <w:rsid w:val="00EE571A"/>
    <w:rsid w:val="00EE6265"/>
    <w:rsid w:val="00EE7518"/>
    <w:rsid w:val="00EE7713"/>
    <w:rsid w:val="00EF193B"/>
    <w:rsid w:val="00F038AB"/>
    <w:rsid w:val="00F04815"/>
    <w:rsid w:val="00F13E63"/>
    <w:rsid w:val="00F15C00"/>
    <w:rsid w:val="00F241AD"/>
    <w:rsid w:val="00F30C1D"/>
    <w:rsid w:val="00F30C33"/>
    <w:rsid w:val="00F32EBF"/>
    <w:rsid w:val="00F34A32"/>
    <w:rsid w:val="00F43C13"/>
    <w:rsid w:val="00F455F1"/>
    <w:rsid w:val="00F45966"/>
    <w:rsid w:val="00F52049"/>
    <w:rsid w:val="00F570D3"/>
    <w:rsid w:val="00F606C6"/>
    <w:rsid w:val="00F62221"/>
    <w:rsid w:val="00F628E1"/>
    <w:rsid w:val="00F700A7"/>
    <w:rsid w:val="00F712EE"/>
    <w:rsid w:val="00F73BB1"/>
    <w:rsid w:val="00F8513C"/>
    <w:rsid w:val="00F860A7"/>
    <w:rsid w:val="00F930F7"/>
    <w:rsid w:val="00F97C38"/>
    <w:rsid w:val="00FA7ED5"/>
    <w:rsid w:val="00FB5CCE"/>
    <w:rsid w:val="00FB7AFE"/>
    <w:rsid w:val="00FC0DAE"/>
    <w:rsid w:val="00FC1FC5"/>
    <w:rsid w:val="00FC2116"/>
    <w:rsid w:val="00FC67E0"/>
    <w:rsid w:val="00FC6F08"/>
    <w:rsid w:val="00FC7CC7"/>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63876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64675"/>
    <w:rPr>
      <w:color w:val="605E5C"/>
      <w:shd w:val="clear" w:color="auto" w:fill="E1DFDD"/>
    </w:rPr>
  </w:style>
  <w:style w:type="character" w:customStyle="1" w:styleId="Mencinsinresolver6">
    <w:name w:val="Mención sin resolver6"/>
    <w:basedOn w:val="Fuentedeprrafopredeter"/>
    <w:uiPriority w:val="99"/>
    <w:semiHidden/>
    <w:unhideWhenUsed/>
    <w:rsid w:val="0065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269">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EDF9D-1795-414B-A39D-4B86AFB1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63</Pages>
  <Words>17381</Words>
  <Characters>95596</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2024-10-15T01:07:00Z</dcterms:created>
  <dcterms:modified xsi:type="dcterms:W3CDTF">2024-11-26T15:08:00Z</dcterms:modified>
</cp:coreProperties>
</file>