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CAA5" w14:textId="054805D3" w:rsidR="00E61C9D" w:rsidRPr="00EC5A4C" w:rsidRDefault="00737761"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1854B7" w:rsidRPr="00EC5A4C">
        <w:rPr>
          <w:rFonts w:ascii="Palatino Linotype" w:eastAsia="Palatino Linotype" w:hAnsi="Palatino Linotype" w:cs="Palatino Linotype"/>
        </w:rPr>
        <w:t>veintiuno</w:t>
      </w:r>
      <w:r w:rsidR="001860D5" w:rsidRPr="00EC5A4C">
        <w:rPr>
          <w:rFonts w:ascii="Palatino Linotype" w:eastAsia="Palatino Linotype" w:hAnsi="Palatino Linotype" w:cs="Palatino Linotype"/>
        </w:rPr>
        <w:t xml:space="preserve"> de noviembre</w:t>
      </w:r>
      <w:r w:rsidR="004B0EE9"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rPr>
        <w:t xml:space="preserve">de dos mil veinticuatro. </w:t>
      </w:r>
    </w:p>
    <w:p w14:paraId="5E551254" w14:textId="77777777" w:rsidR="00E61C9D" w:rsidRPr="00EC5A4C" w:rsidRDefault="00E61C9D" w:rsidP="002F2F23">
      <w:pPr>
        <w:spacing w:after="0" w:line="360" w:lineRule="auto"/>
        <w:ind w:right="49"/>
        <w:jc w:val="center"/>
        <w:rPr>
          <w:rFonts w:ascii="Palatino Linotype" w:eastAsia="Palatino Linotype" w:hAnsi="Palatino Linotype" w:cs="Palatino Linotype"/>
        </w:rPr>
      </w:pPr>
    </w:p>
    <w:p w14:paraId="00ACFA0F" w14:textId="42356977" w:rsidR="00E61C9D" w:rsidRPr="00EC5A4C" w:rsidRDefault="00737761"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VISTOS </w:t>
      </w:r>
      <w:r w:rsidRPr="00EC5A4C">
        <w:rPr>
          <w:rFonts w:ascii="Palatino Linotype" w:eastAsia="Palatino Linotype" w:hAnsi="Palatino Linotype" w:cs="Palatino Linotype"/>
        </w:rPr>
        <w:t xml:space="preserve">los expedientes relativos a los recursos de revisión </w:t>
      </w:r>
      <w:r w:rsidRPr="00EC5A4C">
        <w:rPr>
          <w:rFonts w:ascii="Palatino Linotype" w:eastAsia="Palatino Linotype" w:hAnsi="Palatino Linotype" w:cs="Palatino Linotype"/>
          <w:b/>
        </w:rPr>
        <w:t>0</w:t>
      </w:r>
      <w:r w:rsidR="001860D5" w:rsidRPr="00EC5A4C">
        <w:rPr>
          <w:rFonts w:ascii="Palatino Linotype" w:eastAsia="Palatino Linotype" w:hAnsi="Palatino Linotype" w:cs="Palatino Linotype"/>
          <w:b/>
        </w:rPr>
        <w:t>6504</w:t>
      </w:r>
      <w:r w:rsidRPr="00EC5A4C">
        <w:rPr>
          <w:rFonts w:ascii="Palatino Linotype" w:eastAsia="Palatino Linotype" w:hAnsi="Palatino Linotype" w:cs="Palatino Linotype"/>
          <w:b/>
        </w:rPr>
        <w:t>/INFOEM/IP/RR/2024</w:t>
      </w:r>
      <w:r w:rsidR="001860D5" w:rsidRPr="00EC5A4C">
        <w:rPr>
          <w:rFonts w:ascii="Palatino Linotype" w:eastAsia="Palatino Linotype" w:hAnsi="Palatino Linotype" w:cs="Palatino Linotype"/>
        </w:rPr>
        <w:t xml:space="preserve">, </w:t>
      </w:r>
      <w:r w:rsidR="001860D5" w:rsidRPr="00EC5A4C">
        <w:rPr>
          <w:rFonts w:ascii="Palatino Linotype" w:eastAsia="Palatino Linotype" w:hAnsi="Palatino Linotype" w:cs="Palatino Linotype"/>
          <w:b/>
        </w:rPr>
        <w:t>06505/INFOEM/IP/RR/2024</w:t>
      </w:r>
      <w:r w:rsidR="001860D5" w:rsidRPr="00EC5A4C">
        <w:rPr>
          <w:rFonts w:ascii="Palatino Linotype" w:eastAsia="Palatino Linotype" w:hAnsi="Palatino Linotype" w:cs="Palatino Linotype"/>
        </w:rPr>
        <w:t xml:space="preserve"> </w:t>
      </w:r>
      <w:r w:rsidR="006D6D29" w:rsidRPr="00EC5A4C">
        <w:rPr>
          <w:rFonts w:ascii="Palatino Linotype" w:eastAsia="Palatino Linotype" w:hAnsi="Palatino Linotype" w:cs="Palatino Linotype"/>
          <w:b/>
        </w:rPr>
        <w:t xml:space="preserve">y </w:t>
      </w:r>
      <w:r w:rsidR="001860D5" w:rsidRPr="00EC5A4C">
        <w:rPr>
          <w:rFonts w:ascii="Palatino Linotype" w:eastAsia="Palatino Linotype" w:hAnsi="Palatino Linotype" w:cs="Palatino Linotype"/>
          <w:b/>
        </w:rPr>
        <w:t>06508/INFOEM/IP/RR/2024</w:t>
      </w:r>
      <w:r w:rsidR="001860D5"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 xml:space="preserve">acumulados, </w:t>
      </w:r>
      <w:r w:rsidRPr="00EC5A4C">
        <w:rPr>
          <w:rFonts w:ascii="Palatino Linotype" w:eastAsia="Palatino Linotype" w:hAnsi="Palatino Linotype" w:cs="Palatino Linotype"/>
        </w:rPr>
        <w:t xml:space="preserve">interpuestos por </w:t>
      </w:r>
      <w:r w:rsidR="008715BF" w:rsidRPr="008715BF">
        <w:rPr>
          <w:rFonts w:ascii="Palatino Linotype" w:eastAsia="Palatino Linotype" w:hAnsi="Palatino Linotype" w:cs="Palatino Linotype"/>
          <w:b/>
        </w:rPr>
        <w:t>XXXXXX XXXXXXX XXXXX  XXXXXXXXXX</w:t>
      </w:r>
      <w:r w:rsidRPr="00EC5A4C">
        <w:rPr>
          <w:rFonts w:ascii="Palatino Linotype" w:eastAsia="Palatino Linotype" w:hAnsi="Palatino Linotype" w:cs="Palatino Linotype"/>
        </w:rPr>
        <w:t xml:space="preserve">, en lo sucesivo la parte </w:t>
      </w:r>
      <w:r w:rsidRPr="00EC5A4C">
        <w:rPr>
          <w:rFonts w:ascii="Palatino Linotype" w:eastAsia="Palatino Linotype" w:hAnsi="Palatino Linotype" w:cs="Palatino Linotype"/>
          <w:b/>
        </w:rPr>
        <w:t>Recurrente</w:t>
      </w:r>
      <w:r w:rsidRPr="00EC5A4C">
        <w:rPr>
          <w:rFonts w:ascii="Palatino Linotype" w:eastAsia="Palatino Linotype" w:hAnsi="Palatino Linotype" w:cs="Palatino Linotype"/>
        </w:rPr>
        <w:t>, en contra de la respuesta</w:t>
      </w:r>
      <w:r w:rsidR="00715BC6" w:rsidRPr="00EC5A4C">
        <w:rPr>
          <w:rFonts w:ascii="Palatino Linotype" w:eastAsia="Palatino Linotype" w:hAnsi="Palatino Linotype" w:cs="Palatino Linotype"/>
        </w:rPr>
        <w:t xml:space="preserve"> a</w:t>
      </w:r>
      <w:r w:rsidRPr="00EC5A4C">
        <w:rPr>
          <w:rFonts w:ascii="Palatino Linotype" w:eastAsia="Palatino Linotype" w:hAnsi="Palatino Linotype" w:cs="Palatino Linotype"/>
        </w:rPr>
        <w:t xml:space="preserve"> sus solicitu</w:t>
      </w:r>
      <w:r w:rsidR="001860D5" w:rsidRPr="00EC5A4C">
        <w:rPr>
          <w:rFonts w:ascii="Palatino Linotype" w:eastAsia="Palatino Linotype" w:hAnsi="Palatino Linotype" w:cs="Palatino Linotype"/>
        </w:rPr>
        <w:t>des de información por parte de la Secretaría de Finanzas</w:t>
      </w:r>
      <w:r w:rsidRPr="00EC5A4C">
        <w:rPr>
          <w:rFonts w:ascii="Palatino Linotype" w:eastAsia="Palatino Linotype" w:hAnsi="Palatino Linotype" w:cs="Palatino Linotype"/>
        </w:rPr>
        <w:t xml:space="preserve">, en lo sucesivo el </w:t>
      </w:r>
      <w:r w:rsidRPr="00EC5A4C">
        <w:rPr>
          <w:rFonts w:ascii="Palatino Linotype" w:eastAsia="Palatino Linotype" w:hAnsi="Palatino Linotype" w:cs="Palatino Linotype"/>
          <w:b/>
        </w:rPr>
        <w:t xml:space="preserve">Sujeto Obligado; </w:t>
      </w:r>
      <w:r w:rsidRPr="00EC5A4C">
        <w:rPr>
          <w:rFonts w:ascii="Palatino Linotype" w:eastAsia="Palatino Linotype" w:hAnsi="Palatino Linotype" w:cs="Palatino Linotype"/>
        </w:rPr>
        <w:t>se procede a dictar la presente resolución, con base en lo siguiente.</w:t>
      </w:r>
    </w:p>
    <w:p w14:paraId="0701C740" w14:textId="77777777" w:rsidR="00E61C9D" w:rsidRPr="00EC5A4C" w:rsidRDefault="00E61C9D" w:rsidP="002F2F23">
      <w:pPr>
        <w:spacing w:after="0" w:line="360" w:lineRule="auto"/>
        <w:ind w:right="49"/>
        <w:jc w:val="both"/>
        <w:rPr>
          <w:rFonts w:ascii="Palatino Linotype" w:eastAsia="Palatino Linotype" w:hAnsi="Palatino Linotype" w:cs="Palatino Linotype"/>
        </w:rPr>
      </w:pPr>
    </w:p>
    <w:p w14:paraId="6A45A5C2" w14:textId="77777777" w:rsidR="00E61C9D" w:rsidRPr="00EC5A4C" w:rsidRDefault="00737761" w:rsidP="002F2F23">
      <w:pPr>
        <w:spacing w:after="0" w:line="360" w:lineRule="auto"/>
        <w:ind w:right="49"/>
        <w:jc w:val="center"/>
        <w:rPr>
          <w:rFonts w:ascii="Palatino Linotype" w:eastAsia="Palatino Linotype" w:hAnsi="Palatino Linotype" w:cs="Palatino Linotype"/>
          <w:b/>
        </w:rPr>
      </w:pPr>
      <w:r w:rsidRPr="00EC5A4C">
        <w:rPr>
          <w:rFonts w:ascii="Palatino Linotype" w:eastAsia="Palatino Linotype" w:hAnsi="Palatino Linotype" w:cs="Palatino Linotype"/>
          <w:b/>
        </w:rPr>
        <w:t>I.</w:t>
      </w:r>
      <w:r w:rsidRPr="00EC5A4C">
        <w:rPr>
          <w:rFonts w:ascii="Palatino Linotype" w:eastAsia="Palatino Linotype" w:hAnsi="Palatino Linotype" w:cs="Palatino Linotype"/>
          <w:b/>
        </w:rPr>
        <w:tab/>
        <w:t>A N T E C E D E N T E S</w:t>
      </w:r>
    </w:p>
    <w:p w14:paraId="0CF50212" w14:textId="77777777" w:rsidR="00E61C9D" w:rsidRPr="00EC5A4C" w:rsidRDefault="00E61C9D" w:rsidP="002F2F23">
      <w:pPr>
        <w:spacing w:after="0" w:line="360" w:lineRule="auto"/>
        <w:ind w:right="49"/>
        <w:jc w:val="both"/>
        <w:rPr>
          <w:rFonts w:ascii="Palatino Linotype" w:eastAsia="Palatino Linotype" w:hAnsi="Palatino Linotype" w:cs="Palatino Linotype"/>
        </w:rPr>
      </w:pPr>
    </w:p>
    <w:p w14:paraId="2E5D2EA1" w14:textId="3A93CE56" w:rsidR="00E61C9D" w:rsidRPr="00EC5A4C" w:rsidRDefault="00737761" w:rsidP="002F2F2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1.</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 xml:space="preserve">Solicitudes de Acceso a la Información. </w:t>
      </w:r>
      <w:r w:rsidRPr="00EC5A4C">
        <w:rPr>
          <w:rFonts w:ascii="Palatino Linotype" w:eastAsia="Palatino Linotype" w:hAnsi="Palatino Linotype" w:cs="Palatino Linotype"/>
        </w:rPr>
        <w:t xml:space="preserve">El </w:t>
      </w:r>
      <w:r w:rsidR="001860D5" w:rsidRPr="00EC5A4C">
        <w:rPr>
          <w:rFonts w:ascii="Palatino Linotype" w:eastAsia="Palatino Linotype" w:hAnsi="Palatino Linotype" w:cs="Palatino Linotype"/>
          <w:b/>
        </w:rPr>
        <w:t>veinticuatro de septiembre</w:t>
      </w:r>
      <w:r w:rsidR="00CB1190" w:rsidRPr="00EC5A4C">
        <w:rPr>
          <w:rFonts w:ascii="Palatino Linotype" w:eastAsia="Palatino Linotype" w:hAnsi="Palatino Linotype" w:cs="Palatino Linotype"/>
          <w:b/>
        </w:rPr>
        <w:t xml:space="preserve"> </w:t>
      </w:r>
      <w:r w:rsidRPr="00EC5A4C">
        <w:rPr>
          <w:rFonts w:ascii="Palatino Linotype" w:eastAsia="Palatino Linotype" w:hAnsi="Palatino Linotype" w:cs="Palatino Linotype"/>
          <w:b/>
        </w:rPr>
        <w:t>de dos mil veinticuatro</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LA PARTE</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RECURRENTE</w:t>
      </w:r>
      <w:r w:rsidRPr="00EC5A4C">
        <w:rPr>
          <w:rFonts w:ascii="Palatino Linotype" w:eastAsia="Palatino Linotype" w:hAnsi="Palatino Linotype" w:cs="Palatino Linotype"/>
        </w:rPr>
        <w:t xml:space="preserve"> formuló solicitudes de acceso a información pública a través del </w:t>
      </w:r>
      <w:r w:rsidRPr="00EC5A4C">
        <w:rPr>
          <w:rFonts w:ascii="Palatino Linotype" w:eastAsia="Palatino Linotype" w:hAnsi="Palatino Linotype" w:cs="Palatino Linotype"/>
          <w:b/>
        </w:rPr>
        <w:t>SAIMEX,</w:t>
      </w:r>
      <w:r w:rsidRPr="00EC5A4C">
        <w:rPr>
          <w:rFonts w:ascii="Palatino Linotype" w:eastAsia="Palatino Linotype" w:hAnsi="Palatino Linotype" w:cs="Palatino Linotype"/>
        </w:rPr>
        <w:t xml:space="preserve"> en las que requirió lo siguiente:</w:t>
      </w:r>
    </w:p>
    <w:p w14:paraId="47D291E8" w14:textId="77777777" w:rsidR="00E61C9D" w:rsidRPr="00EC5A4C" w:rsidRDefault="00E61C9D" w:rsidP="002F2F23">
      <w:pPr>
        <w:spacing w:after="0" w:line="360" w:lineRule="auto"/>
        <w:jc w:val="both"/>
        <w:rPr>
          <w:rFonts w:ascii="Palatino Linotype" w:eastAsia="Palatino Linotype" w:hAnsi="Palatino Linotype" w:cs="Palatino Linotype"/>
        </w:rPr>
      </w:pPr>
    </w:p>
    <w:tbl>
      <w:tblPr>
        <w:tblStyle w:val="a8"/>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EC5A4C" w:rsidRPr="00EC5A4C" w14:paraId="61411AFE" w14:textId="77777777">
        <w:tc>
          <w:tcPr>
            <w:tcW w:w="3256" w:type="dxa"/>
            <w:shd w:val="clear" w:color="auto" w:fill="D9D9D9"/>
          </w:tcPr>
          <w:p w14:paraId="74344CB1" w14:textId="77777777" w:rsidR="00E61C9D" w:rsidRPr="00EC5A4C" w:rsidRDefault="00737761" w:rsidP="002F2F23">
            <w:pPr>
              <w:jc w:val="both"/>
              <w:rPr>
                <w:rFonts w:ascii="Palatino Linotype" w:eastAsia="Palatino Linotype" w:hAnsi="Palatino Linotype" w:cs="Palatino Linotype"/>
                <w:b/>
                <w:i/>
              </w:rPr>
            </w:pPr>
            <w:bookmarkStart w:id="0" w:name="_heading=h.1fob9te" w:colFirst="0" w:colLast="0"/>
            <w:bookmarkStart w:id="1" w:name="_Hlk182482243"/>
            <w:bookmarkEnd w:id="0"/>
            <w:r w:rsidRPr="00EC5A4C">
              <w:rPr>
                <w:rFonts w:ascii="Palatino Linotype" w:eastAsia="Palatino Linotype" w:hAnsi="Palatino Linotype" w:cs="Palatino Linotype"/>
                <w:b/>
                <w:i/>
              </w:rPr>
              <w:t>Número de solicitud</w:t>
            </w:r>
          </w:p>
        </w:tc>
        <w:tc>
          <w:tcPr>
            <w:tcW w:w="5670" w:type="dxa"/>
            <w:shd w:val="clear" w:color="auto" w:fill="D9D9D9"/>
          </w:tcPr>
          <w:p w14:paraId="156F1338" w14:textId="77777777" w:rsidR="00E61C9D" w:rsidRPr="00EC5A4C" w:rsidRDefault="00737761" w:rsidP="002F2F23">
            <w:pPr>
              <w:jc w:val="center"/>
              <w:rPr>
                <w:rFonts w:ascii="Palatino Linotype" w:eastAsia="Palatino Linotype" w:hAnsi="Palatino Linotype" w:cs="Palatino Linotype"/>
                <w:b/>
                <w:i/>
              </w:rPr>
            </w:pPr>
            <w:r w:rsidRPr="00EC5A4C">
              <w:rPr>
                <w:rFonts w:ascii="Palatino Linotype" w:eastAsia="Palatino Linotype" w:hAnsi="Palatino Linotype" w:cs="Palatino Linotype"/>
                <w:b/>
                <w:i/>
              </w:rPr>
              <w:t>Información requerida.</w:t>
            </w:r>
          </w:p>
        </w:tc>
      </w:tr>
      <w:tr w:rsidR="00EC5A4C" w:rsidRPr="00EC5A4C" w14:paraId="3AB211F1" w14:textId="77777777">
        <w:trPr>
          <w:trHeight w:val="564"/>
        </w:trPr>
        <w:tc>
          <w:tcPr>
            <w:tcW w:w="3256" w:type="dxa"/>
          </w:tcPr>
          <w:p w14:paraId="19B55F56" w14:textId="11B4EF7B" w:rsidR="00E61C9D" w:rsidRPr="00EC5A4C" w:rsidRDefault="001860D5" w:rsidP="001860D5">
            <w:pPr>
              <w:jc w:val="both"/>
              <w:rPr>
                <w:rFonts w:ascii="Palatino Linotype" w:eastAsia="Palatino Linotype" w:hAnsi="Palatino Linotype" w:cs="Palatino Linotype"/>
                <w:b/>
                <w:i/>
              </w:rPr>
            </w:pPr>
            <w:bookmarkStart w:id="2" w:name="_heading=h.3znysh7" w:colFirst="0" w:colLast="0"/>
            <w:bookmarkEnd w:id="2"/>
            <w:r w:rsidRPr="00EC5A4C">
              <w:rPr>
                <w:rFonts w:ascii="Palatino Linotype" w:eastAsia="Palatino Linotype" w:hAnsi="Palatino Linotype" w:cs="Palatino Linotype"/>
                <w:b/>
              </w:rPr>
              <w:t>00701</w:t>
            </w:r>
            <w:r w:rsidR="00890C88" w:rsidRPr="00EC5A4C">
              <w:rPr>
                <w:rFonts w:ascii="Palatino Linotype" w:eastAsia="Palatino Linotype" w:hAnsi="Palatino Linotype" w:cs="Palatino Linotype"/>
                <w:b/>
              </w:rPr>
              <w:t>/</w:t>
            </w:r>
            <w:r w:rsidRPr="00EC5A4C">
              <w:rPr>
                <w:rFonts w:ascii="Palatino Linotype" w:eastAsia="Palatino Linotype" w:hAnsi="Palatino Linotype" w:cs="Palatino Linotype"/>
                <w:b/>
              </w:rPr>
              <w:t>SF</w:t>
            </w:r>
            <w:r w:rsidR="007F0340" w:rsidRPr="00EC5A4C">
              <w:rPr>
                <w:rFonts w:ascii="Palatino Linotype" w:eastAsia="Palatino Linotype" w:hAnsi="Palatino Linotype" w:cs="Palatino Linotype"/>
                <w:b/>
              </w:rPr>
              <w:t>/IP/2024</w:t>
            </w:r>
          </w:p>
        </w:tc>
        <w:tc>
          <w:tcPr>
            <w:tcW w:w="5670" w:type="dxa"/>
          </w:tcPr>
          <w:p w14:paraId="5E1730A5" w14:textId="2923DA2A" w:rsidR="00E61C9D" w:rsidRPr="00EC5A4C" w:rsidRDefault="00737761" w:rsidP="00890C88">
            <w:pPr>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001860D5" w:rsidRPr="00EC5A4C">
              <w:rPr>
                <w:rFonts w:ascii="Palatino Linotype" w:eastAsia="Palatino Linotype" w:hAnsi="Palatino Linotype" w:cs="Palatino Linotype"/>
                <w:i/>
              </w:rPr>
              <w:t xml:space="preserve">Se solicitan los resultados de las evaluaciones realizadas en el ejercicio 2023 al ISSEMyM de la Dirección General de Evaluación del Desempeño Institucional y conocer la asesoría, participación o coparticipación de la C. Luz María Cuero Hernández, actual Directora de Área adscrita a la Dirección General”. </w:t>
            </w:r>
          </w:p>
        </w:tc>
      </w:tr>
      <w:tr w:rsidR="00EC5A4C" w:rsidRPr="00EC5A4C" w14:paraId="7BCAC4D3" w14:textId="77777777">
        <w:tc>
          <w:tcPr>
            <w:tcW w:w="3256" w:type="dxa"/>
          </w:tcPr>
          <w:p w14:paraId="5C6728E2" w14:textId="47DCC713" w:rsidR="00E61C9D" w:rsidRPr="00EC5A4C" w:rsidRDefault="001860D5" w:rsidP="00890C88">
            <w:pPr>
              <w:jc w:val="both"/>
              <w:rPr>
                <w:rFonts w:ascii="Palatino Linotype" w:eastAsia="Palatino Linotype" w:hAnsi="Palatino Linotype" w:cs="Palatino Linotype"/>
                <w:b/>
              </w:rPr>
            </w:pPr>
            <w:r w:rsidRPr="00EC5A4C">
              <w:rPr>
                <w:rFonts w:ascii="Palatino Linotype" w:eastAsia="Palatino Linotype" w:hAnsi="Palatino Linotype" w:cs="Palatino Linotype"/>
                <w:b/>
              </w:rPr>
              <w:t>00700/SF/IP/2024</w:t>
            </w:r>
          </w:p>
        </w:tc>
        <w:tc>
          <w:tcPr>
            <w:tcW w:w="5670" w:type="dxa"/>
          </w:tcPr>
          <w:p w14:paraId="7C985A3D" w14:textId="1F8858DA" w:rsidR="00E61C9D" w:rsidRPr="00EC5A4C" w:rsidRDefault="00737761" w:rsidP="002F2F23">
            <w:pPr>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001860D5" w:rsidRPr="00EC5A4C">
              <w:rPr>
                <w:rFonts w:ascii="Palatino Linotype" w:eastAsia="Palatino Linotype" w:hAnsi="Palatino Linotype" w:cs="Palatino Linotype"/>
                <w:i/>
              </w:rPr>
              <w:t xml:space="preserve">Se solicitan los resultados de las evaluaciones realizadas en el ejercicio 2022 al ISSEMyM de la Dirección General de </w:t>
            </w:r>
            <w:r w:rsidR="001860D5" w:rsidRPr="00EC5A4C">
              <w:rPr>
                <w:rFonts w:ascii="Palatino Linotype" w:eastAsia="Palatino Linotype" w:hAnsi="Palatino Linotype" w:cs="Palatino Linotype"/>
                <w:i/>
              </w:rPr>
              <w:lastRenderedPageBreak/>
              <w:t>Evaluación del Desempeño Institucional y conocer la asesoría, participación o coparticipación de la C. Luz María Cuero Hernández, actual Directora de Área adscrita a la Dirección General.</w:t>
            </w:r>
            <w:r w:rsidRPr="00EC5A4C">
              <w:rPr>
                <w:rFonts w:ascii="Palatino Linotype" w:eastAsia="Palatino Linotype" w:hAnsi="Palatino Linotype" w:cs="Palatino Linotype"/>
                <w:i/>
              </w:rPr>
              <w:t>”</w:t>
            </w:r>
            <w:r w:rsidRPr="00EC5A4C">
              <w:t xml:space="preserve"> </w:t>
            </w:r>
            <w:r w:rsidRPr="00EC5A4C">
              <w:rPr>
                <w:rFonts w:ascii="Palatino Linotype" w:eastAsia="Palatino Linotype" w:hAnsi="Palatino Linotype" w:cs="Palatino Linotype"/>
                <w:i/>
              </w:rPr>
              <w:t>(sic)</w:t>
            </w:r>
          </w:p>
        </w:tc>
      </w:tr>
      <w:tr w:rsidR="00EC5A4C" w:rsidRPr="00EC5A4C" w14:paraId="0D2115B7" w14:textId="77777777">
        <w:tc>
          <w:tcPr>
            <w:tcW w:w="3256" w:type="dxa"/>
          </w:tcPr>
          <w:p w14:paraId="717FCA5A" w14:textId="705BA94D" w:rsidR="001860D5" w:rsidRPr="00EC5A4C" w:rsidRDefault="001860D5" w:rsidP="00890C88">
            <w:pPr>
              <w:jc w:val="both"/>
              <w:rPr>
                <w:rFonts w:ascii="Palatino Linotype" w:eastAsia="Palatino Linotype" w:hAnsi="Palatino Linotype" w:cs="Palatino Linotype"/>
                <w:b/>
              </w:rPr>
            </w:pPr>
            <w:r w:rsidRPr="00EC5A4C">
              <w:rPr>
                <w:rFonts w:ascii="Palatino Linotype" w:eastAsia="Palatino Linotype" w:hAnsi="Palatino Linotype" w:cs="Palatino Linotype"/>
                <w:b/>
              </w:rPr>
              <w:lastRenderedPageBreak/>
              <w:t>00697/SF/IP/2024</w:t>
            </w:r>
          </w:p>
        </w:tc>
        <w:tc>
          <w:tcPr>
            <w:tcW w:w="5670" w:type="dxa"/>
          </w:tcPr>
          <w:p w14:paraId="4E82DB3A" w14:textId="16BD3F6B" w:rsidR="001860D5" w:rsidRPr="00EC5A4C" w:rsidRDefault="001860D5" w:rsidP="002F2F23">
            <w:pPr>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“Se solicitan los resultados de las evaluaciones realizadas en el ejercicio 2020 al ISSEMyM de la Dirección General de Evaluación del Desempeño Institucional y conocer la asesoría, participación o coparticipación de la C. Luz María Cuero Hernández, actual Directora de Área adscrita a la Dirección General”. </w:t>
            </w:r>
          </w:p>
        </w:tc>
      </w:tr>
      <w:bookmarkEnd w:id="1"/>
    </w:tbl>
    <w:p w14:paraId="0A17B676" w14:textId="77777777" w:rsidR="008139A6" w:rsidRPr="00EC5A4C" w:rsidRDefault="008139A6" w:rsidP="002F2F23">
      <w:pPr>
        <w:spacing w:after="0" w:line="360" w:lineRule="auto"/>
        <w:ind w:right="49"/>
        <w:jc w:val="both"/>
        <w:rPr>
          <w:rFonts w:ascii="Palatino Linotype" w:eastAsia="Palatino Linotype" w:hAnsi="Palatino Linotype" w:cs="Palatino Linotype"/>
          <w:b/>
        </w:rPr>
      </w:pPr>
    </w:p>
    <w:p w14:paraId="47813708" w14:textId="418724A8" w:rsidR="00E61C9D" w:rsidRPr="00EC5A4C" w:rsidRDefault="00737761" w:rsidP="00890C88">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b/>
        </w:rPr>
        <w:t>Modalidad elegida para la entrega de la información:</w:t>
      </w:r>
      <w:r w:rsidRPr="00EC5A4C">
        <w:rPr>
          <w:rFonts w:ascii="Palatino Linotype" w:eastAsia="Palatino Linotype" w:hAnsi="Palatino Linotype" w:cs="Palatino Linotype"/>
        </w:rPr>
        <w:t xml:space="preserve"> a través del Sistema de Acceso a la Información Mexiquense (SAIMEX). </w:t>
      </w:r>
    </w:p>
    <w:p w14:paraId="7536A03E" w14:textId="77777777" w:rsidR="001860D5" w:rsidRPr="00EC5A4C" w:rsidRDefault="001860D5" w:rsidP="00890C88">
      <w:pPr>
        <w:spacing w:after="0" w:line="360" w:lineRule="auto"/>
        <w:ind w:right="49"/>
        <w:jc w:val="both"/>
        <w:rPr>
          <w:rFonts w:ascii="Palatino Linotype" w:eastAsia="Palatino Linotype" w:hAnsi="Palatino Linotype" w:cs="Palatino Linotype"/>
        </w:rPr>
      </w:pPr>
    </w:p>
    <w:p w14:paraId="43291755" w14:textId="43C0D710" w:rsidR="00E61C9D" w:rsidRPr="00EC5A4C" w:rsidRDefault="00737761" w:rsidP="002F2F23">
      <w:pPr>
        <w:widowControl w:val="0"/>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2.</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 xml:space="preserve">Respuestas. </w:t>
      </w:r>
      <w:r w:rsidRPr="00EC5A4C">
        <w:rPr>
          <w:rFonts w:ascii="Palatino Linotype" w:eastAsia="Palatino Linotype" w:hAnsi="Palatino Linotype" w:cs="Palatino Linotype"/>
        </w:rPr>
        <w:t xml:space="preserve">En fecha </w:t>
      </w:r>
      <w:r w:rsidR="001860D5" w:rsidRPr="00EC5A4C">
        <w:rPr>
          <w:rFonts w:ascii="Palatino Linotype" w:eastAsia="Palatino Linotype" w:hAnsi="Palatino Linotype" w:cs="Palatino Linotype"/>
          <w:b/>
        </w:rPr>
        <w:t>nueve de octubre</w:t>
      </w:r>
      <w:r w:rsidRPr="00EC5A4C">
        <w:rPr>
          <w:rFonts w:ascii="Palatino Linotype" w:eastAsia="Palatino Linotype" w:hAnsi="Palatino Linotype" w:cs="Palatino Linotype"/>
          <w:b/>
        </w:rPr>
        <w:t xml:space="preserve"> de dos mil veinticuatro</w:t>
      </w:r>
      <w:r w:rsidRPr="00EC5A4C">
        <w:rPr>
          <w:rFonts w:ascii="Palatino Linotype" w:eastAsia="Palatino Linotype" w:hAnsi="Palatino Linotype" w:cs="Palatino Linotype"/>
        </w:rPr>
        <w:t>, el Sujeto Obligado notificó a la parte Recurrente, en la totalidad de los expedientes, las respuestas a sus solicitudes de información, en los términos siguientes:</w:t>
      </w:r>
    </w:p>
    <w:p w14:paraId="1A70E129" w14:textId="77777777" w:rsidR="00E61C9D" w:rsidRPr="00EC5A4C" w:rsidRDefault="00E61C9D" w:rsidP="002F2F23">
      <w:pPr>
        <w:widowControl w:val="0"/>
        <w:spacing w:after="0" w:line="360" w:lineRule="auto"/>
        <w:jc w:val="both"/>
        <w:rPr>
          <w:rFonts w:ascii="Palatino Linotype" w:eastAsia="Palatino Linotype" w:hAnsi="Palatino Linotype" w:cs="Palatino Linotype"/>
        </w:rPr>
      </w:pPr>
    </w:p>
    <w:tbl>
      <w:tblPr>
        <w:tblStyle w:val="a8"/>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EC5A4C" w:rsidRPr="00EC5A4C" w14:paraId="5F7B9A3B" w14:textId="77777777" w:rsidTr="001860D5">
        <w:tc>
          <w:tcPr>
            <w:tcW w:w="3141" w:type="dxa"/>
            <w:shd w:val="clear" w:color="auto" w:fill="D9D9D9"/>
          </w:tcPr>
          <w:p w14:paraId="1F3B0084" w14:textId="77777777" w:rsidR="001860D5" w:rsidRPr="00EC5A4C" w:rsidRDefault="001860D5" w:rsidP="001860D5">
            <w:pPr>
              <w:jc w:val="both"/>
              <w:rPr>
                <w:rFonts w:ascii="Palatino Linotype" w:eastAsia="Palatino Linotype" w:hAnsi="Palatino Linotype" w:cs="Palatino Linotype"/>
                <w:b/>
                <w:i/>
              </w:rPr>
            </w:pPr>
            <w:r w:rsidRPr="00EC5A4C">
              <w:rPr>
                <w:rFonts w:ascii="Palatino Linotype" w:eastAsia="Palatino Linotype" w:hAnsi="Palatino Linotype" w:cs="Palatino Linotype"/>
                <w:b/>
                <w:i/>
              </w:rPr>
              <w:t>Número de solicitud</w:t>
            </w:r>
          </w:p>
        </w:tc>
        <w:tc>
          <w:tcPr>
            <w:tcW w:w="5670" w:type="dxa"/>
            <w:shd w:val="clear" w:color="auto" w:fill="D9D9D9"/>
          </w:tcPr>
          <w:p w14:paraId="358F8F5C" w14:textId="74B3FD14" w:rsidR="001860D5" w:rsidRPr="00EC5A4C" w:rsidRDefault="000E16AE" w:rsidP="001860D5">
            <w:pPr>
              <w:jc w:val="center"/>
              <w:rPr>
                <w:rFonts w:ascii="Palatino Linotype" w:eastAsia="Palatino Linotype" w:hAnsi="Palatino Linotype" w:cs="Palatino Linotype"/>
                <w:b/>
                <w:i/>
              </w:rPr>
            </w:pPr>
            <w:r w:rsidRPr="00EC5A4C">
              <w:rPr>
                <w:rFonts w:ascii="Palatino Linotype" w:eastAsia="Palatino Linotype" w:hAnsi="Palatino Linotype" w:cs="Palatino Linotype"/>
                <w:b/>
                <w:i/>
              </w:rPr>
              <w:t>Respuesta</w:t>
            </w:r>
          </w:p>
        </w:tc>
      </w:tr>
      <w:tr w:rsidR="00EC5A4C" w:rsidRPr="00EC5A4C" w14:paraId="6D011DA7" w14:textId="77777777" w:rsidTr="001860D5">
        <w:trPr>
          <w:trHeight w:val="564"/>
        </w:trPr>
        <w:tc>
          <w:tcPr>
            <w:tcW w:w="3141" w:type="dxa"/>
          </w:tcPr>
          <w:p w14:paraId="23D8B329" w14:textId="77777777" w:rsidR="001860D5" w:rsidRPr="00EC5A4C" w:rsidRDefault="001860D5" w:rsidP="001860D5">
            <w:pPr>
              <w:jc w:val="both"/>
              <w:rPr>
                <w:rFonts w:ascii="Palatino Linotype" w:eastAsia="Palatino Linotype" w:hAnsi="Palatino Linotype" w:cs="Palatino Linotype"/>
                <w:b/>
                <w:i/>
              </w:rPr>
            </w:pPr>
            <w:r w:rsidRPr="00EC5A4C">
              <w:rPr>
                <w:rFonts w:ascii="Palatino Linotype" w:eastAsia="Palatino Linotype" w:hAnsi="Palatino Linotype" w:cs="Palatino Linotype"/>
                <w:b/>
              </w:rPr>
              <w:t>00701/SF/IP/2024</w:t>
            </w:r>
          </w:p>
        </w:tc>
        <w:tc>
          <w:tcPr>
            <w:tcW w:w="5670" w:type="dxa"/>
          </w:tcPr>
          <w:p w14:paraId="4CFB2779" w14:textId="77777777" w:rsidR="001860D5" w:rsidRPr="00EC5A4C" w:rsidRDefault="001860D5" w:rsidP="001860D5">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Oficio de fecha cuatro de octubre de dos mil veinticuatro, signado por el servidor público habilitado de la Subsecretaría de Planeación y Presupuesto, mediante el cual informa que, derivado de la búsqueda realizada en los archivos de la Dirección de Monitoreo y Evaluación, no se encontró documentación sobre asesorías, participación o coparticipación en las evaluaciones realizadas al Instituto de Seguridad Social del Estado de México y Municipios. </w:t>
            </w:r>
          </w:p>
          <w:p w14:paraId="52FB9A5D" w14:textId="2CFD8F2F" w:rsidR="001860D5" w:rsidRPr="00EC5A4C" w:rsidRDefault="001860D5" w:rsidP="001860D5">
            <w:pPr>
              <w:pStyle w:val="Prrafodelista"/>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En lo que respecta, a los resultados de las evaluaciones del ISSEMYM, durante el ejercicio fiscal 2023, la información se encuentra publicada en la página de Transparencia Fiscal y puede ser consultada en una liga electrónica. </w:t>
            </w:r>
            <w:r w:rsidRPr="00EC5A4C">
              <w:rPr>
                <w:rFonts w:ascii="Palatino Linotype" w:eastAsia="Palatino Linotype" w:hAnsi="Palatino Linotype" w:cs="Palatino Linotype"/>
              </w:rPr>
              <w:lastRenderedPageBreak/>
              <w:t xml:space="preserve">(Proporcionó la liga electrónica en datos cerrados). </w:t>
            </w:r>
          </w:p>
          <w:p w14:paraId="50E05421" w14:textId="77777777" w:rsidR="001860D5" w:rsidRPr="00EC5A4C" w:rsidRDefault="001860D5" w:rsidP="001860D5">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Documento en Word, a través del cual proporcionó una liga electrónica.</w:t>
            </w:r>
          </w:p>
          <w:p w14:paraId="4B5DEAAF" w14:textId="1E746B1E" w:rsidR="001860D5" w:rsidRPr="00EC5A4C" w:rsidRDefault="001860D5" w:rsidP="001860D5">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Oficio de fecha ocho de octubre de dos mil veinticuatro, signado por la Titular de la Unidad de Transparencia, mediante el cual informa que, se envía la respuesta proporcionada por la Subsecretaría de Planeación y Presupuesto. </w:t>
            </w:r>
          </w:p>
        </w:tc>
      </w:tr>
      <w:tr w:rsidR="00EC5A4C" w:rsidRPr="00EC5A4C" w14:paraId="5915ECF9" w14:textId="77777777" w:rsidTr="001860D5">
        <w:tc>
          <w:tcPr>
            <w:tcW w:w="3141" w:type="dxa"/>
          </w:tcPr>
          <w:p w14:paraId="5EDB86F4" w14:textId="77777777" w:rsidR="001860D5" w:rsidRPr="00EC5A4C" w:rsidRDefault="001860D5" w:rsidP="001860D5">
            <w:pPr>
              <w:jc w:val="both"/>
              <w:rPr>
                <w:rFonts w:ascii="Palatino Linotype" w:eastAsia="Palatino Linotype" w:hAnsi="Palatino Linotype" w:cs="Palatino Linotype"/>
                <w:b/>
              </w:rPr>
            </w:pPr>
            <w:r w:rsidRPr="00EC5A4C">
              <w:rPr>
                <w:rFonts w:ascii="Palatino Linotype" w:eastAsia="Palatino Linotype" w:hAnsi="Palatino Linotype" w:cs="Palatino Linotype"/>
                <w:b/>
              </w:rPr>
              <w:lastRenderedPageBreak/>
              <w:t>00700/SF/IP/2024</w:t>
            </w:r>
          </w:p>
        </w:tc>
        <w:tc>
          <w:tcPr>
            <w:tcW w:w="5670" w:type="dxa"/>
          </w:tcPr>
          <w:p w14:paraId="3A94F6AE" w14:textId="46B2F9C3" w:rsidR="001860D5" w:rsidRPr="00EC5A4C" w:rsidRDefault="001860D5" w:rsidP="001860D5">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Acuerdo de Acumulación de la solicitud de información.</w:t>
            </w:r>
          </w:p>
          <w:p w14:paraId="30EF1F23" w14:textId="5B2496AA" w:rsidR="001860D5" w:rsidRPr="00EC5A4C" w:rsidRDefault="001860D5" w:rsidP="001860D5">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Oficio de fecha cuatro de octubre de dos mil veinticuatro, signado por el servidor público habilitado de la Subsecretaría de Planeación y Presupuesto, mediante el cual informa que, no se encontró documentación sobre asesorías, participación o coparticipación en las evaluaciones realizadas al Instituto de Seguridad Social del Estado de México y Municipios. </w:t>
            </w:r>
          </w:p>
          <w:p w14:paraId="608A56C2" w14:textId="258344A0" w:rsidR="001860D5" w:rsidRPr="00EC5A4C" w:rsidRDefault="001860D5" w:rsidP="001860D5">
            <w:pPr>
              <w:pStyle w:val="Prrafodelista"/>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En lo que respecta, a los resultados de las evaluaciones del ISSEMYM, durante el ejercicio fiscal 2022, la información se encuentra publicada en la página de Transparencia Fiscal y puede ser consultada en una liga electrónica. (Proporcionó la liga electrónica en datos cerrados). </w:t>
            </w:r>
          </w:p>
          <w:p w14:paraId="3835A3CB" w14:textId="77777777" w:rsidR="001860D5" w:rsidRPr="00EC5A4C" w:rsidRDefault="001860D5" w:rsidP="001860D5">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Documento en Word, a través del cual proporcionó una liga electrónica.</w:t>
            </w:r>
          </w:p>
          <w:p w14:paraId="26D51F13" w14:textId="7CD9844D" w:rsidR="001860D5" w:rsidRPr="00EC5A4C" w:rsidRDefault="001860D5" w:rsidP="001860D5">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Oficio de fecha ocho de octubre de dos mil veinticuatro, signado por la Titular de la Unidad de Transparencia, mediante el cual informa que, se envía la respuesta proporcionada por la Subsecretaría de Planeación y Presupuesto.</w:t>
            </w:r>
          </w:p>
        </w:tc>
      </w:tr>
      <w:tr w:rsidR="00EC5A4C" w:rsidRPr="00EC5A4C" w14:paraId="2D50D097" w14:textId="77777777" w:rsidTr="001860D5">
        <w:tc>
          <w:tcPr>
            <w:tcW w:w="3141" w:type="dxa"/>
          </w:tcPr>
          <w:p w14:paraId="3930FAD4" w14:textId="77777777" w:rsidR="001860D5" w:rsidRPr="00EC5A4C" w:rsidRDefault="001860D5" w:rsidP="001860D5">
            <w:pPr>
              <w:jc w:val="both"/>
              <w:rPr>
                <w:rFonts w:ascii="Palatino Linotype" w:eastAsia="Palatino Linotype" w:hAnsi="Palatino Linotype" w:cs="Palatino Linotype"/>
                <w:b/>
              </w:rPr>
            </w:pPr>
            <w:r w:rsidRPr="00EC5A4C">
              <w:rPr>
                <w:rFonts w:ascii="Palatino Linotype" w:eastAsia="Palatino Linotype" w:hAnsi="Palatino Linotype" w:cs="Palatino Linotype"/>
                <w:b/>
              </w:rPr>
              <w:t>00697/SF/IP/2024</w:t>
            </w:r>
          </w:p>
        </w:tc>
        <w:tc>
          <w:tcPr>
            <w:tcW w:w="5670" w:type="dxa"/>
          </w:tcPr>
          <w:p w14:paraId="484A627A" w14:textId="77777777" w:rsidR="000E16AE" w:rsidRPr="00EC5A4C" w:rsidRDefault="000E16AE" w:rsidP="000E16AE">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Oficio de fecha cuatro de octubre de dos mil veinticuatro, signado por el servidor público habilitado de la Subsecretaría de Planeación y Presupuesto, mediante el cual informa que, no se encontró documentación sobre asesorías, </w:t>
            </w:r>
            <w:r w:rsidRPr="00EC5A4C">
              <w:rPr>
                <w:rFonts w:ascii="Palatino Linotype" w:eastAsia="Palatino Linotype" w:hAnsi="Palatino Linotype" w:cs="Palatino Linotype"/>
              </w:rPr>
              <w:lastRenderedPageBreak/>
              <w:t xml:space="preserve">participación o coparticipación en las evaluaciones realizadas al Instituto de Seguridad Social del Estado de México y Municipios. </w:t>
            </w:r>
          </w:p>
          <w:p w14:paraId="68B0D09D" w14:textId="32FCA023" w:rsidR="000E16AE" w:rsidRPr="00EC5A4C" w:rsidRDefault="000E16AE" w:rsidP="000E16AE">
            <w:pPr>
              <w:pStyle w:val="Prrafodelista"/>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En lo que respecta, a los resultados de las evaluaciones del ISSEMYM, durante el ejercicio fiscal 2020, se señaló que este no fue objeto de evaluación en dicho año, no obstante, se puede consultar el Programa Anual de Evaluación en una liga electrónica, la cual proporcionó.  </w:t>
            </w:r>
          </w:p>
          <w:p w14:paraId="4F0A9A7B" w14:textId="77777777" w:rsidR="000E16AE" w:rsidRPr="00EC5A4C" w:rsidRDefault="000E16AE" w:rsidP="000E16AE">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Documento en Word, a través del cual proporcionó una liga electrónica.</w:t>
            </w:r>
          </w:p>
          <w:p w14:paraId="27135FD9" w14:textId="64D54D54" w:rsidR="001860D5" w:rsidRPr="00EC5A4C" w:rsidRDefault="000E16AE" w:rsidP="000E16AE">
            <w:pPr>
              <w:pStyle w:val="Prrafodelista"/>
              <w:numPr>
                <w:ilvl w:val="0"/>
                <w:numId w:val="18"/>
              </w:numPr>
              <w:jc w:val="both"/>
              <w:rPr>
                <w:rFonts w:ascii="Palatino Linotype" w:eastAsia="Palatino Linotype" w:hAnsi="Palatino Linotype" w:cs="Palatino Linotype"/>
              </w:rPr>
            </w:pPr>
            <w:r w:rsidRPr="00EC5A4C">
              <w:rPr>
                <w:rFonts w:ascii="Palatino Linotype" w:eastAsia="Palatino Linotype" w:hAnsi="Palatino Linotype" w:cs="Palatino Linotype"/>
              </w:rPr>
              <w:t>Oficio de fecha ocho de octubre de dos mil veinticuatro, signado por la Titular de la Unidad de Transparencia, mediante el cual informa que, se envía la respuesta proporcionada por la Subsecretaría de Planeación y Presupuesto.</w:t>
            </w:r>
          </w:p>
        </w:tc>
      </w:tr>
    </w:tbl>
    <w:p w14:paraId="3860D09F" w14:textId="77777777" w:rsidR="003D28EB" w:rsidRPr="00EC5A4C" w:rsidRDefault="003D28EB" w:rsidP="002F2F23">
      <w:pPr>
        <w:spacing w:after="0" w:line="360" w:lineRule="auto"/>
        <w:jc w:val="both"/>
        <w:rPr>
          <w:rFonts w:ascii="Palatino Linotype" w:eastAsia="Palatino Linotype" w:hAnsi="Palatino Linotype" w:cs="Palatino Linotype"/>
          <w:b/>
        </w:rPr>
      </w:pPr>
    </w:p>
    <w:p w14:paraId="64A3C9DD" w14:textId="74446108" w:rsidR="00E61C9D" w:rsidRPr="00EC5A4C" w:rsidRDefault="00737761" w:rsidP="002F2F2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3. Del Recurso de Revisión. </w:t>
      </w:r>
      <w:r w:rsidRPr="00EC5A4C">
        <w:rPr>
          <w:rFonts w:ascii="Palatino Linotype" w:eastAsia="Palatino Linotype" w:hAnsi="Palatino Linotype" w:cs="Palatino Linotype"/>
        </w:rPr>
        <w:t>Inconforme con las respuestas del</w:t>
      </w:r>
      <w:r w:rsidRPr="00EC5A4C">
        <w:rPr>
          <w:rFonts w:ascii="Palatino Linotype" w:eastAsia="Palatino Linotype" w:hAnsi="Palatino Linotype" w:cs="Palatino Linotype"/>
          <w:b/>
        </w:rPr>
        <w:t xml:space="preserve"> SUJETO OBLIGADO, </w:t>
      </w:r>
      <w:r w:rsidRPr="00EC5A4C">
        <w:rPr>
          <w:rFonts w:ascii="Palatino Linotype" w:eastAsia="Palatino Linotype" w:hAnsi="Palatino Linotype" w:cs="Palatino Linotype"/>
        </w:rPr>
        <w:t xml:space="preserve">en fecha </w:t>
      </w:r>
      <w:r w:rsidR="000E16AE" w:rsidRPr="00EC5A4C">
        <w:rPr>
          <w:rFonts w:ascii="Palatino Linotype" w:eastAsia="Palatino Linotype" w:hAnsi="Palatino Linotype" w:cs="Palatino Linotype"/>
          <w:b/>
        </w:rPr>
        <w:t>veintiuno de octubre</w:t>
      </w:r>
      <w:r w:rsidRPr="00EC5A4C">
        <w:rPr>
          <w:rFonts w:ascii="Palatino Linotype" w:eastAsia="Palatino Linotype" w:hAnsi="Palatino Linotype" w:cs="Palatino Linotype"/>
          <w:b/>
        </w:rPr>
        <w:t xml:space="preserve"> de dos mil veinticuatro, LA PARTE RECURRENTE </w:t>
      </w:r>
      <w:r w:rsidRPr="00EC5A4C">
        <w:rPr>
          <w:rFonts w:ascii="Palatino Linotype" w:eastAsia="Palatino Linotype" w:hAnsi="Palatino Linotype" w:cs="Palatino Linotype"/>
        </w:rPr>
        <w:t xml:space="preserve">interpuso los recursos de revisión, </w:t>
      </w:r>
      <w:r w:rsidR="00FC5E2C" w:rsidRPr="00EC5A4C">
        <w:rPr>
          <w:rFonts w:ascii="Palatino Linotype" w:eastAsia="Palatino Linotype" w:hAnsi="Palatino Linotype" w:cs="Palatino Linotype"/>
        </w:rPr>
        <w:t>e</w:t>
      </w:r>
      <w:r w:rsidRPr="00EC5A4C">
        <w:rPr>
          <w:rFonts w:ascii="Palatino Linotype" w:eastAsia="Palatino Linotype" w:hAnsi="Palatino Linotype" w:cs="Palatino Linotype"/>
        </w:rPr>
        <w:t xml:space="preserve">n los cuales manifiesta, lo siguiente: </w:t>
      </w:r>
    </w:p>
    <w:p w14:paraId="455048BE" w14:textId="77777777" w:rsidR="00FC5E2C" w:rsidRPr="00EC5A4C" w:rsidRDefault="00FC5E2C" w:rsidP="002F2F23">
      <w:pPr>
        <w:spacing w:after="0" w:line="360" w:lineRule="auto"/>
        <w:jc w:val="both"/>
        <w:rPr>
          <w:rFonts w:ascii="Palatino Linotype" w:eastAsia="Palatino Linotype" w:hAnsi="Palatino Linotype" w:cs="Palatino Linotype"/>
          <w:b/>
        </w:rPr>
      </w:pPr>
    </w:p>
    <w:tbl>
      <w:tblPr>
        <w:tblStyle w:val="Tablaconcuadrcula"/>
        <w:tblW w:w="0" w:type="auto"/>
        <w:tblLook w:val="04A0" w:firstRow="1" w:lastRow="0" w:firstColumn="1" w:lastColumn="0" w:noHBand="0" w:noVBand="1"/>
      </w:tblPr>
      <w:tblGrid>
        <w:gridCol w:w="2929"/>
        <w:gridCol w:w="3274"/>
        <w:gridCol w:w="2852"/>
      </w:tblGrid>
      <w:tr w:rsidR="00EC5A4C" w:rsidRPr="00EC5A4C" w14:paraId="1274F02A" w14:textId="77777777" w:rsidTr="00384E76">
        <w:tc>
          <w:tcPr>
            <w:tcW w:w="2682" w:type="dxa"/>
          </w:tcPr>
          <w:p w14:paraId="16EB0BD6" w14:textId="03236B60" w:rsidR="00325FA8" w:rsidRPr="00EC5A4C" w:rsidRDefault="00325FA8" w:rsidP="00384E76">
            <w:pPr>
              <w:jc w:val="center"/>
              <w:rPr>
                <w:rFonts w:ascii="Palatino Linotype" w:eastAsia="Palatino Linotype" w:hAnsi="Palatino Linotype" w:cs="Palatino Linotype"/>
                <w:b/>
                <w:bCs/>
              </w:rPr>
            </w:pPr>
            <w:r w:rsidRPr="00EC5A4C">
              <w:rPr>
                <w:rFonts w:ascii="Palatino Linotype" w:eastAsia="Palatino Linotype" w:hAnsi="Palatino Linotype" w:cs="Palatino Linotype"/>
                <w:b/>
                <w:bCs/>
              </w:rPr>
              <w:t>Recurso de Revisión</w:t>
            </w:r>
          </w:p>
        </w:tc>
        <w:tc>
          <w:tcPr>
            <w:tcW w:w="3413" w:type="dxa"/>
          </w:tcPr>
          <w:p w14:paraId="5231CCE9" w14:textId="00DB00AB" w:rsidR="00325FA8" w:rsidRPr="00EC5A4C" w:rsidRDefault="00325FA8" w:rsidP="00384E76">
            <w:pPr>
              <w:jc w:val="center"/>
              <w:rPr>
                <w:rFonts w:ascii="Palatino Linotype" w:eastAsia="Palatino Linotype" w:hAnsi="Palatino Linotype" w:cs="Palatino Linotype"/>
                <w:b/>
                <w:bCs/>
              </w:rPr>
            </w:pPr>
            <w:r w:rsidRPr="00EC5A4C">
              <w:rPr>
                <w:rFonts w:ascii="Palatino Linotype" w:eastAsia="Palatino Linotype" w:hAnsi="Palatino Linotype" w:cs="Palatino Linotype"/>
                <w:b/>
                <w:bCs/>
              </w:rPr>
              <w:t>Acto Impugnado</w:t>
            </w:r>
          </w:p>
        </w:tc>
        <w:tc>
          <w:tcPr>
            <w:tcW w:w="2960" w:type="dxa"/>
          </w:tcPr>
          <w:p w14:paraId="5B8EDB03" w14:textId="04912F07" w:rsidR="00325FA8" w:rsidRPr="00EC5A4C" w:rsidRDefault="00325FA8" w:rsidP="00384E76">
            <w:pPr>
              <w:jc w:val="center"/>
              <w:rPr>
                <w:rFonts w:ascii="Palatino Linotype" w:eastAsia="Palatino Linotype" w:hAnsi="Palatino Linotype" w:cs="Palatino Linotype"/>
                <w:b/>
                <w:bCs/>
              </w:rPr>
            </w:pPr>
            <w:r w:rsidRPr="00EC5A4C">
              <w:rPr>
                <w:rFonts w:ascii="Palatino Linotype" w:eastAsia="Palatino Linotype" w:hAnsi="Palatino Linotype" w:cs="Palatino Linotype"/>
                <w:b/>
                <w:bCs/>
              </w:rPr>
              <w:t>Motivos de Informidad</w:t>
            </w:r>
          </w:p>
        </w:tc>
      </w:tr>
      <w:tr w:rsidR="00EC5A4C" w:rsidRPr="00EC5A4C" w14:paraId="789BC3A1" w14:textId="77777777" w:rsidTr="00384E76">
        <w:tc>
          <w:tcPr>
            <w:tcW w:w="2682" w:type="dxa"/>
          </w:tcPr>
          <w:p w14:paraId="2B2E2837" w14:textId="1D9BC4C7" w:rsidR="00325FA8" w:rsidRPr="00EC5A4C" w:rsidRDefault="00325FA8" w:rsidP="00384E76">
            <w:pPr>
              <w:jc w:val="both"/>
              <w:rPr>
                <w:rFonts w:ascii="Palatino Linotype" w:eastAsia="Palatino Linotype" w:hAnsi="Palatino Linotype" w:cs="Palatino Linotype"/>
              </w:rPr>
            </w:pPr>
            <w:r w:rsidRPr="00EC5A4C">
              <w:rPr>
                <w:rFonts w:ascii="Palatino Linotype" w:eastAsia="Palatino Linotype" w:hAnsi="Palatino Linotype" w:cs="Palatino Linotype"/>
                <w:b/>
              </w:rPr>
              <w:t>0</w:t>
            </w:r>
            <w:r w:rsidR="000E16AE" w:rsidRPr="00EC5A4C">
              <w:rPr>
                <w:rFonts w:ascii="Palatino Linotype" w:eastAsia="Palatino Linotype" w:hAnsi="Palatino Linotype" w:cs="Palatino Linotype"/>
                <w:b/>
              </w:rPr>
              <w:t>6504</w:t>
            </w:r>
            <w:r w:rsidRPr="00EC5A4C">
              <w:rPr>
                <w:rFonts w:ascii="Palatino Linotype" w:eastAsia="Palatino Linotype" w:hAnsi="Palatino Linotype" w:cs="Palatino Linotype"/>
                <w:b/>
              </w:rPr>
              <w:t>/INFOEM/IP/RR/2024</w:t>
            </w:r>
          </w:p>
        </w:tc>
        <w:tc>
          <w:tcPr>
            <w:tcW w:w="3413" w:type="dxa"/>
          </w:tcPr>
          <w:p w14:paraId="24C99F39" w14:textId="31A42CBA" w:rsidR="00325FA8" w:rsidRPr="00EC5A4C" w:rsidRDefault="000E16AE" w:rsidP="00384E76">
            <w:pPr>
              <w:jc w:val="both"/>
              <w:rPr>
                <w:rFonts w:ascii="Palatino Linotype" w:eastAsia="Palatino Linotype" w:hAnsi="Palatino Linotype" w:cs="Palatino Linotype"/>
                <w:i/>
                <w:iCs/>
              </w:rPr>
            </w:pPr>
            <w:r w:rsidRPr="00EC5A4C">
              <w:rPr>
                <w:rFonts w:ascii="Palatino Linotype" w:eastAsia="Palatino Linotype" w:hAnsi="Palatino Linotype" w:cs="Palatino Linotype"/>
                <w:i/>
                <w:iCs/>
              </w:rPr>
              <w:t>Se solicita dar atención a lo solicitado de manera puntual.</w:t>
            </w:r>
          </w:p>
        </w:tc>
        <w:tc>
          <w:tcPr>
            <w:tcW w:w="2960" w:type="dxa"/>
          </w:tcPr>
          <w:p w14:paraId="65EE0DFE" w14:textId="133A4F30" w:rsidR="00325FA8" w:rsidRPr="00EC5A4C" w:rsidRDefault="000E16AE" w:rsidP="00384E76">
            <w:pPr>
              <w:jc w:val="both"/>
              <w:rPr>
                <w:rFonts w:ascii="Palatino Linotype" w:eastAsia="Palatino Linotype" w:hAnsi="Palatino Linotype" w:cs="Palatino Linotype"/>
                <w:i/>
                <w:iCs/>
              </w:rPr>
            </w:pPr>
            <w:r w:rsidRPr="00EC5A4C">
              <w:rPr>
                <w:rFonts w:ascii="Palatino Linotype" w:eastAsia="Palatino Linotype" w:hAnsi="Palatino Linotype" w:cs="Palatino Linotype"/>
                <w:i/>
                <w:iCs/>
              </w:rPr>
              <w:t>Se solicita dar atención a lo solicitado de manera puntual.</w:t>
            </w:r>
          </w:p>
        </w:tc>
      </w:tr>
      <w:tr w:rsidR="00EC5A4C" w:rsidRPr="00EC5A4C" w14:paraId="1CD24285" w14:textId="77777777" w:rsidTr="00384E76">
        <w:trPr>
          <w:trHeight w:val="617"/>
        </w:trPr>
        <w:tc>
          <w:tcPr>
            <w:tcW w:w="2682" w:type="dxa"/>
          </w:tcPr>
          <w:p w14:paraId="0AACE915" w14:textId="41A60756" w:rsidR="00325FA8" w:rsidRPr="00EC5A4C" w:rsidRDefault="00325FA8" w:rsidP="00384E76">
            <w:pPr>
              <w:jc w:val="both"/>
              <w:rPr>
                <w:rFonts w:ascii="Palatino Linotype" w:eastAsia="Palatino Linotype" w:hAnsi="Palatino Linotype" w:cs="Palatino Linotype"/>
              </w:rPr>
            </w:pPr>
            <w:r w:rsidRPr="00EC5A4C">
              <w:rPr>
                <w:rFonts w:ascii="Palatino Linotype" w:eastAsia="Palatino Linotype" w:hAnsi="Palatino Linotype" w:cs="Palatino Linotype"/>
                <w:b/>
              </w:rPr>
              <w:t>0</w:t>
            </w:r>
            <w:r w:rsidR="000E16AE" w:rsidRPr="00EC5A4C">
              <w:rPr>
                <w:rFonts w:ascii="Palatino Linotype" w:eastAsia="Palatino Linotype" w:hAnsi="Palatino Linotype" w:cs="Palatino Linotype"/>
                <w:b/>
              </w:rPr>
              <w:t>6505</w:t>
            </w:r>
            <w:r w:rsidRPr="00EC5A4C">
              <w:rPr>
                <w:rFonts w:ascii="Palatino Linotype" w:eastAsia="Palatino Linotype" w:hAnsi="Palatino Linotype" w:cs="Palatino Linotype"/>
                <w:b/>
              </w:rPr>
              <w:t>/INFOEM/IP/RR/2024</w:t>
            </w:r>
          </w:p>
        </w:tc>
        <w:tc>
          <w:tcPr>
            <w:tcW w:w="3413" w:type="dxa"/>
          </w:tcPr>
          <w:p w14:paraId="26768C31" w14:textId="34B3AE18" w:rsidR="00325FA8" w:rsidRPr="00EC5A4C" w:rsidRDefault="000E16AE" w:rsidP="00384E76">
            <w:pPr>
              <w:jc w:val="both"/>
              <w:rPr>
                <w:rFonts w:ascii="Palatino Linotype" w:hAnsi="Palatino Linotype"/>
                <w:i/>
                <w:lang w:eastAsia="es-MX"/>
              </w:rPr>
            </w:pPr>
            <w:r w:rsidRPr="00EC5A4C">
              <w:rPr>
                <w:rFonts w:ascii="Palatino Linotype" w:hAnsi="Palatino Linotype"/>
                <w:i/>
              </w:rPr>
              <w:t>Se solicita dar atención a lo solicitado de manera puntual.</w:t>
            </w:r>
          </w:p>
        </w:tc>
        <w:tc>
          <w:tcPr>
            <w:tcW w:w="2960" w:type="dxa"/>
          </w:tcPr>
          <w:p w14:paraId="2CED0B2B" w14:textId="793E902B" w:rsidR="00325FA8" w:rsidRPr="00EC5A4C" w:rsidRDefault="000E16AE" w:rsidP="00384E76">
            <w:pPr>
              <w:jc w:val="both"/>
              <w:rPr>
                <w:rFonts w:ascii="Palatino Linotype" w:hAnsi="Palatino Linotype"/>
                <w:i/>
                <w:lang w:eastAsia="es-MX"/>
              </w:rPr>
            </w:pPr>
            <w:r w:rsidRPr="00EC5A4C">
              <w:rPr>
                <w:rFonts w:ascii="Palatino Linotype" w:hAnsi="Palatino Linotype"/>
                <w:i/>
              </w:rPr>
              <w:t>Se solicita dar atención a lo solicitado de manera puntual.</w:t>
            </w:r>
          </w:p>
        </w:tc>
      </w:tr>
      <w:tr w:rsidR="000E16AE" w:rsidRPr="00EC5A4C" w14:paraId="1CE8A72F" w14:textId="77777777" w:rsidTr="00384E76">
        <w:trPr>
          <w:trHeight w:val="617"/>
        </w:trPr>
        <w:tc>
          <w:tcPr>
            <w:tcW w:w="2682" w:type="dxa"/>
          </w:tcPr>
          <w:p w14:paraId="640BDCA4" w14:textId="5E3EF9D8" w:rsidR="000E16AE" w:rsidRPr="00EC5A4C" w:rsidRDefault="000E16AE" w:rsidP="00384E76">
            <w:pPr>
              <w:jc w:val="both"/>
              <w:rPr>
                <w:rFonts w:ascii="Palatino Linotype" w:eastAsia="Palatino Linotype" w:hAnsi="Palatino Linotype" w:cs="Palatino Linotype"/>
                <w:b/>
              </w:rPr>
            </w:pPr>
            <w:r w:rsidRPr="00EC5A4C">
              <w:rPr>
                <w:rFonts w:ascii="Palatino Linotype" w:eastAsia="Palatino Linotype" w:hAnsi="Palatino Linotype" w:cs="Palatino Linotype"/>
                <w:b/>
              </w:rPr>
              <w:t>06508/INFOEM/IP/RR/2024</w:t>
            </w:r>
          </w:p>
        </w:tc>
        <w:tc>
          <w:tcPr>
            <w:tcW w:w="3413" w:type="dxa"/>
          </w:tcPr>
          <w:p w14:paraId="361C78BD" w14:textId="17F0F6C5" w:rsidR="000E16AE" w:rsidRPr="00EC5A4C" w:rsidRDefault="000E16AE" w:rsidP="00384E76">
            <w:pPr>
              <w:jc w:val="both"/>
              <w:rPr>
                <w:rFonts w:ascii="Palatino Linotype" w:hAnsi="Palatino Linotype"/>
                <w:i/>
              </w:rPr>
            </w:pPr>
            <w:r w:rsidRPr="00EC5A4C">
              <w:rPr>
                <w:rFonts w:ascii="Palatino Linotype" w:hAnsi="Palatino Linotype"/>
                <w:i/>
              </w:rPr>
              <w:t>Se solicita dar atención a lo solicitado de manera puntual.</w:t>
            </w:r>
          </w:p>
        </w:tc>
        <w:tc>
          <w:tcPr>
            <w:tcW w:w="2960" w:type="dxa"/>
          </w:tcPr>
          <w:p w14:paraId="7D50B97B" w14:textId="52B0F3C9" w:rsidR="000E16AE" w:rsidRPr="00EC5A4C" w:rsidRDefault="000E16AE" w:rsidP="00384E76">
            <w:pPr>
              <w:jc w:val="both"/>
              <w:rPr>
                <w:rFonts w:ascii="Palatino Linotype" w:hAnsi="Palatino Linotype"/>
                <w:i/>
              </w:rPr>
            </w:pPr>
            <w:r w:rsidRPr="00EC5A4C">
              <w:rPr>
                <w:rFonts w:ascii="Palatino Linotype" w:hAnsi="Palatino Linotype"/>
                <w:i/>
              </w:rPr>
              <w:t>Se solicita dar atención a lo solicitado de manera puntual.</w:t>
            </w:r>
          </w:p>
        </w:tc>
      </w:tr>
    </w:tbl>
    <w:p w14:paraId="790BDC77" w14:textId="77777777" w:rsidR="000E16AE" w:rsidRPr="00EC5A4C" w:rsidRDefault="000E16AE" w:rsidP="002F2F23">
      <w:pPr>
        <w:spacing w:after="0" w:line="360" w:lineRule="auto"/>
        <w:jc w:val="both"/>
        <w:rPr>
          <w:rFonts w:ascii="Palatino Linotype" w:eastAsia="Palatino Linotype" w:hAnsi="Palatino Linotype" w:cs="Palatino Linotype"/>
        </w:rPr>
      </w:pPr>
    </w:p>
    <w:p w14:paraId="37FA0DC8" w14:textId="7530314F" w:rsidR="00E61C9D" w:rsidRPr="00EC5A4C" w:rsidRDefault="00737761" w:rsidP="000E16AE">
      <w:pPr>
        <w:spacing w:after="0" w:line="360" w:lineRule="auto"/>
        <w:jc w:val="both"/>
        <w:rPr>
          <w:rFonts w:ascii="Palatino Linotype" w:eastAsia="Palatino Linotype" w:hAnsi="Palatino Linotype" w:cs="Palatino Linotype"/>
          <w:lang w:eastAsia="es-MX"/>
        </w:rPr>
      </w:pPr>
      <w:r w:rsidRPr="00EC5A4C">
        <w:rPr>
          <w:rFonts w:ascii="Palatino Linotype" w:eastAsia="Palatino Linotype" w:hAnsi="Palatino Linotype" w:cs="Palatino Linotype"/>
          <w:b/>
        </w:rPr>
        <w:t xml:space="preserve">4. Turno. </w:t>
      </w:r>
      <w:r w:rsidR="00A53047" w:rsidRPr="00EC5A4C">
        <w:rPr>
          <w:rFonts w:ascii="Palatino Linotype" w:eastAsia="Palatino Linotype" w:hAnsi="Palatino Linotype" w:cs="Palatino Linotype"/>
          <w:lang w:eastAsia="es-MX"/>
        </w:rPr>
        <w:t xml:space="preserve">De conformidad con el artículo 185 fracción I de la Ley Transparencia y Acceso a la Información Pública, </w:t>
      </w:r>
      <w:r w:rsidR="00384E76" w:rsidRPr="00EC5A4C">
        <w:rPr>
          <w:rFonts w:ascii="Palatino Linotype" w:eastAsia="Palatino Linotype" w:hAnsi="Palatino Linotype" w:cs="Palatino Linotype"/>
          <w:lang w:eastAsia="es-MX"/>
        </w:rPr>
        <w:t xml:space="preserve">el recurso </w:t>
      </w:r>
      <w:r w:rsidR="00A53047" w:rsidRPr="00EC5A4C">
        <w:rPr>
          <w:rFonts w:ascii="Palatino Linotype" w:eastAsia="Palatino Linotype" w:hAnsi="Palatino Linotype" w:cs="Palatino Linotype"/>
          <w:lang w:eastAsia="es-MX"/>
        </w:rPr>
        <w:t xml:space="preserve">de revisión número </w:t>
      </w:r>
      <w:r w:rsidR="00A53047" w:rsidRPr="00EC5A4C">
        <w:rPr>
          <w:rFonts w:ascii="Palatino Linotype" w:eastAsia="Palatino Linotype" w:hAnsi="Palatino Linotype" w:cs="Palatino Linotype"/>
          <w:b/>
          <w:lang w:eastAsia="es-MX"/>
        </w:rPr>
        <w:t>0</w:t>
      </w:r>
      <w:r w:rsidR="000E16AE" w:rsidRPr="00EC5A4C">
        <w:rPr>
          <w:rFonts w:ascii="Palatino Linotype" w:eastAsia="Palatino Linotype" w:hAnsi="Palatino Linotype" w:cs="Palatino Linotype"/>
          <w:b/>
          <w:lang w:eastAsia="es-MX"/>
        </w:rPr>
        <w:t>6504</w:t>
      </w:r>
      <w:r w:rsidR="00A53047" w:rsidRPr="00EC5A4C">
        <w:rPr>
          <w:rFonts w:ascii="Palatino Linotype" w:eastAsia="Palatino Linotype" w:hAnsi="Palatino Linotype" w:cs="Palatino Linotype"/>
          <w:b/>
          <w:lang w:eastAsia="es-MX"/>
        </w:rPr>
        <w:t>/INFOEM/IP/RR/2024</w:t>
      </w:r>
      <w:r w:rsidR="00A53047" w:rsidRPr="00EC5A4C">
        <w:rPr>
          <w:rFonts w:ascii="Palatino Linotype" w:eastAsia="Palatino Linotype" w:hAnsi="Palatino Linotype" w:cs="Palatino Linotype"/>
          <w:lang w:eastAsia="es-MX"/>
        </w:rPr>
        <w:t xml:space="preserve">, </w:t>
      </w:r>
      <w:r w:rsidR="00384E76" w:rsidRPr="00EC5A4C">
        <w:rPr>
          <w:rFonts w:ascii="Palatino Linotype" w:eastAsia="Palatino Linotype" w:hAnsi="Palatino Linotype" w:cs="Palatino Linotype"/>
          <w:lang w:eastAsia="es-MX"/>
        </w:rPr>
        <w:t xml:space="preserve">fue turnado </w:t>
      </w:r>
      <w:r w:rsidR="00A53047" w:rsidRPr="00EC5A4C">
        <w:rPr>
          <w:rFonts w:ascii="Palatino Linotype" w:eastAsia="Palatino Linotype" w:hAnsi="Palatino Linotype" w:cs="Palatino Linotype"/>
          <w:lang w:eastAsia="es-MX"/>
        </w:rPr>
        <w:t xml:space="preserve">a la Comisionada Guadalupe Ramírez Peña; </w:t>
      </w:r>
      <w:r w:rsidR="00384E76" w:rsidRPr="00EC5A4C">
        <w:rPr>
          <w:rFonts w:ascii="Palatino Linotype" w:eastAsia="Palatino Linotype" w:hAnsi="Palatino Linotype" w:cs="Palatino Linotype"/>
          <w:lang w:eastAsia="es-MX"/>
        </w:rPr>
        <w:t>el recurso</w:t>
      </w:r>
      <w:r w:rsidR="00A53047" w:rsidRPr="00EC5A4C">
        <w:rPr>
          <w:rFonts w:ascii="Palatino Linotype" w:eastAsia="Palatino Linotype" w:hAnsi="Palatino Linotype" w:cs="Palatino Linotype"/>
          <w:lang w:eastAsia="es-MX"/>
        </w:rPr>
        <w:t xml:space="preserve"> </w:t>
      </w:r>
      <w:r w:rsidR="00A53047" w:rsidRPr="00EC5A4C">
        <w:rPr>
          <w:rFonts w:ascii="Palatino Linotype" w:eastAsia="Palatino Linotype" w:hAnsi="Palatino Linotype" w:cs="Palatino Linotype"/>
          <w:b/>
          <w:lang w:eastAsia="es-MX"/>
        </w:rPr>
        <w:t>0</w:t>
      </w:r>
      <w:r w:rsidR="000E16AE" w:rsidRPr="00EC5A4C">
        <w:rPr>
          <w:rFonts w:ascii="Palatino Linotype" w:eastAsia="Palatino Linotype" w:hAnsi="Palatino Linotype" w:cs="Palatino Linotype"/>
          <w:b/>
          <w:lang w:eastAsia="es-MX"/>
        </w:rPr>
        <w:t>6505</w:t>
      </w:r>
      <w:r w:rsidR="00384E76" w:rsidRPr="00EC5A4C">
        <w:rPr>
          <w:rFonts w:ascii="Palatino Linotype" w:eastAsia="Palatino Linotype" w:hAnsi="Palatino Linotype" w:cs="Palatino Linotype"/>
          <w:b/>
          <w:lang w:eastAsia="es-MX"/>
        </w:rPr>
        <w:t xml:space="preserve">/INFOEM/IP/RR/2024 </w:t>
      </w:r>
      <w:r w:rsidR="00A53047" w:rsidRPr="00EC5A4C">
        <w:rPr>
          <w:rFonts w:ascii="Palatino Linotype" w:eastAsia="Palatino Linotype" w:hAnsi="Palatino Linotype" w:cs="Palatino Linotype"/>
          <w:lang w:eastAsia="es-MX"/>
        </w:rPr>
        <w:t xml:space="preserve">al </w:t>
      </w:r>
      <w:r w:rsidR="00A53047" w:rsidRPr="00EC5A4C">
        <w:rPr>
          <w:rFonts w:ascii="Palatino Linotype" w:eastAsia="Palatino Linotype" w:hAnsi="Palatino Linotype" w:cs="Palatino Linotype"/>
          <w:lang w:eastAsia="es-MX"/>
        </w:rPr>
        <w:lastRenderedPageBreak/>
        <w:t>Comisionado Pr</w:t>
      </w:r>
      <w:r w:rsidR="000E16AE" w:rsidRPr="00EC5A4C">
        <w:rPr>
          <w:rFonts w:ascii="Palatino Linotype" w:eastAsia="Palatino Linotype" w:hAnsi="Palatino Linotype" w:cs="Palatino Linotype"/>
          <w:lang w:eastAsia="es-MX"/>
        </w:rPr>
        <w:t xml:space="preserve">esidente José Martínez Vilchis y el recurso </w:t>
      </w:r>
      <w:r w:rsidR="000E16AE" w:rsidRPr="00EC5A4C">
        <w:rPr>
          <w:rFonts w:ascii="Palatino Linotype" w:eastAsia="Palatino Linotype" w:hAnsi="Palatino Linotype" w:cs="Palatino Linotype"/>
          <w:b/>
          <w:lang w:eastAsia="es-MX"/>
        </w:rPr>
        <w:t xml:space="preserve">06508/INFOEM/IP/RR/2024 </w:t>
      </w:r>
      <w:r w:rsidR="000E16AE" w:rsidRPr="00EC5A4C">
        <w:rPr>
          <w:rFonts w:ascii="Palatino Linotype" w:eastAsia="Palatino Linotype" w:hAnsi="Palatino Linotype" w:cs="Palatino Linotype"/>
          <w:lang w:eastAsia="es-MX"/>
        </w:rPr>
        <w:t>a la Comisionada María del Rosario Mejía Ayala.</w:t>
      </w:r>
    </w:p>
    <w:p w14:paraId="56502B3E" w14:textId="77777777" w:rsidR="00010832" w:rsidRPr="00EC5A4C" w:rsidRDefault="00010832" w:rsidP="000E16AE">
      <w:pPr>
        <w:spacing w:after="0" w:line="360" w:lineRule="auto"/>
        <w:jc w:val="both"/>
        <w:rPr>
          <w:rFonts w:ascii="Palatino Linotype" w:eastAsia="Palatino Linotype" w:hAnsi="Palatino Linotype" w:cs="Palatino Linotype"/>
          <w:lang w:eastAsia="es-MX"/>
        </w:rPr>
      </w:pPr>
    </w:p>
    <w:p w14:paraId="14F2CDE4" w14:textId="19332E1B" w:rsidR="00E61C9D" w:rsidRPr="00EC5A4C" w:rsidRDefault="00737761" w:rsidP="00384E76">
      <w:pPr>
        <w:spacing w:after="0" w:line="360" w:lineRule="auto"/>
        <w:ind w:right="51"/>
        <w:jc w:val="both"/>
        <w:rPr>
          <w:rFonts w:ascii="Palatino Linotype" w:eastAsia="Palatino Linotype" w:hAnsi="Palatino Linotype" w:cs="Palatino Linotype"/>
          <w:b/>
          <w:lang w:eastAsia="es-MX"/>
        </w:rPr>
      </w:pPr>
      <w:r w:rsidRPr="00EC5A4C">
        <w:rPr>
          <w:rFonts w:ascii="Palatino Linotype" w:eastAsia="Palatino Linotype" w:hAnsi="Palatino Linotype" w:cs="Palatino Linotype"/>
          <w:b/>
        </w:rPr>
        <w:t xml:space="preserve">5. </w:t>
      </w:r>
      <w:r w:rsidR="00623FF5" w:rsidRPr="00EC5A4C">
        <w:rPr>
          <w:rFonts w:ascii="Palatino Linotype" w:eastAsia="Palatino Linotype" w:hAnsi="Palatino Linotype" w:cs="Palatino Linotype"/>
          <w:b/>
          <w:lang w:eastAsia="es-MX"/>
        </w:rPr>
        <w:t xml:space="preserve">Admisión de los Recursos de Revisión. </w:t>
      </w:r>
      <w:r w:rsidR="00623FF5" w:rsidRPr="00EC5A4C">
        <w:rPr>
          <w:rFonts w:ascii="Palatino Linotype" w:eastAsia="Palatino Linotype" w:hAnsi="Palatino Linotype" w:cs="Palatino Linotype"/>
          <w:lang w:eastAsia="es-MX"/>
        </w:rPr>
        <w:t xml:space="preserve">En fecha </w:t>
      </w:r>
      <w:r w:rsidR="000E16AE" w:rsidRPr="00EC5A4C">
        <w:rPr>
          <w:rFonts w:ascii="Palatino Linotype" w:eastAsia="Palatino Linotype" w:hAnsi="Palatino Linotype" w:cs="Palatino Linotype"/>
          <w:b/>
          <w:lang w:eastAsia="es-MX"/>
        </w:rPr>
        <w:t>veintiuno, veintidós y</w:t>
      </w:r>
      <w:r w:rsidR="000E16AE" w:rsidRPr="00EC5A4C">
        <w:rPr>
          <w:rFonts w:ascii="Palatino Linotype" w:eastAsia="Palatino Linotype" w:hAnsi="Palatino Linotype" w:cs="Palatino Linotype"/>
          <w:lang w:eastAsia="es-MX"/>
        </w:rPr>
        <w:t xml:space="preserve"> </w:t>
      </w:r>
      <w:r w:rsidR="000E16AE" w:rsidRPr="00EC5A4C">
        <w:rPr>
          <w:rFonts w:ascii="Palatino Linotype" w:eastAsia="Palatino Linotype" w:hAnsi="Palatino Linotype" w:cs="Palatino Linotype"/>
          <w:b/>
          <w:lang w:eastAsia="es-MX"/>
        </w:rPr>
        <w:t xml:space="preserve">veinticuatro </w:t>
      </w:r>
      <w:r w:rsidR="00AE20D4" w:rsidRPr="00EC5A4C">
        <w:rPr>
          <w:rFonts w:ascii="Palatino Linotype" w:eastAsia="Palatino Linotype" w:hAnsi="Palatino Linotype" w:cs="Palatino Linotype"/>
          <w:b/>
          <w:lang w:eastAsia="es-MX"/>
        </w:rPr>
        <w:t xml:space="preserve">de </w:t>
      </w:r>
      <w:r w:rsidR="00384E76" w:rsidRPr="00EC5A4C">
        <w:rPr>
          <w:rFonts w:ascii="Palatino Linotype" w:eastAsia="Palatino Linotype" w:hAnsi="Palatino Linotype" w:cs="Palatino Linotype"/>
          <w:b/>
          <w:lang w:eastAsia="es-MX"/>
        </w:rPr>
        <w:t>octubre</w:t>
      </w:r>
      <w:r w:rsidR="00623FF5" w:rsidRPr="00EC5A4C">
        <w:rPr>
          <w:rFonts w:ascii="Palatino Linotype" w:eastAsia="Palatino Linotype" w:hAnsi="Palatino Linotype" w:cs="Palatino Linotype"/>
          <w:b/>
          <w:lang w:eastAsia="es-MX"/>
        </w:rPr>
        <w:t xml:space="preserve"> de dos mil veinticuatro</w:t>
      </w:r>
      <w:r w:rsidR="00623FF5" w:rsidRPr="00EC5A4C">
        <w:rPr>
          <w:rFonts w:ascii="Palatino Linotype" w:eastAsia="Palatino Linotype" w:hAnsi="Palatino Linotype" w:cs="Palatino Linotype"/>
          <w:lang w:eastAsia="es-MX"/>
        </w:rPr>
        <w:t>, en términos de lo dispuesto en el artículo 185 fracciones I, II y IV de la Ley de Transparencia y Acceso a la Información Pública del Estado de México y Munici</w:t>
      </w:r>
      <w:r w:rsidR="000E16AE" w:rsidRPr="00EC5A4C">
        <w:rPr>
          <w:rFonts w:ascii="Palatino Linotype" w:eastAsia="Palatino Linotype" w:hAnsi="Palatino Linotype" w:cs="Palatino Linotype"/>
          <w:lang w:eastAsia="es-MX"/>
        </w:rPr>
        <w:t>pios, se admitieron a trámite los</w:t>
      </w:r>
      <w:r w:rsidR="00623FF5" w:rsidRPr="00EC5A4C">
        <w:rPr>
          <w:rFonts w:ascii="Palatino Linotype" w:eastAsia="Palatino Linotype" w:hAnsi="Palatino Linotype" w:cs="Palatino Linotype"/>
          <w:lang w:eastAsia="es-MX"/>
        </w:rPr>
        <w:t xml:space="preserve"> recurso</w:t>
      </w:r>
      <w:r w:rsidR="000E16AE" w:rsidRPr="00EC5A4C">
        <w:rPr>
          <w:rFonts w:ascii="Palatino Linotype" w:eastAsia="Palatino Linotype" w:hAnsi="Palatino Linotype" w:cs="Palatino Linotype"/>
          <w:lang w:eastAsia="es-MX"/>
        </w:rPr>
        <w:t>s</w:t>
      </w:r>
      <w:r w:rsidR="00623FF5" w:rsidRPr="00EC5A4C">
        <w:rPr>
          <w:rFonts w:ascii="Palatino Linotype" w:eastAsia="Palatino Linotype" w:hAnsi="Palatino Linotype" w:cs="Palatino Linotype"/>
          <w:lang w:eastAsia="es-MX"/>
        </w:rPr>
        <w:t xml:space="preserve"> de revisión </w:t>
      </w:r>
      <w:r w:rsidR="00623FF5" w:rsidRPr="00EC5A4C">
        <w:rPr>
          <w:rFonts w:ascii="Palatino Linotype" w:eastAsia="Palatino Linotype" w:hAnsi="Palatino Linotype" w:cs="Palatino Linotype"/>
          <w:b/>
          <w:lang w:eastAsia="es-MX"/>
        </w:rPr>
        <w:t>0</w:t>
      </w:r>
      <w:r w:rsidR="000E16AE" w:rsidRPr="00EC5A4C">
        <w:rPr>
          <w:rFonts w:ascii="Palatino Linotype" w:eastAsia="Palatino Linotype" w:hAnsi="Palatino Linotype" w:cs="Palatino Linotype"/>
          <w:b/>
          <w:lang w:eastAsia="es-MX"/>
        </w:rPr>
        <w:t>6504</w:t>
      </w:r>
      <w:r w:rsidR="00384E76" w:rsidRPr="00EC5A4C">
        <w:rPr>
          <w:rFonts w:ascii="Palatino Linotype" w:eastAsia="Palatino Linotype" w:hAnsi="Palatino Linotype" w:cs="Palatino Linotype"/>
          <w:b/>
          <w:lang w:eastAsia="es-MX"/>
        </w:rPr>
        <w:t>/INFOEM/IP/RR/2024</w:t>
      </w:r>
      <w:r w:rsidR="000E16AE" w:rsidRPr="00EC5A4C">
        <w:rPr>
          <w:rFonts w:ascii="Palatino Linotype" w:eastAsia="Palatino Linotype" w:hAnsi="Palatino Linotype" w:cs="Palatino Linotype"/>
          <w:b/>
          <w:lang w:eastAsia="es-MX"/>
        </w:rPr>
        <w:t>, 06505/INFOEM/IP/RR/2024</w:t>
      </w:r>
      <w:r w:rsidR="00384E76" w:rsidRPr="00EC5A4C">
        <w:rPr>
          <w:rFonts w:ascii="Palatino Linotype" w:eastAsia="Palatino Linotype" w:hAnsi="Palatino Linotype" w:cs="Palatino Linotype"/>
          <w:b/>
          <w:lang w:eastAsia="es-MX"/>
        </w:rPr>
        <w:t xml:space="preserve"> </w:t>
      </w:r>
      <w:r w:rsidR="00623FF5" w:rsidRPr="00EC5A4C">
        <w:rPr>
          <w:rFonts w:ascii="Palatino Linotype" w:eastAsia="Palatino Linotype" w:hAnsi="Palatino Linotype" w:cs="Palatino Linotype"/>
          <w:b/>
          <w:lang w:eastAsia="es-MX"/>
        </w:rPr>
        <w:t>y 0</w:t>
      </w:r>
      <w:r w:rsidR="000E16AE" w:rsidRPr="00EC5A4C">
        <w:rPr>
          <w:rFonts w:ascii="Palatino Linotype" w:eastAsia="Palatino Linotype" w:hAnsi="Palatino Linotype" w:cs="Palatino Linotype"/>
          <w:b/>
          <w:lang w:eastAsia="es-MX"/>
        </w:rPr>
        <w:t>6508</w:t>
      </w:r>
      <w:r w:rsidR="00384E76" w:rsidRPr="00EC5A4C">
        <w:rPr>
          <w:rFonts w:ascii="Palatino Linotype" w:eastAsia="Palatino Linotype" w:hAnsi="Palatino Linotype" w:cs="Palatino Linotype"/>
          <w:b/>
          <w:lang w:eastAsia="es-MX"/>
        </w:rPr>
        <w:t>/INFOEM/IP/RR/2024.</w:t>
      </w:r>
    </w:p>
    <w:p w14:paraId="2F5ED9B0" w14:textId="77777777" w:rsidR="00384E76" w:rsidRPr="00EC5A4C" w:rsidRDefault="00384E76" w:rsidP="00384E76">
      <w:pPr>
        <w:spacing w:after="0" w:line="360" w:lineRule="auto"/>
        <w:ind w:right="51"/>
        <w:jc w:val="both"/>
        <w:rPr>
          <w:rFonts w:ascii="Palatino Linotype" w:eastAsia="Palatino Linotype" w:hAnsi="Palatino Linotype" w:cs="Palatino Linotype"/>
          <w:b/>
        </w:rPr>
      </w:pPr>
    </w:p>
    <w:p w14:paraId="502ACD23" w14:textId="773D1BEC" w:rsidR="007C4859" w:rsidRPr="00EC5A4C" w:rsidRDefault="00737761" w:rsidP="002F2F2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6. Manifestaciones. </w:t>
      </w:r>
      <w:r w:rsidRPr="00EC5A4C">
        <w:rPr>
          <w:rFonts w:ascii="Palatino Linotype" w:eastAsia="Palatino Linotype" w:hAnsi="Palatino Linotype" w:cs="Palatino Linotype"/>
        </w:rPr>
        <w:t>En fecha</w:t>
      </w:r>
      <w:r w:rsidR="00A04904" w:rsidRPr="00EC5A4C">
        <w:rPr>
          <w:rFonts w:ascii="Palatino Linotype" w:eastAsia="Palatino Linotype" w:hAnsi="Palatino Linotype" w:cs="Palatino Linotype"/>
        </w:rPr>
        <w:t>s</w:t>
      </w:r>
      <w:r w:rsidRPr="00EC5A4C">
        <w:rPr>
          <w:rFonts w:ascii="Palatino Linotype" w:eastAsia="Palatino Linotype" w:hAnsi="Palatino Linotype" w:cs="Palatino Linotype"/>
        </w:rPr>
        <w:t xml:space="preserve"> </w:t>
      </w:r>
      <w:r w:rsidR="003D28EB" w:rsidRPr="00EC5A4C">
        <w:rPr>
          <w:rFonts w:ascii="Palatino Linotype" w:eastAsia="Palatino Linotype" w:hAnsi="Palatino Linotype" w:cs="Palatino Linotype"/>
          <w:b/>
        </w:rPr>
        <w:t>treinta</w:t>
      </w:r>
      <w:r w:rsidR="00384E76" w:rsidRPr="00EC5A4C">
        <w:rPr>
          <w:rFonts w:ascii="Palatino Linotype" w:eastAsia="Palatino Linotype" w:hAnsi="Palatino Linotype" w:cs="Palatino Linotype"/>
          <w:b/>
        </w:rPr>
        <w:t xml:space="preserve"> de octubre</w:t>
      </w:r>
      <w:r w:rsidRPr="00EC5A4C">
        <w:rPr>
          <w:rFonts w:ascii="Palatino Linotype" w:eastAsia="Palatino Linotype" w:hAnsi="Palatino Linotype" w:cs="Palatino Linotype"/>
          <w:b/>
        </w:rPr>
        <w:t xml:space="preserve"> de dos mil veinticuatro</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EL SUJETO OBLIGADO</w:t>
      </w:r>
      <w:r w:rsidRPr="00EC5A4C">
        <w:rPr>
          <w:rFonts w:ascii="Palatino Linotype" w:eastAsia="Palatino Linotype" w:hAnsi="Palatino Linotype" w:cs="Palatino Linotype"/>
        </w:rPr>
        <w:t xml:space="preserve"> rindió su informe justificado </w:t>
      </w:r>
      <w:r w:rsidR="00A032EA" w:rsidRPr="00EC5A4C">
        <w:rPr>
          <w:rFonts w:ascii="Palatino Linotype" w:eastAsia="Palatino Linotype" w:hAnsi="Palatino Linotype" w:cs="Palatino Linotype"/>
        </w:rPr>
        <w:t xml:space="preserve">en todos los casos, </w:t>
      </w:r>
      <w:r w:rsidRPr="00EC5A4C">
        <w:rPr>
          <w:rFonts w:ascii="Palatino Linotype" w:eastAsia="Palatino Linotype" w:hAnsi="Palatino Linotype" w:cs="Palatino Linotype"/>
        </w:rPr>
        <w:t>de la siguiente forma:</w:t>
      </w:r>
    </w:p>
    <w:p w14:paraId="5B7C7F79" w14:textId="77777777" w:rsidR="000E16AE" w:rsidRPr="00EC5A4C" w:rsidRDefault="000E16AE" w:rsidP="002F2F23">
      <w:pPr>
        <w:spacing w:after="0" w:line="360" w:lineRule="auto"/>
        <w:jc w:val="both"/>
        <w:rPr>
          <w:rFonts w:ascii="Palatino Linotype" w:eastAsia="Palatino Linotype" w:hAnsi="Palatino Linotype" w:cs="Palatino Linotype"/>
        </w:rPr>
      </w:pPr>
    </w:p>
    <w:tbl>
      <w:tblPr>
        <w:tblStyle w:val="Tablaconcuadrcula"/>
        <w:tblW w:w="9209" w:type="dxa"/>
        <w:tblLook w:val="04A0" w:firstRow="1" w:lastRow="0" w:firstColumn="1" w:lastColumn="0" w:noHBand="0" w:noVBand="1"/>
      </w:tblPr>
      <w:tblGrid>
        <w:gridCol w:w="2929"/>
        <w:gridCol w:w="6280"/>
      </w:tblGrid>
      <w:tr w:rsidR="00EC5A4C" w:rsidRPr="00EC5A4C" w14:paraId="425C4675" w14:textId="77777777" w:rsidTr="000E16AE">
        <w:tc>
          <w:tcPr>
            <w:tcW w:w="2682" w:type="dxa"/>
          </w:tcPr>
          <w:p w14:paraId="5536BB70" w14:textId="77777777" w:rsidR="000E16AE" w:rsidRPr="00EC5A4C" w:rsidRDefault="000E16AE" w:rsidP="00AC1F5A">
            <w:pPr>
              <w:jc w:val="center"/>
              <w:rPr>
                <w:rFonts w:ascii="Palatino Linotype" w:eastAsia="Palatino Linotype" w:hAnsi="Palatino Linotype" w:cs="Palatino Linotype"/>
                <w:b/>
                <w:bCs/>
              </w:rPr>
            </w:pPr>
            <w:r w:rsidRPr="00EC5A4C">
              <w:rPr>
                <w:rFonts w:ascii="Palatino Linotype" w:eastAsia="Palatino Linotype" w:hAnsi="Palatino Linotype" w:cs="Palatino Linotype"/>
                <w:b/>
                <w:bCs/>
              </w:rPr>
              <w:t>Recurso de Revisión</w:t>
            </w:r>
          </w:p>
        </w:tc>
        <w:tc>
          <w:tcPr>
            <w:tcW w:w="6527" w:type="dxa"/>
          </w:tcPr>
          <w:p w14:paraId="2FC1A0E3" w14:textId="69C5AEA8" w:rsidR="000E16AE" w:rsidRPr="00EC5A4C" w:rsidRDefault="000E16AE" w:rsidP="00AC1F5A">
            <w:pPr>
              <w:jc w:val="center"/>
              <w:rPr>
                <w:rFonts w:ascii="Palatino Linotype" w:eastAsia="Palatino Linotype" w:hAnsi="Palatino Linotype" w:cs="Palatino Linotype"/>
                <w:b/>
                <w:bCs/>
              </w:rPr>
            </w:pPr>
            <w:r w:rsidRPr="00EC5A4C">
              <w:rPr>
                <w:rFonts w:ascii="Palatino Linotype" w:eastAsia="Palatino Linotype" w:hAnsi="Palatino Linotype" w:cs="Palatino Linotype"/>
                <w:b/>
                <w:bCs/>
              </w:rPr>
              <w:t>Manifestaciones</w:t>
            </w:r>
          </w:p>
        </w:tc>
      </w:tr>
      <w:tr w:rsidR="00EC5A4C" w:rsidRPr="00EC5A4C" w14:paraId="5AB8CE17" w14:textId="77777777" w:rsidTr="000E16AE">
        <w:tc>
          <w:tcPr>
            <w:tcW w:w="2682" w:type="dxa"/>
          </w:tcPr>
          <w:p w14:paraId="6907C4CD" w14:textId="77777777" w:rsidR="000E16AE" w:rsidRPr="00EC5A4C" w:rsidRDefault="000E16AE" w:rsidP="00AC1F5A">
            <w:pPr>
              <w:jc w:val="both"/>
              <w:rPr>
                <w:rFonts w:ascii="Palatino Linotype" w:eastAsia="Palatino Linotype" w:hAnsi="Palatino Linotype" w:cs="Palatino Linotype"/>
              </w:rPr>
            </w:pPr>
            <w:r w:rsidRPr="00EC5A4C">
              <w:rPr>
                <w:rFonts w:ascii="Palatino Linotype" w:eastAsia="Palatino Linotype" w:hAnsi="Palatino Linotype" w:cs="Palatino Linotype"/>
                <w:b/>
              </w:rPr>
              <w:t>06504/INFOEM/IP/RR/2024</w:t>
            </w:r>
          </w:p>
        </w:tc>
        <w:tc>
          <w:tcPr>
            <w:tcW w:w="6527" w:type="dxa"/>
          </w:tcPr>
          <w:p w14:paraId="7D81830D" w14:textId="77777777" w:rsidR="000E16AE" w:rsidRPr="00EC5A4C" w:rsidRDefault="00AC1F5A" w:rsidP="000E16AE">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 xml:space="preserve">Informe justificado, signado por el Titular de la Unidad de Transparencia, mediante el cual ratificó su respuesta inicial. </w:t>
            </w:r>
          </w:p>
          <w:p w14:paraId="631FC40C" w14:textId="77777777" w:rsidR="00AC1F5A" w:rsidRPr="00EC5A4C" w:rsidRDefault="00AC1F5A" w:rsidP="000E16AE">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 xml:space="preserve">Oficio de fecha veinticuatro de octubre de dos mil veinticuatro, signado por la Subsecretaria de Planeación y Presupuesto, mediante el cual ratificó su respuesta inicial. </w:t>
            </w:r>
          </w:p>
          <w:p w14:paraId="6A15E58E" w14:textId="5BC7D13D" w:rsidR="00AC1F5A" w:rsidRPr="00EC5A4C" w:rsidRDefault="00AC1F5A" w:rsidP="000E16AE">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 xml:space="preserve">Documento Word, donde se advierte la liga electrónica en datos abiertos. </w:t>
            </w:r>
          </w:p>
        </w:tc>
      </w:tr>
      <w:tr w:rsidR="00EC5A4C" w:rsidRPr="00EC5A4C" w14:paraId="7D716677" w14:textId="77777777" w:rsidTr="000E16AE">
        <w:trPr>
          <w:trHeight w:val="617"/>
        </w:trPr>
        <w:tc>
          <w:tcPr>
            <w:tcW w:w="2682" w:type="dxa"/>
          </w:tcPr>
          <w:p w14:paraId="7EC73FB6" w14:textId="77777777" w:rsidR="000E16AE" w:rsidRPr="00EC5A4C" w:rsidRDefault="000E16AE" w:rsidP="00AC1F5A">
            <w:pPr>
              <w:jc w:val="both"/>
              <w:rPr>
                <w:rFonts w:ascii="Palatino Linotype" w:eastAsia="Palatino Linotype" w:hAnsi="Palatino Linotype" w:cs="Palatino Linotype"/>
              </w:rPr>
            </w:pPr>
            <w:r w:rsidRPr="00EC5A4C">
              <w:rPr>
                <w:rFonts w:ascii="Palatino Linotype" w:eastAsia="Palatino Linotype" w:hAnsi="Palatino Linotype" w:cs="Palatino Linotype"/>
                <w:b/>
              </w:rPr>
              <w:t>06505/INFOEM/IP/RR/2024</w:t>
            </w:r>
          </w:p>
        </w:tc>
        <w:tc>
          <w:tcPr>
            <w:tcW w:w="6527" w:type="dxa"/>
          </w:tcPr>
          <w:p w14:paraId="76186327" w14:textId="77777777" w:rsidR="00AC1F5A" w:rsidRPr="00EC5A4C" w:rsidRDefault="00AC1F5A" w:rsidP="00AC1F5A">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 xml:space="preserve">Informe justificado, signado por el Titular de la Unidad de Transparencia, mediante el cual ratificó su respuesta inicial. </w:t>
            </w:r>
          </w:p>
          <w:p w14:paraId="3D2EE1B4" w14:textId="77777777" w:rsidR="00AC1F5A" w:rsidRPr="00EC5A4C" w:rsidRDefault="00AC1F5A" w:rsidP="00AC1F5A">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 xml:space="preserve">Oficio de fecha veinticuatro de octubre de dos mil veinticuatro, signado por la Subsecretaria de Planeación y Presupuesto, mediante el cual ratificó su respuesta inicial. </w:t>
            </w:r>
          </w:p>
          <w:p w14:paraId="3CE436E2" w14:textId="7BDFA38B" w:rsidR="000E16AE" w:rsidRPr="00EC5A4C" w:rsidRDefault="00AC1F5A" w:rsidP="00AC1F5A">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Documento Word, donde se advierte la liga electrónica en datos abiertos.</w:t>
            </w:r>
          </w:p>
        </w:tc>
      </w:tr>
      <w:tr w:rsidR="000E16AE" w:rsidRPr="00EC5A4C" w14:paraId="433A0E1B" w14:textId="77777777" w:rsidTr="000E16AE">
        <w:trPr>
          <w:trHeight w:val="617"/>
        </w:trPr>
        <w:tc>
          <w:tcPr>
            <w:tcW w:w="2682" w:type="dxa"/>
          </w:tcPr>
          <w:p w14:paraId="0274CEE8" w14:textId="77777777" w:rsidR="000E16AE" w:rsidRPr="00EC5A4C" w:rsidRDefault="000E16AE" w:rsidP="00AC1F5A">
            <w:pPr>
              <w:jc w:val="both"/>
              <w:rPr>
                <w:rFonts w:ascii="Palatino Linotype" w:eastAsia="Palatino Linotype" w:hAnsi="Palatino Linotype" w:cs="Palatino Linotype"/>
                <w:b/>
              </w:rPr>
            </w:pPr>
            <w:r w:rsidRPr="00EC5A4C">
              <w:rPr>
                <w:rFonts w:ascii="Palatino Linotype" w:eastAsia="Palatino Linotype" w:hAnsi="Palatino Linotype" w:cs="Palatino Linotype"/>
                <w:b/>
              </w:rPr>
              <w:lastRenderedPageBreak/>
              <w:t>06508/INFOEM/IP/RR/2024</w:t>
            </w:r>
          </w:p>
        </w:tc>
        <w:tc>
          <w:tcPr>
            <w:tcW w:w="6527" w:type="dxa"/>
          </w:tcPr>
          <w:p w14:paraId="327E3B7B" w14:textId="77777777" w:rsidR="00AC1F5A" w:rsidRPr="00EC5A4C" w:rsidRDefault="00AC1F5A" w:rsidP="00AC1F5A">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 xml:space="preserve">Informe justificado, signado por el Titular de la Unidad de Transparencia, mediante el cual ratificó su respuesta inicial. </w:t>
            </w:r>
          </w:p>
          <w:p w14:paraId="699CF517" w14:textId="77777777" w:rsidR="00AC1F5A" w:rsidRPr="00EC5A4C" w:rsidRDefault="00AC1F5A" w:rsidP="00AC1F5A">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 xml:space="preserve">Oficio de fecha veinticuatro de octubre de dos mil veinticuatro, signado por la Subsecretaria de Planeación y Presupuesto, mediante el cual ratificó su respuesta inicial. </w:t>
            </w:r>
          </w:p>
          <w:p w14:paraId="56324E81" w14:textId="45735ECD" w:rsidR="000E16AE" w:rsidRPr="00EC5A4C" w:rsidRDefault="00AC1F5A" w:rsidP="00AC1F5A">
            <w:pPr>
              <w:pStyle w:val="Prrafodelista"/>
              <w:numPr>
                <w:ilvl w:val="0"/>
                <w:numId w:val="18"/>
              </w:numPr>
              <w:jc w:val="both"/>
              <w:rPr>
                <w:rFonts w:ascii="Palatino Linotype" w:eastAsia="Palatino Linotype" w:hAnsi="Palatino Linotype" w:cs="Palatino Linotype"/>
                <w:iCs/>
              </w:rPr>
            </w:pPr>
            <w:r w:rsidRPr="00EC5A4C">
              <w:rPr>
                <w:rFonts w:ascii="Palatino Linotype" w:eastAsia="Palatino Linotype" w:hAnsi="Palatino Linotype" w:cs="Palatino Linotype"/>
                <w:iCs/>
              </w:rPr>
              <w:t>Documento Word, donde se advierte la liga electrónica en datos abiertos.</w:t>
            </w:r>
          </w:p>
        </w:tc>
      </w:tr>
    </w:tbl>
    <w:p w14:paraId="2B5657FD" w14:textId="77777777" w:rsidR="00A032EA" w:rsidRPr="00EC5A4C" w:rsidRDefault="00A032EA" w:rsidP="002F2F23">
      <w:pPr>
        <w:spacing w:after="0" w:line="360" w:lineRule="auto"/>
        <w:jc w:val="both"/>
        <w:rPr>
          <w:rFonts w:ascii="Palatino Linotype" w:eastAsia="Palatino Linotype" w:hAnsi="Palatino Linotype" w:cs="Palatino Linotype"/>
        </w:rPr>
      </w:pPr>
    </w:p>
    <w:p w14:paraId="528137FE" w14:textId="39D081A4" w:rsidR="00384E76" w:rsidRPr="00EC5A4C" w:rsidRDefault="00384E76" w:rsidP="002F2F23">
      <w:pPr>
        <w:spacing w:after="0" w:line="360" w:lineRule="auto"/>
        <w:jc w:val="both"/>
        <w:rPr>
          <w:rFonts w:ascii="Palatino Linotype" w:eastAsia="Palatino Linotype" w:hAnsi="Palatino Linotype" w:cs="Palatino Linotype"/>
          <w:b/>
        </w:rPr>
      </w:pPr>
      <w:r w:rsidRPr="00EC5A4C">
        <w:rPr>
          <w:rFonts w:ascii="Palatino Linotype" w:eastAsia="Palatino Linotype" w:hAnsi="Palatino Linotype" w:cs="Palatino Linotype"/>
        </w:rPr>
        <w:t>Documentos que se hicieron del conocimiento de la parte Recurrente en fecha</w:t>
      </w:r>
      <w:r w:rsidR="00AC1F5A" w:rsidRPr="00EC5A4C">
        <w:rPr>
          <w:rFonts w:ascii="Palatino Linotype" w:eastAsia="Palatino Linotype" w:hAnsi="Palatino Linotype" w:cs="Palatino Linotype"/>
          <w:b/>
        </w:rPr>
        <w:t xml:space="preserve"> seis de noviembre de dos mil veinticuatro. </w:t>
      </w:r>
    </w:p>
    <w:p w14:paraId="70F8C2F4" w14:textId="77777777" w:rsidR="00384E76" w:rsidRPr="00EC5A4C" w:rsidRDefault="00384E76" w:rsidP="002F2F23">
      <w:pPr>
        <w:spacing w:after="0" w:line="360" w:lineRule="auto"/>
        <w:jc w:val="both"/>
        <w:rPr>
          <w:rFonts w:ascii="Palatino Linotype" w:eastAsia="Palatino Linotype" w:hAnsi="Palatino Linotype" w:cs="Palatino Linotype"/>
          <w:b/>
        </w:rPr>
      </w:pPr>
    </w:p>
    <w:p w14:paraId="46852386" w14:textId="1D09BAA5" w:rsidR="00034108" w:rsidRPr="00EC5A4C" w:rsidRDefault="00A032EA" w:rsidP="002F2F2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LA PARTE RECURRENTE</w:t>
      </w:r>
      <w:r w:rsidRPr="00EC5A4C">
        <w:rPr>
          <w:rFonts w:ascii="Palatino Linotype" w:eastAsia="Palatino Linotype" w:hAnsi="Palatino Linotype" w:cs="Palatino Linotype"/>
        </w:rPr>
        <w:t xml:space="preserve"> omitió realizar manifestaciones.</w:t>
      </w:r>
    </w:p>
    <w:p w14:paraId="749A4B16" w14:textId="77777777" w:rsidR="00384E76" w:rsidRPr="00EC5A4C" w:rsidRDefault="00384E76" w:rsidP="002F2F23">
      <w:pPr>
        <w:spacing w:after="0" w:line="360" w:lineRule="auto"/>
        <w:jc w:val="both"/>
        <w:rPr>
          <w:rFonts w:ascii="Palatino Linotype" w:eastAsia="Palatino Linotype" w:hAnsi="Palatino Linotype" w:cs="Palatino Linotype"/>
        </w:rPr>
      </w:pPr>
    </w:p>
    <w:p w14:paraId="7B974814" w14:textId="67101F2E" w:rsidR="002F2F23" w:rsidRPr="00EC5A4C" w:rsidRDefault="00737761" w:rsidP="002F2F23">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EC5A4C">
        <w:rPr>
          <w:rFonts w:ascii="Palatino Linotype" w:eastAsia="Palatino Linotype" w:hAnsi="Palatino Linotype" w:cs="Palatino Linotype"/>
          <w:b/>
        </w:rPr>
        <w:t xml:space="preserve">7. Acumulación. En la </w:t>
      </w:r>
      <w:r w:rsidR="00D34362" w:rsidRPr="00EC5A4C">
        <w:rPr>
          <w:rFonts w:ascii="Palatino Linotype" w:eastAsia="Palatino Linotype" w:hAnsi="Palatino Linotype" w:cs="Palatino Linotype"/>
          <w:b/>
        </w:rPr>
        <w:t xml:space="preserve">Trigésima </w:t>
      </w:r>
      <w:r w:rsidR="00AC1F5A" w:rsidRPr="00EC5A4C">
        <w:rPr>
          <w:rFonts w:ascii="Palatino Linotype" w:eastAsia="Palatino Linotype" w:hAnsi="Palatino Linotype" w:cs="Palatino Linotype"/>
          <w:b/>
        </w:rPr>
        <w:t>Octava</w:t>
      </w:r>
      <w:r w:rsidRPr="00EC5A4C">
        <w:rPr>
          <w:rFonts w:ascii="Palatino Linotype" w:eastAsia="Palatino Linotype" w:hAnsi="Palatino Linotype" w:cs="Palatino Linotype"/>
          <w:b/>
        </w:rPr>
        <w:t xml:space="preserve"> Sesión Ordinaria </w:t>
      </w:r>
      <w:r w:rsidRPr="00EC5A4C">
        <w:rPr>
          <w:rFonts w:ascii="Palatino Linotype" w:eastAsia="Palatino Linotype" w:hAnsi="Palatino Linotype" w:cs="Palatino Linotype"/>
        </w:rPr>
        <w:t>celebrada el</w:t>
      </w:r>
      <w:r w:rsidRPr="00EC5A4C">
        <w:rPr>
          <w:rFonts w:ascii="Palatino Linotype" w:eastAsia="Palatino Linotype" w:hAnsi="Palatino Linotype" w:cs="Palatino Linotype"/>
          <w:b/>
        </w:rPr>
        <w:t xml:space="preserve"> </w:t>
      </w:r>
      <w:r w:rsidR="00AC1F5A" w:rsidRPr="00EC5A4C">
        <w:rPr>
          <w:rFonts w:ascii="Palatino Linotype" w:eastAsia="Palatino Linotype" w:hAnsi="Palatino Linotype" w:cs="Palatino Linotype"/>
          <w:b/>
        </w:rPr>
        <w:t xml:space="preserve">seis de noviembre </w:t>
      </w:r>
      <w:r w:rsidRPr="00EC5A4C">
        <w:rPr>
          <w:rFonts w:ascii="Palatino Linotype" w:eastAsia="Palatino Linotype" w:hAnsi="Palatino Linotype" w:cs="Palatino Linotype"/>
          <w:b/>
        </w:rPr>
        <w:t xml:space="preserve">de dos mil veinticuatro, </w:t>
      </w:r>
      <w:r w:rsidRPr="00EC5A4C">
        <w:rPr>
          <w:rFonts w:ascii="Palatino Linotype" w:eastAsia="Palatino Linotype" w:hAnsi="Palatino Linotype" w:cs="Palatino Linotype"/>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EC5A4C">
        <w:rPr>
          <w:rFonts w:ascii="Palatino Linotype" w:eastAsia="Palatino Linotype" w:hAnsi="Palatino Linotype" w:cs="Palatino Linotype"/>
          <w:b/>
        </w:rPr>
        <w:t xml:space="preserve"> Com</w:t>
      </w:r>
      <w:r w:rsidR="002F2F23" w:rsidRPr="00EC5A4C">
        <w:rPr>
          <w:rFonts w:ascii="Palatino Linotype" w:eastAsia="Palatino Linotype" w:hAnsi="Palatino Linotype" w:cs="Palatino Linotype"/>
          <w:b/>
        </w:rPr>
        <w:t xml:space="preserve">isionada Guadalupe Ramírez Peña </w:t>
      </w:r>
      <w:r w:rsidR="002F2F23" w:rsidRPr="00EC5A4C">
        <w:rPr>
          <w:rFonts w:ascii="Palatino Linotype" w:eastAsia="Palatino Linotype" w:hAnsi="Palatino Linotype" w:cs="Palatino Linotype"/>
        </w:rPr>
        <w:t>quien 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75B5345A" w14:textId="77777777" w:rsidR="002F2F23" w:rsidRPr="00EC5A4C" w:rsidRDefault="002F2F23" w:rsidP="002F2F23">
      <w:pPr>
        <w:spacing w:after="0" w:line="360" w:lineRule="auto"/>
        <w:jc w:val="both"/>
      </w:pPr>
    </w:p>
    <w:p w14:paraId="43A66219" w14:textId="77777777" w:rsidR="002F2F23" w:rsidRPr="00EC5A4C" w:rsidRDefault="002F2F23" w:rsidP="002F2F23">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C5A4C">
        <w:rPr>
          <w:rFonts w:ascii="Palatino Linotype" w:eastAsia="Palatino Linotype" w:hAnsi="Palatino Linotype" w:cs="Palatino Linotype"/>
          <w:b/>
          <w:i/>
        </w:rPr>
        <w:t>Código de Procedimientos Administrativos del Estado de México</w:t>
      </w:r>
    </w:p>
    <w:p w14:paraId="610E273B" w14:textId="77777777" w:rsidR="002F2F23" w:rsidRPr="00EC5A4C" w:rsidRDefault="002F2F23" w:rsidP="002F2F23">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C5A4C">
        <w:rPr>
          <w:rFonts w:ascii="Palatino Linotype" w:eastAsia="Palatino Linotype" w:hAnsi="Palatino Linotype" w:cs="Palatino Linotype"/>
          <w:b/>
          <w:i/>
        </w:rPr>
        <w:lastRenderedPageBreak/>
        <w:t>“Artículo 18.-</w:t>
      </w:r>
      <w:r w:rsidRPr="00EC5A4C">
        <w:rPr>
          <w:rFonts w:ascii="Palatino Linotype" w:eastAsia="Palatino Linotype" w:hAnsi="Palatino Linotype" w:cs="Palatino Linotype"/>
          <w:i/>
        </w:rPr>
        <w:t xml:space="preserve"> </w:t>
      </w:r>
      <w:r w:rsidRPr="00EC5A4C">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EC5A4C">
        <w:rPr>
          <w:rFonts w:ascii="Palatino Linotype" w:eastAsia="Palatino Linotype" w:hAnsi="Palatino Linotype" w:cs="Palatino Linotype"/>
          <w:i/>
        </w:rPr>
        <w:t xml:space="preserve"> o a petición de parte, </w:t>
      </w:r>
      <w:r w:rsidRPr="00EC5A4C">
        <w:rPr>
          <w:rFonts w:ascii="Palatino Linotype" w:eastAsia="Palatino Linotype" w:hAnsi="Palatino Linotype" w:cs="Palatino Linotype"/>
          <w:b/>
          <w:i/>
        </w:rPr>
        <w:t>cuando las partes</w:t>
      </w:r>
      <w:r w:rsidRPr="00EC5A4C">
        <w:rPr>
          <w:rFonts w:ascii="Palatino Linotype" w:eastAsia="Palatino Linotype" w:hAnsi="Palatino Linotype" w:cs="Palatino Linotype"/>
          <w:i/>
        </w:rPr>
        <w:t xml:space="preserve"> o los actos administrativos sean iguales, se trate de actos conexos o </w:t>
      </w:r>
      <w:r w:rsidRPr="00EC5A4C">
        <w:rPr>
          <w:rFonts w:ascii="Palatino Linotype" w:eastAsia="Palatino Linotype" w:hAnsi="Palatino Linotype" w:cs="Palatino Linotype"/>
          <w:b/>
          <w:i/>
        </w:rPr>
        <w:t>resulte conveniente el trámite unificado de los asuntos, para evitar la emisión de resoluciones contradictorias</w:t>
      </w:r>
      <w:r w:rsidRPr="00EC5A4C">
        <w:rPr>
          <w:rFonts w:ascii="Palatino Linotype" w:eastAsia="Palatino Linotype" w:hAnsi="Palatino Linotype" w:cs="Palatino Linotype"/>
          <w:i/>
        </w:rPr>
        <w:t>. La misma regla se aplicará, en lo conducente, para la separación de los expedientes.”</w:t>
      </w:r>
    </w:p>
    <w:p w14:paraId="7703ED94" w14:textId="77777777" w:rsidR="002F2F23" w:rsidRPr="00EC5A4C" w:rsidRDefault="002F2F23" w:rsidP="002F2F23">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C5A4C">
        <w:rPr>
          <w:rFonts w:ascii="Palatino Linotype" w:eastAsia="Palatino Linotype" w:hAnsi="Palatino Linotype" w:cs="Palatino Linotype"/>
          <w:b/>
          <w:i/>
        </w:rPr>
        <w:t>Ley de Transparencia y Acceso a la Información Pública del Estado de México y Municipios</w:t>
      </w:r>
    </w:p>
    <w:p w14:paraId="6CBE3D3A" w14:textId="77777777" w:rsidR="002F2F23" w:rsidRPr="00EC5A4C" w:rsidRDefault="002F2F23" w:rsidP="002F2F23">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C5A4C">
        <w:rPr>
          <w:rFonts w:ascii="Palatino Linotype" w:eastAsia="Palatino Linotype" w:hAnsi="Palatino Linotype" w:cs="Palatino Linotype"/>
          <w:b/>
          <w:i/>
        </w:rPr>
        <w:t>“Artículo 195.-</w:t>
      </w:r>
      <w:r w:rsidRPr="00EC5A4C">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593FBAA7"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4030F668" w14:textId="194A05DD"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EC5A4C">
        <w:rPr>
          <w:rFonts w:ascii="Palatino Linotype" w:eastAsia="Palatino Linotype" w:hAnsi="Palatino Linotype" w:cs="Palatino Linotype"/>
          <w:b/>
        </w:rPr>
        <w:t>Recurrente</w:t>
      </w:r>
      <w:r w:rsidRPr="00EC5A4C">
        <w:rPr>
          <w:rFonts w:ascii="Palatino Linotype" w:eastAsia="Palatino Linotype" w:hAnsi="Palatino Linotype" w:cs="Palatino Linotype"/>
        </w:rPr>
        <w:t xml:space="preserve"> ante el mismo </w:t>
      </w:r>
      <w:r w:rsidRPr="00EC5A4C">
        <w:rPr>
          <w:rFonts w:ascii="Palatino Linotype" w:eastAsia="Palatino Linotype" w:hAnsi="Palatino Linotype" w:cs="Palatino Linotype"/>
          <w:b/>
        </w:rPr>
        <w:t>Sujeto Obligado</w:t>
      </w:r>
      <w:r w:rsidRPr="00EC5A4C">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56B909DF"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13BC958B" w14:textId="6F2DDCF3" w:rsidR="002F2F23" w:rsidRPr="00EC5A4C" w:rsidRDefault="002F2F23" w:rsidP="002F2F23">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EC5A4C">
        <w:rPr>
          <w:rFonts w:ascii="Palatino Linotype" w:eastAsia="Palatino Linotype" w:hAnsi="Palatino Linotype" w:cs="Palatino Linotype"/>
          <w:b/>
        </w:rPr>
        <w:t>9. Cierre de instrucción</w:t>
      </w:r>
      <w:r w:rsidR="00010832" w:rsidRPr="00EC5A4C">
        <w:rPr>
          <w:rFonts w:ascii="Palatino Linotype" w:eastAsia="Palatino Linotype" w:hAnsi="Palatino Linotype" w:cs="Palatino Linotype"/>
        </w:rPr>
        <w:t xml:space="preserve">. En fecha </w:t>
      </w:r>
      <w:r w:rsidR="00010832" w:rsidRPr="00EC5A4C">
        <w:rPr>
          <w:rFonts w:ascii="Palatino Linotype" w:eastAsia="Palatino Linotype" w:hAnsi="Palatino Linotype" w:cs="Palatino Linotype"/>
          <w:b/>
        </w:rPr>
        <w:t xml:space="preserve">trece </w:t>
      </w:r>
      <w:r w:rsidR="00CF1104" w:rsidRPr="00EC5A4C">
        <w:rPr>
          <w:rFonts w:ascii="Palatino Linotype" w:eastAsia="Palatino Linotype" w:hAnsi="Palatino Linotype" w:cs="Palatino Linotype"/>
          <w:b/>
        </w:rPr>
        <w:t>de noviembre</w:t>
      </w:r>
      <w:r w:rsidRPr="00EC5A4C">
        <w:rPr>
          <w:rFonts w:ascii="Palatino Linotype" w:eastAsia="Palatino Linotype" w:hAnsi="Palatino Linotype" w:cs="Palatino Linotype"/>
          <w:b/>
        </w:rPr>
        <w:t xml:space="preserve"> de dos mil veinticuatro</w:t>
      </w:r>
      <w:r w:rsidRPr="00EC5A4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4C1ADB1" w14:textId="77777777" w:rsidR="002F2F23" w:rsidRPr="00EC5A4C" w:rsidRDefault="002F2F23" w:rsidP="002F2F2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53141FB"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43BDAD00" w14:textId="77777777" w:rsidR="00CF1104" w:rsidRPr="00EC5A4C" w:rsidRDefault="00CF1104" w:rsidP="002F2F23">
      <w:pPr>
        <w:spacing w:after="0" w:line="360" w:lineRule="auto"/>
        <w:ind w:right="49"/>
        <w:jc w:val="both"/>
        <w:rPr>
          <w:rFonts w:ascii="Palatino Linotype" w:eastAsia="Palatino Linotype" w:hAnsi="Palatino Linotype" w:cs="Palatino Linotype"/>
        </w:rPr>
      </w:pPr>
    </w:p>
    <w:p w14:paraId="4D8247DE" w14:textId="77777777" w:rsidR="00010832" w:rsidRPr="00EC5A4C" w:rsidRDefault="00010832" w:rsidP="002F2F23">
      <w:pPr>
        <w:spacing w:after="0" w:line="360" w:lineRule="auto"/>
        <w:ind w:right="49"/>
        <w:jc w:val="both"/>
        <w:rPr>
          <w:rFonts w:ascii="Palatino Linotype" w:eastAsia="Palatino Linotype" w:hAnsi="Palatino Linotype" w:cs="Palatino Linotype"/>
        </w:rPr>
      </w:pPr>
    </w:p>
    <w:p w14:paraId="1252A460" w14:textId="77777777" w:rsidR="00010832" w:rsidRPr="00EC5A4C" w:rsidRDefault="00010832" w:rsidP="002F2F23">
      <w:pPr>
        <w:spacing w:after="0" w:line="360" w:lineRule="auto"/>
        <w:ind w:right="49"/>
        <w:jc w:val="both"/>
        <w:rPr>
          <w:rFonts w:ascii="Palatino Linotype" w:eastAsia="Palatino Linotype" w:hAnsi="Palatino Linotype" w:cs="Palatino Linotype"/>
        </w:rPr>
      </w:pPr>
    </w:p>
    <w:p w14:paraId="0778B30C" w14:textId="77777777" w:rsidR="00010832" w:rsidRPr="00EC5A4C" w:rsidRDefault="00010832" w:rsidP="002F2F23">
      <w:pPr>
        <w:spacing w:after="0" w:line="360" w:lineRule="auto"/>
        <w:ind w:right="49"/>
        <w:jc w:val="both"/>
        <w:rPr>
          <w:rFonts w:ascii="Palatino Linotype" w:eastAsia="Palatino Linotype" w:hAnsi="Palatino Linotype" w:cs="Palatino Linotype"/>
        </w:rPr>
      </w:pPr>
    </w:p>
    <w:p w14:paraId="5DBD1C7D" w14:textId="77777777" w:rsidR="002F2F23" w:rsidRPr="00EC5A4C" w:rsidRDefault="002F2F23" w:rsidP="002F2F23">
      <w:pPr>
        <w:spacing w:after="0" w:line="360" w:lineRule="auto"/>
        <w:ind w:right="49"/>
        <w:jc w:val="center"/>
        <w:rPr>
          <w:rFonts w:ascii="Palatino Linotype" w:eastAsia="Palatino Linotype" w:hAnsi="Palatino Linotype" w:cs="Palatino Linotype"/>
          <w:b/>
        </w:rPr>
      </w:pPr>
      <w:r w:rsidRPr="00EC5A4C">
        <w:rPr>
          <w:rFonts w:ascii="Palatino Linotype" w:eastAsia="Palatino Linotype" w:hAnsi="Palatino Linotype" w:cs="Palatino Linotype"/>
          <w:b/>
        </w:rPr>
        <w:lastRenderedPageBreak/>
        <w:t>II.</w:t>
      </w:r>
      <w:r w:rsidRPr="00EC5A4C">
        <w:rPr>
          <w:rFonts w:ascii="Palatino Linotype" w:eastAsia="Palatino Linotype" w:hAnsi="Palatino Linotype" w:cs="Palatino Linotype"/>
          <w:b/>
        </w:rPr>
        <w:tab/>
        <w:t>C O N S I D E R A N D O:</w:t>
      </w:r>
    </w:p>
    <w:p w14:paraId="3AFACD3D"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42A0713B" w14:textId="77777777" w:rsidR="002F2F23" w:rsidRPr="00EC5A4C" w:rsidRDefault="002F2F23" w:rsidP="002F2F2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Primero. Competencia. </w:t>
      </w:r>
      <w:r w:rsidRPr="00EC5A4C">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2024B6A2" w14:textId="77777777" w:rsidR="002F2F23" w:rsidRPr="00EC5A4C" w:rsidRDefault="002F2F23" w:rsidP="002F2F23">
      <w:pPr>
        <w:spacing w:after="0" w:line="360" w:lineRule="auto"/>
        <w:ind w:right="49"/>
        <w:jc w:val="both"/>
        <w:rPr>
          <w:rFonts w:ascii="Palatino Linotype" w:eastAsia="Palatino Linotype" w:hAnsi="Palatino Linotype" w:cs="Palatino Linotype"/>
          <w:b/>
        </w:rPr>
      </w:pPr>
    </w:p>
    <w:p w14:paraId="3B7F224B"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b/>
        </w:rPr>
        <w:t>Segundo. Oportunidad y Procedibilidad del Recurso de Revisión.</w:t>
      </w:r>
      <w:r w:rsidRPr="00EC5A4C">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17536EFD"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EC5A4C">
        <w:rPr>
          <w:rFonts w:ascii="Palatino Linotype" w:eastAsia="Palatino Linotype" w:hAnsi="Palatino Linotype" w:cs="Palatino Linotype"/>
          <w:b/>
        </w:rPr>
        <w:t>SUJETO OBLIGADO</w:t>
      </w:r>
      <w:r w:rsidRPr="00EC5A4C">
        <w:rPr>
          <w:rFonts w:ascii="Palatino Linotype" w:eastAsia="Palatino Linotype" w:hAnsi="Palatino Linotype" w:cs="Palatino Linotype"/>
        </w:rPr>
        <w:t xml:space="preserve"> remitió las respuestas a las solicitudes de información y los recursos de revisión fueron interpuestos por la parte </w:t>
      </w:r>
      <w:r w:rsidRPr="00EC5A4C">
        <w:rPr>
          <w:rFonts w:ascii="Palatino Linotype" w:eastAsia="Palatino Linotype" w:hAnsi="Palatino Linotype" w:cs="Palatino Linotype"/>
          <w:b/>
        </w:rPr>
        <w:t xml:space="preserve">RECURRENTE </w:t>
      </w:r>
      <w:r w:rsidRPr="00EC5A4C">
        <w:rPr>
          <w:rFonts w:ascii="Palatino Linotype" w:eastAsia="Palatino Linotype" w:hAnsi="Palatino Linotype" w:cs="Palatino Linotype"/>
        </w:rPr>
        <w:t>en los siguientes días:</w:t>
      </w:r>
    </w:p>
    <w:p w14:paraId="76D5AE48" w14:textId="77777777" w:rsidR="002F2F23" w:rsidRPr="00EC5A4C" w:rsidRDefault="002F2F23" w:rsidP="002F2F2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BF0DB6D" w14:textId="54EA0C23" w:rsidR="002F2F23" w:rsidRPr="00EC5A4C" w:rsidRDefault="002F2F23" w:rsidP="00010832">
      <w:pPr>
        <w:pStyle w:val="Prrafodelista"/>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El Sujeto Obligado emitió respuestas el </w:t>
      </w:r>
      <w:r w:rsidR="00644FED" w:rsidRPr="00EC5A4C">
        <w:rPr>
          <w:rFonts w:ascii="Palatino Linotype" w:eastAsia="Palatino Linotype" w:hAnsi="Palatino Linotype" w:cs="Palatino Linotype"/>
          <w:b/>
        </w:rPr>
        <w:t>nueve de octubre</w:t>
      </w:r>
      <w:r w:rsidRPr="00EC5A4C">
        <w:rPr>
          <w:rFonts w:ascii="Palatino Linotype" w:eastAsia="Palatino Linotype" w:hAnsi="Palatino Linotype" w:cs="Palatino Linotype"/>
          <w:b/>
        </w:rPr>
        <w:t xml:space="preserve"> de dos mil veinticuatro </w:t>
      </w:r>
      <w:r w:rsidRPr="00EC5A4C">
        <w:rPr>
          <w:rFonts w:ascii="Palatino Linotype" w:eastAsia="Palatino Linotype" w:hAnsi="Palatino Linotype" w:cs="Palatino Linotype"/>
        </w:rPr>
        <w:t xml:space="preserve">y la parte Recurrente interpuso su recurso de revisión el </w:t>
      </w:r>
      <w:r w:rsidR="00644FED" w:rsidRPr="00EC5A4C">
        <w:rPr>
          <w:rFonts w:ascii="Palatino Linotype" w:eastAsia="Palatino Linotype" w:hAnsi="Palatino Linotype" w:cs="Palatino Linotype"/>
          <w:b/>
        </w:rPr>
        <w:t>veintiuno de octubre</w:t>
      </w:r>
      <w:r w:rsidRPr="00EC5A4C">
        <w:rPr>
          <w:rFonts w:ascii="Palatino Linotype" w:eastAsia="Palatino Linotype" w:hAnsi="Palatino Linotype" w:cs="Palatino Linotype"/>
          <w:b/>
        </w:rPr>
        <w:t xml:space="preserve"> de dos mil veinticuatro</w:t>
      </w:r>
      <w:r w:rsidRPr="00EC5A4C">
        <w:rPr>
          <w:rFonts w:ascii="Palatino Linotype" w:eastAsia="Palatino Linotype" w:hAnsi="Palatino Linotype" w:cs="Palatino Linotype"/>
        </w:rPr>
        <w:t xml:space="preserve">, esto es al </w:t>
      </w:r>
      <w:r w:rsidR="00644FED" w:rsidRPr="00EC5A4C">
        <w:rPr>
          <w:rFonts w:ascii="Palatino Linotype" w:eastAsia="Palatino Linotype" w:hAnsi="Palatino Linotype" w:cs="Palatino Linotype"/>
        </w:rPr>
        <w:t>octavo</w:t>
      </w:r>
      <w:r w:rsidRPr="00EC5A4C">
        <w:rPr>
          <w:rFonts w:ascii="Palatino Linotype" w:eastAsia="Palatino Linotype" w:hAnsi="Palatino Linotype" w:cs="Palatino Linotype"/>
        </w:rPr>
        <w:t xml:space="preserve"> día hábil en que tuvo conocimiento de la respuesta. </w:t>
      </w:r>
    </w:p>
    <w:p w14:paraId="421ECD46"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lastRenderedPageBreak/>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EC5A4C">
        <w:rPr>
          <w:rFonts w:ascii="Palatino Linotype" w:eastAsia="Palatino Linotype" w:hAnsi="Palatino Linotype" w:cs="Palatino Linotype"/>
          <w:b/>
        </w:rPr>
        <w:t>SAIMEX</w:t>
      </w:r>
      <w:r w:rsidRPr="00EC5A4C">
        <w:rPr>
          <w:rFonts w:ascii="Palatino Linotype" w:eastAsia="Palatino Linotype" w:hAnsi="Palatino Linotype" w:cs="Palatino Linotype"/>
        </w:rPr>
        <w:t xml:space="preserve">.  </w:t>
      </w:r>
    </w:p>
    <w:p w14:paraId="32B5C6C1"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68E47BEF" w14:textId="5A8B4B95"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Finalmente, resulta procedente la interposición de los recursos de revisión al rubro anotado, toda vez que se actualizan las hipótesis de procedencia previstas en el a</w:t>
      </w:r>
      <w:r w:rsidR="00644FED" w:rsidRPr="00EC5A4C">
        <w:rPr>
          <w:rFonts w:ascii="Palatino Linotype" w:eastAsia="Palatino Linotype" w:hAnsi="Palatino Linotype" w:cs="Palatino Linotype"/>
        </w:rPr>
        <w:t xml:space="preserve">rtículo 179, fracción </w:t>
      </w:r>
      <w:r w:rsidRPr="00EC5A4C">
        <w:rPr>
          <w:rFonts w:ascii="Palatino Linotype" w:eastAsia="Palatino Linotype" w:hAnsi="Palatino Linotype" w:cs="Palatino Linotype"/>
        </w:rPr>
        <w:t>I de la Ley de la materia, que a la letra dice:</w:t>
      </w:r>
    </w:p>
    <w:p w14:paraId="65AD296D" w14:textId="77777777" w:rsidR="00644FED" w:rsidRPr="00EC5A4C" w:rsidRDefault="00644FED" w:rsidP="002F2F23">
      <w:pPr>
        <w:spacing w:after="0" w:line="360" w:lineRule="auto"/>
        <w:ind w:right="49"/>
        <w:jc w:val="both"/>
        <w:rPr>
          <w:rFonts w:ascii="Palatino Linotype" w:eastAsia="Palatino Linotype" w:hAnsi="Palatino Linotype" w:cs="Palatino Linotype"/>
        </w:rPr>
      </w:pPr>
    </w:p>
    <w:p w14:paraId="20736B33"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Pr="00EC5A4C">
        <w:rPr>
          <w:rFonts w:ascii="Palatino Linotype" w:eastAsia="Palatino Linotype" w:hAnsi="Palatino Linotype" w:cs="Palatino Linotype"/>
          <w:b/>
          <w:i/>
        </w:rPr>
        <w:t>Artículo 179.</w:t>
      </w:r>
      <w:r w:rsidRPr="00EC5A4C">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6E4592D"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013DB811"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I. La negativa de entrega a la información;</w:t>
      </w:r>
    </w:p>
    <w:p w14:paraId="37CB17CD"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2DA9F399" w14:textId="77777777" w:rsidR="002F2F23" w:rsidRPr="00EC5A4C" w:rsidRDefault="002F2F23" w:rsidP="002F2F23">
      <w:pPr>
        <w:spacing w:after="0" w:line="360" w:lineRule="auto"/>
        <w:ind w:right="49"/>
        <w:jc w:val="both"/>
        <w:rPr>
          <w:rFonts w:ascii="Palatino Linotype" w:eastAsia="Palatino Linotype" w:hAnsi="Palatino Linotype" w:cs="Palatino Linotype"/>
          <w:b/>
        </w:rPr>
      </w:pPr>
    </w:p>
    <w:p w14:paraId="6BF2FF0F" w14:textId="1D4E4854"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b/>
        </w:rPr>
        <w:t>Tercero. Materia de la revisión</w:t>
      </w:r>
      <w:r w:rsidRPr="00EC5A4C">
        <w:rPr>
          <w:rFonts w:ascii="Palatino Linotype" w:eastAsia="Palatino Linotype" w:hAnsi="Palatino Linotype" w:cs="Palatino Linotype"/>
        </w:rPr>
        <w:t>. De la revisión a las constancias y documentos que obran en los expedientes electrónicos se advierte, que el tema sobre el que este Organismo Garante de Transparencia y Acceso a la I</w:t>
      </w:r>
      <w:r w:rsidR="00644FED" w:rsidRPr="00EC5A4C">
        <w:rPr>
          <w:rFonts w:ascii="Palatino Linotype" w:eastAsia="Palatino Linotype" w:hAnsi="Palatino Linotype" w:cs="Palatino Linotype"/>
        </w:rPr>
        <w:t xml:space="preserve">nformación se pronunciará será </w:t>
      </w:r>
      <w:r w:rsidRPr="00EC5A4C">
        <w:rPr>
          <w:rFonts w:ascii="Palatino Linotype" w:eastAsia="Palatino Linotype" w:hAnsi="Palatino Linotype" w:cs="Palatino Linotype"/>
        </w:rPr>
        <w:t>determinar, si se actuali</w:t>
      </w:r>
      <w:r w:rsidR="00644FED" w:rsidRPr="00EC5A4C">
        <w:rPr>
          <w:rFonts w:ascii="Palatino Linotype" w:eastAsia="Palatino Linotype" w:hAnsi="Palatino Linotype" w:cs="Palatino Linotype"/>
        </w:rPr>
        <w:t>za la hipótesis prevista en la fracción I del</w:t>
      </w:r>
      <w:r w:rsidRPr="00EC5A4C">
        <w:rPr>
          <w:rFonts w:ascii="Palatino Linotype" w:eastAsia="Palatino Linotype" w:hAnsi="Palatino Linotype" w:cs="Palatino Linotype"/>
        </w:rPr>
        <w:t xml:space="preserve"> artículo 179 de la Ley en la materia. </w:t>
      </w:r>
    </w:p>
    <w:p w14:paraId="1A8D55C7"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642FD16B"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b/>
        </w:rPr>
        <w:t>Cuarto.</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Estudio de fondo del asunto.</w:t>
      </w:r>
      <w:r w:rsidRPr="00EC5A4C">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w:t>
      </w:r>
      <w:r w:rsidRPr="00EC5A4C">
        <w:rPr>
          <w:rFonts w:ascii="Palatino Linotype" w:eastAsia="Palatino Linotype" w:hAnsi="Palatino Linotype" w:cs="Palatino Linotype"/>
        </w:rPr>
        <w:lastRenderedPageBreak/>
        <w:t>tal y como lo prevén los arábigos 1 párrafos primero, segundo y tercero y 6 apartado A fracciones I, II, III, IV, V, VI y VII que a la letra señalan:</w:t>
      </w:r>
    </w:p>
    <w:p w14:paraId="1981D02A" w14:textId="77777777" w:rsidR="002F2F23" w:rsidRPr="00EC5A4C" w:rsidRDefault="002F2F23" w:rsidP="002F2F23">
      <w:pPr>
        <w:spacing w:after="0"/>
        <w:ind w:left="567" w:right="560"/>
        <w:jc w:val="both"/>
        <w:rPr>
          <w:rFonts w:ascii="Palatino Linotype" w:eastAsia="Palatino Linotype" w:hAnsi="Palatino Linotype" w:cs="Palatino Linotype"/>
          <w:i/>
        </w:rPr>
      </w:pPr>
    </w:p>
    <w:p w14:paraId="241B8A04"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b/>
          <w:i/>
        </w:rPr>
        <w:t>Artículo 1o.</w:t>
      </w:r>
      <w:r w:rsidRPr="00EC5A4C">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8A7C1E"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0EC85B60"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7662880"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652C79EF" w14:textId="77777777" w:rsidR="002F2F23" w:rsidRPr="00EC5A4C" w:rsidRDefault="002F2F23" w:rsidP="002F2F23">
      <w:pPr>
        <w:spacing w:after="0"/>
        <w:ind w:left="567" w:right="560"/>
        <w:jc w:val="both"/>
        <w:rPr>
          <w:rFonts w:ascii="Palatino Linotype" w:eastAsia="Palatino Linotype" w:hAnsi="Palatino Linotype" w:cs="Palatino Linotype"/>
          <w:b/>
          <w:i/>
        </w:rPr>
      </w:pPr>
      <w:r w:rsidRPr="00EC5A4C">
        <w:rPr>
          <w:rFonts w:ascii="Palatino Linotype" w:eastAsia="Palatino Linotype" w:hAnsi="Palatino Linotype" w:cs="Palatino Linotype"/>
          <w:b/>
          <w:i/>
        </w:rPr>
        <w:t>“Artículo 6o.</w:t>
      </w:r>
    </w:p>
    <w:p w14:paraId="764EB1F1"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440D6EE0"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526358D2"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8535B23"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lastRenderedPageBreak/>
        <w:t xml:space="preserve"> II. La información que se refiere a la vida privada y los datos personales será protegida en los términos y con las excepciones que fijen las leyes.</w:t>
      </w:r>
    </w:p>
    <w:p w14:paraId="40DC284E"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590302F7"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959445"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C661366"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73032551"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5ABB789B"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650EA69A"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E1A490B"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517128CD"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Pr="00EC5A4C">
        <w:rPr>
          <w:rFonts w:ascii="Palatino Linotype" w:eastAsia="Palatino Linotype" w:hAnsi="Palatino Linotype" w:cs="Palatino Linotype"/>
          <w:b/>
          <w:i/>
        </w:rPr>
        <w:t>Artículo 4.</w:t>
      </w:r>
      <w:r w:rsidRPr="00EC5A4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D371969"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5D6C249"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5AE84F26" w14:textId="77777777" w:rsidR="002F2F23" w:rsidRPr="00EC5A4C" w:rsidRDefault="002F2F23" w:rsidP="002F2F23">
      <w:pPr>
        <w:spacing w:after="0" w:line="360" w:lineRule="auto"/>
        <w:ind w:left="567" w:right="560"/>
        <w:jc w:val="both"/>
        <w:rPr>
          <w:rFonts w:ascii="Palatino Linotype" w:eastAsia="Palatino Linotype" w:hAnsi="Palatino Linotype" w:cs="Palatino Linotype"/>
          <w:i/>
        </w:rPr>
      </w:pPr>
    </w:p>
    <w:p w14:paraId="1D313C79"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4E9B55E"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14DF8E99"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Pr="00EC5A4C">
        <w:rPr>
          <w:rFonts w:ascii="Palatino Linotype" w:eastAsia="Palatino Linotype" w:hAnsi="Palatino Linotype" w:cs="Palatino Linotype"/>
          <w:b/>
          <w:i/>
        </w:rPr>
        <w:t>Artículo 12.</w:t>
      </w:r>
      <w:r w:rsidRPr="00EC5A4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F6E46F1"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4A470B5"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53848B79"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w:t>
      </w:r>
      <w:r w:rsidRPr="00EC5A4C">
        <w:rPr>
          <w:rFonts w:ascii="Palatino Linotype" w:eastAsia="Palatino Linotype" w:hAnsi="Palatino Linotype" w:cs="Palatino Linotype"/>
        </w:rPr>
        <w:lastRenderedPageBreak/>
        <w:t>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1EE771E2"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3008A52C" w14:textId="77777777" w:rsidR="002F2F23" w:rsidRPr="00EC5A4C" w:rsidRDefault="002F2F23" w:rsidP="002F2F23">
      <w:pPr>
        <w:spacing w:after="0"/>
        <w:ind w:left="567" w:right="560"/>
        <w:jc w:val="both"/>
        <w:rPr>
          <w:rFonts w:ascii="Palatino Linotype" w:eastAsia="Palatino Linotype" w:hAnsi="Palatino Linotype" w:cs="Palatino Linotype"/>
          <w:b/>
          <w:i/>
        </w:rPr>
      </w:pPr>
      <w:r w:rsidRPr="00EC5A4C">
        <w:rPr>
          <w:rFonts w:ascii="Palatino Linotype" w:eastAsia="Palatino Linotype" w:hAnsi="Palatino Linotype" w:cs="Palatino Linotype"/>
          <w:b/>
          <w:i/>
        </w:rPr>
        <w:t>Criterio 03/17</w:t>
      </w:r>
    </w:p>
    <w:p w14:paraId="56B55A0E"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b/>
          <w:i/>
        </w:rPr>
        <w:t xml:space="preserve">“NO EXISTE OBLIGACIÓN DE ELABORAR DOCUMENTOS AD HOC PARA ATENDER LAS SOLICITUDES DE ACCESO A LA INFORMACIÓN. </w:t>
      </w:r>
      <w:r w:rsidRPr="00EC5A4C">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64CB976" w14:textId="77777777" w:rsidR="002F2F23" w:rsidRPr="00EC5A4C" w:rsidRDefault="002F2F23" w:rsidP="002F2F23">
      <w:pPr>
        <w:spacing w:after="0" w:line="360" w:lineRule="auto"/>
        <w:ind w:left="567" w:right="560"/>
        <w:jc w:val="both"/>
        <w:rPr>
          <w:rFonts w:ascii="Palatino Linotype" w:eastAsia="Palatino Linotype" w:hAnsi="Palatino Linotype" w:cs="Palatino Linotype"/>
          <w:b/>
          <w:i/>
        </w:rPr>
      </w:pPr>
    </w:p>
    <w:p w14:paraId="48738656"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2F55A00"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698A73C9"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EC5A4C">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7F88D24A"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3EF84CC8"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6A65DB6"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4765ECC7"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Pr="00EC5A4C">
        <w:rPr>
          <w:rFonts w:ascii="Palatino Linotype" w:eastAsia="Palatino Linotype" w:hAnsi="Palatino Linotype" w:cs="Palatino Linotype"/>
          <w:b/>
          <w:i/>
        </w:rPr>
        <w:t>Artículo 3.</w:t>
      </w:r>
      <w:r w:rsidRPr="00EC5A4C">
        <w:rPr>
          <w:rFonts w:ascii="Palatino Linotype" w:eastAsia="Palatino Linotype" w:hAnsi="Palatino Linotype" w:cs="Palatino Linotype"/>
          <w:i/>
        </w:rPr>
        <w:t xml:space="preserve"> Para los efectos de la presente Ley se entenderá por:</w:t>
      </w:r>
    </w:p>
    <w:p w14:paraId="2C396A15"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7F4D2AB9" w14:textId="5F399325" w:rsidR="002F2F23" w:rsidRPr="00EC5A4C" w:rsidRDefault="002F2F23" w:rsidP="00644FED">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b/>
          <w:i/>
        </w:rPr>
        <w:t>XI. Documento:</w:t>
      </w:r>
      <w:r w:rsidRPr="00EC5A4C">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12BE59E" w14:textId="77777777" w:rsidR="00350833" w:rsidRPr="00EC5A4C" w:rsidRDefault="00350833" w:rsidP="002F2F23">
      <w:pPr>
        <w:spacing w:after="0" w:line="360" w:lineRule="auto"/>
        <w:ind w:right="49"/>
        <w:jc w:val="both"/>
        <w:rPr>
          <w:rFonts w:ascii="Palatino Linotype" w:eastAsia="Palatino Linotype" w:hAnsi="Palatino Linotype" w:cs="Palatino Linotype"/>
        </w:rPr>
      </w:pPr>
    </w:p>
    <w:p w14:paraId="4E6CF989"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5ADE033"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3A7EDFCA" w14:textId="77777777" w:rsidR="002F2F23" w:rsidRPr="00EC5A4C" w:rsidRDefault="002F2F23" w:rsidP="002F2F23">
      <w:pPr>
        <w:spacing w:after="0"/>
        <w:ind w:left="567" w:right="560"/>
        <w:jc w:val="both"/>
        <w:rPr>
          <w:rFonts w:ascii="Palatino Linotype" w:eastAsia="Palatino Linotype" w:hAnsi="Palatino Linotype" w:cs="Palatino Linotype"/>
          <w:b/>
          <w:i/>
        </w:rPr>
      </w:pPr>
      <w:r w:rsidRPr="00EC5A4C">
        <w:rPr>
          <w:rFonts w:ascii="Palatino Linotype" w:eastAsia="Palatino Linotype" w:hAnsi="Palatino Linotype" w:cs="Palatino Linotype"/>
          <w:i/>
        </w:rPr>
        <w:lastRenderedPageBreak/>
        <w:t>“</w:t>
      </w:r>
      <w:r w:rsidRPr="00EC5A4C">
        <w:rPr>
          <w:rFonts w:ascii="Palatino Linotype" w:eastAsia="Palatino Linotype" w:hAnsi="Palatino Linotype" w:cs="Palatino Linotype"/>
          <w:b/>
          <w:i/>
        </w:rPr>
        <w:t>CRITERIO 0002-11</w:t>
      </w:r>
    </w:p>
    <w:p w14:paraId="305C2B5D"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C5A4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F8669A"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En consecuencia el acceso a la información se refiere a que se cumplan cualquiera de los siguientes tres supuestos:</w:t>
      </w:r>
    </w:p>
    <w:p w14:paraId="0684F74B"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1)</w:t>
      </w:r>
      <w:r w:rsidRPr="00EC5A4C">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360FA774"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2)</w:t>
      </w:r>
      <w:r w:rsidRPr="00EC5A4C">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197D141" w14:textId="77777777" w:rsidR="002F2F23" w:rsidRPr="00EC5A4C" w:rsidRDefault="002F2F23" w:rsidP="002F2F23">
      <w:pPr>
        <w:spacing w:after="0"/>
        <w:ind w:left="567" w:right="560"/>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843625D" w14:textId="77777777" w:rsidR="002F2F23" w:rsidRPr="00EC5A4C" w:rsidRDefault="002F2F23" w:rsidP="002F2F23">
      <w:pPr>
        <w:spacing w:after="0" w:line="360" w:lineRule="auto"/>
        <w:ind w:right="49"/>
        <w:jc w:val="both"/>
        <w:rPr>
          <w:rFonts w:ascii="Palatino Linotype" w:eastAsia="Palatino Linotype" w:hAnsi="Palatino Linotype" w:cs="Palatino Linotype"/>
        </w:rPr>
      </w:pPr>
    </w:p>
    <w:p w14:paraId="4306FBB3" w14:textId="4459AFC9" w:rsidR="002F2F23" w:rsidRPr="00EC5A4C" w:rsidRDefault="002F2F2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De ahí que el Sujeto Obligado cuenta con el deber de satisfacer las solicitudes de acceso a la información que le sean formuladas y entregar la información pú</w:t>
      </w:r>
      <w:r w:rsidR="003D28EB" w:rsidRPr="00EC5A4C">
        <w:rPr>
          <w:rFonts w:ascii="Palatino Linotype" w:eastAsia="Palatino Linotype" w:hAnsi="Palatino Linotype" w:cs="Palatino Linotype"/>
        </w:rPr>
        <w:t xml:space="preserve">blica que obre en sus archivos, siendo la obligación mayor cuando </w:t>
      </w:r>
      <w:r w:rsidRPr="00EC5A4C">
        <w:rPr>
          <w:rFonts w:ascii="Palatino Linotype" w:eastAsia="Palatino Linotype" w:hAnsi="Palatino Linotype" w:cs="Palatino Linotype"/>
        </w:rPr>
        <w:t>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w:t>
      </w:r>
      <w:r w:rsidR="003D28EB" w:rsidRPr="00EC5A4C">
        <w:rPr>
          <w:rFonts w:ascii="Palatino Linotype" w:eastAsia="Palatino Linotype" w:hAnsi="Palatino Linotype" w:cs="Palatino Linotype"/>
        </w:rPr>
        <w:t>n a cabo los Sujetos Obligados.</w:t>
      </w:r>
    </w:p>
    <w:p w14:paraId="077857F8" w14:textId="77777777" w:rsidR="003D28EB" w:rsidRPr="00EC5A4C" w:rsidRDefault="003D28EB" w:rsidP="002F2F23">
      <w:pPr>
        <w:spacing w:after="0" w:line="360" w:lineRule="auto"/>
        <w:ind w:right="49"/>
        <w:jc w:val="both"/>
        <w:rPr>
          <w:rFonts w:ascii="Palatino Linotype" w:eastAsia="Palatino Linotype" w:hAnsi="Palatino Linotype" w:cs="Palatino Linotype"/>
        </w:rPr>
      </w:pPr>
    </w:p>
    <w:p w14:paraId="7D2E7DA6" w14:textId="0EB60CF3" w:rsidR="002F2F23" w:rsidRPr="00EC5A4C" w:rsidRDefault="002F2F23" w:rsidP="00CF1104">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Ahora bien, es preciso mencionar que la parte Recurrente requirió la siguiente información:</w:t>
      </w:r>
    </w:p>
    <w:p w14:paraId="791B7B19" w14:textId="77777777" w:rsidR="00231082" w:rsidRPr="00EC5A4C" w:rsidRDefault="00231082" w:rsidP="00CF1104">
      <w:pPr>
        <w:spacing w:after="0" w:line="360" w:lineRule="auto"/>
        <w:ind w:right="49"/>
        <w:jc w:val="both"/>
        <w:rPr>
          <w:rFonts w:ascii="Palatino Linotype" w:eastAsia="Palatino Linotype" w:hAnsi="Palatino Linotype" w:cs="Palatino Linotype"/>
        </w:rPr>
      </w:pPr>
    </w:p>
    <w:p w14:paraId="17C4D38A" w14:textId="4A783526" w:rsidR="00B75550" w:rsidRPr="00EC5A4C" w:rsidRDefault="00644FED" w:rsidP="00231082">
      <w:pPr>
        <w:pStyle w:val="Prrafodelista"/>
        <w:numPr>
          <w:ilvl w:val="0"/>
          <w:numId w:val="5"/>
        </w:numPr>
        <w:spacing w:after="0" w:line="360" w:lineRule="auto"/>
        <w:ind w:right="49"/>
        <w:jc w:val="both"/>
        <w:rPr>
          <w:rFonts w:ascii="Palatino Linotype" w:eastAsia="Palatino Linotype" w:hAnsi="Palatino Linotype" w:cs="Palatino Linotype"/>
          <w:b/>
        </w:rPr>
      </w:pPr>
      <w:r w:rsidRPr="00EC5A4C">
        <w:rPr>
          <w:rFonts w:ascii="Palatino Linotype" w:eastAsia="Palatino Linotype" w:hAnsi="Palatino Linotype" w:cs="Palatino Linotype"/>
          <w:b/>
        </w:rPr>
        <w:t xml:space="preserve">Los </w:t>
      </w:r>
      <w:r w:rsidRPr="00EC5A4C">
        <w:rPr>
          <w:rFonts w:ascii="Palatino Linotype" w:eastAsia="Palatino Linotype" w:hAnsi="Palatino Linotype" w:cs="Palatino Linotype"/>
          <w:b/>
          <w:u w:val="single"/>
        </w:rPr>
        <w:t xml:space="preserve">resultados </w:t>
      </w:r>
      <w:r w:rsidRPr="00EC5A4C">
        <w:rPr>
          <w:rFonts w:ascii="Palatino Linotype" w:eastAsia="Palatino Linotype" w:hAnsi="Palatino Linotype" w:cs="Palatino Linotype"/>
          <w:b/>
        </w:rPr>
        <w:t xml:space="preserve">de las evaluaciones realizadas en el ejercicio 2020, 2022 y 2023 al Issemym de la Dirección General de Evaluación del Desempeño Institucional y </w:t>
      </w:r>
      <w:r w:rsidRPr="00EC5A4C">
        <w:rPr>
          <w:rFonts w:ascii="Palatino Linotype" w:eastAsia="Palatino Linotype" w:hAnsi="Palatino Linotype" w:cs="Palatino Linotype"/>
          <w:b/>
        </w:rPr>
        <w:lastRenderedPageBreak/>
        <w:t>conocer la asesoría, participación o coparticipación de la Directora de Área adscrita a la Dirección General.</w:t>
      </w:r>
    </w:p>
    <w:p w14:paraId="3ECEE5B8" w14:textId="77777777" w:rsidR="00644FED" w:rsidRPr="00EC5A4C" w:rsidRDefault="00644FED" w:rsidP="00644FED">
      <w:pPr>
        <w:pStyle w:val="Prrafodelista"/>
        <w:spacing w:after="0" w:line="360" w:lineRule="auto"/>
        <w:ind w:right="49"/>
        <w:jc w:val="both"/>
        <w:rPr>
          <w:rFonts w:ascii="Palatino Linotype" w:eastAsia="Palatino Linotype" w:hAnsi="Palatino Linotype" w:cs="Palatino Linotype"/>
          <w:b/>
        </w:rPr>
      </w:pPr>
    </w:p>
    <w:p w14:paraId="37AB9D76" w14:textId="1F2E5457" w:rsidR="00B75550" w:rsidRPr="00EC5A4C" w:rsidRDefault="00830B61" w:rsidP="00830B61">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E</w:t>
      </w:r>
      <w:r w:rsidR="00B75550" w:rsidRPr="00EC5A4C">
        <w:rPr>
          <w:rFonts w:ascii="Palatino Linotype" w:eastAsia="Palatino Linotype" w:hAnsi="Palatino Linotype" w:cs="Palatino Linotype"/>
        </w:rPr>
        <w:t xml:space="preserve">n respuesta, el Sujeto Obligado, </w:t>
      </w:r>
      <w:r w:rsidR="008B3BC8" w:rsidRPr="00EC5A4C">
        <w:rPr>
          <w:rFonts w:ascii="Palatino Linotype" w:eastAsia="Palatino Linotype" w:hAnsi="Palatino Linotype" w:cs="Palatino Linotype"/>
        </w:rPr>
        <w:t xml:space="preserve">a través de la Subsecretaría de Planeación y Presupuesto precisó lo siguiente: </w:t>
      </w:r>
    </w:p>
    <w:p w14:paraId="724FE0B7" w14:textId="77777777" w:rsidR="008B3BC8" w:rsidRPr="00EC5A4C" w:rsidRDefault="008B3BC8" w:rsidP="00830B61">
      <w:pPr>
        <w:spacing w:after="0" w:line="360" w:lineRule="auto"/>
        <w:jc w:val="both"/>
        <w:rPr>
          <w:rFonts w:ascii="Palatino Linotype" w:eastAsia="Palatino Linotype" w:hAnsi="Palatino Linotype" w:cs="Palatino Linotype"/>
        </w:rPr>
      </w:pPr>
    </w:p>
    <w:p w14:paraId="7D6CAE42" w14:textId="0183F3B6" w:rsidR="008B3BC8" w:rsidRPr="00EC5A4C" w:rsidRDefault="008B3BC8" w:rsidP="008B3BC8">
      <w:pPr>
        <w:pStyle w:val="Prrafodelista"/>
        <w:numPr>
          <w:ilvl w:val="0"/>
          <w:numId w:val="5"/>
        </w:num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En lo que respecta al año 2023, informó que derivado de la búsqueda realizada en los archivos de la Dirección de Monitoreo y Evaluación, no se encontró documentación sobre asesorías, participación o coparticipación en las evaluaciones realizadas al Instituto de Seguridad Social del Estado de México y Municipios. En lo que respecta, a los resultados de las evaluaciones del ISSEMYM, durante el ejercicio fiscal 2023, la información se encuentra publicada en la página de Transparencia Fiscal y puede ser consultada en una liga electrónica. (Proporcionó la liga electrónica en datos cerrados y abiertos).</w:t>
      </w:r>
    </w:p>
    <w:p w14:paraId="71001D09" w14:textId="4FD6766F" w:rsidR="008B3BC8" w:rsidRPr="00EC5A4C" w:rsidRDefault="008B3BC8" w:rsidP="008B3BC8">
      <w:pPr>
        <w:pStyle w:val="Prrafodelista"/>
        <w:numPr>
          <w:ilvl w:val="0"/>
          <w:numId w:val="5"/>
        </w:num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En lo que respecta al año 2022, informó que derivado de la búsqueda realizada en los archivos de la Dirección de Monitoreo y Evaluación, no se encontró documentación sobre asesorías, participación o coparticipación en las evaluaciones realizadas al Instituto de Seguridad Social del Estado de México y Municipios. En lo que respecta, a los resultados de las evaluaciones del ISSEMYM, durante el ejercicio fiscal 2022, la información se encuentra publicada en la página de Transparencia Fiscal y puede ser consultada en una liga electrónica. (Proporcionó la liga electrónica en datos cerrados y abiertos).</w:t>
      </w:r>
    </w:p>
    <w:p w14:paraId="6146659C" w14:textId="419AD6F3" w:rsidR="008B3BC8" w:rsidRPr="00EC5A4C" w:rsidRDefault="00987F93" w:rsidP="00830B61">
      <w:pPr>
        <w:pStyle w:val="Prrafodelista"/>
        <w:numPr>
          <w:ilvl w:val="0"/>
          <w:numId w:val="5"/>
        </w:num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En lo que respecta al año 2020, informó que derivado de la búsqueda realizada en los archivos de la Dirección de Monitoreo y Evaluación, no se encontró documentación sobre asesorías, participación o coparticipación en las evaluaciones realizadas al Instituto de Seguridad Social del Estado de México y Municipios. En lo que respecta, a </w:t>
      </w:r>
      <w:r w:rsidRPr="00EC5A4C">
        <w:rPr>
          <w:rFonts w:ascii="Palatino Linotype" w:eastAsia="Palatino Linotype" w:hAnsi="Palatino Linotype" w:cs="Palatino Linotype"/>
        </w:rPr>
        <w:lastRenderedPageBreak/>
        <w:t>los resultados de las evaluaciones del ISSEMYM, durante el ejercicio fiscal 202</w:t>
      </w:r>
      <w:r w:rsidR="00F1617B" w:rsidRPr="00EC5A4C">
        <w:rPr>
          <w:rFonts w:ascii="Palatino Linotype" w:eastAsia="Palatino Linotype" w:hAnsi="Palatino Linotype" w:cs="Palatino Linotype"/>
        </w:rPr>
        <w:t>0,</w:t>
      </w:r>
      <w:r w:rsidR="00F1617B" w:rsidRPr="00EC5A4C">
        <w:t xml:space="preserve"> </w:t>
      </w:r>
      <w:r w:rsidR="00F1617B" w:rsidRPr="00EC5A4C">
        <w:rPr>
          <w:rFonts w:ascii="Palatino Linotype" w:eastAsia="Palatino Linotype" w:hAnsi="Palatino Linotype" w:cs="Palatino Linotype"/>
        </w:rPr>
        <w:t xml:space="preserve">se señaló que este no fue objeto de evaluación en dicho año, no obstante, se puede consultar el Programa Anual de Evaluación en una liga electrónica, la cual proporcionó.  </w:t>
      </w:r>
    </w:p>
    <w:p w14:paraId="13E22B3C" w14:textId="66798555" w:rsidR="00E61C9D" w:rsidRPr="00EC5A4C" w:rsidRDefault="00E61C9D" w:rsidP="002F2F23">
      <w:pPr>
        <w:spacing w:after="0" w:line="360" w:lineRule="auto"/>
        <w:ind w:right="49"/>
        <w:jc w:val="both"/>
        <w:rPr>
          <w:rFonts w:ascii="Palatino Linotype" w:eastAsia="Palatino Linotype" w:hAnsi="Palatino Linotype" w:cs="Palatino Linotype"/>
        </w:rPr>
      </w:pPr>
    </w:p>
    <w:p w14:paraId="5A9FA720" w14:textId="4206A520" w:rsidR="00B75550" w:rsidRPr="00EC5A4C" w:rsidRDefault="005E6CB2" w:rsidP="002F2F23">
      <w:pPr>
        <w:spacing w:after="0" w:line="360" w:lineRule="auto"/>
        <w:ind w:right="49"/>
        <w:jc w:val="both"/>
        <w:rPr>
          <w:rFonts w:ascii="Palatino Linotype" w:eastAsia="Palatino Linotype" w:hAnsi="Palatino Linotype" w:cs="Palatino Linotype"/>
          <w:b/>
        </w:rPr>
      </w:pPr>
      <w:r w:rsidRPr="00EC5A4C">
        <w:rPr>
          <w:rFonts w:ascii="Palatino Linotype" w:eastAsia="Palatino Linotype" w:hAnsi="Palatino Linotype" w:cs="Palatino Linotype"/>
        </w:rPr>
        <w:t>Derivado de ello, la pa</w:t>
      </w:r>
      <w:r w:rsidR="00F1617B" w:rsidRPr="00EC5A4C">
        <w:rPr>
          <w:rFonts w:ascii="Palatino Linotype" w:eastAsia="Palatino Linotype" w:hAnsi="Palatino Linotype" w:cs="Palatino Linotype"/>
        </w:rPr>
        <w:t>rte Recurrente se inconformó arguyendo que se solicitaba dar atención de manera puntual, lo que se traduce a la negativa de acceso a la información.</w:t>
      </w:r>
    </w:p>
    <w:p w14:paraId="3A5A1F86" w14:textId="77777777" w:rsidR="005E6CB2" w:rsidRPr="00EC5A4C" w:rsidRDefault="005E6CB2" w:rsidP="002F2F23">
      <w:pPr>
        <w:spacing w:after="0" w:line="360" w:lineRule="auto"/>
        <w:ind w:right="49"/>
        <w:jc w:val="both"/>
        <w:rPr>
          <w:rFonts w:ascii="Palatino Linotype" w:eastAsia="Palatino Linotype" w:hAnsi="Palatino Linotype" w:cs="Palatino Linotype"/>
          <w:b/>
        </w:rPr>
      </w:pPr>
    </w:p>
    <w:p w14:paraId="2E7830B2" w14:textId="0B6A6C96" w:rsidR="005E6CB2" w:rsidRPr="00EC5A4C" w:rsidRDefault="005E6CB2"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Es así que, mediante informe justificado, el Sujeto Obligado ratificó su respuesta inicial en cada uno de los medios de impugnación. </w:t>
      </w:r>
    </w:p>
    <w:p w14:paraId="29021ECE" w14:textId="13F987B5" w:rsidR="00E52021" w:rsidRPr="00EC5A4C" w:rsidRDefault="00E52021" w:rsidP="00B371E0">
      <w:pPr>
        <w:spacing w:after="0" w:line="360" w:lineRule="auto"/>
        <w:jc w:val="both"/>
        <w:rPr>
          <w:rFonts w:ascii="Palatino Linotype" w:eastAsia="Palatino Linotype" w:hAnsi="Palatino Linotype" w:cs="Palatino Linotype"/>
        </w:rPr>
      </w:pPr>
    </w:p>
    <w:p w14:paraId="66D7DE61" w14:textId="3BE33511" w:rsidR="00F1617B" w:rsidRPr="00EC5A4C" w:rsidRDefault="00F1617B" w:rsidP="00B371E0">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Dicho esto, es necesario traer a colación lo que establece el Reglamento Interior de la Secretaría de Finanzas, el cual precisa en su artículo 26 que, la Dirección General de Evaluación del Desempeño Institucional tendrá las siguientes atribuciones: </w:t>
      </w:r>
    </w:p>
    <w:p w14:paraId="167790FD" w14:textId="77777777" w:rsidR="00F1617B" w:rsidRPr="00EC5A4C" w:rsidRDefault="00F1617B" w:rsidP="00F1617B">
      <w:pPr>
        <w:spacing w:after="0"/>
        <w:ind w:left="567" w:right="560"/>
        <w:jc w:val="both"/>
        <w:rPr>
          <w:rFonts w:ascii="Palatino Linotype" w:eastAsia="Palatino Linotype" w:hAnsi="Palatino Linotype" w:cs="Palatino Linotype"/>
          <w:i/>
        </w:rPr>
      </w:pPr>
    </w:p>
    <w:p w14:paraId="41BB1847" w14:textId="77777777" w:rsidR="00F1617B" w:rsidRPr="00EC5A4C" w:rsidRDefault="00F1617B" w:rsidP="00F1617B">
      <w:pPr>
        <w:spacing w:after="0"/>
        <w:ind w:left="567" w:right="560"/>
        <w:jc w:val="both"/>
        <w:rPr>
          <w:rFonts w:ascii="Palatino Linotype" w:hAnsi="Palatino Linotype"/>
          <w:i/>
        </w:rPr>
      </w:pPr>
      <w:r w:rsidRPr="00EC5A4C">
        <w:rPr>
          <w:rFonts w:ascii="Palatino Linotype" w:hAnsi="Palatino Linotype"/>
          <w:b/>
          <w:i/>
        </w:rPr>
        <w:t>Artículo 26.</w:t>
      </w:r>
      <w:r w:rsidRPr="00EC5A4C">
        <w:rPr>
          <w:rFonts w:ascii="Palatino Linotype" w:hAnsi="Palatino Linotype"/>
          <w:i/>
        </w:rPr>
        <w:t xml:space="preserve"> Corresponde a la Dirección General de Evaluación del Desempeño Institucional:</w:t>
      </w:r>
    </w:p>
    <w:p w14:paraId="028032AC" w14:textId="77777777" w:rsidR="00CE1A2E" w:rsidRPr="00EC5A4C" w:rsidRDefault="00F1617B" w:rsidP="00F1617B">
      <w:pPr>
        <w:spacing w:after="0"/>
        <w:ind w:left="567" w:right="560"/>
        <w:jc w:val="both"/>
        <w:rPr>
          <w:rFonts w:ascii="Palatino Linotype" w:hAnsi="Palatino Linotype"/>
          <w:i/>
        </w:rPr>
      </w:pPr>
      <w:r w:rsidRPr="00EC5A4C">
        <w:rPr>
          <w:rFonts w:ascii="Palatino Linotype" w:hAnsi="Palatino Linotype"/>
          <w:i/>
        </w:rPr>
        <w:t xml:space="preserve"> I. Coordinar la implementación, operación y consolidación de la gestión para resultados y sus principales componentes, que son el presupuesto basado en resultados y el Sistema de Evaluación del Desempeño; </w:t>
      </w:r>
    </w:p>
    <w:p w14:paraId="1759CA0E" w14:textId="77777777" w:rsidR="00CE1A2E" w:rsidRPr="00EC5A4C" w:rsidRDefault="00F1617B" w:rsidP="00F1617B">
      <w:pPr>
        <w:spacing w:after="0"/>
        <w:ind w:left="567" w:right="560"/>
        <w:jc w:val="both"/>
        <w:rPr>
          <w:rFonts w:ascii="Palatino Linotype" w:hAnsi="Palatino Linotype"/>
          <w:i/>
        </w:rPr>
      </w:pPr>
      <w:r w:rsidRPr="00EC5A4C">
        <w:rPr>
          <w:rFonts w:ascii="Palatino Linotype" w:hAnsi="Palatino Linotype"/>
          <w:i/>
        </w:rPr>
        <w:t xml:space="preserve">II. </w:t>
      </w:r>
      <w:r w:rsidRPr="00EC5A4C">
        <w:rPr>
          <w:rFonts w:ascii="Palatino Linotype" w:hAnsi="Palatino Linotype"/>
          <w:b/>
          <w:i/>
          <w:u w:val="single"/>
        </w:rPr>
        <w:t>Emitir disposiciones normativas y metodológicas en materia de presupuesto basado en resultados y del Sistema de Evaluación del Desempeño para la mejora continua del desempeño de los Entes Públicos</w:t>
      </w:r>
      <w:r w:rsidRPr="00EC5A4C">
        <w:rPr>
          <w:rFonts w:ascii="Palatino Linotype" w:hAnsi="Palatino Linotype"/>
          <w:i/>
        </w:rPr>
        <w:t xml:space="preserve">, de acuerdo con su naturaleza jurídica y según corresponda, previa autorización de la Subsecretaría de Planeación y Presupuesto; </w:t>
      </w:r>
    </w:p>
    <w:p w14:paraId="76F30570" w14:textId="77777777" w:rsidR="00CE1A2E" w:rsidRPr="00EC5A4C" w:rsidRDefault="00F1617B" w:rsidP="00F1617B">
      <w:pPr>
        <w:spacing w:after="0"/>
        <w:ind w:left="567" w:right="560"/>
        <w:jc w:val="both"/>
        <w:rPr>
          <w:rFonts w:ascii="Palatino Linotype" w:hAnsi="Palatino Linotype"/>
          <w:b/>
          <w:i/>
          <w:u w:val="single"/>
        </w:rPr>
      </w:pPr>
      <w:r w:rsidRPr="00EC5A4C">
        <w:rPr>
          <w:rFonts w:ascii="Palatino Linotype" w:hAnsi="Palatino Linotype"/>
          <w:b/>
          <w:i/>
          <w:u w:val="single"/>
        </w:rPr>
        <w:t>III. Establecer mecanismos de coordinación y colaboración en materia de monitoreo, seguimiento y evaluación del desempeño de los programas presupuestarios con la participación de los Entes Públicos, de acuerdo con su naturaleza jurídica y según corresponda;</w:t>
      </w:r>
    </w:p>
    <w:p w14:paraId="6B672F31" w14:textId="77777777" w:rsidR="00CE1A2E" w:rsidRPr="00EC5A4C" w:rsidRDefault="00F1617B" w:rsidP="00F1617B">
      <w:pPr>
        <w:spacing w:after="0"/>
        <w:ind w:left="567" w:right="560"/>
        <w:jc w:val="both"/>
        <w:rPr>
          <w:rFonts w:ascii="Palatino Linotype" w:hAnsi="Palatino Linotype"/>
          <w:i/>
        </w:rPr>
      </w:pPr>
      <w:r w:rsidRPr="00EC5A4C">
        <w:rPr>
          <w:rFonts w:ascii="Palatino Linotype" w:hAnsi="Palatino Linotype"/>
          <w:i/>
        </w:rPr>
        <w:lastRenderedPageBreak/>
        <w:t xml:space="preserve"> IV. Concertar con los Entes Públicos, de acuerdo con su naturaleza jurídica y según corresponda, las metas de indicadores de desempeño de los programas presupuestarios del Gobierno del Estado de México, derivados de la planeación estatal del desarrollo; </w:t>
      </w:r>
    </w:p>
    <w:p w14:paraId="054124D7" w14:textId="4AD8034A" w:rsidR="00CE1A2E" w:rsidRPr="00EC5A4C" w:rsidRDefault="00CE1A2E" w:rsidP="00F1617B">
      <w:pPr>
        <w:spacing w:after="0"/>
        <w:ind w:left="567" w:right="560"/>
        <w:jc w:val="both"/>
        <w:rPr>
          <w:rFonts w:ascii="Palatino Linotype" w:hAnsi="Palatino Linotype"/>
          <w:i/>
        </w:rPr>
      </w:pPr>
      <w:r w:rsidRPr="00EC5A4C">
        <w:rPr>
          <w:rFonts w:ascii="Palatino Linotype" w:hAnsi="Palatino Linotype"/>
          <w:i/>
        </w:rPr>
        <w:t>…</w:t>
      </w:r>
    </w:p>
    <w:p w14:paraId="5C031AC1" w14:textId="77777777" w:rsidR="00CE1A2E" w:rsidRPr="00EC5A4C" w:rsidRDefault="00F1617B" w:rsidP="00F1617B">
      <w:pPr>
        <w:spacing w:after="0"/>
        <w:ind w:left="567" w:right="560"/>
        <w:jc w:val="both"/>
        <w:rPr>
          <w:rFonts w:ascii="Palatino Linotype" w:hAnsi="Palatino Linotype"/>
          <w:i/>
        </w:rPr>
      </w:pPr>
      <w:r w:rsidRPr="00EC5A4C">
        <w:rPr>
          <w:rFonts w:ascii="Palatino Linotype" w:hAnsi="Palatino Linotype"/>
          <w:i/>
        </w:rPr>
        <w:t xml:space="preserve">VI. Elaborar el Programa Anual de Evaluación de los programas presupuestarios del Gobierno del Estado de México para el ejercicio fiscal correspondiente y someterlo a la aprobación de la persona titular de la Subsecretaría de Planeación y Presupuesto; </w:t>
      </w:r>
    </w:p>
    <w:p w14:paraId="1ACD425C" w14:textId="77777777" w:rsidR="00CE1A2E" w:rsidRPr="00EC5A4C" w:rsidRDefault="00F1617B" w:rsidP="00F1617B">
      <w:pPr>
        <w:spacing w:after="0"/>
        <w:ind w:left="567" w:right="560"/>
        <w:jc w:val="both"/>
        <w:rPr>
          <w:rFonts w:ascii="Palatino Linotype" w:hAnsi="Palatino Linotype"/>
          <w:b/>
          <w:i/>
          <w:u w:val="single"/>
        </w:rPr>
      </w:pPr>
      <w:r w:rsidRPr="00EC5A4C">
        <w:rPr>
          <w:rFonts w:ascii="Palatino Linotype" w:hAnsi="Palatino Linotype"/>
          <w:b/>
          <w:i/>
          <w:u w:val="single"/>
        </w:rPr>
        <w:t xml:space="preserve">VII. Coordinar el diseño, monitoreo y la evaluación de los indicadores estratégicos y de gestión del Sistema de Evaluación del Desempeño y de los programas presupuestarios que, de acuerdo con su naturaleza jurídica y según corresponda, ejecutan los Entes Públicos; </w:t>
      </w:r>
    </w:p>
    <w:p w14:paraId="36219B54" w14:textId="77777777" w:rsidR="00CE1A2E" w:rsidRPr="00EC5A4C" w:rsidRDefault="00F1617B" w:rsidP="00F1617B">
      <w:pPr>
        <w:spacing w:after="0"/>
        <w:ind w:left="567" w:right="560"/>
        <w:jc w:val="both"/>
        <w:rPr>
          <w:rFonts w:ascii="Palatino Linotype" w:hAnsi="Palatino Linotype"/>
          <w:i/>
        </w:rPr>
      </w:pPr>
      <w:r w:rsidRPr="00EC5A4C">
        <w:rPr>
          <w:rFonts w:ascii="Palatino Linotype" w:hAnsi="Palatino Linotype"/>
          <w:i/>
        </w:rPr>
        <w:t xml:space="preserve">VIII. Verificar el cumplimiento de los sujetos evaluados respecto de los aspectos susceptibles de mejora, derivados de las evaluaciones contenidas en el Programa Anual de Evaluación para los Entes Públicos, de acuerdo con su naturaleza jurídica y según corresponda; </w:t>
      </w:r>
    </w:p>
    <w:p w14:paraId="027B0EDA" w14:textId="7D0F3A64" w:rsidR="00F1617B" w:rsidRPr="00EC5A4C" w:rsidRDefault="00CE1A2E" w:rsidP="00C53211">
      <w:pPr>
        <w:spacing w:after="0"/>
        <w:ind w:left="567" w:right="560"/>
        <w:jc w:val="both"/>
        <w:rPr>
          <w:rFonts w:ascii="Palatino Linotype" w:hAnsi="Palatino Linotype"/>
          <w:i/>
        </w:rPr>
      </w:pPr>
      <w:r w:rsidRPr="00EC5A4C">
        <w:rPr>
          <w:rFonts w:ascii="Palatino Linotype" w:hAnsi="Palatino Linotype"/>
          <w:i/>
        </w:rPr>
        <w:t>…</w:t>
      </w:r>
    </w:p>
    <w:p w14:paraId="45F56BFB" w14:textId="77777777" w:rsidR="00F1617B" w:rsidRPr="00EC5A4C" w:rsidRDefault="00F1617B" w:rsidP="00B371E0">
      <w:pPr>
        <w:spacing w:after="0" w:line="360" w:lineRule="auto"/>
        <w:jc w:val="both"/>
        <w:rPr>
          <w:rFonts w:ascii="Palatino Linotype" w:eastAsia="Palatino Linotype" w:hAnsi="Palatino Linotype" w:cs="Palatino Linotype"/>
        </w:rPr>
      </w:pPr>
    </w:p>
    <w:p w14:paraId="2499C48F" w14:textId="6F6430EE" w:rsidR="001A38DF" w:rsidRPr="00EC5A4C" w:rsidRDefault="001A38DF" w:rsidP="001A38DF">
      <w:pPr>
        <w:spacing w:after="0"/>
        <w:ind w:left="567" w:right="560"/>
        <w:jc w:val="both"/>
        <w:rPr>
          <w:rFonts w:ascii="Palatino Linotype" w:hAnsi="Palatino Linotype"/>
          <w:i/>
        </w:rPr>
      </w:pPr>
      <w:r w:rsidRPr="00EC5A4C">
        <w:rPr>
          <w:rFonts w:ascii="Palatino Linotype" w:hAnsi="Palatino Linotype"/>
          <w:b/>
          <w:i/>
        </w:rPr>
        <w:t>Artículo 21.</w:t>
      </w:r>
      <w:r w:rsidRPr="00EC5A4C">
        <w:rPr>
          <w:rFonts w:ascii="Palatino Linotype" w:hAnsi="Palatino Linotype"/>
          <w:i/>
        </w:rPr>
        <w:t xml:space="preserve"> Corresponde a la Subsecretaría de Planeación y Presupuesto:</w:t>
      </w:r>
    </w:p>
    <w:p w14:paraId="71B60202" w14:textId="77777777" w:rsidR="001A38DF" w:rsidRPr="00EC5A4C" w:rsidRDefault="001A38DF" w:rsidP="001A38DF">
      <w:pPr>
        <w:spacing w:after="0"/>
        <w:ind w:left="567" w:right="560"/>
        <w:jc w:val="both"/>
        <w:rPr>
          <w:rFonts w:ascii="Palatino Linotype" w:hAnsi="Palatino Linotype"/>
          <w:i/>
        </w:rPr>
      </w:pPr>
    </w:p>
    <w:p w14:paraId="65460708" w14:textId="77777777" w:rsidR="001A38DF" w:rsidRPr="00EC5A4C" w:rsidRDefault="001A38DF" w:rsidP="001A38DF">
      <w:pPr>
        <w:spacing w:after="0"/>
        <w:ind w:left="567" w:right="560"/>
        <w:jc w:val="both"/>
        <w:rPr>
          <w:rFonts w:ascii="Palatino Linotype" w:hAnsi="Palatino Linotype"/>
          <w:b/>
          <w:i/>
        </w:rPr>
      </w:pPr>
      <w:r w:rsidRPr="00EC5A4C">
        <w:rPr>
          <w:rFonts w:ascii="Palatino Linotype" w:hAnsi="Palatino Linotype"/>
          <w:b/>
          <w:i/>
        </w:rPr>
        <w:t xml:space="preserve">I. Planear, dirigir, coordinar, controlar y evaluar la elaboración de planes, programas y el presupuesto de egresos; </w:t>
      </w:r>
    </w:p>
    <w:p w14:paraId="760FA219" w14:textId="1536A3D7" w:rsidR="001A38DF" w:rsidRPr="00EC5A4C" w:rsidRDefault="001A38DF" w:rsidP="001A38DF">
      <w:pPr>
        <w:spacing w:after="0"/>
        <w:ind w:left="567" w:right="560"/>
        <w:jc w:val="both"/>
        <w:rPr>
          <w:rFonts w:ascii="Palatino Linotype" w:hAnsi="Palatino Linotype"/>
          <w:i/>
        </w:rPr>
      </w:pPr>
      <w:r w:rsidRPr="00EC5A4C">
        <w:rPr>
          <w:rFonts w:ascii="Palatino Linotype" w:hAnsi="Palatino Linotype"/>
          <w:i/>
        </w:rPr>
        <w:t>…</w:t>
      </w:r>
    </w:p>
    <w:p w14:paraId="6E780820" w14:textId="43EC1943" w:rsidR="001A38DF" w:rsidRPr="00EC5A4C" w:rsidRDefault="001A38DF" w:rsidP="001A38DF">
      <w:pPr>
        <w:spacing w:after="0"/>
        <w:ind w:left="567" w:right="560"/>
        <w:jc w:val="both"/>
        <w:rPr>
          <w:rFonts w:ascii="Palatino Linotype" w:hAnsi="Palatino Linotype"/>
          <w:i/>
        </w:rPr>
      </w:pPr>
      <w:r w:rsidRPr="00EC5A4C">
        <w:rPr>
          <w:rFonts w:ascii="Palatino Linotype" w:hAnsi="Palatino Linotype"/>
          <w:i/>
        </w:rPr>
        <w:t>IV. Vigilar el cumplimiento de las políticas y medidas de racionalidad, austeridad y disciplina, que se hayan determinado para el ejercicio del presupuesto y ejecución de programas;</w:t>
      </w:r>
    </w:p>
    <w:p w14:paraId="5328E91C" w14:textId="6F35E2C0" w:rsidR="00F56371" w:rsidRPr="00EC5A4C" w:rsidRDefault="00F56371" w:rsidP="001A38DF">
      <w:pPr>
        <w:spacing w:after="0"/>
        <w:ind w:left="567" w:right="560"/>
        <w:jc w:val="both"/>
        <w:rPr>
          <w:rFonts w:ascii="Palatino Linotype" w:hAnsi="Palatino Linotype"/>
          <w:i/>
        </w:rPr>
      </w:pPr>
      <w:r w:rsidRPr="00EC5A4C">
        <w:rPr>
          <w:rFonts w:ascii="Palatino Linotype" w:hAnsi="Palatino Linotype"/>
          <w:i/>
        </w:rPr>
        <w:t>…</w:t>
      </w:r>
    </w:p>
    <w:p w14:paraId="0148CB93" w14:textId="67260810" w:rsidR="00F56371" w:rsidRPr="00EC5A4C" w:rsidRDefault="00F56371" w:rsidP="00F56371">
      <w:pPr>
        <w:spacing w:after="0"/>
        <w:ind w:left="567" w:right="560"/>
        <w:jc w:val="both"/>
        <w:rPr>
          <w:rFonts w:ascii="Palatino Linotype" w:hAnsi="Palatino Linotype"/>
          <w:i/>
        </w:rPr>
      </w:pPr>
      <w:r w:rsidRPr="00EC5A4C">
        <w:rPr>
          <w:rFonts w:ascii="Palatino Linotype" w:hAnsi="Palatino Linotype"/>
          <w:i/>
        </w:rPr>
        <w:t>XVII. Coordinar la</w:t>
      </w:r>
      <w:r w:rsidRPr="00EC5A4C">
        <w:rPr>
          <w:rFonts w:ascii="Palatino Linotype" w:hAnsi="Palatino Linotype"/>
          <w:b/>
          <w:i/>
          <w:u w:val="single"/>
        </w:rPr>
        <w:t xml:space="preserve"> consolidación del presupuesto basado en resultados y del Sistema de Evaluación del Desempeño en los Entes Públicos</w:t>
      </w:r>
      <w:r w:rsidRPr="00EC5A4C">
        <w:rPr>
          <w:rFonts w:ascii="Palatino Linotype" w:hAnsi="Palatino Linotype"/>
          <w:i/>
        </w:rPr>
        <w:t>, de acuerdo con su naturaleza jurídica y según corresponda, bajo los principios de la gestión para resultados, atendiendo lo dispuesto por el artículo 134 de la Constitución Política de los Estados Unidos Mexicanos y por la demás normativa aplicable;</w:t>
      </w:r>
    </w:p>
    <w:p w14:paraId="341399D2" w14:textId="77777777" w:rsidR="001A38DF" w:rsidRPr="00EC5A4C" w:rsidRDefault="001A38DF" w:rsidP="00B371E0">
      <w:pPr>
        <w:spacing w:after="0" w:line="360" w:lineRule="auto"/>
        <w:jc w:val="both"/>
        <w:rPr>
          <w:rFonts w:ascii="Palatino Linotype" w:eastAsia="Palatino Linotype" w:hAnsi="Palatino Linotype" w:cs="Palatino Linotype"/>
        </w:rPr>
      </w:pPr>
    </w:p>
    <w:p w14:paraId="733C4B28" w14:textId="63547446" w:rsidR="00F1617B" w:rsidRPr="00EC5A4C" w:rsidRDefault="001854B7" w:rsidP="00B371E0">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 xml:space="preserve">De lo anterior, se advierte que, el Sujeto Obligado cuenta con facultades, atribuciones y competencia para generar, administrar y poseer la información solicitada. </w:t>
      </w:r>
    </w:p>
    <w:p w14:paraId="39FD7CC5" w14:textId="663DF3F6" w:rsidR="001854B7" w:rsidRPr="00EC5A4C" w:rsidRDefault="001854B7" w:rsidP="00B371E0">
      <w:pPr>
        <w:spacing w:after="0" w:line="360" w:lineRule="auto"/>
        <w:jc w:val="both"/>
        <w:rPr>
          <w:rFonts w:ascii="Palatino Linotype" w:hAnsi="Palatino Linotype" w:cs="Tahoma"/>
          <w:bCs/>
          <w:iCs/>
          <w:lang w:eastAsia="es-ES"/>
        </w:rPr>
      </w:pPr>
    </w:p>
    <w:p w14:paraId="36B0925B" w14:textId="7AD235F4" w:rsidR="001854B7" w:rsidRPr="00EC5A4C" w:rsidRDefault="001854B7" w:rsidP="00B371E0">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 xml:space="preserve">Dicho lo anterior, se procede al estudio de los Recurso de Revisión, al tenor de lo siguiente: </w:t>
      </w:r>
    </w:p>
    <w:p w14:paraId="6D6CDC8E" w14:textId="77777777" w:rsidR="001854B7" w:rsidRPr="00EC5A4C" w:rsidRDefault="001854B7" w:rsidP="00B371E0">
      <w:pPr>
        <w:spacing w:after="0" w:line="360" w:lineRule="auto"/>
        <w:jc w:val="both"/>
        <w:rPr>
          <w:rFonts w:ascii="Palatino Linotype" w:hAnsi="Palatino Linotype" w:cs="Tahoma"/>
          <w:bCs/>
          <w:iCs/>
          <w:lang w:eastAsia="es-ES"/>
        </w:rPr>
      </w:pPr>
    </w:p>
    <w:p w14:paraId="04562ACD" w14:textId="0B2A7032" w:rsidR="001854B7" w:rsidRPr="00EC5A4C" w:rsidRDefault="001854B7" w:rsidP="001854B7">
      <w:pPr>
        <w:pStyle w:val="Prrafodelista"/>
        <w:numPr>
          <w:ilvl w:val="0"/>
          <w:numId w:val="5"/>
        </w:numPr>
        <w:spacing w:after="0" w:line="360" w:lineRule="auto"/>
        <w:jc w:val="both"/>
        <w:rPr>
          <w:rFonts w:ascii="Palatino Linotype" w:hAnsi="Palatino Linotype" w:cs="Tahoma"/>
          <w:b/>
          <w:bCs/>
          <w:iCs/>
          <w:lang w:eastAsia="es-ES"/>
        </w:rPr>
      </w:pPr>
      <w:r w:rsidRPr="00EC5A4C">
        <w:rPr>
          <w:rFonts w:ascii="Palatino Linotype" w:hAnsi="Palatino Linotype" w:cs="Tahoma"/>
          <w:b/>
          <w:bCs/>
          <w:iCs/>
          <w:lang w:eastAsia="es-ES"/>
        </w:rPr>
        <w:t xml:space="preserve">Del Recurso de Revisión 06504/INFOEM/IP/RR2024. </w:t>
      </w:r>
    </w:p>
    <w:p w14:paraId="761EE289" w14:textId="77777777" w:rsidR="001854B7" w:rsidRPr="00EC5A4C" w:rsidRDefault="001854B7" w:rsidP="001854B7">
      <w:pPr>
        <w:spacing w:after="0" w:line="360" w:lineRule="auto"/>
        <w:jc w:val="both"/>
        <w:rPr>
          <w:rFonts w:ascii="Palatino Linotype" w:hAnsi="Palatino Linotype" w:cs="Tahoma"/>
          <w:bCs/>
          <w:iCs/>
          <w:lang w:eastAsia="es-ES"/>
        </w:rPr>
      </w:pPr>
    </w:p>
    <w:p w14:paraId="089B01DB" w14:textId="54BCB991" w:rsidR="001854B7" w:rsidRPr="00EC5A4C" w:rsidRDefault="001854B7" w:rsidP="001854B7">
      <w:pPr>
        <w:spacing w:after="0" w:line="360" w:lineRule="auto"/>
        <w:jc w:val="both"/>
        <w:rPr>
          <w:rFonts w:ascii="Palatino Linotype" w:hAnsi="Palatino Linotype" w:cs="Tahoma"/>
          <w:b/>
          <w:bCs/>
          <w:iCs/>
          <w:lang w:eastAsia="es-ES"/>
        </w:rPr>
      </w:pPr>
      <w:r w:rsidRPr="00EC5A4C">
        <w:rPr>
          <w:rFonts w:ascii="Palatino Linotype" w:hAnsi="Palatino Linotype" w:cs="Tahoma"/>
          <w:bCs/>
          <w:iCs/>
          <w:lang w:eastAsia="es-ES"/>
        </w:rPr>
        <w:t xml:space="preserve">En lo que compete a este Recurso de Revisión, la parte Recurrente solicitó </w:t>
      </w:r>
      <w:r w:rsidRPr="00EC5A4C">
        <w:rPr>
          <w:rFonts w:ascii="Palatino Linotype" w:hAnsi="Palatino Linotype" w:cs="Tahoma"/>
          <w:b/>
          <w:bCs/>
          <w:iCs/>
          <w:lang w:eastAsia="es-ES"/>
        </w:rPr>
        <w:t xml:space="preserve">los resultados de las evaluaciones realizadas en el ejercicio 2023 al Issemym de la Dirección General de Evaluación del Desempeño Institucional y, conocer la asesoría, participación o coparticipación de la actual Directora del Área adscrita a la Dirección General. </w:t>
      </w:r>
    </w:p>
    <w:p w14:paraId="4CA85527" w14:textId="77777777" w:rsidR="001854B7" w:rsidRPr="00EC5A4C" w:rsidRDefault="001854B7" w:rsidP="00B371E0">
      <w:pPr>
        <w:spacing w:after="0" w:line="360" w:lineRule="auto"/>
        <w:jc w:val="both"/>
        <w:rPr>
          <w:rFonts w:ascii="Palatino Linotype" w:hAnsi="Palatino Linotype" w:cs="Tahoma"/>
          <w:bCs/>
          <w:iCs/>
          <w:lang w:eastAsia="es-ES"/>
        </w:rPr>
      </w:pPr>
    </w:p>
    <w:p w14:paraId="51A25BE8" w14:textId="28ACEE7A" w:rsidR="00C53211" w:rsidRPr="00EC5A4C" w:rsidRDefault="001A38DF" w:rsidP="00B371E0">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En respuesta, la Subsecretaría de Planeación y Presupuesto informó que</w:t>
      </w:r>
      <w:r w:rsidR="00CC378C" w:rsidRPr="00EC5A4C">
        <w:rPr>
          <w:rFonts w:ascii="Palatino Linotype" w:hAnsi="Palatino Linotype" w:cs="Tahoma"/>
          <w:bCs/>
          <w:iCs/>
          <w:lang w:eastAsia="es-ES"/>
        </w:rPr>
        <w:t>,</w:t>
      </w:r>
      <w:r w:rsidRPr="00EC5A4C">
        <w:rPr>
          <w:rFonts w:ascii="Palatino Linotype" w:hAnsi="Palatino Linotype" w:cs="Tahoma"/>
          <w:bCs/>
          <w:iCs/>
          <w:lang w:eastAsia="es-ES"/>
        </w:rPr>
        <w:t xml:space="preserve"> tras una búsqueda realizada en los archivos de la Dirección de Monitoreo y Evaluación, no se encontró documentación sobre asesorías, participación o coparticipación en las evaluaciones realizadas al Instituto de Seguridad Social del Estado de México y Municipios.</w:t>
      </w:r>
    </w:p>
    <w:p w14:paraId="067844F5" w14:textId="77777777" w:rsidR="001A38DF" w:rsidRPr="00EC5A4C" w:rsidRDefault="001A38DF" w:rsidP="00B371E0">
      <w:pPr>
        <w:spacing w:after="0" w:line="360" w:lineRule="auto"/>
        <w:jc w:val="both"/>
        <w:rPr>
          <w:rFonts w:ascii="Palatino Linotype" w:hAnsi="Palatino Linotype" w:cs="Tahoma"/>
          <w:bCs/>
          <w:iCs/>
          <w:lang w:eastAsia="es-ES"/>
        </w:rPr>
      </w:pPr>
    </w:p>
    <w:p w14:paraId="2E07202F" w14:textId="32D917ED" w:rsidR="00A12EC6" w:rsidRPr="00EC5A4C" w:rsidRDefault="00CF1E0E" w:rsidP="00A12EC6">
      <w:pPr>
        <w:spacing w:after="0" w:line="360" w:lineRule="auto"/>
        <w:ind w:right="-7"/>
        <w:jc w:val="both"/>
        <w:rPr>
          <w:rFonts w:ascii="Palatino Linotype" w:hAnsi="Palatino Linotype"/>
        </w:rPr>
      </w:pPr>
      <w:r w:rsidRPr="00EC5A4C">
        <w:rPr>
          <w:rFonts w:ascii="Palatino Linotype" w:hAnsi="Palatino Linotype" w:cs="Tahoma"/>
          <w:bCs/>
          <w:iCs/>
          <w:lang w:eastAsia="es-ES"/>
        </w:rPr>
        <w:t>Por ello, se considera que, al haberse pronunciado la unidad administrativa, se desprende que nos encontramos en presencia de un denominado hecho negativo</w:t>
      </w:r>
      <w:r w:rsidR="00A12EC6" w:rsidRPr="00EC5A4C">
        <w:rPr>
          <w:rFonts w:ascii="Palatino Linotype" w:hAnsi="Palatino Linotype" w:cs="Tahoma"/>
          <w:bCs/>
          <w:iCs/>
          <w:lang w:eastAsia="es-ES"/>
        </w:rPr>
        <w:t xml:space="preserve">, </w:t>
      </w:r>
      <w:r w:rsidR="00A12EC6" w:rsidRPr="00EC5A4C">
        <w:rPr>
          <w:rFonts w:ascii="Palatino Linotype" w:hAnsi="Palatino Linotype"/>
        </w:rPr>
        <w:t>el cual refiere que:</w:t>
      </w:r>
    </w:p>
    <w:p w14:paraId="626A6810" w14:textId="77777777" w:rsidR="00A12EC6" w:rsidRPr="00EC5A4C" w:rsidRDefault="00A12EC6" w:rsidP="00A12EC6">
      <w:pPr>
        <w:spacing w:after="0" w:line="360" w:lineRule="auto"/>
        <w:ind w:right="-7"/>
        <w:jc w:val="both"/>
        <w:rPr>
          <w:rFonts w:ascii="Palatino Linotype" w:hAnsi="Palatino Linotype"/>
        </w:rPr>
      </w:pPr>
    </w:p>
    <w:p w14:paraId="27272879" w14:textId="0D0BA7E7" w:rsidR="00A12EC6" w:rsidRPr="00EC5A4C" w:rsidRDefault="00A12EC6" w:rsidP="00A12EC6">
      <w:pPr>
        <w:spacing w:after="0"/>
        <w:ind w:left="567" w:right="567"/>
        <w:jc w:val="both"/>
        <w:rPr>
          <w:rFonts w:ascii="Palatino Linotype" w:hAnsi="Palatino Linotype"/>
          <w:i/>
        </w:rPr>
      </w:pPr>
      <w:r w:rsidRPr="00EC5A4C">
        <w:rPr>
          <w:rFonts w:ascii="Palatino Linotype" w:hAnsi="Palatino Linotype"/>
          <w:b/>
          <w:i/>
        </w:rPr>
        <w:t xml:space="preserve">HECHOS NEGATIVOS, NO SON SUSCEPTIBLES DE DEMOSTRACIÓN.  </w:t>
      </w:r>
      <w:r w:rsidRPr="00EC5A4C">
        <w:rPr>
          <w:rFonts w:ascii="Palatino Linotype" w:hAnsi="Palatino Linotype"/>
          <w:i/>
        </w:rPr>
        <w:t>Tratándose de un hecho negativo, el Juez no tiene por que invocar prueba alguna de la que se desprenda, ya que es bien sabido que esta clase de hechos no son susceptibles de demostración.</w:t>
      </w:r>
    </w:p>
    <w:p w14:paraId="6AD4C491" w14:textId="77777777" w:rsidR="00657EE1" w:rsidRPr="00EC5A4C" w:rsidRDefault="00657EE1" w:rsidP="00A12EC6">
      <w:pPr>
        <w:spacing w:after="0"/>
        <w:ind w:left="567" w:right="567"/>
        <w:jc w:val="both"/>
        <w:rPr>
          <w:rFonts w:ascii="Palatino Linotype" w:hAnsi="Palatino Linotype"/>
          <w:b/>
          <w:i/>
        </w:rPr>
      </w:pPr>
    </w:p>
    <w:p w14:paraId="0932061C" w14:textId="2CB4D750" w:rsidR="00A12EC6" w:rsidRPr="00EC5A4C" w:rsidRDefault="00A12EC6" w:rsidP="00A12EC6">
      <w:pPr>
        <w:spacing w:after="0" w:line="360" w:lineRule="auto"/>
        <w:ind w:right="-7"/>
        <w:jc w:val="both"/>
        <w:rPr>
          <w:rFonts w:ascii="Palatino Linotype" w:hAnsi="Palatino Linotype"/>
          <w:b/>
          <w:u w:val="single"/>
        </w:rPr>
      </w:pPr>
      <w:r w:rsidRPr="00EC5A4C">
        <w:rPr>
          <w:rFonts w:ascii="Palatino Linotype" w:hAnsi="Palatino Linotype"/>
          <w:b/>
          <w:u w:val="single"/>
        </w:rPr>
        <w:t>Lo anterior implica que resulta lógica y materialmente imposible la entrega de información que no obra en los archivos del Sujeto Obligado</w:t>
      </w:r>
      <w:r w:rsidR="00586710" w:rsidRPr="00EC5A4C">
        <w:rPr>
          <w:rFonts w:ascii="Palatino Linotype" w:hAnsi="Palatino Linotype"/>
          <w:b/>
          <w:u w:val="single"/>
        </w:rPr>
        <w:t>.</w:t>
      </w:r>
    </w:p>
    <w:p w14:paraId="5F2112AC" w14:textId="77777777" w:rsidR="00A12EC6" w:rsidRPr="00EC5A4C" w:rsidRDefault="00A12EC6" w:rsidP="00A12EC6">
      <w:pPr>
        <w:spacing w:after="0" w:line="360" w:lineRule="auto"/>
        <w:ind w:right="-7"/>
        <w:jc w:val="both"/>
        <w:rPr>
          <w:rFonts w:ascii="Palatino Linotype" w:hAnsi="Palatino Linotype"/>
        </w:rPr>
      </w:pPr>
    </w:p>
    <w:p w14:paraId="0A3BE933" w14:textId="77777777" w:rsidR="00A12EC6" w:rsidRPr="00EC5A4C" w:rsidRDefault="00A12EC6" w:rsidP="00A12EC6">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lastRenderedPageBreak/>
        <w:t xml:space="preserve">En lo que respecta a </w:t>
      </w:r>
      <w:r w:rsidRPr="00EC5A4C">
        <w:rPr>
          <w:rFonts w:ascii="Palatino Linotype" w:hAnsi="Palatino Linotype" w:cs="Tahoma"/>
          <w:b/>
          <w:bCs/>
          <w:iCs/>
          <w:lang w:eastAsia="es-ES"/>
        </w:rPr>
        <w:t>las evaluaciones realizadas en el ejercicio 2023 al Issemym de la Dirección General de Evaluación del Desempeño Institucional</w:t>
      </w:r>
      <w:r w:rsidRPr="00EC5A4C">
        <w:rPr>
          <w:rFonts w:ascii="Palatino Linotype" w:hAnsi="Palatino Linotype" w:cs="Tahoma"/>
          <w:bCs/>
          <w:iCs/>
          <w:lang w:eastAsia="es-ES"/>
        </w:rPr>
        <w:t xml:space="preserve">, el Sujeto Obligado refirió que la información se encontraba publicada en la siguiente liga electrónica: </w:t>
      </w:r>
    </w:p>
    <w:p w14:paraId="1187416D" w14:textId="77777777" w:rsidR="00A12EC6" w:rsidRPr="00EC5A4C" w:rsidRDefault="00A12EC6" w:rsidP="00A12EC6">
      <w:pPr>
        <w:spacing w:after="0" w:line="360" w:lineRule="auto"/>
        <w:jc w:val="both"/>
        <w:rPr>
          <w:rFonts w:ascii="Palatino Linotype" w:hAnsi="Palatino Linotype" w:cs="Tahoma"/>
          <w:bCs/>
          <w:iCs/>
          <w:lang w:eastAsia="es-ES"/>
        </w:rPr>
      </w:pPr>
    </w:p>
    <w:p w14:paraId="40049BFA" w14:textId="376DFCC7" w:rsidR="00A12EC6" w:rsidRPr="00EC5A4C" w:rsidRDefault="008715BF" w:rsidP="00A12EC6">
      <w:pPr>
        <w:spacing w:after="0" w:line="360" w:lineRule="auto"/>
        <w:jc w:val="center"/>
        <w:rPr>
          <w:rFonts w:ascii="Palatino Linotype" w:hAnsi="Palatino Linotype" w:cs="Tahoma"/>
          <w:bCs/>
          <w:iCs/>
          <w:lang w:eastAsia="es-ES"/>
        </w:rPr>
      </w:pPr>
      <w:hyperlink r:id="rId9" w:history="1">
        <w:r w:rsidR="00A12EC6" w:rsidRPr="00EC5A4C">
          <w:rPr>
            <w:rStyle w:val="Hipervnculo"/>
            <w:rFonts w:ascii="Palatino Linotype" w:hAnsi="Palatino Linotype"/>
            <w:color w:val="auto"/>
          </w:rPr>
          <w:t>https://transparenciafiscal.edomex.gob.mx/programas-anuales-evaluación</w:t>
        </w:r>
      </w:hyperlink>
    </w:p>
    <w:p w14:paraId="55552F4E" w14:textId="77777777" w:rsidR="00A12EC6" w:rsidRPr="00EC5A4C" w:rsidRDefault="00A12EC6" w:rsidP="00B371E0">
      <w:pPr>
        <w:spacing w:after="0" w:line="360" w:lineRule="auto"/>
        <w:jc w:val="both"/>
        <w:rPr>
          <w:rFonts w:ascii="Palatino Linotype" w:hAnsi="Palatino Linotype" w:cs="Tahoma"/>
          <w:bCs/>
          <w:iCs/>
          <w:lang w:eastAsia="es-ES"/>
        </w:rPr>
      </w:pPr>
    </w:p>
    <w:p w14:paraId="5D6EE323" w14:textId="77777777" w:rsidR="00657EE1" w:rsidRPr="00EC5A4C" w:rsidRDefault="00657EE1" w:rsidP="00657EE1">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En ese sentido, es importante traer a colación que el artículo 161 de la Ley de Transparencia y Acceso a la Información Pública del Estado de México y Municipios</w:t>
      </w:r>
      <w:r w:rsidRPr="00EC5A4C">
        <w:rPr>
          <w:rFonts w:ascii="Palatino Linotype" w:eastAsia="Palatino Linotype" w:hAnsi="Palatino Linotype" w:cs="Palatino Linotype"/>
          <w:i/>
        </w:rPr>
        <w:t xml:space="preserve">, </w:t>
      </w:r>
      <w:r w:rsidRPr="00EC5A4C">
        <w:rPr>
          <w:rFonts w:ascii="Palatino Linotype" w:eastAsia="Palatino Linotype" w:hAnsi="Palatino Linotype" w:cs="Palatino Linotype"/>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EC5A4C">
        <w:rPr>
          <w:rFonts w:ascii="Palatino Linotype" w:eastAsia="Palatino Linotype" w:hAnsi="Palatino Linotype" w:cs="Palatino Linotype"/>
          <w:b/>
          <w:u w:val="single"/>
        </w:rPr>
        <w:t>en un plazo no mayor a cinco días hábiles</w:t>
      </w:r>
      <w:r w:rsidRPr="00EC5A4C">
        <w:rPr>
          <w:rFonts w:ascii="Palatino Linotype" w:eastAsia="Palatino Linotype" w:hAnsi="Palatino Linotype" w:cs="Palatino Linotype"/>
        </w:rPr>
        <w:t xml:space="preserve">, comprendiendo: </w:t>
      </w:r>
    </w:p>
    <w:p w14:paraId="020C9939" w14:textId="77777777" w:rsidR="00657EE1" w:rsidRPr="00EC5A4C" w:rsidRDefault="00657EE1" w:rsidP="00657EE1">
      <w:pPr>
        <w:spacing w:after="0" w:line="360" w:lineRule="auto"/>
        <w:ind w:right="49"/>
        <w:jc w:val="both"/>
        <w:rPr>
          <w:rFonts w:ascii="Palatino Linotype" w:eastAsia="Palatino Linotype" w:hAnsi="Palatino Linotype" w:cs="Palatino Linotype"/>
        </w:rPr>
      </w:pPr>
    </w:p>
    <w:p w14:paraId="385EDB93" w14:textId="77777777" w:rsidR="00657EE1" w:rsidRPr="00EC5A4C" w:rsidRDefault="00657EE1" w:rsidP="00657EE1">
      <w:pPr>
        <w:spacing w:after="0"/>
        <w:ind w:left="284" w:right="49"/>
        <w:jc w:val="both"/>
        <w:rPr>
          <w:rFonts w:ascii="Palatino Linotype" w:eastAsia="Palatino Linotype" w:hAnsi="Palatino Linotype" w:cs="Palatino Linotype"/>
        </w:rPr>
      </w:pPr>
      <w:r w:rsidRPr="00EC5A4C">
        <w:rPr>
          <w:rFonts w:ascii="Palatino Linotype" w:eastAsia="Palatino Linotype" w:hAnsi="Palatino Linotype" w:cs="Palatino Linotype"/>
        </w:rPr>
        <w:t>a) La fuente</w:t>
      </w:r>
    </w:p>
    <w:p w14:paraId="2A1A7544" w14:textId="77777777" w:rsidR="00657EE1" w:rsidRPr="00EC5A4C" w:rsidRDefault="00657EE1" w:rsidP="00657EE1">
      <w:pPr>
        <w:spacing w:after="0"/>
        <w:ind w:left="284" w:right="49"/>
        <w:jc w:val="both"/>
        <w:rPr>
          <w:rFonts w:ascii="Palatino Linotype" w:eastAsia="Palatino Linotype" w:hAnsi="Palatino Linotype" w:cs="Palatino Linotype"/>
        </w:rPr>
      </w:pPr>
      <w:r w:rsidRPr="00EC5A4C">
        <w:rPr>
          <w:rFonts w:ascii="Palatino Linotype" w:eastAsia="Palatino Linotype" w:hAnsi="Palatino Linotype" w:cs="Palatino Linotype"/>
        </w:rPr>
        <w:t>b) El lugar y</w:t>
      </w:r>
    </w:p>
    <w:p w14:paraId="54117A88" w14:textId="77777777" w:rsidR="00657EE1" w:rsidRPr="00EC5A4C" w:rsidRDefault="00657EE1" w:rsidP="00657EE1">
      <w:pPr>
        <w:spacing w:after="0"/>
        <w:ind w:left="284" w:right="49"/>
        <w:jc w:val="both"/>
        <w:rPr>
          <w:rFonts w:ascii="Palatino Linotype" w:eastAsia="Palatino Linotype" w:hAnsi="Palatino Linotype" w:cs="Palatino Linotype"/>
        </w:rPr>
      </w:pPr>
      <w:r w:rsidRPr="00EC5A4C">
        <w:rPr>
          <w:rFonts w:ascii="Palatino Linotype" w:eastAsia="Palatino Linotype" w:hAnsi="Palatino Linotype" w:cs="Palatino Linotype"/>
        </w:rPr>
        <w:t>c) La forma</w:t>
      </w:r>
    </w:p>
    <w:p w14:paraId="3D96A286" w14:textId="77777777" w:rsidR="00657EE1" w:rsidRPr="00EC5A4C" w:rsidRDefault="00657EE1" w:rsidP="00657EE1">
      <w:pPr>
        <w:spacing w:after="0" w:line="360" w:lineRule="auto"/>
        <w:ind w:left="284" w:right="49"/>
        <w:jc w:val="both"/>
        <w:rPr>
          <w:rFonts w:ascii="Palatino Linotype" w:eastAsia="Palatino Linotype" w:hAnsi="Palatino Linotype" w:cs="Palatino Linotype"/>
        </w:rPr>
      </w:pPr>
    </w:p>
    <w:p w14:paraId="56E5D6D4" w14:textId="77777777" w:rsidR="00657EE1" w:rsidRPr="00EC5A4C" w:rsidRDefault="00657EE1" w:rsidP="00657EE1">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Asimismo, se establece que la fuente de la información deberá ser:</w:t>
      </w:r>
    </w:p>
    <w:p w14:paraId="4A6F6F49" w14:textId="77777777" w:rsidR="00657EE1" w:rsidRPr="00EC5A4C" w:rsidRDefault="00657EE1" w:rsidP="00657EE1">
      <w:pPr>
        <w:spacing w:after="0" w:line="360" w:lineRule="auto"/>
        <w:ind w:right="49"/>
        <w:jc w:val="both"/>
        <w:rPr>
          <w:rFonts w:ascii="Palatino Linotype" w:eastAsia="Palatino Linotype" w:hAnsi="Palatino Linotype" w:cs="Palatino Linotype"/>
        </w:rPr>
      </w:pPr>
    </w:p>
    <w:p w14:paraId="300D2F6B" w14:textId="77777777" w:rsidR="00657EE1" w:rsidRPr="00EC5A4C" w:rsidRDefault="00657EE1" w:rsidP="00657EE1">
      <w:pPr>
        <w:spacing w:after="0"/>
        <w:ind w:left="284" w:right="49"/>
        <w:jc w:val="both"/>
        <w:rPr>
          <w:rFonts w:ascii="Palatino Linotype" w:eastAsia="Palatino Linotype" w:hAnsi="Palatino Linotype" w:cs="Palatino Linotype"/>
        </w:rPr>
      </w:pPr>
      <w:r w:rsidRPr="00EC5A4C">
        <w:rPr>
          <w:rFonts w:ascii="Palatino Linotype" w:eastAsia="Palatino Linotype" w:hAnsi="Palatino Linotype" w:cs="Palatino Linotype"/>
        </w:rPr>
        <w:t>a) Precisa</w:t>
      </w:r>
    </w:p>
    <w:p w14:paraId="04E0E4EE" w14:textId="77777777" w:rsidR="00657EE1" w:rsidRPr="00EC5A4C" w:rsidRDefault="00657EE1" w:rsidP="00657EE1">
      <w:pPr>
        <w:spacing w:after="0"/>
        <w:ind w:left="284" w:right="49"/>
        <w:jc w:val="both"/>
        <w:rPr>
          <w:rFonts w:ascii="Palatino Linotype" w:eastAsia="Palatino Linotype" w:hAnsi="Palatino Linotype" w:cs="Palatino Linotype"/>
        </w:rPr>
      </w:pPr>
      <w:r w:rsidRPr="00EC5A4C">
        <w:rPr>
          <w:rFonts w:ascii="Palatino Linotype" w:eastAsia="Palatino Linotype" w:hAnsi="Palatino Linotype" w:cs="Palatino Linotype"/>
        </w:rPr>
        <w:t>b) Concreta</w:t>
      </w:r>
    </w:p>
    <w:p w14:paraId="42BB35C2" w14:textId="77777777" w:rsidR="00657EE1" w:rsidRPr="00EC5A4C" w:rsidRDefault="00657EE1" w:rsidP="00657EE1">
      <w:pPr>
        <w:spacing w:after="0" w:line="360" w:lineRule="auto"/>
        <w:ind w:left="284" w:right="560"/>
        <w:jc w:val="both"/>
        <w:rPr>
          <w:rFonts w:ascii="Palatino Linotype" w:eastAsia="Palatino Linotype" w:hAnsi="Palatino Linotype" w:cs="Palatino Linotype"/>
          <w:b/>
          <w:u w:val="single"/>
        </w:rPr>
      </w:pPr>
      <w:r w:rsidRPr="00EC5A4C">
        <w:rPr>
          <w:rFonts w:ascii="Palatino Linotype" w:eastAsia="Palatino Linotype" w:hAnsi="Palatino Linotype" w:cs="Palatino Linotype"/>
          <w:b/>
          <w:u w:val="single"/>
        </w:rPr>
        <w:t>c) Y no debe implicar que el solicitante realice una búsqueda en toda la información que se encuentre disponible.</w:t>
      </w:r>
    </w:p>
    <w:p w14:paraId="230A2F44" w14:textId="77777777" w:rsidR="00657EE1" w:rsidRPr="00EC5A4C" w:rsidRDefault="00657EE1" w:rsidP="00657EE1">
      <w:pPr>
        <w:spacing w:after="0" w:line="360" w:lineRule="auto"/>
        <w:ind w:left="284" w:right="51"/>
        <w:jc w:val="both"/>
        <w:rPr>
          <w:rFonts w:ascii="Palatino Linotype" w:eastAsia="Palatino Linotype" w:hAnsi="Palatino Linotype" w:cs="Palatino Linotype"/>
        </w:rPr>
      </w:pPr>
    </w:p>
    <w:p w14:paraId="58C40ABC" w14:textId="77777777" w:rsidR="00657EE1" w:rsidRPr="00EC5A4C" w:rsidRDefault="00657EE1" w:rsidP="00657EE1">
      <w:pPr>
        <w:spacing w:after="0" w:line="360" w:lineRule="auto"/>
        <w:ind w:right="51"/>
        <w:jc w:val="both"/>
        <w:rPr>
          <w:rFonts w:ascii="Palatino Linotype" w:eastAsia="Palatino Linotype" w:hAnsi="Palatino Linotype" w:cs="Palatino Linotype"/>
        </w:rPr>
      </w:pPr>
      <w:r w:rsidRPr="00EC5A4C">
        <w:rPr>
          <w:rFonts w:ascii="Palatino Linotype" w:eastAsia="Palatino Linotype" w:hAnsi="Palatino Linotype" w:cs="Palatino Linotype"/>
        </w:rPr>
        <w:lastRenderedPageBreak/>
        <w:t>Imperativos legales que detallan el procedimiento que debe seguir el Sujeto Obligado para que pueda tomarse como válida su orientación sobre la forma en que puede consultar la información requerida.</w:t>
      </w:r>
    </w:p>
    <w:p w14:paraId="73DCAFA0" w14:textId="77777777" w:rsidR="00657EE1" w:rsidRPr="00EC5A4C" w:rsidRDefault="00657EE1" w:rsidP="00657EE1">
      <w:pPr>
        <w:spacing w:after="0" w:line="360" w:lineRule="auto"/>
        <w:jc w:val="both"/>
        <w:rPr>
          <w:rFonts w:ascii="Palatino Linotype" w:eastAsia="Palatino Linotype" w:hAnsi="Palatino Linotype" w:cs="Palatino Linotype"/>
        </w:rPr>
      </w:pPr>
    </w:p>
    <w:p w14:paraId="7F0FEF2A" w14:textId="2DEA26AE" w:rsidR="00A12EC6" w:rsidRPr="00EC5A4C" w:rsidRDefault="00586710" w:rsidP="00B371E0">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Dicho esto, en lo que respecto al caso que ahora nos ocupa, </w:t>
      </w:r>
      <w:r w:rsidR="00D115CB" w:rsidRPr="00EC5A4C">
        <w:rPr>
          <w:rFonts w:ascii="Palatino Linotype" w:eastAsia="Palatino Linotype" w:hAnsi="Palatino Linotype" w:cs="Palatino Linotype"/>
        </w:rPr>
        <w:t xml:space="preserve">se ingresó a la liga electrónica proporcionada y se encontró lo siguiente: </w:t>
      </w:r>
    </w:p>
    <w:p w14:paraId="0ADAA9F8" w14:textId="77777777" w:rsidR="00D115CB" w:rsidRPr="00EC5A4C" w:rsidRDefault="00D115CB" w:rsidP="00B371E0">
      <w:pPr>
        <w:spacing w:after="0" w:line="360" w:lineRule="auto"/>
        <w:jc w:val="both"/>
        <w:rPr>
          <w:rFonts w:ascii="Palatino Linotype" w:eastAsia="Palatino Linotype" w:hAnsi="Palatino Linotype" w:cs="Palatino Linotype"/>
        </w:rPr>
      </w:pPr>
    </w:p>
    <w:p w14:paraId="0B271FA0" w14:textId="745C4774" w:rsidR="00D115CB" w:rsidRPr="00EC5A4C" w:rsidRDefault="00D115CB" w:rsidP="00D115CB">
      <w:pPr>
        <w:spacing w:after="0" w:line="360" w:lineRule="auto"/>
        <w:jc w:val="center"/>
        <w:rPr>
          <w:rFonts w:ascii="Palatino Linotype" w:eastAsia="Palatino Linotype" w:hAnsi="Palatino Linotype" w:cs="Palatino Linotype"/>
        </w:rPr>
      </w:pPr>
      <w:r w:rsidRPr="00EC5A4C">
        <w:rPr>
          <w:rFonts w:ascii="Palatino Linotype" w:eastAsia="Palatino Linotype" w:hAnsi="Palatino Linotype" w:cs="Palatino Linotype"/>
          <w:noProof/>
          <w:lang w:eastAsia="es-MX"/>
        </w:rPr>
        <w:drawing>
          <wp:inline distT="0" distB="0" distL="0" distR="0" wp14:anchorId="132E1D76" wp14:editId="09E63A01">
            <wp:extent cx="4467860" cy="408296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7893" cy="4092128"/>
                    </a:xfrm>
                    <a:prstGeom prst="rect">
                      <a:avLst/>
                    </a:prstGeom>
                  </pic:spPr>
                </pic:pic>
              </a:graphicData>
            </a:graphic>
          </wp:inline>
        </w:drawing>
      </w:r>
    </w:p>
    <w:p w14:paraId="01B750E3" w14:textId="03706D8B" w:rsidR="00D115CB" w:rsidRPr="00EC5A4C" w:rsidRDefault="00D115CB" w:rsidP="00B371E0">
      <w:pPr>
        <w:spacing w:after="0" w:line="360" w:lineRule="auto"/>
        <w:jc w:val="both"/>
        <w:rPr>
          <w:rFonts w:ascii="Palatino Linotype" w:eastAsia="Palatino Linotype" w:hAnsi="Palatino Linotype" w:cs="Palatino Linotype"/>
        </w:rPr>
      </w:pPr>
    </w:p>
    <w:p w14:paraId="604BF1AF" w14:textId="7685C98F" w:rsidR="00D115CB" w:rsidRPr="00EC5A4C" w:rsidRDefault="00D115CB" w:rsidP="00B371E0">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De ello, se procedió a acceder a la liga electrónica enviada y posteriormente, a lo que corresponde al año 2023, advirtiéndose lo siguiente: </w:t>
      </w:r>
    </w:p>
    <w:p w14:paraId="059272EE" w14:textId="77777777" w:rsidR="00D115CB" w:rsidRPr="00EC5A4C" w:rsidRDefault="00D115CB" w:rsidP="00B371E0">
      <w:pPr>
        <w:spacing w:after="0" w:line="360" w:lineRule="auto"/>
        <w:jc w:val="both"/>
        <w:rPr>
          <w:rFonts w:ascii="Palatino Linotype" w:eastAsia="Palatino Linotype" w:hAnsi="Palatino Linotype" w:cs="Palatino Linotype"/>
        </w:rPr>
      </w:pPr>
    </w:p>
    <w:p w14:paraId="5E4FD13A" w14:textId="6E59514A" w:rsidR="00D115CB" w:rsidRPr="00EC5A4C" w:rsidRDefault="00D115CB" w:rsidP="00D115CB">
      <w:pPr>
        <w:spacing w:after="0" w:line="360" w:lineRule="auto"/>
        <w:jc w:val="center"/>
        <w:rPr>
          <w:rFonts w:ascii="Palatino Linotype" w:eastAsia="Palatino Linotype" w:hAnsi="Palatino Linotype" w:cs="Palatino Linotype"/>
        </w:rPr>
      </w:pPr>
      <w:r w:rsidRPr="00EC5A4C">
        <w:rPr>
          <w:rFonts w:ascii="Palatino Linotype" w:eastAsia="Palatino Linotype" w:hAnsi="Palatino Linotype" w:cs="Palatino Linotype"/>
          <w:noProof/>
          <w:lang w:eastAsia="es-MX"/>
        </w:rPr>
        <w:lastRenderedPageBreak/>
        <w:drawing>
          <wp:inline distT="0" distB="0" distL="0" distR="0" wp14:anchorId="73907FE3" wp14:editId="35026CCB">
            <wp:extent cx="4362449" cy="1789526"/>
            <wp:effectExtent l="0" t="0" r="63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2777" cy="1793762"/>
                    </a:xfrm>
                    <a:prstGeom prst="rect">
                      <a:avLst/>
                    </a:prstGeom>
                  </pic:spPr>
                </pic:pic>
              </a:graphicData>
            </a:graphic>
          </wp:inline>
        </w:drawing>
      </w:r>
    </w:p>
    <w:p w14:paraId="3FB990CE" w14:textId="77777777" w:rsidR="003D28EB" w:rsidRPr="00EC5A4C" w:rsidRDefault="003D28EB" w:rsidP="00B371E0">
      <w:pPr>
        <w:spacing w:after="0" w:line="360" w:lineRule="auto"/>
        <w:jc w:val="both"/>
        <w:rPr>
          <w:rFonts w:ascii="Palatino Linotype" w:hAnsi="Palatino Linotype" w:cs="Tahoma"/>
          <w:bCs/>
          <w:iCs/>
          <w:lang w:eastAsia="es-ES"/>
        </w:rPr>
      </w:pPr>
    </w:p>
    <w:p w14:paraId="012FBCF4" w14:textId="2BD3313A" w:rsidR="00586710" w:rsidRPr="00EC5A4C" w:rsidRDefault="00D115CB" w:rsidP="00B371E0">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 xml:space="preserve">En ese sentido, de la lectura al documento denominado Programa Anual de Evaluación del año 2023, se advirtió el tipo de evaluación practicada al Instituto de Seguridad Social del Estado de </w:t>
      </w:r>
      <w:r w:rsidR="00A0510B" w:rsidRPr="00EC5A4C">
        <w:rPr>
          <w:rFonts w:ascii="Palatino Linotype" w:hAnsi="Palatino Linotype" w:cs="Tahoma"/>
          <w:bCs/>
          <w:iCs/>
          <w:lang w:eastAsia="es-ES"/>
        </w:rPr>
        <w:t xml:space="preserve">México y Municipios, como se observa a continuación. </w:t>
      </w:r>
    </w:p>
    <w:p w14:paraId="60143FB5" w14:textId="77777777" w:rsidR="00A0510B" w:rsidRPr="00EC5A4C" w:rsidRDefault="00A0510B" w:rsidP="00B371E0">
      <w:pPr>
        <w:spacing w:after="0" w:line="360" w:lineRule="auto"/>
        <w:jc w:val="both"/>
        <w:rPr>
          <w:rFonts w:ascii="Palatino Linotype" w:hAnsi="Palatino Linotype" w:cs="Tahoma"/>
          <w:bCs/>
          <w:iCs/>
          <w:lang w:eastAsia="es-ES"/>
        </w:rPr>
      </w:pPr>
    </w:p>
    <w:p w14:paraId="03DCE118" w14:textId="5FFC376B" w:rsidR="00A0510B" w:rsidRPr="00EC5A4C" w:rsidRDefault="00A0510B" w:rsidP="00B371E0">
      <w:pPr>
        <w:spacing w:after="0" w:line="360" w:lineRule="auto"/>
        <w:jc w:val="both"/>
        <w:rPr>
          <w:rFonts w:ascii="Palatino Linotype" w:hAnsi="Palatino Linotype" w:cs="Tahoma"/>
          <w:bCs/>
          <w:iCs/>
          <w:lang w:eastAsia="es-ES"/>
        </w:rPr>
      </w:pPr>
      <w:r w:rsidRPr="00EC5A4C">
        <w:rPr>
          <w:rFonts w:ascii="Palatino Linotype" w:hAnsi="Palatino Linotype" w:cs="Tahoma"/>
          <w:bCs/>
          <w:iCs/>
          <w:noProof/>
          <w:lang w:eastAsia="es-MX"/>
        </w:rPr>
        <w:drawing>
          <wp:inline distT="0" distB="0" distL="0" distR="0" wp14:anchorId="69E6E98C" wp14:editId="320876BC">
            <wp:extent cx="5756275" cy="52641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275" cy="526415"/>
                    </a:xfrm>
                    <a:prstGeom prst="rect">
                      <a:avLst/>
                    </a:prstGeom>
                  </pic:spPr>
                </pic:pic>
              </a:graphicData>
            </a:graphic>
          </wp:inline>
        </w:drawing>
      </w:r>
    </w:p>
    <w:p w14:paraId="09BFE976" w14:textId="356BEBF9" w:rsidR="00A0510B" w:rsidRPr="00EC5A4C" w:rsidRDefault="00A0510B" w:rsidP="00A0510B">
      <w:pPr>
        <w:spacing w:after="0" w:line="360" w:lineRule="auto"/>
        <w:jc w:val="center"/>
        <w:rPr>
          <w:rFonts w:ascii="Palatino Linotype" w:hAnsi="Palatino Linotype" w:cs="Tahoma"/>
          <w:bCs/>
          <w:iCs/>
          <w:lang w:eastAsia="es-ES"/>
        </w:rPr>
      </w:pPr>
      <w:r w:rsidRPr="00EC5A4C">
        <w:rPr>
          <w:rFonts w:ascii="Palatino Linotype" w:hAnsi="Palatino Linotype" w:cs="Tahoma"/>
          <w:bCs/>
          <w:iCs/>
          <w:lang w:eastAsia="es-ES"/>
        </w:rPr>
        <w:t>…</w:t>
      </w:r>
    </w:p>
    <w:p w14:paraId="084887BA" w14:textId="16DD72E6" w:rsidR="00A0510B" w:rsidRPr="00EC5A4C" w:rsidRDefault="00A0510B" w:rsidP="00B371E0">
      <w:pPr>
        <w:spacing w:after="0" w:line="360" w:lineRule="auto"/>
        <w:jc w:val="both"/>
        <w:rPr>
          <w:rFonts w:ascii="Palatino Linotype" w:hAnsi="Palatino Linotype" w:cs="Tahoma"/>
          <w:bCs/>
          <w:iCs/>
          <w:lang w:eastAsia="es-ES"/>
        </w:rPr>
      </w:pPr>
      <w:r w:rsidRPr="00EC5A4C">
        <w:rPr>
          <w:rFonts w:ascii="Palatino Linotype" w:hAnsi="Palatino Linotype" w:cs="Tahoma"/>
          <w:bCs/>
          <w:iCs/>
          <w:noProof/>
          <w:lang w:eastAsia="es-MX"/>
        </w:rPr>
        <w:drawing>
          <wp:inline distT="0" distB="0" distL="0" distR="0" wp14:anchorId="488D9973" wp14:editId="3EF2D500">
            <wp:extent cx="5756275" cy="58928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275" cy="589280"/>
                    </a:xfrm>
                    <a:prstGeom prst="rect">
                      <a:avLst/>
                    </a:prstGeom>
                  </pic:spPr>
                </pic:pic>
              </a:graphicData>
            </a:graphic>
          </wp:inline>
        </w:drawing>
      </w:r>
    </w:p>
    <w:p w14:paraId="04E238E5" w14:textId="2EAD19CE" w:rsidR="00A0510B" w:rsidRPr="00EC5A4C" w:rsidRDefault="00A0510B" w:rsidP="00A0510B">
      <w:pPr>
        <w:spacing w:after="0" w:line="360" w:lineRule="auto"/>
        <w:jc w:val="center"/>
        <w:rPr>
          <w:rFonts w:ascii="Palatino Linotype" w:hAnsi="Palatino Linotype" w:cs="Tahoma"/>
          <w:bCs/>
          <w:iCs/>
          <w:lang w:eastAsia="es-ES"/>
        </w:rPr>
      </w:pPr>
      <w:r w:rsidRPr="00EC5A4C">
        <w:rPr>
          <w:rFonts w:ascii="Palatino Linotype" w:hAnsi="Palatino Linotype" w:cs="Tahoma"/>
          <w:bCs/>
          <w:iCs/>
          <w:lang w:eastAsia="es-ES"/>
        </w:rPr>
        <w:t>…</w:t>
      </w:r>
    </w:p>
    <w:p w14:paraId="4EFA206D" w14:textId="77777777" w:rsidR="001A38DF" w:rsidRPr="00EC5A4C" w:rsidRDefault="001A38DF" w:rsidP="00B371E0">
      <w:pPr>
        <w:spacing w:after="0" w:line="360" w:lineRule="auto"/>
        <w:jc w:val="both"/>
        <w:rPr>
          <w:rFonts w:ascii="Palatino Linotype" w:hAnsi="Palatino Linotype" w:cs="Tahoma"/>
          <w:bCs/>
          <w:iCs/>
          <w:lang w:eastAsia="es-ES"/>
        </w:rPr>
      </w:pPr>
    </w:p>
    <w:p w14:paraId="7BC2E2E8" w14:textId="0A4063D7" w:rsidR="00A0510B" w:rsidRPr="00EC5A4C" w:rsidRDefault="000B46B6" w:rsidP="00B371E0">
      <w:pPr>
        <w:spacing w:after="0" w:line="360" w:lineRule="auto"/>
        <w:jc w:val="both"/>
        <w:rPr>
          <w:rFonts w:ascii="Palatino Linotype" w:hAnsi="Palatino Linotype" w:cs="Tahoma"/>
          <w:b/>
          <w:bCs/>
          <w:iCs/>
          <w:lang w:eastAsia="es-ES"/>
        </w:rPr>
      </w:pPr>
      <w:r w:rsidRPr="00EC5A4C">
        <w:rPr>
          <w:rFonts w:ascii="Palatino Linotype" w:hAnsi="Palatino Linotype" w:cs="Tahoma"/>
          <w:bCs/>
          <w:iCs/>
          <w:lang w:eastAsia="es-ES"/>
        </w:rPr>
        <w:t xml:space="preserve">No obstante, si bien es cierto, dentro de la información que proporcionó el Sujeto Obligado se puede advertir el tipo de evaluación y el programa presupuestario de la evaluación realizada al ISSEMyM, también lo es que, el resultado se entiende como el producto o consecuencia de llevar a cabo un proceso determinado. En ese entendido, se colige que, dentro de la información remitida </w:t>
      </w:r>
      <w:r w:rsidRPr="00EC5A4C">
        <w:rPr>
          <w:rFonts w:ascii="Palatino Linotype" w:hAnsi="Palatino Linotype" w:cs="Tahoma"/>
          <w:b/>
          <w:bCs/>
          <w:iCs/>
          <w:lang w:eastAsia="es-ES"/>
        </w:rPr>
        <w:t xml:space="preserve">no se observa el resultado obtenido por la evaluación realizada al Organismo de Salud. </w:t>
      </w:r>
    </w:p>
    <w:p w14:paraId="6342F277" w14:textId="256B9792" w:rsidR="000B46B6" w:rsidRPr="00EC5A4C" w:rsidRDefault="000B46B6" w:rsidP="00B371E0">
      <w:pPr>
        <w:spacing w:after="0" w:line="360" w:lineRule="auto"/>
        <w:jc w:val="both"/>
        <w:rPr>
          <w:rFonts w:ascii="Palatino Linotype" w:hAnsi="Palatino Linotype" w:cs="Tahoma"/>
          <w:b/>
          <w:bCs/>
          <w:iCs/>
          <w:lang w:eastAsia="es-ES"/>
        </w:rPr>
      </w:pPr>
    </w:p>
    <w:p w14:paraId="4823CFED" w14:textId="058ECCF0" w:rsidR="000B46B6" w:rsidRPr="00EC5A4C" w:rsidRDefault="000B46B6" w:rsidP="000B46B6">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lastRenderedPageBreak/>
        <w:t xml:space="preserve">Es así que, resulta necesario </w:t>
      </w:r>
      <w:r w:rsidRPr="00EC5A4C">
        <w:rPr>
          <w:rFonts w:ascii="Palatino Linotype" w:eastAsia="Palatino Linotype" w:hAnsi="Palatino Linotype" w:cs="Palatino Linotype"/>
        </w:rPr>
        <w:t>traer a colación lo que señala el Criterio 02/17 emitido por el Instituto Nacional de Transparencia, Acceso a la Información y Protección de Datos Personales el cual establece lo siguiente:</w:t>
      </w:r>
    </w:p>
    <w:p w14:paraId="20EC8EC4" w14:textId="77777777" w:rsidR="000B46B6" w:rsidRPr="00EC5A4C" w:rsidRDefault="000B46B6" w:rsidP="000B46B6">
      <w:pPr>
        <w:pBdr>
          <w:top w:val="nil"/>
          <w:left w:val="nil"/>
          <w:bottom w:val="nil"/>
          <w:right w:val="nil"/>
          <w:between w:val="nil"/>
        </w:pBdr>
        <w:spacing w:after="0"/>
        <w:ind w:left="567" w:right="701"/>
        <w:jc w:val="both"/>
        <w:rPr>
          <w:rFonts w:ascii="Palatino Linotype" w:eastAsia="Palatino Linotype" w:hAnsi="Palatino Linotype" w:cs="Palatino Linotype"/>
          <w:i/>
        </w:rPr>
      </w:pPr>
    </w:p>
    <w:p w14:paraId="2E2DBC9C" w14:textId="77777777" w:rsidR="000B46B6" w:rsidRPr="00EC5A4C" w:rsidRDefault="000B46B6" w:rsidP="000B46B6">
      <w:pPr>
        <w:pBdr>
          <w:top w:val="nil"/>
          <w:left w:val="nil"/>
          <w:bottom w:val="nil"/>
          <w:right w:val="nil"/>
          <w:between w:val="nil"/>
        </w:pBdr>
        <w:spacing w:after="0"/>
        <w:ind w:left="567" w:right="701"/>
        <w:jc w:val="both"/>
        <w:rPr>
          <w:rFonts w:ascii="Palatino Linotype" w:eastAsia="Palatino Linotype" w:hAnsi="Palatino Linotype" w:cs="Palatino Linotype"/>
          <w:i/>
        </w:rPr>
      </w:pPr>
      <w:r w:rsidRPr="00EC5A4C">
        <w:rPr>
          <w:rFonts w:ascii="Palatino Linotype" w:eastAsia="Palatino Linotype" w:hAnsi="Palatino Linotype" w:cs="Palatino Linotype"/>
          <w:b/>
          <w:i/>
        </w:rPr>
        <w:t>Congruencia y exhaustividad. Sus alcances para garantizar el derecho de acceso a la información.</w:t>
      </w:r>
      <w:r w:rsidRPr="00EC5A4C">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BA98A7C" w14:textId="77777777" w:rsidR="000B46B6" w:rsidRPr="00EC5A4C" w:rsidRDefault="000B46B6" w:rsidP="000B46B6">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2327A69" w14:textId="57893726" w:rsidR="000B46B6" w:rsidRPr="00EC5A4C" w:rsidRDefault="000B46B6" w:rsidP="000B46B6">
      <w:pPr>
        <w:pBdr>
          <w:top w:val="nil"/>
          <w:left w:val="nil"/>
          <w:bottom w:val="nil"/>
          <w:right w:val="nil"/>
          <w:between w:val="nil"/>
        </w:pBdr>
        <w:spacing w:after="0" w:line="360" w:lineRule="auto"/>
        <w:ind w:right="-150"/>
        <w:jc w:val="both"/>
        <w:rPr>
          <w:rFonts w:ascii="Palatino Linotype" w:eastAsia="Palatino Linotype" w:hAnsi="Palatino Linotype" w:cs="Palatino Linotype"/>
          <w:bCs/>
        </w:rPr>
      </w:pPr>
      <w:r w:rsidRPr="00EC5A4C">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EC5A4C">
        <w:rPr>
          <w:rFonts w:ascii="Palatino Linotype" w:eastAsia="Palatino Linotype" w:hAnsi="Palatino Linotype" w:cs="Palatino Linotype"/>
          <w:b/>
        </w:rPr>
        <w:t>implica que exista concordancia entre el requerimiento formulado por el particular y la respuesta proporcionada por el sujeto obligado</w:t>
      </w:r>
      <w:r w:rsidRPr="00EC5A4C">
        <w:rPr>
          <w:rFonts w:ascii="Palatino Linotype" w:eastAsia="Palatino Linotype" w:hAnsi="Palatino Linotype" w:cs="Palatino Linotype"/>
        </w:rPr>
        <w:t xml:space="preserve">, mientras que la exhaustividad establece que el sujeto obligado </w:t>
      </w:r>
      <w:r w:rsidRPr="00EC5A4C">
        <w:rPr>
          <w:rFonts w:ascii="Palatino Linotype" w:eastAsia="Palatino Linotype" w:hAnsi="Palatino Linotype" w:cs="Palatino Linotype"/>
          <w:b/>
          <w:bCs/>
        </w:rPr>
        <w:t>deberá atender de manera expresa cada uno de los puntos solicitados</w:t>
      </w:r>
      <w:r w:rsidRPr="00EC5A4C">
        <w:rPr>
          <w:rFonts w:ascii="Palatino Linotype" w:eastAsia="Palatino Linotype" w:hAnsi="Palatino Linotype" w:cs="Palatino Linotype"/>
        </w:rPr>
        <w:t xml:space="preserve">, situación que en el presente caso </w:t>
      </w:r>
      <w:r w:rsidRPr="00EC5A4C">
        <w:rPr>
          <w:rFonts w:ascii="Palatino Linotype" w:eastAsia="Palatino Linotype" w:hAnsi="Palatino Linotype" w:cs="Palatino Linotype"/>
          <w:b/>
          <w:bCs/>
          <w:u w:val="single"/>
        </w:rPr>
        <w:t>no aconteció</w:t>
      </w:r>
      <w:r w:rsidRPr="00EC5A4C">
        <w:rPr>
          <w:rFonts w:ascii="Palatino Linotype" w:eastAsia="Palatino Linotype" w:hAnsi="Palatino Linotype" w:cs="Palatino Linotype"/>
          <w:bCs/>
          <w:i/>
        </w:rPr>
        <w:t xml:space="preserve">, </w:t>
      </w:r>
      <w:r w:rsidRPr="00EC5A4C">
        <w:rPr>
          <w:rFonts w:ascii="Palatino Linotype" w:eastAsia="Palatino Linotype" w:hAnsi="Palatino Linotype" w:cs="Palatino Linotype"/>
          <w:bCs/>
        </w:rPr>
        <w:t xml:space="preserve">pues el Sujeto Obligado no fue congruente entre la información proporcionada con la información requerida. </w:t>
      </w:r>
    </w:p>
    <w:p w14:paraId="461598C7" w14:textId="77777777" w:rsidR="000B46B6" w:rsidRPr="00EC5A4C" w:rsidRDefault="000B46B6" w:rsidP="000B46B6">
      <w:pPr>
        <w:pBdr>
          <w:top w:val="nil"/>
          <w:left w:val="nil"/>
          <w:bottom w:val="nil"/>
          <w:right w:val="nil"/>
          <w:between w:val="nil"/>
        </w:pBdr>
        <w:spacing w:after="0" w:line="360" w:lineRule="auto"/>
        <w:ind w:right="-150"/>
        <w:jc w:val="both"/>
        <w:rPr>
          <w:rFonts w:ascii="Palatino Linotype" w:eastAsia="Palatino Linotype" w:hAnsi="Palatino Linotype" w:cs="Palatino Linotype"/>
          <w:bCs/>
        </w:rPr>
      </w:pPr>
    </w:p>
    <w:p w14:paraId="77217374" w14:textId="0881BFEE" w:rsidR="000B46B6" w:rsidRPr="00EC5A4C" w:rsidRDefault="00E7524B" w:rsidP="00E7524B">
      <w:pPr>
        <w:pBdr>
          <w:top w:val="nil"/>
          <w:left w:val="nil"/>
          <w:bottom w:val="nil"/>
          <w:right w:val="nil"/>
          <w:between w:val="nil"/>
        </w:pBdr>
        <w:spacing w:after="0" w:line="360" w:lineRule="auto"/>
        <w:ind w:right="-150"/>
        <w:jc w:val="both"/>
        <w:rPr>
          <w:rFonts w:ascii="Palatino Linotype" w:eastAsia="Palatino Linotype" w:hAnsi="Palatino Linotype" w:cs="Palatino Linotype"/>
          <w:bCs/>
        </w:rPr>
      </w:pPr>
      <w:r w:rsidRPr="00EC5A4C">
        <w:rPr>
          <w:rFonts w:ascii="Palatino Linotype" w:eastAsia="Palatino Linotype" w:hAnsi="Palatino Linotype" w:cs="Palatino Linotype"/>
          <w:bCs/>
        </w:rPr>
        <w:t xml:space="preserve">Por lo anterior, debido a que, el Sujeto Obligado no proporcionó los resultados de la evaluación practicada </w:t>
      </w:r>
      <w:r w:rsidRPr="00EC5A4C">
        <w:rPr>
          <w:rFonts w:ascii="Palatino Linotype" w:hAnsi="Palatino Linotype" w:cs="Tahoma"/>
          <w:bCs/>
          <w:iCs/>
          <w:lang w:eastAsia="es-ES"/>
        </w:rPr>
        <w:t xml:space="preserve">al Issemym por parte de la Dirección General de Evaluación del Desempeño Institucional en el año 2023, se determina que los agravios hechos valer por la parte Recurrente devienen </w:t>
      </w:r>
      <w:r w:rsidRPr="00EC5A4C">
        <w:rPr>
          <w:rFonts w:ascii="Palatino Linotype" w:hAnsi="Palatino Linotype" w:cs="Tahoma"/>
          <w:b/>
          <w:bCs/>
          <w:iCs/>
          <w:lang w:eastAsia="es-ES"/>
        </w:rPr>
        <w:t xml:space="preserve">FUNDADOS </w:t>
      </w:r>
      <w:r w:rsidRPr="00EC5A4C">
        <w:rPr>
          <w:rFonts w:ascii="Palatino Linotype" w:hAnsi="Palatino Linotype" w:cs="Tahoma"/>
          <w:bCs/>
          <w:iCs/>
          <w:lang w:eastAsia="es-ES"/>
        </w:rPr>
        <w:t xml:space="preserve">y, por ende, resulta procedente ordenar su entrega. </w:t>
      </w:r>
    </w:p>
    <w:p w14:paraId="5540AB83" w14:textId="5BBD9F26" w:rsidR="00A0510B" w:rsidRPr="00EC5A4C" w:rsidRDefault="00A0510B" w:rsidP="00A0510B">
      <w:pPr>
        <w:pStyle w:val="Prrafodelista"/>
        <w:numPr>
          <w:ilvl w:val="0"/>
          <w:numId w:val="5"/>
        </w:numPr>
        <w:spacing w:after="0" w:line="360" w:lineRule="auto"/>
        <w:jc w:val="both"/>
        <w:rPr>
          <w:rFonts w:ascii="Palatino Linotype" w:hAnsi="Palatino Linotype" w:cs="Tahoma"/>
          <w:b/>
          <w:bCs/>
          <w:iCs/>
          <w:lang w:eastAsia="es-ES"/>
        </w:rPr>
      </w:pPr>
      <w:r w:rsidRPr="00EC5A4C">
        <w:rPr>
          <w:rFonts w:ascii="Palatino Linotype" w:hAnsi="Palatino Linotype" w:cs="Tahoma"/>
          <w:b/>
          <w:bCs/>
          <w:iCs/>
          <w:lang w:eastAsia="es-ES"/>
        </w:rPr>
        <w:lastRenderedPageBreak/>
        <w:t xml:space="preserve">Del Recurso de Revisión 06505/INFOEM/IP/RR2024. </w:t>
      </w:r>
    </w:p>
    <w:p w14:paraId="16625C2C" w14:textId="2AC8C220" w:rsidR="00A0510B" w:rsidRPr="00EC5A4C" w:rsidRDefault="00A0510B" w:rsidP="00A0510B">
      <w:pPr>
        <w:spacing w:after="0" w:line="360" w:lineRule="auto"/>
        <w:jc w:val="both"/>
        <w:rPr>
          <w:rFonts w:ascii="Palatino Linotype" w:hAnsi="Palatino Linotype" w:cs="Tahoma"/>
          <w:bCs/>
          <w:iCs/>
          <w:lang w:eastAsia="es-ES"/>
        </w:rPr>
      </w:pPr>
    </w:p>
    <w:p w14:paraId="6ED8661E" w14:textId="34C4BAE4" w:rsidR="00A0510B" w:rsidRPr="00EC5A4C" w:rsidRDefault="00A0510B" w:rsidP="00A0510B">
      <w:pPr>
        <w:spacing w:after="0" w:line="360" w:lineRule="auto"/>
        <w:jc w:val="both"/>
        <w:rPr>
          <w:rFonts w:ascii="Palatino Linotype" w:hAnsi="Palatino Linotype" w:cs="Tahoma"/>
          <w:b/>
          <w:bCs/>
          <w:iCs/>
          <w:lang w:eastAsia="es-ES"/>
        </w:rPr>
      </w:pPr>
      <w:r w:rsidRPr="00EC5A4C">
        <w:rPr>
          <w:rFonts w:ascii="Palatino Linotype" w:hAnsi="Palatino Linotype" w:cs="Tahoma"/>
          <w:bCs/>
          <w:iCs/>
          <w:lang w:eastAsia="es-ES"/>
        </w:rPr>
        <w:t xml:space="preserve">En lo que compete a este Recurso de Revisión, la parte Recurrente solicitó </w:t>
      </w:r>
      <w:r w:rsidRPr="00EC5A4C">
        <w:rPr>
          <w:rFonts w:ascii="Palatino Linotype" w:hAnsi="Palatino Linotype" w:cs="Tahoma"/>
          <w:b/>
          <w:bCs/>
          <w:iCs/>
          <w:lang w:eastAsia="es-ES"/>
        </w:rPr>
        <w:t xml:space="preserve">los resultados de las evaluaciones realizadas en el ejercicio 2022 al Issemym de la Dirección General de Evaluación del Desempeño Institucional y, conocer la asesoría, participación o coparticipación de la actual Directora del Área adscrita a la Dirección General. </w:t>
      </w:r>
    </w:p>
    <w:p w14:paraId="6E101564" w14:textId="77777777" w:rsidR="003D28EB" w:rsidRPr="00EC5A4C" w:rsidRDefault="003D28EB" w:rsidP="00A0510B">
      <w:pPr>
        <w:spacing w:after="0" w:line="360" w:lineRule="auto"/>
        <w:jc w:val="both"/>
        <w:rPr>
          <w:rFonts w:ascii="Palatino Linotype" w:hAnsi="Palatino Linotype" w:cs="Tahoma"/>
          <w:b/>
          <w:bCs/>
          <w:iCs/>
          <w:lang w:eastAsia="es-ES"/>
        </w:rPr>
      </w:pPr>
    </w:p>
    <w:p w14:paraId="2A31B898" w14:textId="20F632D6" w:rsidR="00A0510B" w:rsidRPr="00EC5A4C" w:rsidRDefault="00A0510B" w:rsidP="00A0510B">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En respuesta, la Subsecretaría de Planeación y Presupuesto, informó que, no se encontró documentación sobre asesorías, participación o coparticipación en las evaluaciones realizadas al Instituto de Seguridad Social del Estado de México y Municipios. Por ello, se considera que, al haberse pronunciado la unidad administrativa, se desprende que nos encontramos en presencia de un denominado hecho negativo, por lo que, resulta lógica y materialmente imposible la entrega de inf</w:t>
      </w:r>
      <w:r w:rsidRPr="00EC5A4C">
        <w:rPr>
          <w:rFonts w:ascii="Palatino Linotype" w:hAnsi="Palatino Linotype"/>
        </w:rPr>
        <w:t>ormación que no obra en los archivos del Sujeto Obligado.</w:t>
      </w:r>
    </w:p>
    <w:p w14:paraId="50835FBB" w14:textId="77777777" w:rsidR="00A0510B" w:rsidRPr="00EC5A4C" w:rsidRDefault="00A0510B" w:rsidP="00A0510B">
      <w:pPr>
        <w:spacing w:after="0" w:line="360" w:lineRule="auto"/>
        <w:ind w:right="-7"/>
        <w:jc w:val="both"/>
        <w:rPr>
          <w:rFonts w:ascii="Palatino Linotype" w:hAnsi="Palatino Linotype"/>
        </w:rPr>
      </w:pPr>
    </w:p>
    <w:p w14:paraId="48E8DFE4" w14:textId="14776BC1" w:rsidR="00A0510B" w:rsidRPr="00EC5A4C" w:rsidRDefault="00A0510B" w:rsidP="00A0510B">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 xml:space="preserve">En lo que respecta a </w:t>
      </w:r>
      <w:r w:rsidRPr="00EC5A4C">
        <w:rPr>
          <w:rFonts w:ascii="Palatino Linotype" w:hAnsi="Palatino Linotype" w:cs="Tahoma"/>
          <w:b/>
          <w:bCs/>
          <w:iCs/>
          <w:lang w:eastAsia="es-ES"/>
        </w:rPr>
        <w:t>las evaluaciones</w:t>
      </w:r>
      <w:r w:rsidR="001B71EE" w:rsidRPr="00EC5A4C">
        <w:rPr>
          <w:rFonts w:ascii="Palatino Linotype" w:hAnsi="Palatino Linotype" w:cs="Tahoma"/>
          <w:b/>
          <w:bCs/>
          <w:iCs/>
          <w:lang w:eastAsia="es-ES"/>
        </w:rPr>
        <w:t xml:space="preserve"> realizadas en el ejercicio 2022</w:t>
      </w:r>
      <w:r w:rsidRPr="00EC5A4C">
        <w:rPr>
          <w:rFonts w:ascii="Palatino Linotype" w:hAnsi="Palatino Linotype" w:cs="Tahoma"/>
          <w:b/>
          <w:bCs/>
          <w:iCs/>
          <w:lang w:eastAsia="es-ES"/>
        </w:rPr>
        <w:t xml:space="preserve"> al Issemym de la Dirección General de Evaluación del Desempeño Institucional</w:t>
      </w:r>
      <w:r w:rsidRPr="00EC5A4C">
        <w:rPr>
          <w:rFonts w:ascii="Palatino Linotype" w:hAnsi="Palatino Linotype" w:cs="Tahoma"/>
          <w:bCs/>
          <w:iCs/>
          <w:lang w:eastAsia="es-ES"/>
        </w:rPr>
        <w:t xml:space="preserve">, el Sujeto Obligado refirió que la información se encontraba publicada en la </w:t>
      </w:r>
      <w:r w:rsidR="001B71EE" w:rsidRPr="00EC5A4C">
        <w:rPr>
          <w:rFonts w:ascii="Palatino Linotype" w:hAnsi="Palatino Linotype" w:cs="Tahoma"/>
          <w:bCs/>
          <w:iCs/>
          <w:lang w:eastAsia="es-ES"/>
        </w:rPr>
        <w:t xml:space="preserve">liga electrónica que fue estudiada en el recurso que antecede. En ese sentido, del ingreso a la misma, se encontró el </w:t>
      </w:r>
      <w:r w:rsidRPr="00EC5A4C">
        <w:rPr>
          <w:rFonts w:ascii="Palatino Linotype" w:hAnsi="Palatino Linotype" w:cs="Tahoma"/>
          <w:bCs/>
          <w:iCs/>
          <w:lang w:eastAsia="es-ES"/>
        </w:rPr>
        <w:t>documento denominado Programa Anual de Ev</w:t>
      </w:r>
      <w:r w:rsidR="001B71EE" w:rsidRPr="00EC5A4C">
        <w:rPr>
          <w:rFonts w:ascii="Palatino Linotype" w:hAnsi="Palatino Linotype" w:cs="Tahoma"/>
          <w:bCs/>
          <w:iCs/>
          <w:lang w:eastAsia="es-ES"/>
        </w:rPr>
        <w:t xml:space="preserve">aluación del año 2022 y, </w:t>
      </w:r>
      <w:r w:rsidRPr="00EC5A4C">
        <w:rPr>
          <w:rFonts w:ascii="Palatino Linotype" w:hAnsi="Palatino Linotype" w:cs="Tahoma"/>
          <w:bCs/>
          <w:iCs/>
          <w:lang w:eastAsia="es-ES"/>
        </w:rPr>
        <w:t xml:space="preserve">se advirtió el tipo de evaluación practicada al Instituto de Seguridad Social del Estado de México y Municipios, como se observa a continuación. </w:t>
      </w:r>
    </w:p>
    <w:p w14:paraId="28E21B4D" w14:textId="77777777" w:rsidR="00A0510B" w:rsidRPr="00EC5A4C" w:rsidRDefault="00A0510B" w:rsidP="00A0510B">
      <w:pPr>
        <w:spacing w:after="0" w:line="360" w:lineRule="auto"/>
        <w:jc w:val="both"/>
        <w:rPr>
          <w:rFonts w:ascii="Palatino Linotype" w:hAnsi="Palatino Linotype" w:cs="Tahoma"/>
          <w:bCs/>
          <w:iCs/>
          <w:lang w:eastAsia="es-ES"/>
        </w:rPr>
      </w:pPr>
    </w:p>
    <w:p w14:paraId="053E1AEA" w14:textId="685904C2" w:rsidR="00A0510B" w:rsidRPr="00EC5A4C" w:rsidRDefault="001B71EE" w:rsidP="004B00AF">
      <w:pPr>
        <w:spacing w:after="0" w:line="360" w:lineRule="auto"/>
        <w:jc w:val="center"/>
        <w:rPr>
          <w:rFonts w:ascii="Palatino Linotype" w:hAnsi="Palatino Linotype" w:cs="Tahoma"/>
          <w:bCs/>
          <w:iCs/>
          <w:lang w:eastAsia="es-ES"/>
        </w:rPr>
      </w:pPr>
      <w:r w:rsidRPr="00EC5A4C">
        <w:rPr>
          <w:rFonts w:ascii="Palatino Linotype" w:hAnsi="Palatino Linotype" w:cs="Tahoma"/>
          <w:bCs/>
          <w:iCs/>
          <w:noProof/>
          <w:lang w:eastAsia="es-MX"/>
        </w:rPr>
        <w:lastRenderedPageBreak/>
        <w:drawing>
          <wp:inline distT="0" distB="0" distL="0" distR="0" wp14:anchorId="57B0A18F" wp14:editId="1344F18A">
            <wp:extent cx="3042435" cy="196215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2260" cy="1968487"/>
                    </a:xfrm>
                    <a:prstGeom prst="rect">
                      <a:avLst/>
                    </a:prstGeom>
                  </pic:spPr>
                </pic:pic>
              </a:graphicData>
            </a:graphic>
          </wp:inline>
        </w:drawing>
      </w:r>
    </w:p>
    <w:p w14:paraId="3A9B307D" w14:textId="77777777" w:rsidR="00A0510B" w:rsidRPr="00EC5A4C" w:rsidRDefault="00A0510B" w:rsidP="00A0510B">
      <w:pPr>
        <w:spacing w:after="0" w:line="360" w:lineRule="auto"/>
        <w:jc w:val="center"/>
        <w:rPr>
          <w:rFonts w:ascii="Palatino Linotype" w:hAnsi="Palatino Linotype" w:cs="Tahoma"/>
          <w:bCs/>
          <w:iCs/>
          <w:lang w:eastAsia="es-ES"/>
        </w:rPr>
      </w:pPr>
      <w:r w:rsidRPr="00EC5A4C">
        <w:rPr>
          <w:rFonts w:ascii="Palatino Linotype" w:hAnsi="Palatino Linotype" w:cs="Tahoma"/>
          <w:bCs/>
          <w:iCs/>
          <w:lang w:eastAsia="es-ES"/>
        </w:rPr>
        <w:t>…</w:t>
      </w:r>
    </w:p>
    <w:p w14:paraId="6EA00F10" w14:textId="516ECC4E" w:rsidR="00A0510B" w:rsidRPr="00EC5A4C" w:rsidRDefault="001B71EE" w:rsidP="00A0510B">
      <w:pPr>
        <w:spacing w:after="0" w:line="360" w:lineRule="auto"/>
        <w:jc w:val="both"/>
        <w:rPr>
          <w:rFonts w:ascii="Palatino Linotype" w:hAnsi="Palatino Linotype" w:cs="Tahoma"/>
          <w:bCs/>
          <w:iCs/>
          <w:lang w:eastAsia="es-ES"/>
        </w:rPr>
      </w:pPr>
      <w:r w:rsidRPr="00EC5A4C">
        <w:rPr>
          <w:rFonts w:ascii="Palatino Linotype" w:hAnsi="Palatino Linotype" w:cs="Tahoma"/>
          <w:bCs/>
          <w:iCs/>
          <w:noProof/>
          <w:lang w:eastAsia="es-MX"/>
        </w:rPr>
        <w:drawing>
          <wp:inline distT="0" distB="0" distL="0" distR="0" wp14:anchorId="1944E523" wp14:editId="0ACE5E99">
            <wp:extent cx="5756275" cy="1695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519"/>
                    <a:stretch/>
                  </pic:blipFill>
                  <pic:spPr bwMode="auto">
                    <a:xfrm>
                      <a:off x="0" y="0"/>
                      <a:ext cx="5756275" cy="1695450"/>
                    </a:xfrm>
                    <a:prstGeom prst="rect">
                      <a:avLst/>
                    </a:prstGeom>
                    <a:ln>
                      <a:noFill/>
                    </a:ln>
                    <a:extLst>
                      <a:ext uri="{53640926-AAD7-44D8-BBD7-CCE9431645EC}">
                        <a14:shadowObscured xmlns:a14="http://schemas.microsoft.com/office/drawing/2010/main"/>
                      </a:ext>
                    </a:extLst>
                  </pic:spPr>
                </pic:pic>
              </a:graphicData>
            </a:graphic>
          </wp:inline>
        </w:drawing>
      </w:r>
    </w:p>
    <w:p w14:paraId="0D6EC8FC" w14:textId="77777777" w:rsidR="00A0510B" w:rsidRPr="00EC5A4C" w:rsidRDefault="00A0510B" w:rsidP="00A0510B">
      <w:pPr>
        <w:spacing w:after="0" w:line="360" w:lineRule="auto"/>
        <w:jc w:val="center"/>
        <w:rPr>
          <w:rFonts w:ascii="Palatino Linotype" w:hAnsi="Palatino Linotype" w:cs="Tahoma"/>
          <w:bCs/>
          <w:iCs/>
          <w:lang w:eastAsia="es-ES"/>
        </w:rPr>
      </w:pPr>
      <w:r w:rsidRPr="00EC5A4C">
        <w:rPr>
          <w:rFonts w:ascii="Palatino Linotype" w:hAnsi="Palatino Linotype" w:cs="Tahoma"/>
          <w:bCs/>
          <w:iCs/>
          <w:lang w:eastAsia="es-ES"/>
        </w:rPr>
        <w:t>…</w:t>
      </w:r>
    </w:p>
    <w:p w14:paraId="7A118447" w14:textId="3A1887CE" w:rsidR="003D28EB" w:rsidRPr="00EC5A4C" w:rsidRDefault="001B71EE" w:rsidP="00A0510B">
      <w:pPr>
        <w:spacing w:after="0" w:line="360" w:lineRule="auto"/>
        <w:jc w:val="both"/>
        <w:rPr>
          <w:rFonts w:ascii="Palatino Linotype" w:hAnsi="Palatino Linotype" w:cs="Tahoma"/>
          <w:bCs/>
          <w:iCs/>
          <w:lang w:eastAsia="es-ES"/>
        </w:rPr>
      </w:pPr>
      <w:r w:rsidRPr="00EC5A4C">
        <w:rPr>
          <w:rFonts w:ascii="Palatino Linotype" w:hAnsi="Palatino Linotype" w:cs="Tahoma"/>
          <w:bCs/>
          <w:iCs/>
          <w:noProof/>
          <w:lang w:eastAsia="es-MX"/>
        </w:rPr>
        <w:drawing>
          <wp:inline distT="0" distB="0" distL="0" distR="0" wp14:anchorId="19B9A6CA" wp14:editId="02404EF4">
            <wp:extent cx="5115639" cy="962159"/>
            <wp:effectExtent l="0" t="0" r="889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5639" cy="962159"/>
                    </a:xfrm>
                    <a:prstGeom prst="rect">
                      <a:avLst/>
                    </a:prstGeom>
                  </pic:spPr>
                </pic:pic>
              </a:graphicData>
            </a:graphic>
          </wp:inline>
        </w:drawing>
      </w:r>
    </w:p>
    <w:p w14:paraId="5A1EBC68" w14:textId="77777777" w:rsidR="004B00AF" w:rsidRPr="00EC5A4C" w:rsidRDefault="004B00AF" w:rsidP="00A0510B">
      <w:pPr>
        <w:spacing w:after="0" w:line="360" w:lineRule="auto"/>
        <w:jc w:val="both"/>
        <w:rPr>
          <w:rFonts w:ascii="Palatino Linotype" w:hAnsi="Palatino Linotype" w:cs="Tahoma"/>
          <w:bCs/>
          <w:iCs/>
          <w:lang w:eastAsia="es-ES"/>
        </w:rPr>
      </w:pPr>
    </w:p>
    <w:p w14:paraId="42AF5CE8" w14:textId="65DCDA13" w:rsidR="00E7524B" w:rsidRPr="00EC5A4C" w:rsidRDefault="00E7524B" w:rsidP="00E7524B">
      <w:pPr>
        <w:spacing w:after="0" w:line="360" w:lineRule="auto"/>
        <w:jc w:val="both"/>
        <w:rPr>
          <w:rFonts w:ascii="Palatino Linotype" w:hAnsi="Palatino Linotype" w:cs="Tahoma"/>
          <w:b/>
          <w:bCs/>
          <w:iCs/>
          <w:lang w:eastAsia="es-ES"/>
        </w:rPr>
      </w:pPr>
      <w:r w:rsidRPr="00EC5A4C">
        <w:rPr>
          <w:rFonts w:ascii="Palatino Linotype" w:hAnsi="Palatino Linotype" w:cs="Tahoma"/>
          <w:bCs/>
          <w:iCs/>
          <w:lang w:eastAsia="es-ES"/>
        </w:rPr>
        <w:t>En ese sentido, similar al Recurso de Revisión que anteriormente se analizó, se logra observar que dentro de la información que proporcionó el Sujeto Obligado se señala el tipo de evaluación y el programa presupuestario de la evaluación realizada al ISSEMyM, pero no se encuentran los resultados de</w:t>
      </w:r>
      <w:r w:rsidRPr="00EC5A4C">
        <w:rPr>
          <w:rFonts w:ascii="Palatino Linotype" w:hAnsi="Palatino Linotype" w:cs="Tahoma"/>
          <w:b/>
          <w:bCs/>
          <w:iCs/>
          <w:lang w:eastAsia="es-ES"/>
        </w:rPr>
        <w:t xml:space="preserve"> </w:t>
      </w:r>
      <w:r w:rsidRPr="00EC5A4C">
        <w:rPr>
          <w:rFonts w:ascii="Palatino Linotype" w:hAnsi="Palatino Linotype" w:cs="Tahoma"/>
          <w:bCs/>
          <w:iCs/>
          <w:lang w:eastAsia="es-ES"/>
        </w:rPr>
        <w:t>la evaluación realizada al Organismo de Salud.</w:t>
      </w:r>
      <w:r w:rsidRPr="00EC5A4C">
        <w:rPr>
          <w:rFonts w:ascii="Palatino Linotype" w:hAnsi="Palatino Linotype" w:cs="Tahoma"/>
          <w:b/>
          <w:bCs/>
          <w:iCs/>
          <w:lang w:eastAsia="es-ES"/>
        </w:rPr>
        <w:t xml:space="preserve"> </w:t>
      </w:r>
    </w:p>
    <w:p w14:paraId="7D3B7348" w14:textId="4816530E" w:rsidR="00E7524B" w:rsidRPr="00EC5A4C" w:rsidRDefault="00E7524B" w:rsidP="00E7524B">
      <w:pPr>
        <w:pBdr>
          <w:top w:val="nil"/>
          <w:left w:val="nil"/>
          <w:bottom w:val="nil"/>
          <w:right w:val="nil"/>
          <w:between w:val="nil"/>
        </w:pBdr>
        <w:spacing w:after="0" w:line="360" w:lineRule="auto"/>
        <w:ind w:right="-150"/>
        <w:jc w:val="both"/>
        <w:rPr>
          <w:rFonts w:ascii="Palatino Linotype" w:eastAsia="Palatino Linotype" w:hAnsi="Palatino Linotype" w:cs="Palatino Linotype"/>
          <w:bCs/>
        </w:rPr>
      </w:pPr>
      <w:r w:rsidRPr="00EC5A4C">
        <w:rPr>
          <w:rFonts w:ascii="Palatino Linotype" w:hAnsi="Palatino Linotype" w:cs="Tahoma"/>
          <w:bCs/>
          <w:iCs/>
          <w:lang w:eastAsia="es-ES"/>
        </w:rPr>
        <w:lastRenderedPageBreak/>
        <w:t>Por ello, similar al caso que antecede, se colige que</w:t>
      </w:r>
      <w:r w:rsidRPr="00EC5A4C">
        <w:rPr>
          <w:rFonts w:ascii="Palatino Linotype" w:eastAsia="Palatino Linotype" w:hAnsi="Palatino Linotype" w:cs="Palatino Linotype"/>
          <w:bCs/>
        </w:rPr>
        <w:t xml:space="preserve"> el Sujeto Obligado no fue congruente entre la información proporcionada con la información requerida, al no remitir los resultados de las evaluaciones practicadas a dicho organismo. </w:t>
      </w:r>
    </w:p>
    <w:p w14:paraId="6CC29BC5" w14:textId="77777777" w:rsidR="00E7524B" w:rsidRPr="00EC5A4C" w:rsidRDefault="00E7524B" w:rsidP="00E7524B">
      <w:pPr>
        <w:pBdr>
          <w:top w:val="nil"/>
          <w:left w:val="nil"/>
          <w:bottom w:val="nil"/>
          <w:right w:val="nil"/>
          <w:between w:val="nil"/>
        </w:pBdr>
        <w:spacing w:after="0" w:line="360" w:lineRule="auto"/>
        <w:ind w:right="-150"/>
        <w:jc w:val="both"/>
        <w:rPr>
          <w:rFonts w:ascii="Palatino Linotype" w:eastAsia="Palatino Linotype" w:hAnsi="Palatino Linotype" w:cs="Palatino Linotype"/>
          <w:bCs/>
        </w:rPr>
      </w:pPr>
    </w:p>
    <w:p w14:paraId="00DED645" w14:textId="07942E05" w:rsidR="00E7524B" w:rsidRPr="00EC5A4C" w:rsidRDefault="00E7524B" w:rsidP="00E7524B">
      <w:pPr>
        <w:pBdr>
          <w:top w:val="nil"/>
          <w:left w:val="nil"/>
          <w:bottom w:val="nil"/>
          <w:right w:val="nil"/>
          <w:between w:val="nil"/>
        </w:pBdr>
        <w:spacing w:after="0" w:line="360" w:lineRule="auto"/>
        <w:ind w:right="-150"/>
        <w:jc w:val="both"/>
        <w:rPr>
          <w:rFonts w:ascii="Palatino Linotype" w:eastAsia="Palatino Linotype" w:hAnsi="Palatino Linotype" w:cs="Palatino Linotype"/>
          <w:bCs/>
        </w:rPr>
      </w:pPr>
      <w:r w:rsidRPr="00EC5A4C">
        <w:rPr>
          <w:rFonts w:ascii="Palatino Linotype" w:eastAsia="Palatino Linotype" w:hAnsi="Palatino Linotype" w:cs="Palatino Linotype"/>
          <w:bCs/>
        </w:rPr>
        <w:t xml:space="preserve">Es así que, debido a que, el Sujeto Obligado no proporcionó los resultados de la evaluación practicada </w:t>
      </w:r>
      <w:r w:rsidRPr="00EC5A4C">
        <w:rPr>
          <w:rFonts w:ascii="Palatino Linotype" w:hAnsi="Palatino Linotype" w:cs="Tahoma"/>
          <w:bCs/>
          <w:iCs/>
          <w:lang w:eastAsia="es-ES"/>
        </w:rPr>
        <w:t xml:space="preserve">al Issemym por parte de la Dirección General de Evaluación del Desempeño Institucional en el año 2022, se determina que los agravios hechos valer por la parte Recurrente devienen </w:t>
      </w:r>
      <w:r w:rsidRPr="00EC5A4C">
        <w:rPr>
          <w:rFonts w:ascii="Palatino Linotype" w:hAnsi="Palatino Linotype" w:cs="Tahoma"/>
          <w:b/>
          <w:bCs/>
          <w:iCs/>
          <w:lang w:eastAsia="es-ES"/>
        </w:rPr>
        <w:t xml:space="preserve">FUNDADOS </w:t>
      </w:r>
      <w:r w:rsidRPr="00EC5A4C">
        <w:rPr>
          <w:rFonts w:ascii="Palatino Linotype" w:hAnsi="Palatino Linotype" w:cs="Tahoma"/>
          <w:bCs/>
          <w:iCs/>
          <w:lang w:eastAsia="es-ES"/>
        </w:rPr>
        <w:t xml:space="preserve">y, por ende, resulta procedente ordenar su entrega. </w:t>
      </w:r>
    </w:p>
    <w:p w14:paraId="74ACBF96" w14:textId="77777777" w:rsidR="00E7524B" w:rsidRPr="00EC5A4C" w:rsidRDefault="00E7524B" w:rsidP="00E7524B">
      <w:pPr>
        <w:spacing w:after="0" w:line="360" w:lineRule="auto"/>
        <w:jc w:val="both"/>
        <w:rPr>
          <w:rFonts w:ascii="Palatino Linotype" w:hAnsi="Palatino Linotype" w:cs="Tahoma"/>
          <w:b/>
          <w:bCs/>
          <w:iCs/>
          <w:lang w:eastAsia="es-ES"/>
        </w:rPr>
      </w:pPr>
    </w:p>
    <w:p w14:paraId="76045501" w14:textId="161B4839" w:rsidR="001B71EE" w:rsidRPr="00EC5A4C" w:rsidRDefault="001B71EE" w:rsidP="001B71EE">
      <w:pPr>
        <w:pStyle w:val="Prrafodelista"/>
        <w:numPr>
          <w:ilvl w:val="0"/>
          <w:numId w:val="5"/>
        </w:numPr>
        <w:spacing w:after="0" w:line="360" w:lineRule="auto"/>
        <w:jc w:val="both"/>
        <w:rPr>
          <w:rFonts w:ascii="Palatino Linotype" w:hAnsi="Palatino Linotype" w:cs="Tahoma"/>
          <w:b/>
          <w:bCs/>
          <w:iCs/>
          <w:lang w:eastAsia="es-ES"/>
        </w:rPr>
      </w:pPr>
      <w:r w:rsidRPr="00EC5A4C">
        <w:rPr>
          <w:rFonts w:ascii="Palatino Linotype" w:hAnsi="Palatino Linotype" w:cs="Tahoma"/>
          <w:b/>
          <w:bCs/>
          <w:iCs/>
          <w:lang w:eastAsia="es-ES"/>
        </w:rPr>
        <w:t xml:space="preserve">Del Recurso de Revisión 06508/INFOEM/IP/RR2024. </w:t>
      </w:r>
    </w:p>
    <w:p w14:paraId="7DEDD036" w14:textId="77777777" w:rsidR="00A0510B" w:rsidRPr="00EC5A4C" w:rsidRDefault="00A0510B" w:rsidP="00B371E0">
      <w:pPr>
        <w:spacing w:after="0" w:line="360" w:lineRule="auto"/>
        <w:jc w:val="both"/>
        <w:rPr>
          <w:rFonts w:ascii="Palatino Linotype" w:hAnsi="Palatino Linotype" w:cs="Tahoma"/>
          <w:bCs/>
          <w:iCs/>
          <w:lang w:eastAsia="es-ES"/>
        </w:rPr>
      </w:pPr>
    </w:p>
    <w:p w14:paraId="50596D55" w14:textId="104FCD27" w:rsidR="001B71EE" w:rsidRPr="00EC5A4C" w:rsidRDefault="001B71EE" w:rsidP="001B71EE">
      <w:pPr>
        <w:spacing w:after="0" w:line="360" w:lineRule="auto"/>
        <w:jc w:val="both"/>
        <w:rPr>
          <w:rFonts w:ascii="Palatino Linotype" w:hAnsi="Palatino Linotype" w:cs="Tahoma"/>
          <w:b/>
          <w:bCs/>
          <w:iCs/>
          <w:lang w:eastAsia="es-ES"/>
        </w:rPr>
      </w:pPr>
      <w:r w:rsidRPr="00EC5A4C">
        <w:rPr>
          <w:rFonts w:ascii="Palatino Linotype" w:hAnsi="Palatino Linotype" w:cs="Tahoma"/>
          <w:bCs/>
          <w:iCs/>
          <w:lang w:eastAsia="es-ES"/>
        </w:rPr>
        <w:t xml:space="preserve">En lo que compete a este Recurso de Revisión, la parte Recurrente solicitó </w:t>
      </w:r>
      <w:r w:rsidRPr="00EC5A4C">
        <w:rPr>
          <w:rFonts w:ascii="Palatino Linotype" w:hAnsi="Palatino Linotype" w:cs="Tahoma"/>
          <w:b/>
          <w:bCs/>
          <w:iCs/>
          <w:lang w:eastAsia="es-ES"/>
        </w:rPr>
        <w:t xml:space="preserve">los resultados de las evaluaciones realizadas en el ejercicio 2020 al Issemym de la Dirección General de Evaluación del Desempeño Institucional y, conocer la asesoría, participación o coparticipación de la actual Directora del Área adscrita a la Dirección General. </w:t>
      </w:r>
    </w:p>
    <w:p w14:paraId="0D0C87D0" w14:textId="77777777" w:rsidR="003D28EB" w:rsidRPr="00EC5A4C" w:rsidRDefault="003D28EB" w:rsidP="001B71EE">
      <w:pPr>
        <w:spacing w:after="0" w:line="360" w:lineRule="auto"/>
        <w:jc w:val="both"/>
        <w:rPr>
          <w:rFonts w:ascii="Palatino Linotype" w:hAnsi="Palatino Linotype" w:cs="Tahoma"/>
          <w:b/>
          <w:bCs/>
          <w:iCs/>
          <w:lang w:eastAsia="es-ES"/>
        </w:rPr>
      </w:pPr>
    </w:p>
    <w:p w14:paraId="11C434F7" w14:textId="1C7EDF3F" w:rsidR="001B71EE" w:rsidRPr="00EC5A4C" w:rsidRDefault="001B71EE" w:rsidP="001B71EE">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 xml:space="preserve">En respuesta, </w:t>
      </w:r>
      <w:r w:rsidR="007D5BA4" w:rsidRPr="00EC5A4C">
        <w:rPr>
          <w:rFonts w:ascii="Palatino Linotype" w:hAnsi="Palatino Linotype" w:cs="Tahoma"/>
          <w:bCs/>
          <w:iCs/>
          <w:lang w:eastAsia="es-ES"/>
        </w:rPr>
        <w:t xml:space="preserve">en lo que respecta a la </w:t>
      </w:r>
      <w:r w:rsidR="007D5BA4" w:rsidRPr="00EC5A4C">
        <w:rPr>
          <w:rFonts w:ascii="Palatino Linotype" w:hAnsi="Palatino Linotype" w:cs="Tahoma"/>
          <w:b/>
          <w:bCs/>
          <w:iCs/>
          <w:lang w:eastAsia="es-ES"/>
        </w:rPr>
        <w:t>asesoría, participación o coparticipación de la actual Directora del Área</w:t>
      </w:r>
      <w:r w:rsidR="007D5BA4" w:rsidRPr="00EC5A4C">
        <w:rPr>
          <w:rFonts w:ascii="Palatino Linotype" w:hAnsi="Palatino Linotype" w:cs="Tahoma"/>
          <w:bCs/>
          <w:iCs/>
          <w:lang w:eastAsia="es-ES"/>
        </w:rPr>
        <w:t xml:space="preserve">, </w:t>
      </w:r>
      <w:r w:rsidRPr="00EC5A4C">
        <w:rPr>
          <w:rFonts w:ascii="Palatino Linotype" w:hAnsi="Palatino Linotype" w:cs="Tahoma"/>
          <w:bCs/>
          <w:iCs/>
          <w:lang w:eastAsia="es-ES"/>
        </w:rPr>
        <w:t xml:space="preserve">la Subsecretaría de Planeación y Presupuesto, informó que, no se encontró documentación sobre asesorías, participación o coparticipación en las evaluaciones realizadas al Instituto de Seguridad Social del Estado de México y Municipios. </w:t>
      </w:r>
    </w:p>
    <w:p w14:paraId="2F30AE77" w14:textId="77777777" w:rsidR="001B71EE" w:rsidRPr="00EC5A4C" w:rsidRDefault="001B71EE" w:rsidP="001B71EE">
      <w:pPr>
        <w:spacing w:after="0" w:line="360" w:lineRule="auto"/>
        <w:ind w:right="-7"/>
        <w:jc w:val="both"/>
        <w:rPr>
          <w:rFonts w:ascii="Palatino Linotype" w:hAnsi="Palatino Linotype"/>
        </w:rPr>
      </w:pPr>
    </w:p>
    <w:p w14:paraId="6C33B79C" w14:textId="0A61A414" w:rsidR="007D5BA4" w:rsidRPr="00EC5A4C" w:rsidRDefault="001B71EE" w:rsidP="001B71EE">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 xml:space="preserve">En lo que respecta a </w:t>
      </w:r>
      <w:r w:rsidRPr="00EC5A4C">
        <w:rPr>
          <w:rFonts w:ascii="Palatino Linotype" w:hAnsi="Palatino Linotype" w:cs="Tahoma"/>
          <w:b/>
          <w:bCs/>
          <w:iCs/>
          <w:lang w:eastAsia="es-ES"/>
        </w:rPr>
        <w:t>las evaluaciones</w:t>
      </w:r>
      <w:r w:rsidR="007D5BA4" w:rsidRPr="00EC5A4C">
        <w:rPr>
          <w:rFonts w:ascii="Palatino Linotype" w:hAnsi="Palatino Linotype" w:cs="Tahoma"/>
          <w:b/>
          <w:bCs/>
          <w:iCs/>
          <w:lang w:eastAsia="es-ES"/>
        </w:rPr>
        <w:t xml:space="preserve"> realizadas en el ejercicio 2020</w:t>
      </w:r>
      <w:r w:rsidRPr="00EC5A4C">
        <w:rPr>
          <w:rFonts w:ascii="Palatino Linotype" w:hAnsi="Palatino Linotype" w:cs="Tahoma"/>
          <w:b/>
          <w:bCs/>
          <w:iCs/>
          <w:lang w:eastAsia="es-ES"/>
        </w:rPr>
        <w:t xml:space="preserve"> al Issemym de la Dirección General de Evaluación del Desempeño Institucional</w:t>
      </w:r>
      <w:r w:rsidRPr="00EC5A4C">
        <w:rPr>
          <w:rFonts w:ascii="Palatino Linotype" w:hAnsi="Palatino Linotype" w:cs="Tahoma"/>
          <w:bCs/>
          <w:iCs/>
          <w:lang w:eastAsia="es-ES"/>
        </w:rPr>
        <w:t xml:space="preserve">, el Sujeto Obligado refirió que </w:t>
      </w:r>
      <w:r w:rsidR="007D5BA4" w:rsidRPr="00EC5A4C">
        <w:rPr>
          <w:rFonts w:ascii="Palatino Linotype" w:hAnsi="Palatino Linotype" w:cs="Tahoma"/>
          <w:bCs/>
          <w:iCs/>
          <w:lang w:eastAsia="es-ES"/>
        </w:rPr>
        <w:t xml:space="preserve">en ese año, no fue objeto de evaluación, sin embargo, bajo el principio de máxima publicidad, se podía consultar el Programa Anual de Evaluación, para ello, se proporcionó una liga electrónica que de su acceso se encontró el Programa Anual de Evaluación 2020 y, </w:t>
      </w:r>
      <w:r w:rsidR="007D5BA4" w:rsidRPr="00EC5A4C">
        <w:rPr>
          <w:rFonts w:ascii="Palatino Linotype" w:hAnsi="Palatino Linotype" w:cs="Tahoma"/>
          <w:bCs/>
          <w:iCs/>
          <w:lang w:eastAsia="es-ES"/>
        </w:rPr>
        <w:lastRenderedPageBreak/>
        <w:t>ciertamente, de su contenido no se advierte que se haya realizado alguna evaluación al Issemym.</w:t>
      </w:r>
    </w:p>
    <w:p w14:paraId="1EE3F896" w14:textId="77777777" w:rsidR="0089303B" w:rsidRPr="00EC5A4C" w:rsidRDefault="0089303B" w:rsidP="0089303B">
      <w:pPr>
        <w:spacing w:after="0" w:line="360" w:lineRule="auto"/>
        <w:contextualSpacing/>
        <w:jc w:val="both"/>
        <w:rPr>
          <w:rFonts w:ascii="Palatino Linotype" w:hAnsi="Palatino Linotype" w:cs="Tahoma"/>
          <w:bCs/>
          <w:iCs/>
          <w:lang w:eastAsia="es-ES"/>
        </w:rPr>
      </w:pPr>
    </w:p>
    <w:p w14:paraId="59A54BD3" w14:textId="7C50D61A" w:rsidR="0089303B" w:rsidRPr="00EC5A4C" w:rsidRDefault="0089303B" w:rsidP="0089303B">
      <w:pPr>
        <w:spacing w:after="0" w:line="360" w:lineRule="auto"/>
        <w:contextualSpacing/>
        <w:jc w:val="both"/>
        <w:rPr>
          <w:rFonts w:ascii="Palatino Linotype" w:hAnsi="Palatino Linotype" w:cs="Arial"/>
        </w:rPr>
      </w:pPr>
      <w:r w:rsidRPr="00EC5A4C">
        <w:rPr>
          <w:rFonts w:ascii="Palatino Linotype" w:hAnsi="Palatino Linotype" w:cs="Tahoma"/>
          <w:bCs/>
          <w:iCs/>
          <w:lang w:eastAsia="es-ES"/>
        </w:rPr>
        <w:t xml:space="preserve">En ese sentido, ambos requerimientos </w:t>
      </w:r>
      <w:r w:rsidRPr="00EC5A4C">
        <w:rPr>
          <w:rFonts w:ascii="Palatino Linotype" w:hAnsi="Palatino Linotype"/>
        </w:rPr>
        <w:t xml:space="preserve">constituyen un hecho negativo; entonces, </w:t>
      </w:r>
      <w:r w:rsidRPr="00EC5A4C">
        <w:rPr>
          <w:rFonts w:ascii="Palatino Linotype" w:hAnsi="Palatino Linotype" w:cs="Arial"/>
        </w:rPr>
        <w:t>si se considera el hecho negativo, como se ha mencionado, es obvio que este no puede fácticamente obrar en los archivos del Sujeto Obligado, ya que no puede probarse por ser lógica y materialmente imposible. Asimismo, no se trata de un caso por el cual la negación del hecho implique la afirmación del mismo, simplemente se está ante una notoria y evidente inexistencia fáctica de la información solicitada.</w:t>
      </w:r>
    </w:p>
    <w:p w14:paraId="676C15A7" w14:textId="77777777" w:rsidR="0089303B" w:rsidRPr="00EC5A4C" w:rsidRDefault="0089303B" w:rsidP="0089303B">
      <w:pPr>
        <w:spacing w:after="0" w:line="360" w:lineRule="auto"/>
        <w:contextualSpacing/>
        <w:jc w:val="both"/>
        <w:rPr>
          <w:rFonts w:ascii="Palatino Linotype" w:hAnsi="Palatino Linotype" w:cs="Arial"/>
        </w:rPr>
      </w:pPr>
    </w:p>
    <w:p w14:paraId="75915F2F" w14:textId="77777777" w:rsidR="0089303B" w:rsidRPr="00EC5A4C" w:rsidRDefault="0089303B" w:rsidP="0089303B">
      <w:pPr>
        <w:spacing w:after="0" w:line="360" w:lineRule="auto"/>
        <w:contextualSpacing/>
        <w:jc w:val="both"/>
        <w:rPr>
          <w:rFonts w:ascii="Palatino Linotype" w:hAnsi="Palatino Linotype"/>
        </w:rPr>
      </w:pPr>
      <w:r w:rsidRPr="00EC5A4C">
        <w:rPr>
          <w:rFonts w:ascii="Palatino Linotype" w:hAnsi="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388783AE" w14:textId="77777777" w:rsidR="0089303B" w:rsidRPr="00EC5A4C" w:rsidRDefault="0089303B" w:rsidP="0089303B">
      <w:pPr>
        <w:spacing w:after="0" w:line="360" w:lineRule="auto"/>
        <w:contextualSpacing/>
        <w:jc w:val="both"/>
        <w:rPr>
          <w:rFonts w:ascii="Palatino Linotype" w:hAnsi="Palatino Linotype" w:cs="Arial"/>
        </w:rPr>
      </w:pPr>
    </w:p>
    <w:p w14:paraId="6A54390F" w14:textId="27D697BD" w:rsidR="0089303B" w:rsidRPr="00EC5A4C" w:rsidRDefault="0089303B" w:rsidP="004B00AF">
      <w:pPr>
        <w:spacing w:after="0" w:line="240" w:lineRule="auto"/>
        <w:ind w:left="567" w:right="567"/>
        <w:jc w:val="both"/>
        <w:rPr>
          <w:rFonts w:ascii="Palatino Linotype" w:hAnsi="Palatino Linotype"/>
          <w:b/>
          <w:i/>
        </w:rPr>
      </w:pPr>
      <w:r w:rsidRPr="00EC5A4C">
        <w:rPr>
          <w:rFonts w:ascii="Palatino Linotype" w:hAnsi="Palatino Linotype"/>
          <w:b/>
          <w:i/>
        </w:rPr>
        <w:t xml:space="preserve">HECHOS NEGATIVOS, NO SON SUSCEPTIBLES DE DEMOSTRACIÓN. </w:t>
      </w:r>
      <w:r w:rsidRPr="00EC5A4C">
        <w:rPr>
          <w:rFonts w:ascii="Palatino Linotype" w:hAnsi="Palatino Linotype"/>
          <w:i/>
        </w:rPr>
        <w:t>Tratándose de un hecho negativo, el Juez no tiene por que invocar prueba alguna de la que se desprenda, ya que es bien sabido que esta clase de hechos no son susceptibles de demostración.</w:t>
      </w:r>
    </w:p>
    <w:p w14:paraId="64259D80" w14:textId="77777777" w:rsidR="0089303B" w:rsidRPr="00EC5A4C" w:rsidRDefault="0089303B" w:rsidP="0089303B">
      <w:pPr>
        <w:spacing w:after="0" w:line="360" w:lineRule="auto"/>
        <w:ind w:left="709" w:right="758"/>
        <w:jc w:val="both"/>
        <w:rPr>
          <w:rFonts w:ascii="Palatino Linotype" w:hAnsi="Palatino Linotype"/>
          <w:i/>
        </w:rPr>
      </w:pPr>
    </w:p>
    <w:p w14:paraId="7234EE16" w14:textId="5AB626D1" w:rsidR="00486EC9" w:rsidRPr="00EC5A4C" w:rsidRDefault="0089303B" w:rsidP="00E7524B">
      <w:pPr>
        <w:spacing w:after="0" w:line="360" w:lineRule="auto"/>
        <w:contextualSpacing/>
        <w:jc w:val="both"/>
        <w:rPr>
          <w:rFonts w:ascii="Palatino Linotype" w:hAnsi="Palatino Linotype"/>
        </w:rPr>
      </w:pPr>
      <w:r w:rsidRPr="00EC5A4C">
        <w:rPr>
          <w:rFonts w:ascii="Palatino Linotype" w:hAnsi="Palatino Linotype"/>
        </w:rPr>
        <w:t xml:space="preserve">Además y, de conformidad con lo establecido en el artículo 12 de la </w:t>
      </w:r>
      <w:r w:rsidRPr="00EC5A4C">
        <w:rPr>
          <w:rFonts w:ascii="Palatino Linotype" w:hAnsi="Palatino Linotype"/>
          <w:b/>
        </w:rPr>
        <w:t>Ley de Transparencia y Acceso a la Información Pública del Estado de México y Municipios</w:t>
      </w:r>
      <w:r w:rsidRPr="00EC5A4C">
        <w:rPr>
          <w:rFonts w:ascii="Palatino Linotype" w:hAnsi="Palatino Linotype"/>
        </w:rPr>
        <w:t>, el Sujeto Obligado únicamente proporcionará la información que obra en sus archivos</w:t>
      </w:r>
      <w:r w:rsidR="00486EC9" w:rsidRPr="00EC5A4C">
        <w:rPr>
          <w:rFonts w:ascii="Palatino Linotype" w:hAnsi="Palatino Linotype"/>
        </w:rPr>
        <w:t xml:space="preserve">, del mismo modo, es necesario traer a colación el </w:t>
      </w:r>
      <w:r w:rsidR="00486EC9" w:rsidRPr="00EC5A4C">
        <w:rPr>
          <w:rFonts w:ascii="Palatino Linotype" w:hAnsi="Palatino Linotype" w:cs="Arial"/>
          <w:lang w:val="es-ES_tradnl"/>
        </w:rPr>
        <w:t>Criterio 31/10 emitido por el Instituto Nacional de Transparencia, Acceso a la Información Pública y Protección de Datos Personales INAI (anteriormente IFAI) que se procede a citar a continuación:</w:t>
      </w:r>
    </w:p>
    <w:p w14:paraId="739EB288" w14:textId="77777777" w:rsidR="00486EC9" w:rsidRPr="00EC5A4C" w:rsidRDefault="00486EC9" w:rsidP="004B00AF">
      <w:pPr>
        <w:tabs>
          <w:tab w:val="left" w:pos="8222"/>
        </w:tabs>
        <w:spacing w:after="0" w:line="240" w:lineRule="auto"/>
        <w:ind w:left="567" w:right="567"/>
        <w:contextualSpacing/>
        <w:jc w:val="both"/>
        <w:rPr>
          <w:rFonts w:ascii="Palatino Linotype" w:eastAsia="MS Mincho" w:hAnsi="Palatino Linotype" w:cs="Arial"/>
          <w:i/>
        </w:rPr>
      </w:pPr>
      <w:r w:rsidRPr="00EC5A4C">
        <w:rPr>
          <w:rFonts w:ascii="Palatino Linotype" w:eastAsia="MS Mincho" w:hAnsi="Palatino Linotype" w:cs="Arial"/>
          <w:b/>
          <w:i/>
        </w:rPr>
        <w:lastRenderedPageBreak/>
        <w:t>“El Instituto Federal de Acceso a la Información y Protección de Datos no cuenta con facultades para pronunciarse respecto de la veracidad de los documentos proporcionados por los sujetos obligados.</w:t>
      </w:r>
      <w:r w:rsidRPr="00EC5A4C">
        <w:rPr>
          <w:rFonts w:ascii="Palatino Linotype" w:eastAsia="MS Mincho"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A340504" w14:textId="77777777" w:rsidR="00486EC9" w:rsidRPr="00EC5A4C" w:rsidRDefault="00486EC9" w:rsidP="00486EC9">
      <w:pPr>
        <w:tabs>
          <w:tab w:val="left" w:pos="8222"/>
        </w:tabs>
        <w:spacing w:after="0"/>
        <w:ind w:left="567" w:right="567"/>
        <w:contextualSpacing/>
        <w:jc w:val="both"/>
        <w:rPr>
          <w:rFonts w:ascii="Palatino Linotype" w:eastAsia="MS Mincho" w:hAnsi="Palatino Linotype" w:cs="Arial"/>
          <w:i/>
        </w:rPr>
      </w:pPr>
    </w:p>
    <w:p w14:paraId="28B13CCD" w14:textId="77777777" w:rsidR="00486EC9" w:rsidRPr="00EC5A4C" w:rsidRDefault="00486EC9" w:rsidP="00486EC9">
      <w:pPr>
        <w:tabs>
          <w:tab w:val="left" w:pos="8222"/>
        </w:tabs>
        <w:spacing w:after="0"/>
        <w:ind w:left="567" w:right="567"/>
        <w:contextualSpacing/>
        <w:jc w:val="both"/>
        <w:rPr>
          <w:rFonts w:ascii="Palatino Linotype" w:eastAsia="MS Mincho" w:hAnsi="Palatino Linotype" w:cs="Arial"/>
          <w:i/>
        </w:rPr>
      </w:pPr>
    </w:p>
    <w:p w14:paraId="66D67CCF" w14:textId="5C3D3833" w:rsidR="001B71EE" w:rsidRPr="00EC5A4C" w:rsidRDefault="00486EC9" w:rsidP="00486EC9">
      <w:pPr>
        <w:spacing w:after="0" w:line="360" w:lineRule="auto"/>
        <w:ind w:right="49"/>
        <w:jc w:val="both"/>
        <w:rPr>
          <w:rFonts w:ascii="Palatino Linotype" w:eastAsia="Palatino Linotype" w:hAnsi="Palatino Linotype" w:cs="Palatino Linotype"/>
        </w:rPr>
      </w:pPr>
      <w:r w:rsidRPr="00EC5A4C">
        <w:rPr>
          <w:rFonts w:ascii="Palatino Linotype" w:hAnsi="Palatino Linotype" w:cs="Arial"/>
          <w:b/>
          <w:u w:val="single"/>
        </w:rPr>
        <w:t>Por lo que, este Organismo Garante carece de facultades para dudar de la veracidad de la información que el Sujeto Obligado puso a disposición de la parte Recurrente</w:t>
      </w:r>
      <w:r w:rsidRPr="00EC5A4C">
        <w:rPr>
          <w:rFonts w:ascii="Palatino Linotype" w:eastAsia="Palatino Linotype" w:hAnsi="Palatino Linotype" w:cs="Palatino Linotype"/>
        </w:rPr>
        <w:t>.</w:t>
      </w:r>
    </w:p>
    <w:p w14:paraId="34C2FF52" w14:textId="77777777" w:rsidR="003D28EB" w:rsidRPr="00EC5A4C" w:rsidRDefault="003D28EB" w:rsidP="00486EC9">
      <w:pPr>
        <w:spacing w:after="0" w:line="360" w:lineRule="auto"/>
        <w:ind w:right="49"/>
        <w:jc w:val="both"/>
        <w:rPr>
          <w:rFonts w:ascii="Palatino Linotype" w:eastAsia="Palatino Linotype" w:hAnsi="Palatino Linotype" w:cs="Palatino Linotype"/>
        </w:rPr>
      </w:pPr>
    </w:p>
    <w:p w14:paraId="4D7F0F9A" w14:textId="77777777" w:rsidR="001B71EE" w:rsidRPr="00EC5A4C" w:rsidRDefault="001B71EE" w:rsidP="001B71EE">
      <w:pPr>
        <w:spacing w:after="0" w:line="360" w:lineRule="auto"/>
        <w:jc w:val="both"/>
        <w:rPr>
          <w:rFonts w:ascii="Palatino Linotype" w:hAnsi="Palatino Linotype" w:cs="Tahoma"/>
          <w:bCs/>
          <w:iCs/>
          <w:lang w:eastAsia="es-ES"/>
        </w:rPr>
      </w:pPr>
      <w:r w:rsidRPr="00EC5A4C">
        <w:rPr>
          <w:rFonts w:ascii="Palatino Linotype" w:hAnsi="Palatino Linotype" w:cs="Tahoma"/>
          <w:bCs/>
          <w:iCs/>
          <w:lang w:eastAsia="es-ES"/>
        </w:rPr>
        <w:t xml:space="preserve">Por lo anterior, los agravios hechos valer por la parte Recurrente en su Recurso de Revisión devienen </w:t>
      </w:r>
      <w:r w:rsidRPr="00EC5A4C">
        <w:rPr>
          <w:rFonts w:ascii="Palatino Linotype" w:hAnsi="Palatino Linotype" w:cs="Tahoma"/>
          <w:b/>
          <w:bCs/>
          <w:iCs/>
          <w:lang w:eastAsia="es-ES"/>
        </w:rPr>
        <w:t xml:space="preserve">INFUNDADOS </w:t>
      </w:r>
      <w:r w:rsidRPr="00EC5A4C">
        <w:rPr>
          <w:rFonts w:ascii="Palatino Linotype" w:hAnsi="Palatino Linotype" w:cs="Tahoma"/>
          <w:bCs/>
          <w:iCs/>
          <w:lang w:eastAsia="es-ES"/>
        </w:rPr>
        <w:t xml:space="preserve">y se </w:t>
      </w:r>
      <w:r w:rsidRPr="00EC5A4C">
        <w:rPr>
          <w:rFonts w:ascii="Palatino Linotype" w:hAnsi="Palatino Linotype" w:cs="Tahoma"/>
          <w:b/>
          <w:bCs/>
          <w:iCs/>
          <w:lang w:eastAsia="es-ES"/>
        </w:rPr>
        <w:t xml:space="preserve">CONFIRMA </w:t>
      </w:r>
      <w:r w:rsidRPr="00EC5A4C">
        <w:rPr>
          <w:rFonts w:ascii="Palatino Linotype" w:hAnsi="Palatino Linotype" w:cs="Tahoma"/>
          <w:bCs/>
          <w:iCs/>
          <w:lang w:eastAsia="es-ES"/>
        </w:rPr>
        <w:t xml:space="preserve">la respuesta dada por el Sujeto Obligado a esta solicitud de información. </w:t>
      </w:r>
    </w:p>
    <w:p w14:paraId="174E7123" w14:textId="77777777" w:rsidR="005C4FC3" w:rsidRPr="00EC5A4C" w:rsidRDefault="005C4FC3" w:rsidP="00B371E0">
      <w:pPr>
        <w:spacing w:after="0" w:line="360" w:lineRule="auto"/>
        <w:jc w:val="both"/>
        <w:rPr>
          <w:rFonts w:ascii="Palatino Linotype" w:hAnsi="Palatino Linotype" w:cs="Tahoma"/>
          <w:bCs/>
          <w:iCs/>
          <w:lang w:eastAsia="es-ES"/>
        </w:rPr>
      </w:pPr>
    </w:p>
    <w:p w14:paraId="0BD29FFE" w14:textId="2A5085C7" w:rsidR="005C4FC3" w:rsidRPr="00EC5A4C" w:rsidRDefault="005C4FC3" w:rsidP="005C4FC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Derivado de todo lo anterior, se concluye lo siguiente:</w:t>
      </w:r>
    </w:p>
    <w:p w14:paraId="7865CAB6" w14:textId="77777777" w:rsidR="005C4FC3" w:rsidRPr="00EC5A4C" w:rsidRDefault="005C4FC3" w:rsidP="005C4FC3">
      <w:pPr>
        <w:spacing w:after="0" w:line="360" w:lineRule="auto"/>
        <w:jc w:val="both"/>
        <w:rPr>
          <w:rFonts w:ascii="Palatino Linotype" w:eastAsia="Palatino Linotype" w:hAnsi="Palatino Linotype" w:cs="Palatino Linotype"/>
        </w:rPr>
      </w:pPr>
    </w:p>
    <w:p w14:paraId="3095EFF6" w14:textId="77777777" w:rsidR="005C4FC3" w:rsidRPr="00EC5A4C" w:rsidRDefault="005C4FC3" w:rsidP="005C4FC3">
      <w:pPr>
        <w:pStyle w:val="Prrafodelista"/>
        <w:numPr>
          <w:ilvl w:val="0"/>
          <w:numId w:val="5"/>
        </w:numPr>
        <w:spacing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Resultan </w:t>
      </w:r>
      <w:r w:rsidRPr="00EC5A4C">
        <w:rPr>
          <w:rFonts w:ascii="Palatino Linotype" w:eastAsia="Palatino Linotype" w:hAnsi="Palatino Linotype" w:cs="Palatino Linotype"/>
          <w:b/>
        </w:rPr>
        <w:t>INFUNDADOS</w:t>
      </w:r>
      <w:r w:rsidRPr="00EC5A4C">
        <w:rPr>
          <w:rFonts w:ascii="Palatino Linotype" w:eastAsia="Palatino Linotype" w:hAnsi="Palatino Linotype" w:cs="Palatino Linotype"/>
        </w:rPr>
        <w:t xml:space="preserve"> los motivos de inconformidad en el Recurso de Revisión </w:t>
      </w:r>
      <w:r w:rsidRPr="00EC5A4C">
        <w:rPr>
          <w:rFonts w:ascii="Palatino Linotype" w:eastAsia="Palatino Linotype" w:hAnsi="Palatino Linotype" w:cs="Palatino Linotype"/>
          <w:b/>
        </w:rPr>
        <w:t>06508/INFOEM/IP/RR/2024</w:t>
      </w:r>
      <w:r w:rsidRPr="00EC5A4C">
        <w:rPr>
          <w:rFonts w:ascii="Palatino Linotype" w:eastAsia="Palatino Linotype" w:hAnsi="Palatino Linotype" w:cs="Palatino Linotype"/>
        </w:rPr>
        <w:t xml:space="preserve"> por lo que, se </w:t>
      </w:r>
      <w:r w:rsidRPr="00EC5A4C">
        <w:rPr>
          <w:rFonts w:ascii="Palatino Linotype" w:eastAsia="Palatino Linotype" w:hAnsi="Palatino Linotype" w:cs="Palatino Linotype"/>
          <w:b/>
        </w:rPr>
        <w:t xml:space="preserve">CONFIRMA </w:t>
      </w:r>
      <w:r w:rsidRPr="00EC5A4C">
        <w:rPr>
          <w:rFonts w:ascii="Palatino Linotype" w:eastAsia="Palatino Linotype" w:hAnsi="Palatino Linotype" w:cs="Palatino Linotype"/>
        </w:rPr>
        <w:t xml:space="preserve">la respuesta emitida por el </w:t>
      </w:r>
      <w:r w:rsidRPr="00EC5A4C">
        <w:rPr>
          <w:rFonts w:ascii="Palatino Linotype" w:eastAsia="Palatino Linotype" w:hAnsi="Palatino Linotype" w:cs="Palatino Linotype"/>
          <w:b/>
        </w:rPr>
        <w:t>SUJETO OBLIGADO</w:t>
      </w:r>
      <w:r w:rsidRPr="00EC5A4C">
        <w:rPr>
          <w:rFonts w:ascii="Palatino Linotype" w:eastAsia="Palatino Linotype" w:hAnsi="Palatino Linotype" w:cs="Palatino Linotype"/>
        </w:rPr>
        <w:t>.</w:t>
      </w:r>
    </w:p>
    <w:p w14:paraId="5FBBB186" w14:textId="26B90ECE" w:rsidR="005C4FC3" w:rsidRPr="00EC5A4C" w:rsidRDefault="005C4FC3" w:rsidP="00B371E0">
      <w:pPr>
        <w:pStyle w:val="Prrafodelista"/>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Resultan </w:t>
      </w:r>
      <w:r w:rsidRPr="00EC5A4C">
        <w:rPr>
          <w:rFonts w:ascii="Palatino Linotype" w:eastAsia="Palatino Linotype" w:hAnsi="Palatino Linotype" w:cs="Palatino Linotype"/>
          <w:b/>
        </w:rPr>
        <w:t xml:space="preserve">FUNDADOS </w:t>
      </w:r>
      <w:r w:rsidRPr="00EC5A4C">
        <w:rPr>
          <w:rFonts w:ascii="Palatino Linotype" w:eastAsia="Palatino Linotype" w:hAnsi="Palatino Linotype" w:cs="Palatino Linotype"/>
        </w:rPr>
        <w:t xml:space="preserve">los motivos de inconformidad en las solicitudes de información </w:t>
      </w:r>
      <w:r w:rsidRPr="00EC5A4C">
        <w:rPr>
          <w:rFonts w:ascii="Palatino Linotype" w:eastAsia="Palatino Linotype" w:hAnsi="Palatino Linotype" w:cs="Palatino Linotype"/>
          <w:b/>
        </w:rPr>
        <w:t>00701/SF/IP/2024 y 00700/SF/IP/2024</w:t>
      </w:r>
      <w:r w:rsidRPr="00EC5A4C">
        <w:rPr>
          <w:rFonts w:ascii="Palatino Linotype" w:eastAsia="Palatino Linotype" w:hAnsi="Palatino Linotype" w:cs="Palatino Linotype"/>
        </w:rPr>
        <w:t>, se</w:t>
      </w:r>
      <w:r w:rsidRPr="00EC5A4C">
        <w:rPr>
          <w:rFonts w:ascii="Palatino Linotype" w:eastAsia="Palatino Linotype" w:hAnsi="Palatino Linotype" w:cs="Palatino Linotype"/>
          <w:b/>
        </w:rPr>
        <w:t xml:space="preserve"> MODIFICA </w:t>
      </w:r>
      <w:r w:rsidRPr="00EC5A4C">
        <w:rPr>
          <w:rFonts w:ascii="Palatino Linotype" w:eastAsia="Palatino Linotype" w:hAnsi="Palatino Linotype" w:cs="Palatino Linotype"/>
        </w:rPr>
        <w:t xml:space="preserve">y se </w:t>
      </w:r>
      <w:r w:rsidRPr="00EC5A4C">
        <w:rPr>
          <w:rFonts w:ascii="Palatino Linotype" w:eastAsia="Palatino Linotype" w:hAnsi="Palatino Linotype" w:cs="Palatino Linotype"/>
          <w:b/>
        </w:rPr>
        <w:t xml:space="preserve">ORDENA </w:t>
      </w:r>
      <w:r w:rsidRPr="00EC5A4C">
        <w:rPr>
          <w:rFonts w:ascii="Palatino Linotype" w:eastAsia="Palatino Linotype" w:hAnsi="Palatino Linotype" w:cs="Palatino Linotype"/>
        </w:rPr>
        <w:t xml:space="preserve">al </w:t>
      </w:r>
      <w:r w:rsidRPr="00EC5A4C">
        <w:rPr>
          <w:rFonts w:ascii="Palatino Linotype" w:eastAsia="Palatino Linotype" w:hAnsi="Palatino Linotype" w:cs="Palatino Linotype"/>
          <w:b/>
        </w:rPr>
        <w:t>SUJETO OBLIGADO</w:t>
      </w:r>
      <w:r w:rsidRPr="00EC5A4C">
        <w:rPr>
          <w:rFonts w:ascii="Palatino Linotype" w:eastAsia="Palatino Linotype" w:hAnsi="Palatino Linotype" w:cs="Palatino Linotype"/>
        </w:rPr>
        <w:t xml:space="preserve"> a que,</w:t>
      </w:r>
      <w:r w:rsidRPr="00EC5A4C">
        <w:rPr>
          <w:rFonts w:ascii="Palatino Linotype" w:eastAsia="Palatino Linotype" w:hAnsi="Palatino Linotype" w:cs="Palatino Linotype"/>
          <w:b/>
        </w:rPr>
        <w:t xml:space="preserve"> </w:t>
      </w:r>
      <w:r w:rsidRPr="00EC5A4C">
        <w:rPr>
          <w:rFonts w:ascii="Palatino Linotype" w:eastAsia="Palatino Linotype" w:hAnsi="Palatino Linotype" w:cs="Palatino Linotype"/>
        </w:rPr>
        <w:t xml:space="preserve">en términos del Considerando Cuarto y Quinto, haga entrega del documento donde consten los resultados de las evaluaciones realizadas al </w:t>
      </w:r>
      <w:r w:rsidRPr="00EC5A4C">
        <w:rPr>
          <w:rFonts w:ascii="Palatino Linotype" w:eastAsia="Palatino Linotype" w:hAnsi="Palatino Linotype" w:cs="Palatino Linotype"/>
        </w:rPr>
        <w:lastRenderedPageBreak/>
        <w:t xml:space="preserve">Instituto de Seguridad Social del Estado de México y Municipios realizadas en los años dos mil veintidós y dos mil veintitrés. </w:t>
      </w:r>
    </w:p>
    <w:p w14:paraId="2479CCBB" w14:textId="77777777" w:rsidR="005C4FC3" w:rsidRPr="00EC5A4C" w:rsidRDefault="005C4FC3" w:rsidP="005C4FC3">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2CA66F8" w14:textId="77777777" w:rsidR="005C4FC3" w:rsidRPr="00EC5A4C" w:rsidRDefault="005C4FC3" w:rsidP="005C4FC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Quinto. Versión Pública. </w:t>
      </w:r>
      <w:r w:rsidRPr="00EC5A4C">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49DD0BA3" w14:textId="77777777" w:rsidR="005C4FC3" w:rsidRPr="00EC5A4C" w:rsidRDefault="005C4FC3" w:rsidP="005C4FC3">
      <w:pPr>
        <w:spacing w:after="0" w:line="360" w:lineRule="auto"/>
        <w:jc w:val="both"/>
        <w:rPr>
          <w:rFonts w:ascii="Palatino Linotype" w:eastAsia="Palatino Linotype" w:hAnsi="Palatino Linotype" w:cs="Palatino Linotype"/>
        </w:rPr>
      </w:pPr>
    </w:p>
    <w:p w14:paraId="40145A5C" w14:textId="77777777" w:rsidR="005C4FC3" w:rsidRPr="00EC5A4C" w:rsidRDefault="005C4FC3" w:rsidP="005C4FC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67DB55B5" w14:textId="77777777" w:rsidR="005C4FC3" w:rsidRPr="00EC5A4C" w:rsidRDefault="005C4FC3" w:rsidP="005C4FC3">
      <w:pPr>
        <w:spacing w:after="0" w:line="360" w:lineRule="auto"/>
        <w:jc w:val="both"/>
        <w:rPr>
          <w:rFonts w:ascii="Palatino Linotype" w:eastAsia="Palatino Linotype" w:hAnsi="Palatino Linotype" w:cs="Palatino Linotype"/>
        </w:rPr>
      </w:pPr>
    </w:p>
    <w:p w14:paraId="6473FC3C" w14:textId="77777777" w:rsidR="005C4FC3" w:rsidRPr="00EC5A4C" w:rsidRDefault="005C4FC3" w:rsidP="005C4FC3">
      <w:pPr>
        <w:spacing w:after="0" w:line="360" w:lineRule="auto"/>
        <w:ind w:right="50"/>
        <w:jc w:val="both"/>
        <w:rPr>
          <w:rFonts w:ascii="Palatino Linotype" w:eastAsia="Palatino Linotype" w:hAnsi="Palatino Linotype" w:cs="Palatino Linotype"/>
        </w:rPr>
      </w:pPr>
      <w:r w:rsidRPr="00EC5A4C">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50A070D3" w14:textId="77777777" w:rsidR="005C4FC3" w:rsidRPr="00EC5A4C" w:rsidRDefault="005C4FC3" w:rsidP="005C4FC3">
      <w:pPr>
        <w:spacing w:after="0" w:line="360" w:lineRule="auto"/>
        <w:ind w:right="50"/>
        <w:jc w:val="both"/>
        <w:rPr>
          <w:rFonts w:ascii="Palatino Linotype" w:eastAsia="Palatino Linotype" w:hAnsi="Palatino Linotype" w:cs="Palatino Linotype"/>
        </w:rPr>
      </w:pPr>
    </w:p>
    <w:p w14:paraId="36151F20"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Pr="00EC5A4C">
        <w:rPr>
          <w:rFonts w:ascii="Palatino Linotype" w:eastAsia="Palatino Linotype" w:hAnsi="Palatino Linotype" w:cs="Palatino Linotype"/>
          <w:b/>
          <w:i/>
        </w:rPr>
        <w:t>Artículo 3.</w:t>
      </w:r>
      <w:r w:rsidRPr="00EC5A4C">
        <w:rPr>
          <w:rFonts w:ascii="Palatino Linotype" w:eastAsia="Palatino Linotype" w:hAnsi="Palatino Linotype" w:cs="Palatino Linotype"/>
          <w:i/>
        </w:rPr>
        <w:t xml:space="preserve"> Para los efectos de la presente Ley se entenderá por:</w:t>
      </w:r>
    </w:p>
    <w:p w14:paraId="6357EB9C"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3EF6A979"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7D04CB8"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XX. Información clasificada: Aquella considerada por la presente Ley como reservada o confidencial;</w:t>
      </w:r>
    </w:p>
    <w:p w14:paraId="2D1BE671"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2644E5A"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lastRenderedPageBreak/>
        <w:t>XLV. Versión pública: Documento en el que se elimine, suprime o borra la información clasificada como reservada o confidencial para permitir su acceso.</w:t>
      </w:r>
    </w:p>
    <w:p w14:paraId="7D1E893D"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1783F25B"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b/>
          <w:i/>
        </w:rPr>
        <w:t>Artículo 91.</w:t>
      </w:r>
      <w:r w:rsidRPr="00EC5A4C">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BF55703"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b/>
          <w:i/>
        </w:rPr>
        <w:t>Artículo 132.</w:t>
      </w:r>
      <w:r w:rsidRPr="00EC5A4C">
        <w:rPr>
          <w:rFonts w:ascii="Palatino Linotype" w:eastAsia="Palatino Linotype" w:hAnsi="Palatino Linotype" w:cs="Palatino Linotype"/>
          <w:i/>
        </w:rPr>
        <w:t xml:space="preserve"> La clasificación de la información se llevará a cabo en el momento en que:</w:t>
      </w:r>
    </w:p>
    <w:p w14:paraId="4E17F2A5" w14:textId="77777777" w:rsidR="005C4FC3" w:rsidRPr="00EC5A4C" w:rsidRDefault="005C4FC3" w:rsidP="005C4FC3">
      <w:pPr>
        <w:tabs>
          <w:tab w:val="left" w:pos="1134"/>
        </w:tabs>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 Se reciba una solicitud de acceso a la información;</w:t>
      </w:r>
    </w:p>
    <w:p w14:paraId="07C474A5" w14:textId="77777777" w:rsidR="005C4FC3" w:rsidRPr="00EC5A4C" w:rsidRDefault="005C4FC3" w:rsidP="005C4FC3">
      <w:pPr>
        <w:tabs>
          <w:tab w:val="left" w:pos="1134"/>
        </w:tabs>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II. Se determine mediante resolución de autoridad competente; o</w:t>
      </w:r>
    </w:p>
    <w:p w14:paraId="16BB831C" w14:textId="77777777" w:rsidR="005C4FC3" w:rsidRPr="00EC5A4C" w:rsidRDefault="005C4FC3" w:rsidP="005C4FC3">
      <w:pPr>
        <w:tabs>
          <w:tab w:val="left" w:pos="1134"/>
        </w:tabs>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III. Se generen versiones públicas para dar cumplimiento a las obligaciones de transparencia previstas en esta Ley.</w:t>
      </w:r>
    </w:p>
    <w:p w14:paraId="32A1803F"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78C1B7C4"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b/>
          <w:i/>
        </w:rPr>
        <w:t>Artículo 143</w:t>
      </w:r>
      <w:r w:rsidRPr="00EC5A4C">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AB3D3F6"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1FD764A7"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53D1DCE"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4AD3816"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744D6C12"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937E4B3" w14:textId="77777777" w:rsidR="005C4FC3" w:rsidRPr="00EC5A4C" w:rsidRDefault="005C4FC3" w:rsidP="005C4FC3">
      <w:pPr>
        <w:spacing w:after="0"/>
        <w:ind w:left="567" w:right="616"/>
        <w:jc w:val="both"/>
        <w:rPr>
          <w:rFonts w:ascii="Palatino Linotype" w:eastAsia="Palatino Linotype" w:hAnsi="Palatino Linotype" w:cs="Palatino Linotype"/>
          <w:i/>
        </w:rPr>
      </w:pPr>
    </w:p>
    <w:p w14:paraId="504D9219" w14:textId="77777777" w:rsidR="005C4FC3" w:rsidRPr="00EC5A4C" w:rsidRDefault="005C4FC3" w:rsidP="005C4FC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w:t>
      </w:r>
      <w:r w:rsidRPr="00EC5A4C">
        <w:rPr>
          <w:rFonts w:ascii="Palatino Linotype" w:eastAsia="Palatino Linotype" w:hAnsi="Palatino Linotype" w:cs="Palatino Linotype"/>
        </w:rPr>
        <w:lastRenderedPageBreak/>
        <w:t>desclasificarán y generarán, en su caso, versiones públicas de expedientes o documentos que contengan partes o secciones clasificadas.</w:t>
      </w:r>
    </w:p>
    <w:p w14:paraId="4AEAB893" w14:textId="77777777" w:rsidR="005C4FC3" w:rsidRPr="00EC5A4C" w:rsidRDefault="005C4FC3" w:rsidP="005C4FC3">
      <w:pPr>
        <w:spacing w:after="0"/>
        <w:jc w:val="both"/>
        <w:rPr>
          <w:rFonts w:ascii="Palatino Linotype" w:eastAsia="Palatino Linotype" w:hAnsi="Palatino Linotype" w:cs="Palatino Linotype"/>
        </w:rPr>
      </w:pPr>
    </w:p>
    <w:p w14:paraId="29B7C408" w14:textId="77777777" w:rsidR="005C4FC3" w:rsidRPr="00EC5A4C" w:rsidRDefault="005C4FC3" w:rsidP="005C4FC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9E83E93" w14:textId="77777777" w:rsidR="005C4FC3" w:rsidRPr="00EC5A4C" w:rsidRDefault="005C4FC3" w:rsidP="005C4FC3">
      <w:pPr>
        <w:spacing w:after="0" w:line="360" w:lineRule="auto"/>
        <w:jc w:val="both"/>
        <w:rPr>
          <w:rFonts w:ascii="Palatino Linotype" w:eastAsia="Palatino Linotype" w:hAnsi="Palatino Linotype" w:cs="Palatino Linotype"/>
        </w:rPr>
      </w:pPr>
    </w:p>
    <w:p w14:paraId="2DB554CF"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 “</w:t>
      </w:r>
      <w:r w:rsidRPr="00EC5A4C">
        <w:rPr>
          <w:rFonts w:ascii="Palatino Linotype" w:eastAsia="Palatino Linotype" w:hAnsi="Palatino Linotype" w:cs="Palatino Linotype"/>
          <w:b/>
          <w:i/>
        </w:rPr>
        <w:t>Quincuagésimo</w:t>
      </w:r>
      <w:r w:rsidRPr="00EC5A4C">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0836703"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b/>
          <w:i/>
        </w:rPr>
        <w:t>Quincuagésimo primero.</w:t>
      </w:r>
      <w:r w:rsidRPr="00EC5A4C">
        <w:rPr>
          <w:rFonts w:ascii="Palatino Linotype" w:eastAsia="Palatino Linotype" w:hAnsi="Palatino Linotype" w:cs="Palatino Linotype"/>
          <w:i/>
        </w:rPr>
        <w:t xml:space="preserve"> Toda acta del Comité de Transparencia deberá contener: </w:t>
      </w:r>
    </w:p>
    <w:p w14:paraId="6C13A173"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 El número de sesión y fecha; </w:t>
      </w:r>
    </w:p>
    <w:p w14:paraId="48259DEE"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II. El nombre del área que solicitó la clasificación de información; </w:t>
      </w:r>
    </w:p>
    <w:p w14:paraId="662895B1"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III. La fundamentación legal y motivación correspondiente; </w:t>
      </w:r>
    </w:p>
    <w:p w14:paraId="3E038629"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IV. La resolución o resoluciones aprobadas; y </w:t>
      </w:r>
    </w:p>
    <w:p w14:paraId="283EAB16"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V. La rúbrica o firma digital de cada integrante del Comité de Transparencia. </w:t>
      </w:r>
    </w:p>
    <w:p w14:paraId="07363CD1"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6C7DEE3"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 Los motivos y razonamientos que sustenten la confirmación o modificación de la prueba de daño;</w:t>
      </w:r>
    </w:p>
    <w:p w14:paraId="7CBE96CF"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II. Descripción de las partes o secciones reservadas, en caso de clasificación parcial; </w:t>
      </w:r>
    </w:p>
    <w:p w14:paraId="36AC7611"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III. El periodo por el que mantendrá su clasificación y fecha de expiración; y </w:t>
      </w:r>
    </w:p>
    <w:p w14:paraId="113A2F30"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IV. El nombre del titular y área encargada de realizar la versión pública del documento, en su caso. </w:t>
      </w:r>
    </w:p>
    <w:p w14:paraId="00310315"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34FEA68"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5BE0974F"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b/>
          <w:i/>
        </w:rPr>
        <w:t>Quincuagésimo segundo.</w:t>
      </w:r>
      <w:r w:rsidRPr="00EC5A4C">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2199FC5"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3C131BE3"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 Fijar la fecha en que se elaboró la versión pública y la fecha en la cual el Comité de Transparencia confirmó dicha versión;</w:t>
      </w:r>
    </w:p>
    <w:p w14:paraId="4421ACB4"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AEB5C0B"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III. Señalar las personas o instancias autorizadas a acceder a la información clasificada.</w:t>
      </w:r>
    </w:p>
    <w:p w14:paraId="1236E5FE"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F220C80" w14:textId="77777777" w:rsidR="005C4FC3" w:rsidRPr="00EC5A4C" w:rsidRDefault="005C4FC3" w:rsidP="005C4FC3">
      <w:pPr>
        <w:spacing w:after="0" w:line="360" w:lineRule="auto"/>
        <w:jc w:val="both"/>
        <w:rPr>
          <w:rFonts w:ascii="Palatino Linotype" w:eastAsia="Palatino Linotype" w:hAnsi="Palatino Linotype" w:cs="Palatino Linotype"/>
        </w:rPr>
      </w:pPr>
    </w:p>
    <w:p w14:paraId="3846726D" w14:textId="77777777" w:rsidR="005C4FC3" w:rsidRPr="00EC5A4C" w:rsidRDefault="005C4FC3" w:rsidP="005C4FC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01A096F8" w14:textId="77777777" w:rsidR="005C4FC3" w:rsidRPr="00EC5A4C" w:rsidRDefault="005C4FC3" w:rsidP="005C4FC3">
      <w:pPr>
        <w:spacing w:after="0" w:line="360" w:lineRule="auto"/>
        <w:jc w:val="both"/>
        <w:rPr>
          <w:rFonts w:ascii="Palatino Linotype" w:eastAsia="Palatino Linotype" w:hAnsi="Palatino Linotype" w:cs="Palatino Linotype"/>
        </w:rPr>
      </w:pPr>
    </w:p>
    <w:p w14:paraId="08CC53A1" w14:textId="77777777" w:rsidR="005C4FC3" w:rsidRPr="00EC5A4C" w:rsidRDefault="005C4FC3" w:rsidP="005C4FC3">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r w:rsidRPr="00EC5A4C">
        <w:rPr>
          <w:rFonts w:ascii="Palatino Linotype" w:eastAsia="Palatino Linotype" w:hAnsi="Palatino Linotype" w:cs="Palatino Linotype"/>
          <w:b/>
          <w:i/>
        </w:rPr>
        <w:t>Quincuagésimo cuarto.</w:t>
      </w:r>
      <w:r w:rsidRPr="00EC5A4C">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1B10F6C"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b/>
          <w:i/>
        </w:rPr>
        <w:t>Quincuagésimo quinto.</w:t>
      </w:r>
      <w:r w:rsidRPr="00EC5A4C">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w:t>
      </w:r>
      <w:r w:rsidRPr="00EC5A4C">
        <w:rPr>
          <w:rFonts w:ascii="Palatino Linotype" w:eastAsia="Palatino Linotype" w:hAnsi="Palatino Linotype" w:cs="Palatino Linotype"/>
          <w:i/>
        </w:rPr>
        <w:lastRenderedPageBreak/>
        <w:t>Lineamientos y demás normativa aplicable antes de su confirmación por el Comité de Transparencia.</w:t>
      </w:r>
    </w:p>
    <w:p w14:paraId="20A96F9A"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w:t>
      </w:r>
    </w:p>
    <w:p w14:paraId="1F2B1C1C"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b/>
          <w:i/>
        </w:rPr>
        <w:t>Quincuagésimo séptimo.</w:t>
      </w:r>
      <w:r w:rsidRPr="00EC5A4C">
        <w:rPr>
          <w:rFonts w:ascii="Palatino Linotype" w:eastAsia="Palatino Linotype" w:hAnsi="Palatino Linotype" w:cs="Palatino Linotype"/>
          <w:i/>
        </w:rPr>
        <w:t xml:space="preserve"> Se considera, en principio, como información pública y no podrá omitirse de las versiones públicas la siguiente: </w:t>
      </w:r>
    </w:p>
    <w:p w14:paraId="53E21FFF"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24F25636"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7FE22C3B"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2C7D2BD"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6EC6783" w14:textId="77777777" w:rsidR="005C4FC3" w:rsidRPr="00EC5A4C" w:rsidRDefault="005C4FC3" w:rsidP="005C4FC3">
      <w:pPr>
        <w:spacing w:after="0"/>
        <w:ind w:left="567" w:right="616"/>
        <w:jc w:val="both"/>
        <w:rPr>
          <w:rFonts w:ascii="Palatino Linotype" w:eastAsia="Palatino Linotype" w:hAnsi="Palatino Linotype" w:cs="Palatino Linotype"/>
          <w:i/>
        </w:rPr>
      </w:pPr>
      <w:r w:rsidRPr="00EC5A4C">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164BF80A" w14:textId="77777777" w:rsidR="005C4FC3" w:rsidRPr="00EC5A4C" w:rsidRDefault="005C4FC3" w:rsidP="005C4FC3">
      <w:pPr>
        <w:spacing w:after="0" w:line="360" w:lineRule="auto"/>
        <w:ind w:left="567" w:right="616"/>
        <w:jc w:val="both"/>
        <w:rPr>
          <w:rFonts w:ascii="Palatino Linotype" w:eastAsia="Palatino Linotype" w:hAnsi="Palatino Linotype" w:cs="Palatino Linotype"/>
          <w:i/>
        </w:rPr>
      </w:pPr>
    </w:p>
    <w:p w14:paraId="7B775D3D" w14:textId="77777777" w:rsidR="005C4FC3" w:rsidRPr="00EC5A4C" w:rsidRDefault="005C4FC3" w:rsidP="005C4FC3">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375714EC" w14:textId="77777777" w:rsidR="005C4FC3" w:rsidRPr="00EC5A4C" w:rsidRDefault="005C4FC3" w:rsidP="00B371E0">
      <w:pPr>
        <w:spacing w:after="0" w:line="360" w:lineRule="auto"/>
        <w:jc w:val="both"/>
        <w:rPr>
          <w:rFonts w:ascii="Palatino Linotype" w:hAnsi="Palatino Linotype" w:cs="Tahoma"/>
          <w:bCs/>
          <w:iCs/>
          <w:lang w:eastAsia="es-ES"/>
        </w:rPr>
      </w:pPr>
    </w:p>
    <w:p w14:paraId="0E036F81" w14:textId="31262CD4" w:rsidR="00486EC9" w:rsidRPr="00EC5A4C" w:rsidRDefault="00486EC9" w:rsidP="00486EC9">
      <w:pPr>
        <w:spacing w:after="0" w:line="360" w:lineRule="auto"/>
        <w:ind w:right="49"/>
        <w:jc w:val="both"/>
        <w:rPr>
          <w:rFonts w:ascii="Palatino Linotype" w:eastAsia="Palatino Linotype" w:hAnsi="Palatino Linotype" w:cs="Palatino Linotype"/>
          <w:b/>
        </w:rPr>
      </w:pPr>
      <w:r w:rsidRPr="00EC5A4C">
        <w:rPr>
          <w:rFonts w:ascii="Palatino Linotype" w:eastAsia="Palatino Linotype" w:hAnsi="Palatino Linotype" w:cs="Palatino Linotype"/>
        </w:rPr>
        <w:lastRenderedPageBreak/>
        <w:t xml:space="preserve">Es así como, en mérito de lo expuesto en líneas anteriores, resultan infundadas las razones o motivos de inconformidad hechos valer por la parte </w:t>
      </w:r>
      <w:r w:rsidRPr="00EC5A4C">
        <w:rPr>
          <w:rFonts w:ascii="Palatino Linotype" w:eastAsia="Palatino Linotype" w:hAnsi="Palatino Linotype" w:cs="Palatino Linotype"/>
          <w:b/>
        </w:rPr>
        <w:t>RECURRENTE</w:t>
      </w:r>
      <w:r w:rsidRPr="00EC5A4C">
        <w:rPr>
          <w:rFonts w:ascii="Palatino Linotype" w:eastAsia="Palatino Linotype" w:hAnsi="Palatino Linotype" w:cs="Palatino Linotype"/>
        </w:rPr>
        <w:t xml:space="preserve"> dentro </w:t>
      </w:r>
      <w:r w:rsidR="00E7524B" w:rsidRPr="00EC5A4C">
        <w:rPr>
          <w:rFonts w:ascii="Palatino Linotype" w:eastAsia="Palatino Linotype" w:hAnsi="Palatino Linotype" w:cs="Palatino Linotype"/>
        </w:rPr>
        <w:t xml:space="preserve">del recurso </w:t>
      </w:r>
      <w:r w:rsidRPr="00EC5A4C">
        <w:rPr>
          <w:rFonts w:ascii="Palatino Linotype" w:eastAsia="Palatino Linotype" w:hAnsi="Palatino Linotype" w:cs="Palatino Linotype"/>
        </w:rPr>
        <w:t xml:space="preserve">de revisión </w:t>
      </w:r>
      <w:r w:rsidR="00350833" w:rsidRPr="00EC5A4C">
        <w:rPr>
          <w:rFonts w:ascii="Palatino Linotype" w:eastAsia="Palatino Linotype" w:hAnsi="Palatino Linotype" w:cs="Palatino Linotype"/>
          <w:b/>
        </w:rPr>
        <w:t>06508/INFOEM/IP/RR/2024</w:t>
      </w:r>
      <w:r w:rsidRPr="00EC5A4C">
        <w:rPr>
          <w:rFonts w:ascii="Palatino Linotype" w:eastAsia="Palatino Linotype" w:hAnsi="Palatino Linotype" w:cs="Palatino Linotype"/>
        </w:rPr>
        <w:t>;</w:t>
      </w:r>
      <w:r w:rsidR="00E7524B" w:rsidRPr="00EC5A4C">
        <w:rPr>
          <w:rFonts w:ascii="Palatino Linotype" w:eastAsia="Palatino Linotype" w:hAnsi="Palatino Linotype" w:cs="Palatino Linotype"/>
        </w:rPr>
        <w:t xml:space="preserve"> y, resultan fundadas las razones hechas valer en los recursos de revisión </w:t>
      </w:r>
      <w:r w:rsidR="00E7524B" w:rsidRPr="00EC5A4C">
        <w:rPr>
          <w:rFonts w:ascii="Palatino Linotype" w:eastAsia="Palatino Linotype" w:hAnsi="Palatino Linotype" w:cs="Palatino Linotype"/>
          <w:b/>
        </w:rPr>
        <w:t>06504/INFOEM/IP/RR/2024</w:t>
      </w:r>
      <w:r w:rsidRPr="00EC5A4C">
        <w:rPr>
          <w:rFonts w:ascii="Palatino Linotype" w:eastAsia="Palatino Linotype" w:hAnsi="Palatino Linotype" w:cs="Palatino Linotype"/>
        </w:rPr>
        <w:t xml:space="preserve"> </w:t>
      </w:r>
      <w:r w:rsidR="00E7524B" w:rsidRPr="00EC5A4C">
        <w:rPr>
          <w:rFonts w:ascii="Palatino Linotype" w:eastAsia="Palatino Linotype" w:hAnsi="Palatino Linotype" w:cs="Palatino Linotype"/>
        </w:rPr>
        <w:t xml:space="preserve">y </w:t>
      </w:r>
      <w:r w:rsidR="00E7524B" w:rsidRPr="00EC5A4C">
        <w:rPr>
          <w:rFonts w:ascii="Palatino Linotype" w:eastAsia="Palatino Linotype" w:hAnsi="Palatino Linotype" w:cs="Palatino Linotype"/>
          <w:b/>
        </w:rPr>
        <w:t>06505/INFOEM/IP/RR/2024,</w:t>
      </w:r>
      <w:r w:rsidR="00E7524B"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rPr>
        <w:t xml:space="preserve">por ello, y con fundamento en la fracción IV del numeral 186 de la Ley de Transparencia y Acceso a la Información Pública del Estado de México y Municipios, por lo que se </w:t>
      </w:r>
      <w:r w:rsidRPr="00EC5A4C">
        <w:rPr>
          <w:rFonts w:ascii="Palatino Linotype" w:eastAsia="Palatino Linotype" w:hAnsi="Palatino Linotype" w:cs="Palatino Linotype"/>
          <w:b/>
        </w:rPr>
        <w:t xml:space="preserve">CONFIRMA </w:t>
      </w:r>
      <w:r w:rsidRPr="00EC5A4C">
        <w:rPr>
          <w:rFonts w:ascii="Palatino Linotype" w:eastAsia="Palatino Linotype" w:hAnsi="Palatino Linotype" w:cs="Palatino Linotype"/>
        </w:rPr>
        <w:t>la</w:t>
      </w:r>
      <w:r w:rsidR="00E7524B" w:rsidRPr="00EC5A4C">
        <w:rPr>
          <w:rFonts w:ascii="Palatino Linotype" w:eastAsia="Palatino Linotype" w:hAnsi="Palatino Linotype" w:cs="Palatino Linotype"/>
        </w:rPr>
        <w:t xml:space="preserve"> respuesta</w:t>
      </w:r>
      <w:r w:rsidR="00350833"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rPr>
        <w:t xml:space="preserve">del </w:t>
      </w:r>
      <w:r w:rsidRPr="00EC5A4C">
        <w:rPr>
          <w:rFonts w:ascii="Palatino Linotype" w:eastAsia="Palatino Linotype" w:hAnsi="Palatino Linotype" w:cs="Palatino Linotype"/>
          <w:b/>
        </w:rPr>
        <w:t xml:space="preserve">SUJETO OBLIGADO </w:t>
      </w:r>
      <w:r w:rsidRPr="00EC5A4C">
        <w:rPr>
          <w:rFonts w:ascii="Palatino Linotype" w:eastAsia="Palatino Linotype" w:hAnsi="Palatino Linotype" w:cs="Palatino Linotype"/>
        </w:rPr>
        <w:t xml:space="preserve">a la solicitud de información </w:t>
      </w:r>
      <w:r w:rsidR="00350833" w:rsidRPr="00EC5A4C">
        <w:rPr>
          <w:rFonts w:ascii="Palatino Linotype" w:eastAsia="Palatino Linotype" w:hAnsi="Palatino Linotype" w:cs="Palatino Linotype"/>
          <w:b/>
        </w:rPr>
        <w:t>00697/SF/IP/2024</w:t>
      </w:r>
      <w:r w:rsidR="00E7524B" w:rsidRPr="00EC5A4C">
        <w:rPr>
          <w:rFonts w:ascii="Palatino Linotype" w:eastAsia="Palatino Linotype" w:hAnsi="Palatino Linotype" w:cs="Palatino Linotype"/>
          <w:b/>
        </w:rPr>
        <w:t xml:space="preserve"> </w:t>
      </w:r>
      <w:r w:rsidR="00E7524B" w:rsidRPr="00EC5A4C">
        <w:rPr>
          <w:rFonts w:ascii="Palatino Linotype" w:eastAsia="Palatino Linotype" w:hAnsi="Palatino Linotype" w:cs="Palatino Linotype"/>
        </w:rPr>
        <w:t xml:space="preserve">y se </w:t>
      </w:r>
      <w:r w:rsidR="00E7524B" w:rsidRPr="00EC5A4C">
        <w:rPr>
          <w:rFonts w:ascii="Palatino Linotype" w:eastAsia="Palatino Linotype" w:hAnsi="Palatino Linotype" w:cs="Palatino Linotype"/>
          <w:b/>
        </w:rPr>
        <w:t xml:space="preserve">MODIFICAN </w:t>
      </w:r>
      <w:r w:rsidR="00E7524B" w:rsidRPr="00EC5A4C">
        <w:rPr>
          <w:rFonts w:ascii="Palatino Linotype" w:eastAsia="Palatino Linotype" w:hAnsi="Palatino Linotype" w:cs="Palatino Linotype"/>
        </w:rPr>
        <w:t xml:space="preserve">las respuestas proporcionadas a las solicitudes de información </w:t>
      </w:r>
      <w:r w:rsidR="00E7524B" w:rsidRPr="00EC5A4C">
        <w:rPr>
          <w:rFonts w:ascii="Palatino Linotype" w:eastAsia="Palatino Linotype" w:hAnsi="Palatino Linotype" w:cs="Palatino Linotype"/>
          <w:b/>
        </w:rPr>
        <w:t>00701/SF/IP/2024, 00700/SF/IP/2024.</w:t>
      </w:r>
    </w:p>
    <w:p w14:paraId="6FAFD7E1" w14:textId="77777777" w:rsidR="005C4FC3" w:rsidRPr="00EC5A4C" w:rsidRDefault="005C4FC3" w:rsidP="00486EC9">
      <w:pPr>
        <w:spacing w:after="0" w:line="360" w:lineRule="auto"/>
        <w:ind w:right="49"/>
        <w:jc w:val="both"/>
        <w:rPr>
          <w:rFonts w:ascii="Palatino Linotype" w:eastAsia="Palatino Linotype" w:hAnsi="Palatino Linotype" w:cs="Palatino Linotype"/>
        </w:rPr>
      </w:pPr>
    </w:p>
    <w:p w14:paraId="2A179B28" w14:textId="5768180E" w:rsidR="00E01890" w:rsidRPr="00EC5A4C" w:rsidRDefault="00486EC9" w:rsidP="00E01890">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6A811CA" w14:textId="77777777" w:rsidR="00E01890" w:rsidRPr="00EC5A4C" w:rsidRDefault="00E01890" w:rsidP="00E01890">
      <w:pPr>
        <w:spacing w:after="0" w:line="360" w:lineRule="auto"/>
        <w:ind w:right="49"/>
        <w:jc w:val="center"/>
        <w:rPr>
          <w:rFonts w:ascii="Palatino Linotype" w:eastAsia="Palatino Linotype" w:hAnsi="Palatino Linotype" w:cs="Palatino Linotype"/>
          <w:b/>
        </w:rPr>
      </w:pPr>
      <w:r w:rsidRPr="00EC5A4C">
        <w:rPr>
          <w:rFonts w:ascii="Palatino Linotype" w:eastAsia="Palatino Linotype" w:hAnsi="Palatino Linotype" w:cs="Palatino Linotype"/>
          <w:b/>
        </w:rPr>
        <w:t>III.</w:t>
      </w:r>
      <w:r w:rsidRPr="00EC5A4C">
        <w:rPr>
          <w:rFonts w:ascii="Palatino Linotype" w:eastAsia="Palatino Linotype" w:hAnsi="Palatino Linotype" w:cs="Palatino Linotype"/>
          <w:b/>
        </w:rPr>
        <w:tab/>
        <w:t>R E S U E L V E:</w:t>
      </w:r>
    </w:p>
    <w:p w14:paraId="67AAFE0F" w14:textId="77777777" w:rsidR="00E01890" w:rsidRPr="00EC5A4C" w:rsidRDefault="00E01890" w:rsidP="00E01890">
      <w:pPr>
        <w:spacing w:after="0" w:line="360" w:lineRule="auto"/>
        <w:ind w:right="49"/>
        <w:jc w:val="both"/>
        <w:rPr>
          <w:rFonts w:ascii="Palatino Linotype" w:eastAsia="Palatino Linotype" w:hAnsi="Palatino Linotype" w:cs="Palatino Linotype"/>
        </w:rPr>
      </w:pPr>
    </w:p>
    <w:p w14:paraId="416C5F6E" w14:textId="1060F57E" w:rsidR="00486EC9" w:rsidRPr="00EC5A4C" w:rsidRDefault="00486EC9" w:rsidP="00486EC9">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Primero. </w:t>
      </w:r>
      <w:r w:rsidRPr="00EC5A4C">
        <w:rPr>
          <w:rFonts w:ascii="Palatino Linotype" w:eastAsia="Palatino Linotype" w:hAnsi="Palatino Linotype" w:cs="Palatino Linotype"/>
        </w:rPr>
        <w:t xml:space="preserve">Resultan </w:t>
      </w:r>
      <w:r w:rsidRPr="00EC5A4C">
        <w:rPr>
          <w:rFonts w:ascii="Palatino Linotype" w:eastAsia="Palatino Linotype" w:hAnsi="Palatino Linotype" w:cs="Palatino Linotype"/>
          <w:b/>
        </w:rPr>
        <w:t>INFUNDADOS</w:t>
      </w:r>
      <w:r w:rsidRPr="00EC5A4C">
        <w:rPr>
          <w:rFonts w:ascii="Palatino Linotype" w:eastAsia="Palatino Linotype" w:hAnsi="Palatino Linotype" w:cs="Palatino Linotype"/>
        </w:rPr>
        <w:t xml:space="preserve"> los motivos de inconformidad hechos valer por la parte </w:t>
      </w:r>
      <w:r w:rsidRPr="00EC5A4C">
        <w:rPr>
          <w:rFonts w:ascii="Palatino Linotype" w:eastAsia="Palatino Linotype" w:hAnsi="Palatino Linotype" w:cs="Palatino Linotype"/>
          <w:b/>
        </w:rPr>
        <w:t>RECURRENTE</w:t>
      </w:r>
      <w:r w:rsidRPr="00EC5A4C">
        <w:rPr>
          <w:rFonts w:ascii="Palatino Linotype" w:eastAsia="Palatino Linotype" w:hAnsi="Palatino Linotype" w:cs="Palatino Linotype"/>
        </w:rPr>
        <w:t xml:space="preserve"> en el Recurso de Revisión </w:t>
      </w:r>
      <w:r w:rsidR="00350833" w:rsidRPr="00EC5A4C">
        <w:rPr>
          <w:rFonts w:ascii="Palatino Linotype" w:eastAsia="Palatino Linotype" w:hAnsi="Palatino Linotype" w:cs="Palatino Linotype"/>
          <w:b/>
        </w:rPr>
        <w:t>06508/INFOEM/IP/RR/2024</w:t>
      </w:r>
      <w:r w:rsidR="00350833"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rPr>
        <w:t>por lo que, en términos del</w:t>
      </w:r>
      <w:r w:rsidRPr="00EC5A4C">
        <w:rPr>
          <w:rFonts w:ascii="Palatino Linotype" w:eastAsia="Palatino Linotype" w:hAnsi="Palatino Linotype" w:cs="Palatino Linotype"/>
          <w:b/>
        </w:rPr>
        <w:t xml:space="preserve"> Considerando Cuarto </w:t>
      </w:r>
      <w:r w:rsidRPr="00EC5A4C">
        <w:rPr>
          <w:rFonts w:ascii="Palatino Linotype" w:eastAsia="Palatino Linotype" w:hAnsi="Palatino Linotype" w:cs="Palatino Linotype"/>
        </w:rPr>
        <w:t xml:space="preserve">de esta resolución, se </w:t>
      </w:r>
      <w:r w:rsidRPr="00EC5A4C">
        <w:rPr>
          <w:rFonts w:ascii="Palatino Linotype" w:eastAsia="Palatino Linotype" w:hAnsi="Palatino Linotype" w:cs="Palatino Linotype"/>
          <w:b/>
        </w:rPr>
        <w:t xml:space="preserve">CONFIRMA </w:t>
      </w:r>
      <w:r w:rsidRPr="00EC5A4C">
        <w:rPr>
          <w:rFonts w:ascii="Palatino Linotype" w:eastAsia="Palatino Linotype" w:hAnsi="Palatino Linotype" w:cs="Palatino Linotype"/>
        </w:rPr>
        <w:t xml:space="preserve">la respuesta emitida por el </w:t>
      </w:r>
      <w:r w:rsidRPr="00EC5A4C">
        <w:rPr>
          <w:rFonts w:ascii="Palatino Linotype" w:eastAsia="Palatino Linotype" w:hAnsi="Palatino Linotype" w:cs="Palatino Linotype"/>
          <w:b/>
        </w:rPr>
        <w:t>SUJETO OBLIGADO</w:t>
      </w:r>
      <w:r w:rsidR="00E7524B" w:rsidRPr="00EC5A4C">
        <w:rPr>
          <w:rFonts w:ascii="Palatino Linotype" w:eastAsia="Palatino Linotype" w:hAnsi="Palatino Linotype" w:cs="Palatino Linotype"/>
        </w:rPr>
        <w:t>.</w:t>
      </w:r>
    </w:p>
    <w:p w14:paraId="4D168DBA" w14:textId="77777777" w:rsidR="00E7524B" w:rsidRPr="00EC5A4C" w:rsidRDefault="00E7524B" w:rsidP="00486EC9">
      <w:pPr>
        <w:spacing w:after="0" w:line="360" w:lineRule="auto"/>
        <w:jc w:val="both"/>
        <w:rPr>
          <w:rFonts w:ascii="Palatino Linotype" w:eastAsia="Palatino Linotype" w:hAnsi="Palatino Linotype" w:cs="Palatino Linotype"/>
        </w:rPr>
      </w:pPr>
    </w:p>
    <w:p w14:paraId="7008966D" w14:textId="1F72A0DB" w:rsidR="00E7524B" w:rsidRPr="00EC5A4C" w:rsidRDefault="00E7524B" w:rsidP="00E7524B">
      <w:pPr>
        <w:spacing w:after="0" w:line="360" w:lineRule="auto"/>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Segundo. </w:t>
      </w:r>
      <w:r w:rsidRPr="00EC5A4C">
        <w:rPr>
          <w:rFonts w:ascii="Palatino Linotype" w:eastAsia="Palatino Linotype" w:hAnsi="Palatino Linotype" w:cs="Palatino Linotype"/>
        </w:rPr>
        <w:t>Se</w:t>
      </w:r>
      <w:r w:rsidRPr="00EC5A4C">
        <w:t xml:space="preserve"> </w:t>
      </w:r>
      <w:r w:rsidRPr="00EC5A4C">
        <w:rPr>
          <w:rFonts w:ascii="Palatino Linotype" w:eastAsia="Palatino Linotype" w:hAnsi="Palatino Linotype" w:cs="Palatino Linotype"/>
          <w:b/>
        </w:rPr>
        <w:t xml:space="preserve">MODIFICAN </w:t>
      </w:r>
      <w:r w:rsidRPr="00EC5A4C">
        <w:rPr>
          <w:rFonts w:ascii="Palatino Linotype" w:eastAsia="Palatino Linotype" w:hAnsi="Palatino Linotype" w:cs="Palatino Linotype"/>
        </w:rPr>
        <w:t>las respuesta</w:t>
      </w:r>
      <w:r w:rsidR="0084082F" w:rsidRPr="00EC5A4C">
        <w:rPr>
          <w:rFonts w:ascii="Palatino Linotype" w:eastAsia="Palatino Linotype" w:hAnsi="Palatino Linotype" w:cs="Palatino Linotype"/>
        </w:rPr>
        <w:t>s</w:t>
      </w:r>
      <w:r w:rsidRPr="00EC5A4C">
        <w:rPr>
          <w:rFonts w:ascii="Palatino Linotype" w:eastAsia="Palatino Linotype" w:hAnsi="Palatino Linotype" w:cs="Palatino Linotype"/>
        </w:rPr>
        <w:t xml:space="preserve"> entregadas por </w:t>
      </w:r>
      <w:r w:rsidRPr="00EC5A4C">
        <w:rPr>
          <w:rFonts w:ascii="Palatino Linotype" w:eastAsia="Palatino Linotype" w:hAnsi="Palatino Linotype" w:cs="Palatino Linotype"/>
          <w:b/>
        </w:rPr>
        <w:t xml:space="preserve">EL SUJETO OBLIGADO </w:t>
      </w:r>
      <w:r w:rsidRPr="00EC5A4C">
        <w:rPr>
          <w:rFonts w:ascii="Palatino Linotype" w:eastAsia="Palatino Linotype" w:hAnsi="Palatino Linotype" w:cs="Palatino Linotype"/>
        </w:rPr>
        <w:t xml:space="preserve">a las solicitudes de información </w:t>
      </w:r>
      <w:r w:rsidRPr="00EC5A4C">
        <w:rPr>
          <w:rFonts w:ascii="Palatino Linotype" w:eastAsia="Palatino Linotype" w:hAnsi="Palatino Linotype" w:cs="Palatino Linotype"/>
          <w:b/>
        </w:rPr>
        <w:t>00701/SF/IP/2024, 00700/SF/IP/2024</w:t>
      </w:r>
      <w:r w:rsidRPr="00EC5A4C">
        <w:rPr>
          <w:rFonts w:ascii="Palatino Linotype" w:eastAsia="Palatino Linotype" w:hAnsi="Palatino Linotype" w:cs="Palatino Linotype"/>
        </w:rPr>
        <w:t xml:space="preserve">, por resultar fundadas las razones o motivos de inconformidad hechos valer por la parte </w:t>
      </w:r>
      <w:r w:rsidRPr="00EC5A4C">
        <w:rPr>
          <w:rFonts w:ascii="Palatino Linotype" w:eastAsia="Palatino Linotype" w:hAnsi="Palatino Linotype" w:cs="Palatino Linotype"/>
          <w:b/>
        </w:rPr>
        <w:t xml:space="preserve">RECURRENTE, </w:t>
      </w:r>
      <w:r w:rsidRPr="00EC5A4C">
        <w:rPr>
          <w:rFonts w:ascii="Palatino Linotype" w:eastAsia="Palatino Linotype" w:hAnsi="Palatino Linotype" w:cs="Palatino Linotype"/>
        </w:rPr>
        <w:t xml:space="preserve">en los Recursos </w:t>
      </w:r>
      <w:r w:rsidRPr="00EC5A4C">
        <w:rPr>
          <w:rFonts w:ascii="Palatino Linotype" w:eastAsia="Palatino Linotype" w:hAnsi="Palatino Linotype" w:cs="Palatino Linotype"/>
        </w:rPr>
        <w:lastRenderedPageBreak/>
        <w:t xml:space="preserve">de Revisión </w:t>
      </w:r>
      <w:r w:rsidRPr="00EC5A4C">
        <w:rPr>
          <w:rFonts w:ascii="Palatino Linotype" w:eastAsia="Palatino Linotype" w:hAnsi="Palatino Linotype" w:cs="Palatino Linotype"/>
          <w:b/>
        </w:rPr>
        <w:t>06504/INFOEM/IP/RR/2024</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06505/INFOEM/IP/RR/2024</w:t>
      </w:r>
      <w:r w:rsidRPr="00EC5A4C">
        <w:rPr>
          <w:rFonts w:ascii="Palatino Linotype" w:eastAsia="Palatino Linotype" w:hAnsi="Palatino Linotype" w:cs="Palatino Linotype"/>
        </w:rPr>
        <w:t xml:space="preserve"> en términos del considerando Cuarto de la presente Resolución.</w:t>
      </w:r>
    </w:p>
    <w:p w14:paraId="62D5F113" w14:textId="77777777" w:rsidR="00E7524B" w:rsidRPr="00EC5A4C" w:rsidRDefault="00E7524B" w:rsidP="00E7524B">
      <w:pPr>
        <w:spacing w:after="0" w:line="360" w:lineRule="auto"/>
        <w:jc w:val="both"/>
        <w:rPr>
          <w:rFonts w:ascii="Palatino Linotype" w:eastAsia="Palatino Linotype" w:hAnsi="Palatino Linotype" w:cs="Palatino Linotype"/>
        </w:rPr>
      </w:pPr>
    </w:p>
    <w:p w14:paraId="147FC62A" w14:textId="119E5373" w:rsidR="00E7524B" w:rsidRPr="00EC5A4C" w:rsidRDefault="00E7524B" w:rsidP="00E7524B">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EC5A4C">
        <w:rPr>
          <w:rFonts w:ascii="Palatino Linotype" w:eastAsia="Palatino Linotype" w:hAnsi="Palatino Linotype" w:cs="Palatino Linotype"/>
          <w:b/>
        </w:rPr>
        <w:t xml:space="preserve">Tercero. </w:t>
      </w:r>
      <w:r w:rsidRPr="00EC5A4C">
        <w:rPr>
          <w:rFonts w:ascii="Palatino Linotype" w:eastAsia="Palatino Linotype" w:hAnsi="Palatino Linotype" w:cs="Palatino Linotype"/>
        </w:rPr>
        <w:t>Se</w:t>
      </w:r>
      <w:r w:rsidRPr="00EC5A4C">
        <w:rPr>
          <w:rFonts w:ascii="Palatino Linotype" w:eastAsia="Palatino Linotype" w:hAnsi="Palatino Linotype" w:cs="Palatino Linotype"/>
          <w:b/>
        </w:rPr>
        <w:t xml:space="preserve"> ORDENA </w:t>
      </w:r>
      <w:r w:rsidRPr="00EC5A4C">
        <w:rPr>
          <w:rFonts w:ascii="Palatino Linotype" w:eastAsia="Palatino Linotype" w:hAnsi="Palatino Linotype" w:cs="Palatino Linotype"/>
        </w:rPr>
        <w:t xml:space="preserve">al </w:t>
      </w:r>
      <w:r w:rsidRPr="00EC5A4C">
        <w:rPr>
          <w:rFonts w:ascii="Palatino Linotype" w:eastAsia="Palatino Linotype" w:hAnsi="Palatino Linotype" w:cs="Palatino Linotype"/>
          <w:b/>
        </w:rPr>
        <w:t>SUJETO OBLIGADO</w:t>
      </w:r>
      <w:r w:rsidRPr="00EC5A4C">
        <w:rPr>
          <w:rFonts w:ascii="Palatino Linotype" w:eastAsia="Palatino Linotype" w:hAnsi="Palatino Linotype" w:cs="Palatino Linotype"/>
        </w:rPr>
        <w:t xml:space="preserve"> a que,</w:t>
      </w:r>
      <w:r w:rsidRPr="00EC5A4C">
        <w:rPr>
          <w:rFonts w:ascii="Palatino Linotype" w:eastAsia="Palatino Linotype" w:hAnsi="Palatino Linotype" w:cs="Palatino Linotype"/>
          <w:b/>
        </w:rPr>
        <w:t xml:space="preserve"> </w:t>
      </w:r>
      <w:r w:rsidRPr="00EC5A4C">
        <w:rPr>
          <w:rFonts w:ascii="Palatino Linotype" w:eastAsia="Palatino Linotype" w:hAnsi="Palatino Linotype" w:cs="Palatino Linotype"/>
        </w:rPr>
        <w:t>en términos del Considerando Cuarto y Quinto, haga entrega, vía Sistema de Acc</w:t>
      </w:r>
      <w:r w:rsidR="005C4FC3" w:rsidRPr="00EC5A4C">
        <w:rPr>
          <w:rFonts w:ascii="Palatino Linotype" w:eastAsia="Palatino Linotype" w:hAnsi="Palatino Linotype" w:cs="Palatino Linotype"/>
        </w:rPr>
        <w:t xml:space="preserve">eso a la Información Mexiquense, </w:t>
      </w:r>
      <w:r w:rsidRPr="00EC5A4C">
        <w:rPr>
          <w:rFonts w:ascii="Palatino Linotype" w:eastAsia="Palatino Linotype" w:hAnsi="Palatino Linotype" w:cs="Palatino Linotype"/>
        </w:rPr>
        <w:t xml:space="preserve">de ser el caso, en versión pública, de lo siguiente: </w:t>
      </w:r>
    </w:p>
    <w:p w14:paraId="36F51FF3" w14:textId="4C13EDA0" w:rsidR="00E7524B" w:rsidRPr="00EC5A4C" w:rsidRDefault="00E7524B" w:rsidP="00E7524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3663B6B" w14:textId="620600E2" w:rsidR="00E7524B" w:rsidRPr="00EC5A4C" w:rsidRDefault="00E7524B" w:rsidP="00E7524B">
      <w:pPr>
        <w:pStyle w:val="Prrafodelista"/>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El documento donde consten los resultados de las evaluaciones realizadas al Instituto de Seguridad Social del Estado de México y Municipios realizadas en los años dos mil veintidós y dos mil veintitrés. </w:t>
      </w:r>
    </w:p>
    <w:p w14:paraId="01F42D1C" w14:textId="77777777" w:rsidR="005C4FC3" w:rsidRPr="00EC5A4C" w:rsidRDefault="005C4FC3" w:rsidP="005C4FC3">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02F4F25" w14:textId="64C4750E" w:rsidR="00E7524B" w:rsidRPr="00EC5A4C" w:rsidRDefault="00E7524B" w:rsidP="00E7524B">
      <w:pPr>
        <w:pBdr>
          <w:top w:val="nil"/>
          <w:left w:val="nil"/>
          <w:bottom w:val="nil"/>
          <w:right w:val="nil"/>
          <w:between w:val="nil"/>
        </w:pBdr>
        <w:spacing w:after="0"/>
        <w:ind w:left="567" w:right="49"/>
        <w:jc w:val="both"/>
        <w:rPr>
          <w:rFonts w:ascii="Palatino Linotype" w:eastAsia="Palatino Linotype" w:hAnsi="Palatino Linotype" w:cs="Palatino Linotype"/>
          <w:i/>
        </w:rPr>
      </w:pPr>
      <w:r w:rsidRPr="00EC5A4C">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EC5A4C">
        <w:rPr>
          <w:rFonts w:ascii="Palatino Linotype" w:eastAsia="Palatino Linotype" w:hAnsi="Palatino Linotype" w:cs="Palatino Linotype"/>
          <w:b/>
          <w:i/>
        </w:rPr>
        <w:t>,</w:t>
      </w:r>
      <w:r w:rsidRPr="00EC5A4C">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2E7F4D47" w14:textId="77777777" w:rsidR="00E7524B" w:rsidRPr="00EC5A4C" w:rsidRDefault="00E7524B" w:rsidP="00E7524B">
      <w:pPr>
        <w:pBdr>
          <w:top w:val="nil"/>
          <w:left w:val="nil"/>
          <w:bottom w:val="nil"/>
          <w:right w:val="nil"/>
          <w:between w:val="nil"/>
        </w:pBdr>
        <w:spacing w:after="0"/>
        <w:ind w:left="567" w:right="49"/>
        <w:jc w:val="both"/>
        <w:rPr>
          <w:rFonts w:ascii="Palatino Linotype" w:eastAsia="Palatino Linotype" w:hAnsi="Palatino Linotype" w:cs="Palatino Linotype"/>
          <w:i/>
        </w:rPr>
      </w:pPr>
    </w:p>
    <w:p w14:paraId="5E451EF3" w14:textId="3BEAABCB" w:rsidR="00E7524B" w:rsidRPr="00EC5A4C" w:rsidRDefault="00E7524B" w:rsidP="00E7524B">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b/>
        </w:rPr>
        <w:t>Cuarto.</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 xml:space="preserve">Notifíquese vía SAIMEX </w:t>
      </w:r>
      <w:r w:rsidRPr="00EC5A4C">
        <w:rPr>
          <w:rFonts w:ascii="Palatino Linotype" w:eastAsia="Palatino Linotype" w:hAnsi="Palatino Linotype" w:cs="Palatino Linotype"/>
        </w:rPr>
        <w:t>la presente resolución al T</w:t>
      </w:r>
      <w:r w:rsidRPr="00EC5A4C">
        <w:rPr>
          <w:rFonts w:ascii="Palatino Linotype" w:eastAsia="Palatino Linotype" w:hAnsi="Palatino Linotype" w:cs="Palatino Linotype"/>
          <w:b/>
        </w:rPr>
        <w:t xml:space="preserve">itular de la Unidad de Transparencia </w:t>
      </w:r>
      <w:r w:rsidRPr="00EC5A4C">
        <w:rPr>
          <w:rFonts w:ascii="Palatino Linotype" w:eastAsia="Palatino Linotype" w:hAnsi="Palatino Linotype" w:cs="Palatino Linotype"/>
        </w:rPr>
        <w:t xml:space="preserve">del </w:t>
      </w:r>
      <w:r w:rsidRPr="00EC5A4C">
        <w:rPr>
          <w:rFonts w:ascii="Palatino Linotype" w:eastAsia="Palatino Linotype" w:hAnsi="Palatino Linotype" w:cs="Palatino Linotype"/>
          <w:b/>
        </w:rPr>
        <w:t>SUJETO OBLIGADO</w:t>
      </w:r>
      <w:r w:rsidRPr="00EC5A4C">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3225AB56" w14:textId="77777777" w:rsidR="00E7524B" w:rsidRPr="00EC5A4C" w:rsidRDefault="00E7524B" w:rsidP="00E7524B">
      <w:pPr>
        <w:spacing w:after="0" w:line="360" w:lineRule="auto"/>
        <w:ind w:right="49"/>
        <w:jc w:val="both"/>
        <w:rPr>
          <w:rFonts w:ascii="Palatino Linotype" w:eastAsia="Palatino Linotype" w:hAnsi="Palatino Linotype" w:cs="Palatino Linotype"/>
        </w:rPr>
      </w:pPr>
    </w:p>
    <w:p w14:paraId="1CC132CF" w14:textId="6E65368D" w:rsidR="00E7524B" w:rsidRPr="00EC5A4C" w:rsidRDefault="00E7524B" w:rsidP="00E7524B">
      <w:pPr>
        <w:spacing w:after="0" w:line="360" w:lineRule="auto"/>
        <w:ind w:right="49"/>
        <w:jc w:val="both"/>
        <w:rPr>
          <w:rFonts w:ascii="Palatino Linotype" w:eastAsia="Palatino Linotype" w:hAnsi="Palatino Linotype" w:cs="Palatino Linotype"/>
          <w:b/>
        </w:rPr>
      </w:pPr>
      <w:r w:rsidRPr="00EC5A4C">
        <w:rPr>
          <w:rFonts w:ascii="Palatino Linotype" w:eastAsia="Palatino Linotype" w:hAnsi="Palatino Linotype" w:cs="Palatino Linotype"/>
          <w:b/>
        </w:rPr>
        <w:lastRenderedPageBreak/>
        <w:t>Quinto.</w:t>
      </w:r>
      <w:r w:rsidRPr="00EC5A4C">
        <w:rPr>
          <w:rFonts w:ascii="Palatino Linotype" w:eastAsia="Palatino Linotype" w:hAnsi="Palatino Linotype" w:cs="Palatino Linotype"/>
        </w:rPr>
        <w:t xml:space="preserve"> </w:t>
      </w:r>
      <w:r w:rsidRPr="00EC5A4C">
        <w:rPr>
          <w:rFonts w:ascii="Palatino Linotype" w:eastAsia="Palatino Linotype" w:hAnsi="Palatino Linotype" w:cs="Palatino Linotype"/>
          <w:b/>
        </w:rPr>
        <w:t>Notifíquese</w:t>
      </w:r>
      <w:r w:rsidRPr="00EC5A4C">
        <w:rPr>
          <w:rFonts w:ascii="Palatino Linotype" w:eastAsia="Palatino Linotype" w:hAnsi="Palatino Linotype" w:cs="Palatino Linotype"/>
        </w:rPr>
        <w:t>,</w:t>
      </w:r>
      <w:r w:rsidRPr="00EC5A4C">
        <w:rPr>
          <w:rFonts w:ascii="Palatino Linotype" w:eastAsia="Palatino Linotype" w:hAnsi="Palatino Linotype" w:cs="Palatino Linotype"/>
          <w:b/>
        </w:rPr>
        <w:t xml:space="preserve"> </w:t>
      </w:r>
      <w:r w:rsidRPr="00EC5A4C">
        <w:rPr>
          <w:rFonts w:ascii="Palatino Linotype" w:eastAsia="Palatino Linotype" w:hAnsi="Palatino Linotype" w:cs="Palatino Linotype"/>
        </w:rPr>
        <w:t xml:space="preserve">vía </w:t>
      </w:r>
      <w:r w:rsidRPr="00EC5A4C">
        <w:rPr>
          <w:rFonts w:ascii="Palatino Linotype" w:eastAsia="Palatino Linotype" w:hAnsi="Palatino Linotype" w:cs="Palatino Linotype"/>
          <w:b/>
        </w:rPr>
        <w:t>SAIMEX</w:t>
      </w:r>
      <w:r w:rsidRPr="00EC5A4C">
        <w:rPr>
          <w:rFonts w:ascii="Palatino Linotype" w:eastAsia="Palatino Linotype" w:hAnsi="Palatino Linotype" w:cs="Palatino Linotype"/>
        </w:rPr>
        <w:t xml:space="preserve">, a la parte </w:t>
      </w:r>
      <w:r w:rsidRPr="00EC5A4C">
        <w:rPr>
          <w:rFonts w:ascii="Palatino Linotype" w:eastAsia="Palatino Linotype" w:hAnsi="Palatino Linotype" w:cs="Palatino Linotype"/>
          <w:b/>
        </w:rPr>
        <w:t xml:space="preserve">Recurrente </w:t>
      </w:r>
      <w:r w:rsidRPr="00EC5A4C">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 </w:t>
      </w:r>
    </w:p>
    <w:p w14:paraId="3AC70392" w14:textId="77777777" w:rsidR="00E7524B" w:rsidRPr="00EC5A4C" w:rsidRDefault="00E7524B" w:rsidP="00E7524B">
      <w:pPr>
        <w:spacing w:after="0" w:line="360" w:lineRule="auto"/>
        <w:ind w:right="49"/>
        <w:jc w:val="both"/>
        <w:rPr>
          <w:rFonts w:ascii="Palatino Linotype" w:eastAsia="Palatino Linotype" w:hAnsi="Palatino Linotype" w:cs="Palatino Linotype"/>
        </w:rPr>
      </w:pPr>
    </w:p>
    <w:p w14:paraId="7FE0BFBE" w14:textId="6212E454" w:rsidR="00E7524B" w:rsidRPr="00EC5A4C" w:rsidRDefault="00E7524B" w:rsidP="00E7524B">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b/>
        </w:rPr>
        <w:t>Sexto.</w:t>
      </w:r>
      <w:r w:rsidRPr="00EC5A4C">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EC5A4C">
        <w:rPr>
          <w:rFonts w:ascii="Palatino Linotype" w:eastAsia="Palatino Linotype" w:hAnsi="Palatino Linotype" w:cs="Palatino Linotype"/>
          <w:b/>
        </w:rPr>
        <w:t>SUJETO OBLIGADO</w:t>
      </w:r>
      <w:r w:rsidRPr="00EC5A4C">
        <w:rPr>
          <w:rFonts w:ascii="Palatino Linotype" w:eastAsia="Palatino Linotype" w:hAnsi="Palatino Linotype" w:cs="Palatino Linotype"/>
        </w:rPr>
        <w:t xml:space="preserve"> de manera fundada y motivada, podrá solicitar una ampliación de plazo para el cumplimiento de la presente resolución.</w:t>
      </w:r>
    </w:p>
    <w:p w14:paraId="54F7FE4A" w14:textId="77777777" w:rsidR="00E01890" w:rsidRPr="00EC5A4C" w:rsidRDefault="00E01890" w:rsidP="00E01890">
      <w:pPr>
        <w:spacing w:after="0" w:line="360" w:lineRule="auto"/>
        <w:ind w:right="49"/>
        <w:jc w:val="both"/>
        <w:rPr>
          <w:rFonts w:ascii="Palatino Linotype" w:eastAsia="Palatino Linotype" w:hAnsi="Palatino Linotype" w:cs="Palatino Linotype"/>
        </w:rPr>
      </w:pPr>
    </w:p>
    <w:p w14:paraId="48E347E1" w14:textId="4313FF09" w:rsidR="00E01890" w:rsidRPr="00EC5A4C" w:rsidRDefault="00E01890" w:rsidP="00E01890">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w:t>
      </w:r>
      <w:r w:rsidR="00350833" w:rsidRPr="00EC5A4C">
        <w:rPr>
          <w:rFonts w:ascii="Palatino Linotype" w:eastAsia="Palatino Linotype" w:hAnsi="Palatino Linotype" w:cs="Palatino Linotype"/>
        </w:rPr>
        <w:t xml:space="preserve">E RAMÍREZ PEÑA; EN LA CUADRAGÉSIMA </w:t>
      </w:r>
      <w:r w:rsidRPr="00EC5A4C">
        <w:rPr>
          <w:rFonts w:ascii="Palatino Linotype" w:eastAsia="Palatino Linotype" w:hAnsi="Palatino Linotype" w:cs="Palatino Linotype"/>
        </w:rPr>
        <w:t xml:space="preserve">SESIÓN ORDINARIA CELEBRADA EL </w:t>
      </w:r>
      <w:r w:rsidR="00350833" w:rsidRPr="00EC5A4C">
        <w:rPr>
          <w:rFonts w:ascii="Palatino Linotype" w:eastAsia="Palatino Linotype" w:hAnsi="Palatino Linotype" w:cs="Palatino Linotype"/>
        </w:rPr>
        <w:t>VEINTIUNO</w:t>
      </w:r>
      <w:r w:rsidRPr="00EC5A4C">
        <w:rPr>
          <w:rFonts w:ascii="Palatino Linotype" w:eastAsia="Palatino Linotype" w:hAnsi="Palatino Linotype" w:cs="Palatino Linotype"/>
        </w:rPr>
        <w:t xml:space="preserve"> DE NOVIEMBRE DE DOS MIL VEINTICUATRO, ANTE EL SECRETARIO TÉCNICO DEL PLENO ALEXIS TAPIA RAMÍREZ. </w:t>
      </w:r>
    </w:p>
    <w:p w14:paraId="224DAB9E" w14:textId="1582DD69" w:rsidR="00DE076D" w:rsidRPr="00EC5A4C" w:rsidRDefault="00865053" w:rsidP="002F2F23">
      <w:pPr>
        <w:spacing w:after="0" w:line="360" w:lineRule="auto"/>
        <w:ind w:right="49"/>
        <w:jc w:val="both"/>
        <w:rPr>
          <w:rFonts w:ascii="Palatino Linotype" w:eastAsia="Palatino Linotype" w:hAnsi="Palatino Linotype" w:cs="Palatino Linotype"/>
        </w:rPr>
      </w:pPr>
      <w:r w:rsidRPr="00EC5A4C">
        <w:rPr>
          <w:rFonts w:ascii="Palatino Linotype" w:eastAsia="Palatino Linotype" w:hAnsi="Palatino Linotype" w:cs="Palatino Linotype"/>
        </w:rPr>
        <w:t xml:space="preserve"> </w:t>
      </w:r>
    </w:p>
    <w:p w14:paraId="668F1FB7"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1BC099BB"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46D66423"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29CC7E50"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2516969C"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6E9CA673"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0AAA8A6F"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4B8D7327"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0C878D2B"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473F509C"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63044E08"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37326F2F"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24E03598"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4874C1B0"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423762FD"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61DD6CE2"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06A7064D"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p w14:paraId="50A97689" w14:textId="77777777" w:rsidR="00EC5A4C" w:rsidRPr="00EC5A4C" w:rsidRDefault="00EC5A4C" w:rsidP="002F2F23">
      <w:pPr>
        <w:spacing w:after="0" w:line="360" w:lineRule="auto"/>
        <w:ind w:right="49"/>
        <w:jc w:val="both"/>
        <w:rPr>
          <w:rFonts w:ascii="Palatino Linotype" w:eastAsia="Palatino Linotype" w:hAnsi="Palatino Linotype" w:cs="Palatino Linotype"/>
        </w:rPr>
      </w:pPr>
    </w:p>
    <w:sectPr w:rsidR="00EC5A4C" w:rsidRPr="00EC5A4C">
      <w:headerReference w:type="default" r:id="rId17"/>
      <w:footerReference w:type="default" r:id="rId18"/>
      <w:headerReference w:type="first" r:id="rId19"/>
      <w:footerReference w:type="first" r:id="rId20"/>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810D" w14:textId="77777777" w:rsidR="00264759" w:rsidRDefault="00264759">
      <w:pPr>
        <w:spacing w:after="0" w:line="240" w:lineRule="auto"/>
      </w:pPr>
      <w:r>
        <w:separator/>
      </w:r>
    </w:p>
  </w:endnote>
  <w:endnote w:type="continuationSeparator" w:id="0">
    <w:p w14:paraId="02643188" w14:textId="77777777" w:rsidR="00264759" w:rsidRDefault="0026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F3CF" w14:textId="77777777" w:rsidR="00E7524B" w:rsidRDefault="00E7524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9247C">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9247C">
      <w:rPr>
        <w:b/>
        <w:noProof/>
        <w:color w:val="000000"/>
        <w:sz w:val="24"/>
        <w:szCs w:val="24"/>
      </w:rPr>
      <w:t>37</w:t>
    </w:r>
    <w:r>
      <w:rPr>
        <w:b/>
        <w:color w:val="000000"/>
        <w:sz w:val="24"/>
        <w:szCs w:val="24"/>
      </w:rPr>
      <w:fldChar w:fldCharType="end"/>
    </w:r>
  </w:p>
  <w:p w14:paraId="339F2238" w14:textId="77777777" w:rsidR="00E7524B" w:rsidRDefault="00E7524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DEE8" w14:textId="77777777" w:rsidR="00E7524B" w:rsidRDefault="00E7524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9247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9247C">
      <w:rPr>
        <w:b/>
        <w:noProof/>
        <w:color w:val="000000"/>
        <w:sz w:val="24"/>
        <w:szCs w:val="24"/>
      </w:rPr>
      <w:t>37</w:t>
    </w:r>
    <w:r>
      <w:rPr>
        <w:b/>
        <w:color w:val="000000"/>
        <w:sz w:val="24"/>
        <w:szCs w:val="24"/>
      </w:rPr>
      <w:fldChar w:fldCharType="end"/>
    </w:r>
  </w:p>
  <w:p w14:paraId="1D6C4C11" w14:textId="77777777" w:rsidR="00E7524B" w:rsidRDefault="00E7524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6368" w14:textId="77777777" w:rsidR="00264759" w:rsidRDefault="00264759">
      <w:pPr>
        <w:spacing w:after="0" w:line="240" w:lineRule="auto"/>
      </w:pPr>
      <w:r>
        <w:separator/>
      </w:r>
    </w:p>
  </w:footnote>
  <w:footnote w:type="continuationSeparator" w:id="0">
    <w:p w14:paraId="3025E039" w14:textId="77777777" w:rsidR="00264759" w:rsidRDefault="00264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3CFB" w14:textId="77777777" w:rsidR="00E7524B" w:rsidRDefault="00E7524B">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75A8FDB2" wp14:editId="6F199244">
          <wp:simplePos x="0" y="0"/>
          <wp:positionH relativeFrom="column">
            <wp:posOffset>-717547</wp:posOffset>
          </wp:positionH>
          <wp:positionV relativeFrom="paragraph">
            <wp:posOffset>-250187</wp:posOffset>
          </wp:positionV>
          <wp:extent cx="7809876" cy="10165823"/>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03" w:type="dxa"/>
      <w:tblInd w:w="3611" w:type="dxa"/>
      <w:tblLayout w:type="fixed"/>
      <w:tblLook w:val="0400" w:firstRow="0" w:lastRow="0" w:firstColumn="0" w:lastColumn="0" w:noHBand="0" w:noVBand="1"/>
    </w:tblPr>
    <w:tblGrid>
      <w:gridCol w:w="2551"/>
      <w:gridCol w:w="3052"/>
    </w:tblGrid>
    <w:tr w:rsidR="00E7524B" w14:paraId="7A85D430" w14:textId="77777777">
      <w:tc>
        <w:tcPr>
          <w:tcW w:w="2551" w:type="dxa"/>
          <w:vAlign w:val="center"/>
        </w:tcPr>
        <w:p w14:paraId="72905E38"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277B7FE8"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7E6C0F8" w14:textId="064694DA"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06504/INFOEM/IP/RR/2024 y acumulados</w:t>
          </w:r>
        </w:p>
      </w:tc>
    </w:tr>
    <w:tr w:rsidR="00E7524B" w14:paraId="635E46A7" w14:textId="77777777">
      <w:trPr>
        <w:trHeight w:val="217"/>
      </w:trPr>
      <w:tc>
        <w:tcPr>
          <w:tcW w:w="2551" w:type="dxa"/>
          <w:vAlign w:val="center"/>
        </w:tcPr>
        <w:p w14:paraId="1E8398E1" w14:textId="13535E31"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398CA337" w14:textId="045A3296" w:rsidR="00E7524B" w:rsidRDefault="00E7524B" w:rsidP="00890C88">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Finanzas</w:t>
          </w:r>
        </w:p>
      </w:tc>
    </w:tr>
    <w:tr w:rsidR="00E7524B" w14:paraId="5C30AF99" w14:textId="77777777">
      <w:tc>
        <w:tcPr>
          <w:tcW w:w="2551" w:type="dxa"/>
          <w:vAlign w:val="center"/>
        </w:tcPr>
        <w:p w14:paraId="32C94E0F"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FC463AC"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2CD72FF" w14:textId="77777777" w:rsidR="00E7524B" w:rsidRDefault="00E7524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B44C" w14:textId="77777777" w:rsidR="00E7524B" w:rsidRDefault="00E7524B">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430D3D9A" wp14:editId="37A802C4">
          <wp:simplePos x="0" y="0"/>
          <wp:positionH relativeFrom="column">
            <wp:posOffset>-658495</wp:posOffset>
          </wp:positionH>
          <wp:positionV relativeFrom="paragraph">
            <wp:posOffset>237490</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603" w:type="dxa"/>
      <w:tblInd w:w="3611" w:type="dxa"/>
      <w:tblLayout w:type="fixed"/>
      <w:tblLook w:val="0400" w:firstRow="0" w:lastRow="0" w:firstColumn="0" w:lastColumn="0" w:noHBand="0" w:noVBand="1"/>
    </w:tblPr>
    <w:tblGrid>
      <w:gridCol w:w="2551"/>
      <w:gridCol w:w="3052"/>
    </w:tblGrid>
    <w:tr w:rsidR="00E7524B" w14:paraId="3034A1A4" w14:textId="77777777">
      <w:tc>
        <w:tcPr>
          <w:tcW w:w="2551" w:type="dxa"/>
          <w:vAlign w:val="center"/>
        </w:tcPr>
        <w:p w14:paraId="580ACF9A"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31CB3ADC"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C9DE3AF" w14:textId="44266695"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06504/INFOEM/IP/RR/2024 y acumulados</w:t>
          </w:r>
        </w:p>
      </w:tc>
    </w:tr>
    <w:tr w:rsidR="00E7524B" w14:paraId="5F1DDE9A" w14:textId="77777777">
      <w:tc>
        <w:tcPr>
          <w:tcW w:w="2551" w:type="dxa"/>
          <w:vAlign w:val="center"/>
        </w:tcPr>
        <w:p w14:paraId="76D73031"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p w14:paraId="6E29EE16"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99FB634" w14:textId="62DB14F6" w:rsidR="00E7524B" w:rsidRDefault="008715B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 XXXXXXX XXXXX </w:t>
          </w:r>
          <w:r w:rsidR="00E7524B">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rPr>
            <w:t>XXXXXXXXXX</w:t>
          </w:r>
        </w:p>
      </w:tc>
    </w:tr>
    <w:tr w:rsidR="00E7524B" w14:paraId="00E9ACB0" w14:textId="77777777">
      <w:trPr>
        <w:trHeight w:val="152"/>
      </w:trPr>
      <w:tc>
        <w:tcPr>
          <w:tcW w:w="2551" w:type="dxa"/>
          <w:vAlign w:val="center"/>
        </w:tcPr>
        <w:p w14:paraId="17F1A180" w14:textId="77777777" w:rsidR="00E7524B" w:rsidRDefault="00E7524B">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BCD6007" w14:textId="6157DA09" w:rsidR="00E7524B" w:rsidRDefault="00E7524B" w:rsidP="00890C88">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bookmarkStart w:id="3" w:name="_heading=h.tyjcwt" w:colFirst="0" w:colLast="0"/>
          <w:bookmarkEnd w:id="3"/>
          <w:r>
            <w:rPr>
              <w:rFonts w:ascii="Palatino Linotype" w:eastAsia="Palatino Linotype" w:hAnsi="Palatino Linotype" w:cs="Palatino Linotype"/>
              <w:b/>
              <w:color w:val="000000"/>
            </w:rPr>
            <w:t>Secretaría de Finanzas</w:t>
          </w:r>
        </w:p>
      </w:tc>
    </w:tr>
    <w:tr w:rsidR="00E7524B" w14:paraId="2D414178" w14:textId="77777777">
      <w:tc>
        <w:tcPr>
          <w:tcW w:w="2551" w:type="dxa"/>
          <w:vAlign w:val="center"/>
        </w:tcPr>
        <w:p w14:paraId="1F927BA2"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19DC952" w14:textId="77777777" w:rsidR="00E7524B" w:rsidRDefault="00E752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B795F54" w14:textId="77777777" w:rsidR="00E7524B" w:rsidRDefault="00E7524B">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307"/>
    <w:multiLevelType w:val="multilevel"/>
    <w:tmpl w:val="8B2EDC7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AA51A7"/>
    <w:multiLevelType w:val="multilevel"/>
    <w:tmpl w:val="847642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FB68F8"/>
    <w:multiLevelType w:val="multilevel"/>
    <w:tmpl w:val="9662A63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B2C2FCD"/>
    <w:multiLevelType w:val="hybridMultilevel"/>
    <w:tmpl w:val="B2501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05106"/>
    <w:multiLevelType w:val="hybridMultilevel"/>
    <w:tmpl w:val="5804F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28530A"/>
    <w:multiLevelType w:val="multilevel"/>
    <w:tmpl w:val="C8A042C0"/>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9936B1"/>
    <w:multiLevelType w:val="multilevel"/>
    <w:tmpl w:val="B2EA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317490"/>
    <w:multiLevelType w:val="hybridMultilevel"/>
    <w:tmpl w:val="C008920E"/>
    <w:lvl w:ilvl="0" w:tplc="269A6166">
      <w:start w:val="1"/>
      <w:numFmt w:val="decimal"/>
      <w:lvlText w:val="%1."/>
      <w:lvlJc w:val="left"/>
      <w:pPr>
        <w:ind w:left="433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724955"/>
    <w:multiLevelType w:val="hybridMultilevel"/>
    <w:tmpl w:val="27566F18"/>
    <w:lvl w:ilvl="0" w:tplc="8C0631D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E80267"/>
    <w:multiLevelType w:val="hybridMultilevel"/>
    <w:tmpl w:val="506CB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AA2151"/>
    <w:multiLevelType w:val="hybridMultilevel"/>
    <w:tmpl w:val="59A232D6"/>
    <w:lvl w:ilvl="0" w:tplc="8C0631D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4F6DB0"/>
    <w:multiLevelType w:val="multilevel"/>
    <w:tmpl w:val="8610B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2442113"/>
    <w:multiLevelType w:val="multilevel"/>
    <w:tmpl w:val="3F74A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96729B"/>
    <w:multiLevelType w:val="hybridMultilevel"/>
    <w:tmpl w:val="E4E821C4"/>
    <w:lvl w:ilvl="0" w:tplc="8C0631D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732AF5"/>
    <w:multiLevelType w:val="hybridMultilevel"/>
    <w:tmpl w:val="E1121870"/>
    <w:lvl w:ilvl="0" w:tplc="52D073CC">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7"/>
  </w:num>
  <w:num w:numId="5">
    <w:abstractNumId w:val="14"/>
  </w:num>
  <w:num w:numId="6">
    <w:abstractNumId w:val="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8"/>
  </w:num>
  <w:num w:numId="11">
    <w:abstractNumId w:val="3"/>
  </w:num>
  <w:num w:numId="12">
    <w:abstractNumId w:val="20"/>
  </w:num>
  <w:num w:numId="13">
    <w:abstractNumId w:val="5"/>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15"/>
  </w:num>
  <w:num w:numId="17">
    <w:abstractNumId w:val="11"/>
  </w:num>
  <w:num w:numId="18">
    <w:abstractNumId w:val="19"/>
  </w:num>
  <w:num w:numId="19">
    <w:abstractNumId w:val="10"/>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9D"/>
    <w:rsid w:val="000104FD"/>
    <w:rsid w:val="0001061C"/>
    <w:rsid w:val="00010832"/>
    <w:rsid w:val="00034108"/>
    <w:rsid w:val="00051712"/>
    <w:rsid w:val="000541B2"/>
    <w:rsid w:val="00062A69"/>
    <w:rsid w:val="0007233A"/>
    <w:rsid w:val="000730E8"/>
    <w:rsid w:val="00087AC5"/>
    <w:rsid w:val="000A5C41"/>
    <w:rsid w:val="000B46B6"/>
    <w:rsid w:val="000C1964"/>
    <w:rsid w:val="000C634F"/>
    <w:rsid w:val="000E16AE"/>
    <w:rsid w:val="00105F52"/>
    <w:rsid w:val="001102A1"/>
    <w:rsid w:val="001149CE"/>
    <w:rsid w:val="0012666A"/>
    <w:rsid w:val="00132797"/>
    <w:rsid w:val="0014162F"/>
    <w:rsid w:val="0014207C"/>
    <w:rsid w:val="00147B19"/>
    <w:rsid w:val="00170C89"/>
    <w:rsid w:val="0017728A"/>
    <w:rsid w:val="00183E9A"/>
    <w:rsid w:val="001854B7"/>
    <w:rsid w:val="001860D5"/>
    <w:rsid w:val="00196417"/>
    <w:rsid w:val="001A38DF"/>
    <w:rsid w:val="001A4678"/>
    <w:rsid w:val="001A770F"/>
    <w:rsid w:val="001B71EE"/>
    <w:rsid w:val="001C2521"/>
    <w:rsid w:val="001C3106"/>
    <w:rsid w:val="001D7315"/>
    <w:rsid w:val="001E3514"/>
    <w:rsid w:val="002068E7"/>
    <w:rsid w:val="00206A0F"/>
    <w:rsid w:val="00210DCA"/>
    <w:rsid w:val="00212770"/>
    <w:rsid w:val="00215C97"/>
    <w:rsid w:val="002209E0"/>
    <w:rsid w:val="0023009D"/>
    <w:rsid w:val="00231082"/>
    <w:rsid w:val="00233C5F"/>
    <w:rsid w:val="00233FBF"/>
    <w:rsid w:val="00234221"/>
    <w:rsid w:val="0023529D"/>
    <w:rsid w:val="00243E65"/>
    <w:rsid w:val="00264759"/>
    <w:rsid w:val="00277055"/>
    <w:rsid w:val="002914DD"/>
    <w:rsid w:val="00294A45"/>
    <w:rsid w:val="00294F52"/>
    <w:rsid w:val="0029687B"/>
    <w:rsid w:val="00297922"/>
    <w:rsid w:val="002A4237"/>
    <w:rsid w:val="002A4D50"/>
    <w:rsid w:val="002B5484"/>
    <w:rsid w:val="002E5331"/>
    <w:rsid w:val="002E56EF"/>
    <w:rsid w:val="002F2F23"/>
    <w:rsid w:val="00302B4D"/>
    <w:rsid w:val="00310FB6"/>
    <w:rsid w:val="00320537"/>
    <w:rsid w:val="00325EBF"/>
    <w:rsid w:val="00325FA8"/>
    <w:rsid w:val="00337E72"/>
    <w:rsid w:val="00345149"/>
    <w:rsid w:val="00350833"/>
    <w:rsid w:val="003534A1"/>
    <w:rsid w:val="003673C9"/>
    <w:rsid w:val="00370980"/>
    <w:rsid w:val="00376056"/>
    <w:rsid w:val="00383E51"/>
    <w:rsid w:val="00384E76"/>
    <w:rsid w:val="00385A83"/>
    <w:rsid w:val="00386C7B"/>
    <w:rsid w:val="0039247C"/>
    <w:rsid w:val="003A0288"/>
    <w:rsid w:val="003A0E2F"/>
    <w:rsid w:val="003A16FE"/>
    <w:rsid w:val="003A50F5"/>
    <w:rsid w:val="003B2482"/>
    <w:rsid w:val="003B7170"/>
    <w:rsid w:val="003C2620"/>
    <w:rsid w:val="003C35A7"/>
    <w:rsid w:val="003D28EB"/>
    <w:rsid w:val="003D4F30"/>
    <w:rsid w:val="003D5915"/>
    <w:rsid w:val="003E2D63"/>
    <w:rsid w:val="003F3932"/>
    <w:rsid w:val="003F5C0D"/>
    <w:rsid w:val="003F5EC7"/>
    <w:rsid w:val="003F640E"/>
    <w:rsid w:val="00404E34"/>
    <w:rsid w:val="0041362A"/>
    <w:rsid w:val="00413F1D"/>
    <w:rsid w:val="00425282"/>
    <w:rsid w:val="00441A67"/>
    <w:rsid w:val="004457C8"/>
    <w:rsid w:val="00454403"/>
    <w:rsid w:val="00474DBA"/>
    <w:rsid w:val="0048193C"/>
    <w:rsid w:val="00486EC9"/>
    <w:rsid w:val="004B00AF"/>
    <w:rsid w:val="004B0EE9"/>
    <w:rsid w:val="004B25D2"/>
    <w:rsid w:val="004B3D56"/>
    <w:rsid w:val="004C4A3F"/>
    <w:rsid w:val="004C77C4"/>
    <w:rsid w:val="004F2296"/>
    <w:rsid w:val="0051185F"/>
    <w:rsid w:val="00514D31"/>
    <w:rsid w:val="00526D3D"/>
    <w:rsid w:val="00540F42"/>
    <w:rsid w:val="005444F6"/>
    <w:rsid w:val="00554440"/>
    <w:rsid w:val="005607CB"/>
    <w:rsid w:val="00567D61"/>
    <w:rsid w:val="005711A8"/>
    <w:rsid w:val="00572668"/>
    <w:rsid w:val="005742C7"/>
    <w:rsid w:val="005863C1"/>
    <w:rsid w:val="00586710"/>
    <w:rsid w:val="0059475A"/>
    <w:rsid w:val="005A349B"/>
    <w:rsid w:val="005A4A8C"/>
    <w:rsid w:val="005C0B7F"/>
    <w:rsid w:val="005C475D"/>
    <w:rsid w:val="005C4FC3"/>
    <w:rsid w:val="005D2234"/>
    <w:rsid w:val="005D384A"/>
    <w:rsid w:val="005D7020"/>
    <w:rsid w:val="005E26B9"/>
    <w:rsid w:val="005E3893"/>
    <w:rsid w:val="005E6CB2"/>
    <w:rsid w:val="006041C4"/>
    <w:rsid w:val="00611078"/>
    <w:rsid w:val="006114D9"/>
    <w:rsid w:val="00617AFB"/>
    <w:rsid w:val="00623FF5"/>
    <w:rsid w:val="0063092E"/>
    <w:rsid w:val="00634CA6"/>
    <w:rsid w:val="00641162"/>
    <w:rsid w:val="00644FED"/>
    <w:rsid w:val="00645723"/>
    <w:rsid w:val="006541E6"/>
    <w:rsid w:val="0065450C"/>
    <w:rsid w:val="00656492"/>
    <w:rsid w:val="00657EE1"/>
    <w:rsid w:val="00683E11"/>
    <w:rsid w:val="00684DF5"/>
    <w:rsid w:val="006878C7"/>
    <w:rsid w:val="0069134F"/>
    <w:rsid w:val="00691E47"/>
    <w:rsid w:val="006A17B5"/>
    <w:rsid w:val="006B78A4"/>
    <w:rsid w:val="006D6D29"/>
    <w:rsid w:val="006F231C"/>
    <w:rsid w:val="00702457"/>
    <w:rsid w:val="007141F1"/>
    <w:rsid w:val="00715BC6"/>
    <w:rsid w:val="00722E23"/>
    <w:rsid w:val="00733CB4"/>
    <w:rsid w:val="00737761"/>
    <w:rsid w:val="0074434A"/>
    <w:rsid w:val="00746E1C"/>
    <w:rsid w:val="00761078"/>
    <w:rsid w:val="00770A7B"/>
    <w:rsid w:val="00771110"/>
    <w:rsid w:val="00787E8A"/>
    <w:rsid w:val="0079007A"/>
    <w:rsid w:val="00793190"/>
    <w:rsid w:val="007A247C"/>
    <w:rsid w:val="007A3A5C"/>
    <w:rsid w:val="007B5239"/>
    <w:rsid w:val="007C4859"/>
    <w:rsid w:val="007C7186"/>
    <w:rsid w:val="007D5BA4"/>
    <w:rsid w:val="007E5BB1"/>
    <w:rsid w:val="007F0340"/>
    <w:rsid w:val="007F6954"/>
    <w:rsid w:val="00800B11"/>
    <w:rsid w:val="00807110"/>
    <w:rsid w:val="008139A6"/>
    <w:rsid w:val="00813D62"/>
    <w:rsid w:val="00830B61"/>
    <w:rsid w:val="00832712"/>
    <w:rsid w:val="0084082F"/>
    <w:rsid w:val="00842D83"/>
    <w:rsid w:val="00862592"/>
    <w:rsid w:val="00865053"/>
    <w:rsid w:val="008715BF"/>
    <w:rsid w:val="0087375E"/>
    <w:rsid w:val="0087766D"/>
    <w:rsid w:val="00890C88"/>
    <w:rsid w:val="0089303B"/>
    <w:rsid w:val="008A156E"/>
    <w:rsid w:val="008B3732"/>
    <w:rsid w:val="008B3BC8"/>
    <w:rsid w:val="008C076C"/>
    <w:rsid w:val="008E03E3"/>
    <w:rsid w:val="008F4D5C"/>
    <w:rsid w:val="008F7D2D"/>
    <w:rsid w:val="00906CE5"/>
    <w:rsid w:val="00922953"/>
    <w:rsid w:val="00932BB5"/>
    <w:rsid w:val="00933EB3"/>
    <w:rsid w:val="00933F77"/>
    <w:rsid w:val="0095696A"/>
    <w:rsid w:val="00963570"/>
    <w:rsid w:val="00973923"/>
    <w:rsid w:val="00987F93"/>
    <w:rsid w:val="00990EA4"/>
    <w:rsid w:val="009B2805"/>
    <w:rsid w:val="009C66D1"/>
    <w:rsid w:val="009F1E27"/>
    <w:rsid w:val="009F263F"/>
    <w:rsid w:val="009F3857"/>
    <w:rsid w:val="009F7DFE"/>
    <w:rsid w:val="00A00BDE"/>
    <w:rsid w:val="00A032EA"/>
    <w:rsid w:val="00A03C9F"/>
    <w:rsid w:val="00A04831"/>
    <w:rsid w:val="00A04904"/>
    <w:rsid w:val="00A0510B"/>
    <w:rsid w:val="00A0713A"/>
    <w:rsid w:val="00A12EC6"/>
    <w:rsid w:val="00A134B4"/>
    <w:rsid w:val="00A17C58"/>
    <w:rsid w:val="00A52D2B"/>
    <w:rsid w:val="00A53047"/>
    <w:rsid w:val="00A626A8"/>
    <w:rsid w:val="00A72700"/>
    <w:rsid w:val="00A81F6D"/>
    <w:rsid w:val="00A92D5D"/>
    <w:rsid w:val="00AA137A"/>
    <w:rsid w:val="00AA6264"/>
    <w:rsid w:val="00AA7595"/>
    <w:rsid w:val="00AC1F5A"/>
    <w:rsid w:val="00AC53B0"/>
    <w:rsid w:val="00AD52A8"/>
    <w:rsid w:val="00AE20D4"/>
    <w:rsid w:val="00AF4DB7"/>
    <w:rsid w:val="00B06CA8"/>
    <w:rsid w:val="00B11FA4"/>
    <w:rsid w:val="00B31BF8"/>
    <w:rsid w:val="00B371E0"/>
    <w:rsid w:val="00B71A72"/>
    <w:rsid w:val="00B75550"/>
    <w:rsid w:val="00B81DF9"/>
    <w:rsid w:val="00B90505"/>
    <w:rsid w:val="00B93DC4"/>
    <w:rsid w:val="00BA2E2D"/>
    <w:rsid w:val="00BA41FC"/>
    <w:rsid w:val="00BA4CF7"/>
    <w:rsid w:val="00BA7DFC"/>
    <w:rsid w:val="00BB5A6F"/>
    <w:rsid w:val="00BB5D7E"/>
    <w:rsid w:val="00BB73F3"/>
    <w:rsid w:val="00BC2385"/>
    <w:rsid w:val="00BC7DEA"/>
    <w:rsid w:val="00BD1F11"/>
    <w:rsid w:val="00BD41CF"/>
    <w:rsid w:val="00C04AD9"/>
    <w:rsid w:val="00C06376"/>
    <w:rsid w:val="00C07AF3"/>
    <w:rsid w:val="00C13F8D"/>
    <w:rsid w:val="00C21C4A"/>
    <w:rsid w:val="00C2556B"/>
    <w:rsid w:val="00C31F13"/>
    <w:rsid w:val="00C32E63"/>
    <w:rsid w:val="00C35BF1"/>
    <w:rsid w:val="00C36E0E"/>
    <w:rsid w:val="00C43DCF"/>
    <w:rsid w:val="00C51F0F"/>
    <w:rsid w:val="00C53211"/>
    <w:rsid w:val="00C65C8A"/>
    <w:rsid w:val="00C8559C"/>
    <w:rsid w:val="00CB1190"/>
    <w:rsid w:val="00CB29F2"/>
    <w:rsid w:val="00CC22C6"/>
    <w:rsid w:val="00CC378C"/>
    <w:rsid w:val="00CE0F45"/>
    <w:rsid w:val="00CE1A2E"/>
    <w:rsid w:val="00CF1104"/>
    <w:rsid w:val="00CF1E0E"/>
    <w:rsid w:val="00D03D9A"/>
    <w:rsid w:val="00D06553"/>
    <w:rsid w:val="00D115CB"/>
    <w:rsid w:val="00D12127"/>
    <w:rsid w:val="00D32750"/>
    <w:rsid w:val="00D34362"/>
    <w:rsid w:val="00D526BF"/>
    <w:rsid w:val="00D631F5"/>
    <w:rsid w:val="00D671CB"/>
    <w:rsid w:val="00D72535"/>
    <w:rsid w:val="00D754C2"/>
    <w:rsid w:val="00D82581"/>
    <w:rsid w:val="00D96510"/>
    <w:rsid w:val="00DC0FA3"/>
    <w:rsid w:val="00DC2855"/>
    <w:rsid w:val="00DC2B1F"/>
    <w:rsid w:val="00DC4497"/>
    <w:rsid w:val="00DC690A"/>
    <w:rsid w:val="00DE076D"/>
    <w:rsid w:val="00DE3FAD"/>
    <w:rsid w:val="00DF2DA9"/>
    <w:rsid w:val="00DF72CE"/>
    <w:rsid w:val="00E01890"/>
    <w:rsid w:val="00E13556"/>
    <w:rsid w:val="00E305E9"/>
    <w:rsid w:val="00E314BF"/>
    <w:rsid w:val="00E52021"/>
    <w:rsid w:val="00E52894"/>
    <w:rsid w:val="00E52A14"/>
    <w:rsid w:val="00E61C9D"/>
    <w:rsid w:val="00E7524B"/>
    <w:rsid w:val="00EA03CE"/>
    <w:rsid w:val="00EB21CD"/>
    <w:rsid w:val="00EB2E67"/>
    <w:rsid w:val="00EB3E6A"/>
    <w:rsid w:val="00EC4DF4"/>
    <w:rsid w:val="00EC5A4C"/>
    <w:rsid w:val="00ED4FF6"/>
    <w:rsid w:val="00EE2414"/>
    <w:rsid w:val="00EE673D"/>
    <w:rsid w:val="00F1617B"/>
    <w:rsid w:val="00F165F0"/>
    <w:rsid w:val="00F4595D"/>
    <w:rsid w:val="00F56371"/>
    <w:rsid w:val="00F659A1"/>
    <w:rsid w:val="00F70449"/>
    <w:rsid w:val="00F85C35"/>
    <w:rsid w:val="00F87D00"/>
    <w:rsid w:val="00F93A89"/>
    <w:rsid w:val="00F94196"/>
    <w:rsid w:val="00F944D0"/>
    <w:rsid w:val="00F949C4"/>
    <w:rsid w:val="00F97166"/>
    <w:rsid w:val="00FC5E2C"/>
    <w:rsid w:val="00FD4EC0"/>
    <w:rsid w:val="00FD782E"/>
    <w:rsid w:val="00FE620C"/>
    <w:rsid w:val="00FF669C"/>
    <w:rsid w:val="00FF77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5379"/>
  <w15:docId w15:val="{AA74DCB3-01DA-4C09-8578-BCA51C2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7"/>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Textoindependiente">
    <w:name w:val="Body Text"/>
    <w:basedOn w:val="Normal"/>
    <w:link w:val="TextoindependienteCar"/>
    <w:uiPriority w:val="1"/>
    <w:qFormat/>
    <w:rsid w:val="00E01890"/>
    <w:pPr>
      <w:autoSpaceDE w:val="0"/>
      <w:autoSpaceDN w:val="0"/>
      <w:adjustRightInd w:val="0"/>
      <w:spacing w:after="0" w:line="240" w:lineRule="auto"/>
      <w:ind w:left="93"/>
    </w:pPr>
    <w:rPr>
      <w:rFonts w:ascii="Times New Roman" w:eastAsiaTheme="minorHAnsi" w:hAnsi="Times New Roman"/>
      <w:sz w:val="23"/>
      <w:szCs w:val="23"/>
    </w:rPr>
  </w:style>
  <w:style w:type="character" w:customStyle="1" w:styleId="TextoindependienteCar">
    <w:name w:val="Texto independiente Car"/>
    <w:basedOn w:val="Fuentedeprrafopredeter"/>
    <w:link w:val="Textoindependiente"/>
    <w:uiPriority w:val="1"/>
    <w:rsid w:val="00E01890"/>
    <w:rPr>
      <w:rFonts w:ascii="Times New Roman" w:eastAsiaTheme="minorHAnsi" w:hAnsi="Times New Roman" w:cs="Times New Roman"/>
      <w:sz w:val="23"/>
      <w:szCs w:val="23"/>
      <w:lang w:eastAsia="en-US"/>
    </w:rPr>
  </w:style>
  <w:style w:type="paragraph" w:styleId="Textodeglobo">
    <w:name w:val="Balloon Text"/>
    <w:basedOn w:val="Normal"/>
    <w:link w:val="TextodegloboCar"/>
    <w:uiPriority w:val="99"/>
    <w:semiHidden/>
    <w:unhideWhenUsed/>
    <w:rsid w:val="00F93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A89"/>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5273">
      <w:bodyDiv w:val="1"/>
      <w:marLeft w:val="0"/>
      <w:marRight w:val="0"/>
      <w:marTop w:val="0"/>
      <w:marBottom w:val="0"/>
      <w:divBdr>
        <w:top w:val="none" w:sz="0" w:space="0" w:color="auto"/>
        <w:left w:val="none" w:sz="0" w:space="0" w:color="auto"/>
        <w:bottom w:val="none" w:sz="0" w:space="0" w:color="auto"/>
        <w:right w:val="none" w:sz="0" w:space="0" w:color="auto"/>
      </w:divBdr>
    </w:div>
    <w:div w:id="206184537">
      <w:bodyDiv w:val="1"/>
      <w:marLeft w:val="0"/>
      <w:marRight w:val="0"/>
      <w:marTop w:val="0"/>
      <w:marBottom w:val="0"/>
      <w:divBdr>
        <w:top w:val="none" w:sz="0" w:space="0" w:color="auto"/>
        <w:left w:val="none" w:sz="0" w:space="0" w:color="auto"/>
        <w:bottom w:val="none" w:sz="0" w:space="0" w:color="auto"/>
        <w:right w:val="none" w:sz="0" w:space="0" w:color="auto"/>
      </w:divBdr>
    </w:div>
    <w:div w:id="232356575">
      <w:bodyDiv w:val="1"/>
      <w:marLeft w:val="0"/>
      <w:marRight w:val="0"/>
      <w:marTop w:val="0"/>
      <w:marBottom w:val="0"/>
      <w:divBdr>
        <w:top w:val="none" w:sz="0" w:space="0" w:color="auto"/>
        <w:left w:val="none" w:sz="0" w:space="0" w:color="auto"/>
        <w:bottom w:val="none" w:sz="0" w:space="0" w:color="auto"/>
        <w:right w:val="none" w:sz="0" w:space="0" w:color="auto"/>
      </w:divBdr>
    </w:div>
    <w:div w:id="280916889">
      <w:bodyDiv w:val="1"/>
      <w:marLeft w:val="0"/>
      <w:marRight w:val="0"/>
      <w:marTop w:val="0"/>
      <w:marBottom w:val="0"/>
      <w:divBdr>
        <w:top w:val="none" w:sz="0" w:space="0" w:color="auto"/>
        <w:left w:val="none" w:sz="0" w:space="0" w:color="auto"/>
        <w:bottom w:val="none" w:sz="0" w:space="0" w:color="auto"/>
        <w:right w:val="none" w:sz="0" w:space="0" w:color="auto"/>
      </w:divBdr>
    </w:div>
    <w:div w:id="403188612">
      <w:bodyDiv w:val="1"/>
      <w:marLeft w:val="0"/>
      <w:marRight w:val="0"/>
      <w:marTop w:val="0"/>
      <w:marBottom w:val="0"/>
      <w:divBdr>
        <w:top w:val="none" w:sz="0" w:space="0" w:color="auto"/>
        <w:left w:val="none" w:sz="0" w:space="0" w:color="auto"/>
        <w:bottom w:val="none" w:sz="0" w:space="0" w:color="auto"/>
        <w:right w:val="none" w:sz="0" w:space="0" w:color="auto"/>
      </w:divBdr>
    </w:div>
    <w:div w:id="523446308">
      <w:bodyDiv w:val="1"/>
      <w:marLeft w:val="0"/>
      <w:marRight w:val="0"/>
      <w:marTop w:val="0"/>
      <w:marBottom w:val="0"/>
      <w:divBdr>
        <w:top w:val="none" w:sz="0" w:space="0" w:color="auto"/>
        <w:left w:val="none" w:sz="0" w:space="0" w:color="auto"/>
        <w:bottom w:val="none" w:sz="0" w:space="0" w:color="auto"/>
        <w:right w:val="none" w:sz="0" w:space="0" w:color="auto"/>
      </w:divBdr>
    </w:div>
    <w:div w:id="586889368">
      <w:bodyDiv w:val="1"/>
      <w:marLeft w:val="0"/>
      <w:marRight w:val="0"/>
      <w:marTop w:val="0"/>
      <w:marBottom w:val="0"/>
      <w:divBdr>
        <w:top w:val="none" w:sz="0" w:space="0" w:color="auto"/>
        <w:left w:val="none" w:sz="0" w:space="0" w:color="auto"/>
        <w:bottom w:val="none" w:sz="0" w:space="0" w:color="auto"/>
        <w:right w:val="none" w:sz="0" w:space="0" w:color="auto"/>
      </w:divBdr>
    </w:div>
    <w:div w:id="984743994">
      <w:bodyDiv w:val="1"/>
      <w:marLeft w:val="0"/>
      <w:marRight w:val="0"/>
      <w:marTop w:val="0"/>
      <w:marBottom w:val="0"/>
      <w:divBdr>
        <w:top w:val="none" w:sz="0" w:space="0" w:color="auto"/>
        <w:left w:val="none" w:sz="0" w:space="0" w:color="auto"/>
        <w:bottom w:val="none" w:sz="0" w:space="0" w:color="auto"/>
        <w:right w:val="none" w:sz="0" w:space="0" w:color="auto"/>
      </w:divBdr>
    </w:div>
    <w:div w:id="1398552701">
      <w:bodyDiv w:val="1"/>
      <w:marLeft w:val="0"/>
      <w:marRight w:val="0"/>
      <w:marTop w:val="0"/>
      <w:marBottom w:val="0"/>
      <w:divBdr>
        <w:top w:val="none" w:sz="0" w:space="0" w:color="auto"/>
        <w:left w:val="none" w:sz="0" w:space="0" w:color="auto"/>
        <w:bottom w:val="none" w:sz="0" w:space="0" w:color="auto"/>
        <w:right w:val="none" w:sz="0" w:space="0" w:color="auto"/>
      </w:divBdr>
    </w:div>
    <w:div w:id="1400253355">
      <w:bodyDiv w:val="1"/>
      <w:marLeft w:val="0"/>
      <w:marRight w:val="0"/>
      <w:marTop w:val="0"/>
      <w:marBottom w:val="0"/>
      <w:divBdr>
        <w:top w:val="none" w:sz="0" w:space="0" w:color="auto"/>
        <w:left w:val="none" w:sz="0" w:space="0" w:color="auto"/>
        <w:bottom w:val="none" w:sz="0" w:space="0" w:color="auto"/>
        <w:right w:val="none" w:sz="0" w:space="0" w:color="auto"/>
      </w:divBdr>
    </w:div>
    <w:div w:id="1522086943">
      <w:bodyDiv w:val="1"/>
      <w:marLeft w:val="0"/>
      <w:marRight w:val="0"/>
      <w:marTop w:val="0"/>
      <w:marBottom w:val="0"/>
      <w:divBdr>
        <w:top w:val="none" w:sz="0" w:space="0" w:color="auto"/>
        <w:left w:val="none" w:sz="0" w:space="0" w:color="auto"/>
        <w:bottom w:val="none" w:sz="0" w:space="0" w:color="auto"/>
        <w:right w:val="none" w:sz="0" w:space="0" w:color="auto"/>
      </w:divBdr>
    </w:div>
    <w:div w:id="1559510007">
      <w:bodyDiv w:val="1"/>
      <w:marLeft w:val="0"/>
      <w:marRight w:val="0"/>
      <w:marTop w:val="0"/>
      <w:marBottom w:val="0"/>
      <w:divBdr>
        <w:top w:val="none" w:sz="0" w:space="0" w:color="auto"/>
        <w:left w:val="none" w:sz="0" w:space="0" w:color="auto"/>
        <w:bottom w:val="none" w:sz="0" w:space="0" w:color="auto"/>
        <w:right w:val="none" w:sz="0" w:space="0" w:color="auto"/>
      </w:divBdr>
    </w:div>
    <w:div w:id="1708682429">
      <w:bodyDiv w:val="1"/>
      <w:marLeft w:val="0"/>
      <w:marRight w:val="0"/>
      <w:marTop w:val="0"/>
      <w:marBottom w:val="0"/>
      <w:divBdr>
        <w:top w:val="none" w:sz="0" w:space="0" w:color="auto"/>
        <w:left w:val="none" w:sz="0" w:space="0" w:color="auto"/>
        <w:bottom w:val="none" w:sz="0" w:space="0" w:color="auto"/>
        <w:right w:val="none" w:sz="0" w:space="0" w:color="auto"/>
      </w:divBdr>
    </w:div>
    <w:div w:id="1715230391">
      <w:bodyDiv w:val="1"/>
      <w:marLeft w:val="0"/>
      <w:marRight w:val="0"/>
      <w:marTop w:val="0"/>
      <w:marBottom w:val="0"/>
      <w:divBdr>
        <w:top w:val="none" w:sz="0" w:space="0" w:color="auto"/>
        <w:left w:val="none" w:sz="0" w:space="0" w:color="auto"/>
        <w:bottom w:val="none" w:sz="0" w:space="0" w:color="auto"/>
        <w:right w:val="none" w:sz="0" w:space="0" w:color="auto"/>
      </w:divBdr>
    </w:div>
    <w:div w:id="1905918884">
      <w:bodyDiv w:val="1"/>
      <w:marLeft w:val="0"/>
      <w:marRight w:val="0"/>
      <w:marTop w:val="0"/>
      <w:marBottom w:val="0"/>
      <w:divBdr>
        <w:top w:val="none" w:sz="0" w:space="0" w:color="auto"/>
        <w:left w:val="none" w:sz="0" w:space="0" w:color="auto"/>
        <w:bottom w:val="none" w:sz="0" w:space="0" w:color="auto"/>
        <w:right w:val="none" w:sz="0" w:space="0" w:color="auto"/>
      </w:divBdr>
    </w:div>
    <w:div w:id="1960841598">
      <w:bodyDiv w:val="1"/>
      <w:marLeft w:val="0"/>
      <w:marRight w:val="0"/>
      <w:marTop w:val="0"/>
      <w:marBottom w:val="0"/>
      <w:divBdr>
        <w:top w:val="none" w:sz="0" w:space="0" w:color="auto"/>
        <w:left w:val="none" w:sz="0" w:space="0" w:color="auto"/>
        <w:bottom w:val="none" w:sz="0" w:space="0" w:color="auto"/>
        <w:right w:val="none" w:sz="0" w:space="0" w:color="auto"/>
      </w:divBdr>
    </w:div>
    <w:div w:id="2033408506">
      <w:bodyDiv w:val="1"/>
      <w:marLeft w:val="0"/>
      <w:marRight w:val="0"/>
      <w:marTop w:val="0"/>
      <w:marBottom w:val="0"/>
      <w:divBdr>
        <w:top w:val="none" w:sz="0" w:space="0" w:color="auto"/>
        <w:left w:val="none" w:sz="0" w:space="0" w:color="auto"/>
        <w:bottom w:val="none" w:sz="0" w:space="0" w:color="auto"/>
        <w:right w:val="none" w:sz="0" w:space="0" w:color="auto"/>
      </w:divBdr>
    </w:div>
    <w:div w:id="2040154353">
      <w:bodyDiv w:val="1"/>
      <w:marLeft w:val="0"/>
      <w:marRight w:val="0"/>
      <w:marTop w:val="0"/>
      <w:marBottom w:val="0"/>
      <w:divBdr>
        <w:top w:val="none" w:sz="0" w:space="0" w:color="auto"/>
        <w:left w:val="none" w:sz="0" w:space="0" w:color="auto"/>
        <w:bottom w:val="none" w:sz="0" w:space="0" w:color="auto"/>
        <w:right w:val="none" w:sz="0" w:space="0" w:color="auto"/>
      </w:divBdr>
    </w:div>
    <w:div w:id="2110080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transparenciafiscal.edomex.gob.mx/programas-anuales-evaluaci&#243;n"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LhPa2SYCKbNypWn3VEx3CVE7A==">CgMxLjAyCWguMWZvYjl0ZTIJaC4zem55c2g3MghoLmdqZGd4czIJaC4yZXQ5MnAwMghoLnR5amN3dDgAciExcUEwenNfdVU0X1R0WFV2OWtVUjcyWkhFNF96TjczTk8=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E82974-94CD-41C5-9A42-A20063AC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9384</Words>
  <Characters>51614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2024-11-25T18:27:00Z</cp:lastPrinted>
  <dcterms:created xsi:type="dcterms:W3CDTF">2024-12-05T23:21:00Z</dcterms:created>
  <dcterms:modified xsi:type="dcterms:W3CDTF">2024-12-05T23:21:00Z</dcterms:modified>
</cp:coreProperties>
</file>