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02" w:rsidRDefault="00591802">
      <w:pPr>
        <w:widowControl w:val="0"/>
        <w:pBdr>
          <w:top w:val="nil"/>
          <w:left w:val="nil"/>
          <w:bottom w:val="nil"/>
          <w:right w:val="nil"/>
          <w:between w:val="nil"/>
        </w:pBdr>
        <w:spacing w:after="0" w:line="276" w:lineRule="auto"/>
        <w:jc w:val="left"/>
      </w:pPr>
    </w:p>
    <w:p w:rsidR="00591802" w:rsidRDefault="00765CD9">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veintiuno de noviembre de dos mil veinticuatro. </w:t>
      </w:r>
    </w:p>
    <w:p w:rsidR="00591802" w:rsidRDefault="00591802">
      <w:pPr>
        <w:spacing w:after="0" w:line="360" w:lineRule="auto"/>
        <w:rPr>
          <w:b/>
        </w:rPr>
      </w:pPr>
    </w:p>
    <w:p w:rsidR="00591802" w:rsidRDefault="00765CD9">
      <w:pPr>
        <w:spacing w:after="0" w:line="360" w:lineRule="auto"/>
        <w:rPr>
          <w:color w:val="0D0D0D"/>
        </w:rPr>
      </w:pPr>
      <w:r>
        <w:rPr>
          <w:b/>
        </w:rPr>
        <w:t xml:space="preserve">VISTO </w:t>
      </w:r>
      <w:r>
        <w:t xml:space="preserve">el expediente conformado con motivo del Recurso de Revisión </w:t>
      </w:r>
      <w:r w:rsidRPr="001839DE">
        <w:rPr>
          <w:b/>
        </w:rPr>
        <w:t xml:space="preserve">06746/INFOEM/IP/RR/2024, </w:t>
      </w:r>
      <w:r>
        <w:t>interpuesto por la persona</w:t>
      </w:r>
      <w:r>
        <w:rPr>
          <w:color w:val="0D0D0D"/>
        </w:rPr>
        <w:t xml:space="preserve"> Recurrente o Particular, en contra de la respuesta del Sujeto Obligado, </w:t>
      </w:r>
      <w:r w:rsidRPr="001839DE">
        <w:rPr>
          <w:b/>
          <w:color w:val="0D0D0D"/>
        </w:rPr>
        <w:t>Ayuntamiento de Temamatla</w:t>
      </w:r>
      <w:r>
        <w:rPr>
          <w:color w:val="0D0D0D"/>
        </w:rPr>
        <w:t>, a la solicitud de acceso a la información pública</w:t>
      </w:r>
      <w:r>
        <w:t xml:space="preserve"> 00559/TEMAMATL/IP/2024, </w:t>
      </w:r>
      <w:r>
        <w:rPr>
          <w:color w:val="0D0D0D"/>
        </w:rPr>
        <w:t>se emite la presente Resolución, con base en los Antecedentes y Considerandos que se exponen a continuación:</w:t>
      </w:r>
    </w:p>
    <w:p w:rsidR="00591802" w:rsidRDefault="00591802">
      <w:pPr>
        <w:spacing w:after="0" w:line="360" w:lineRule="auto"/>
        <w:rPr>
          <w:b/>
        </w:rPr>
      </w:pPr>
    </w:p>
    <w:p w:rsidR="00591802" w:rsidRDefault="00353DEC">
      <w:pPr>
        <w:spacing w:after="0" w:line="360" w:lineRule="auto"/>
        <w:jc w:val="center"/>
        <w:rPr>
          <w:b/>
        </w:rPr>
      </w:pPr>
      <w:r>
        <w:rPr>
          <w:b/>
        </w:rPr>
        <w:t>A N T E C E D E N T E S</w:t>
      </w:r>
    </w:p>
    <w:p w:rsidR="00591802" w:rsidRDefault="00591802">
      <w:pPr>
        <w:spacing w:after="0" w:line="360" w:lineRule="auto"/>
      </w:pPr>
    </w:p>
    <w:p w:rsidR="00591802" w:rsidRDefault="00765CD9">
      <w:pPr>
        <w:spacing w:after="0" w:line="360" w:lineRule="auto"/>
        <w:rPr>
          <w:b/>
        </w:rPr>
      </w:pPr>
      <w:r>
        <w:rPr>
          <w:b/>
        </w:rPr>
        <w:t>I. Presentación</w:t>
      </w:r>
      <w:r w:rsidR="00353DEC">
        <w:rPr>
          <w:b/>
        </w:rPr>
        <w:t xml:space="preserve"> de la solicitud de información</w:t>
      </w:r>
    </w:p>
    <w:p w:rsidR="00591802" w:rsidRDefault="00591802">
      <w:pPr>
        <w:spacing w:after="0" w:line="360" w:lineRule="auto"/>
        <w:rPr>
          <w:b/>
        </w:rPr>
      </w:pPr>
    </w:p>
    <w:p w:rsidR="00591802" w:rsidRDefault="00765CD9">
      <w:pPr>
        <w:spacing w:after="0" w:line="360" w:lineRule="auto"/>
      </w:pPr>
      <w:r>
        <w:t>Con fecha cuatro de octubre de dos mil veinticuatro, la Particular presentó una solicitud de información, a través del Sistema de Acceso a la Información Mexiquense (SAIMEX), ante el Ayuntamiento de Temamatla</w:t>
      </w:r>
      <w:r>
        <w:rPr>
          <w:b/>
        </w:rPr>
        <w:t>,</w:t>
      </w:r>
      <w:r>
        <w:t xml:space="preserve"> en los siguientes términos:</w:t>
      </w:r>
    </w:p>
    <w:p w:rsidR="00591802" w:rsidRDefault="00591802">
      <w:pPr>
        <w:spacing w:after="0" w:line="360" w:lineRule="auto"/>
      </w:pPr>
    </w:p>
    <w:p w:rsidR="00591802" w:rsidRDefault="00765CD9">
      <w:pPr>
        <w:tabs>
          <w:tab w:val="left" w:pos="4667"/>
        </w:tabs>
        <w:spacing w:after="0" w:line="360" w:lineRule="auto"/>
        <w:ind w:left="567" w:right="567"/>
        <w:rPr>
          <w:b/>
          <w:i/>
          <w:sz w:val="20"/>
          <w:szCs w:val="20"/>
        </w:rPr>
      </w:pPr>
      <w:r>
        <w:rPr>
          <w:b/>
          <w:i/>
          <w:sz w:val="20"/>
          <w:szCs w:val="20"/>
        </w:rPr>
        <w:t>“DESCRIPCIÓN CLARA Y PRECISA DE LA INFORMACIÓN SOLICITADA</w:t>
      </w:r>
    </w:p>
    <w:p w:rsidR="00591802" w:rsidRDefault="00765CD9">
      <w:pPr>
        <w:spacing w:after="0" w:line="360" w:lineRule="auto"/>
        <w:ind w:left="567" w:right="567"/>
        <w:rPr>
          <w:i/>
          <w:color w:val="000000"/>
          <w:sz w:val="20"/>
          <w:szCs w:val="20"/>
        </w:rPr>
      </w:pPr>
      <w:r>
        <w:rPr>
          <w:i/>
          <w:color w:val="000000"/>
          <w:sz w:val="20"/>
          <w:szCs w:val="20"/>
        </w:rPr>
        <w:t xml:space="preserve">Solicito </w:t>
      </w:r>
      <w:proofErr w:type="spellStart"/>
      <w:r>
        <w:rPr>
          <w:i/>
          <w:color w:val="000000"/>
          <w:sz w:val="20"/>
          <w:szCs w:val="20"/>
        </w:rPr>
        <w:t>el.manual.de</w:t>
      </w:r>
      <w:proofErr w:type="spellEnd"/>
      <w:r>
        <w:rPr>
          <w:i/>
          <w:color w:val="000000"/>
          <w:sz w:val="20"/>
          <w:szCs w:val="20"/>
        </w:rPr>
        <w:t xml:space="preserve"> procedimientos, manual de organización, y reglamento de la contraloría municipal, así </w:t>
      </w:r>
      <w:proofErr w:type="spellStart"/>
      <w:r>
        <w:rPr>
          <w:i/>
          <w:color w:val="000000"/>
          <w:sz w:val="20"/>
          <w:szCs w:val="20"/>
        </w:rPr>
        <w:t>cómo</w:t>
      </w:r>
      <w:proofErr w:type="spellEnd"/>
      <w:r>
        <w:rPr>
          <w:i/>
          <w:color w:val="000000"/>
          <w:sz w:val="20"/>
          <w:szCs w:val="20"/>
        </w:rPr>
        <w:t xml:space="preserve"> el acta de cabildo a través de la cual fueron autorizados.” (Sic)</w:t>
      </w:r>
    </w:p>
    <w:p w:rsidR="00591802" w:rsidRDefault="00591802">
      <w:pPr>
        <w:spacing w:after="0" w:line="360" w:lineRule="auto"/>
        <w:ind w:left="567" w:right="567"/>
        <w:rPr>
          <w:i/>
          <w:color w:val="000000"/>
          <w:sz w:val="20"/>
          <w:szCs w:val="20"/>
        </w:rPr>
      </w:pPr>
    </w:p>
    <w:p w:rsidR="00591802" w:rsidRDefault="00765CD9">
      <w:pPr>
        <w:tabs>
          <w:tab w:val="left" w:pos="4667"/>
        </w:tabs>
        <w:spacing w:after="0" w:line="360" w:lineRule="auto"/>
        <w:ind w:left="567" w:right="567"/>
        <w:rPr>
          <w:b/>
          <w:i/>
          <w:color w:val="000000"/>
          <w:sz w:val="20"/>
          <w:szCs w:val="20"/>
        </w:rPr>
      </w:pPr>
      <w:r>
        <w:rPr>
          <w:b/>
          <w:i/>
          <w:color w:val="000000"/>
          <w:sz w:val="20"/>
          <w:szCs w:val="20"/>
        </w:rPr>
        <w:t>“MODALIDAD DE ENTREGA</w:t>
      </w:r>
    </w:p>
    <w:p w:rsidR="00591802" w:rsidRDefault="00765CD9">
      <w:pPr>
        <w:spacing w:after="0" w:line="360" w:lineRule="auto"/>
        <w:ind w:left="567" w:right="567"/>
        <w:rPr>
          <w:i/>
          <w:color w:val="000000"/>
          <w:sz w:val="20"/>
          <w:szCs w:val="20"/>
        </w:rPr>
      </w:pPr>
      <w:r>
        <w:rPr>
          <w:i/>
          <w:color w:val="000000"/>
          <w:sz w:val="20"/>
          <w:szCs w:val="20"/>
        </w:rPr>
        <w:t>A través del SAIMEX” (Sic)</w:t>
      </w:r>
    </w:p>
    <w:p w:rsidR="00591802" w:rsidRDefault="00591802">
      <w:pPr>
        <w:spacing w:after="0" w:line="360" w:lineRule="auto"/>
        <w:ind w:left="567" w:right="567"/>
        <w:rPr>
          <w:i/>
          <w:color w:val="000000"/>
          <w:sz w:val="20"/>
          <w:szCs w:val="20"/>
        </w:rPr>
      </w:pPr>
    </w:p>
    <w:p w:rsidR="00591802" w:rsidRDefault="00765CD9">
      <w:pPr>
        <w:tabs>
          <w:tab w:val="left" w:pos="4667"/>
        </w:tabs>
        <w:spacing w:after="0" w:line="360" w:lineRule="auto"/>
        <w:ind w:right="567"/>
        <w:rPr>
          <w:b/>
          <w:color w:val="000000"/>
        </w:rPr>
      </w:pPr>
      <w:r>
        <w:rPr>
          <w:b/>
        </w:rPr>
        <w:t>II. Respuesta del Sujeto Obligado.</w:t>
      </w:r>
    </w:p>
    <w:p w:rsidR="00591802" w:rsidRDefault="00765CD9">
      <w:pPr>
        <w:pBdr>
          <w:top w:val="nil"/>
          <w:left w:val="nil"/>
          <w:bottom w:val="nil"/>
          <w:right w:val="nil"/>
          <w:between w:val="nil"/>
        </w:pBdr>
        <w:spacing w:after="0" w:line="360" w:lineRule="auto"/>
        <w:rPr>
          <w:color w:val="000000"/>
        </w:rPr>
      </w:pPr>
      <w:r>
        <w:rPr>
          <w:color w:val="000000"/>
        </w:rPr>
        <w:lastRenderedPageBreak/>
        <w:t>Con fecha veintidós de octubre de dos mil veinticuatro, el Sujeto Obligado notificó al Solicitante, mediante el Sistema de Acceso a la Información Mexiquense (SAIMEX), la respuesta a la solicitud de acceso a la información, por medio de la digitalización del oficio TEMA/CM/287/2024, del once de dicho mes y año, suscrito por el Contralor Interno Municipal y dirigido a la Titular de la Unidad de Transparencia y Acceso a la Información Pública, por medio del cual solicita se someta la aprobación de la inexistencia del Reglamento Interno durante la administración 2022-2024.</w:t>
      </w:r>
    </w:p>
    <w:p w:rsidR="00591802" w:rsidRDefault="00591802">
      <w:pPr>
        <w:pBdr>
          <w:top w:val="nil"/>
          <w:left w:val="nil"/>
          <w:bottom w:val="nil"/>
          <w:right w:val="nil"/>
          <w:between w:val="nil"/>
        </w:pBdr>
        <w:spacing w:after="0" w:line="360" w:lineRule="auto"/>
        <w:rPr>
          <w:color w:val="000000"/>
        </w:rPr>
      </w:pPr>
    </w:p>
    <w:p w:rsidR="00591802" w:rsidRDefault="00765CD9">
      <w:pPr>
        <w:spacing w:after="0" w:line="360" w:lineRule="auto"/>
        <w:rPr>
          <w:b/>
          <w:color w:val="000000"/>
        </w:rPr>
      </w:pPr>
      <w:r>
        <w:rPr>
          <w:b/>
          <w:color w:val="000000"/>
        </w:rPr>
        <w:t>III. Interpo</w:t>
      </w:r>
      <w:r w:rsidR="00353DEC">
        <w:rPr>
          <w:b/>
          <w:color w:val="000000"/>
        </w:rPr>
        <w:t>sición del Recurso de Revisión</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Con fecha veintiocho de octubre de dos mil veinticuatro, se recibió en este Instituto, a través del Sistema de Acceso a la Información Mexiquense (SAIMEX), Recurso de Revisión interpuesto por la parte Recurrente, en contra de la respuesta del Sujeto Obligado, en los siguientes términos:</w:t>
      </w:r>
    </w:p>
    <w:p w:rsidR="00591802" w:rsidRDefault="00591802">
      <w:pPr>
        <w:spacing w:after="0" w:line="360" w:lineRule="auto"/>
        <w:rPr>
          <w:color w:val="000000"/>
        </w:rPr>
      </w:pPr>
    </w:p>
    <w:p w:rsidR="00591802" w:rsidRDefault="00765CD9">
      <w:pPr>
        <w:spacing w:after="0" w:line="360" w:lineRule="auto"/>
        <w:ind w:left="567" w:right="567"/>
      </w:pPr>
      <w:r>
        <w:rPr>
          <w:b/>
          <w:i/>
          <w:color w:val="000000"/>
          <w:sz w:val="20"/>
          <w:szCs w:val="20"/>
        </w:rPr>
        <w:t>“ACTO IMPUGNADO</w:t>
      </w:r>
      <w:r>
        <w:t xml:space="preserve"> </w:t>
      </w:r>
    </w:p>
    <w:p w:rsidR="00591802" w:rsidRDefault="00765CD9">
      <w:pPr>
        <w:spacing w:after="0" w:line="360" w:lineRule="auto"/>
        <w:ind w:left="567" w:right="567"/>
        <w:rPr>
          <w:i/>
          <w:color w:val="000000"/>
          <w:sz w:val="20"/>
          <w:szCs w:val="20"/>
        </w:rPr>
      </w:pPr>
      <w:r>
        <w:rPr>
          <w:i/>
          <w:color w:val="000000"/>
          <w:sz w:val="20"/>
          <w:szCs w:val="20"/>
        </w:rPr>
        <w:t>RESPUESTA OTORGADA” (Sic)</w:t>
      </w:r>
    </w:p>
    <w:p w:rsidR="00591802" w:rsidRDefault="00591802">
      <w:pPr>
        <w:spacing w:after="0" w:line="360" w:lineRule="auto"/>
        <w:ind w:left="567" w:right="567"/>
        <w:rPr>
          <w:i/>
          <w:color w:val="000000"/>
          <w:sz w:val="20"/>
          <w:szCs w:val="20"/>
        </w:rPr>
      </w:pPr>
    </w:p>
    <w:p w:rsidR="00591802" w:rsidRDefault="00765CD9">
      <w:pPr>
        <w:spacing w:after="0" w:line="360" w:lineRule="auto"/>
        <w:ind w:left="567" w:right="567"/>
        <w:rPr>
          <w:b/>
          <w:i/>
          <w:color w:val="000000"/>
          <w:sz w:val="20"/>
          <w:szCs w:val="20"/>
        </w:rPr>
      </w:pPr>
      <w:r>
        <w:rPr>
          <w:b/>
          <w:i/>
          <w:color w:val="000000"/>
          <w:sz w:val="20"/>
          <w:szCs w:val="20"/>
        </w:rPr>
        <w:t>“RAZONES O MOTIVOS DE LA INCONFORMIDAD</w:t>
      </w:r>
    </w:p>
    <w:p w:rsidR="00591802" w:rsidRDefault="00765CD9">
      <w:pPr>
        <w:spacing w:after="0" w:line="360" w:lineRule="auto"/>
        <w:ind w:left="567" w:right="567"/>
        <w:rPr>
          <w:i/>
          <w:color w:val="000000"/>
          <w:sz w:val="20"/>
          <w:szCs w:val="20"/>
        </w:rPr>
      </w:pPr>
      <w:r>
        <w:rPr>
          <w:i/>
          <w:color w:val="000000"/>
          <w:sz w:val="20"/>
          <w:szCs w:val="20"/>
        </w:rPr>
        <w:t>EL SUJETO OBLIGADO SOLO ANEXA EL OFICIO DE SOLICITUD DE LA DECLARATORIA DE INEXISTENCIA DE LA INFORMACION, MAS NO MANIFIESTA LA RAZON POR LA CUAL EL AREA EN CUESTION NO CUENTA CON LA REGLAMENTACION PERTINENTE PARA SU OPERACION, NI TAMPOCO ADJUNTA ACTA DEL COMITE DE TRANSPARENCIA DONDE SE AUTORIZA LA INEXISTENCIA DE LA MISMA” (Sic)</w:t>
      </w:r>
    </w:p>
    <w:p w:rsidR="00591802" w:rsidRDefault="00591802">
      <w:pPr>
        <w:spacing w:after="0" w:line="360" w:lineRule="auto"/>
        <w:rPr>
          <w:color w:val="000000"/>
        </w:rPr>
      </w:pPr>
    </w:p>
    <w:p w:rsidR="00591802" w:rsidRDefault="00765CD9">
      <w:pPr>
        <w:spacing w:after="0" w:line="360" w:lineRule="auto"/>
        <w:rPr>
          <w:b/>
          <w:color w:val="000000"/>
        </w:rPr>
      </w:pPr>
      <w:r>
        <w:rPr>
          <w:b/>
          <w:color w:val="000000"/>
        </w:rPr>
        <w:t xml:space="preserve">IV. Trámite del Recurso </w:t>
      </w:r>
      <w:r w:rsidR="00353DEC">
        <w:rPr>
          <w:b/>
          <w:color w:val="000000"/>
        </w:rPr>
        <w:t>de Revisión ante este Instituto</w:t>
      </w:r>
    </w:p>
    <w:p w:rsidR="00591802" w:rsidRDefault="00591802">
      <w:pPr>
        <w:spacing w:after="0" w:line="360" w:lineRule="auto"/>
        <w:rPr>
          <w:b/>
          <w:color w:val="000000"/>
        </w:rPr>
      </w:pPr>
    </w:p>
    <w:p w:rsidR="00591802" w:rsidRDefault="00765CD9">
      <w:pPr>
        <w:spacing w:after="0" w:line="360" w:lineRule="auto"/>
        <w:rPr>
          <w:color w:val="000000"/>
        </w:rPr>
      </w:pPr>
      <w:r>
        <w:rPr>
          <w:b/>
          <w:color w:val="000000"/>
        </w:rPr>
        <w:t xml:space="preserve">a) Turno del Medio de Impugnación. </w:t>
      </w:r>
      <w:r>
        <w:rPr>
          <w:color w:val="000000"/>
        </w:rPr>
        <w:t xml:space="preserve">El veintiocho de octubre de dos mil veinticuatro, el Sistema de Acceso a la Información Mexiquense (SAIMEX), asignó el número de expediente </w:t>
      </w:r>
      <w:r>
        <w:rPr>
          <w:b/>
          <w:color w:val="000000"/>
        </w:rPr>
        <w:t>06746</w:t>
      </w:r>
      <w:r>
        <w:rPr>
          <w:b/>
        </w:rPr>
        <w:t>/INFOEM/IP/RR/2024</w:t>
      </w:r>
      <w:r>
        <w:rPr>
          <w:color w:val="000000"/>
        </w:rPr>
        <w:t>, al Medio de Impugnación que nos ocupa, con base en el sistema aprobado por el Pleno de este Órgano Garante y lo turnó al Comisionado Luis Gustavo Parra Noriega, para los efectos del artículo 185, fracción I de la Ley de Transparencia y Acceso a la Información Pública del Estado de México y Municipios.</w:t>
      </w:r>
    </w:p>
    <w:p w:rsidR="00591802" w:rsidRDefault="00591802">
      <w:pPr>
        <w:spacing w:after="0" w:line="360" w:lineRule="auto"/>
        <w:rPr>
          <w:color w:val="000000"/>
        </w:rPr>
      </w:pPr>
    </w:p>
    <w:p w:rsidR="00591802" w:rsidRDefault="00765CD9">
      <w:pPr>
        <w:spacing w:after="0" w:line="360" w:lineRule="auto"/>
        <w:rPr>
          <w:b/>
          <w:color w:val="000000"/>
        </w:rPr>
      </w:pPr>
      <w:r>
        <w:rPr>
          <w:b/>
          <w:color w:val="000000"/>
        </w:rPr>
        <w:t xml:space="preserve">b) Admisión del Recurso de Revisión. </w:t>
      </w:r>
      <w:r>
        <w:rPr>
          <w:color w:val="000000"/>
        </w:rPr>
        <w:t xml:space="preserve">El treinta y uno de octubre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a través del Sistema de Acceso a la Información Mexiquense (SAIMEX), el mismo día, en el que se les otorgó un plazo de siete días hábiles posteriores a la misma, para que manifestaran lo que a su derecho conviniera y formularan alegatos. </w:t>
      </w:r>
    </w:p>
    <w:p w:rsidR="00591802" w:rsidRDefault="00591802">
      <w:pPr>
        <w:spacing w:after="0" w:line="360" w:lineRule="auto"/>
        <w:rPr>
          <w:b/>
        </w:rPr>
      </w:pPr>
    </w:p>
    <w:p w:rsidR="00591802" w:rsidRDefault="00765CD9">
      <w:pPr>
        <w:pBdr>
          <w:top w:val="nil"/>
          <w:left w:val="nil"/>
          <w:bottom w:val="nil"/>
          <w:right w:val="nil"/>
          <w:between w:val="nil"/>
        </w:pBdr>
        <w:tabs>
          <w:tab w:val="left" w:pos="567"/>
        </w:tabs>
        <w:spacing w:after="0" w:line="360" w:lineRule="auto"/>
        <w:rPr>
          <w:color w:val="000000"/>
        </w:rPr>
      </w:pPr>
      <w:r>
        <w:rPr>
          <w:b/>
          <w:color w:val="000000"/>
        </w:rPr>
        <w:t xml:space="preserve">c) Informe Justificado o manifestaciones. </w:t>
      </w:r>
      <w:r>
        <w:rPr>
          <w:color w:val="000000"/>
        </w:rPr>
        <w:t>Las partes fueron omisas en emitir manifestaciones o alegatos.</w:t>
      </w:r>
    </w:p>
    <w:p w:rsidR="00591802" w:rsidRDefault="00591802">
      <w:pPr>
        <w:pBdr>
          <w:top w:val="nil"/>
          <w:left w:val="nil"/>
          <w:bottom w:val="nil"/>
          <w:right w:val="nil"/>
          <w:between w:val="nil"/>
        </w:pBdr>
        <w:tabs>
          <w:tab w:val="left" w:pos="567"/>
        </w:tabs>
        <w:spacing w:after="0" w:line="360" w:lineRule="auto"/>
        <w:rPr>
          <w:color w:val="000000"/>
        </w:rPr>
      </w:pPr>
    </w:p>
    <w:p w:rsidR="00591802" w:rsidRDefault="00765CD9">
      <w:pPr>
        <w:spacing w:after="0" w:line="360" w:lineRule="auto"/>
        <w:rPr>
          <w:color w:val="000000"/>
        </w:rPr>
      </w:pPr>
      <w:r>
        <w:rPr>
          <w:b/>
        </w:rPr>
        <w:t xml:space="preserve">d) </w:t>
      </w:r>
      <w:r>
        <w:rPr>
          <w:b/>
          <w:color w:val="000000"/>
        </w:rPr>
        <w:t>Cierre de instrucción.</w:t>
      </w:r>
      <w:r w:rsidR="00353DEC">
        <w:rPr>
          <w:color w:val="000000"/>
        </w:rPr>
        <w:t xml:space="preserve"> El veinte</w:t>
      </w:r>
      <w:r>
        <w:rPr>
          <w:color w:val="000000"/>
        </w:rPr>
        <w:t xml:space="preserv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diez de julio de dos mil veinticuatro, a través del Sistema de Acceso a la Información Mexiquense (SAIMEX). </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lastRenderedPageBreak/>
        <w:t>En razón de que fue debidamente sustanciado e integrado el expediente electrónico y no existe diligencia pendiente de desahogo, se emite la resolución que conforme a Derecho proceda, de acuerdo a los siguientes:</w:t>
      </w:r>
    </w:p>
    <w:p w:rsidR="00591802" w:rsidRDefault="00591802">
      <w:pPr>
        <w:spacing w:after="0" w:line="360" w:lineRule="auto"/>
        <w:rPr>
          <w:color w:val="000000"/>
        </w:rPr>
      </w:pPr>
    </w:p>
    <w:p w:rsidR="00591802" w:rsidRDefault="00765CD9">
      <w:pPr>
        <w:spacing w:after="0" w:line="360" w:lineRule="auto"/>
        <w:jc w:val="center"/>
        <w:rPr>
          <w:b/>
          <w:color w:val="000000"/>
        </w:rPr>
      </w:pPr>
      <w:r>
        <w:rPr>
          <w:b/>
          <w:color w:val="000000"/>
        </w:rPr>
        <w:t>C O N S I D</w:t>
      </w:r>
      <w:r w:rsidR="00353DEC">
        <w:rPr>
          <w:b/>
          <w:color w:val="000000"/>
        </w:rPr>
        <w:t xml:space="preserve"> E R A N D O S</w:t>
      </w:r>
    </w:p>
    <w:p w:rsidR="00591802" w:rsidRDefault="00765CD9">
      <w:pPr>
        <w:spacing w:after="0" w:line="360" w:lineRule="auto"/>
        <w:rPr>
          <w:b/>
          <w:color w:val="000000"/>
        </w:rPr>
      </w:pPr>
      <w:r>
        <w:rPr>
          <w:b/>
          <w:color w:val="000000"/>
        </w:rPr>
        <w:t>PRIMERO. Competencia</w:t>
      </w:r>
    </w:p>
    <w:p w:rsidR="00591802" w:rsidRDefault="00591802">
      <w:pPr>
        <w:spacing w:after="0" w:line="360" w:lineRule="auto"/>
        <w:rPr>
          <w:b/>
          <w:color w:val="000000"/>
        </w:rPr>
      </w:pPr>
    </w:p>
    <w:p w:rsidR="00591802" w:rsidRDefault="00765CD9">
      <w:pPr>
        <w:spacing w:after="0" w:line="360" w:lineRule="auto"/>
        <w:rPr>
          <w:color w:val="000000"/>
        </w:rPr>
      </w:pPr>
      <w:bookmarkStart w:id="0" w:name="_heading=h.gjdgxs" w:colFirst="0" w:colLast="0"/>
      <w:bookmarkEnd w:id="0"/>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91802" w:rsidRDefault="00591802">
      <w:pPr>
        <w:spacing w:after="0" w:line="360" w:lineRule="auto"/>
        <w:rPr>
          <w:b/>
          <w:color w:val="000000"/>
        </w:rPr>
      </w:pPr>
    </w:p>
    <w:p w:rsidR="00591802" w:rsidRDefault="00765CD9">
      <w:pPr>
        <w:spacing w:after="0" w:line="360" w:lineRule="auto"/>
        <w:rPr>
          <w:color w:val="000000"/>
        </w:rPr>
      </w:pPr>
      <w:r>
        <w:rPr>
          <w:b/>
          <w:color w:val="000000"/>
        </w:rPr>
        <w:t>SEGUNDO</w:t>
      </w:r>
      <w:r>
        <w:rPr>
          <w:color w:val="000000"/>
        </w:rPr>
        <w:t xml:space="preserve">. </w:t>
      </w:r>
      <w:r>
        <w:rPr>
          <w:b/>
          <w:color w:val="000000"/>
        </w:rPr>
        <w:t>Causales de</w:t>
      </w:r>
      <w:r w:rsidR="00353DEC">
        <w:rPr>
          <w:b/>
          <w:color w:val="000000"/>
        </w:rPr>
        <w:t xml:space="preserve"> improcedencia y sobreseimiento</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591802" w:rsidRDefault="00591802">
      <w:pPr>
        <w:spacing w:after="0" w:line="360" w:lineRule="auto"/>
        <w:rPr>
          <w:color w:val="000000"/>
        </w:rPr>
      </w:pPr>
    </w:p>
    <w:p w:rsidR="00591802" w:rsidRDefault="00353DEC">
      <w:pPr>
        <w:spacing w:after="0" w:line="360" w:lineRule="auto"/>
        <w:rPr>
          <w:b/>
          <w:color w:val="000000"/>
        </w:rPr>
      </w:pPr>
      <w:r>
        <w:rPr>
          <w:b/>
          <w:color w:val="000000"/>
        </w:rPr>
        <w:t>Causales de improcedencia</w:t>
      </w:r>
    </w:p>
    <w:p w:rsidR="00591802" w:rsidRDefault="00765CD9">
      <w:pPr>
        <w:spacing w:after="0" w:line="360" w:lineRule="auto"/>
        <w:rPr>
          <w:color w:val="000000"/>
        </w:rPr>
      </w:pPr>
      <w:r>
        <w:rPr>
          <w:color w:val="000000"/>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 xml:space="preserve">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Asimismo, se actualiza la causal de procedencia del Recurso de Revisión señalada en el artículo 179, fracción III, Ley de Transparencia y Acceso a la Información Pública del Estado de México y Municipios, pues el Recurrente se inconformó con la inexistencia de la información.</w:t>
      </w:r>
    </w:p>
    <w:p w:rsidR="00591802" w:rsidRDefault="00591802">
      <w:pPr>
        <w:spacing w:after="0" w:line="360" w:lineRule="auto"/>
        <w:rPr>
          <w:color w:val="000000"/>
        </w:rPr>
      </w:pPr>
    </w:p>
    <w:p w:rsidR="00591802" w:rsidRDefault="00765CD9">
      <w:pPr>
        <w:spacing w:after="0" w:line="360" w:lineRule="auto"/>
        <w:rPr>
          <w:b/>
          <w:color w:val="000000"/>
        </w:rPr>
      </w:pPr>
      <w:r>
        <w:rPr>
          <w:b/>
          <w:color w:val="000000"/>
        </w:rPr>
        <w:t>TERC</w:t>
      </w:r>
      <w:r w:rsidR="00353DEC">
        <w:rPr>
          <w:b/>
          <w:color w:val="000000"/>
        </w:rPr>
        <w:t>ERO. Causales de sobreseimiento</w:t>
      </w:r>
    </w:p>
    <w:p w:rsidR="00591802" w:rsidRDefault="00765CD9">
      <w:pPr>
        <w:spacing w:after="0" w:line="360" w:lineRule="auto"/>
        <w:rPr>
          <w:color w:val="000000"/>
        </w:rPr>
      </w:pPr>
      <w:r>
        <w:rPr>
          <w:color w:val="000000"/>
        </w:rPr>
        <w:br/>
        <w:t xml:space="preserve">Por ser de previo y especial pronunciamiento, este Instituto analiza si se actualiza alguna causal de sobreseimiento. </w:t>
      </w:r>
    </w:p>
    <w:p w:rsidR="00591802" w:rsidRDefault="00591802">
      <w:pPr>
        <w:spacing w:after="0" w:line="360" w:lineRule="auto"/>
        <w:rPr>
          <w:color w:val="000000"/>
        </w:rPr>
      </w:pPr>
    </w:p>
    <w:p w:rsidR="00591802" w:rsidRDefault="00765CD9">
      <w:pPr>
        <w:spacing w:after="0" w:line="360" w:lineRule="auto"/>
      </w:pPr>
      <w:r>
        <w:lastRenderedPageBreak/>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 </w:t>
      </w:r>
    </w:p>
    <w:p w:rsidR="00591802" w:rsidRDefault="00591802">
      <w:pPr>
        <w:spacing w:after="0" w:line="360" w:lineRule="auto"/>
      </w:pPr>
    </w:p>
    <w:p w:rsidR="00591802" w:rsidRDefault="00765CD9">
      <w:pPr>
        <w:spacing w:after="0" w:line="360" w:lineRule="auto"/>
      </w:pPr>
      <w:r>
        <w:t xml:space="preserve">Por tales motivos, se considera procedente entrar al fondo del presente asunto. </w:t>
      </w:r>
    </w:p>
    <w:p w:rsidR="00591802" w:rsidRDefault="00591802">
      <w:pPr>
        <w:tabs>
          <w:tab w:val="left" w:pos="4962"/>
        </w:tabs>
        <w:spacing w:after="0" w:line="360" w:lineRule="auto"/>
        <w:rPr>
          <w:b/>
          <w:color w:val="000000"/>
        </w:rPr>
      </w:pPr>
    </w:p>
    <w:p w:rsidR="00591802" w:rsidRDefault="00765CD9">
      <w:pPr>
        <w:tabs>
          <w:tab w:val="left" w:pos="4962"/>
        </w:tabs>
        <w:spacing w:after="0" w:line="360" w:lineRule="auto"/>
        <w:rPr>
          <w:b/>
          <w:color w:val="000000"/>
        </w:rPr>
      </w:pPr>
      <w:r>
        <w:rPr>
          <w:b/>
          <w:color w:val="000000"/>
        </w:rPr>
        <w:t>TERCERO. De</w:t>
      </w:r>
      <w:r w:rsidR="00353DEC">
        <w:rPr>
          <w:b/>
          <w:color w:val="000000"/>
        </w:rPr>
        <w:t>terminación de la Controversia</w:t>
      </w:r>
    </w:p>
    <w:p w:rsidR="00591802" w:rsidRDefault="00591802">
      <w:pPr>
        <w:tabs>
          <w:tab w:val="left" w:pos="4962"/>
        </w:tabs>
        <w:spacing w:after="0" w:line="360" w:lineRule="auto"/>
        <w:rPr>
          <w:b/>
          <w:color w:val="000000"/>
        </w:rPr>
      </w:pPr>
    </w:p>
    <w:p w:rsidR="00591802" w:rsidRDefault="00765CD9">
      <w:pPr>
        <w:spacing w:after="0" w:line="360" w:lineRule="auto"/>
        <w:rPr>
          <w:color w:val="000000"/>
        </w:rPr>
      </w:pPr>
      <w:r>
        <w:rPr>
          <w:color w:val="000000"/>
        </w:rPr>
        <w:t>Con el objetivo de ilustrar la controversia planteada, resulta conveniente precisar, que una vez realizado el estudio de las constancias que integran el expediente en el que se actúa, se desprende que el Particular requirió el Reglamento y los Manuales de Organización y de Procedimientos de la Contraloría Interna Municipal, con el Acta de la Sesión de Cabildo, donde se hayan autorizado o aprobado.</w:t>
      </w:r>
    </w:p>
    <w:p w:rsidR="00591802" w:rsidRDefault="00591802">
      <w:pPr>
        <w:spacing w:after="0" w:line="360" w:lineRule="auto"/>
        <w:rPr>
          <w:color w:val="000000"/>
        </w:rPr>
      </w:pPr>
    </w:p>
    <w:p w:rsidR="00591802" w:rsidRDefault="00765CD9">
      <w:pPr>
        <w:spacing w:after="0" w:line="360" w:lineRule="auto"/>
      </w:pPr>
      <w:r>
        <w:rPr>
          <w:color w:val="000000"/>
        </w:rPr>
        <w:t xml:space="preserve">En respuesta, el Sujeto Obligado, por medio de la Contraloría Interna Municipal solicitó la inexistencia del Reglamento Interno durante la Administración 2022-2024; ante dicha circunstancia, la parte Recurrente se inconformó de la inexistencia de la normatividad del área, </w:t>
      </w:r>
      <w:r>
        <w:t>lo cual actualiza el supuesto previsto en el artículo 179, fracción III, de la Ley de Transparencia y Acceso a la Información Pública del Estado de México y Municipios. Así las cosas, una vez admitido y notificado el Recurso de Revisión a las partes, estas fueron omisas en emitir manifestaciones o alegatos.</w:t>
      </w:r>
    </w:p>
    <w:p w:rsidR="00591802" w:rsidRDefault="00591802">
      <w:pPr>
        <w:spacing w:after="0" w:line="360" w:lineRule="auto"/>
      </w:pPr>
    </w:p>
    <w:p w:rsidR="00591802" w:rsidRDefault="00765CD9">
      <w:pPr>
        <w:spacing w:after="0" w:line="360" w:lineRule="auto"/>
        <w:rPr>
          <w:color w:val="000000"/>
        </w:rPr>
      </w:pPr>
      <w:r>
        <w:rPr>
          <w:color w:val="000000"/>
        </w:rPr>
        <w:lastRenderedPageBreak/>
        <w:t xml:space="preserve">Lo anterior, se desprende de las documentales que obran en el expediente de referencia, materia de la presente resolución, consistentes en: la solicitud de acceso a la información; la respuesta proporcionada,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rsidR="00591802" w:rsidRDefault="00591802">
      <w:pPr>
        <w:spacing w:after="0" w:line="360" w:lineRule="auto"/>
        <w:rPr>
          <w:color w:val="000000"/>
        </w:rPr>
      </w:pPr>
    </w:p>
    <w:p w:rsidR="00591802" w:rsidRDefault="00765CD9">
      <w:pPr>
        <w:spacing w:after="0" w:line="360" w:lineRule="auto"/>
        <w:rPr>
          <w:b/>
          <w:color w:val="000000"/>
        </w:rPr>
      </w:pPr>
      <w:r>
        <w:rPr>
          <w:b/>
          <w:color w:val="000000"/>
        </w:rPr>
        <w:t xml:space="preserve">CUARTO. Marco normativo aplicable en materia de transparencia y </w:t>
      </w:r>
      <w:r w:rsidR="00353DEC">
        <w:rPr>
          <w:b/>
          <w:color w:val="000000"/>
        </w:rPr>
        <w:t>acceso a la información pública</w:t>
      </w:r>
    </w:p>
    <w:p w:rsidR="00591802" w:rsidRDefault="00591802">
      <w:pPr>
        <w:spacing w:after="0" w:line="360" w:lineRule="auto"/>
        <w:rPr>
          <w:b/>
          <w:color w:val="000000"/>
        </w:rPr>
      </w:pPr>
    </w:p>
    <w:p w:rsidR="00591802" w:rsidRDefault="00765CD9">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91802" w:rsidRDefault="00591802">
      <w:pPr>
        <w:spacing w:after="0" w:line="360" w:lineRule="auto"/>
        <w:rPr>
          <w:color w:val="000000"/>
        </w:rPr>
      </w:pPr>
    </w:p>
    <w:p w:rsidR="00591802" w:rsidRDefault="00353DEC">
      <w:pPr>
        <w:spacing w:after="0" w:line="360" w:lineRule="auto"/>
        <w:rPr>
          <w:b/>
          <w:color w:val="000000"/>
        </w:rPr>
      </w:pPr>
      <w:r>
        <w:rPr>
          <w:b/>
          <w:color w:val="000000"/>
        </w:rPr>
        <w:t>QUINTO. Estudio de Fondo</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Una vez establecido lo anterior, se procede a analizar el agravio hecho valer por el ahora Recurrente, referente a la inexistencia de información; por lo que en principio resulta necesario contextualizar la solicitud de información.</w:t>
      </w:r>
    </w:p>
    <w:p w:rsidR="00591802" w:rsidRDefault="00591802">
      <w:pPr>
        <w:spacing w:after="0" w:line="360" w:lineRule="auto"/>
      </w:pPr>
    </w:p>
    <w:p w:rsidR="00591802" w:rsidRDefault="00765CD9">
      <w:pPr>
        <w:spacing w:after="0" w:line="360" w:lineRule="auto"/>
        <w:ind w:right="49"/>
        <w:rPr>
          <w:color w:val="000000"/>
        </w:rPr>
      </w:pPr>
      <w:r>
        <w:rPr>
          <w:color w:val="000000"/>
        </w:rPr>
        <w:t>En tal sentido, la Guía Técnica para la Elaboración de Manuales de Procedimientos</w:t>
      </w:r>
      <w:r>
        <w:rPr>
          <w:color w:val="0000FF"/>
          <w:u w:val="single"/>
        </w:rPr>
        <w:t>,</w:t>
      </w:r>
      <w:r>
        <w:rPr>
          <w:color w:val="000000"/>
        </w:rPr>
        <w:t xml:space="preserve"> contempla lo siguiente:</w:t>
      </w:r>
    </w:p>
    <w:p w:rsidR="00591802" w:rsidRDefault="00591802">
      <w:pPr>
        <w:spacing w:after="0" w:line="360" w:lineRule="auto"/>
        <w:ind w:right="49"/>
        <w:rPr>
          <w:color w:val="000000"/>
        </w:rPr>
      </w:pPr>
    </w:p>
    <w:p w:rsidR="00591802" w:rsidRDefault="00765CD9">
      <w:pPr>
        <w:numPr>
          <w:ilvl w:val="0"/>
          <w:numId w:val="1"/>
        </w:numPr>
        <w:pBdr>
          <w:top w:val="nil"/>
          <w:left w:val="nil"/>
          <w:bottom w:val="nil"/>
          <w:right w:val="nil"/>
          <w:between w:val="nil"/>
        </w:pBdr>
        <w:spacing w:after="0" w:line="360" w:lineRule="auto"/>
        <w:ind w:right="49"/>
        <w:rPr>
          <w:color w:val="000000"/>
        </w:rPr>
      </w:pPr>
      <w:r>
        <w:rPr>
          <w:b/>
          <w:color w:val="000000"/>
        </w:rPr>
        <w:t>Manual de Organización:</w:t>
      </w:r>
      <w:r>
        <w:rPr>
          <w:color w:val="000000"/>
        </w:rPr>
        <w:t xml:space="preserve"> Documento administrativo que contiene información sobre la organización y funcionamiento de las dependencias y organismos auxiliares, que describe los objetivos y funciones que deben realizar cada una de las unidades administrativas que integran la estructura de organización de las dependencias. </w:t>
      </w:r>
    </w:p>
    <w:p w:rsidR="00591802" w:rsidRDefault="00591802">
      <w:pPr>
        <w:spacing w:after="0" w:line="360" w:lineRule="auto"/>
        <w:ind w:right="49"/>
      </w:pPr>
    </w:p>
    <w:p w:rsidR="00591802" w:rsidRDefault="00765CD9">
      <w:pPr>
        <w:numPr>
          <w:ilvl w:val="0"/>
          <w:numId w:val="1"/>
        </w:numPr>
        <w:pBdr>
          <w:top w:val="nil"/>
          <w:left w:val="nil"/>
          <w:bottom w:val="nil"/>
          <w:right w:val="nil"/>
          <w:between w:val="nil"/>
        </w:pBdr>
        <w:spacing w:after="0" w:line="360" w:lineRule="auto"/>
        <w:ind w:right="49"/>
        <w:rPr>
          <w:color w:val="000000"/>
        </w:rPr>
      </w:pPr>
      <w:r>
        <w:rPr>
          <w:b/>
          <w:color w:val="000000"/>
        </w:rPr>
        <w:lastRenderedPageBreak/>
        <w:t>Manual de Procedimientos</w:t>
      </w:r>
      <w:r>
        <w:rPr>
          <w:color w:val="000000"/>
        </w:rPr>
        <w:t>:  Documentos administrativo que contiene información relacionada con el conjunto de operaciones o actividades que deben realizarse para la generación de bienes o servicios que detalla las operaciones o actividades que deben realizarse de manera secuencial y cronológica para dar cumplimiento a una función que coadyuve a la generación de bienes y servicios.</w:t>
      </w:r>
    </w:p>
    <w:p w:rsidR="00591802" w:rsidRDefault="00591802">
      <w:pPr>
        <w:pBdr>
          <w:top w:val="nil"/>
          <w:left w:val="nil"/>
          <w:bottom w:val="nil"/>
          <w:right w:val="nil"/>
          <w:between w:val="nil"/>
        </w:pBdr>
        <w:spacing w:after="0" w:line="360" w:lineRule="auto"/>
        <w:ind w:left="720"/>
        <w:rPr>
          <w:color w:val="000000"/>
        </w:rPr>
      </w:pPr>
    </w:p>
    <w:p w:rsidR="00591802" w:rsidRDefault="00765CD9">
      <w:pPr>
        <w:numPr>
          <w:ilvl w:val="0"/>
          <w:numId w:val="1"/>
        </w:numPr>
        <w:pBdr>
          <w:top w:val="nil"/>
          <w:left w:val="nil"/>
          <w:bottom w:val="nil"/>
          <w:right w:val="nil"/>
          <w:between w:val="nil"/>
        </w:pBdr>
        <w:spacing w:after="0" w:line="360" w:lineRule="auto"/>
        <w:ind w:right="49"/>
        <w:rPr>
          <w:color w:val="000000"/>
        </w:rPr>
      </w:pPr>
      <w:r>
        <w:rPr>
          <w:b/>
          <w:color w:val="000000"/>
        </w:rPr>
        <w:t>Reglamento Interior:</w:t>
      </w:r>
      <w:r>
        <w:rPr>
          <w:color w:val="000000"/>
        </w:rPr>
        <w:t xml:space="preserve"> Ordenamiento jurídico que determina las atribuciones encomendadas a las unidades administrativas de primer, segundo y tercer nivel de las unidades </w:t>
      </w:r>
      <w:r w:rsidR="007D1AB8">
        <w:rPr>
          <w:color w:val="000000"/>
        </w:rPr>
        <w:t>administrativas</w:t>
      </w:r>
      <w:r>
        <w:rPr>
          <w:color w:val="000000"/>
        </w:rPr>
        <w:t>.</w:t>
      </w:r>
    </w:p>
    <w:p w:rsidR="00591802" w:rsidRDefault="00591802">
      <w:pPr>
        <w:spacing w:after="0" w:line="360" w:lineRule="auto"/>
      </w:pPr>
    </w:p>
    <w:p w:rsidR="00591802" w:rsidRDefault="00765CD9">
      <w:pPr>
        <w:spacing w:after="0" w:line="360" w:lineRule="auto"/>
      </w:pPr>
      <w:r>
        <w:t>Además, respecto al otro punto solicitado, el artículo 31, fracción I, de la Ley Orgánica Municipal del Estado de México, con relación al diverso 40, del Bando previamente citado, precisa que el Cabildo, como Órgano Superior del Gobierno, será el encargado de expedir los Reglamentos y disposiciones normativas necesarias para normar y conducir el Gobierno y la Administración Pública Municipal.</w:t>
      </w:r>
    </w:p>
    <w:p w:rsidR="00591802" w:rsidRDefault="00591802">
      <w:pPr>
        <w:spacing w:after="0" w:line="360" w:lineRule="auto"/>
      </w:pPr>
    </w:p>
    <w:p w:rsidR="00591802" w:rsidRDefault="00765CD9">
      <w:pPr>
        <w:spacing w:after="0" w:line="360" w:lineRule="auto"/>
      </w:pPr>
      <w:r>
        <w:t>En ese sentido, el artículo 44, fracción V, del Bando Municipal de Policía y Gobierno de Temamatla, dos mil veinticuatro, precisa que el Ayuntamiento para el ejercicio de sus funciones contará con una Contraloría Interna Municipal; por lo que, se logra vislumbrar que la pretensión del Recurrente es obtener el Reglamento Interior, el Manual de Organización y el de procedimientos de dicha área vigentes a la fecha de la solicitud, esto es, al cuatro de octubre de dos mil veinticuatro, así como, el Acta de la Sesión de Cabildo donde se hayan aprobado dichas disposiciones normativas.</w:t>
      </w:r>
    </w:p>
    <w:p w:rsidR="00591802" w:rsidRDefault="00591802">
      <w:pPr>
        <w:spacing w:after="0" w:line="360" w:lineRule="auto"/>
      </w:pPr>
    </w:p>
    <w:p w:rsidR="00591802" w:rsidRDefault="00765CD9">
      <w:pPr>
        <w:spacing w:after="0" w:line="360" w:lineRule="auto"/>
      </w:pPr>
      <w:r>
        <w:t>En respuesta la Contraloría Interna Municipal refirió que no contaba con un Reglamento Interior de la administración 2022-2024</w:t>
      </w:r>
      <w:r>
        <w:rPr>
          <w:color w:val="000000"/>
        </w:rPr>
        <w:t xml:space="preserve">; </w:t>
      </w:r>
      <w:r>
        <w:t xml:space="preserve">sobre el tema, el Criterio SO/014/2017, emitido por el Instituto Nacional de Transparencia, Acceso a la Información Pública y Protección de </w:t>
      </w:r>
      <w:r>
        <w:lastRenderedPageBreak/>
        <w:t xml:space="preserve">Datos Personales en el Estado de México y Municipios, el cual precisa que la inexistencia de la información, es una cuestión de hecho que se le atribuye a la misma, cuando ésta no se encuentra en los archivos del sujeto obligado. </w:t>
      </w:r>
    </w:p>
    <w:p w:rsidR="00591802" w:rsidRDefault="00591802">
      <w:pPr>
        <w:spacing w:after="0" w:line="360" w:lineRule="auto"/>
      </w:pPr>
    </w:p>
    <w:p w:rsidR="00591802" w:rsidRDefault="00765CD9">
      <w:pPr>
        <w:spacing w:after="0" w:line="360" w:lineRule="auto"/>
      </w:pPr>
      <w: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591802" w:rsidRDefault="00591802">
      <w:pPr>
        <w:spacing w:after="0" w:line="360" w:lineRule="auto"/>
        <w:rPr>
          <w:b/>
        </w:rPr>
      </w:pPr>
    </w:p>
    <w:p w:rsidR="00591802" w:rsidRDefault="00765CD9">
      <w:pPr>
        <w:spacing w:after="0" w:line="360" w:lineRule="auto"/>
      </w:pPr>
      <w:r>
        <w:t xml:space="preserve">Conforme a lo anterior, la </w:t>
      </w:r>
      <w:r>
        <w:rPr>
          <w:b/>
        </w:rPr>
        <w:t>inexistencia</w:t>
      </w:r>
      <w: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Pr>
          <w:b/>
        </w:rPr>
        <w:t>primero deben realizar una indagación en todos los archivos de las áreas con funciones para conocer de lo peticionado.</w:t>
      </w:r>
    </w:p>
    <w:p w:rsidR="00591802" w:rsidRDefault="00591802">
      <w:pPr>
        <w:spacing w:after="0" w:line="360" w:lineRule="auto"/>
      </w:pPr>
    </w:p>
    <w:p w:rsidR="00591802" w:rsidRDefault="00765CD9">
      <w:pPr>
        <w:spacing w:after="0" w:line="360" w:lineRule="auto"/>
        <w:rPr>
          <w:b/>
        </w:rPr>
      </w:pPr>
      <w:r>
        <w:t xml:space="preserve">En ese sentido, según Jarquín, Soledad (2019), en el “Diccionario de Transparencia y Acceso a la Información Pública” (p. 68), </w:t>
      </w:r>
      <w:r>
        <w:rPr>
          <w:b/>
        </w:rPr>
        <w:t>la búsqueda exhaustiva</w:t>
      </w:r>
      <w:r>
        <w:t xml:space="preserve"> es la obligación del área administrativa del Sujeto Obligado que cuenta o puede contar con la información requerida, la cual consiste en localizar toda aquella que atienda la solicitud, </w:t>
      </w:r>
      <w:r>
        <w:rPr>
          <w:b/>
        </w:rPr>
        <w:t>hasta agotar por completo las posibilidades de indagación.</w:t>
      </w:r>
    </w:p>
    <w:p w:rsidR="00591802" w:rsidRDefault="00591802">
      <w:pPr>
        <w:spacing w:after="0" w:line="360" w:lineRule="auto"/>
        <w:rPr>
          <w:b/>
        </w:rPr>
      </w:pPr>
    </w:p>
    <w:p w:rsidR="00591802" w:rsidRDefault="00765CD9">
      <w:pPr>
        <w:spacing w:after="0" w:line="360" w:lineRule="auto"/>
        <w:rPr>
          <w:b/>
        </w:rPr>
      </w:pPr>
      <w:r>
        <w:t xml:space="preserve">Además, según Calero, Natalia (2016), en la “Ley General de Transparencia y Acceso a la Información Pública Comentada” (p. 408), para que exista una búsqueda exhaustiva y razonable, se debe hacer una </w:t>
      </w:r>
      <w:r>
        <w:rPr>
          <w:b/>
        </w:rPr>
        <w:t xml:space="preserve">indagación consiente y minuciosa en sus archivos físicos y electrónicos. </w:t>
      </w:r>
    </w:p>
    <w:p w:rsidR="00591802" w:rsidRDefault="00591802">
      <w:pPr>
        <w:spacing w:after="0" w:line="360" w:lineRule="auto"/>
        <w:rPr>
          <w:b/>
        </w:rPr>
      </w:pPr>
    </w:p>
    <w:p w:rsidR="00591802" w:rsidRDefault="00765CD9">
      <w:pPr>
        <w:spacing w:after="0" w:line="360" w:lineRule="auto"/>
        <w:rPr>
          <w:b/>
        </w:rPr>
      </w:pPr>
      <w:r>
        <w:lastRenderedPageBreak/>
        <w:t xml:space="preserve">Conforme a lo anterior, para poder acreditar el carácter exhaustivo de la búsqueda realizada por los Sujetos Obligados, se deben motivar las razones por las que se buscó la información en determinadas áreas, </w:t>
      </w:r>
      <w:r>
        <w:rPr>
          <w:b/>
        </w:rPr>
        <w:t>los criterios de búsqueda utilizados y demás circunstancias que fueron tomadas en cuenta.</w:t>
      </w:r>
    </w:p>
    <w:p w:rsidR="00591802" w:rsidRDefault="00591802">
      <w:pPr>
        <w:spacing w:after="0" w:line="360" w:lineRule="auto"/>
      </w:pPr>
    </w:p>
    <w:p w:rsidR="00591802" w:rsidRDefault="00765CD9">
      <w:pPr>
        <w:spacing w:after="0" w:line="360" w:lineRule="auto"/>
      </w:pPr>
      <w:r>
        <w:t>En ese contexto, de conformidad con los criterios con</w:t>
      </w:r>
      <w:r>
        <w:rPr>
          <w:color w:val="000000"/>
        </w:rPr>
        <w:t xml:space="preserve"> clave de control SO/012/2010 y SO/004/2019</w:t>
      </w:r>
      <w: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rsidR="00591802" w:rsidRDefault="00591802">
      <w:pPr>
        <w:spacing w:after="0" w:line="360" w:lineRule="auto"/>
      </w:pPr>
    </w:p>
    <w:p w:rsidR="00591802" w:rsidRDefault="00765CD9">
      <w:pPr>
        <w:numPr>
          <w:ilvl w:val="0"/>
          <w:numId w:val="2"/>
        </w:numPr>
        <w:spacing w:after="0" w:line="360" w:lineRule="auto"/>
      </w:pPr>
      <w:r>
        <w:t>Motivación por las que se buscó la información, en determinadas unidades administrativas;</w:t>
      </w:r>
    </w:p>
    <w:p w:rsidR="00591802" w:rsidRDefault="00765CD9">
      <w:pPr>
        <w:numPr>
          <w:ilvl w:val="0"/>
          <w:numId w:val="2"/>
        </w:numPr>
        <w:spacing w:after="0" w:line="360" w:lineRule="auto"/>
      </w:pPr>
      <w:r>
        <w:t>Los criterios de búsqueda utilizados, y</w:t>
      </w:r>
    </w:p>
    <w:p w:rsidR="00591802" w:rsidRDefault="00765CD9">
      <w:pPr>
        <w:numPr>
          <w:ilvl w:val="0"/>
          <w:numId w:val="2"/>
        </w:numPr>
        <w:spacing w:after="0" w:line="360" w:lineRule="auto"/>
      </w:pPr>
      <w:r>
        <w:t>Las circunstancias que fueron tomadas en cuenta.</w:t>
      </w:r>
    </w:p>
    <w:p w:rsidR="00591802" w:rsidRDefault="00591802">
      <w:pPr>
        <w:spacing w:after="0" w:line="360" w:lineRule="auto"/>
      </w:pPr>
    </w:p>
    <w:p w:rsidR="00591802" w:rsidRDefault="00765CD9">
      <w:pPr>
        <w:spacing w:after="0" w:line="360" w:lineRule="auto"/>
      </w:pPr>
      <w:r>
        <w:t>De tales circunstancias, se considera que para que los Sujetos Obligado justifiquen que realizaron una búsqueda exhaustiva y razonable, deben indicar de manera clara, lo siguiente:</w:t>
      </w:r>
    </w:p>
    <w:p w:rsidR="00591802" w:rsidRDefault="00591802">
      <w:pPr>
        <w:spacing w:after="0" w:line="360" w:lineRule="auto"/>
      </w:pPr>
    </w:p>
    <w:p w:rsidR="00591802" w:rsidRDefault="00765CD9">
      <w:pPr>
        <w:numPr>
          <w:ilvl w:val="0"/>
          <w:numId w:val="3"/>
        </w:numPr>
        <w:spacing w:after="0" w:line="360" w:lineRule="auto"/>
      </w:pPr>
      <w:r>
        <w:t>Las áreas donde se buscó la información;</w:t>
      </w:r>
    </w:p>
    <w:p w:rsidR="00591802" w:rsidRDefault="00765CD9">
      <w:pPr>
        <w:numPr>
          <w:ilvl w:val="0"/>
          <w:numId w:val="3"/>
        </w:numPr>
        <w:spacing w:after="0" w:line="360" w:lineRule="auto"/>
      </w:pPr>
      <w:r>
        <w:t>Tipo de archivos buscados (físicos o electrónicos);</w:t>
      </w:r>
    </w:p>
    <w:p w:rsidR="00591802" w:rsidRDefault="00765CD9">
      <w:pPr>
        <w:numPr>
          <w:ilvl w:val="0"/>
          <w:numId w:val="3"/>
        </w:numPr>
        <w:spacing w:after="0" w:line="360" w:lineRule="auto"/>
      </w:pPr>
      <w:r>
        <w:t xml:space="preserve">Los criterios de búsqueda utilizados, y </w:t>
      </w:r>
    </w:p>
    <w:p w:rsidR="00591802" w:rsidRDefault="00765CD9">
      <w:pPr>
        <w:numPr>
          <w:ilvl w:val="0"/>
          <w:numId w:val="3"/>
        </w:numPr>
        <w:spacing w:after="0" w:line="360" w:lineRule="auto"/>
      </w:pPr>
      <w:r>
        <w:t>Las circunstancias que fueron tomadas en cuenta.</w:t>
      </w:r>
      <w:r>
        <w:tab/>
      </w:r>
    </w:p>
    <w:p w:rsidR="00591802" w:rsidRDefault="00591802">
      <w:pPr>
        <w:spacing w:after="0" w:line="360" w:lineRule="auto"/>
        <w:rPr>
          <w:color w:val="000000"/>
        </w:rPr>
      </w:pPr>
    </w:p>
    <w:p w:rsidR="00591802" w:rsidRDefault="00765CD9">
      <w:pPr>
        <w:widowControl w:val="0"/>
        <w:spacing w:after="0" w:line="360" w:lineRule="auto"/>
        <w:rPr>
          <w:color w:val="000000"/>
        </w:rPr>
      </w:pPr>
      <w:r>
        <w:rPr>
          <w:color w:val="000000"/>
        </w:rPr>
        <w:t xml:space="preserve">Así, a efecto de determinar si el Sujeto Obligado siguió el procedimiento antes descrito, es necesario precisar que turno la solicitud a la Contraloría Interna Municipal, que es el área de </w:t>
      </w:r>
      <w:r>
        <w:rPr>
          <w:color w:val="000000"/>
        </w:rPr>
        <w:lastRenderedPageBreak/>
        <w:t xml:space="preserve">la cual se requirió la información, por lo que, esta resulta competente para pronunciarse sobre la información requerida; sin embargo, conforme al artículo </w:t>
      </w:r>
      <w:r>
        <w:t>44, fracción I, del Bando Municipal de Policía y Gobierno de Temamatla, dos mil veinticuatro, con relación al 87, fracción I, y 91 de la Ley Orgánica Municipal del Estado de México, también cuenta con la Secretaría del Ayuntamiento, encargada de levantar las Actas de Cabildo; de llevar y conservar los libros de las Actas referidas; así como, publicar los reglamentos y disposiciones municipales y compilar la normatividad aplicable al Municipio.</w:t>
      </w:r>
    </w:p>
    <w:p w:rsidR="00591802" w:rsidRDefault="00591802">
      <w:pPr>
        <w:widowControl w:val="0"/>
        <w:spacing w:after="0" w:line="360" w:lineRule="auto"/>
        <w:rPr>
          <w:color w:val="000000"/>
        </w:rPr>
      </w:pPr>
    </w:p>
    <w:p w:rsidR="00591802" w:rsidRDefault="00765CD9">
      <w:pPr>
        <w:widowControl w:val="0"/>
        <w:spacing w:after="0" w:line="360" w:lineRule="auto"/>
        <w:rPr>
          <w:color w:val="000000"/>
        </w:rPr>
      </w:pPr>
      <w:r>
        <w:rPr>
          <w:color w:val="000000"/>
        </w:rPr>
        <w:t>Conforme a lo anterior, se logra vislumbrar que el Sujeto Obligado no cumplió con el primer requisito, pues omitió turnar la solicitud de información a la Secretaría del Ayuntamiento, que cuenta con atribuciones para pronunciarse de lo peticionado.</w:t>
      </w:r>
    </w:p>
    <w:p w:rsidR="00591802" w:rsidRDefault="00591802">
      <w:pPr>
        <w:widowControl w:val="0"/>
        <w:spacing w:after="0" w:line="360" w:lineRule="auto"/>
        <w:rPr>
          <w:color w:val="000000"/>
        </w:rPr>
      </w:pPr>
    </w:p>
    <w:p w:rsidR="00591802" w:rsidRDefault="00765CD9">
      <w:pPr>
        <w:widowControl w:val="0"/>
        <w:spacing w:after="0" w:line="360" w:lineRule="auto"/>
        <w:rPr>
          <w:color w:val="000000"/>
        </w:rPr>
      </w:pPr>
      <w:r>
        <w:rPr>
          <w:color w:val="000000"/>
        </w:rPr>
        <w:t>Ahora bien, la Contraloría Interna Municipal indicó que no contaba con un Reglamento Interior de la administración 2022-2024, lo cual se traduce al hecho de que durante los ejercicios fiscales dos mil veintidós, dos mil veintitrés y dos mil veinticuatro, no se había emitido algún documento.</w:t>
      </w:r>
    </w:p>
    <w:p w:rsidR="00591802" w:rsidRDefault="00591802">
      <w:pPr>
        <w:widowControl w:val="0"/>
        <w:spacing w:after="0" w:line="360" w:lineRule="auto"/>
        <w:rPr>
          <w:color w:val="000000"/>
        </w:rPr>
      </w:pPr>
    </w:p>
    <w:p w:rsidR="00591802" w:rsidRDefault="00765CD9">
      <w:pPr>
        <w:widowControl w:val="0"/>
        <w:spacing w:after="0" w:line="360" w:lineRule="auto"/>
        <w:rPr>
          <w:color w:val="000000"/>
        </w:rPr>
      </w:pPr>
      <w:r>
        <w:rPr>
          <w:color w:val="000000"/>
        </w:rPr>
        <w:t>Sobre dicha situación, resulta necesario precisar que, si bien indicó que no se había emitido durante la presente administración el documento, lo cierto es que omitió pronunciarse respecto a si contaba con el Reglamento Interior de una administración pasada, vigente o aplicándose a la fecha de la solicitud, por lo que, no se puede tener por atendido el requerimiento de información.</w:t>
      </w:r>
    </w:p>
    <w:p w:rsidR="00591802" w:rsidRDefault="00591802">
      <w:pPr>
        <w:widowControl w:val="0"/>
        <w:spacing w:after="0" w:line="360" w:lineRule="auto"/>
        <w:rPr>
          <w:color w:val="000000"/>
        </w:rPr>
      </w:pPr>
    </w:p>
    <w:p w:rsidR="00591802" w:rsidRDefault="00765CD9">
      <w:pPr>
        <w:spacing w:after="0" w:line="360" w:lineRule="auto"/>
        <w:rPr>
          <w:color w:val="000000"/>
        </w:rPr>
      </w:pPr>
      <w:r>
        <w:rPr>
          <w:color w:val="000000"/>
        </w:rPr>
        <w:t xml:space="preserve">Ahora bien, respecto a los Manuales de Organización y Procedimientos, es necesario precisar que la Contraloría Interna Municipal, omitió pronunciarse sobre dichas documentales; sobre el tema, el artículo 1.8, fracción XIII, del Código Administrativo del Estado de México, </w:t>
      </w:r>
      <w:r>
        <w:rPr>
          <w:color w:val="000000"/>
        </w:rPr>
        <w:lastRenderedPageBreak/>
        <w:t>establece que para que tenga validez, todo acto administrativo deberá resolver todos los puntos propuestos por los interesados.</w:t>
      </w:r>
    </w:p>
    <w:p w:rsidR="00591802" w:rsidRDefault="00591802">
      <w:pPr>
        <w:widowControl w:val="0"/>
        <w:spacing w:after="0" w:line="360" w:lineRule="auto"/>
        <w:rPr>
          <w:color w:val="000000"/>
        </w:rPr>
      </w:pPr>
    </w:p>
    <w:p w:rsidR="00591802" w:rsidRDefault="00765CD9">
      <w:pPr>
        <w:tabs>
          <w:tab w:val="center" w:pos="4522"/>
        </w:tabs>
        <w:spacing w:after="0" w:line="360" w:lineRule="auto"/>
        <w:rPr>
          <w:color w:val="000000"/>
        </w:rPr>
      </w:pPr>
      <w:r>
        <w:rPr>
          <w:color w:val="000000"/>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Pr>
          <w:b/>
          <w:color w:val="000000"/>
        </w:rPr>
        <w:t>principio de exhaustividad</w:t>
      </w:r>
      <w:r>
        <w:rPr>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rsidR="00591802" w:rsidRDefault="00591802">
      <w:pPr>
        <w:spacing w:after="0" w:line="360" w:lineRule="auto"/>
        <w:rPr>
          <w:color w:val="000000"/>
        </w:rPr>
      </w:pPr>
    </w:p>
    <w:p w:rsidR="00591802" w:rsidRDefault="00765CD9">
      <w:pPr>
        <w:widowControl w:val="0"/>
        <w:spacing w:after="0" w:line="360" w:lineRule="auto"/>
        <w:rPr>
          <w:color w:val="000000"/>
        </w:rPr>
      </w:pPr>
      <w:r>
        <w:rPr>
          <w:color w:val="000000"/>
        </w:rPr>
        <w:t>En esa tesitura, se concluye que el Sujeto Obligado no satisfizo el derecho de acceso a la información del Solicitante, pues omitió pronunciarse sobre los Manuales solicitados, lo cual toma relevancia, pues se localizó el Primer Informe de Gobierno de Temamatla, dos mil veintidós, el cual precisa que durante dicho ejercicio fiscal se actualizaron los manuales de organización y de procedimientos de cada una de las dependencias generales, tal como se muestra a continuación:</w:t>
      </w:r>
    </w:p>
    <w:p w:rsidR="00591802" w:rsidRDefault="00591802">
      <w:pPr>
        <w:widowControl w:val="0"/>
        <w:spacing w:after="0" w:line="360" w:lineRule="auto"/>
        <w:rPr>
          <w:color w:val="000000"/>
        </w:rPr>
      </w:pPr>
    </w:p>
    <w:p w:rsidR="00591802" w:rsidRDefault="00765CD9">
      <w:pPr>
        <w:widowControl w:val="0"/>
        <w:spacing w:after="0" w:line="360" w:lineRule="auto"/>
        <w:jc w:val="center"/>
        <w:rPr>
          <w:color w:val="000000"/>
        </w:rPr>
      </w:pPr>
      <w:r>
        <w:rPr>
          <w:noProof/>
          <w:color w:val="000000"/>
        </w:rPr>
        <w:drawing>
          <wp:inline distT="0" distB="0" distL="0" distR="0">
            <wp:extent cx="5029051" cy="1350878"/>
            <wp:effectExtent l="0" t="0" r="0" b="0"/>
            <wp:docPr id="20979610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029051" cy="1350878"/>
                    </a:xfrm>
                    <a:prstGeom prst="rect">
                      <a:avLst/>
                    </a:prstGeom>
                    <a:ln/>
                  </pic:spPr>
                </pic:pic>
              </a:graphicData>
            </a:graphic>
          </wp:inline>
        </w:drawing>
      </w:r>
    </w:p>
    <w:p w:rsidR="00591802" w:rsidRDefault="00591802">
      <w:pPr>
        <w:spacing w:after="0" w:line="360" w:lineRule="auto"/>
      </w:pPr>
    </w:p>
    <w:p w:rsidR="00591802" w:rsidRDefault="00765CD9">
      <w:pPr>
        <w:spacing w:after="0" w:line="360" w:lineRule="auto"/>
        <w:rPr>
          <w:color w:val="000000"/>
        </w:rPr>
      </w:pPr>
      <w:r>
        <w:rPr>
          <w:color w:val="000000"/>
        </w:rPr>
        <w:lastRenderedPageBreak/>
        <w:t>Además, se localizó el Plan de Desarrollo Municipal 2022-2024, el cual establece que del mes uno al nueve de la administración se revisaron los Manuales que estaban en existencia, para aplicar modificaciones y creación de regulaciones; por lo que, se presentaron los siguientes ordenamientos jurídicos:</w:t>
      </w:r>
    </w:p>
    <w:p w:rsidR="00591802" w:rsidRDefault="00591802">
      <w:pPr>
        <w:spacing w:after="0" w:line="360" w:lineRule="auto"/>
        <w:rPr>
          <w:color w:val="000000"/>
        </w:rPr>
      </w:pPr>
    </w:p>
    <w:p w:rsidR="00591802" w:rsidRDefault="00765CD9">
      <w:pPr>
        <w:spacing w:after="0" w:line="360" w:lineRule="auto"/>
        <w:jc w:val="center"/>
        <w:rPr>
          <w:color w:val="000000"/>
        </w:rPr>
      </w:pPr>
      <w:r>
        <w:rPr>
          <w:noProof/>
          <w:color w:val="000000"/>
        </w:rPr>
        <w:drawing>
          <wp:inline distT="0" distB="0" distL="0" distR="0">
            <wp:extent cx="4914900" cy="2842949"/>
            <wp:effectExtent l="0" t="0" r="0" b="0"/>
            <wp:docPr id="20979610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914900" cy="2842949"/>
                    </a:xfrm>
                    <a:prstGeom prst="rect">
                      <a:avLst/>
                    </a:prstGeom>
                    <a:ln/>
                  </pic:spPr>
                </pic:pic>
              </a:graphicData>
            </a:graphic>
          </wp:inline>
        </w:drawing>
      </w:r>
    </w:p>
    <w:p w:rsidR="00591802" w:rsidRDefault="00765CD9">
      <w:pPr>
        <w:tabs>
          <w:tab w:val="left" w:pos="4962"/>
        </w:tabs>
        <w:spacing w:after="0" w:line="360" w:lineRule="auto"/>
        <w:jc w:val="center"/>
      </w:pPr>
      <w:r>
        <w:rPr>
          <w:noProof/>
        </w:rPr>
        <w:drawing>
          <wp:inline distT="0" distB="0" distL="0" distR="0">
            <wp:extent cx="4890051" cy="2944105"/>
            <wp:effectExtent l="0" t="0" r="0" b="0"/>
            <wp:docPr id="20979610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890051" cy="2944105"/>
                    </a:xfrm>
                    <a:prstGeom prst="rect">
                      <a:avLst/>
                    </a:prstGeom>
                    <a:ln/>
                  </pic:spPr>
                </pic:pic>
              </a:graphicData>
            </a:graphic>
          </wp:inline>
        </w:drawing>
      </w:r>
    </w:p>
    <w:p w:rsidR="00591802" w:rsidRDefault="00591802">
      <w:pPr>
        <w:tabs>
          <w:tab w:val="left" w:pos="4962"/>
        </w:tabs>
        <w:spacing w:after="0" w:line="360" w:lineRule="auto"/>
      </w:pPr>
    </w:p>
    <w:p w:rsidR="00591802" w:rsidRDefault="00765CD9">
      <w:pPr>
        <w:tabs>
          <w:tab w:val="left" w:pos="4962"/>
        </w:tabs>
        <w:spacing w:after="0" w:line="360" w:lineRule="auto"/>
      </w:pPr>
      <w:r>
        <w:t>Además, se localizó el Manual de Organización y Procedimientos de la administración 2919-2021, tal como se muestra a continuación:</w:t>
      </w:r>
    </w:p>
    <w:p w:rsidR="00591802" w:rsidRDefault="00591802">
      <w:pPr>
        <w:tabs>
          <w:tab w:val="left" w:pos="4962"/>
        </w:tabs>
        <w:spacing w:after="0" w:line="360" w:lineRule="auto"/>
      </w:pPr>
    </w:p>
    <w:p w:rsidR="00591802" w:rsidRDefault="00765CD9">
      <w:pPr>
        <w:tabs>
          <w:tab w:val="left" w:pos="4962"/>
        </w:tabs>
        <w:spacing w:after="0" w:line="360" w:lineRule="auto"/>
        <w:jc w:val="center"/>
      </w:pPr>
      <w:r>
        <w:rPr>
          <w:noProof/>
        </w:rPr>
        <w:drawing>
          <wp:inline distT="0" distB="0" distL="0" distR="0">
            <wp:extent cx="2664720" cy="1140063"/>
            <wp:effectExtent l="0" t="0" r="0" b="0"/>
            <wp:docPr id="20979610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664720" cy="1140063"/>
                    </a:xfrm>
                    <a:prstGeom prst="rect">
                      <a:avLst/>
                    </a:prstGeom>
                    <a:ln/>
                  </pic:spPr>
                </pic:pic>
              </a:graphicData>
            </a:graphic>
          </wp:inline>
        </w:drawing>
      </w:r>
    </w:p>
    <w:p w:rsidR="00591802" w:rsidRDefault="00591802">
      <w:pPr>
        <w:tabs>
          <w:tab w:val="left" w:pos="4962"/>
        </w:tabs>
        <w:spacing w:after="0" w:line="360" w:lineRule="auto"/>
        <w:jc w:val="center"/>
      </w:pPr>
    </w:p>
    <w:p w:rsidR="00591802" w:rsidRDefault="00765CD9">
      <w:pPr>
        <w:tabs>
          <w:tab w:val="left" w:pos="4962"/>
        </w:tabs>
        <w:spacing w:after="0" w:line="360" w:lineRule="auto"/>
        <w:jc w:val="center"/>
      </w:pPr>
      <w:r>
        <w:rPr>
          <w:noProof/>
        </w:rPr>
        <w:drawing>
          <wp:inline distT="0" distB="0" distL="0" distR="0">
            <wp:extent cx="2668847" cy="1153482"/>
            <wp:effectExtent l="0" t="0" r="0" b="0"/>
            <wp:docPr id="20979610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668847" cy="1153482"/>
                    </a:xfrm>
                    <a:prstGeom prst="rect">
                      <a:avLst/>
                    </a:prstGeom>
                    <a:ln/>
                  </pic:spPr>
                </pic:pic>
              </a:graphicData>
            </a:graphic>
          </wp:inline>
        </w:drawing>
      </w:r>
    </w:p>
    <w:p w:rsidR="00591802" w:rsidRDefault="00591802">
      <w:pPr>
        <w:tabs>
          <w:tab w:val="left" w:pos="4962"/>
        </w:tabs>
        <w:spacing w:after="0" w:line="360" w:lineRule="auto"/>
        <w:jc w:val="center"/>
      </w:pPr>
    </w:p>
    <w:p w:rsidR="00591802" w:rsidRDefault="00765CD9">
      <w:pPr>
        <w:tabs>
          <w:tab w:val="left" w:pos="4962"/>
        </w:tabs>
        <w:spacing w:after="0" w:line="360" w:lineRule="auto"/>
      </w:pPr>
      <w:r>
        <w:t>Asimismo, se localizó el Manual de Organización de la Contraloría Interna Municipal, de la administración 2022-2024, mismo que fue acordado por el Cabildo, tal como se muestra a continuación:</w:t>
      </w:r>
    </w:p>
    <w:p w:rsidR="00591802" w:rsidRDefault="00591802">
      <w:pPr>
        <w:tabs>
          <w:tab w:val="left" w:pos="4962"/>
        </w:tabs>
        <w:spacing w:after="0" w:line="360" w:lineRule="auto"/>
      </w:pPr>
    </w:p>
    <w:p w:rsidR="00591802" w:rsidRDefault="00765CD9">
      <w:pPr>
        <w:tabs>
          <w:tab w:val="left" w:pos="4962"/>
        </w:tabs>
        <w:spacing w:after="0" w:line="360" w:lineRule="auto"/>
        <w:jc w:val="center"/>
      </w:pPr>
      <w:r>
        <w:rPr>
          <w:noProof/>
        </w:rPr>
        <w:drawing>
          <wp:inline distT="0" distB="0" distL="0" distR="0">
            <wp:extent cx="2879004" cy="2216764"/>
            <wp:effectExtent l="0" t="0" r="0" b="0"/>
            <wp:docPr id="209796109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879004" cy="2216764"/>
                    </a:xfrm>
                    <a:prstGeom prst="rect">
                      <a:avLst/>
                    </a:prstGeom>
                    <a:ln/>
                  </pic:spPr>
                </pic:pic>
              </a:graphicData>
            </a:graphic>
          </wp:inline>
        </w:drawing>
      </w:r>
    </w:p>
    <w:p w:rsidR="00591802" w:rsidRDefault="00591802">
      <w:pPr>
        <w:tabs>
          <w:tab w:val="left" w:pos="4962"/>
        </w:tabs>
        <w:spacing w:after="0" w:line="360" w:lineRule="auto"/>
      </w:pPr>
    </w:p>
    <w:p w:rsidR="00591802" w:rsidRDefault="00765CD9">
      <w:pPr>
        <w:tabs>
          <w:tab w:val="left" w:pos="4962"/>
        </w:tabs>
        <w:spacing w:after="0" w:line="360" w:lineRule="auto"/>
      </w:pPr>
      <w:r>
        <w:rPr>
          <w:noProof/>
        </w:rPr>
        <w:drawing>
          <wp:inline distT="0" distB="0" distL="0" distR="0">
            <wp:extent cx="5671185" cy="716915"/>
            <wp:effectExtent l="0" t="0" r="0" b="0"/>
            <wp:docPr id="209796109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71185" cy="716915"/>
                    </a:xfrm>
                    <a:prstGeom prst="rect">
                      <a:avLst/>
                    </a:prstGeom>
                    <a:ln/>
                  </pic:spPr>
                </pic:pic>
              </a:graphicData>
            </a:graphic>
          </wp:inline>
        </w:drawing>
      </w:r>
    </w:p>
    <w:p w:rsidR="00591802" w:rsidRDefault="00765CD9">
      <w:pPr>
        <w:tabs>
          <w:tab w:val="left" w:pos="4962"/>
        </w:tabs>
        <w:spacing w:after="0" w:line="360" w:lineRule="auto"/>
      </w:pPr>
      <w:r>
        <w:t xml:space="preserve"> </w:t>
      </w:r>
    </w:p>
    <w:p w:rsidR="00591802" w:rsidRDefault="00765CD9">
      <w:pPr>
        <w:spacing w:after="0" w:line="360" w:lineRule="auto"/>
      </w:pPr>
      <w:r>
        <w:t xml:space="preserve">De tales circunstancias, se considera que el agravio resulta </w:t>
      </w:r>
      <w:r>
        <w:rPr>
          <w:b/>
        </w:rPr>
        <w:t xml:space="preserve">FUNDADO, </w:t>
      </w:r>
      <w:r>
        <w:t>pues el Sujeto Obligado no cumplió con el procedimiento de búsqueda, ni se pronunció u proporcionó la información requerida por el Particular; por lo que, se considera que, para atender el requerimiento de información, el Ayuntamiento deberá realizar una indagación exhaustiva y razonable en los archivos de las unidades administrativas competentes, a efecto de que se proporcione, de la Contraloría Interna Municipal, lo siguiente:</w:t>
      </w:r>
    </w:p>
    <w:p w:rsidR="00591802" w:rsidRDefault="00591802">
      <w:pPr>
        <w:spacing w:after="0" w:line="360" w:lineRule="auto"/>
      </w:pPr>
    </w:p>
    <w:p w:rsidR="00591802" w:rsidRDefault="00765CD9">
      <w:pPr>
        <w:numPr>
          <w:ilvl w:val="0"/>
          <w:numId w:val="4"/>
        </w:numPr>
        <w:pBdr>
          <w:top w:val="nil"/>
          <w:left w:val="nil"/>
          <w:bottom w:val="nil"/>
          <w:right w:val="nil"/>
          <w:between w:val="nil"/>
        </w:pBdr>
        <w:spacing w:after="0" w:line="360" w:lineRule="auto"/>
        <w:rPr>
          <w:color w:val="000000"/>
        </w:rPr>
      </w:pPr>
      <w:r>
        <w:rPr>
          <w:color w:val="000000"/>
        </w:rPr>
        <w:t>Manual de Organización de la administración 2022-2024, y</w:t>
      </w:r>
    </w:p>
    <w:p w:rsidR="00591802" w:rsidRDefault="00591802">
      <w:pPr>
        <w:pBdr>
          <w:top w:val="nil"/>
          <w:left w:val="nil"/>
          <w:bottom w:val="nil"/>
          <w:right w:val="nil"/>
          <w:between w:val="nil"/>
        </w:pBdr>
        <w:spacing w:after="0" w:line="360" w:lineRule="auto"/>
        <w:ind w:left="720"/>
        <w:rPr>
          <w:color w:val="000000"/>
        </w:rPr>
      </w:pPr>
    </w:p>
    <w:p w:rsidR="00591802" w:rsidRDefault="00765CD9">
      <w:pPr>
        <w:numPr>
          <w:ilvl w:val="0"/>
          <w:numId w:val="4"/>
        </w:numPr>
        <w:pBdr>
          <w:top w:val="nil"/>
          <w:left w:val="nil"/>
          <w:bottom w:val="nil"/>
          <w:right w:val="nil"/>
          <w:between w:val="nil"/>
        </w:pBdr>
        <w:spacing w:after="0" w:line="360" w:lineRule="auto"/>
        <w:rPr>
          <w:color w:val="000000"/>
        </w:rPr>
      </w:pPr>
      <w:r>
        <w:rPr>
          <w:color w:val="000000"/>
        </w:rPr>
        <w:t>Manual de Procedimientos y Reglamento Interior vigente al cuatro de octubre de dos mil veinticuatro; dicha situación, pues no se localizó que se haya emitido el Manual de Procedimientos en la presente administración, al localizarse que se encontraba pendiente.</w:t>
      </w:r>
    </w:p>
    <w:p w:rsidR="00591802" w:rsidRDefault="00591802">
      <w:pPr>
        <w:pBdr>
          <w:top w:val="nil"/>
          <w:left w:val="nil"/>
          <w:bottom w:val="nil"/>
          <w:right w:val="nil"/>
          <w:between w:val="nil"/>
        </w:pBdr>
        <w:spacing w:after="0"/>
        <w:ind w:left="720"/>
        <w:rPr>
          <w:color w:val="000000"/>
        </w:rPr>
      </w:pPr>
    </w:p>
    <w:p w:rsidR="00591802" w:rsidRDefault="00765CD9">
      <w:pPr>
        <w:numPr>
          <w:ilvl w:val="0"/>
          <w:numId w:val="4"/>
        </w:numPr>
        <w:pBdr>
          <w:top w:val="nil"/>
          <w:left w:val="nil"/>
          <w:bottom w:val="nil"/>
          <w:right w:val="nil"/>
          <w:between w:val="nil"/>
        </w:pBdr>
        <w:spacing w:after="0" w:line="360" w:lineRule="auto"/>
        <w:rPr>
          <w:color w:val="000000"/>
        </w:rPr>
      </w:pPr>
      <w:r>
        <w:rPr>
          <w:color w:val="000000"/>
        </w:rPr>
        <w:t>Acta de la Sesión del Cabildo donde se aprobaron los documentos referidos previamente.</w:t>
      </w:r>
    </w:p>
    <w:p w:rsidR="00591802" w:rsidRDefault="00591802">
      <w:pPr>
        <w:spacing w:after="0" w:line="360" w:lineRule="auto"/>
      </w:pPr>
    </w:p>
    <w:p w:rsidR="00591802" w:rsidRDefault="00765CD9">
      <w:pPr>
        <w:spacing w:after="0" w:line="360" w:lineRule="auto"/>
      </w:pPr>
      <w:r>
        <w:t>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591802" w:rsidRDefault="00765CD9">
      <w:pPr>
        <w:spacing w:after="0" w:line="360" w:lineRule="auto"/>
        <w:ind w:right="-28"/>
      </w:pPr>
      <w:r>
        <w:lastRenderedPageBreak/>
        <w:t xml:space="preserve"> </w:t>
      </w:r>
    </w:p>
    <w:p w:rsidR="00591802" w:rsidRDefault="00765CD9">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rsidR="00591802" w:rsidRDefault="00765CD9">
      <w:pPr>
        <w:spacing w:after="0" w:line="360" w:lineRule="auto"/>
        <w:ind w:right="-28"/>
      </w:pPr>
      <w:r>
        <w:t xml:space="preserve"> </w:t>
      </w:r>
    </w:p>
    <w:p w:rsidR="00591802" w:rsidRDefault="00765CD9">
      <w:pPr>
        <w:spacing w:after="0" w:line="360" w:lineRule="auto"/>
      </w:pPr>
      <w: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información solicitada.</w:t>
      </w:r>
    </w:p>
    <w:p w:rsidR="00591802" w:rsidRDefault="00591802">
      <w:pPr>
        <w:spacing w:after="0" w:line="360" w:lineRule="auto"/>
      </w:pPr>
    </w:p>
    <w:p w:rsidR="00591802" w:rsidRDefault="00765CD9">
      <w:pPr>
        <w:spacing w:after="0" w:line="360" w:lineRule="auto"/>
      </w:pPr>
      <w:r>
        <w:t>Ahora bien, para el caso de que no se haya emitido algún Reglamento Interior de la Contraloría Interna Municipal, deberá hacerlo del conocimiento de la parte Recurrente, de manera clara y precisa, en términos del artículo 19, párrafo segundo de la Ley de Transparencia y Acceso a la Información Pública del Estado de México y Municipios; dicha situación, ya que se realizó una indagación en la página oficial y en el Portal de Información Pública de Oficio Mexiquense y no se localizó que en años anteriores se haya emitido dicha documental.</w:t>
      </w:r>
    </w:p>
    <w:p w:rsidR="00591802" w:rsidRDefault="00591802">
      <w:pPr>
        <w:spacing w:after="0" w:line="360" w:lineRule="auto"/>
      </w:pPr>
    </w:p>
    <w:p w:rsidR="00591802" w:rsidRDefault="00765CD9">
      <w:pPr>
        <w:spacing w:after="0" w:line="360" w:lineRule="auto"/>
        <w:rPr>
          <w:color w:val="000000"/>
        </w:rPr>
      </w:pPr>
      <w:r>
        <w:t xml:space="preserve">No pasa desapercibido para este Instituto que las Actas de Cabildo pueden tener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w:t>
      </w:r>
      <w:r>
        <w:lastRenderedPageBreak/>
        <w:t>elaborar una versión Pública en la que se testen las partes o secciones clasificadas, indicando su contenido de manera genérica y fundando y motivando su clasificación.</w:t>
      </w:r>
      <w:r>
        <w:rPr>
          <w:color w:val="000000"/>
        </w:rPr>
        <w:t xml:space="preserve"> </w:t>
      </w:r>
    </w:p>
    <w:p w:rsidR="00591802" w:rsidRDefault="00591802">
      <w:pPr>
        <w:spacing w:after="0" w:line="360" w:lineRule="auto"/>
        <w:rPr>
          <w:color w:val="000000"/>
        </w:rPr>
      </w:pPr>
    </w:p>
    <w:p w:rsidR="00591802" w:rsidRDefault="00765CD9">
      <w:pPr>
        <w:spacing w:after="0" w:line="360" w:lineRule="auto"/>
        <w:rPr>
          <w:color w:val="000000"/>
        </w:rPr>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591802" w:rsidRDefault="00591802">
      <w:pPr>
        <w:spacing w:after="0" w:line="360" w:lineRule="auto"/>
      </w:pPr>
    </w:p>
    <w:p w:rsidR="00591802" w:rsidRDefault="00353DEC">
      <w:pPr>
        <w:spacing w:after="0" w:line="360" w:lineRule="auto"/>
        <w:rPr>
          <w:b/>
          <w:color w:val="000000"/>
        </w:rPr>
      </w:pPr>
      <w:r>
        <w:rPr>
          <w:b/>
          <w:color w:val="000000"/>
        </w:rPr>
        <w:t>SEXTO. Decisión</w:t>
      </w:r>
    </w:p>
    <w:p w:rsidR="00591802" w:rsidRDefault="00591802">
      <w:pPr>
        <w:spacing w:after="0" w:line="360" w:lineRule="auto"/>
        <w:rPr>
          <w:b/>
          <w:color w:val="000000"/>
        </w:rPr>
      </w:pPr>
    </w:p>
    <w:p w:rsidR="00591802" w:rsidRDefault="00765CD9">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 xml:space="preserve">MODIFICAR </w:t>
      </w:r>
      <w:r>
        <w:t>la respuesta otorgada por el Ayuntamiento de Temamatla, a efecto de que proporcione vía SAIMEX, la información solicitada.</w:t>
      </w:r>
    </w:p>
    <w:p w:rsidR="00591802" w:rsidRDefault="00591802">
      <w:pPr>
        <w:spacing w:after="0" w:line="360" w:lineRule="auto"/>
        <w:rPr>
          <w:color w:val="000000"/>
        </w:rPr>
      </w:pPr>
    </w:p>
    <w:p w:rsidR="00591802" w:rsidRDefault="00765CD9">
      <w:pPr>
        <w:spacing w:after="0" w:line="360" w:lineRule="auto"/>
        <w:rPr>
          <w:b/>
          <w:color w:val="000000"/>
        </w:rPr>
      </w:pPr>
      <w:r>
        <w:rPr>
          <w:b/>
          <w:color w:val="000000"/>
        </w:rPr>
        <w:t>Términos de la Resolución para conocimiento del Particular.</w:t>
      </w:r>
    </w:p>
    <w:p w:rsidR="00591802" w:rsidRDefault="00591802">
      <w:pPr>
        <w:spacing w:after="0" w:line="360" w:lineRule="auto"/>
        <w:rPr>
          <w:b/>
          <w:color w:val="000000"/>
        </w:rPr>
      </w:pPr>
    </w:p>
    <w:p w:rsidR="00591802" w:rsidRDefault="00765CD9">
      <w:pPr>
        <w:spacing w:after="0" w:line="360" w:lineRule="auto"/>
        <w:rPr>
          <w:color w:val="000000"/>
        </w:rPr>
      </w:pPr>
      <w:r>
        <w:rPr>
          <w:color w:val="000000"/>
        </w:rPr>
        <w:t>Se le hace del conocimiento al Particular, que, en el presente caso, se le concede la razón pues el Sujeto Obligado no remitió la información que obraba en sus archivos, por lo que, deberá realizar una búsqueda y entregar la normatividad que regula a la Contraloría Interna Municipal. La labor del Instituto, es apoyar a la población a acceder a la información pública y garantizar la protección de los datos personales.</w:t>
      </w:r>
    </w:p>
    <w:p w:rsidR="00591802" w:rsidRDefault="00591802">
      <w:pPr>
        <w:widowControl w:val="0"/>
        <w:spacing w:after="0" w:line="360" w:lineRule="auto"/>
        <w:rPr>
          <w:color w:val="000000"/>
        </w:rPr>
      </w:pPr>
    </w:p>
    <w:p w:rsidR="00591802" w:rsidRDefault="00765CD9">
      <w:pPr>
        <w:spacing w:after="0" w:line="360" w:lineRule="auto"/>
        <w:rPr>
          <w:color w:val="000000"/>
        </w:rPr>
      </w:pPr>
      <w:r>
        <w:rPr>
          <w:color w:val="000000"/>
        </w:rPr>
        <w:t>Por lo expuesto y fundado, este Pleno:</w:t>
      </w:r>
    </w:p>
    <w:p w:rsidR="00591802" w:rsidRDefault="00591802">
      <w:pPr>
        <w:spacing w:after="0" w:line="360" w:lineRule="auto"/>
        <w:rPr>
          <w:color w:val="000000"/>
        </w:rPr>
      </w:pPr>
    </w:p>
    <w:p w:rsidR="00591802" w:rsidRDefault="00765CD9">
      <w:pPr>
        <w:spacing w:after="0" w:line="360" w:lineRule="auto"/>
        <w:ind w:right="-91"/>
        <w:jc w:val="center"/>
        <w:rPr>
          <w:b/>
          <w:color w:val="000000"/>
        </w:rPr>
      </w:pPr>
      <w:r>
        <w:rPr>
          <w:b/>
          <w:color w:val="000000"/>
        </w:rPr>
        <w:t>R E S U E L V E:</w:t>
      </w:r>
    </w:p>
    <w:p w:rsidR="00591802" w:rsidRDefault="00591802">
      <w:pPr>
        <w:spacing w:after="0" w:line="360" w:lineRule="auto"/>
        <w:ind w:right="-91"/>
        <w:jc w:val="center"/>
        <w:rPr>
          <w:b/>
          <w:color w:val="000000"/>
        </w:rPr>
      </w:pPr>
    </w:p>
    <w:p w:rsidR="00591802" w:rsidRDefault="00765CD9">
      <w:pPr>
        <w:spacing w:after="0" w:line="360" w:lineRule="auto"/>
      </w:pPr>
      <w:r>
        <w:rPr>
          <w:b/>
          <w:color w:val="000000"/>
        </w:rPr>
        <w:lastRenderedPageBreak/>
        <w:t xml:space="preserve">PRIMERO. </w:t>
      </w:r>
      <w:r>
        <w:t xml:space="preserve">Se </w:t>
      </w:r>
      <w:r>
        <w:rPr>
          <w:b/>
        </w:rPr>
        <w:t>MODIFICA</w:t>
      </w:r>
      <w:r>
        <w:t xml:space="preserve"> la respuesta entregada por el Ayuntamiento de Temamatla, a la solicitud de información 00559/TEMAMATL/IP/2024, por resultar </w:t>
      </w:r>
      <w:r>
        <w:rPr>
          <w:b/>
        </w:rPr>
        <w:t>FUNDADAS</w:t>
      </w:r>
      <w:r>
        <w:t xml:space="preserve"> las razones o motivos de inconformidad hechos valer por el Particular, en términos de los considerandos QUINTO y SEXTO de la presente Resolución.</w:t>
      </w:r>
    </w:p>
    <w:p w:rsidR="00591802" w:rsidRDefault="00591802">
      <w:pPr>
        <w:spacing w:after="0" w:line="360" w:lineRule="auto"/>
        <w:rPr>
          <w:b/>
          <w:color w:val="000000"/>
        </w:rPr>
      </w:pPr>
    </w:p>
    <w:p w:rsidR="00591802" w:rsidRDefault="00765CD9">
      <w:pPr>
        <w:spacing w:after="0" w:line="360" w:lineRule="auto"/>
      </w:pPr>
      <w:r>
        <w:rPr>
          <w:b/>
          <w:color w:val="000000"/>
        </w:rPr>
        <w:t xml:space="preserve">SEGUNDO. </w:t>
      </w:r>
      <w:r>
        <w:rPr>
          <w:color w:val="000000"/>
        </w:rPr>
        <w:t xml:space="preserve">Se </w:t>
      </w:r>
      <w:r>
        <w:rPr>
          <w:b/>
          <w:color w:val="000000"/>
        </w:rPr>
        <w:t xml:space="preserve">ORDENA </w:t>
      </w:r>
      <w:r>
        <w:rPr>
          <w:color w:val="000000"/>
        </w:rPr>
        <w:t xml:space="preserve">al Ente Recurrido, a efecto de que previa búsqueda exhaustiva y razonable en las unidades administrativas competentes, entregue, a través del Sistema de Acceso a la Información Mexiquense (SAIMEX), </w:t>
      </w:r>
      <w:r>
        <w:t>lo siguiente:</w:t>
      </w:r>
    </w:p>
    <w:p w:rsidR="00591802" w:rsidRDefault="00591802">
      <w:pPr>
        <w:spacing w:after="0" w:line="360" w:lineRule="auto"/>
      </w:pPr>
    </w:p>
    <w:p w:rsidR="00591802" w:rsidRDefault="00765CD9">
      <w:pPr>
        <w:numPr>
          <w:ilvl w:val="0"/>
          <w:numId w:val="5"/>
        </w:numPr>
        <w:pBdr>
          <w:top w:val="nil"/>
          <w:left w:val="nil"/>
          <w:bottom w:val="nil"/>
          <w:right w:val="nil"/>
          <w:between w:val="nil"/>
        </w:pBdr>
        <w:spacing w:after="0" w:line="360" w:lineRule="auto"/>
        <w:rPr>
          <w:color w:val="000000"/>
        </w:rPr>
      </w:pPr>
      <w:r>
        <w:rPr>
          <w:color w:val="000000"/>
        </w:rPr>
        <w:t>El Manual de Organización de la Contraloría Interna Municipal, de la administración 2022-2024, y</w:t>
      </w:r>
    </w:p>
    <w:p w:rsidR="00591802" w:rsidRDefault="00591802">
      <w:pPr>
        <w:pBdr>
          <w:top w:val="nil"/>
          <w:left w:val="nil"/>
          <w:bottom w:val="nil"/>
          <w:right w:val="nil"/>
          <w:between w:val="nil"/>
        </w:pBdr>
        <w:spacing w:after="0" w:line="360" w:lineRule="auto"/>
        <w:ind w:left="720"/>
        <w:rPr>
          <w:color w:val="000000"/>
        </w:rPr>
      </w:pPr>
    </w:p>
    <w:p w:rsidR="00591802" w:rsidRDefault="00765CD9">
      <w:pPr>
        <w:numPr>
          <w:ilvl w:val="0"/>
          <w:numId w:val="5"/>
        </w:numPr>
        <w:pBdr>
          <w:top w:val="nil"/>
          <w:left w:val="nil"/>
          <w:bottom w:val="nil"/>
          <w:right w:val="nil"/>
          <w:between w:val="nil"/>
        </w:pBdr>
        <w:spacing w:after="0" w:line="360" w:lineRule="auto"/>
        <w:rPr>
          <w:color w:val="000000"/>
        </w:rPr>
      </w:pPr>
      <w:r>
        <w:rPr>
          <w:color w:val="000000"/>
        </w:rPr>
        <w:t>El Manual de Procedimientos y Reglamento Interior de la Contraloría Interna Municipal, vigentes al cuatro de octubre de dos mil veinticuatro, y</w:t>
      </w:r>
    </w:p>
    <w:p w:rsidR="00591802" w:rsidRDefault="00591802">
      <w:pPr>
        <w:pBdr>
          <w:top w:val="nil"/>
          <w:left w:val="nil"/>
          <w:bottom w:val="nil"/>
          <w:right w:val="nil"/>
          <w:between w:val="nil"/>
        </w:pBdr>
        <w:spacing w:after="0"/>
        <w:ind w:left="720"/>
        <w:rPr>
          <w:color w:val="000000"/>
        </w:rPr>
      </w:pPr>
    </w:p>
    <w:p w:rsidR="00591802" w:rsidRDefault="00765CD9">
      <w:pPr>
        <w:numPr>
          <w:ilvl w:val="0"/>
          <w:numId w:val="5"/>
        </w:numPr>
        <w:pBdr>
          <w:top w:val="nil"/>
          <w:left w:val="nil"/>
          <w:bottom w:val="nil"/>
          <w:right w:val="nil"/>
          <w:between w:val="nil"/>
        </w:pBdr>
        <w:spacing w:after="0" w:line="360" w:lineRule="auto"/>
        <w:rPr>
          <w:color w:val="000000"/>
        </w:rPr>
      </w:pPr>
      <w:r>
        <w:rPr>
          <w:color w:val="000000"/>
        </w:rPr>
        <w:t>En su caso, en versión pública, las Actas de la Sesiones del Cabildo donde se aprobaron los documentos referidos en los numerales 1 y 2.</w:t>
      </w:r>
    </w:p>
    <w:p w:rsidR="00591802" w:rsidRDefault="00591802">
      <w:pPr>
        <w:spacing w:after="0" w:line="360" w:lineRule="auto"/>
      </w:pPr>
    </w:p>
    <w:p w:rsidR="00591802" w:rsidRDefault="00765CD9">
      <w:pPr>
        <w:spacing w:after="0" w:line="360" w:lineRule="auto"/>
      </w:pPr>
      <w:r>
        <w:t>Para el caso, de que no cuente con un Reglamento Interior vigente, deberá hacerlo del conocimiento del ahora Recurrente, de manera clara y precisa.</w:t>
      </w:r>
    </w:p>
    <w:p w:rsidR="00591802" w:rsidRDefault="00591802">
      <w:pPr>
        <w:spacing w:after="0" w:line="360" w:lineRule="auto"/>
      </w:pPr>
    </w:p>
    <w:p w:rsidR="00591802" w:rsidRDefault="00765CD9">
      <w:pPr>
        <w:spacing w:after="0" w:line="360" w:lineRule="auto"/>
      </w:pPr>
      <w:r>
        <w:t>Además, de ser necesario para el punto 3, deberá proporcionar el Acuerdo de Clasificación donde el Comité de Transparencia, confirme la eliminación de los datos o información, en la versión pública, de conformidad con los artículos 49, fracciones II y VIII y 132, fracción II de la Ley de la materia.</w:t>
      </w:r>
    </w:p>
    <w:p w:rsidR="00591802" w:rsidRDefault="00591802">
      <w:pPr>
        <w:spacing w:after="0" w:line="360" w:lineRule="auto"/>
      </w:pPr>
    </w:p>
    <w:p w:rsidR="00591802" w:rsidRDefault="00765CD9">
      <w:pPr>
        <w:spacing w:after="0" w:line="360" w:lineRule="auto"/>
        <w:rPr>
          <w:color w:val="000000"/>
        </w:rPr>
      </w:pPr>
      <w:r>
        <w:rPr>
          <w:b/>
          <w:color w:val="000000"/>
        </w:rPr>
        <w:lastRenderedPageBreak/>
        <w:t xml:space="preserve">TERCERO. </w:t>
      </w:r>
      <w:r>
        <w:rPr>
          <w:b/>
        </w:rPr>
        <w:t xml:space="preserve">NOTIFÍQUESE  VÍA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591802" w:rsidRDefault="00591802">
      <w:pPr>
        <w:spacing w:after="0" w:line="360" w:lineRule="auto"/>
        <w:rPr>
          <w:color w:val="000000"/>
        </w:rPr>
      </w:pPr>
    </w:p>
    <w:p w:rsidR="00591802" w:rsidRDefault="00765CD9">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rsidR="00591802" w:rsidRDefault="00591802">
      <w:pPr>
        <w:spacing w:after="0" w:line="360" w:lineRule="auto"/>
      </w:pPr>
    </w:p>
    <w:p w:rsidR="00591802" w:rsidRDefault="00765CD9">
      <w:pPr>
        <w:spacing w:after="0" w:line="360" w:lineRule="auto"/>
      </w:pPr>
      <w:r>
        <w:rPr>
          <w:b/>
        </w:rPr>
        <w:t>CUARTO. NOTIFÍQUESE</w:t>
      </w:r>
      <w:r>
        <w:t xml:space="preserve"> </w:t>
      </w:r>
      <w:r>
        <w:rPr>
          <w:b/>
        </w:rPr>
        <w:t>VÍA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91802" w:rsidRDefault="00591802">
      <w:pPr>
        <w:spacing w:after="0" w:line="360" w:lineRule="auto"/>
      </w:pPr>
    </w:p>
    <w:p w:rsidR="00591802" w:rsidRDefault="00765CD9">
      <w:pPr>
        <w:spacing w:after="0" w:line="360" w:lineRule="auto"/>
      </w:pPr>
      <w:r>
        <w:t xml:space="preserve">ASÍ LO RESUELVE, POR </w:t>
      </w:r>
      <w:r w:rsidRPr="001839DE">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w:t>
      </w:r>
      <w:r>
        <w:lastRenderedPageBreak/>
        <w:t>VEINTICUATRO, ANTE EL SECRETARIO TÉCNICO DEL PLENO, ALEXIS TAPIA RAMÍREZ.</w:t>
      </w:r>
    </w:p>
    <w:p w:rsidR="00591802" w:rsidRDefault="00591802">
      <w:pPr>
        <w:spacing w:after="0" w:line="360" w:lineRule="auto"/>
      </w:pPr>
    </w:p>
    <w:p w:rsidR="00591802" w:rsidRDefault="00591802">
      <w:pPr>
        <w:spacing w:after="0" w:line="360" w:lineRule="auto"/>
      </w:pPr>
    </w:p>
    <w:p w:rsidR="00591802" w:rsidRDefault="00591802">
      <w:pPr>
        <w:spacing w:after="0" w:line="360" w:lineRule="auto"/>
      </w:pPr>
    </w:p>
    <w:p w:rsidR="00591802" w:rsidRDefault="00591802">
      <w:pPr>
        <w:spacing w:after="0" w:line="360" w:lineRule="auto"/>
      </w:pPr>
    </w:p>
    <w:p w:rsidR="00591802" w:rsidRDefault="00591802">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6A34EC" w:rsidRDefault="006A34EC">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p>
    <w:p w:rsidR="001839DE" w:rsidRDefault="001839DE">
      <w:pPr>
        <w:spacing w:after="0" w:line="360" w:lineRule="auto"/>
      </w:pPr>
      <w:bookmarkStart w:id="1" w:name="_GoBack"/>
      <w:bookmarkEnd w:id="1"/>
    </w:p>
    <w:sectPr w:rsidR="001839DE">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102" w:rsidRDefault="00954102">
      <w:pPr>
        <w:spacing w:after="0" w:line="240" w:lineRule="auto"/>
      </w:pPr>
      <w:r>
        <w:separator/>
      </w:r>
    </w:p>
  </w:endnote>
  <w:endnote w:type="continuationSeparator" w:id="0">
    <w:p w:rsidR="00954102" w:rsidRDefault="0095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02" w:rsidRDefault="00765C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64E4">
      <w:rPr>
        <w:b/>
        <w:noProof/>
        <w:color w:val="000000"/>
        <w:sz w:val="24"/>
        <w:szCs w:val="24"/>
      </w:rPr>
      <w:t>22</w:t>
    </w:r>
    <w:r>
      <w:rPr>
        <w:b/>
        <w:color w:val="000000"/>
        <w:sz w:val="24"/>
        <w:szCs w:val="24"/>
      </w:rPr>
      <w:fldChar w:fldCharType="end"/>
    </w:r>
  </w:p>
  <w:p w:rsidR="00591802" w:rsidRDefault="0059180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02" w:rsidRDefault="00765C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D1AB8">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D1AB8">
      <w:rPr>
        <w:b/>
        <w:noProof/>
        <w:color w:val="000000"/>
        <w:sz w:val="24"/>
        <w:szCs w:val="24"/>
      </w:rPr>
      <w:t>21</w:t>
    </w:r>
    <w:r>
      <w:rPr>
        <w:b/>
        <w:color w:val="000000"/>
        <w:sz w:val="24"/>
        <w:szCs w:val="24"/>
      </w:rPr>
      <w:fldChar w:fldCharType="end"/>
    </w:r>
  </w:p>
  <w:p w:rsidR="00591802" w:rsidRDefault="0059180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02" w:rsidRDefault="00765CD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D1AB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D1AB8">
      <w:rPr>
        <w:b/>
        <w:noProof/>
        <w:color w:val="000000"/>
        <w:sz w:val="24"/>
        <w:szCs w:val="24"/>
      </w:rPr>
      <w:t>21</w:t>
    </w:r>
    <w:r>
      <w:rPr>
        <w:b/>
        <w:color w:val="000000"/>
        <w:sz w:val="24"/>
        <w:szCs w:val="24"/>
      </w:rPr>
      <w:fldChar w:fldCharType="end"/>
    </w:r>
  </w:p>
  <w:p w:rsidR="00591802" w:rsidRDefault="0059180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102" w:rsidRDefault="00954102">
      <w:pPr>
        <w:spacing w:after="0" w:line="240" w:lineRule="auto"/>
      </w:pPr>
      <w:r>
        <w:separator/>
      </w:r>
    </w:p>
  </w:footnote>
  <w:footnote w:type="continuationSeparator" w:id="0">
    <w:p w:rsidR="00954102" w:rsidRDefault="00954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02" w:rsidRDefault="00591802">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91802">
      <w:trPr>
        <w:trHeight w:val="132"/>
      </w:trPr>
      <w:tc>
        <w:tcPr>
          <w:tcW w:w="0" w:type="auto"/>
        </w:tcPr>
        <w:p w:rsidR="00591802" w:rsidRDefault="00765CD9">
          <w:pPr>
            <w:tabs>
              <w:tab w:val="right" w:pos="8838"/>
            </w:tabs>
            <w:ind w:right="-105"/>
            <w:rPr>
              <w:b/>
            </w:rPr>
          </w:pPr>
          <w:r>
            <w:rPr>
              <w:b/>
            </w:rPr>
            <w:t>Recurso de Revisión:</w:t>
          </w:r>
        </w:p>
      </w:tc>
      <w:tc>
        <w:tcPr>
          <w:tcW w:w="0" w:type="auto"/>
        </w:tcPr>
        <w:p w:rsidR="00591802" w:rsidRDefault="00765CD9">
          <w:pPr>
            <w:tabs>
              <w:tab w:val="right" w:pos="8838"/>
            </w:tabs>
            <w:ind w:left="-28" w:right="-32"/>
          </w:pPr>
          <w:r>
            <w:t>03846/INFOEM/IP/RR/2020</w:t>
          </w:r>
        </w:p>
      </w:tc>
    </w:tr>
    <w:tr w:rsidR="00591802">
      <w:trPr>
        <w:trHeight w:val="261"/>
      </w:trPr>
      <w:tc>
        <w:tcPr>
          <w:tcW w:w="0" w:type="auto"/>
        </w:tcPr>
        <w:p w:rsidR="00591802" w:rsidRDefault="00765CD9">
          <w:pPr>
            <w:tabs>
              <w:tab w:val="right" w:pos="8838"/>
            </w:tabs>
            <w:ind w:right="-105"/>
            <w:rPr>
              <w:b/>
            </w:rPr>
          </w:pPr>
          <w:r>
            <w:rPr>
              <w:b/>
            </w:rPr>
            <w:t>Sujeto Obligado:</w:t>
          </w:r>
        </w:p>
      </w:tc>
      <w:tc>
        <w:tcPr>
          <w:tcW w:w="0" w:type="auto"/>
        </w:tcPr>
        <w:p w:rsidR="00591802" w:rsidRDefault="00765CD9">
          <w:pPr>
            <w:tabs>
              <w:tab w:val="right" w:pos="8838"/>
            </w:tabs>
            <w:ind w:right="-32"/>
          </w:pPr>
          <w:r>
            <w:t xml:space="preserve">Ayuntamiento de </w:t>
          </w:r>
          <w:proofErr w:type="spellStart"/>
          <w:r>
            <w:t>Temascalcingo</w:t>
          </w:r>
          <w:proofErr w:type="spellEnd"/>
        </w:p>
      </w:tc>
    </w:tr>
    <w:tr w:rsidR="00591802">
      <w:trPr>
        <w:trHeight w:val="261"/>
      </w:trPr>
      <w:tc>
        <w:tcPr>
          <w:tcW w:w="0" w:type="auto"/>
        </w:tcPr>
        <w:p w:rsidR="00591802" w:rsidRDefault="00765CD9">
          <w:pPr>
            <w:tabs>
              <w:tab w:val="right" w:pos="8838"/>
            </w:tabs>
            <w:ind w:right="-105"/>
            <w:rPr>
              <w:b/>
            </w:rPr>
          </w:pPr>
          <w:r>
            <w:rPr>
              <w:b/>
            </w:rPr>
            <w:t>Comisionado Ponente:</w:t>
          </w:r>
        </w:p>
      </w:tc>
      <w:tc>
        <w:tcPr>
          <w:tcW w:w="0" w:type="auto"/>
        </w:tcPr>
        <w:p w:rsidR="00591802" w:rsidRDefault="00765CD9">
          <w:pPr>
            <w:tabs>
              <w:tab w:val="right" w:pos="8838"/>
            </w:tabs>
            <w:ind w:right="-32"/>
            <w:rPr>
              <w:b/>
            </w:rPr>
          </w:pPr>
          <w:r>
            <w:t>Luis Gustavo Parra Noriega</w:t>
          </w:r>
        </w:p>
      </w:tc>
    </w:tr>
  </w:tbl>
  <w:p w:rsidR="00591802" w:rsidRDefault="0095410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02" w:rsidRDefault="00591802">
    <w:pPr>
      <w:widowControl w:val="0"/>
      <w:pBdr>
        <w:top w:val="nil"/>
        <w:left w:val="nil"/>
        <w:bottom w:val="nil"/>
        <w:right w:val="nil"/>
        <w:between w:val="nil"/>
      </w:pBdr>
      <w:spacing w:after="0" w:line="276" w:lineRule="auto"/>
      <w:jc w:val="left"/>
      <w:rPr>
        <w:color w:val="000000"/>
      </w:rPr>
    </w:pPr>
  </w:p>
  <w:tbl>
    <w:tblPr>
      <w:tblStyle w:val="a0"/>
      <w:tblW w:w="6521"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70"/>
    </w:tblGrid>
    <w:tr w:rsidR="00591802">
      <w:trPr>
        <w:trHeight w:val="138"/>
      </w:trPr>
      <w:tc>
        <w:tcPr>
          <w:tcW w:w="2551" w:type="dxa"/>
          <w:vAlign w:val="center"/>
        </w:tcPr>
        <w:p w:rsidR="00591802" w:rsidRDefault="00765CD9">
          <w:pPr>
            <w:tabs>
              <w:tab w:val="right" w:pos="8838"/>
            </w:tabs>
            <w:ind w:right="-105"/>
            <w:jc w:val="left"/>
            <w:rPr>
              <w:b/>
            </w:rPr>
          </w:pPr>
          <w:r>
            <w:rPr>
              <w:b/>
            </w:rPr>
            <w:t>Recurso de Revisión:</w:t>
          </w:r>
        </w:p>
      </w:tc>
      <w:tc>
        <w:tcPr>
          <w:tcW w:w="3970" w:type="dxa"/>
        </w:tcPr>
        <w:p w:rsidR="00591802" w:rsidRDefault="00765CD9">
          <w:pPr>
            <w:tabs>
              <w:tab w:val="right" w:pos="8838"/>
            </w:tabs>
            <w:ind w:right="-32"/>
          </w:pPr>
          <w:r>
            <w:t>06746/INFOEM/IP/RR/2024</w:t>
          </w:r>
        </w:p>
      </w:tc>
    </w:tr>
    <w:tr w:rsidR="00591802">
      <w:trPr>
        <w:trHeight w:val="273"/>
      </w:trPr>
      <w:tc>
        <w:tcPr>
          <w:tcW w:w="2551" w:type="dxa"/>
        </w:tcPr>
        <w:p w:rsidR="00591802" w:rsidRDefault="00765CD9">
          <w:pPr>
            <w:tabs>
              <w:tab w:val="right" w:pos="8838"/>
            </w:tabs>
            <w:ind w:right="-105"/>
            <w:rPr>
              <w:b/>
            </w:rPr>
          </w:pPr>
          <w:r>
            <w:rPr>
              <w:b/>
            </w:rPr>
            <w:t>Sujeto Obligado:</w:t>
          </w:r>
        </w:p>
      </w:tc>
      <w:tc>
        <w:tcPr>
          <w:tcW w:w="3970" w:type="dxa"/>
        </w:tcPr>
        <w:p w:rsidR="00591802" w:rsidRDefault="00765CD9">
          <w:pPr>
            <w:tabs>
              <w:tab w:val="right" w:pos="8838"/>
            </w:tabs>
            <w:ind w:left="-28" w:right="-32"/>
          </w:pPr>
          <w:r>
            <w:t>Ayuntamiento de Temamatla</w:t>
          </w:r>
        </w:p>
      </w:tc>
    </w:tr>
    <w:tr w:rsidR="00591802">
      <w:trPr>
        <w:trHeight w:val="273"/>
      </w:trPr>
      <w:tc>
        <w:tcPr>
          <w:tcW w:w="2551" w:type="dxa"/>
        </w:tcPr>
        <w:p w:rsidR="00591802" w:rsidRDefault="00765CD9">
          <w:pPr>
            <w:tabs>
              <w:tab w:val="right" w:pos="8838"/>
            </w:tabs>
            <w:ind w:right="-105"/>
            <w:rPr>
              <w:b/>
            </w:rPr>
          </w:pPr>
          <w:r>
            <w:rPr>
              <w:b/>
            </w:rPr>
            <w:t>Comisionado Ponente:</w:t>
          </w:r>
        </w:p>
      </w:tc>
      <w:tc>
        <w:tcPr>
          <w:tcW w:w="3970" w:type="dxa"/>
        </w:tcPr>
        <w:p w:rsidR="00591802" w:rsidRDefault="00765CD9">
          <w:pPr>
            <w:tabs>
              <w:tab w:val="right" w:pos="8838"/>
            </w:tabs>
            <w:ind w:left="-28" w:right="-32"/>
            <w:rPr>
              <w:b/>
            </w:rPr>
          </w:pPr>
          <w:r>
            <w:t>Luis Gustavo Parra Noriega</w:t>
          </w:r>
        </w:p>
      </w:tc>
    </w:tr>
  </w:tbl>
  <w:p w:rsidR="00591802" w:rsidRDefault="0095410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108.6pt;margin-top:-123.7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02" w:rsidRDefault="00591802">
    <w:pPr>
      <w:widowControl w:val="0"/>
      <w:pBdr>
        <w:top w:val="nil"/>
        <w:left w:val="nil"/>
        <w:bottom w:val="nil"/>
        <w:right w:val="nil"/>
        <w:between w:val="nil"/>
      </w:pBdr>
      <w:spacing w:after="0" w:line="276" w:lineRule="auto"/>
      <w:jc w:val="left"/>
      <w:rPr>
        <w:color w:val="000000"/>
      </w:rPr>
    </w:pPr>
  </w:p>
  <w:tbl>
    <w:tblPr>
      <w:tblStyle w:val="a1"/>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591802">
      <w:trPr>
        <w:trHeight w:val="132"/>
      </w:trPr>
      <w:tc>
        <w:tcPr>
          <w:tcW w:w="2551" w:type="dxa"/>
        </w:tcPr>
        <w:p w:rsidR="00591802" w:rsidRDefault="00765CD9">
          <w:pPr>
            <w:tabs>
              <w:tab w:val="right" w:pos="8838"/>
            </w:tabs>
            <w:ind w:right="-105"/>
            <w:rPr>
              <w:b/>
            </w:rPr>
          </w:pPr>
          <w:r>
            <w:rPr>
              <w:b/>
            </w:rPr>
            <w:t>Recurso de Revisión:</w:t>
          </w:r>
        </w:p>
      </w:tc>
      <w:tc>
        <w:tcPr>
          <w:tcW w:w="3261" w:type="dxa"/>
        </w:tcPr>
        <w:p w:rsidR="00591802" w:rsidRDefault="00765CD9">
          <w:pPr>
            <w:tabs>
              <w:tab w:val="right" w:pos="8838"/>
            </w:tabs>
            <w:ind w:left="-111" w:right="-32"/>
          </w:pPr>
          <w:r>
            <w:t>06746/INFOEM/IP/RR/2024</w:t>
          </w:r>
        </w:p>
      </w:tc>
    </w:tr>
    <w:tr w:rsidR="00591802">
      <w:trPr>
        <w:trHeight w:val="132"/>
      </w:trPr>
      <w:tc>
        <w:tcPr>
          <w:tcW w:w="2551" w:type="dxa"/>
        </w:tcPr>
        <w:p w:rsidR="00591802" w:rsidRDefault="00765CD9">
          <w:pPr>
            <w:tabs>
              <w:tab w:val="left" w:pos="1875"/>
            </w:tabs>
            <w:ind w:right="-105"/>
            <w:rPr>
              <w:b/>
            </w:rPr>
          </w:pPr>
          <w:r>
            <w:rPr>
              <w:b/>
            </w:rPr>
            <w:t>Recurrente:</w:t>
          </w:r>
          <w:r>
            <w:rPr>
              <w:b/>
            </w:rPr>
            <w:tab/>
          </w:r>
        </w:p>
      </w:tc>
      <w:tc>
        <w:tcPr>
          <w:tcW w:w="3261" w:type="dxa"/>
        </w:tcPr>
        <w:p w:rsidR="00591802" w:rsidRDefault="00591802">
          <w:pPr>
            <w:tabs>
              <w:tab w:val="right" w:pos="8838"/>
            </w:tabs>
            <w:ind w:left="-111" w:right="-109"/>
          </w:pPr>
        </w:p>
      </w:tc>
    </w:tr>
    <w:tr w:rsidR="00591802">
      <w:trPr>
        <w:trHeight w:val="261"/>
      </w:trPr>
      <w:tc>
        <w:tcPr>
          <w:tcW w:w="2551" w:type="dxa"/>
        </w:tcPr>
        <w:p w:rsidR="00591802" w:rsidRDefault="00765CD9">
          <w:pPr>
            <w:tabs>
              <w:tab w:val="right" w:pos="8838"/>
            </w:tabs>
            <w:ind w:right="-105"/>
            <w:rPr>
              <w:b/>
            </w:rPr>
          </w:pPr>
          <w:r>
            <w:rPr>
              <w:b/>
            </w:rPr>
            <w:t>Sujeto Obligado:</w:t>
          </w:r>
        </w:p>
      </w:tc>
      <w:tc>
        <w:tcPr>
          <w:tcW w:w="3261" w:type="dxa"/>
        </w:tcPr>
        <w:p w:rsidR="00591802" w:rsidRDefault="00765CD9">
          <w:pPr>
            <w:tabs>
              <w:tab w:val="right" w:pos="8838"/>
            </w:tabs>
            <w:ind w:left="-111" w:right="-32"/>
          </w:pPr>
          <w:r>
            <w:t>Ayuntamiento de Temamatla</w:t>
          </w:r>
        </w:p>
      </w:tc>
    </w:tr>
    <w:tr w:rsidR="00591802">
      <w:trPr>
        <w:trHeight w:val="261"/>
      </w:trPr>
      <w:tc>
        <w:tcPr>
          <w:tcW w:w="2551" w:type="dxa"/>
        </w:tcPr>
        <w:p w:rsidR="00591802" w:rsidRDefault="00765CD9">
          <w:pPr>
            <w:tabs>
              <w:tab w:val="right" w:pos="8838"/>
            </w:tabs>
            <w:ind w:right="-105"/>
            <w:rPr>
              <w:b/>
            </w:rPr>
          </w:pPr>
          <w:r>
            <w:rPr>
              <w:b/>
            </w:rPr>
            <w:t>Comisionado Ponente:</w:t>
          </w:r>
        </w:p>
      </w:tc>
      <w:tc>
        <w:tcPr>
          <w:tcW w:w="3261" w:type="dxa"/>
        </w:tcPr>
        <w:p w:rsidR="00591802" w:rsidRDefault="00765CD9">
          <w:pPr>
            <w:tabs>
              <w:tab w:val="right" w:pos="8838"/>
            </w:tabs>
            <w:ind w:left="-111" w:right="-32"/>
            <w:rPr>
              <w:b/>
            </w:rPr>
          </w:pPr>
          <w:r>
            <w:t>Luis Gustavo Parra Noriega</w:t>
          </w:r>
        </w:p>
      </w:tc>
    </w:tr>
  </w:tbl>
  <w:p w:rsidR="00591802" w:rsidRDefault="00954102">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BAE"/>
    <w:multiLevelType w:val="multilevel"/>
    <w:tmpl w:val="311C5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4E5BEE"/>
    <w:multiLevelType w:val="multilevel"/>
    <w:tmpl w:val="F35229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A2A6B"/>
    <w:multiLevelType w:val="multilevel"/>
    <w:tmpl w:val="15D84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A967EB"/>
    <w:multiLevelType w:val="multilevel"/>
    <w:tmpl w:val="F956E14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1853D1"/>
    <w:multiLevelType w:val="multilevel"/>
    <w:tmpl w:val="9A66A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02"/>
    <w:rsid w:val="001839DE"/>
    <w:rsid w:val="003164E4"/>
    <w:rsid w:val="00353DEC"/>
    <w:rsid w:val="004B532A"/>
    <w:rsid w:val="00591802"/>
    <w:rsid w:val="006A34EC"/>
    <w:rsid w:val="00765CD9"/>
    <w:rsid w:val="007D1AB8"/>
    <w:rsid w:val="00954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4FEF0A-6D0C-4408-81F2-628EBDFA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3F"/>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46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43F"/>
    <w:rPr>
      <w:rFonts w:ascii="Palatino Linotype" w:hAnsi="Palatino Linotype"/>
      <w:color w:val="000000" w:themeColor="text1"/>
      <w:kern w:val="0"/>
    </w:rPr>
  </w:style>
  <w:style w:type="paragraph" w:styleId="Piedepgina">
    <w:name w:val="footer"/>
    <w:basedOn w:val="Normal"/>
    <w:link w:val="PiedepginaCar"/>
    <w:uiPriority w:val="99"/>
    <w:unhideWhenUsed/>
    <w:rsid w:val="00E46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43F"/>
    <w:rPr>
      <w:rFonts w:ascii="Palatino Linotype" w:hAnsi="Palatino Linotype"/>
      <w:color w:val="000000" w:themeColor="text1"/>
      <w:kern w:val="0"/>
    </w:rPr>
  </w:style>
  <w:style w:type="table" w:styleId="Tablaconcuadrcula">
    <w:name w:val="Table Grid"/>
    <w:basedOn w:val="Tablanormal"/>
    <w:uiPriority w:val="59"/>
    <w:qFormat/>
    <w:rsid w:val="00E4643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4643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4643F"/>
    <w:rPr>
      <w:rFonts w:ascii="Palatino Linotype" w:hAnsi="Palatino Linotype"/>
      <w:color w:val="000000" w:themeColor="text1"/>
      <w:kern w:val="0"/>
    </w:rPr>
  </w:style>
  <w:style w:type="character" w:styleId="Hipervnculo">
    <w:name w:val="Hyperlink"/>
    <w:basedOn w:val="Fuentedeprrafopredeter"/>
    <w:uiPriority w:val="99"/>
    <w:unhideWhenUsed/>
    <w:rsid w:val="00E4643F"/>
    <w:rPr>
      <w:color w:val="0000FF"/>
      <w:u w:val="single"/>
    </w:rPr>
  </w:style>
  <w:style w:type="character" w:customStyle="1" w:styleId="Mencinsinresolver1">
    <w:name w:val="Mención sin resolver1"/>
    <w:basedOn w:val="Fuentedeprrafopredeter"/>
    <w:uiPriority w:val="99"/>
    <w:semiHidden/>
    <w:unhideWhenUsed/>
    <w:rsid w:val="008D780A"/>
    <w:rPr>
      <w:color w:val="605E5C"/>
      <w:shd w:val="clear" w:color="auto" w:fill="E1DFDD"/>
    </w:rPr>
  </w:style>
  <w:style w:type="paragraph" w:styleId="NormalWeb">
    <w:name w:val="Normal (Web)"/>
    <w:basedOn w:val="Normal"/>
    <w:uiPriority w:val="99"/>
    <w:semiHidden/>
    <w:unhideWhenUsed/>
    <w:rsid w:val="00C47925"/>
    <w:pPr>
      <w:spacing w:line="256"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A7995"/>
    <w:rPr>
      <w:sz w:val="16"/>
      <w:szCs w:val="16"/>
    </w:rPr>
  </w:style>
  <w:style w:type="paragraph" w:styleId="Textocomentario">
    <w:name w:val="annotation text"/>
    <w:basedOn w:val="Normal"/>
    <w:link w:val="TextocomentarioCar"/>
    <w:uiPriority w:val="99"/>
    <w:semiHidden/>
    <w:unhideWhenUsed/>
    <w:rsid w:val="00BA7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7995"/>
    <w:rPr>
      <w:rFonts w:ascii="Palatino Linotype" w:hAnsi="Palatino Linotype"/>
      <w:color w:val="000000" w:themeColor="text1"/>
      <w:kern w:val="0"/>
      <w:sz w:val="20"/>
      <w:szCs w:val="20"/>
    </w:rPr>
  </w:style>
  <w:style w:type="paragraph" w:styleId="Asuntodelcomentario">
    <w:name w:val="annotation subject"/>
    <w:basedOn w:val="Textocomentario"/>
    <w:next w:val="Textocomentario"/>
    <w:link w:val="AsuntodelcomentarioCar"/>
    <w:uiPriority w:val="99"/>
    <w:semiHidden/>
    <w:unhideWhenUsed/>
    <w:rsid w:val="00BA7995"/>
    <w:rPr>
      <w:b/>
      <w:bCs/>
    </w:rPr>
  </w:style>
  <w:style w:type="character" w:customStyle="1" w:styleId="AsuntodelcomentarioCar">
    <w:name w:val="Asunto del comentario Car"/>
    <w:basedOn w:val="TextocomentarioCar"/>
    <w:link w:val="Asuntodelcomentario"/>
    <w:uiPriority w:val="99"/>
    <w:semiHidden/>
    <w:rsid w:val="00BA7995"/>
    <w:rPr>
      <w:rFonts w:ascii="Palatino Linotype" w:hAnsi="Palatino Linotype"/>
      <w:b/>
      <w:bCs/>
      <w:color w:val="000000" w:themeColor="text1"/>
      <w:kern w:val="0"/>
      <w:sz w:val="20"/>
      <w:szCs w:val="20"/>
    </w:rPr>
  </w:style>
  <w:style w:type="paragraph" w:styleId="Textodeglobo">
    <w:name w:val="Balloon Text"/>
    <w:basedOn w:val="Normal"/>
    <w:link w:val="TextodegloboCar"/>
    <w:uiPriority w:val="99"/>
    <w:semiHidden/>
    <w:unhideWhenUsed/>
    <w:rsid w:val="00BA7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995"/>
    <w:rPr>
      <w:rFonts w:ascii="Segoe UI" w:hAnsi="Segoe UI" w:cs="Segoe UI"/>
      <w:color w:val="000000" w:themeColor="text1"/>
      <w:kern w:val="0"/>
      <w:sz w:val="18"/>
      <w:szCs w:val="18"/>
    </w:rPr>
  </w:style>
  <w:style w:type="character" w:styleId="Hipervnculovisitado">
    <w:name w:val="FollowedHyperlink"/>
    <w:basedOn w:val="Fuentedeprrafopredeter"/>
    <w:uiPriority w:val="99"/>
    <w:semiHidden/>
    <w:unhideWhenUsed/>
    <w:rsid w:val="00514D44"/>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2dtHT/1X0dSG+IyyfYIl9Jrh3A==">CgMxLjAyCGguZ2pkZ3hzOAByITE1XzRMRnN1MjAwNnJmMWFuVWRvNFpFcUptZ2VVenlBdQ==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4506</Words>
  <Characters>24788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BAUTISTA</dc:creator>
  <cp:lastModifiedBy>INFOEM</cp:lastModifiedBy>
  <cp:revision>4</cp:revision>
  <cp:lastPrinted>2024-11-22T18:39:00Z</cp:lastPrinted>
  <dcterms:created xsi:type="dcterms:W3CDTF">2024-11-22T18:38:00Z</dcterms:created>
  <dcterms:modified xsi:type="dcterms:W3CDTF">2025-02-05T19:28:00Z</dcterms:modified>
</cp:coreProperties>
</file>