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9FC2" w14:textId="77777777" w:rsidR="000D54A7" w:rsidRDefault="000D54A7">
      <w:pPr>
        <w:widowControl w:val="0"/>
        <w:pBdr>
          <w:top w:val="nil"/>
          <w:left w:val="nil"/>
          <w:bottom w:val="nil"/>
          <w:right w:val="nil"/>
          <w:between w:val="nil"/>
        </w:pBdr>
        <w:spacing w:line="276" w:lineRule="auto"/>
      </w:pPr>
    </w:p>
    <w:p w14:paraId="2254970A" w14:textId="77777777" w:rsidR="000D54A7" w:rsidRDefault="000A6DEB">
      <w:pPr>
        <w:spacing w:before="240" w:after="240" w:line="360" w:lineRule="auto"/>
        <w:ind w:right="-4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22333200" w14:textId="3C7D3058" w:rsidR="000D54A7" w:rsidRDefault="000A6DEB">
      <w:pPr>
        <w:pBdr>
          <w:top w:val="nil"/>
          <w:left w:val="nil"/>
          <w:bottom w:val="nil"/>
          <w:right w:val="nil"/>
          <w:between w:val="nil"/>
        </w:pBdr>
        <w:tabs>
          <w:tab w:val="center" w:pos="4419"/>
          <w:tab w:val="right" w:pos="8838"/>
        </w:tabs>
        <w:spacing w:line="360" w:lineRule="auto"/>
        <w:ind w:right="-4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02743/INFOEM/IP/RR/2023, </w:t>
      </w:r>
      <w:r>
        <w:rPr>
          <w:rFonts w:ascii="Palatino Linotype" w:eastAsia="Palatino Linotype" w:hAnsi="Palatino Linotype" w:cs="Palatino Linotype"/>
          <w:color w:val="000000"/>
          <w:sz w:val="24"/>
          <w:szCs w:val="24"/>
        </w:rPr>
        <w:t xml:space="preserve">promovido por </w:t>
      </w:r>
      <w:r w:rsidR="0031507B">
        <w:rPr>
          <w:rFonts w:ascii="Palatino Linotype" w:eastAsia="Palatino Linotype" w:hAnsi="Palatino Linotype" w:cs="Palatino Linotype"/>
          <w:b/>
          <w:color w:val="000000"/>
          <w:sz w:val="24"/>
          <w:szCs w:val="24"/>
        </w:rPr>
        <w:t xml:space="preserve">XXX </w:t>
      </w:r>
      <w:proofErr w:type="spellStart"/>
      <w:r w:rsidR="0031507B">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Pr>
          <w:rFonts w:ascii="Palatino Linotype" w:eastAsia="Palatino Linotype" w:hAnsi="Palatino Linotype" w:cs="Palatino Linotype"/>
          <w:b/>
          <w:color w:val="000000"/>
          <w:sz w:val="24"/>
          <w:szCs w:val="24"/>
        </w:rPr>
        <w:t>Ayuntamiento de Villa Guerrero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2111FBE6" w14:textId="77777777" w:rsidR="000D54A7" w:rsidRDefault="000A6DEB">
      <w:pPr>
        <w:pStyle w:val="Ttulo1"/>
        <w:ind w:right="-45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49F96E7C" w14:textId="77777777" w:rsidR="000D54A7" w:rsidRDefault="000D54A7">
      <w:pPr>
        <w:ind w:right="-451"/>
        <w:rPr>
          <w:rFonts w:ascii="Palatino Linotype" w:eastAsia="Palatino Linotype" w:hAnsi="Palatino Linotype" w:cs="Palatino Linotype"/>
          <w:sz w:val="24"/>
          <w:szCs w:val="24"/>
        </w:rPr>
      </w:pPr>
    </w:p>
    <w:p w14:paraId="01107347"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El dieciocho (18) de abril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00019/VIGUERRE/IP/2023</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en la que se</w:t>
      </w:r>
      <w:r>
        <w:rPr>
          <w:rFonts w:ascii="Palatino Linotype" w:eastAsia="Palatino Linotype" w:hAnsi="Palatino Linotype" w:cs="Palatino Linotype"/>
          <w:color w:val="000000"/>
          <w:sz w:val="24"/>
          <w:szCs w:val="24"/>
        </w:rPr>
        <w:t xml:space="preserve"> solicitó lo siguiente:</w:t>
      </w:r>
    </w:p>
    <w:p w14:paraId="6F23114E"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2F5BC51D" w14:textId="27965828" w:rsidR="000D54A7" w:rsidRDefault="000A6DEB" w:rsidP="00D3114D">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“Solicito un Informe detallado de </w:t>
      </w:r>
      <w:proofErr w:type="spellStart"/>
      <w:r>
        <w:rPr>
          <w:rFonts w:ascii="Palatino Linotype" w:eastAsia="Palatino Linotype" w:hAnsi="Palatino Linotype" w:cs="Palatino Linotype"/>
          <w:i/>
          <w:color w:val="000000"/>
          <w:sz w:val="24"/>
          <w:szCs w:val="24"/>
        </w:rPr>
        <w:t>como</w:t>
      </w:r>
      <w:proofErr w:type="spellEnd"/>
      <w:r>
        <w:rPr>
          <w:rFonts w:ascii="Palatino Linotype" w:eastAsia="Palatino Linotype" w:hAnsi="Palatino Linotype" w:cs="Palatino Linotype"/>
          <w:i/>
          <w:color w:val="000000"/>
          <w:sz w:val="24"/>
          <w:szCs w:val="24"/>
        </w:rPr>
        <w:t xml:space="preserve"> se </w:t>
      </w:r>
      <w:proofErr w:type="spellStart"/>
      <w:r>
        <w:rPr>
          <w:rFonts w:ascii="Palatino Linotype" w:eastAsia="Palatino Linotype" w:hAnsi="Palatino Linotype" w:cs="Palatino Linotype"/>
          <w:i/>
          <w:color w:val="000000"/>
          <w:sz w:val="24"/>
          <w:szCs w:val="24"/>
        </w:rPr>
        <w:t>llevo</w:t>
      </w:r>
      <w:proofErr w:type="spellEnd"/>
      <w:r>
        <w:rPr>
          <w:rFonts w:ascii="Palatino Linotype" w:eastAsia="Palatino Linotype" w:hAnsi="Palatino Linotype" w:cs="Palatino Linotype"/>
          <w:i/>
          <w:color w:val="000000"/>
          <w:sz w:val="24"/>
          <w:szCs w:val="24"/>
        </w:rPr>
        <w:t xml:space="preserve"> a cabo la detención del C. </w:t>
      </w:r>
      <w:r w:rsidR="0031507B">
        <w:rPr>
          <w:rFonts w:ascii="Palatino Linotype" w:eastAsia="Palatino Linotype" w:hAnsi="Palatino Linotype" w:cs="Palatino Linotype"/>
          <w:i/>
          <w:color w:val="000000"/>
          <w:sz w:val="24"/>
          <w:szCs w:val="24"/>
        </w:rPr>
        <w:t xml:space="preserve">XXX </w:t>
      </w:r>
      <w:proofErr w:type="spellStart"/>
      <w:r w:rsidR="0031507B">
        <w:rPr>
          <w:rFonts w:ascii="Palatino Linotype" w:eastAsia="Palatino Linotype" w:hAnsi="Palatino Linotype" w:cs="Palatino Linotype"/>
          <w:i/>
          <w:color w:val="000000"/>
          <w:sz w:val="24"/>
          <w:szCs w:val="24"/>
        </w:rPr>
        <w:t>XXX</w:t>
      </w:r>
      <w:proofErr w:type="spellEnd"/>
      <w:r>
        <w:rPr>
          <w:rFonts w:ascii="Palatino Linotype" w:eastAsia="Palatino Linotype" w:hAnsi="Palatino Linotype" w:cs="Palatino Linotype"/>
          <w:i/>
          <w:color w:val="000000"/>
          <w:sz w:val="24"/>
          <w:szCs w:val="24"/>
        </w:rPr>
        <w:t xml:space="preserve">, verificada el día 17 de abril del presente año aproximadamente a las 22:00 horas por los elementos de seguridad pública del municipio de Villa Guerrero por presuntas faltas administrativas al bando municipal así mismo solicito informe la modalidad de la calificación de dicha falta para determinar la sanción mayor de 36 horas. Solicitando así me expidan a través de este medio y en versión pública: 1. IPH (informe policial homologado) 2. Certificado médico de </w:t>
      </w:r>
      <w:r>
        <w:rPr>
          <w:rFonts w:ascii="Palatino Linotype" w:eastAsia="Palatino Linotype" w:hAnsi="Palatino Linotype" w:cs="Palatino Linotype"/>
          <w:i/>
          <w:color w:val="000000"/>
          <w:sz w:val="24"/>
          <w:szCs w:val="24"/>
        </w:rPr>
        <w:lastRenderedPageBreak/>
        <w:t>detención. 3. Inventario del vehículo que se resguardo. 4. Constancias de Garantía de Audiencia. 5. Recibo de la multa pagada.”</w:t>
      </w:r>
    </w:p>
    <w:p w14:paraId="6EA5BE94" w14:textId="77777777" w:rsidR="000D54A7" w:rsidRDefault="000D54A7">
      <w:pPr>
        <w:pBdr>
          <w:top w:val="nil"/>
          <w:left w:val="nil"/>
          <w:bottom w:val="nil"/>
          <w:right w:val="nil"/>
          <w:between w:val="nil"/>
        </w:pBdr>
        <w:spacing w:line="360" w:lineRule="auto"/>
        <w:ind w:left="567" w:right="-451"/>
        <w:jc w:val="both"/>
        <w:rPr>
          <w:rFonts w:ascii="Palatino Linotype" w:eastAsia="Palatino Linotype" w:hAnsi="Palatino Linotype" w:cs="Palatino Linotype"/>
          <w:i/>
          <w:color w:val="000000"/>
          <w:sz w:val="24"/>
          <w:szCs w:val="24"/>
        </w:rPr>
      </w:pPr>
    </w:p>
    <w:p w14:paraId="678D13D2"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2A3E5A66"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351EBF3E"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El once (11) de mayo de dos mil veintitrés, el Sujeto Obligado solicitó una prórroga para dar respuesta a la solicitud.</w:t>
      </w:r>
    </w:p>
    <w:p w14:paraId="779B6C3C"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20943B46"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El diecisiete (17) de mayo de dos mil veintitrés dio respuesta a la solicitud, en los siguientes términos:</w:t>
      </w:r>
    </w:p>
    <w:p w14:paraId="71B2C178" w14:textId="77777777" w:rsidR="000D54A7" w:rsidRDefault="000A6DEB">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“Notifíquese al solicitante. Sin otro particular y atento a cualquier observación, me despido quedando a sus órdenes, en Plaza Morelos, Esq. con 5 de mayo, Centro, Villa Guerrero, México, cp. 51760. En un horario de 9:00 a 17:00 horas de lunes a viernes o vía correo electrónico</w:t>
      </w:r>
    </w:p>
    <w:p w14:paraId="71B51F03" w14:textId="77777777" w:rsidR="000D54A7" w:rsidRDefault="000A6DEB">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4C73B132" w14:textId="77777777" w:rsidR="000D54A7" w:rsidRDefault="000A6DEB">
      <w:pPr>
        <w:spacing w:line="360" w:lineRule="auto"/>
        <w:ind w:left="567"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Lic. BRENDA GUADALUPE PEDROZA HERRERA” (sic) </w:t>
      </w:r>
    </w:p>
    <w:p w14:paraId="0D61B5CA"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7887CC10"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El Sujeto Obligado adjuntó a la respuesta el siguiente documento electrónico:</w:t>
      </w:r>
    </w:p>
    <w:p w14:paraId="0CAC7F2C" w14:textId="77777777" w:rsidR="000D54A7" w:rsidRDefault="000A6DEB">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00019 VIGUERRE IP 2023 CONTESTACION.docx: </w:t>
      </w:r>
      <w:proofErr w:type="spellStart"/>
      <w:r>
        <w:rPr>
          <w:rFonts w:ascii="Palatino Linotype" w:eastAsia="Palatino Linotype" w:hAnsi="Palatino Linotype" w:cs="Palatino Linotype"/>
          <w:color w:val="000000"/>
          <w:sz w:val="24"/>
          <w:szCs w:val="24"/>
        </w:rPr>
        <w:t>Memorandum</w:t>
      </w:r>
      <w:proofErr w:type="spellEnd"/>
      <w:r>
        <w:rPr>
          <w:rFonts w:ascii="Palatino Linotype" w:eastAsia="Palatino Linotype" w:hAnsi="Palatino Linotype" w:cs="Palatino Linotype"/>
          <w:color w:val="000000"/>
          <w:sz w:val="24"/>
          <w:szCs w:val="24"/>
        </w:rPr>
        <w:t xml:space="preserve"> VG/</w:t>
      </w:r>
      <w:proofErr w:type="spellStart"/>
      <w:r>
        <w:rPr>
          <w:rFonts w:ascii="Palatino Linotype" w:eastAsia="Palatino Linotype" w:hAnsi="Palatino Linotype" w:cs="Palatino Linotype"/>
          <w:color w:val="000000"/>
          <w:sz w:val="24"/>
          <w:szCs w:val="24"/>
        </w:rPr>
        <w:t>UTyAIP</w:t>
      </w:r>
      <w:proofErr w:type="spellEnd"/>
      <w:r>
        <w:rPr>
          <w:rFonts w:ascii="Palatino Linotype" w:eastAsia="Palatino Linotype" w:hAnsi="Palatino Linotype" w:cs="Palatino Linotype"/>
          <w:color w:val="000000"/>
          <w:sz w:val="24"/>
          <w:szCs w:val="24"/>
        </w:rPr>
        <w:t>/0154/05/2023 signado por el Titular de la Unidad de Transparencia mediante el cual refiere que adjunta la respuesta del servidor público habilitado.</w:t>
      </w:r>
    </w:p>
    <w:p w14:paraId="50976A1D" w14:textId="77777777" w:rsidR="000D54A7" w:rsidRDefault="000A6DEB">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00019 CONTESTACION.pdf: </w:t>
      </w:r>
      <w:r>
        <w:rPr>
          <w:rFonts w:ascii="Palatino Linotype" w:eastAsia="Palatino Linotype" w:hAnsi="Palatino Linotype" w:cs="Palatino Linotype"/>
          <w:color w:val="000000"/>
          <w:sz w:val="24"/>
          <w:szCs w:val="24"/>
        </w:rPr>
        <w:t>Oficio VG/OFLIA/0019/2023 signado por el Oficial Calificador, mediante el cual refiere que la información se integra de datos personales como nombre, direcciones y demás, los cuales están protegidos por el titular de los mismos, por lo que no se puede exponer dicha información.</w:t>
      </w:r>
    </w:p>
    <w:p w14:paraId="5BCEBE0A" w14:textId="77777777" w:rsidR="000D54A7" w:rsidRDefault="000D54A7">
      <w:pPr>
        <w:pBdr>
          <w:top w:val="nil"/>
          <w:left w:val="nil"/>
          <w:bottom w:val="nil"/>
          <w:right w:val="nil"/>
          <w:between w:val="nil"/>
        </w:pBdr>
        <w:spacing w:line="360" w:lineRule="auto"/>
        <w:ind w:left="426" w:right="-451"/>
        <w:jc w:val="both"/>
        <w:rPr>
          <w:rFonts w:ascii="Palatino Linotype" w:eastAsia="Palatino Linotype" w:hAnsi="Palatino Linotype" w:cs="Palatino Linotype"/>
          <w:b/>
          <w:i/>
          <w:color w:val="000000"/>
          <w:sz w:val="24"/>
          <w:szCs w:val="24"/>
        </w:rPr>
      </w:pPr>
    </w:p>
    <w:p w14:paraId="255D67DE"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diecinueve (19) de mayo de dos mil veintitrés,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0B666826" w14:textId="77777777" w:rsidR="000D54A7" w:rsidRDefault="000A6DEB">
      <w:pPr>
        <w:numPr>
          <w:ilvl w:val="0"/>
          <w:numId w:val="5"/>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“El área manifiesta que no me pueden proporcionar información por la protección de datos personales, sin </w:t>
      </w:r>
      <w:proofErr w:type="gramStart"/>
      <w:r>
        <w:rPr>
          <w:rFonts w:ascii="Palatino Linotype" w:eastAsia="Palatino Linotype" w:hAnsi="Palatino Linotype" w:cs="Palatino Linotype"/>
          <w:i/>
          <w:color w:val="000000"/>
          <w:sz w:val="22"/>
          <w:szCs w:val="22"/>
        </w:rPr>
        <w:t>embargo</w:t>
      </w:r>
      <w:proofErr w:type="gramEnd"/>
      <w:r>
        <w:rPr>
          <w:rFonts w:ascii="Palatino Linotype" w:eastAsia="Palatino Linotype" w:hAnsi="Palatino Linotype" w:cs="Palatino Linotype"/>
          <w:i/>
          <w:color w:val="000000"/>
          <w:sz w:val="22"/>
          <w:szCs w:val="22"/>
        </w:rPr>
        <w:t xml:space="preserve"> se </w:t>
      </w:r>
      <w:proofErr w:type="spellStart"/>
      <w:r>
        <w:rPr>
          <w:rFonts w:ascii="Palatino Linotype" w:eastAsia="Palatino Linotype" w:hAnsi="Palatino Linotype" w:cs="Palatino Linotype"/>
          <w:i/>
          <w:color w:val="000000"/>
          <w:sz w:val="22"/>
          <w:szCs w:val="22"/>
        </w:rPr>
        <w:t>estan</w:t>
      </w:r>
      <w:proofErr w:type="spellEnd"/>
      <w:r>
        <w:rPr>
          <w:rFonts w:ascii="Palatino Linotype" w:eastAsia="Palatino Linotype" w:hAnsi="Palatino Linotype" w:cs="Palatino Linotype"/>
          <w:i/>
          <w:color w:val="000000"/>
          <w:sz w:val="22"/>
          <w:szCs w:val="22"/>
        </w:rPr>
        <w:t xml:space="preserve"> requiriendo los </w:t>
      </w:r>
      <w:proofErr w:type="spellStart"/>
      <w:r>
        <w:rPr>
          <w:rFonts w:ascii="Palatino Linotype" w:eastAsia="Palatino Linotype" w:hAnsi="Palatino Linotype" w:cs="Palatino Linotype"/>
          <w:i/>
          <w:color w:val="000000"/>
          <w:sz w:val="22"/>
          <w:szCs w:val="22"/>
        </w:rPr>
        <w:t>documetos</w:t>
      </w:r>
      <w:proofErr w:type="spellEnd"/>
      <w:r>
        <w:rPr>
          <w:rFonts w:ascii="Palatino Linotype" w:eastAsia="Palatino Linotype" w:hAnsi="Palatino Linotype" w:cs="Palatino Linotype"/>
          <w:i/>
          <w:color w:val="000000"/>
          <w:sz w:val="22"/>
          <w:szCs w:val="22"/>
        </w:rPr>
        <w:t xml:space="preserve"> en </w:t>
      </w:r>
      <w:proofErr w:type="spellStart"/>
      <w:r>
        <w:rPr>
          <w:rFonts w:ascii="Palatino Linotype" w:eastAsia="Palatino Linotype" w:hAnsi="Palatino Linotype" w:cs="Palatino Linotype"/>
          <w:i/>
          <w:color w:val="000000"/>
          <w:sz w:val="22"/>
          <w:szCs w:val="22"/>
        </w:rPr>
        <w:t>version</w:t>
      </w:r>
      <w:proofErr w:type="spellEnd"/>
      <w:r>
        <w:rPr>
          <w:rFonts w:ascii="Palatino Linotype" w:eastAsia="Palatino Linotype" w:hAnsi="Palatino Linotype" w:cs="Palatino Linotype"/>
          <w:i/>
          <w:color w:val="000000"/>
          <w:sz w:val="22"/>
          <w:szCs w:val="22"/>
        </w:rPr>
        <w:t xml:space="preserve"> publica; no obstante de que se le está solicitando más información que no contiene datos personales y de la cual no existe pronunciamiento alguno.” (sic)</w:t>
      </w:r>
    </w:p>
    <w:p w14:paraId="72B62BA1" w14:textId="77777777" w:rsidR="000D54A7" w:rsidRDefault="000A6DEB">
      <w:pPr>
        <w:numPr>
          <w:ilvl w:val="0"/>
          <w:numId w:val="4"/>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Con su contestación no me están dando ninguna respuesta a mi solicitud.” (sic)</w:t>
      </w:r>
    </w:p>
    <w:p w14:paraId="51B4B7AC" w14:textId="77777777" w:rsidR="000D54A7" w:rsidRDefault="000D54A7">
      <w:pPr>
        <w:pBdr>
          <w:top w:val="nil"/>
          <w:left w:val="nil"/>
          <w:bottom w:val="nil"/>
          <w:right w:val="nil"/>
          <w:between w:val="nil"/>
        </w:pBdr>
        <w:spacing w:line="360" w:lineRule="auto"/>
        <w:ind w:left="720" w:right="-451"/>
        <w:jc w:val="both"/>
        <w:rPr>
          <w:rFonts w:ascii="Palatino Linotype" w:eastAsia="Palatino Linotype" w:hAnsi="Palatino Linotype" w:cs="Palatino Linotype"/>
          <w:i/>
          <w:color w:val="000000"/>
          <w:sz w:val="24"/>
          <w:szCs w:val="24"/>
        </w:rPr>
      </w:pPr>
    </w:p>
    <w:p w14:paraId="1CF728D0"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50E5798B"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0E74BC5D"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veinticuatro </w:t>
      </w:r>
      <w:r>
        <w:rPr>
          <w:rFonts w:ascii="Palatino Linotype" w:eastAsia="Palatino Linotype" w:hAnsi="Palatino Linotype" w:cs="Palatino Linotype"/>
          <w:color w:val="000000"/>
          <w:sz w:val="24"/>
          <w:szCs w:val="24"/>
        </w:rPr>
        <w:lastRenderedPageBreak/>
        <w:t xml:space="preserve">(24) de mayo de dos mil veintitrés,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presentara el informe justificado procedente.</w:t>
      </w:r>
    </w:p>
    <w:p w14:paraId="2F6B00B8"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i/>
          <w:color w:val="000000"/>
          <w:sz w:val="24"/>
          <w:szCs w:val="24"/>
        </w:rPr>
      </w:pPr>
    </w:p>
    <w:p w14:paraId="370770E1" w14:textId="77777777" w:rsidR="000D54A7" w:rsidRDefault="000A6DEB">
      <w:pPr>
        <w:numPr>
          <w:ilvl w:val="0"/>
          <w:numId w:val="6"/>
        </w:numPr>
        <w:tabs>
          <w:tab w:val="left" w:pos="284"/>
        </w:tabs>
        <w:spacing w:before="240" w:after="240"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no rindió informe justificado. </w:t>
      </w:r>
      <w:r>
        <w:rPr>
          <w:rFonts w:ascii="Palatino Linotype" w:eastAsia="Palatino Linotype" w:hAnsi="Palatino Linotype" w:cs="Palatino Linotype"/>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3824001" w14:textId="77777777" w:rsidR="000D54A7" w:rsidRDefault="000A6DEB">
      <w:pPr>
        <w:pBdr>
          <w:top w:val="nil"/>
          <w:left w:val="nil"/>
          <w:bottom w:val="nil"/>
          <w:right w:val="nil"/>
          <w:between w:val="nil"/>
        </w:pBdr>
        <w:shd w:val="clear" w:color="auto" w:fill="FFFFFF"/>
        <w:tabs>
          <w:tab w:val="left" w:pos="284"/>
        </w:tabs>
        <w:spacing w:line="360" w:lineRule="auto"/>
        <w:ind w:left="567" w:right="257"/>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QUEJA, RECURSO DE. LA OMISION DE RENDIR EL INFORME RESPECTIVO NO IMPIDE QUE SE RESUELV</w:t>
      </w:r>
      <w:r>
        <w:rPr>
          <w:rFonts w:ascii="Palatino Linotype" w:eastAsia="Palatino Linotype" w:hAnsi="Palatino Linotype" w:cs="Palatino Linotype"/>
          <w:i/>
          <w:color w:val="222222"/>
          <w:sz w:val="22"/>
          <w:szCs w:val="22"/>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w:t>
      </w:r>
      <w:r>
        <w:rPr>
          <w:rFonts w:ascii="Palatino Linotype" w:eastAsia="Palatino Linotype" w:hAnsi="Palatino Linotype" w:cs="Palatino Linotype"/>
          <w:i/>
          <w:color w:val="222222"/>
          <w:sz w:val="22"/>
          <w:szCs w:val="22"/>
        </w:rPr>
        <w:lastRenderedPageBreak/>
        <w:t xml:space="preserve">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Pr>
          <w:rFonts w:ascii="Palatino Linotype" w:eastAsia="Palatino Linotype" w:hAnsi="Palatino Linotype" w:cs="Palatino Linotype"/>
          <w:i/>
          <w:color w:val="222222"/>
          <w:sz w:val="22"/>
          <w:szCs w:val="22"/>
        </w:rPr>
        <w:t>Abril</w:t>
      </w:r>
      <w:proofErr w:type="gramEnd"/>
      <w:r>
        <w:rPr>
          <w:rFonts w:ascii="Palatino Linotype" w:eastAsia="Palatino Linotype" w:hAnsi="Palatino Linotype" w:cs="Palatino Linotype"/>
          <w:i/>
          <w:color w:val="222222"/>
          <w:sz w:val="22"/>
          <w:szCs w:val="22"/>
        </w:rPr>
        <w:t xml:space="preserve"> de 1996. Página: 207.</w:t>
      </w:r>
    </w:p>
    <w:p w14:paraId="26DE3F28" w14:textId="77777777" w:rsidR="000D54A7" w:rsidRDefault="000A6DEB">
      <w:pPr>
        <w:numPr>
          <w:ilvl w:val="0"/>
          <w:numId w:val="6"/>
        </w:numPr>
        <w:tabs>
          <w:tab w:val="left" w:pos="284"/>
        </w:tabs>
        <w:spacing w:before="240" w:after="240" w:line="360" w:lineRule="auto"/>
        <w:ind w:left="0" w:right="-451" w:firstLine="0"/>
        <w:jc w:val="both"/>
        <w:rPr>
          <w:color w:val="000000"/>
        </w:rPr>
      </w:pPr>
      <w:r>
        <w:rPr>
          <w:rFonts w:ascii="Palatino Linotype" w:eastAsia="Palatino Linotype" w:hAnsi="Palatino Linotype" w:cs="Palatino Linotype"/>
          <w:color w:val="222222"/>
          <w:sz w:val="24"/>
          <w:szCs w:val="24"/>
        </w:rPr>
        <w:t>Por lo cual se reitera, que la falta de informe justificado no impide que este Órgano Garante conozca y resuelva el recurso de revisión, solo propicia que 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pierda la oportunidad de justificar su respuesta y manifestar lo que a su derecho convenga.</w:t>
      </w:r>
    </w:p>
    <w:p w14:paraId="37299E60"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El seis (6) de octubre de dos mil veintitrés, la Comisionada Ponente notificó el acuerdo de ampliación para emitir resolución. Asimismo, se notificó el acuerdo mediante el cual se decretó el cierre de instrucción.</w:t>
      </w:r>
    </w:p>
    <w:p w14:paraId="52AD8F3B"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75CB9C6"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B4FDDFC"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Pr>
          <w:rFonts w:ascii="Palatino Linotype" w:eastAsia="Palatino Linotype" w:hAnsi="Palatino Linotype" w:cs="Palatino Linotype"/>
          <w:color w:val="000000"/>
          <w:sz w:val="24"/>
          <w:szCs w:val="24"/>
        </w:rPr>
        <w:lastRenderedPageBreak/>
        <w:t>asuntos conforme a los parámetros establecidos por diversos órganos jurisdiccionales federales, aplicables también en procedimientos análogos, como el que nos ocupa.</w:t>
      </w:r>
    </w:p>
    <w:p w14:paraId="7203EC74"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1B930B2A"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32008D2"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2EFF53D4"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3FC974"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6E202E05"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3926F93"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03CF3AB0" w14:textId="77777777" w:rsidR="000D54A7" w:rsidRDefault="000A6DEB">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400B3513" w14:textId="77777777" w:rsidR="000D54A7" w:rsidRDefault="000A6DEB">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08FFEA27" w14:textId="77777777" w:rsidR="000D54A7" w:rsidRDefault="000A6DEB">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w:t>
      </w:r>
      <w:r>
        <w:rPr>
          <w:rFonts w:ascii="Palatino Linotype" w:eastAsia="Palatino Linotype" w:hAnsi="Palatino Linotype" w:cs="Palatino Linotype"/>
          <w:sz w:val="22"/>
          <w:szCs w:val="22"/>
        </w:rPr>
        <w:t xml:space="preserve"> C</w:t>
      </w:r>
      <w:r>
        <w:rPr>
          <w:rFonts w:ascii="Palatino Linotype" w:eastAsia="Palatino Linotype" w:hAnsi="Palatino Linotype" w:cs="Palatino Linotype"/>
          <w:color w:val="000000"/>
          <w:sz w:val="22"/>
          <w:szCs w:val="22"/>
        </w:rPr>
        <w:t>onducta de la Autoridad: Las Acciones u omisiones realizadas en el procedimiento. Así como si la autoridad actuó con la debida diligencia.</w:t>
      </w:r>
    </w:p>
    <w:p w14:paraId="5CC6A23F" w14:textId="77777777" w:rsidR="000D54A7" w:rsidRDefault="000A6DEB">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    La afectación generada en la situación jurídica de la persona involucrada en el proceso: Violación a sus derechos humanos.</w:t>
      </w:r>
    </w:p>
    <w:p w14:paraId="4B4B410C"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210B545C"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B00F95"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5F52AFE1"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02322209"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w:t>
      </w:r>
      <w:r>
        <w:rPr>
          <w:rFonts w:ascii="Palatino Linotype" w:eastAsia="Palatino Linotype" w:hAnsi="Palatino Linotype" w:cs="Palatino Linotype"/>
          <w:color w:val="000000"/>
          <w:sz w:val="24"/>
          <w:szCs w:val="24"/>
        </w:rPr>
        <w:lastRenderedPageBreak/>
        <w:t>expediente, la extensión de los escritos y pruebas aportadas y desahogadas por las partes; lo que impide la tramitación de los recursos dentro de los términos legales previamente establecidos por la Ley, por tratarse de causas de fuerza mayor.</w:t>
      </w:r>
    </w:p>
    <w:p w14:paraId="585057D5"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1D4678CD"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3395029A" w14:textId="77777777" w:rsidR="000D54A7" w:rsidRDefault="000A6DEB">
      <w:pPr>
        <w:pBdr>
          <w:top w:val="nil"/>
          <w:left w:val="nil"/>
          <w:bottom w:val="nil"/>
          <w:right w:val="nil"/>
          <w:between w:val="nil"/>
        </w:pBdr>
        <w:spacing w:line="360" w:lineRule="auto"/>
        <w:ind w:left="567"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76919546" w14:textId="77777777" w:rsidR="000D54A7" w:rsidRDefault="000D54A7">
      <w:pPr>
        <w:pBdr>
          <w:top w:val="nil"/>
          <w:left w:val="nil"/>
          <w:bottom w:val="nil"/>
          <w:right w:val="nil"/>
          <w:between w:val="nil"/>
        </w:pBdr>
        <w:spacing w:line="360" w:lineRule="auto"/>
        <w:ind w:left="567" w:right="-451"/>
        <w:jc w:val="both"/>
        <w:rPr>
          <w:rFonts w:ascii="Palatino Linotype" w:eastAsia="Palatino Linotype" w:hAnsi="Palatino Linotype" w:cs="Palatino Linotype"/>
          <w:sz w:val="22"/>
          <w:szCs w:val="22"/>
        </w:rPr>
      </w:pPr>
    </w:p>
    <w:p w14:paraId="4A189BA2" w14:textId="77777777" w:rsidR="000D54A7" w:rsidRDefault="000A6DEB">
      <w:pPr>
        <w:pBdr>
          <w:top w:val="nil"/>
          <w:left w:val="nil"/>
          <w:bottom w:val="nil"/>
          <w:right w:val="nil"/>
          <w:between w:val="nil"/>
        </w:pBdr>
        <w:spacing w:line="360" w:lineRule="auto"/>
        <w:ind w:left="567"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2D1783C6" w14:textId="2CA324EC" w:rsidR="000D54A7" w:rsidRPr="001926C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09CC2C68" w14:textId="1BB70E8B" w:rsidR="001926C7" w:rsidRDefault="001926C7" w:rsidP="001926C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58B5B81F" w14:textId="4FFEAA34" w:rsidR="001926C7" w:rsidRDefault="001926C7" w:rsidP="001926C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77D470EB" w14:textId="77777777" w:rsidR="001926C7" w:rsidRDefault="001926C7" w:rsidP="001926C7">
      <w:pPr>
        <w:pBdr>
          <w:top w:val="nil"/>
          <w:left w:val="nil"/>
          <w:bottom w:val="nil"/>
          <w:right w:val="nil"/>
          <w:between w:val="nil"/>
        </w:pBdr>
        <w:spacing w:line="360" w:lineRule="auto"/>
        <w:ind w:right="-451"/>
        <w:jc w:val="both"/>
        <w:rPr>
          <w:color w:val="000000"/>
        </w:rPr>
      </w:pPr>
    </w:p>
    <w:p w14:paraId="7A27084F" w14:textId="77777777" w:rsidR="000D54A7" w:rsidRDefault="000A6DEB">
      <w:pPr>
        <w:pStyle w:val="Ttulo1"/>
        <w:ind w:right="-45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lastRenderedPageBreak/>
        <w:t xml:space="preserve">C O N S </w:t>
      </w:r>
      <w:proofErr w:type="gramStart"/>
      <w:r>
        <w:rPr>
          <w:rFonts w:ascii="Palatino Linotype" w:eastAsia="Palatino Linotype" w:hAnsi="Palatino Linotype" w:cs="Palatino Linotype"/>
          <w:b/>
          <w:color w:val="000000"/>
          <w:sz w:val="24"/>
          <w:szCs w:val="24"/>
        </w:rPr>
        <w:t>I  D</w:t>
      </w:r>
      <w:proofErr w:type="gramEnd"/>
      <w:r>
        <w:rPr>
          <w:rFonts w:ascii="Palatino Linotype" w:eastAsia="Palatino Linotype" w:hAnsi="Palatino Linotype" w:cs="Palatino Linotype"/>
          <w:b/>
          <w:color w:val="000000"/>
          <w:sz w:val="24"/>
          <w:szCs w:val="24"/>
        </w:rPr>
        <w:t xml:space="preserve"> E R A N D O </w:t>
      </w:r>
    </w:p>
    <w:p w14:paraId="4676C68B" w14:textId="77777777" w:rsidR="000D54A7" w:rsidRDefault="000D54A7">
      <w:pPr>
        <w:ind w:right="-451"/>
        <w:rPr>
          <w:rFonts w:ascii="Palatino Linotype" w:eastAsia="Palatino Linotype" w:hAnsi="Palatino Linotype" w:cs="Palatino Linotype"/>
          <w:sz w:val="24"/>
          <w:szCs w:val="24"/>
        </w:rPr>
      </w:pPr>
    </w:p>
    <w:p w14:paraId="55ABA879" w14:textId="77777777" w:rsidR="000D54A7" w:rsidRDefault="000A6DEB">
      <w:pPr>
        <w:pStyle w:val="Ttulo2"/>
        <w:ind w:right="-451"/>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356B0BF7" w14:textId="77777777" w:rsidR="000D54A7" w:rsidRDefault="000A6DEB">
      <w:pPr>
        <w:numPr>
          <w:ilvl w:val="0"/>
          <w:numId w:val="6"/>
        </w:numPr>
        <w:pBdr>
          <w:top w:val="nil"/>
          <w:left w:val="nil"/>
          <w:bottom w:val="nil"/>
          <w:right w:val="nil"/>
          <w:between w:val="nil"/>
        </w:pBdr>
        <w:tabs>
          <w:tab w:val="left" w:pos="426"/>
        </w:tabs>
        <w:spacing w:line="360" w:lineRule="auto"/>
        <w:ind w:left="0" w:right="-45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66B6CCAF" w14:textId="77777777" w:rsidR="000D54A7" w:rsidRDefault="000D54A7">
      <w:pPr>
        <w:pBdr>
          <w:top w:val="nil"/>
          <w:left w:val="nil"/>
          <w:bottom w:val="nil"/>
          <w:right w:val="nil"/>
          <w:between w:val="nil"/>
        </w:pBdr>
        <w:tabs>
          <w:tab w:val="left" w:pos="426"/>
        </w:tabs>
        <w:spacing w:line="360" w:lineRule="auto"/>
        <w:ind w:right="-451"/>
        <w:jc w:val="both"/>
        <w:rPr>
          <w:rFonts w:ascii="Palatino Linotype" w:eastAsia="Palatino Linotype" w:hAnsi="Palatino Linotype" w:cs="Palatino Linotype"/>
          <w:b/>
          <w:color w:val="000000"/>
          <w:sz w:val="24"/>
          <w:szCs w:val="24"/>
        </w:rPr>
      </w:pPr>
    </w:p>
    <w:p w14:paraId="0DD73A22" w14:textId="77777777" w:rsidR="000D54A7" w:rsidRDefault="000A6DEB">
      <w:pPr>
        <w:pStyle w:val="Ttulo2"/>
        <w:ind w:right="-451"/>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14DDD4B0" w14:textId="77777777" w:rsidR="000D54A7" w:rsidRDefault="000A6DEB">
      <w:pPr>
        <w:numPr>
          <w:ilvl w:val="0"/>
          <w:numId w:val="6"/>
        </w:numPr>
        <w:pBdr>
          <w:top w:val="nil"/>
          <w:left w:val="nil"/>
          <w:bottom w:val="nil"/>
          <w:right w:val="nil"/>
          <w:between w:val="nil"/>
        </w:pBdr>
        <w:tabs>
          <w:tab w:val="left" w:pos="426"/>
        </w:tabs>
        <w:spacing w:line="360" w:lineRule="auto"/>
        <w:ind w:left="0" w:right="-451"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diecisiete (17) de mayo de dos mil veintitrés, de tal forma que el plazo para interponer el recurso de revisión transcurrió del dieciocho (18) de mayo al siete (7) de junio de dos mil veintitrés, el recurso de revisión fue interpuesto el diecinueve (19) de mayo de dos mil veintitrés, éste se encuentra dentro de los márgenes temporales previstos en el artículo 178 de la Ley de </w:t>
      </w:r>
      <w:r>
        <w:rPr>
          <w:rFonts w:ascii="Palatino Linotype" w:eastAsia="Palatino Linotype" w:hAnsi="Palatino Linotype" w:cs="Palatino Linotype"/>
          <w:color w:val="000000"/>
          <w:sz w:val="24"/>
          <w:szCs w:val="24"/>
        </w:rPr>
        <w:lastRenderedPageBreak/>
        <w:t>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1D352F78" w14:textId="77777777" w:rsidR="000D54A7" w:rsidRDefault="000D54A7">
      <w:pPr>
        <w:tabs>
          <w:tab w:val="left" w:pos="426"/>
        </w:tabs>
        <w:spacing w:line="360" w:lineRule="auto"/>
        <w:ind w:right="-451"/>
        <w:jc w:val="both"/>
        <w:rPr>
          <w:rFonts w:ascii="Palatino Linotype" w:eastAsia="Palatino Linotype" w:hAnsi="Palatino Linotype" w:cs="Palatino Linotype"/>
          <w:color w:val="000000"/>
          <w:sz w:val="24"/>
          <w:szCs w:val="24"/>
        </w:rPr>
      </w:pPr>
    </w:p>
    <w:p w14:paraId="1C6AC5AB" w14:textId="77777777" w:rsidR="000D54A7" w:rsidRDefault="000A6DEB">
      <w:pPr>
        <w:numPr>
          <w:ilvl w:val="0"/>
          <w:numId w:val="6"/>
        </w:numPr>
        <w:pBdr>
          <w:top w:val="nil"/>
          <w:left w:val="nil"/>
          <w:bottom w:val="nil"/>
          <w:right w:val="nil"/>
          <w:between w:val="nil"/>
        </w:pBdr>
        <w:tabs>
          <w:tab w:val="left" w:pos="426"/>
        </w:tabs>
        <w:spacing w:line="360" w:lineRule="auto"/>
        <w:ind w:left="0" w:right="-451"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72DF801" w14:textId="77777777" w:rsidR="000D54A7" w:rsidRDefault="000A6DEB">
      <w:pPr>
        <w:pStyle w:val="Ttulo1"/>
        <w:ind w:right="-45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 las causales del sobreseimiento </w:t>
      </w:r>
    </w:p>
    <w:p w14:paraId="499011C2" w14:textId="77777777" w:rsidR="000D54A7" w:rsidRDefault="000A6DEB">
      <w:pPr>
        <w:numPr>
          <w:ilvl w:val="0"/>
          <w:numId w:val="6"/>
        </w:numPr>
        <w:pBdr>
          <w:top w:val="nil"/>
          <w:left w:val="nil"/>
          <w:bottom w:val="nil"/>
          <w:right w:val="nil"/>
          <w:between w:val="nil"/>
        </w:pBdr>
        <w:spacing w:before="240"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El recurrente solicitó la siguiente información, por la detención de una persona el 17 de abril a las 22:00 horas por elementos de seguridad pública municipal, por faltas administrativas al Bando Municipal: </w:t>
      </w:r>
    </w:p>
    <w:p w14:paraId="37061FAF"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 detallado de forma que se llevó a cabo la detención;</w:t>
      </w:r>
    </w:p>
    <w:p w14:paraId="00FA5F1C"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Modalidad de la calificación de dicha falta para determinar la sanción mayor de 36 horas;</w:t>
      </w:r>
    </w:p>
    <w:p w14:paraId="201F632E"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IPH (informe policial homologado);</w:t>
      </w:r>
    </w:p>
    <w:p w14:paraId="6F2CA36A"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Certificado médico de detención;</w:t>
      </w:r>
    </w:p>
    <w:p w14:paraId="1E861EB2"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Inventario del vehículo que se resguardo;</w:t>
      </w:r>
    </w:p>
    <w:p w14:paraId="1A54543B"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Constancias de Garantía de Audiencia; y,</w:t>
      </w:r>
    </w:p>
    <w:p w14:paraId="30300C70" w14:textId="77777777" w:rsidR="000D54A7" w:rsidRDefault="000A6DEB">
      <w:pPr>
        <w:numPr>
          <w:ilvl w:val="0"/>
          <w:numId w:val="3"/>
        </w:num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Recibo de la multa pagada.</w:t>
      </w:r>
    </w:p>
    <w:p w14:paraId="3E59F696" w14:textId="77777777" w:rsidR="000D54A7" w:rsidRDefault="000D54A7">
      <w:pPr>
        <w:pBdr>
          <w:top w:val="nil"/>
          <w:left w:val="nil"/>
          <w:bottom w:val="nil"/>
          <w:right w:val="nil"/>
          <w:between w:val="nil"/>
        </w:pBdr>
        <w:ind w:left="720" w:right="-451"/>
        <w:jc w:val="both"/>
        <w:rPr>
          <w:rFonts w:ascii="Palatino Linotype" w:eastAsia="Palatino Linotype" w:hAnsi="Palatino Linotype" w:cs="Palatino Linotype"/>
          <w:i/>
          <w:color w:val="000000"/>
          <w:sz w:val="24"/>
          <w:szCs w:val="24"/>
        </w:rPr>
      </w:pPr>
    </w:p>
    <w:p w14:paraId="1C55A06D" w14:textId="77777777" w:rsidR="000D54A7" w:rsidRDefault="000A6DEB">
      <w:pPr>
        <w:numPr>
          <w:ilvl w:val="0"/>
          <w:numId w:val="6"/>
        </w:numPr>
        <w:pBdr>
          <w:top w:val="nil"/>
          <w:left w:val="nil"/>
          <w:bottom w:val="nil"/>
          <w:right w:val="nil"/>
          <w:between w:val="nil"/>
        </w:pBdr>
        <w:spacing w:after="240" w:line="360" w:lineRule="auto"/>
        <w:ind w:left="0" w:right="-451" w:firstLine="0"/>
        <w:jc w:val="both"/>
        <w:rPr>
          <w:color w:val="000000"/>
        </w:rPr>
      </w:pPr>
      <w:r>
        <w:rPr>
          <w:rFonts w:ascii="Palatino Linotype" w:eastAsia="Palatino Linotype" w:hAnsi="Palatino Linotype" w:cs="Palatino Linotype"/>
          <w:color w:val="000000"/>
          <w:sz w:val="24"/>
          <w:szCs w:val="24"/>
        </w:rPr>
        <w:lastRenderedPageBreak/>
        <w:t xml:space="preserve">El Sujeto Obligado manifestó que no puede proporcionar la información por contener datos personales. </w:t>
      </w:r>
    </w:p>
    <w:p w14:paraId="1BF83776" w14:textId="77777777" w:rsidR="00E53053" w:rsidRDefault="000A6DEB" w:rsidP="00E53053">
      <w:pPr>
        <w:numPr>
          <w:ilvl w:val="0"/>
          <w:numId w:val="6"/>
        </w:numPr>
        <w:tabs>
          <w:tab w:val="left" w:pos="284"/>
        </w:tabs>
        <w:spacing w:before="240" w:line="360" w:lineRule="auto"/>
        <w:ind w:left="0" w:right="-451" w:firstLine="0"/>
        <w:jc w:val="both"/>
      </w:pPr>
      <w:r>
        <w:rPr>
          <w:rFonts w:ascii="Palatino Linotype" w:eastAsia="Palatino Linotype" w:hAnsi="Palatino Linotype" w:cs="Palatino Linotype"/>
          <w:sz w:val="24"/>
          <w:szCs w:val="24"/>
        </w:rPr>
        <w:t>El Recurrente se inconformó por la negativa de la información derivada de contener datos personales.</w:t>
      </w:r>
    </w:p>
    <w:p w14:paraId="1C7476BF" w14:textId="77777777" w:rsidR="00E53053" w:rsidRPr="001926C7" w:rsidRDefault="00E53053" w:rsidP="00E53053">
      <w:pPr>
        <w:numPr>
          <w:ilvl w:val="0"/>
          <w:numId w:val="6"/>
        </w:numPr>
        <w:tabs>
          <w:tab w:val="left" w:pos="284"/>
        </w:tabs>
        <w:spacing w:before="240" w:line="360" w:lineRule="auto"/>
        <w:ind w:left="0" w:right="-451" w:firstLine="0"/>
        <w:jc w:val="both"/>
      </w:pPr>
      <w:r w:rsidRPr="001926C7">
        <w:rPr>
          <w:rFonts w:ascii="Palatino Linotype" w:eastAsiaTheme="minorEastAsia" w:hAnsi="Palatino Linotype" w:cs="Arial"/>
          <w:sz w:val="24"/>
          <w:szCs w:val="24"/>
          <w:lang w:val="es-ES_tradnl"/>
        </w:rPr>
        <w:t xml:space="preserve">Por lo tanto, el presente recurso de revisión se circunscribe en determinar si se </w:t>
      </w:r>
      <w:r w:rsidRPr="001926C7">
        <w:rPr>
          <w:rFonts w:ascii="Palatino Linotype" w:hAnsi="Palatino Linotype"/>
          <w:sz w:val="24"/>
          <w:szCs w:val="24"/>
          <w:lang w:val="es-ES_tradnl"/>
        </w:rPr>
        <w:t>actualiza las causales de procedencia</w:t>
      </w:r>
      <w:r w:rsidRPr="001926C7">
        <w:rPr>
          <w:rFonts w:ascii="Palatino Linotype" w:hAnsi="Palatino Linotype"/>
          <w:b/>
          <w:sz w:val="24"/>
          <w:szCs w:val="24"/>
          <w:lang w:val="es-ES_tradnl"/>
        </w:rPr>
        <w:t xml:space="preserve"> </w:t>
      </w:r>
      <w:r w:rsidRPr="001926C7">
        <w:rPr>
          <w:rFonts w:ascii="Palatino Linotype" w:hAnsi="Palatino Linotype" w:cs="Arial"/>
          <w:sz w:val="24"/>
          <w:szCs w:val="24"/>
          <w:lang w:val="es-ES_tradnl" w:eastAsia="es-MX"/>
        </w:rPr>
        <w:t xml:space="preserve">contenidas en </w:t>
      </w:r>
      <w:r w:rsidRPr="001926C7">
        <w:rPr>
          <w:rFonts w:ascii="Palatino Linotype" w:hAnsi="Palatino Linotype" w:cs="Arial"/>
          <w:sz w:val="24"/>
          <w:szCs w:val="24"/>
          <w:lang w:val="es-ES" w:eastAsia="es-MX"/>
        </w:rPr>
        <w:t xml:space="preserve">el artículo 179 fracciones I, relativo a la negativa de la información, de la </w:t>
      </w:r>
      <w:r w:rsidRPr="001926C7">
        <w:rPr>
          <w:rFonts w:ascii="Palatino Linotype" w:eastAsia="Calibri" w:hAnsi="Palatino Linotype" w:cs="Arial"/>
          <w:b/>
          <w:sz w:val="24"/>
          <w:szCs w:val="24"/>
          <w:lang w:val="es-ES"/>
        </w:rPr>
        <w:t>Ley de Transparencia y Acceso a la Información Pública del Estado de México y Municipios</w:t>
      </w:r>
      <w:r w:rsidRPr="001926C7">
        <w:rPr>
          <w:rFonts w:ascii="Palatino Linotype" w:hAnsi="Palatino Linotype" w:cs="Arial"/>
          <w:sz w:val="24"/>
          <w:szCs w:val="24"/>
          <w:lang w:val="es-ES" w:eastAsia="es-MX"/>
        </w:rPr>
        <w:t>.</w:t>
      </w:r>
    </w:p>
    <w:p w14:paraId="3AFC3ECD" w14:textId="77777777" w:rsidR="00E53053" w:rsidRPr="001926C7" w:rsidRDefault="00E53053" w:rsidP="00E53053">
      <w:pPr>
        <w:tabs>
          <w:tab w:val="left" w:pos="284"/>
        </w:tabs>
        <w:spacing w:before="240" w:line="360" w:lineRule="auto"/>
        <w:ind w:right="-451"/>
        <w:jc w:val="both"/>
      </w:pPr>
    </w:p>
    <w:p w14:paraId="7A0207E6" w14:textId="77777777" w:rsidR="00E53053" w:rsidRDefault="00E53053" w:rsidP="00E53053">
      <w:pPr>
        <w:pStyle w:val="Ttulo2"/>
        <w:tabs>
          <w:tab w:val="left" w:pos="426"/>
        </w:tabs>
        <w:rPr>
          <w:rFonts w:ascii="Palatino Linotype" w:hAnsi="Palatino Linotype" w:cs="Arial"/>
          <w:b/>
          <w:color w:val="000000" w:themeColor="text1"/>
          <w:sz w:val="24"/>
          <w:szCs w:val="24"/>
        </w:rPr>
      </w:pPr>
      <w:r w:rsidRPr="001926C7">
        <w:rPr>
          <w:rFonts w:ascii="Palatino Linotype" w:hAnsi="Palatino Linotype" w:cs="Arial"/>
          <w:b/>
          <w:color w:val="000000" w:themeColor="text1"/>
          <w:sz w:val="24"/>
          <w:szCs w:val="24"/>
        </w:rPr>
        <w:t>CUARTO. Estudio y Resolución del asunto.</w:t>
      </w:r>
    </w:p>
    <w:p w14:paraId="3AF6030F" w14:textId="77777777" w:rsidR="00E53053" w:rsidRPr="00E53053" w:rsidRDefault="00E53053" w:rsidP="00E53053"/>
    <w:p w14:paraId="0AE01DB6" w14:textId="77777777" w:rsidR="000D54A7" w:rsidRDefault="000A6DEB">
      <w:pPr>
        <w:pStyle w:val="Ttulo2"/>
        <w:numPr>
          <w:ilvl w:val="1"/>
          <w:numId w:val="6"/>
        </w:numPr>
        <w:spacing w:line="259" w:lineRule="auto"/>
        <w:ind w:left="993" w:right="-451" w:hanging="360"/>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sz w:val="24"/>
          <w:szCs w:val="24"/>
        </w:rPr>
        <w:t>De la fuente obligacional</w:t>
      </w:r>
    </w:p>
    <w:p w14:paraId="52E078A0"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color w:val="000000"/>
          <w:sz w:val="24"/>
          <w:szCs w:val="24"/>
        </w:rPr>
        <w:lastRenderedPageBreak/>
        <w:t xml:space="preserve">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08808418" w14:textId="77777777" w:rsidR="000D54A7" w:rsidRDefault="000D54A7">
      <w:pPr>
        <w:tabs>
          <w:tab w:val="left" w:pos="284"/>
        </w:tabs>
        <w:spacing w:line="360" w:lineRule="auto"/>
        <w:ind w:right="-451"/>
        <w:jc w:val="both"/>
        <w:rPr>
          <w:rFonts w:ascii="Palatino Linotype" w:eastAsia="Palatino Linotype" w:hAnsi="Palatino Linotype" w:cs="Palatino Linotype"/>
          <w:color w:val="000000"/>
          <w:sz w:val="24"/>
          <w:szCs w:val="24"/>
        </w:rPr>
      </w:pPr>
    </w:p>
    <w:p w14:paraId="45584AC2" w14:textId="77777777" w:rsidR="000D54A7" w:rsidRDefault="000A6DEB">
      <w:pPr>
        <w:numPr>
          <w:ilvl w:val="0"/>
          <w:numId w:val="6"/>
        </w:numPr>
        <w:tabs>
          <w:tab w:val="left" w:pos="284"/>
        </w:tabs>
        <w:spacing w:line="360" w:lineRule="auto"/>
        <w:ind w:left="0" w:right="-451"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6738DD99" w14:textId="77777777" w:rsidR="000D54A7" w:rsidRDefault="000D54A7">
      <w:pPr>
        <w:tabs>
          <w:tab w:val="left" w:pos="284"/>
        </w:tabs>
        <w:ind w:right="-451"/>
        <w:rPr>
          <w:rFonts w:ascii="Palatino Linotype" w:eastAsia="Palatino Linotype" w:hAnsi="Palatino Linotype" w:cs="Palatino Linotype"/>
          <w:sz w:val="24"/>
          <w:szCs w:val="24"/>
        </w:rPr>
      </w:pPr>
    </w:p>
    <w:p w14:paraId="0B9A30B8" w14:textId="77777777" w:rsidR="000D54A7" w:rsidRDefault="000A6DEB">
      <w:pPr>
        <w:numPr>
          <w:ilvl w:val="0"/>
          <w:numId w:val="6"/>
        </w:numPr>
        <w:tabs>
          <w:tab w:val="left" w:pos="284"/>
        </w:tabs>
        <w:spacing w:line="360" w:lineRule="auto"/>
        <w:ind w:left="0" w:right="-451" w:firstLine="0"/>
        <w:jc w:val="both"/>
      </w:pPr>
      <w:r>
        <w:rPr>
          <w:rFonts w:ascii="Palatino Linotype" w:eastAsia="Palatino Linotype" w:hAnsi="Palatino Linotype" w:cs="Palatino Linotype"/>
          <w:sz w:val="24"/>
          <w:szCs w:val="24"/>
        </w:rPr>
        <w:t xml:space="preserve">Se deduce que el derecho de acceso a la información pública es un derecho humano constitucionalmente reconocido, en consecuencia, todas las autoridades en el ámbito de </w:t>
      </w:r>
      <w:r>
        <w:rPr>
          <w:rFonts w:ascii="Palatino Linotype" w:eastAsia="Palatino Linotype" w:hAnsi="Palatino Linotype" w:cs="Palatino Linotype"/>
          <w:sz w:val="24"/>
          <w:szCs w:val="24"/>
        </w:rPr>
        <w:lastRenderedPageBreak/>
        <w:t>sus competencias, funciones y atribuciones tienen la obligación de respetarlo, protegerlo y garantizarlo.</w:t>
      </w:r>
    </w:p>
    <w:p w14:paraId="354BB92B" w14:textId="77777777" w:rsidR="000D54A7" w:rsidRDefault="000A6DEB">
      <w:pPr>
        <w:tabs>
          <w:tab w:val="left" w:pos="284"/>
        </w:tabs>
        <w:spacing w:line="360" w:lineRule="auto"/>
        <w:ind w:right="-4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350B748C" w14:textId="77777777" w:rsidR="000D54A7" w:rsidRDefault="000A6DEB">
      <w:pPr>
        <w:numPr>
          <w:ilvl w:val="0"/>
          <w:numId w:val="6"/>
        </w:numPr>
        <w:tabs>
          <w:tab w:val="left" w:pos="284"/>
        </w:tabs>
        <w:spacing w:line="360" w:lineRule="auto"/>
        <w:ind w:left="0" w:right="-451"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1382F51B" w14:textId="77777777" w:rsidR="000D54A7" w:rsidRDefault="000D54A7">
      <w:pPr>
        <w:tabs>
          <w:tab w:val="left" w:pos="284"/>
        </w:tabs>
        <w:spacing w:line="360" w:lineRule="auto"/>
        <w:ind w:right="-451"/>
        <w:jc w:val="both"/>
        <w:rPr>
          <w:rFonts w:ascii="Palatino Linotype" w:eastAsia="Palatino Linotype" w:hAnsi="Palatino Linotype" w:cs="Palatino Linotype"/>
          <w:sz w:val="24"/>
          <w:szCs w:val="24"/>
        </w:rPr>
      </w:pPr>
    </w:p>
    <w:p w14:paraId="2201C2E9" w14:textId="77777777" w:rsidR="000D54A7" w:rsidRDefault="000A6DEB">
      <w:pPr>
        <w:numPr>
          <w:ilvl w:val="0"/>
          <w:numId w:val="6"/>
        </w:numPr>
        <w:tabs>
          <w:tab w:val="left" w:pos="284"/>
        </w:tabs>
        <w:spacing w:line="360" w:lineRule="auto"/>
        <w:ind w:left="0" w:right="-451"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389F1DAA" w14:textId="77777777" w:rsidR="000D54A7" w:rsidRDefault="000D54A7">
      <w:pPr>
        <w:tabs>
          <w:tab w:val="left" w:pos="284"/>
        </w:tabs>
        <w:ind w:right="-451"/>
        <w:rPr>
          <w:rFonts w:ascii="Palatino Linotype" w:eastAsia="Palatino Linotype" w:hAnsi="Palatino Linotype" w:cs="Palatino Linotype"/>
          <w:sz w:val="24"/>
          <w:szCs w:val="24"/>
        </w:rPr>
      </w:pPr>
    </w:p>
    <w:p w14:paraId="4B41E55D" w14:textId="77777777" w:rsidR="000D54A7" w:rsidRDefault="000A6DEB">
      <w:pPr>
        <w:numPr>
          <w:ilvl w:val="0"/>
          <w:numId w:val="6"/>
        </w:numPr>
        <w:tabs>
          <w:tab w:val="left" w:pos="284"/>
        </w:tabs>
        <w:spacing w:after="240" w:line="360" w:lineRule="auto"/>
        <w:ind w:left="0" w:right="-451"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 xml:space="preserve">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3A08FC20" w14:textId="77777777" w:rsidR="000D54A7" w:rsidRDefault="000A6DEB">
      <w:pPr>
        <w:numPr>
          <w:ilvl w:val="0"/>
          <w:numId w:val="6"/>
        </w:numPr>
        <w:pBdr>
          <w:top w:val="nil"/>
          <w:left w:val="nil"/>
          <w:bottom w:val="nil"/>
          <w:right w:val="nil"/>
          <w:between w:val="nil"/>
        </w:pBdr>
        <w:spacing w:before="240" w:line="360" w:lineRule="auto"/>
        <w:ind w:left="0" w:right="-451"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5BD1B37"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“CRITERIO 0002-11</w:t>
      </w:r>
    </w:p>
    <w:p w14:paraId="42C9BA50"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INFORMACIÓN PÚBLICA, CONCEPTO DE, EN MATERIA DE TRANSPARENCIA. INTERPRETACIÓN TEMÁTICA DE LOS ARTÍCULOS 2, FRACCIÓN V, XV, Y XVI, 3, 4,11 Y 41.</w:t>
      </w:r>
      <w:r>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FFD64C8"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En </w:t>
      </w:r>
      <w:proofErr w:type="gramStart"/>
      <w:r>
        <w:rPr>
          <w:rFonts w:ascii="Palatino Linotype" w:eastAsia="Palatino Linotype" w:hAnsi="Palatino Linotype" w:cs="Palatino Linotype"/>
          <w:i/>
          <w:sz w:val="24"/>
          <w:szCs w:val="24"/>
        </w:rPr>
        <w:t>consecuencia</w:t>
      </w:r>
      <w:proofErr w:type="gramEnd"/>
      <w:r>
        <w:rPr>
          <w:rFonts w:ascii="Palatino Linotype" w:eastAsia="Palatino Linotype" w:hAnsi="Palatino Linotype" w:cs="Palatino Linotype"/>
          <w:i/>
          <w:sz w:val="24"/>
          <w:szCs w:val="24"/>
        </w:rPr>
        <w:t xml:space="preserve"> el acceso a la información se refiere a que se cumplan cualquiera de los siguientes tres supuestos:</w:t>
      </w:r>
    </w:p>
    <w:p w14:paraId="47101EB4"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Que se trate de información registrada en cualquier soporte documental, </w:t>
      </w:r>
      <w:proofErr w:type="gramStart"/>
      <w:r>
        <w:rPr>
          <w:rFonts w:ascii="Palatino Linotype" w:eastAsia="Palatino Linotype" w:hAnsi="Palatino Linotype" w:cs="Palatino Linotype"/>
          <w:i/>
          <w:sz w:val="24"/>
          <w:szCs w:val="24"/>
        </w:rPr>
        <w:t>que</w:t>
      </w:r>
      <w:proofErr w:type="gramEnd"/>
      <w:r>
        <w:rPr>
          <w:rFonts w:ascii="Palatino Linotype" w:eastAsia="Palatino Linotype" w:hAnsi="Palatino Linotype" w:cs="Palatino Linotype"/>
          <w:i/>
          <w:sz w:val="24"/>
          <w:szCs w:val="24"/>
        </w:rPr>
        <w:t xml:space="preserve"> en ejercicio de las atribuciones conferidas, sea generada por los Sujetos Obligados;</w:t>
      </w:r>
    </w:p>
    <w:p w14:paraId="5076B542"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Que se trate de información registrada en cualquier soporte documental, </w:t>
      </w:r>
      <w:proofErr w:type="gramStart"/>
      <w:r>
        <w:rPr>
          <w:rFonts w:ascii="Palatino Linotype" w:eastAsia="Palatino Linotype" w:hAnsi="Palatino Linotype" w:cs="Palatino Linotype"/>
          <w:i/>
          <w:sz w:val="24"/>
          <w:szCs w:val="24"/>
        </w:rPr>
        <w:t>que</w:t>
      </w:r>
      <w:proofErr w:type="gramEnd"/>
      <w:r>
        <w:rPr>
          <w:rFonts w:ascii="Palatino Linotype" w:eastAsia="Palatino Linotype" w:hAnsi="Palatino Linotype" w:cs="Palatino Linotype"/>
          <w:i/>
          <w:sz w:val="24"/>
          <w:szCs w:val="24"/>
        </w:rPr>
        <w:t xml:space="preserve"> en ejercicio de las atribuciones conferidas, sea administrada por los Sujetos Obligados, y</w:t>
      </w:r>
    </w:p>
    <w:p w14:paraId="751484F5" w14:textId="77777777" w:rsidR="000D54A7" w:rsidRDefault="000A6DEB">
      <w:pPr>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sz w:val="24"/>
          <w:szCs w:val="24"/>
        </w:rPr>
        <w:t xml:space="preserve">Que se trate de información registrada en cualquier soporte documental, </w:t>
      </w:r>
      <w:proofErr w:type="gramStart"/>
      <w:r>
        <w:rPr>
          <w:rFonts w:ascii="Palatino Linotype" w:eastAsia="Palatino Linotype" w:hAnsi="Palatino Linotype" w:cs="Palatino Linotype"/>
          <w:i/>
          <w:sz w:val="24"/>
          <w:szCs w:val="24"/>
        </w:rPr>
        <w:t>que</w:t>
      </w:r>
      <w:proofErr w:type="gramEnd"/>
      <w:r>
        <w:rPr>
          <w:rFonts w:ascii="Palatino Linotype" w:eastAsia="Palatino Linotype" w:hAnsi="Palatino Linotype" w:cs="Palatino Linotype"/>
          <w:i/>
          <w:sz w:val="24"/>
          <w:szCs w:val="24"/>
        </w:rPr>
        <w:t xml:space="preserve"> en ejercicio de las atribuciones conferidas, se encuentre en posesión de los Sujetos Obligados.”</w:t>
      </w:r>
    </w:p>
    <w:p w14:paraId="2F3D9EFF" w14:textId="77777777" w:rsidR="000D54A7" w:rsidRDefault="000D54A7">
      <w:pPr>
        <w:pBdr>
          <w:top w:val="nil"/>
          <w:left w:val="nil"/>
          <w:bottom w:val="nil"/>
          <w:right w:val="nil"/>
          <w:between w:val="nil"/>
        </w:pBdr>
        <w:tabs>
          <w:tab w:val="left" w:pos="851"/>
        </w:tabs>
        <w:spacing w:line="360" w:lineRule="auto"/>
        <w:ind w:right="-451"/>
        <w:jc w:val="both"/>
        <w:rPr>
          <w:rFonts w:ascii="Palatino Linotype" w:eastAsia="Palatino Linotype" w:hAnsi="Palatino Linotype" w:cs="Palatino Linotype"/>
          <w:color w:val="000000"/>
          <w:sz w:val="24"/>
          <w:szCs w:val="24"/>
        </w:rPr>
      </w:pPr>
    </w:p>
    <w:p w14:paraId="6A095701" w14:textId="77777777" w:rsidR="000D54A7" w:rsidRDefault="000A6DEB">
      <w:pPr>
        <w:numPr>
          <w:ilvl w:val="0"/>
          <w:numId w:val="6"/>
        </w:numPr>
        <w:pBdr>
          <w:top w:val="nil"/>
          <w:left w:val="nil"/>
          <w:bottom w:val="nil"/>
          <w:right w:val="nil"/>
          <w:between w:val="nil"/>
        </w:pBdr>
        <w:tabs>
          <w:tab w:val="left" w:pos="851"/>
        </w:tabs>
        <w:spacing w:after="240" w:line="360" w:lineRule="auto"/>
        <w:ind w:left="0" w:right="-451" w:firstLine="0"/>
        <w:jc w:val="both"/>
        <w:rPr>
          <w:color w:val="000000"/>
        </w:rPr>
      </w:pPr>
      <w:r>
        <w:rPr>
          <w:rFonts w:ascii="Palatino Linotype" w:eastAsia="Palatino Linotype" w:hAnsi="Palatino Linotype" w:cs="Palatino Linotype"/>
          <w:color w:val="000000"/>
          <w:sz w:val="24"/>
          <w:szCs w:val="24"/>
        </w:rPr>
        <w:lastRenderedPageBreak/>
        <w:t>El derecho de acceso a la información encuentra su materia elemental en los documentos, y la Ley de Transparencia local nos brinda el siguiente concepto, para darnos un mejor panorama:</w:t>
      </w:r>
    </w:p>
    <w:p w14:paraId="035BAE50"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XI. Documento: </w:t>
      </w:r>
      <w:r>
        <w:rPr>
          <w:rFonts w:ascii="Palatino Linotype" w:eastAsia="Palatino Linotype" w:hAnsi="Palatino Linotype" w:cs="Palatino Linotype"/>
          <w:i/>
          <w:sz w:val="24"/>
          <w:szCs w:val="24"/>
        </w:rPr>
        <w:t xml:space="preserve">Los expedientes, reportes, estudios, actas, resoluciones, </w:t>
      </w:r>
      <w:r>
        <w:rPr>
          <w:rFonts w:ascii="Palatino Linotype" w:eastAsia="Palatino Linotype" w:hAnsi="Palatino Linotype" w:cs="Palatino Linotype"/>
          <w:b/>
          <w:i/>
          <w:sz w:val="24"/>
          <w:szCs w:val="24"/>
        </w:rPr>
        <w:t>oficios,</w:t>
      </w:r>
      <w:r>
        <w:rPr>
          <w:rFonts w:ascii="Palatino Linotype" w:eastAsia="Palatino Linotype" w:hAnsi="Palatino Linotype" w:cs="Palatino Linotype"/>
          <w:i/>
          <w:sz w:val="24"/>
          <w:szCs w:val="24"/>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4"/>
          <w:szCs w:val="24"/>
        </w:rPr>
        <w:t>cualquier otro registro</w:t>
      </w:r>
      <w:r>
        <w:rPr>
          <w:rFonts w:ascii="Palatino Linotype" w:eastAsia="Palatino Linotype" w:hAnsi="Palatino Linotype" w:cs="Palatino Linotype"/>
          <w:i/>
          <w:sz w:val="24"/>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4"/>
          <w:szCs w:val="24"/>
        </w:rPr>
        <w:t>impreso,  sonoro</w:t>
      </w:r>
      <w:proofErr w:type="gramEnd"/>
      <w:r>
        <w:rPr>
          <w:rFonts w:ascii="Palatino Linotype" w:eastAsia="Palatino Linotype" w:hAnsi="Palatino Linotype" w:cs="Palatino Linotype"/>
          <w:i/>
          <w:sz w:val="24"/>
          <w:szCs w:val="24"/>
        </w:rPr>
        <w:t>, visual, electrónico, informático u holográfico;</w:t>
      </w:r>
    </w:p>
    <w:p w14:paraId="6F3AEA95" w14:textId="77777777" w:rsidR="000D54A7" w:rsidRDefault="000D54A7">
      <w:pPr>
        <w:pBdr>
          <w:top w:val="nil"/>
          <w:left w:val="nil"/>
          <w:bottom w:val="nil"/>
          <w:right w:val="nil"/>
          <w:between w:val="nil"/>
        </w:pBdr>
        <w:tabs>
          <w:tab w:val="left" w:pos="851"/>
        </w:tabs>
        <w:spacing w:line="360" w:lineRule="auto"/>
        <w:ind w:right="-451"/>
        <w:jc w:val="both"/>
        <w:rPr>
          <w:rFonts w:ascii="Palatino Linotype" w:eastAsia="Palatino Linotype" w:hAnsi="Palatino Linotype" w:cs="Palatino Linotype"/>
          <w:color w:val="000000"/>
          <w:sz w:val="24"/>
          <w:szCs w:val="24"/>
        </w:rPr>
      </w:pPr>
    </w:p>
    <w:p w14:paraId="424646D2" w14:textId="77777777" w:rsidR="000D54A7" w:rsidRDefault="000A6DEB">
      <w:pPr>
        <w:numPr>
          <w:ilvl w:val="0"/>
          <w:numId w:val="6"/>
        </w:numPr>
        <w:pBdr>
          <w:top w:val="nil"/>
          <w:left w:val="nil"/>
          <w:bottom w:val="nil"/>
          <w:right w:val="nil"/>
          <w:between w:val="nil"/>
        </w:pBdr>
        <w:tabs>
          <w:tab w:val="left" w:pos="851"/>
        </w:tabs>
        <w:spacing w:line="360" w:lineRule="auto"/>
        <w:ind w:left="0" w:right="-451"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D17C753"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3446773F"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 xml:space="preserve">los Sujetos Obligados deberán documentar todo acto que se derive del ejercicio de sus facultades, </w:t>
      </w:r>
      <w:r>
        <w:rPr>
          <w:rFonts w:ascii="Palatino Linotype" w:eastAsia="Palatino Linotype" w:hAnsi="Palatino Linotype" w:cs="Palatino Linotype"/>
          <w:b/>
          <w:color w:val="000000"/>
          <w:sz w:val="24"/>
          <w:szCs w:val="24"/>
        </w:rPr>
        <w:lastRenderedPageBreak/>
        <w:t>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0E59794A"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198ED7B7"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17F63411"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4. </w:t>
      </w:r>
      <w:r>
        <w:rPr>
          <w:rFonts w:ascii="Palatino Linotype" w:eastAsia="Palatino Linotype" w:hAnsi="Palatino Linotype" w:cs="Palatino Linotyp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5B382693" w14:textId="77777777" w:rsidR="000D54A7" w:rsidRDefault="000D54A7">
      <w:pPr>
        <w:ind w:left="567" w:right="257"/>
        <w:jc w:val="both"/>
        <w:rPr>
          <w:rFonts w:ascii="Palatino Linotype" w:eastAsia="Palatino Linotype" w:hAnsi="Palatino Linotype" w:cs="Palatino Linotype"/>
          <w:i/>
          <w:sz w:val="24"/>
          <w:szCs w:val="24"/>
        </w:rPr>
      </w:pPr>
    </w:p>
    <w:p w14:paraId="142CAA4D"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8DF7BC" w14:textId="77777777" w:rsidR="000D54A7" w:rsidRDefault="000D54A7">
      <w:pPr>
        <w:ind w:left="567" w:right="257"/>
        <w:jc w:val="both"/>
        <w:rPr>
          <w:rFonts w:ascii="Palatino Linotype" w:eastAsia="Palatino Linotype" w:hAnsi="Palatino Linotype" w:cs="Palatino Linotype"/>
          <w:i/>
          <w:sz w:val="24"/>
          <w:szCs w:val="24"/>
        </w:rPr>
      </w:pPr>
    </w:p>
    <w:p w14:paraId="31659DC5"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14:paraId="22626A6E" w14:textId="77777777" w:rsidR="000D54A7" w:rsidRDefault="000D54A7">
      <w:pPr>
        <w:ind w:left="567" w:right="257"/>
        <w:jc w:val="both"/>
        <w:rPr>
          <w:rFonts w:ascii="Palatino Linotype" w:eastAsia="Palatino Linotype" w:hAnsi="Palatino Linotype" w:cs="Palatino Linotype"/>
          <w:i/>
          <w:color w:val="000000"/>
          <w:sz w:val="24"/>
          <w:szCs w:val="24"/>
        </w:rPr>
      </w:pPr>
    </w:p>
    <w:p w14:paraId="3499CBF6"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12. </w:t>
      </w:r>
      <w:r>
        <w:rPr>
          <w:rFonts w:ascii="Palatino Linotype" w:eastAsia="Palatino Linotype" w:hAnsi="Palatino Linotype" w:cs="Palatino Linotype"/>
          <w:i/>
          <w:sz w:val="24"/>
          <w:szCs w:val="24"/>
        </w:rPr>
        <w:t xml:space="preserve">Quienes generen, recopilen, administren, manejen, procesen, archiven o conserven información pública serán responsables de la misma en los términos de las disposiciones jurídicas aplicables. </w:t>
      </w:r>
    </w:p>
    <w:p w14:paraId="0B327995" w14:textId="77777777" w:rsidR="000D54A7" w:rsidRDefault="000D54A7">
      <w:pPr>
        <w:ind w:left="567" w:right="257"/>
        <w:jc w:val="both"/>
        <w:rPr>
          <w:rFonts w:ascii="Palatino Linotype" w:eastAsia="Palatino Linotype" w:hAnsi="Palatino Linotype" w:cs="Palatino Linotype"/>
          <w:i/>
          <w:sz w:val="24"/>
          <w:szCs w:val="24"/>
        </w:rPr>
      </w:pPr>
    </w:p>
    <w:p w14:paraId="2A6EFB1C"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4"/>
          <w:szCs w:val="24"/>
        </w:rPr>
        <w:t xml:space="preserve">La obligación de </w:t>
      </w:r>
      <w:r>
        <w:rPr>
          <w:rFonts w:ascii="Palatino Linotype" w:eastAsia="Palatino Linotype" w:hAnsi="Palatino Linotype" w:cs="Palatino Linotype"/>
          <w:b/>
          <w:i/>
          <w:sz w:val="24"/>
          <w:szCs w:val="24"/>
        </w:rPr>
        <w:lastRenderedPageBreak/>
        <w:t>proporcionar información no comprende el procesamiento de la misma, ni el presentarla conforme al interés del solicitante; no estarán obligados a generarla, resumirla, efectuar cálculos o practicar investigaciones.</w:t>
      </w:r>
    </w:p>
    <w:p w14:paraId="7EA41A90" w14:textId="77777777" w:rsidR="000D54A7" w:rsidRDefault="000D54A7">
      <w:pPr>
        <w:spacing w:line="360" w:lineRule="auto"/>
        <w:ind w:left="567" w:right="-451"/>
        <w:jc w:val="both"/>
        <w:rPr>
          <w:rFonts w:ascii="Palatino Linotype" w:eastAsia="Palatino Linotype" w:hAnsi="Palatino Linotype" w:cs="Palatino Linotype"/>
          <w:i/>
          <w:sz w:val="24"/>
          <w:szCs w:val="24"/>
        </w:rPr>
      </w:pPr>
    </w:p>
    <w:p w14:paraId="789C0BC2" w14:textId="77777777" w:rsidR="000D54A7" w:rsidRDefault="000A6DEB">
      <w:pPr>
        <w:numPr>
          <w:ilvl w:val="0"/>
          <w:numId w:val="6"/>
        </w:numPr>
        <w:pBdr>
          <w:top w:val="nil"/>
          <w:left w:val="nil"/>
          <w:bottom w:val="nil"/>
          <w:right w:val="nil"/>
          <w:between w:val="nil"/>
        </w:pBdr>
        <w:tabs>
          <w:tab w:val="left" w:pos="851"/>
        </w:tabs>
        <w:spacing w:line="360" w:lineRule="auto"/>
        <w:ind w:left="0" w:right="-451"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57BFEA6" w14:textId="77777777" w:rsidR="000D54A7" w:rsidRDefault="000D54A7">
      <w:pPr>
        <w:pBdr>
          <w:top w:val="nil"/>
          <w:left w:val="nil"/>
          <w:bottom w:val="nil"/>
          <w:right w:val="nil"/>
          <w:between w:val="nil"/>
        </w:pBdr>
        <w:tabs>
          <w:tab w:val="left" w:pos="851"/>
        </w:tabs>
        <w:spacing w:line="360" w:lineRule="auto"/>
        <w:ind w:right="-451"/>
        <w:jc w:val="both"/>
        <w:rPr>
          <w:rFonts w:ascii="Palatino Linotype" w:eastAsia="Palatino Linotype" w:hAnsi="Palatino Linotype" w:cs="Palatino Linotype"/>
          <w:color w:val="000000"/>
          <w:sz w:val="24"/>
          <w:szCs w:val="24"/>
        </w:rPr>
      </w:pPr>
    </w:p>
    <w:p w14:paraId="50E4F2CE" w14:textId="77777777" w:rsidR="000D54A7" w:rsidRDefault="000A6DEB">
      <w:pPr>
        <w:numPr>
          <w:ilvl w:val="0"/>
          <w:numId w:val="6"/>
        </w:numPr>
        <w:pBdr>
          <w:top w:val="nil"/>
          <w:left w:val="nil"/>
          <w:bottom w:val="nil"/>
          <w:right w:val="nil"/>
          <w:between w:val="nil"/>
        </w:pBdr>
        <w:tabs>
          <w:tab w:val="left" w:pos="851"/>
        </w:tabs>
        <w:spacing w:line="360" w:lineRule="auto"/>
        <w:ind w:left="0" w:right="-451"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w:t>
      </w:r>
      <w:proofErr w:type="gramStart"/>
      <w:r>
        <w:rPr>
          <w:rFonts w:ascii="Palatino Linotype" w:eastAsia="Palatino Linotype" w:hAnsi="Palatino Linotype" w:cs="Palatino Linotype"/>
          <w:color w:val="000000"/>
          <w:sz w:val="24"/>
          <w:szCs w:val="24"/>
        </w:rPr>
        <w:t>4º.A.</w:t>
      </w:r>
      <w:proofErr w:type="gramEnd"/>
      <w:r>
        <w:rPr>
          <w:rFonts w:ascii="Palatino Linotype" w:eastAsia="Palatino Linotype" w:hAnsi="Palatino Linotype" w:cs="Palatino Linotype"/>
          <w:color w:val="000000"/>
          <w:sz w:val="24"/>
          <w:szCs w:val="24"/>
        </w:rPr>
        <w:t>40 A del Cuarto Tribunal colegiado en Materia Administrativa del Primer Circuito, publicada en el Seminario Judicial de la Federación y su Gaceta en el libro XVIII, Marzo 2013, Página 1899.</w:t>
      </w:r>
    </w:p>
    <w:p w14:paraId="7A43B421" w14:textId="77777777" w:rsidR="000D54A7" w:rsidRDefault="000A6DE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w:t>
      </w:r>
      <w:r>
        <w:rPr>
          <w:rFonts w:ascii="Palatino Linotype" w:eastAsia="Palatino Linotype" w:hAnsi="Palatino Linotype" w:cs="Palatino Linotype"/>
          <w:i/>
          <w:color w:val="000000"/>
          <w:sz w:val="24"/>
          <w:szCs w:val="24"/>
        </w:rPr>
        <w:lastRenderedPageBreak/>
        <w:t xml:space="preserve">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2625A64" w14:textId="77777777" w:rsidR="000D54A7" w:rsidRDefault="000D54A7">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4"/>
          <w:szCs w:val="24"/>
        </w:rPr>
      </w:pPr>
    </w:p>
    <w:p w14:paraId="6232604E" w14:textId="77777777" w:rsidR="000D54A7" w:rsidRDefault="000A6DE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CUARTO TRIBUNAL COLEGIADO EN MATERIA ADMINISTRATIVA DEL PRIMER CIRCUITO. </w:t>
      </w:r>
    </w:p>
    <w:p w14:paraId="41A57018" w14:textId="77777777" w:rsidR="000D54A7" w:rsidRDefault="000D54A7">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4"/>
          <w:szCs w:val="24"/>
        </w:rPr>
      </w:pPr>
    </w:p>
    <w:p w14:paraId="02CA27CF" w14:textId="77777777" w:rsidR="000D54A7" w:rsidRDefault="000A6DEB">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Amparo en revisión 257/2012. Ruth Corona Muñoz. 6 de diciembre de 2012. Unanimidad de votos. Ponente: Jean Claude Tron Petit. Secretaria: Mayra Susana Martínez López.</w:t>
      </w:r>
    </w:p>
    <w:p w14:paraId="2065D092" w14:textId="77777777" w:rsidR="000D54A7" w:rsidRDefault="000D54A7">
      <w:pPr>
        <w:pBdr>
          <w:top w:val="nil"/>
          <w:left w:val="nil"/>
          <w:bottom w:val="nil"/>
          <w:right w:val="nil"/>
          <w:between w:val="nil"/>
        </w:pBdr>
        <w:tabs>
          <w:tab w:val="left" w:pos="851"/>
        </w:tabs>
        <w:ind w:left="567" w:right="-451"/>
        <w:jc w:val="both"/>
        <w:rPr>
          <w:rFonts w:ascii="Palatino Linotype" w:eastAsia="Palatino Linotype" w:hAnsi="Palatino Linotype" w:cs="Palatino Linotype"/>
          <w:i/>
          <w:color w:val="000000"/>
          <w:sz w:val="24"/>
          <w:szCs w:val="24"/>
        </w:rPr>
      </w:pPr>
    </w:p>
    <w:p w14:paraId="7CFF367F" w14:textId="77777777" w:rsidR="000D54A7" w:rsidRDefault="000A6DEB">
      <w:pPr>
        <w:numPr>
          <w:ilvl w:val="0"/>
          <w:numId w:val="6"/>
        </w:numPr>
        <w:pBdr>
          <w:top w:val="nil"/>
          <w:left w:val="nil"/>
          <w:bottom w:val="nil"/>
          <w:right w:val="nil"/>
          <w:between w:val="nil"/>
        </w:pBdr>
        <w:tabs>
          <w:tab w:val="left" w:pos="851"/>
        </w:tabs>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65DAA596" w14:textId="77777777" w:rsidR="000D54A7" w:rsidRDefault="000D54A7">
      <w:pPr>
        <w:tabs>
          <w:tab w:val="left" w:pos="851"/>
        </w:tabs>
        <w:spacing w:line="360" w:lineRule="auto"/>
        <w:ind w:right="-451"/>
        <w:jc w:val="both"/>
        <w:rPr>
          <w:rFonts w:ascii="Palatino Linotype" w:eastAsia="Palatino Linotype" w:hAnsi="Palatino Linotype" w:cs="Palatino Linotype"/>
          <w:sz w:val="24"/>
          <w:szCs w:val="24"/>
        </w:rPr>
      </w:pPr>
    </w:p>
    <w:p w14:paraId="100F6AA6" w14:textId="77777777" w:rsidR="000D54A7" w:rsidRDefault="000A6DEB">
      <w:pPr>
        <w:numPr>
          <w:ilvl w:val="0"/>
          <w:numId w:val="6"/>
        </w:numPr>
        <w:pBdr>
          <w:top w:val="nil"/>
          <w:left w:val="nil"/>
          <w:bottom w:val="nil"/>
          <w:right w:val="nil"/>
          <w:between w:val="nil"/>
        </w:pBdr>
        <w:tabs>
          <w:tab w:val="left" w:pos="0"/>
        </w:tabs>
        <w:spacing w:line="360" w:lineRule="auto"/>
        <w:ind w:left="0" w:right="-451" w:firstLine="0"/>
        <w:jc w:val="both"/>
        <w:rPr>
          <w:color w:val="000000"/>
        </w:rPr>
      </w:pPr>
      <w:r>
        <w:rPr>
          <w:rFonts w:ascii="Palatino Linotype" w:eastAsia="Palatino Linotype" w:hAnsi="Palatino Linotype" w:cs="Palatino Linotype"/>
          <w:color w:val="000000"/>
          <w:sz w:val="24"/>
          <w:szCs w:val="24"/>
        </w:rPr>
        <w:lastRenderedPageBreak/>
        <w:t xml:space="preserve">Es pertinente enfatizar lo </w:t>
      </w:r>
      <w:proofErr w:type="gramStart"/>
      <w:r>
        <w:rPr>
          <w:rFonts w:ascii="Palatino Linotype" w:eastAsia="Palatino Linotype" w:hAnsi="Palatino Linotype" w:cs="Palatino Linotype"/>
          <w:color w:val="000000"/>
          <w:sz w:val="24"/>
          <w:szCs w:val="24"/>
        </w:rPr>
        <w:t>que</w:t>
      </w:r>
      <w:proofErr w:type="gramEnd"/>
      <w:r>
        <w:rPr>
          <w:rFonts w:ascii="Palatino Linotype" w:eastAsia="Palatino Linotype" w:hAnsi="Palatino Linotype" w:cs="Palatino Linotype"/>
          <w:color w:val="000000"/>
          <w:sz w:val="24"/>
          <w:szCs w:val="24"/>
        </w:rPr>
        <w:t xml:space="preserve"> respecto al derecho de acceso a la información pública, refiere el artículo 6° de la Constitución Política de los Estados Unidos Mexicanos, que en su parte conducente señala:</w:t>
      </w:r>
    </w:p>
    <w:p w14:paraId="3A7B1F26"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6o.</w:t>
      </w:r>
      <w:r>
        <w:rPr>
          <w:rFonts w:ascii="Palatino Linotype" w:eastAsia="Palatino Linotype" w:hAnsi="Palatino Linotype" w:cs="Palatino Linotype"/>
          <w:i/>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4"/>
          <w:szCs w:val="24"/>
        </w:rPr>
        <w:t>El derecho a la información será garantizado por el Estado.</w:t>
      </w:r>
      <w:r>
        <w:rPr>
          <w:rFonts w:ascii="Palatino Linotype" w:eastAsia="Palatino Linotype" w:hAnsi="Palatino Linotype" w:cs="Palatino Linotype"/>
          <w:i/>
          <w:sz w:val="24"/>
          <w:szCs w:val="24"/>
        </w:rPr>
        <w:t xml:space="preserve"> </w:t>
      </w:r>
    </w:p>
    <w:p w14:paraId="2066BB2A" w14:textId="77777777" w:rsidR="000D54A7" w:rsidRDefault="000D54A7">
      <w:pPr>
        <w:ind w:left="567" w:right="257"/>
        <w:jc w:val="both"/>
        <w:rPr>
          <w:rFonts w:ascii="Palatino Linotype" w:eastAsia="Palatino Linotype" w:hAnsi="Palatino Linotype" w:cs="Palatino Linotype"/>
          <w:i/>
          <w:sz w:val="24"/>
          <w:szCs w:val="24"/>
        </w:rPr>
      </w:pPr>
    </w:p>
    <w:p w14:paraId="2027033E"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Toda persona tiene derecho al libre acceso a información plural y oportuna, así como a buscar, recibir y difundir información e ideas de toda índole por cualquier medio de expresión.</w:t>
      </w:r>
    </w:p>
    <w:p w14:paraId="13B411DB" w14:textId="77777777" w:rsidR="000D54A7" w:rsidRDefault="000D54A7">
      <w:pPr>
        <w:ind w:left="567" w:right="257"/>
        <w:jc w:val="both"/>
        <w:rPr>
          <w:rFonts w:ascii="Palatino Linotype" w:eastAsia="Palatino Linotype" w:hAnsi="Palatino Linotype" w:cs="Palatino Linotype"/>
          <w:i/>
          <w:sz w:val="24"/>
          <w:szCs w:val="24"/>
        </w:rPr>
      </w:pPr>
    </w:p>
    <w:p w14:paraId="7E1DB81A"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Para efectos de lo dispuesto en el presente artículo se observará lo siguiente:</w:t>
      </w:r>
    </w:p>
    <w:p w14:paraId="552CAA77" w14:textId="77777777" w:rsidR="000D54A7" w:rsidRDefault="000D54A7">
      <w:pPr>
        <w:ind w:left="567" w:right="257"/>
        <w:jc w:val="both"/>
        <w:rPr>
          <w:rFonts w:ascii="Palatino Linotype" w:eastAsia="Palatino Linotype" w:hAnsi="Palatino Linotype" w:cs="Palatino Linotype"/>
          <w:i/>
          <w:sz w:val="24"/>
          <w:szCs w:val="24"/>
        </w:rPr>
      </w:pPr>
    </w:p>
    <w:p w14:paraId="2D947C29"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 Para el ejercicio del derecho de acceso a la información, la Federación, los Estados y el Distrito Federal, en el ámbito de sus respectivas competencias, se regirán por los siguientes principios y bases:</w:t>
      </w:r>
    </w:p>
    <w:p w14:paraId="346BFE12" w14:textId="77777777" w:rsidR="000D54A7" w:rsidRDefault="000D54A7">
      <w:pPr>
        <w:ind w:left="567" w:right="257"/>
        <w:jc w:val="both"/>
        <w:rPr>
          <w:rFonts w:ascii="Palatino Linotype" w:eastAsia="Palatino Linotype" w:hAnsi="Palatino Linotype" w:cs="Palatino Linotype"/>
          <w:b/>
          <w:i/>
          <w:sz w:val="24"/>
          <w:szCs w:val="24"/>
        </w:rPr>
      </w:pPr>
    </w:p>
    <w:p w14:paraId="2DFED5D4"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I. Toda la información en posesión de</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cualquier autoridad</w:t>
      </w:r>
      <w:r>
        <w:rPr>
          <w:rFonts w:ascii="Palatino Linotype" w:eastAsia="Palatino Linotype" w:hAnsi="Palatino Linotype" w:cs="Palatino Linotype"/>
          <w:i/>
          <w:sz w:val="24"/>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4"/>
          <w:szCs w:val="24"/>
        </w:rPr>
        <w:t>es pública</w:t>
      </w:r>
      <w:r>
        <w:rPr>
          <w:rFonts w:ascii="Palatino Linotype" w:eastAsia="Palatino Linotype" w:hAnsi="Palatino Linotype" w:cs="Palatino Linotype"/>
          <w:i/>
          <w:sz w:val="24"/>
          <w:szCs w:val="24"/>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4"/>
          <w:szCs w:val="24"/>
        </w:rPr>
        <w:t>Los sujetos obligados deberán documentar todo acto que derive del ejercicio de sus facultades, competencias o funciones</w:t>
      </w:r>
      <w:r>
        <w:rPr>
          <w:rFonts w:ascii="Palatino Linotype" w:eastAsia="Palatino Linotype" w:hAnsi="Palatino Linotype" w:cs="Palatino Linotype"/>
          <w:i/>
          <w:sz w:val="24"/>
          <w:szCs w:val="24"/>
        </w:rPr>
        <w:t>, la ley determinará los supuestos específicos bajo los cuales procederá la declaración de inexistencia de la información.</w:t>
      </w:r>
    </w:p>
    <w:p w14:paraId="245DDEF7" w14:textId="77777777" w:rsidR="000D54A7" w:rsidRDefault="000D54A7">
      <w:pPr>
        <w:ind w:left="567" w:right="257"/>
        <w:jc w:val="both"/>
        <w:rPr>
          <w:rFonts w:ascii="Palatino Linotype" w:eastAsia="Palatino Linotype" w:hAnsi="Palatino Linotype" w:cs="Palatino Linotype"/>
          <w:i/>
          <w:sz w:val="24"/>
          <w:szCs w:val="24"/>
        </w:rPr>
      </w:pPr>
    </w:p>
    <w:p w14:paraId="403F5F01"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La información que se refiere a la vida privada y los datos personales será protegida en los términos y con las excepciones que fijen las leyes.</w:t>
      </w:r>
    </w:p>
    <w:p w14:paraId="5A2C88D2" w14:textId="77777777" w:rsidR="000D54A7" w:rsidRDefault="000D54A7">
      <w:pPr>
        <w:ind w:left="567" w:right="257"/>
        <w:jc w:val="both"/>
        <w:rPr>
          <w:rFonts w:ascii="Palatino Linotype" w:eastAsia="Palatino Linotype" w:hAnsi="Palatino Linotype" w:cs="Palatino Linotype"/>
          <w:i/>
          <w:sz w:val="24"/>
          <w:szCs w:val="24"/>
        </w:rPr>
      </w:pPr>
    </w:p>
    <w:p w14:paraId="7989C9DC"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3611FA81" w14:textId="77777777" w:rsidR="000D54A7" w:rsidRDefault="000D54A7">
      <w:pPr>
        <w:ind w:left="567" w:right="257"/>
        <w:jc w:val="both"/>
        <w:rPr>
          <w:rFonts w:ascii="Palatino Linotype" w:eastAsia="Palatino Linotype" w:hAnsi="Palatino Linotype" w:cs="Palatino Linotype"/>
          <w:i/>
          <w:sz w:val="24"/>
          <w:szCs w:val="24"/>
        </w:rPr>
      </w:pPr>
    </w:p>
    <w:p w14:paraId="6AC3EAD2"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IV.   Se establecerán mecanismos de acceso a la información y procedimientos de revisión expeditos que se sustanciarán ante los organismos autónomos especializados e imparciales que establece esta Constitución.</w:t>
      </w:r>
    </w:p>
    <w:p w14:paraId="791470D3" w14:textId="77777777" w:rsidR="000D54A7" w:rsidRDefault="000D54A7">
      <w:pPr>
        <w:ind w:left="567" w:right="257"/>
        <w:jc w:val="both"/>
        <w:rPr>
          <w:rFonts w:ascii="Palatino Linotype" w:eastAsia="Palatino Linotype" w:hAnsi="Palatino Linotype" w:cs="Palatino Linotype"/>
          <w:b/>
          <w:i/>
          <w:sz w:val="24"/>
          <w:szCs w:val="24"/>
        </w:rPr>
      </w:pPr>
    </w:p>
    <w:p w14:paraId="20393621"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4"/>
          <w:szCs w:val="24"/>
        </w:rPr>
        <w:t>, la información completa y actualizada sobre el ejercicio de los recursos públicos y los indicadores que permitan rendir cuenta del cumplimiento de sus objetivos y de los resultados obtenidos.</w:t>
      </w:r>
    </w:p>
    <w:p w14:paraId="4DDE63FB" w14:textId="77777777" w:rsidR="000D54A7" w:rsidRDefault="000D54A7">
      <w:pPr>
        <w:ind w:left="567" w:right="257"/>
        <w:jc w:val="both"/>
        <w:rPr>
          <w:rFonts w:ascii="Palatino Linotype" w:eastAsia="Palatino Linotype" w:hAnsi="Palatino Linotype" w:cs="Palatino Linotype"/>
          <w:i/>
          <w:sz w:val="24"/>
          <w:szCs w:val="24"/>
        </w:rPr>
      </w:pPr>
    </w:p>
    <w:p w14:paraId="67AE85C6"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 Las leyes determinarán la manera en que los sujetos obligados deberán hacer pública la información relativa a los recursos públicos que entreguen a personas físicas o morales.</w:t>
      </w:r>
    </w:p>
    <w:p w14:paraId="2D4EE4DB" w14:textId="77777777" w:rsidR="000D54A7" w:rsidRDefault="000D54A7">
      <w:pPr>
        <w:ind w:left="567" w:right="257"/>
        <w:jc w:val="both"/>
        <w:rPr>
          <w:rFonts w:ascii="Palatino Linotype" w:eastAsia="Palatino Linotype" w:hAnsi="Palatino Linotype" w:cs="Palatino Linotype"/>
          <w:i/>
          <w:sz w:val="24"/>
          <w:szCs w:val="24"/>
        </w:rPr>
      </w:pPr>
    </w:p>
    <w:p w14:paraId="46AE7CED"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La inobservancia a las disposiciones en materia de acceso a la información pública será sancionada en los términos que dispongan las leyes.</w:t>
      </w:r>
    </w:p>
    <w:p w14:paraId="2EFB61FF" w14:textId="77777777" w:rsidR="000D54A7" w:rsidRDefault="000D54A7">
      <w:pPr>
        <w:ind w:left="567" w:right="257"/>
        <w:jc w:val="both"/>
        <w:rPr>
          <w:rFonts w:ascii="Palatino Linotype" w:eastAsia="Palatino Linotype" w:hAnsi="Palatino Linotype" w:cs="Palatino Linotype"/>
          <w:i/>
          <w:sz w:val="24"/>
          <w:szCs w:val="24"/>
        </w:rPr>
      </w:pPr>
    </w:p>
    <w:p w14:paraId="7CEB3B91"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75911E6"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5F1097DE"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La ley establecerá aquella información que se considere reservada o confidencial.”</w:t>
      </w:r>
    </w:p>
    <w:p w14:paraId="1A9F0E65" w14:textId="77777777" w:rsidR="000D54A7" w:rsidRDefault="000D54A7">
      <w:pPr>
        <w:ind w:left="567" w:right="257"/>
        <w:jc w:val="both"/>
        <w:rPr>
          <w:rFonts w:ascii="Palatino Linotype" w:eastAsia="Palatino Linotype" w:hAnsi="Palatino Linotype" w:cs="Palatino Linotype"/>
          <w:i/>
          <w:sz w:val="24"/>
          <w:szCs w:val="24"/>
        </w:rPr>
      </w:pPr>
    </w:p>
    <w:p w14:paraId="62F7FE00"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(Énfasis añadido)</w:t>
      </w:r>
    </w:p>
    <w:p w14:paraId="5ED82083" w14:textId="77777777" w:rsidR="000D54A7" w:rsidRDefault="000D54A7">
      <w:pPr>
        <w:spacing w:line="360" w:lineRule="auto"/>
        <w:ind w:left="709" w:right="-451"/>
        <w:jc w:val="both"/>
        <w:rPr>
          <w:rFonts w:ascii="Palatino Linotype" w:eastAsia="Palatino Linotype" w:hAnsi="Palatino Linotype" w:cs="Palatino Linotype"/>
          <w:sz w:val="24"/>
          <w:szCs w:val="24"/>
        </w:rPr>
      </w:pPr>
    </w:p>
    <w:p w14:paraId="24642B9E"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31EA00B3"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“Artículo 5. … </w:t>
      </w:r>
    </w:p>
    <w:p w14:paraId="7929A49F"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El derecho a la información será garantizado por el Estado</w:t>
      </w:r>
      <w:r>
        <w:rPr>
          <w:rFonts w:ascii="Palatino Linotype" w:eastAsia="Palatino Linotype" w:hAnsi="Palatino Linotype" w:cs="Palatino Linotype"/>
          <w:i/>
          <w:sz w:val="24"/>
          <w:szCs w:val="24"/>
        </w:rPr>
        <w:t xml:space="preserve">. La ley establecerá las previsiones que permitan asegurar la protección, el respeto y la difusión de este derecho. </w:t>
      </w:r>
    </w:p>
    <w:p w14:paraId="4D9D608C"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98DAD35" w14:textId="77777777" w:rsidR="000D54A7" w:rsidRDefault="000D54A7">
      <w:pPr>
        <w:ind w:left="567" w:right="257"/>
        <w:jc w:val="both"/>
        <w:rPr>
          <w:rFonts w:ascii="Palatino Linotype" w:eastAsia="Palatino Linotype" w:hAnsi="Palatino Linotype" w:cs="Palatino Linotype"/>
          <w:i/>
          <w:sz w:val="24"/>
          <w:szCs w:val="24"/>
        </w:rPr>
      </w:pPr>
    </w:p>
    <w:p w14:paraId="3B3A95A2"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Este derecho se regirá por los principios y bases siguientes:</w:t>
      </w:r>
    </w:p>
    <w:p w14:paraId="518B375A" w14:textId="77777777" w:rsidR="000D54A7" w:rsidRDefault="000D54A7">
      <w:pPr>
        <w:ind w:left="567" w:right="257"/>
        <w:jc w:val="both"/>
        <w:rPr>
          <w:rFonts w:ascii="Palatino Linotype" w:eastAsia="Palatino Linotype" w:hAnsi="Palatino Linotype" w:cs="Palatino Linotype"/>
          <w:b/>
          <w:i/>
          <w:sz w:val="24"/>
          <w:szCs w:val="24"/>
        </w:rPr>
      </w:pPr>
    </w:p>
    <w:p w14:paraId="64D746D1"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I. Toda la información en posesión </w:t>
      </w:r>
      <w:r>
        <w:rPr>
          <w:rFonts w:ascii="Palatino Linotype" w:eastAsia="Palatino Linotype" w:hAnsi="Palatino Linotype" w:cs="Palatino Linotype"/>
          <w:i/>
          <w:sz w:val="24"/>
          <w:szCs w:val="24"/>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4"/>
          <w:szCs w:val="24"/>
        </w:rPr>
        <w:t>del gobierno y de la administración pública municipal y sus organismos descentralizados</w:t>
      </w:r>
      <w:r>
        <w:rPr>
          <w:rFonts w:ascii="Palatino Linotype" w:eastAsia="Palatino Linotype" w:hAnsi="Palatino Linotype" w:cs="Palatino Linotype"/>
          <w:i/>
          <w:sz w:val="24"/>
          <w:szCs w:val="24"/>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4"/>
          <w:szCs w:val="24"/>
        </w:rPr>
        <w:t>es pública</w:t>
      </w:r>
      <w:r>
        <w:rPr>
          <w:rFonts w:ascii="Palatino Linotype" w:eastAsia="Palatino Linotype" w:hAnsi="Palatino Linotype" w:cs="Palatino Linotype"/>
          <w:i/>
          <w:sz w:val="24"/>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C4B8F0" w14:textId="77777777" w:rsidR="000D54A7" w:rsidRDefault="000D54A7">
      <w:pPr>
        <w:ind w:left="567" w:right="257"/>
        <w:jc w:val="both"/>
        <w:rPr>
          <w:rFonts w:ascii="Palatino Linotype" w:eastAsia="Palatino Linotype" w:hAnsi="Palatino Linotype" w:cs="Palatino Linotype"/>
          <w:i/>
          <w:sz w:val="24"/>
          <w:szCs w:val="24"/>
        </w:rPr>
      </w:pPr>
    </w:p>
    <w:p w14:paraId="62F79013"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E5F0E48" w14:textId="77777777" w:rsidR="000D54A7" w:rsidRDefault="000D54A7">
      <w:pPr>
        <w:ind w:left="567" w:right="257"/>
        <w:jc w:val="both"/>
        <w:rPr>
          <w:rFonts w:ascii="Palatino Linotype" w:eastAsia="Palatino Linotype" w:hAnsi="Palatino Linotype" w:cs="Palatino Linotype"/>
          <w:i/>
          <w:sz w:val="24"/>
          <w:szCs w:val="24"/>
        </w:rPr>
      </w:pPr>
    </w:p>
    <w:p w14:paraId="2FB3B0C8"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Toda persona, sin necesidad de acreditar interés alguno o justificar su utilización, tendrá acceso gratuito a la información pública, a sus datos personales o a la rectificación de éstos.</w:t>
      </w:r>
    </w:p>
    <w:p w14:paraId="1B91AD38" w14:textId="77777777" w:rsidR="000D54A7" w:rsidRDefault="000D54A7">
      <w:pPr>
        <w:ind w:left="567" w:right="257"/>
        <w:jc w:val="both"/>
        <w:rPr>
          <w:rFonts w:ascii="Palatino Linotype" w:eastAsia="Palatino Linotype" w:hAnsi="Palatino Linotype" w:cs="Palatino Linotype"/>
          <w:i/>
          <w:sz w:val="24"/>
          <w:szCs w:val="24"/>
        </w:rPr>
      </w:pPr>
    </w:p>
    <w:p w14:paraId="3EAEF88A"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IV. Se establecerán mecanismos de acceso a la información y procedimientos de revisión expeditos que se sustanciarán ante el organismo autónomo especializado e imparcial que establece esta Constitución.</w:t>
      </w:r>
    </w:p>
    <w:p w14:paraId="59818CA4" w14:textId="77777777" w:rsidR="000D54A7" w:rsidRDefault="000D54A7">
      <w:pPr>
        <w:ind w:left="567" w:right="257"/>
        <w:jc w:val="both"/>
        <w:rPr>
          <w:rFonts w:ascii="Palatino Linotype" w:eastAsia="Palatino Linotype" w:hAnsi="Palatino Linotype" w:cs="Palatino Linotype"/>
          <w:i/>
          <w:sz w:val="24"/>
          <w:szCs w:val="24"/>
        </w:rPr>
      </w:pPr>
    </w:p>
    <w:p w14:paraId="59FD467E"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4864496" w14:textId="77777777" w:rsidR="000D54A7" w:rsidRDefault="000D54A7">
      <w:pPr>
        <w:ind w:left="567" w:right="257"/>
        <w:jc w:val="both"/>
        <w:rPr>
          <w:rFonts w:ascii="Palatino Linotype" w:eastAsia="Palatino Linotype" w:hAnsi="Palatino Linotype" w:cs="Palatino Linotype"/>
          <w:b/>
          <w:i/>
          <w:sz w:val="24"/>
          <w:szCs w:val="24"/>
        </w:rPr>
      </w:pPr>
    </w:p>
    <w:p w14:paraId="0E020F27"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4"/>
          <w:szCs w:val="24"/>
        </w:rPr>
        <w:t xml:space="preserve"> y los indicadores que permitan rendir cuenta del cumplimiento de sus objetivos y los resultados obtenidos.</w:t>
      </w:r>
    </w:p>
    <w:p w14:paraId="000C0AC9" w14:textId="77777777" w:rsidR="000D54A7" w:rsidRDefault="000D54A7">
      <w:pPr>
        <w:ind w:left="567" w:right="257"/>
        <w:jc w:val="both"/>
        <w:rPr>
          <w:rFonts w:ascii="Palatino Linotype" w:eastAsia="Palatino Linotype" w:hAnsi="Palatino Linotype" w:cs="Palatino Linotype"/>
          <w:i/>
          <w:sz w:val="24"/>
          <w:szCs w:val="24"/>
        </w:rPr>
      </w:pPr>
    </w:p>
    <w:p w14:paraId="69067CA9"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La ley reglamentaria, determinará la manera en que los sujetos obligados deberán hacer pública la información relativa a los recursos públicos que entreguen a personas físicas o jurídicas colectivas.”</w:t>
      </w:r>
    </w:p>
    <w:p w14:paraId="38E94FB7" w14:textId="77777777" w:rsidR="000D54A7" w:rsidRDefault="000D54A7">
      <w:pPr>
        <w:ind w:left="567" w:right="257"/>
        <w:jc w:val="both"/>
        <w:rPr>
          <w:rFonts w:ascii="Palatino Linotype" w:eastAsia="Palatino Linotype" w:hAnsi="Palatino Linotype" w:cs="Palatino Linotype"/>
          <w:sz w:val="24"/>
          <w:szCs w:val="24"/>
        </w:rPr>
      </w:pPr>
    </w:p>
    <w:p w14:paraId="69A3EB4E" w14:textId="77777777" w:rsidR="000D54A7" w:rsidRDefault="000A6DEB">
      <w:pPr>
        <w:ind w:left="567" w:right="25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508708A5" w14:textId="77777777" w:rsidR="000D54A7" w:rsidRDefault="000D54A7">
      <w:pPr>
        <w:spacing w:line="360" w:lineRule="auto"/>
        <w:ind w:left="567" w:right="-451"/>
        <w:jc w:val="both"/>
        <w:rPr>
          <w:rFonts w:ascii="Palatino Linotype" w:eastAsia="Palatino Linotype" w:hAnsi="Palatino Linotype" w:cs="Palatino Linotype"/>
          <w:sz w:val="24"/>
          <w:szCs w:val="24"/>
        </w:rPr>
      </w:pPr>
    </w:p>
    <w:p w14:paraId="67637EB3"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lastRenderedPageBreak/>
        <w:t>Adicional, tenemos que la Ley de Transparencia y Acceso a la Información Pública del Estado de México y Municipios, prevé en su artículo 23 fracción IV, lo siguiente:</w:t>
      </w:r>
    </w:p>
    <w:p w14:paraId="6F009448"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4"/>
          <w:szCs w:val="24"/>
        </w:rPr>
        <w:t>:</w:t>
      </w:r>
    </w:p>
    <w:p w14:paraId="044586A5"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7A4B1E69"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IV. Los ayuntamientos y las dependencias, organismos, órganos y entidades de la administración municipal;</w:t>
      </w:r>
      <w:r>
        <w:rPr>
          <w:rFonts w:ascii="Palatino Linotype" w:eastAsia="Palatino Linotype" w:hAnsi="Palatino Linotype" w:cs="Palatino Linotype"/>
          <w:b/>
          <w:i/>
          <w:sz w:val="24"/>
          <w:szCs w:val="24"/>
        </w:rPr>
        <w:t xml:space="preserve"> </w:t>
      </w:r>
    </w:p>
    <w:p w14:paraId="2EDAA45F"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14:paraId="14E09EAA" w14:textId="77777777" w:rsidR="000D54A7" w:rsidRDefault="000A6DEB">
      <w:pPr>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así como</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los informes que dichas personas les entreguen sobre el uso y destino de dichos recursos.</w:t>
      </w:r>
    </w:p>
    <w:p w14:paraId="0833A48C" w14:textId="77777777" w:rsidR="000D54A7" w:rsidRDefault="000D54A7">
      <w:pPr>
        <w:ind w:left="567" w:right="257"/>
        <w:jc w:val="both"/>
        <w:rPr>
          <w:rFonts w:ascii="Palatino Linotype" w:eastAsia="Palatino Linotype" w:hAnsi="Palatino Linotype" w:cs="Palatino Linotype"/>
          <w:b/>
          <w:i/>
          <w:sz w:val="24"/>
          <w:szCs w:val="24"/>
        </w:rPr>
      </w:pPr>
    </w:p>
    <w:p w14:paraId="403C3898"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Los servidores públicos deberán transparentar sus </w:t>
      </w:r>
      <w:proofErr w:type="gramStart"/>
      <w:r>
        <w:rPr>
          <w:rFonts w:ascii="Palatino Linotype" w:eastAsia="Palatino Linotype" w:hAnsi="Palatino Linotype" w:cs="Palatino Linotype"/>
          <w:b/>
          <w:i/>
          <w:sz w:val="24"/>
          <w:szCs w:val="24"/>
        </w:rPr>
        <w:t>acciones</w:t>
      </w:r>
      <w:proofErr w:type="gramEnd"/>
      <w:r>
        <w:rPr>
          <w:rFonts w:ascii="Palatino Linotype" w:eastAsia="Palatino Linotype" w:hAnsi="Palatino Linotype" w:cs="Palatino Linotype"/>
          <w:b/>
          <w:i/>
          <w:sz w:val="24"/>
          <w:szCs w:val="24"/>
        </w:rPr>
        <w:t xml:space="preserve"> así como garantizar y respetar el derecho de acceso a la información pública.”</w:t>
      </w:r>
    </w:p>
    <w:p w14:paraId="6153FFBA" w14:textId="77777777" w:rsidR="000D54A7" w:rsidRDefault="000A6DEB">
      <w:pPr>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(Énfasis añadido)</w:t>
      </w:r>
    </w:p>
    <w:p w14:paraId="6E865A9C" w14:textId="77777777" w:rsidR="000D54A7" w:rsidRDefault="000D54A7">
      <w:pPr>
        <w:spacing w:line="360" w:lineRule="auto"/>
        <w:ind w:right="-451"/>
        <w:jc w:val="both"/>
        <w:rPr>
          <w:rFonts w:ascii="Palatino Linotype" w:eastAsia="Palatino Linotype" w:hAnsi="Palatino Linotype" w:cs="Palatino Linotype"/>
          <w:sz w:val="24"/>
          <w:szCs w:val="24"/>
        </w:rPr>
      </w:pPr>
    </w:p>
    <w:p w14:paraId="334EFCEC"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849B316"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3E684C87"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el Ayuntamiento de Villa Guerrero</w:t>
      </w:r>
      <w:r>
        <w:rPr>
          <w:rFonts w:ascii="Palatino Linotype" w:eastAsia="Palatino Linotype" w:hAnsi="Palatino Linotype" w:cs="Palatino Linotype"/>
          <w:color w:val="000000"/>
          <w:sz w:val="24"/>
          <w:szCs w:val="24"/>
        </w:rPr>
        <w:t xml:space="preserve">, al ser un Sujeto Obligado comprendido por la Legislación Local en materia de Transparencia, se </w:t>
      </w:r>
      <w:r>
        <w:rPr>
          <w:rFonts w:ascii="Palatino Linotype" w:eastAsia="Palatino Linotype" w:hAnsi="Palatino Linotype" w:cs="Palatino Linotype"/>
          <w:color w:val="000000"/>
          <w:sz w:val="24"/>
          <w:szCs w:val="24"/>
        </w:rPr>
        <w:lastRenderedPageBreak/>
        <w:t>encuentra obligado a hacer pública toda aquella información que genere, administre o posea.</w:t>
      </w:r>
    </w:p>
    <w:p w14:paraId="424CA27F"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1102B89B" w14:textId="77777777" w:rsidR="000D54A7" w:rsidRDefault="000A6DEB">
      <w:pPr>
        <w:pBdr>
          <w:top w:val="nil"/>
          <w:left w:val="nil"/>
          <w:bottom w:val="nil"/>
          <w:right w:val="nil"/>
          <w:between w:val="nil"/>
        </w:pBdr>
        <w:tabs>
          <w:tab w:val="left" w:pos="426"/>
        </w:tabs>
        <w:spacing w:line="360" w:lineRule="auto"/>
        <w:ind w:right="-4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II. De la clasificación de la información. </w:t>
      </w:r>
    </w:p>
    <w:p w14:paraId="3070DD50" w14:textId="77777777" w:rsidR="000A6DEB" w:rsidRDefault="000A6DEB">
      <w:pPr>
        <w:pBdr>
          <w:top w:val="nil"/>
          <w:left w:val="nil"/>
          <w:bottom w:val="nil"/>
          <w:right w:val="nil"/>
          <w:between w:val="nil"/>
        </w:pBdr>
        <w:tabs>
          <w:tab w:val="left" w:pos="426"/>
        </w:tabs>
        <w:spacing w:line="360" w:lineRule="auto"/>
        <w:ind w:right="-451"/>
        <w:jc w:val="both"/>
        <w:rPr>
          <w:rFonts w:ascii="Palatino Linotype" w:eastAsia="Palatino Linotype" w:hAnsi="Palatino Linotype" w:cs="Palatino Linotype"/>
          <w:b/>
          <w:color w:val="000000"/>
          <w:sz w:val="24"/>
          <w:szCs w:val="24"/>
        </w:rPr>
      </w:pPr>
    </w:p>
    <w:p w14:paraId="74E71915"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En el presente asunto, el Recurrente solicitó diversa información relacionada con la detención de una persona por elementos de seguridad, por faltas administrativas al bando municipal.</w:t>
      </w:r>
      <w:r w:rsidR="004E62AE">
        <w:rPr>
          <w:rFonts w:ascii="Palatino Linotype" w:eastAsia="Palatino Linotype" w:hAnsi="Palatino Linotype" w:cs="Palatino Linotype"/>
          <w:color w:val="000000"/>
          <w:sz w:val="24"/>
          <w:szCs w:val="24"/>
        </w:rPr>
        <w:t xml:space="preserve"> </w:t>
      </w:r>
    </w:p>
    <w:p w14:paraId="60BA1E5B"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5F2B8045" w14:textId="77777777" w:rsidR="000D54A7" w:rsidRPr="000A6DEB"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El Sujeto Obligado indicó que no puede proporcionar la información por contener datos personales.</w:t>
      </w:r>
    </w:p>
    <w:p w14:paraId="22E4B088"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3A55269A" w14:textId="77777777" w:rsidR="000D54A7" w:rsidRPr="000A6DEB"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Derivado de la naturaleza de la información requerida, la cual se desprende de la detención de la persona señalada en la solicitud, por la comisión de una falta administrativa al bando municipal, en consecuencia, se debe traer a contexto este último cuerpo normativo, el cual dispone lo siguiente:</w:t>
      </w:r>
    </w:p>
    <w:p w14:paraId="6FB6A993" w14:textId="77777777" w:rsidR="000A6DEB" w:rsidRDefault="000A6DEB" w:rsidP="000A6DEB">
      <w:pPr>
        <w:spacing w:line="360" w:lineRule="auto"/>
        <w:ind w:right="-451"/>
        <w:jc w:val="both"/>
      </w:pPr>
    </w:p>
    <w:p w14:paraId="4D945F1E" w14:textId="77777777" w:rsidR="000D54A7" w:rsidRPr="000A6DEB" w:rsidRDefault="000A6DEB">
      <w:pPr>
        <w:spacing w:line="360" w:lineRule="auto"/>
        <w:ind w:left="567" w:right="257"/>
        <w:jc w:val="center"/>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TÍTULO DÉCIMO SEXTO</w:t>
      </w:r>
    </w:p>
    <w:p w14:paraId="5011DF55" w14:textId="77777777" w:rsidR="000D54A7" w:rsidRPr="000A6DEB" w:rsidRDefault="000A6DEB">
      <w:pPr>
        <w:spacing w:line="360" w:lineRule="auto"/>
        <w:ind w:left="567" w:right="257"/>
        <w:jc w:val="center"/>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DE LAS INFRACCIONES, SANCIONES Y RECURSOS</w:t>
      </w:r>
    </w:p>
    <w:p w14:paraId="58B1AD20" w14:textId="77777777" w:rsidR="000D54A7" w:rsidRPr="000A6DEB" w:rsidRDefault="000A6DEB">
      <w:pPr>
        <w:spacing w:line="360" w:lineRule="auto"/>
        <w:ind w:left="567" w:right="257"/>
        <w:jc w:val="both"/>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 xml:space="preserve">CAPÍTULO I </w:t>
      </w:r>
    </w:p>
    <w:p w14:paraId="334B7805" w14:textId="77777777" w:rsidR="000D54A7" w:rsidRPr="000A6DEB" w:rsidRDefault="000A6DEB">
      <w:pPr>
        <w:spacing w:line="360" w:lineRule="auto"/>
        <w:ind w:left="567" w:right="257"/>
        <w:jc w:val="both"/>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DE LAS INFRACCIONES</w:t>
      </w:r>
    </w:p>
    <w:p w14:paraId="71483806"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b/>
          <w:i/>
          <w:sz w:val="22"/>
          <w:szCs w:val="24"/>
        </w:rPr>
        <w:lastRenderedPageBreak/>
        <w:t>ARTÍCULO 183.-</w:t>
      </w:r>
      <w:r w:rsidRPr="000A6DEB">
        <w:rPr>
          <w:rFonts w:ascii="Palatino Linotype" w:eastAsia="Palatino Linotype" w:hAnsi="Palatino Linotype" w:cs="Palatino Linotype"/>
          <w:i/>
          <w:sz w:val="22"/>
          <w:szCs w:val="24"/>
        </w:rPr>
        <w:t xml:space="preserve"> Se considera infracción toda acción u omisión que contravenga las disposiciones contenidas en el Bando Municipal, reglamentos, acuerdos, circulares y disposiciones administrativas que emita el Ayuntamiento, en ejercicio de sus funciones. </w:t>
      </w:r>
    </w:p>
    <w:p w14:paraId="7A9A20B5"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b/>
          <w:i/>
          <w:sz w:val="22"/>
          <w:szCs w:val="24"/>
        </w:rPr>
        <w:t>ARTÍCULO 184.-</w:t>
      </w:r>
      <w:r w:rsidRPr="000A6DEB">
        <w:rPr>
          <w:rFonts w:ascii="Palatino Linotype" w:eastAsia="Palatino Linotype" w:hAnsi="Palatino Linotype" w:cs="Palatino Linotype"/>
          <w:i/>
          <w:sz w:val="22"/>
          <w:szCs w:val="24"/>
        </w:rPr>
        <w:t xml:space="preserve"> La autoridad que sancionará las infracciones, actos u omisiones que contravengan a este Bando Municipal, será el Presidente Municipal, pudiéndose auxiliar del Oficial Calificador; o en su caso del Área de Permisos y Licencias, esta última cuando se trate de infracciones relativas a la actividad comercial de los particulares. </w:t>
      </w:r>
    </w:p>
    <w:p w14:paraId="05E5BA91"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b/>
          <w:i/>
          <w:sz w:val="22"/>
          <w:szCs w:val="24"/>
        </w:rPr>
        <w:t>ARTÍCULO 185.-</w:t>
      </w:r>
      <w:r w:rsidRPr="000A6DEB">
        <w:rPr>
          <w:rFonts w:ascii="Palatino Linotype" w:eastAsia="Palatino Linotype" w:hAnsi="Palatino Linotype" w:cs="Palatino Linotype"/>
          <w:i/>
          <w:sz w:val="22"/>
          <w:szCs w:val="24"/>
        </w:rPr>
        <w:t xml:space="preserve"> Las infracciones cometidas por menores serán causa de amonestación al infractor y dependiendo de la gravedad de esta, se citará a quien ejerza la patria potestad o tutela, para efectos de la reparación del daño causado. Dependiendo de la gravedad de la falta, el infractor será puesto a disposición del Ministerio Público del fuero común o del fuero federal, según sea el caso.</w:t>
      </w:r>
    </w:p>
    <w:p w14:paraId="5932F510" w14:textId="77777777" w:rsidR="000D54A7" w:rsidRPr="000A6DEB" w:rsidRDefault="000D54A7">
      <w:pPr>
        <w:tabs>
          <w:tab w:val="left" w:pos="2411"/>
        </w:tabs>
        <w:spacing w:line="360" w:lineRule="auto"/>
        <w:ind w:left="567" w:right="257"/>
        <w:jc w:val="both"/>
        <w:rPr>
          <w:rFonts w:ascii="Palatino Linotype" w:eastAsia="Palatino Linotype" w:hAnsi="Palatino Linotype" w:cs="Palatino Linotype"/>
          <w:i/>
          <w:sz w:val="22"/>
          <w:szCs w:val="24"/>
        </w:rPr>
      </w:pPr>
    </w:p>
    <w:p w14:paraId="12F03CFC"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 xml:space="preserve">CAPÍTULO II </w:t>
      </w:r>
    </w:p>
    <w:p w14:paraId="25603EAE"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b/>
          <w:i/>
          <w:sz w:val="22"/>
          <w:szCs w:val="24"/>
        </w:rPr>
      </w:pPr>
      <w:r w:rsidRPr="000A6DEB">
        <w:rPr>
          <w:rFonts w:ascii="Palatino Linotype" w:eastAsia="Palatino Linotype" w:hAnsi="Palatino Linotype" w:cs="Palatino Linotype"/>
          <w:b/>
          <w:i/>
          <w:sz w:val="22"/>
          <w:szCs w:val="24"/>
        </w:rPr>
        <w:t xml:space="preserve">DE LAS SANCIONES </w:t>
      </w:r>
    </w:p>
    <w:p w14:paraId="78515659"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b/>
          <w:i/>
          <w:sz w:val="22"/>
          <w:szCs w:val="24"/>
        </w:rPr>
        <w:t>ARTÍCULO 186.-</w:t>
      </w:r>
      <w:r w:rsidRPr="000A6DEB">
        <w:rPr>
          <w:rFonts w:ascii="Palatino Linotype" w:eastAsia="Palatino Linotype" w:hAnsi="Palatino Linotype" w:cs="Palatino Linotype"/>
          <w:i/>
          <w:sz w:val="22"/>
          <w:szCs w:val="24"/>
        </w:rPr>
        <w:t xml:space="preserve"> Las infracciones o faltas a las normas contenidas en el presente Bando y reglamentos municipales, acuerdos, planes de desarrollo urbano y disposiciones de carácter general, serán sancionadas según corresponda, atendiendo a la naturaleza, gravedad y circunstancias en que se cometan, con: </w:t>
      </w:r>
    </w:p>
    <w:p w14:paraId="636A9CED"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 Apercibimiento. </w:t>
      </w:r>
    </w:p>
    <w:p w14:paraId="0C130F09"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II. Amonestación. </w:t>
      </w:r>
    </w:p>
    <w:p w14:paraId="52348510"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III. Multa.</w:t>
      </w:r>
    </w:p>
    <w:p w14:paraId="43E1AAE0"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IV. Arresto administrativo hasta por 36 horas.</w:t>
      </w:r>
    </w:p>
    <w:p w14:paraId="43653B13"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lastRenderedPageBreak/>
        <w:t xml:space="preserve">V. Remisión de vehículos, mercancías, materiales, sustancias contaminantes o tóxicas, o bebidas alcohólicas, a los depósitos correspondientes. </w:t>
      </w:r>
    </w:p>
    <w:p w14:paraId="1D9830BB"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VI. Clausura temporal o definitiva, parcial o total, de instalaciones, construcciones, obras y servicios o de actividades conexas. </w:t>
      </w:r>
    </w:p>
    <w:p w14:paraId="72922DD4"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VII. Revocación o cancelación de las autorizaciones, concesiones o permisos. </w:t>
      </w:r>
    </w:p>
    <w:p w14:paraId="6CF50B2F"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VIII. Intervención o cancelación de las autorizaciones, concesiones, licencias o permisos. </w:t>
      </w:r>
    </w:p>
    <w:p w14:paraId="0FBAFCF1"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IX. Intervención de la actividad cuando ésta se refiera a uso del suelo. </w:t>
      </w:r>
    </w:p>
    <w:p w14:paraId="13866E90"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X. Demolición total o parcial de construcciones. </w:t>
      </w:r>
    </w:p>
    <w:p w14:paraId="274C48F4" w14:textId="77777777" w:rsidR="000D54A7" w:rsidRPr="000A6DEB" w:rsidRDefault="000D54A7">
      <w:pPr>
        <w:tabs>
          <w:tab w:val="left" w:pos="2411"/>
        </w:tabs>
        <w:spacing w:line="360" w:lineRule="auto"/>
        <w:ind w:left="567" w:right="257"/>
        <w:jc w:val="both"/>
        <w:rPr>
          <w:rFonts w:ascii="Palatino Linotype" w:eastAsia="Palatino Linotype" w:hAnsi="Palatino Linotype" w:cs="Palatino Linotype"/>
          <w:i/>
          <w:sz w:val="22"/>
          <w:szCs w:val="24"/>
        </w:rPr>
      </w:pPr>
    </w:p>
    <w:p w14:paraId="34978CC9"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Las multas se duplicarán en caso de reincidencia y se podrán aplicar juntamente con cualquiera de las sanciones contempladas en las fracciones II, IV, V, VII y VIII de este artículo.</w:t>
      </w:r>
    </w:p>
    <w:p w14:paraId="3500D42F" w14:textId="77777777" w:rsidR="000D54A7" w:rsidRPr="000A6DEB" w:rsidRDefault="000D54A7">
      <w:pPr>
        <w:tabs>
          <w:tab w:val="left" w:pos="2411"/>
        </w:tabs>
        <w:spacing w:line="360" w:lineRule="auto"/>
        <w:ind w:left="567" w:right="257"/>
        <w:jc w:val="both"/>
        <w:rPr>
          <w:rFonts w:ascii="Palatino Linotype" w:eastAsia="Palatino Linotype" w:hAnsi="Palatino Linotype" w:cs="Palatino Linotype"/>
          <w:i/>
          <w:sz w:val="22"/>
          <w:szCs w:val="24"/>
        </w:rPr>
      </w:pPr>
    </w:p>
    <w:p w14:paraId="7BD8EEC1"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b/>
          <w:i/>
          <w:sz w:val="22"/>
          <w:szCs w:val="24"/>
        </w:rPr>
        <w:t>ARTÍCULO 188.-</w:t>
      </w:r>
      <w:r w:rsidRPr="000A6DEB">
        <w:rPr>
          <w:rFonts w:ascii="Palatino Linotype" w:eastAsia="Palatino Linotype" w:hAnsi="Palatino Linotype" w:cs="Palatino Linotype"/>
          <w:i/>
          <w:sz w:val="22"/>
          <w:szCs w:val="24"/>
        </w:rPr>
        <w:t xml:space="preserve"> La imposición de las multas se fijará teniendo en consideración la Unidad de Medida y Actualización vigente que corresponda al Municipio, determinada por el Instituto Nacional de Estadística y Geografía INEGI; considerando, además: </w:t>
      </w:r>
    </w:p>
    <w:p w14:paraId="4C4C6098"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 La gravedad de la infracción. </w:t>
      </w:r>
    </w:p>
    <w:p w14:paraId="29227213"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II. Los antecedentes y las condiciones económicas y sociales del infractor. </w:t>
      </w:r>
    </w:p>
    <w:p w14:paraId="297F07FD"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 xml:space="preserve">III. El monto del beneficio, daño o perjuicio económico derivado del incumplimiento de obligaciones, si los hubiere. </w:t>
      </w:r>
    </w:p>
    <w:p w14:paraId="09623A86" w14:textId="77777777" w:rsidR="000D54A7" w:rsidRPr="000A6DEB" w:rsidRDefault="000A6DEB">
      <w:pPr>
        <w:tabs>
          <w:tab w:val="left" w:pos="2411"/>
        </w:tabs>
        <w:spacing w:line="360" w:lineRule="auto"/>
        <w:ind w:left="567" w:right="257"/>
        <w:jc w:val="both"/>
        <w:rPr>
          <w:rFonts w:ascii="Palatino Linotype" w:eastAsia="Palatino Linotype" w:hAnsi="Palatino Linotype" w:cs="Palatino Linotype"/>
          <w:i/>
          <w:sz w:val="22"/>
          <w:szCs w:val="24"/>
        </w:rPr>
      </w:pPr>
      <w:r w:rsidRPr="000A6DEB">
        <w:rPr>
          <w:rFonts w:ascii="Palatino Linotype" w:eastAsia="Palatino Linotype" w:hAnsi="Palatino Linotype" w:cs="Palatino Linotype"/>
          <w:i/>
          <w:sz w:val="22"/>
          <w:szCs w:val="24"/>
        </w:rPr>
        <w:t>IV. La reincidencia si la hubiere. Para el caso de multas no fijas o la imposición de sanción mínima en rango, la autoridad administrativa municipal que la aplique no estará obligada a considerar las fracciones anteriores.</w:t>
      </w:r>
    </w:p>
    <w:p w14:paraId="186BD058" w14:textId="77777777" w:rsidR="000D54A7" w:rsidRDefault="000D54A7">
      <w:pPr>
        <w:spacing w:line="360" w:lineRule="auto"/>
        <w:ind w:right="-451"/>
        <w:jc w:val="both"/>
        <w:rPr>
          <w:rFonts w:ascii="Palatino Linotype" w:eastAsia="Palatino Linotype" w:hAnsi="Palatino Linotype" w:cs="Palatino Linotype"/>
          <w:sz w:val="24"/>
          <w:szCs w:val="24"/>
        </w:rPr>
      </w:pPr>
    </w:p>
    <w:p w14:paraId="7B247324"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Mientras que los artículos 190, 191, 192, 193, 194, 195, 196, 197, 198, 199, 200. 201, 202 y 203 del cuerpo normativo en cita establece las faltas administrativas que se pueden incurrir, así como la unidad de medida y actualización que se le impone a la conducta establecida, así como aquellos casos en los que procede el arresto hasta por 36 horas, por ejemplo:</w:t>
      </w:r>
    </w:p>
    <w:p w14:paraId="40622E9B" w14:textId="77777777" w:rsidR="000D54A7" w:rsidRDefault="000A6DEB">
      <w:pPr>
        <w:tabs>
          <w:tab w:val="left" w:pos="7655"/>
        </w:tabs>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201.- Se impondrá arresto hasta por 36 horas, independientemente de la sanción económica que corresponda, al infractor que cause grave perjuicio a un servicio público, así como también a quien falte el respeto a las Autoridades municipales o altere el orden público, además de la denuncia que se presente ante el Ministerio Público. </w:t>
      </w:r>
    </w:p>
    <w:p w14:paraId="11A2B3F9" w14:textId="77777777" w:rsidR="000D54A7" w:rsidRDefault="000D54A7">
      <w:pPr>
        <w:tabs>
          <w:tab w:val="left" w:pos="7655"/>
        </w:tabs>
        <w:spacing w:line="360" w:lineRule="auto"/>
        <w:ind w:left="567" w:right="257"/>
        <w:jc w:val="both"/>
        <w:rPr>
          <w:rFonts w:ascii="Palatino Linotype" w:eastAsia="Palatino Linotype" w:hAnsi="Palatino Linotype" w:cs="Palatino Linotype"/>
          <w:i/>
          <w:sz w:val="24"/>
          <w:szCs w:val="24"/>
        </w:rPr>
      </w:pPr>
    </w:p>
    <w:p w14:paraId="29DF0BC2" w14:textId="77777777" w:rsidR="000D54A7" w:rsidRDefault="000A6DEB">
      <w:pPr>
        <w:tabs>
          <w:tab w:val="left" w:pos="7655"/>
        </w:tabs>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ARTÍCULO 202.- Se sancionará con arresto hasta por 36 horas, independientemente de la aplicación de otras sanciones, a quien ejecute actos en contra de la moral, el orden y las buenas costumbres en la vía pública.  Para la aplicación de este artículo, se tomará en cuenta la gravedad de la infracción.</w:t>
      </w:r>
    </w:p>
    <w:p w14:paraId="6CD2E312"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715E2252"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Dicho lo anterior, es necesario traer a contexto los artículos 220, 221, 221 BIS</w:t>
      </w:r>
    </w:p>
    <w:p w14:paraId="43579C80" w14:textId="77777777" w:rsidR="000D54A7" w:rsidRDefault="000A6DEB">
      <w:pPr>
        <w:spacing w:line="360" w:lineRule="auto"/>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CAPÍTULO IV </w:t>
      </w:r>
    </w:p>
    <w:p w14:paraId="131BA5F5" w14:textId="77777777" w:rsidR="000D54A7" w:rsidRDefault="000A6DEB">
      <w:pPr>
        <w:spacing w:line="360" w:lineRule="auto"/>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DE LA FUNCIÓN CALIFICADORA  </w:t>
      </w:r>
    </w:p>
    <w:p w14:paraId="26BA581C"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55D2F52D"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220.- En el Ayuntamiento habrá una Oficialía Calificadora, especializada en infracciones a la reglamentación municipal.  </w:t>
      </w:r>
    </w:p>
    <w:p w14:paraId="1914925F"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454003E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 xml:space="preserve">El Oficial Calificador será designado conforme a los establecido por la Ley Orgánica Municipal del Estado de México, siempre respetando y privilegiando los principios de no discriminación e igualdad de oportunidades en perspectiva de género. </w:t>
      </w:r>
    </w:p>
    <w:p w14:paraId="43E19F83"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41B13716"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221.- La función de la Oficialía Calificadora tendrá como finalidad conocer y calificar las infracciones previstas en este Bando Municipal e imponer las sanciones señaladas en el mismo ordenamiento, siempre y cuando no se trate de delitos del fuero común o federal. </w:t>
      </w:r>
    </w:p>
    <w:p w14:paraId="469B204E"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48333DF5"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221 BIS. - Conocer, calificar e imponer las sanciones administrativas municipales que procedan por faltas o infracciones al bando municipal, reglamentos y demás disposiciones de carácter general contenidas en los ordenamientos expedidos por los ayuntamientos, y aquellas que deriven con motivo de la aplicación del Libro Octavo del Código Administrativo del Estado de México, excepto las de carácter fiscal; </w:t>
      </w:r>
    </w:p>
    <w:p w14:paraId="70DCAFE0"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5D541657"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Apoyar a la autoridad municipal que corresponda, en la conservación del orden público y en la verificación de daños que, en su caso, se causen a los bienes propiedad municipal, haciéndolo saber a quien corresponda;  </w:t>
      </w:r>
    </w:p>
    <w:p w14:paraId="7DE9EC15"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1212D1BA" w14:textId="77777777" w:rsidR="000D54A7" w:rsidRDefault="000A6DEB">
      <w:pPr>
        <w:spacing w:line="360" w:lineRule="auto"/>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d). Expedir recibo oficial y enterar en la tesorería municipal los ingresos derivados por concepto de las multas impuestas en términos de Ley;  </w:t>
      </w:r>
    </w:p>
    <w:p w14:paraId="770475DA" w14:textId="77777777" w:rsidR="000D54A7" w:rsidRDefault="000A6DEB">
      <w:pPr>
        <w:spacing w:line="360" w:lineRule="auto"/>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lastRenderedPageBreak/>
        <w:t xml:space="preserve">e). Llevar un libro en donde se asiente todo lo actuado;  </w:t>
      </w:r>
    </w:p>
    <w:p w14:paraId="012A2FA0" w14:textId="77777777" w:rsidR="000D54A7" w:rsidRDefault="000A6DEB">
      <w:pPr>
        <w:spacing w:line="360" w:lineRule="auto"/>
        <w:ind w:left="567" w:right="25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f). Expedir a petición de parte, certificaciones de hechos de las actuaciones que realicen;  </w:t>
      </w:r>
    </w:p>
    <w:p w14:paraId="4A71B151" w14:textId="77777777" w:rsidR="000D54A7" w:rsidRDefault="000A6DEB">
      <w:pPr>
        <w:spacing w:line="360" w:lineRule="auto"/>
        <w:ind w:left="567" w:right="257"/>
        <w:jc w:val="both"/>
        <w:rPr>
          <w:rFonts w:ascii="Palatino Linotype" w:eastAsia="Palatino Linotype" w:hAnsi="Palatino Linotype" w:cs="Palatino Linotype"/>
          <w:b/>
          <w:i/>
          <w:sz w:val="24"/>
          <w:szCs w:val="24"/>
          <w:u w:val="single"/>
        </w:rPr>
      </w:pPr>
      <w:r>
        <w:rPr>
          <w:rFonts w:ascii="Palatino Linotype" w:eastAsia="Palatino Linotype" w:hAnsi="Palatino Linotype" w:cs="Palatino Linotype"/>
          <w:b/>
          <w:i/>
          <w:sz w:val="24"/>
          <w:szCs w:val="24"/>
        </w:rPr>
        <w:t xml:space="preserve">g). </w:t>
      </w:r>
      <w:r>
        <w:rPr>
          <w:rFonts w:ascii="Palatino Linotype" w:eastAsia="Palatino Linotype" w:hAnsi="Palatino Linotype" w:cs="Palatino Linotype"/>
          <w:b/>
          <w:i/>
          <w:sz w:val="24"/>
          <w:szCs w:val="24"/>
          <w:u w:val="single"/>
        </w:rPr>
        <w:t xml:space="preserve">Dar cuenta al presidente municipal de las personas detenidas por infracciones a ordenamientos municipales que hayan cumplido con la sanción impuesta por dicho servidor público o por quien hubiese recibido de este la delegación de tales atribuciones, expidiendo oportunamente la boleta de libertad; </w:t>
      </w:r>
    </w:p>
    <w:p w14:paraId="06AC400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h). Conocer, mediar, conciliar y ser arbitro en los accidentes ocasionados con motivo del tránsito vehicular, cuando exista conflicto de intereses, siempre que se trate de daños materiales a propiedad privada y en su caso lesiones a las que se refiere la fracción I del artículo 237 del Código Penal del Estado de México; lo que se hará bajo los siguientes lineamientos:  </w:t>
      </w:r>
    </w:p>
    <w:p w14:paraId="1920218F" w14:textId="77777777" w:rsidR="000D54A7" w:rsidRDefault="000A6DEB">
      <w:pPr>
        <w:spacing w:line="360" w:lineRule="auto"/>
        <w:ind w:left="709"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1. Facultad para ordenar el retiro de vehículos: En caso de que los conductores de los vehículos involucrados en los hechos de que se trate no lleguen a un arreglo en el mismo en lugar en que éstos hayan ocurrido, se presentarán ante el Oficial Calificador. El traslado se realizará por los mismos conductores, en caso de que éstos se encuentren en condiciones de circular, o bien, mediante el uso del servicio de grúas de su elección. Tratándose de vehículos con carga, se permitirá la realización de las maniobras necesarias para descargar el vehículo de que se trate.  </w:t>
      </w:r>
    </w:p>
    <w:p w14:paraId="00B43176" w14:textId="77777777" w:rsidR="000D54A7" w:rsidRDefault="000A6DEB">
      <w:pPr>
        <w:spacing w:line="360" w:lineRule="auto"/>
        <w:ind w:left="709"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 xml:space="preserve">2. Etapa conciliatoria: Una vez que el Oficial Calificador tenga conocimiento de los hechos, hará saber a los conductores las formalidades del procedimiento desde su inicio hasta la vía de apremio e instarlos a que concilien proponiendo alternativas equitativas de solución. En cualquier caso, el resultado de la etapa de conciliación se hará constar en el acta respectiva de manera circunstanciada. El acuerdo conciliatorio tendrá carácter de cosa juzgada y podrá hacerse efectivo en la vía de apremio prevista en el Código de Procedimientos Civiles del Estado. La etapa de conciliación no podrá exceder del plazo de tres horas. Una vez vencido el plazo sin que las partes lleguen a un acuerdo, el Oficial Calificador levantará el acta respectiva y procederá conforme al punto siguiente. </w:t>
      </w:r>
    </w:p>
    <w:p w14:paraId="1BDA2C6C" w14:textId="77777777" w:rsidR="000D54A7" w:rsidRDefault="000A6DEB">
      <w:pPr>
        <w:spacing w:line="360" w:lineRule="auto"/>
        <w:ind w:left="709"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3. Reglas en el procedimiento arbitral: Cuando los involucrados no logren un acuerdo conciliatorio, el Oficial Calificador se constituirá en árbitro e iniciará el procedimiento respectivo actuando de la forma siguiente: </w:t>
      </w:r>
    </w:p>
    <w:p w14:paraId="1BE6F9B0"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07059ABD" w14:textId="77777777" w:rsidR="000D54A7" w:rsidRDefault="000A6DEB">
      <w:pPr>
        <w:spacing w:line="360" w:lineRule="auto"/>
        <w:ind w:left="993"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 Tomará la declaración de los interesados, del oficial de tránsito o policía que conozca de los hechos y, en su caso, de los testigos y ajustadores.  </w:t>
      </w:r>
    </w:p>
    <w:p w14:paraId="7D0DEC8E" w14:textId="77777777" w:rsidR="000D54A7" w:rsidRDefault="000A6DEB">
      <w:pPr>
        <w:spacing w:line="360" w:lineRule="auto"/>
        <w:ind w:left="993"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b. Procederá a dar fe de los vehículos involucrados y de los daños que presenten, detallando en lo posible éstos, además, les tomará fotografías que muestren los daños sufridos, para constancia. </w:t>
      </w:r>
    </w:p>
    <w:p w14:paraId="1A390C5F" w14:textId="77777777" w:rsidR="000D54A7" w:rsidRDefault="000A6DEB">
      <w:pPr>
        <w:spacing w:line="360" w:lineRule="auto"/>
        <w:ind w:left="993"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c. Asegurará de oficio los vehículos involucrados y solamente se levantará el aseguramiento si los propietarios o conductores otorgan garantía bastante a juicio </w:t>
      </w:r>
      <w:r>
        <w:rPr>
          <w:rFonts w:ascii="Palatino Linotype" w:eastAsia="Palatino Linotype" w:hAnsi="Palatino Linotype" w:cs="Palatino Linotype"/>
          <w:i/>
          <w:sz w:val="24"/>
          <w:szCs w:val="24"/>
        </w:rPr>
        <w:lastRenderedPageBreak/>
        <w:t xml:space="preserve">del Oficial Calificador, para garantizar el pago de la reparación de los daños. En este caso, los vehículos se devolverán a los propietarios o conductores en depósito provisional, quienes deberán resguardarlos en el lugar que expresamente señalen y tendrán la obligación de permitir el acceso para su revisión a los peritos y al personal que señale el Oficial Calificador, y estará prohibido repararlos, modificarlos, alterarlos o venderlos, teniendo las obligaciones de un depositario civil. De no presentarse los interesados ante el Oficial Calificador, o de no recibir en depósito los vehículos, estos se remitirán al depósito respectivo.  </w:t>
      </w:r>
    </w:p>
    <w:p w14:paraId="199C4F49" w14:textId="77777777" w:rsidR="000D54A7" w:rsidRDefault="000A6DEB">
      <w:pPr>
        <w:spacing w:line="360" w:lineRule="auto"/>
        <w:ind w:left="993"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d. Dará intervención de inmediato a los peritos que el caso requiera en materia de: • Identificación vehicular; • Valuación de daños automotrices; • Tránsito terrestre; • Medicina legal; y • Fotografía.  </w:t>
      </w:r>
    </w:p>
    <w:p w14:paraId="1C9A74E5"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6C8332B5"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Los peritos de los que se haya solicitado su intervención deberán rendir su dictamen a la brevedad posible, misma que podrán emitir bajo cualquier medio. </w:t>
      </w:r>
    </w:p>
    <w:p w14:paraId="003D2878" w14:textId="77777777" w:rsidR="000D54A7" w:rsidRDefault="000D54A7">
      <w:pPr>
        <w:spacing w:line="360" w:lineRule="auto"/>
        <w:ind w:left="567" w:right="257"/>
        <w:jc w:val="both"/>
        <w:rPr>
          <w:rFonts w:ascii="Palatino Linotype" w:eastAsia="Palatino Linotype" w:hAnsi="Palatino Linotype" w:cs="Palatino Linotype"/>
          <w:i/>
          <w:sz w:val="24"/>
          <w:szCs w:val="24"/>
        </w:rPr>
      </w:pPr>
    </w:p>
    <w:p w14:paraId="4546277C"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El Oficial Calificador deberá realizar todas las diligencias necesarias y velar para que los peritos estén en condiciones de rendir sus dictámenes. Para estos efectos, podrá requerir la intervención de peritos de la Fiscalía General de Justicia o del personal académico o de investigación científica o tecnológica de las instituciones de educación superior del Estado, que designen éstas, que puedan desempeñar el cargo de perito e. El Oficial Calificador a través del medio que resulte más eficaz, realizará consulta a la </w:t>
      </w:r>
      <w:r>
        <w:rPr>
          <w:rFonts w:ascii="Palatino Linotype" w:eastAsia="Palatino Linotype" w:hAnsi="Palatino Linotype" w:cs="Palatino Linotype"/>
          <w:i/>
          <w:sz w:val="24"/>
          <w:szCs w:val="24"/>
        </w:rPr>
        <w:lastRenderedPageBreak/>
        <w:t xml:space="preserve">Fiscalía General de Justicia del Estado, para saber si el o los vehículos involucrados cuentan o no con reporte de robo y para tal efecto proporcionará los números de serie, motor y placas de circulación, asentando constancia de dicha consulta y agregando en su caso la documentación comprobatoria del resultado. Si de la identificación vehicular se desprenden alteraciones o de la consulta a la base de datos existe reporte de robo de los vehículos afectados, se procederá al aseguramiento y puesta a disposición ante el Ministerio Público. f. Conciliación en el procedimiento arbitral: Una vez rendidos los dictámenes periciales, el Oficial Calificador los hará del conocimiento de los involucrados y requerirá al probable responsable garantice o cubra la reparación del daño, la cual podrá realizarse por alguno de los medios legales establecidos. En esta etapa, nuevamente el Oficial Calificador, instará a los interesados a que concilien y volverá a proponerles alternativas equitativas de solución. 4. Emisión del Laudo: Agotadas las diligencias, si los interesados no logran un acuerdo conciliatorio, el Oficial Calificador con carácter de árbitro, en el plazo de las setenta y dos horas siguientes emitirá el laudo respectivo debidamente fundado y motivado, mismo que además deberá contener: a. Lugar, fecha y autoridad arbitral que lo emite; b. Nombres y domicilios de las partes; c. Un extracto de los hechos y los dictámenes emitidos; d. El responsable del accidente de tránsito; e. El monto de la reparación del daño; f. La determinación de que el vehículo, en su caso, queda depositado en garantía del afectado, en los términos señalados en este artículo. 5. Ejecución del Laudo: El laudo arbitral tendrá carácter de cosa juzgada y podrá hacerse efectivo en la vía de apremio prevista </w:t>
      </w:r>
      <w:r>
        <w:rPr>
          <w:rFonts w:ascii="Palatino Linotype" w:eastAsia="Palatino Linotype" w:hAnsi="Palatino Linotype" w:cs="Palatino Linotype"/>
          <w:i/>
          <w:sz w:val="24"/>
          <w:szCs w:val="24"/>
        </w:rPr>
        <w:lastRenderedPageBreak/>
        <w:t>en el Código de Procedimientos Civiles del Estado. El responsable de los daños tendrá un plazo de ocho días para realizar el pago respectivo. De no realizarse el pago, el interesado tendrá expedito su derecho para promover en la vía de apremio, ante las autoridades judiciales competentes. 6. El Oficial Calificador entregará a los interesados copia certificada del laudo respectivo. i). Las demás que les atribuyan los ordenamientos municipales aplicables, previo el pago de los derechos correspondientes.</w:t>
      </w:r>
    </w:p>
    <w:p w14:paraId="2F659A1D" w14:textId="77777777" w:rsidR="000D54A7" w:rsidRDefault="000D54A7">
      <w:pPr>
        <w:spacing w:line="360" w:lineRule="auto"/>
        <w:ind w:right="-451"/>
        <w:jc w:val="both"/>
        <w:rPr>
          <w:rFonts w:ascii="Palatino Linotype" w:eastAsia="Palatino Linotype" w:hAnsi="Palatino Linotype" w:cs="Palatino Linotype"/>
          <w:sz w:val="24"/>
          <w:szCs w:val="24"/>
        </w:rPr>
      </w:pPr>
    </w:p>
    <w:p w14:paraId="67D61922"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Tal y como se aprecia, el Ayuntamiento cuenta con una oficialía calificadora, la cual se encuentra especializada en infracciones a la reglamentación municipal, como lo es el propio bando municipal. Dicha área tiene la finalidad de conocer y calificar las infracciones e imponer sanciones, siempre que se trate de delitos del fuero común o federal. </w:t>
      </w:r>
    </w:p>
    <w:p w14:paraId="1B8F1BF3" w14:textId="77777777" w:rsidR="000D54A7" w:rsidRDefault="000D54A7">
      <w:pPr>
        <w:spacing w:line="360" w:lineRule="auto"/>
        <w:ind w:right="-451"/>
        <w:jc w:val="both"/>
        <w:rPr>
          <w:rFonts w:ascii="Palatino Linotype" w:eastAsia="Palatino Linotype" w:hAnsi="Palatino Linotype" w:cs="Palatino Linotype"/>
          <w:sz w:val="24"/>
          <w:szCs w:val="24"/>
        </w:rPr>
      </w:pPr>
    </w:p>
    <w:p w14:paraId="5C2FF0A6"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Hasta lo expuesto en este punto, se determina que el bando es el reglamento municipal que regula el comportamiento de las personas que se encuentren dentro de sus límites territoriales y competencias del Ayuntamiento, por lo que toda persona que se encuentre dentro del mismo, tiene los derechos y obligaciones que en él se establecen. De lo contrario, si alguna persona incurre en alguna falta que contempla el bando municipal, será la oficialía calificadora la encargada de determinar el tipo de infracción y dar cuenta al Presidente Municipal de las detenciones correspondientes.</w:t>
      </w:r>
    </w:p>
    <w:p w14:paraId="362FF310"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88C6FB9"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Se debe enfatizar el hecho de que las faltas en las que se incurran, serán en calidad de ciudadanos, como personas físicas independientemente si ocupan de algún cargo, empleo o comisión en el servicio público.</w:t>
      </w:r>
    </w:p>
    <w:p w14:paraId="6EA6EDE9"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1501FE74"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En ese orden de ideas, en el supuesto que existan faltas administrativas al bando municipal por ciudadanos, la misma pudiera obrar en las bases de datos que tiene registradas el Sujeto Obligado ante este Instituto de Transparencia, las cuales atendiendo a la naturaleza de la información se encuentran clasificadas como información confidencial. 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 </w:t>
      </w:r>
    </w:p>
    <w:p w14:paraId="088B76E5"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95CDEFE"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En concordancia de lo anterior, el artículo 116 y 120 de la Ley General de Transparencia, prevé:</w:t>
      </w:r>
    </w:p>
    <w:p w14:paraId="2AE3B222" w14:textId="77777777" w:rsidR="000D54A7" w:rsidRDefault="000D54A7">
      <w:pPr>
        <w:pBdr>
          <w:top w:val="nil"/>
          <w:left w:val="nil"/>
          <w:bottom w:val="nil"/>
          <w:right w:val="nil"/>
          <w:between w:val="nil"/>
        </w:pBdr>
        <w:ind w:left="720" w:right="-451"/>
        <w:rPr>
          <w:rFonts w:ascii="Century Gothic" w:eastAsia="Century Gothic" w:hAnsi="Century Gothic" w:cs="Century Gothic"/>
          <w:color w:val="000000"/>
          <w:sz w:val="24"/>
          <w:szCs w:val="24"/>
        </w:rPr>
      </w:pPr>
    </w:p>
    <w:p w14:paraId="7C357F7D"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“Artículo 116. Se considera información confidencial la que contiene datos personales concernientes a una persona identificada o identificable. </w:t>
      </w:r>
    </w:p>
    <w:p w14:paraId="2B68E702"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7272F04B"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120. Para que los sujetos obligados puedan permitir el acceso a información confidencial requieren obtener el consentimiento de los particulares titulares de la </w:t>
      </w:r>
      <w:r>
        <w:rPr>
          <w:rFonts w:ascii="Palatino Linotype" w:eastAsia="Palatino Linotype" w:hAnsi="Palatino Linotype" w:cs="Palatino Linotype"/>
          <w:i/>
          <w:sz w:val="24"/>
          <w:szCs w:val="24"/>
        </w:rPr>
        <w:lastRenderedPageBreak/>
        <w:t xml:space="preserve">información. No se requerirá el consentimiento del titular de la información confidencial cuando: </w:t>
      </w:r>
    </w:p>
    <w:p w14:paraId="3E7972C5"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 La información se encuentre en registros públicos o fuentes de acceso público; </w:t>
      </w:r>
    </w:p>
    <w:p w14:paraId="5434BD6A"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 Por ley tenga el carácter de pública; </w:t>
      </w:r>
    </w:p>
    <w:p w14:paraId="06538126"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III. Exista una orden judicial; </w:t>
      </w:r>
    </w:p>
    <w:p w14:paraId="4C8E4906"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IV. Por razones de seguridad nacional y salubridad general, o para proteger los derechos de terceros, se requiera su publicación, o </w:t>
      </w:r>
    </w:p>
    <w:p w14:paraId="09944A3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V. Cuando se transmita entre sujetos obligados y entre éstos y los sujetos de derecho internacional, en términos de los tratados y los acuerdos interinstitucionales, siempre y cuando la información se utilice para el ejercicio de facultades propias de los mismos. </w:t>
      </w:r>
    </w:p>
    <w:p w14:paraId="18EEF99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22E8F942" w14:textId="77777777" w:rsidR="000D54A7" w:rsidRDefault="000D54A7">
      <w:pPr>
        <w:spacing w:line="360" w:lineRule="auto"/>
        <w:ind w:right="-451"/>
        <w:jc w:val="both"/>
        <w:rPr>
          <w:rFonts w:ascii="Palatino Linotype" w:eastAsia="Palatino Linotype" w:hAnsi="Palatino Linotype" w:cs="Palatino Linotype"/>
          <w:sz w:val="24"/>
          <w:szCs w:val="24"/>
        </w:rPr>
      </w:pPr>
    </w:p>
    <w:p w14:paraId="5EAF1AB0"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Situación que retoma de manera similar la Ley Estatal de Transparencia, en los artículos 143, fracción I, 147 y 148, que señalan: </w:t>
      </w:r>
    </w:p>
    <w:p w14:paraId="7E9FB73D" w14:textId="77777777" w:rsidR="000D54A7" w:rsidRDefault="000D54A7">
      <w:pPr>
        <w:spacing w:line="360" w:lineRule="auto"/>
        <w:ind w:right="-451"/>
        <w:jc w:val="both"/>
        <w:rPr>
          <w:sz w:val="24"/>
          <w:szCs w:val="24"/>
        </w:rPr>
      </w:pPr>
    </w:p>
    <w:p w14:paraId="50458F2D"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143. Para los efectos de esta Ley se considera información confidencial, la clasificada como tal, de manera permanente, por su naturaleza, cuando: </w:t>
      </w:r>
    </w:p>
    <w:p w14:paraId="1792A078"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 Se refiera a la información privada y los datos personales concernientes a una persona física o jurídica colectiva identificada o identificable;</w:t>
      </w:r>
    </w:p>
    <w:p w14:paraId="6F22DD6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2793BE83"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 xml:space="preserve">Artículo 147. Para que los sujetos obligados puedan permitir el acceso a información confidencial requieren obtener el consentimiento de los particulares titulares de la información. </w:t>
      </w:r>
    </w:p>
    <w:p w14:paraId="6A006D32"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Artículo 148. No se requerirá el consentimiento del titular de la información confidencial cuando: </w:t>
      </w:r>
    </w:p>
    <w:p w14:paraId="2D6A0D8D"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 La información se encuentre en registros públicos o fuentes de acceso público; </w:t>
      </w:r>
    </w:p>
    <w:p w14:paraId="5896B3C3"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 Por Ley tenga el carácter de pública; </w:t>
      </w:r>
    </w:p>
    <w:p w14:paraId="287B1C01"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III. Exista una orden judicial; </w:t>
      </w:r>
    </w:p>
    <w:p w14:paraId="15EE15E0"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IV. Por razones de seguridad pública, o para proteger los derechos de terceros, se requiera su publicación; o </w:t>
      </w:r>
    </w:p>
    <w:p w14:paraId="69C9FF19"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V. Cuando se transmita entre sujetos obligados y entre éstos y los sujetos de derecho internacional, en términos de los tratados y los acuerdos interinstitucionales, siempre y cuando la información se utilice para el ejercicio de facultades propias de los mismos. </w:t>
      </w:r>
    </w:p>
    <w:p w14:paraId="054C624A"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5E635C31" w14:textId="77777777" w:rsidR="000D54A7" w:rsidRDefault="000D54A7">
      <w:pPr>
        <w:spacing w:line="360" w:lineRule="auto"/>
        <w:ind w:right="-451"/>
        <w:jc w:val="both"/>
        <w:rPr>
          <w:rFonts w:ascii="Palatino Linotype" w:eastAsia="Palatino Linotype" w:hAnsi="Palatino Linotype" w:cs="Palatino Linotype"/>
          <w:sz w:val="24"/>
          <w:szCs w:val="24"/>
        </w:rPr>
      </w:pPr>
    </w:p>
    <w:p w14:paraId="24D49D31"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Conforme a lo anterior, se advierte que la información confidencial, es aquella que refiere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0B9F2F08" w14:textId="77777777" w:rsidR="000D54A7" w:rsidRDefault="000D54A7">
      <w:pPr>
        <w:spacing w:line="360" w:lineRule="auto"/>
        <w:ind w:right="-451"/>
        <w:jc w:val="both"/>
        <w:rPr>
          <w:rFonts w:ascii="Palatino Linotype" w:eastAsia="Palatino Linotype" w:hAnsi="Palatino Linotype" w:cs="Palatino Linotype"/>
          <w:sz w:val="24"/>
          <w:szCs w:val="24"/>
        </w:rPr>
      </w:pPr>
    </w:p>
    <w:p w14:paraId="74DBEB4B"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transmitan entre sujetos obligados en términos de los tratados y los acuerdos interinstitucionales. </w:t>
      </w:r>
    </w:p>
    <w:p w14:paraId="33DE8E96"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7C10F185"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Además, los sujetos obligados serán responsables de los datos personales y, en relación con éstos, deberán cumplir con las obligaciones establecidas en las leyes de la materia y en la Ley General de Transparencia y Acceso a la Información Pública. </w:t>
      </w:r>
    </w:p>
    <w:p w14:paraId="310E8423"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14F00045" w14:textId="77777777" w:rsidR="000D54A7" w:rsidRPr="000A6DEB"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 </w:t>
      </w:r>
    </w:p>
    <w:p w14:paraId="56470A77" w14:textId="77777777" w:rsidR="000A6DEB" w:rsidRDefault="000A6DEB" w:rsidP="000A6DEB">
      <w:pPr>
        <w:pStyle w:val="Prrafodelista"/>
      </w:pPr>
    </w:p>
    <w:p w14:paraId="7E69684B" w14:textId="77777777" w:rsidR="000D54A7" w:rsidRDefault="000A6DEB">
      <w:pPr>
        <w:spacing w:line="360" w:lineRule="auto"/>
        <w:ind w:left="284"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Se trate de datos personales, esto es, información concerniente a una persona física y que ésta sea identificada o identificable o bien, sea aquella que refiere aspectos de la vida privada o íntima de las personas. </w:t>
      </w:r>
    </w:p>
    <w:p w14:paraId="2CD3091F" w14:textId="77777777" w:rsidR="000D54A7" w:rsidRDefault="000A6DEB">
      <w:pPr>
        <w:spacing w:line="360" w:lineRule="auto"/>
        <w:ind w:left="284"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Para la difusión de los datos, se requiere el consentimiento del titular. </w:t>
      </w:r>
    </w:p>
    <w:p w14:paraId="3711B81D"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3DD0FFCF"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datos personales corresponden a la información concerniente a una persona física identificada o identificable.</w:t>
      </w:r>
    </w:p>
    <w:p w14:paraId="15F288C9" w14:textId="77777777" w:rsidR="000D54A7" w:rsidRDefault="000D54A7">
      <w:pPr>
        <w:spacing w:line="360" w:lineRule="auto"/>
        <w:ind w:right="-451"/>
        <w:jc w:val="both"/>
        <w:rPr>
          <w:rFonts w:ascii="Palatino Linotype" w:eastAsia="Palatino Linotype" w:hAnsi="Palatino Linotype" w:cs="Palatino Linotype"/>
          <w:sz w:val="24"/>
          <w:szCs w:val="24"/>
        </w:rPr>
      </w:pPr>
    </w:p>
    <w:p w14:paraId="14763FAB"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Situación que toma relevancia, púes el apartado ¿Qué son los datos personales?</w:t>
      </w:r>
      <w:r>
        <w:rPr>
          <w:rFonts w:ascii="Palatino Linotype" w:eastAsia="Palatino Linotype" w:hAnsi="Palatino Linotype" w:cs="Palatino Linotype"/>
          <w:sz w:val="24"/>
          <w:szCs w:val="24"/>
          <w:vertAlign w:val="superscript"/>
        </w:rPr>
        <w:footnoteReference w:id="6"/>
      </w:r>
      <w:r>
        <w:rPr>
          <w:rFonts w:ascii="Palatino Linotype" w:eastAsia="Palatino Linotype" w:hAnsi="Palatino Linotype" w:cs="Palatino Linotype"/>
          <w:sz w:val="24"/>
          <w:szCs w:val="24"/>
        </w:rPr>
        <w:t xml:space="preserve">, de la página oficial de este Instituto, precisa como una categoría de dato personal, aquellos relacionados con procedimientos administrativos y jurisdiccionales, que corresponden a toda aquella información relacionada íntimamente a una persona, relacionada con procedimientos administrativos o juicios en materia laboral, civil, penal, fiscal, mercantil o cualquier otra rama del derecho. </w:t>
      </w:r>
    </w:p>
    <w:p w14:paraId="177542E3"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0893C80C"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Así, </w:t>
      </w:r>
      <w:r>
        <w:rPr>
          <w:rFonts w:ascii="Palatino Linotype" w:eastAsia="Palatino Linotype" w:hAnsi="Palatino Linotype" w:cs="Palatino Linotype"/>
          <w:b/>
          <w:sz w:val="24"/>
          <w:szCs w:val="24"/>
          <w:u w:val="single"/>
        </w:rPr>
        <w:t>se puede desprender que la información que dé cuenta respecto a las faltas administrativas al bando municipal es información que obra en posesión del Sujeto Obligado por ser parte de las funciones de la Oficialía Calificadora</w:t>
      </w:r>
      <w:r>
        <w:rPr>
          <w:rFonts w:ascii="Palatino Linotype" w:eastAsia="Palatino Linotype" w:hAnsi="Palatino Linotype" w:cs="Palatino Linotype"/>
          <w:sz w:val="24"/>
          <w:szCs w:val="24"/>
        </w:rPr>
        <w:t xml:space="preserve">, corresponde a un dato personal que afecta su esfera privada, esto cuando se hace identificable al infractor. </w:t>
      </w:r>
    </w:p>
    <w:p w14:paraId="286E3613"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271D35D8"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Además, es oportuno traer el estudio la Tesis: I.9o.C.27 K, Novena Época, con número de registro 182261, del Noveno Tribunal Colegiado en Materia Civil del Primer </w:t>
      </w:r>
      <w:r>
        <w:rPr>
          <w:rFonts w:ascii="Palatino Linotype" w:eastAsia="Palatino Linotype" w:hAnsi="Palatino Linotype" w:cs="Palatino Linotype"/>
          <w:sz w:val="24"/>
          <w:szCs w:val="24"/>
        </w:rPr>
        <w:lastRenderedPageBreak/>
        <w:t xml:space="preserve">Circuito, en la cual se dispone que a diferencia de los actos administrativos que son dictados en forma unilateral por la autoridad y no siempre se tramitan mediante un procedimiento, los actos en el ámbito jurisdiccional la autoridad es sólo mediadora en la controversia suscitada entre los particulares, y el procedimiento se lleva a cabo a través de una serie de actos concatenados que son provocados por las propias partes en el proceso, tal como se muestra a continuación: </w:t>
      </w:r>
    </w:p>
    <w:p w14:paraId="26A76920"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“ACTOS ADMINISTRATIVOS Y JURISDICCIONALES. SUS DIFERENCIAS.</w:t>
      </w:r>
      <w:r>
        <w:rPr>
          <w:rFonts w:ascii="Palatino Linotype" w:eastAsia="Palatino Linotype" w:hAnsi="Palatino Linotype" w:cs="Palatino Linotype"/>
          <w:i/>
          <w:sz w:val="24"/>
          <w:szCs w:val="24"/>
        </w:rPr>
        <w:t xml:space="preserve"> 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en el ámbito jurisdiccional la autoridad es sólo mediadora en la controversia suscitada entre los particulares, y el procedimiento se lleva a cabo a través de una serie de actos concatenados que son provocados por las propias partes en el proceso,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w:t>
      </w:r>
      <w:r>
        <w:rPr>
          <w:rFonts w:ascii="Palatino Linotype" w:eastAsia="Palatino Linotype" w:hAnsi="Palatino Linotype" w:cs="Palatino Linotype"/>
          <w:i/>
          <w:sz w:val="24"/>
          <w:szCs w:val="24"/>
        </w:rPr>
        <w:lastRenderedPageBreak/>
        <w:t xml:space="preserve">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 </w:t>
      </w:r>
    </w:p>
    <w:p w14:paraId="7F78B94D" w14:textId="77777777" w:rsidR="000D54A7" w:rsidRDefault="000D54A7">
      <w:pPr>
        <w:spacing w:line="360" w:lineRule="auto"/>
        <w:ind w:right="-451"/>
        <w:jc w:val="both"/>
        <w:rPr>
          <w:sz w:val="24"/>
          <w:szCs w:val="24"/>
        </w:rPr>
      </w:pPr>
    </w:p>
    <w:p w14:paraId="5569C684"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Conforme a lo anterior, al identificar al infractor, el Recurrente, pretende acceder a información de índole privada, pues la información de su interés se refiere a la vida íntima de particulares, de tal suerte que, pronunciarse sobre la existencia de la información, daría cuenta de actos antijurídicos de índole municipal, lo cual únicamente refiere a la esfera privada e íntima de estos. </w:t>
      </w:r>
    </w:p>
    <w:p w14:paraId="55F1A66B" w14:textId="77777777" w:rsidR="000D54A7" w:rsidRDefault="000D54A7">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328A495D"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Sobre el tema,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 </w:t>
      </w:r>
    </w:p>
    <w:p w14:paraId="7E2D3D3D"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28933FCD"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 </w:t>
      </w:r>
    </w:p>
    <w:p w14:paraId="34037204"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0339D56E"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 </w:t>
      </w:r>
    </w:p>
    <w:p w14:paraId="5CBD857F"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DB73D3E"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000000"/>
          <w:sz w:val="24"/>
          <w:szCs w:val="24"/>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29B557C7" w14:textId="77777777" w:rsidR="000D54A7" w:rsidRDefault="000D54A7">
      <w:pPr>
        <w:spacing w:line="360" w:lineRule="auto"/>
        <w:ind w:right="-451"/>
        <w:jc w:val="both"/>
        <w:rPr>
          <w:sz w:val="24"/>
          <w:szCs w:val="24"/>
        </w:rPr>
      </w:pPr>
    </w:p>
    <w:p w14:paraId="2CF548A2"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“DERECHO A LA VIDA PRIVADA. SU CONTENIDO GENERAL Y LA IMPORTANCIA DE NO DESCONTEXTUALIZAR LAS REFERENCIAS A LA MISMA.</w:t>
      </w:r>
      <w:r>
        <w:rPr>
          <w:rFonts w:ascii="Palatino Linotype" w:eastAsia="Palatino Linotype" w:hAnsi="Palatino Linotype" w:cs="Palatino Linotype"/>
          <w:i/>
          <w:sz w:val="24"/>
          <w:szCs w:val="24"/>
        </w:rPr>
        <w:t xml:space="preserve"> 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w:t>
      </w:r>
      <w:r>
        <w:rPr>
          <w:rFonts w:ascii="Palatino Linotype" w:eastAsia="Palatino Linotype" w:hAnsi="Palatino Linotype" w:cs="Palatino Linotype"/>
          <w:i/>
          <w:sz w:val="24"/>
          <w:szCs w:val="24"/>
        </w:rPr>
        <w:lastRenderedPageBreak/>
        <w:t xml:space="preserve">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Según esta noción, las personas tienen derecho a gozar de un ámbito de proyección de su existencia que quede reservado de la invasión y la mirada de los demás, que les concierna sólo a </w:t>
      </w:r>
      <w:r>
        <w:rPr>
          <w:rFonts w:ascii="Palatino Linotype" w:eastAsia="Palatino Linotype" w:hAnsi="Palatino Linotype" w:cs="Palatino Linotype"/>
          <w:i/>
          <w:sz w:val="24"/>
          <w:szCs w:val="24"/>
        </w:rPr>
        <w:lastRenderedPageBreak/>
        <w:t>ellos y les provea de condiciones adecuadas para el despliegue de su individualidad -para el desarrollo de su autonomía y su libertad</w:t>
      </w:r>
      <w:proofErr w:type="gramStart"/>
      <w:r>
        <w:rPr>
          <w:rFonts w:ascii="Palatino Linotype" w:eastAsia="Palatino Linotype" w:hAnsi="Palatino Linotype" w:cs="Palatino Linotype"/>
          <w:i/>
          <w:sz w:val="24"/>
          <w:szCs w:val="24"/>
        </w:rPr>
        <w:t>- .</w:t>
      </w:r>
      <w:proofErr w:type="gramEnd"/>
      <w:r>
        <w:rPr>
          <w:rFonts w:ascii="Palatino Linotype" w:eastAsia="Palatino Linotype" w:hAnsi="Palatino Linotype" w:cs="Palatino Linotype"/>
          <w:i/>
          <w:sz w:val="24"/>
          <w:szCs w:val="24"/>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En un sentido amplio, entonces, la protección constitucional de la vida privada implica poder conducir parte de la vida de uno protegido de la mirada y las injerencias de los demás,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 </w:t>
      </w:r>
    </w:p>
    <w:p w14:paraId="58F03270" w14:textId="77777777" w:rsidR="000D54A7" w:rsidRDefault="000D54A7">
      <w:pPr>
        <w:spacing w:line="360" w:lineRule="auto"/>
        <w:ind w:left="567" w:right="-451"/>
        <w:jc w:val="both"/>
        <w:rPr>
          <w:rFonts w:ascii="Palatino Linotype" w:eastAsia="Palatino Linotype" w:hAnsi="Palatino Linotype" w:cs="Palatino Linotype"/>
          <w:i/>
          <w:sz w:val="24"/>
          <w:szCs w:val="24"/>
        </w:rPr>
      </w:pPr>
    </w:p>
    <w:p w14:paraId="11CBC663"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 xml:space="preserve">De conformidad con lo señalado, se colige que las actividades que realicen los particulares, dentro del ámbito privado, o dentro de la esfera particular, es información que debe protegerse. </w:t>
      </w:r>
    </w:p>
    <w:p w14:paraId="51867352" w14:textId="77777777" w:rsidR="000D54A7" w:rsidRDefault="000D54A7">
      <w:pPr>
        <w:spacing w:line="360" w:lineRule="auto"/>
        <w:ind w:right="-451"/>
        <w:jc w:val="both"/>
        <w:rPr>
          <w:rFonts w:ascii="Palatino Linotype" w:eastAsia="Palatino Linotype" w:hAnsi="Palatino Linotype" w:cs="Palatino Linotype"/>
          <w:sz w:val="24"/>
          <w:szCs w:val="24"/>
        </w:rPr>
      </w:pPr>
    </w:p>
    <w:p w14:paraId="2E02E2D6"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En el presente caso, señalar que existe o no una falta administrativa al bando municipal, iría en contra del derecho a la vida privada al revelar actos contrarios a la ley, lo cual constituye cuestiones de carácter estrictamente íntimo.</w:t>
      </w:r>
    </w:p>
    <w:p w14:paraId="3FC5019C" w14:textId="77777777" w:rsidR="000D54A7" w:rsidRDefault="000D54A7">
      <w:pPr>
        <w:spacing w:line="360" w:lineRule="auto"/>
        <w:ind w:right="-451"/>
        <w:jc w:val="both"/>
        <w:rPr>
          <w:rFonts w:ascii="Palatino Linotype" w:eastAsia="Palatino Linotype" w:hAnsi="Palatino Linotype" w:cs="Palatino Linotype"/>
          <w:sz w:val="24"/>
          <w:szCs w:val="24"/>
        </w:rPr>
      </w:pPr>
    </w:p>
    <w:p w14:paraId="03DB9DA9"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Por otra parte, precisar si existe o no la información requerida, también iría en contra del derecho a la vida privada, pues daría a conocer que dicha persona realizó actos o acciones que van en contra de las leyes municipales, perjudicando así la buena honra del ciudadano.</w:t>
      </w:r>
    </w:p>
    <w:p w14:paraId="1B3C03A9"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86524C3"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0B4039CA" w14:textId="77777777" w:rsidR="000D54A7" w:rsidRDefault="000A6DEB">
      <w:pPr>
        <w:spacing w:line="360" w:lineRule="auto"/>
        <w:ind w:left="567" w:right="25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“DERECHO A LA PRIVACIDAD O INTIMIDAD. ESTÁ PROTEGIDO POR EL ARTÍCULO 16, PRIMER PÁRRAFO, DE LA CONSTITUCIÓN POLÍTICA DE LOS ESTADOS UNIDOS MEXICANOS.</w:t>
      </w:r>
      <w:r>
        <w:rPr>
          <w:rFonts w:ascii="Palatino Linotype" w:eastAsia="Palatino Linotype" w:hAnsi="Palatino Linotype" w:cs="Palatino Linotype"/>
          <w:i/>
          <w:sz w:val="24"/>
          <w:szCs w:val="24"/>
        </w:rPr>
        <w:t xml:space="preserve"> Dicho numeral establece, en general, la garantía de seguridad jurídica de todo gobernado a no ser molestado en su persona, familia, papeles o posesiones, sino cuando medie mandato de autoridad competente </w:t>
      </w:r>
      <w:r>
        <w:rPr>
          <w:rFonts w:ascii="Palatino Linotype" w:eastAsia="Palatino Linotype" w:hAnsi="Palatino Linotype" w:cs="Palatino Linotype"/>
          <w:i/>
          <w:sz w:val="24"/>
          <w:szCs w:val="24"/>
        </w:rPr>
        <w:lastRenderedPageBreak/>
        <w:t xml:space="preserve">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 </w:t>
      </w:r>
    </w:p>
    <w:p w14:paraId="39F5B1E8"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21B6DB9D" w14:textId="77777777" w:rsidR="000D54A7" w:rsidRDefault="000D54A7">
      <w:pPr>
        <w:spacing w:line="360" w:lineRule="auto"/>
        <w:ind w:right="-451"/>
        <w:jc w:val="both"/>
        <w:rPr>
          <w:rFonts w:ascii="Palatino Linotype" w:eastAsia="Palatino Linotype" w:hAnsi="Palatino Linotype" w:cs="Palatino Linotype"/>
          <w:sz w:val="24"/>
          <w:szCs w:val="24"/>
        </w:rPr>
      </w:pPr>
    </w:p>
    <w:p w14:paraId="7F13D0B3"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Así, en un sentido amplio, dicha garantía puede extenderse a una protección más allá del aseguramiento del domicilio como espacio físico en que se desenvuelve </w:t>
      </w:r>
      <w:r>
        <w:rPr>
          <w:rFonts w:ascii="Palatino Linotype" w:eastAsia="Palatino Linotype" w:hAnsi="Palatino Linotype" w:cs="Palatino Linotype"/>
          <w:sz w:val="24"/>
          <w:szCs w:val="24"/>
        </w:rPr>
        <w:lastRenderedPageBreak/>
        <w:t xml:space="preserve">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363A6BD9"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7A483161" w14:textId="77777777" w:rsidR="000D54A7"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Por lo tanto, se considera que pronunciarse sobre la existencia o no de faltas administrativas al bando municipal, implicaría revelar un aspecto de la vida privada que vincula a las personas de la que se requiere información con actos antijurídicos, lo cual afecta su intimidad. </w:t>
      </w:r>
    </w:p>
    <w:p w14:paraId="3E9B565E" w14:textId="77777777" w:rsidR="000D54A7" w:rsidRDefault="000D54A7">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684D1F00" w14:textId="77777777" w:rsidR="000D54A7" w:rsidRPr="000A6DEB" w:rsidRDefault="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Razón por la cual, se considera que el Sujeto Obligado debió emitir un acuerdo a través del Comité de Transparencia mediante el cual se clasifique como información confidencial, el pronunciamiento sobre la existencia de la información requerida por el particular, la cual se relaciona con la detención de una persona por la comisión de una falta administrativa al bando municipal, situación que no ocurrió; sino por el contrario, al manifestar que se contienen datos personales y por ende no puede ser proporcionada la información, el Sujeto Obligado asumió que la persona referida en la solicitud incurrió en una falta administrativa al bando municipal, divulgando así información clasificada como confidencial. </w:t>
      </w:r>
    </w:p>
    <w:p w14:paraId="71AB2E72" w14:textId="77777777" w:rsidR="000A6DEB" w:rsidRDefault="000A6DEB" w:rsidP="000A6DEB">
      <w:pPr>
        <w:pStyle w:val="Prrafodelista"/>
      </w:pPr>
    </w:p>
    <w:p w14:paraId="4F21B763"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5B852110"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 xml:space="preserve">Ante tal situación, es necesario referir que la clasificación total o parcial de la información, mediante solicitud de acceso a la información pública, constituye una restricción al derecho humano de acceso a la información, como reiteradamente han dicho diversos órganos jurisdiccionales, ningún derecho es absoluto. </w:t>
      </w:r>
    </w:p>
    <w:p w14:paraId="1D524353" w14:textId="77777777" w:rsidR="000A6DEB" w:rsidRDefault="000A6DEB" w:rsidP="000A6DEB">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77ED78D4"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Por lo que, cualquier límite o restricción, para ser legítimo, debe reunir con tres requisitos: primero, debe estar establecida en un ordenamiento legal, antes de su aplicación; debe corresponder a un fin legítimo y ser estrictamente proporcional con el principio o valor que se pretende preservar. En este caso, la clasificación total o parcial de la información es un supuesto que tanto la Ley General de Transparencia y Acceso a la Información Pública, como la Ley de Transparencia y Acceso a la Información Pública del Estado de México y Municipios establecen, y agotar el procedimiento legalmente establecido, es precisamente lo que permite acreditar el cumplimiento de los otros dos requisitos. </w:t>
      </w:r>
    </w:p>
    <w:p w14:paraId="6C414743" w14:textId="77777777" w:rsidR="000A6DEB" w:rsidRDefault="000A6DEB" w:rsidP="000A6DEB">
      <w:pPr>
        <w:pStyle w:val="Prrafodelista"/>
        <w:rPr>
          <w:rFonts w:ascii="Palatino Linotype" w:eastAsia="Palatino Linotype" w:hAnsi="Palatino Linotype" w:cs="Palatino Linotype"/>
          <w:sz w:val="24"/>
        </w:rPr>
      </w:pPr>
    </w:p>
    <w:p w14:paraId="1F57C50F"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No </w:t>
      </w:r>
      <w:r w:rsidRPr="000A6DEB">
        <w:rPr>
          <w:rFonts w:ascii="Palatino Linotype" w:eastAsia="Palatino Linotype" w:hAnsi="Palatino Linotype" w:cs="Palatino Linotype"/>
          <w:sz w:val="24"/>
          <w:szCs w:val="24"/>
        </w:rPr>
        <w:t xml:space="preserve">basta con manifestar que cierta información no puede ser proporcionada por considerarse clasificada, sino que es necesario se realicen una serie de formalidades, entre ellas, proporcionar el Acuerdo de Clasificación que emita el Comité de Transparencia del </w:t>
      </w:r>
      <w:r w:rsidRPr="000A6DEB">
        <w:rPr>
          <w:rFonts w:ascii="Palatino Linotype" w:eastAsia="Palatino Linotype" w:hAnsi="Palatino Linotype" w:cs="Palatino Linotype"/>
          <w:b/>
          <w:sz w:val="24"/>
          <w:szCs w:val="24"/>
        </w:rPr>
        <w:t xml:space="preserve">Sujeto Obligado </w:t>
      </w:r>
      <w:r w:rsidRPr="000A6DEB">
        <w:rPr>
          <w:rFonts w:ascii="Palatino Linotype" w:eastAsia="Palatino Linotype" w:hAnsi="Palatino Linotype" w:cs="Palatino Linotype"/>
          <w:sz w:val="24"/>
          <w:szCs w:val="24"/>
        </w:rPr>
        <w:t xml:space="preserve">mediante el cual de manera fundada y motivada confirme la clasificación de la información requerida, es por ello que es menester mencionar lo siguiente: </w:t>
      </w:r>
    </w:p>
    <w:p w14:paraId="052FA3B3" w14:textId="77777777" w:rsidR="000A6DEB" w:rsidRDefault="000A6DEB" w:rsidP="000A6DEB">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0FA7B5F0" w14:textId="77777777" w:rsidR="000A6DEB" w:rsidRDefault="000A6DEB" w:rsidP="000A6DEB">
      <w:pPr>
        <w:keepNext/>
        <w:keepLines/>
        <w:pBdr>
          <w:top w:val="nil"/>
          <w:left w:val="nil"/>
          <w:bottom w:val="nil"/>
          <w:right w:val="nil"/>
          <w:between w:val="nil"/>
        </w:pBdr>
        <w:spacing w:line="360" w:lineRule="auto"/>
        <w:ind w:right="-451"/>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lastRenderedPageBreak/>
        <w:t>a) Requisitos previos.</w:t>
      </w:r>
    </w:p>
    <w:p w14:paraId="2FFB7C99"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Los artículos 122 y 100 de la Ley Estatal y la Ley General, respectivamente señalan que los </w:t>
      </w:r>
      <w:r>
        <w:rPr>
          <w:rFonts w:ascii="Palatino Linotype" w:eastAsia="Palatino Linotype" w:hAnsi="Palatino Linotype" w:cs="Palatino Linotype"/>
          <w:b/>
          <w:sz w:val="24"/>
          <w:szCs w:val="24"/>
        </w:rPr>
        <w:t xml:space="preserve">Sujetos Obligados </w:t>
      </w:r>
      <w:r>
        <w:rPr>
          <w:rFonts w:ascii="Palatino Linotype" w:eastAsia="Palatino Linotype" w:hAnsi="Palatino Linotype" w:cs="Palatino Linotype"/>
          <w:sz w:val="24"/>
          <w:szCs w:val="24"/>
        </w:rPr>
        <w:t xml:space="preserve">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w:t>
      </w:r>
      <w:r>
        <w:rPr>
          <w:rFonts w:ascii="Palatino Linotype" w:eastAsia="Palatino Linotype" w:hAnsi="Palatino Linotype" w:cs="Palatino Linotype"/>
          <w:b/>
          <w:sz w:val="24"/>
          <w:szCs w:val="24"/>
        </w:rPr>
        <w:t>confidencialidad o reserva.</w:t>
      </w:r>
    </w:p>
    <w:p w14:paraId="5DE7CD33"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20B812A4"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Aunado a ello,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 </w:t>
      </w:r>
    </w:p>
    <w:p w14:paraId="50AFF3BF"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0926BBE2"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El último de estos requisitos previos consiste en que no se pueden emitir acuerdos de carácter general ni particular, de acuerdo con lo que disponen los artículos 134 y 108 de la Ley Estatal y de la Ley General, respectivamente, esto es, no se puede hacer un acuerdo para clasificar de manera general todos los documentos de un expediente o área, sin </w:t>
      </w:r>
      <w:r>
        <w:rPr>
          <w:rFonts w:ascii="Palatino Linotype" w:eastAsia="Palatino Linotype" w:hAnsi="Palatino Linotype" w:cs="Palatino Linotype"/>
          <w:sz w:val="24"/>
          <w:szCs w:val="24"/>
        </w:rPr>
        <w:lastRenderedPageBreak/>
        <w:t xml:space="preserve">individualizar su análisis y tampoco se puede hacer un acuerdo por cada dato que se vaya a clasificar dentro de un documento con diez datos, por ejemplo, susceptibles de ser clasificados. </w:t>
      </w:r>
    </w:p>
    <w:p w14:paraId="2E028A3F"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327E4EC1" w14:textId="77777777" w:rsidR="000A6DEB" w:rsidRDefault="000A6DEB" w:rsidP="000A6DEB">
      <w:pPr>
        <w:keepNext/>
        <w:keepLines/>
        <w:pBdr>
          <w:top w:val="nil"/>
          <w:left w:val="nil"/>
          <w:bottom w:val="nil"/>
          <w:right w:val="nil"/>
          <w:between w:val="nil"/>
        </w:pBdr>
        <w:spacing w:line="360" w:lineRule="auto"/>
        <w:ind w:right="-451"/>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b) Supuestos de clasificación. </w:t>
      </w:r>
    </w:p>
    <w:p w14:paraId="32A020F9"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Ahora bien, las disposiciones constitucionales y legales en la materia establecen los dos supuestos generales para clasificar la información: </w:t>
      </w:r>
      <w:r>
        <w:rPr>
          <w:rFonts w:ascii="Palatino Linotype" w:eastAsia="Palatino Linotype" w:hAnsi="Palatino Linotype" w:cs="Palatino Linotype"/>
          <w:b/>
          <w:sz w:val="24"/>
          <w:szCs w:val="24"/>
        </w:rPr>
        <w:t xml:space="preserve">por reserva y por confidencialidad. </w:t>
      </w:r>
      <w:r>
        <w:rPr>
          <w:rFonts w:ascii="Palatino Linotype" w:eastAsia="Palatino Linotype" w:hAnsi="Palatino Linotype" w:cs="Palatino Linotype"/>
          <w:sz w:val="24"/>
          <w:szCs w:val="24"/>
        </w:rPr>
        <w:t xml:space="preserve">Siendo los artículos 140 y 113 de la Ley Estatal y de la Ley General, los que enmarcan los supuestos para que la información pueda considerarse como </w:t>
      </w:r>
      <w:r>
        <w:rPr>
          <w:rFonts w:ascii="Palatino Linotype" w:eastAsia="Palatino Linotype" w:hAnsi="Palatino Linotype" w:cs="Palatino Linotype"/>
          <w:b/>
          <w:sz w:val="24"/>
          <w:szCs w:val="24"/>
        </w:rPr>
        <w:t>reservada</w:t>
      </w:r>
      <w:r>
        <w:rPr>
          <w:rFonts w:ascii="Palatino Linotype" w:eastAsia="Palatino Linotype" w:hAnsi="Palatino Linotype" w:cs="Palatino Linotype"/>
          <w:sz w:val="24"/>
          <w:szCs w:val="24"/>
        </w:rPr>
        <w:t xml:space="preserve">, y los artículos 143 y 116 de la Ley Estatal y de la Ley General, los supuestos para que la información pueda ser clasificada como </w:t>
      </w:r>
      <w:r>
        <w:rPr>
          <w:rFonts w:ascii="Palatino Linotype" w:eastAsia="Palatino Linotype" w:hAnsi="Palatino Linotype" w:cs="Palatino Linotype"/>
          <w:b/>
          <w:sz w:val="24"/>
          <w:szCs w:val="24"/>
        </w:rPr>
        <w:t xml:space="preserve">confidencial. </w:t>
      </w:r>
    </w:p>
    <w:p w14:paraId="441DC8A6"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45A75A20"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En el mismo sentido, el artículo 105 de la Ley General y el artículo 130 de la Ley Estatal, establece medularmente que </w:t>
      </w:r>
      <w:r>
        <w:rPr>
          <w:rFonts w:ascii="Palatino Linotype" w:eastAsia="Palatino Linotype" w:hAnsi="Palatino Linotype" w:cs="Palatino Linotype"/>
          <w:b/>
          <w:sz w:val="24"/>
          <w:szCs w:val="24"/>
        </w:rPr>
        <w:t xml:space="preserve">los sujetos obligados deberán aplicar, de manera restrictiva y limitada los supuestos de clasificación, debiendo acreditarse que se cumple con dicha condición y no se pueden ampliar las excepciones o supuestos de clasificación aduciendo analogía o mayoría de razón. </w:t>
      </w:r>
    </w:p>
    <w:p w14:paraId="403964F4"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74E2AA9F"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Como consecuencia de lo anterior,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 identificar claramente el tipo de información y hacer un juicio de subsunción o encaje, para acreditar que el supuesto de hecho corresponde estrictamente con la hipótesis jurídica, esto también lo </w:t>
      </w:r>
      <w:r>
        <w:rPr>
          <w:rFonts w:ascii="Palatino Linotype" w:eastAsia="Palatino Linotype" w:hAnsi="Palatino Linotype" w:cs="Palatino Linotype"/>
          <w:sz w:val="24"/>
          <w:szCs w:val="24"/>
        </w:rPr>
        <w:lastRenderedPageBreak/>
        <w:t xml:space="preserve">debe realizar el servidor público habilitado y el titular del área que administra la información. </w:t>
      </w:r>
    </w:p>
    <w:p w14:paraId="36B888A1"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605E4D7F"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Una vez realizado, se remite la información al Titular de la Unidad de Transparencia, con el acuerdo de clasificación correspondiente, para que sea sometido al conocimiento del Comité de Transparencia. </w:t>
      </w:r>
    </w:p>
    <w:p w14:paraId="1CCFE624"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6EBCC738" w14:textId="77777777" w:rsidR="000A6DEB" w:rsidRDefault="000A6DEB" w:rsidP="000A6DEB">
      <w:pPr>
        <w:keepNext/>
        <w:keepLines/>
        <w:pBdr>
          <w:top w:val="nil"/>
          <w:left w:val="nil"/>
          <w:bottom w:val="nil"/>
          <w:right w:val="nil"/>
          <w:between w:val="nil"/>
        </w:pBdr>
        <w:spacing w:line="360" w:lineRule="auto"/>
        <w:ind w:right="-451"/>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c) La intervención del Comité de Transparencia.</w:t>
      </w:r>
    </w:p>
    <w:p w14:paraId="5B33AEDF" w14:textId="77777777" w:rsidR="000A6DEB" w:rsidRDefault="000A6DEB" w:rsidP="000A6DEB">
      <w:pPr>
        <w:keepNext/>
        <w:keepLines/>
        <w:numPr>
          <w:ilvl w:val="0"/>
          <w:numId w:val="1"/>
        </w:numPr>
        <w:pBdr>
          <w:top w:val="nil"/>
          <w:left w:val="nil"/>
          <w:bottom w:val="nil"/>
          <w:right w:val="nil"/>
          <w:between w:val="nil"/>
        </w:pBdr>
        <w:spacing w:line="360" w:lineRule="auto"/>
        <w:ind w:right="-451"/>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Formalidades para emitir el acuerdo de clasificación.</w:t>
      </w:r>
    </w:p>
    <w:p w14:paraId="68C880D8"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 xml:space="preserve">El Comité de Transparencia, </w:t>
      </w:r>
      <w:r>
        <w:rPr>
          <w:rFonts w:ascii="Palatino Linotype" w:eastAsia="Palatino Linotype" w:hAnsi="Palatino Linotype" w:cs="Palatino Linotype"/>
          <w:color w:val="000000"/>
          <w:sz w:val="24"/>
          <w:szCs w:val="24"/>
        </w:rPr>
        <w:t xml:space="preserve">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 </w:t>
      </w:r>
    </w:p>
    <w:p w14:paraId="6F03C485"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7E970B4A" w14:textId="77777777" w:rsidR="000A6DEB" w:rsidRDefault="000A6DEB" w:rsidP="000A6DEB">
      <w:pPr>
        <w:numPr>
          <w:ilvl w:val="0"/>
          <w:numId w:val="6"/>
        </w:numP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Evidentemente, esta decisión implica una restricción a un derecho humano, por lo tanto, puede generar un agravio al particular y, en consecuencia, es necesario que el acto reúna con los requisitos elementales, entre ellos, que la autoridad que va a emitir el acto </w:t>
      </w:r>
      <w:r>
        <w:rPr>
          <w:rFonts w:ascii="Palatino Linotype" w:eastAsia="Palatino Linotype" w:hAnsi="Palatino Linotype" w:cs="Palatino Linotype"/>
          <w:color w:val="000000"/>
          <w:sz w:val="24"/>
          <w:szCs w:val="24"/>
        </w:rPr>
        <w:lastRenderedPageBreak/>
        <w:t>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3990229"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1FF47E24"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color w:val="000000"/>
          <w:sz w:val="24"/>
          <w:szCs w:val="24"/>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197FB1B" w14:textId="77777777" w:rsidR="000A6DEB" w:rsidRDefault="000A6DEB" w:rsidP="000A6DEB">
      <w:pPr>
        <w:pBdr>
          <w:top w:val="nil"/>
          <w:left w:val="nil"/>
          <w:bottom w:val="nil"/>
          <w:right w:val="nil"/>
          <w:between w:val="nil"/>
        </w:pBdr>
        <w:spacing w:line="360" w:lineRule="auto"/>
        <w:ind w:left="360" w:right="-451"/>
        <w:jc w:val="both"/>
        <w:rPr>
          <w:rFonts w:ascii="Palatino Linotype" w:eastAsia="Palatino Linotype" w:hAnsi="Palatino Linotype" w:cs="Palatino Linotype"/>
          <w:color w:val="000000"/>
          <w:sz w:val="24"/>
          <w:szCs w:val="24"/>
        </w:rPr>
      </w:pPr>
    </w:p>
    <w:p w14:paraId="3E88EDFC" w14:textId="77777777" w:rsidR="000A6DEB" w:rsidRDefault="000A6DEB" w:rsidP="000A6DEB">
      <w:pPr>
        <w:keepNext/>
        <w:keepLines/>
        <w:numPr>
          <w:ilvl w:val="0"/>
          <w:numId w:val="1"/>
        </w:numPr>
        <w:pBdr>
          <w:top w:val="nil"/>
          <w:left w:val="nil"/>
          <w:bottom w:val="nil"/>
          <w:right w:val="nil"/>
          <w:between w:val="nil"/>
        </w:pBdr>
        <w:spacing w:line="360" w:lineRule="auto"/>
        <w:ind w:right="-451"/>
        <w:rPr>
          <w:rFonts w:ascii="Palatino Linotype" w:eastAsia="Palatino Linotype" w:hAnsi="Palatino Linotype" w:cs="Palatino Linotype"/>
          <w:b/>
          <w:color w:val="000000"/>
          <w:sz w:val="24"/>
          <w:szCs w:val="24"/>
        </w:rPr>
      </w:pPr>
      <w:bookmarkStart w:id="12" w:name="_heading=h.26in1rg" w:colFirst="0" w:colLast="0"/>
      <w:bookmarkEnd w:id="12"/>
      <w:r>
        <w:rPr>
          <w:rFonts w:ascii="Palatino Linotype" w:eastAsia="Palatino Linotype" w:hAnsi="Palatino Linotype" w:cs="Palatino Linotype"/>
          <w:b/>
          <w:color w:val="000000"/>
          <w:sz w:val="24"/>
          <w:szCs w:val="24"/>
        </w:rPr>
        <w:t xml:space="preserve">Requisitos de fondo del acuerdo de clasificación. </w:t>
      </w:r>
    </w:p>
    <w:p w14:paraId="261EB8B6" w14:textId="77777777" w:rsidR="000A6DEB" w:rsidRDefault="000A6DEB" w:rsidP="000A6DEB">
      <w:pPr>
        <w:numPr>
          <w:ilvl w:val="0"/>
          <w:numId w:val="6"/>
        </w:numP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w:t>
      </w:r>
      <w:r>
        <w:rPr>
          <w:rFonts w:ascii="Palatino Linotype" w:eastAsia="Palatino Linotype" w:hAnsi="Palatino Linotype" w:cs="Palatino Linotype"/>
          <w:color w:val="000000"/>
          <w:sz w:val="24"/>
          <w:szCs w:val="24"/>
        </w:rPr>
        <w:lastRenderedPageBreak/>
        <w:t xml:space="preserve">acreditación. En los artículos 131 y 105 segundo párrafo de la Ley Estatal y de la Ley General respectivamente, y el lineamiento sexagésimo segundo de los Lineamientos </w:t>
      </w:r>
      <w:proofErr w:type="gramStart"/>
      <w:r>
        <w:rPr>
          <w:rFonts w:ascii="Palatino Linotype" w:eastAsia="Palatino Linotype" w:hAnsi="Palatino Linotype" w:cs="Palatino Linotype"/>
          <w:color w:val="000000"/>
          <w:sz w:val="24"/>
          <w:szCs w:val="24"/>
        </w:rPr>
        <w:t>Generales,  al</w:t>
      </w:r>
      <w:proofErr w:type="gramEnd"/>
      <w:r>
        <w:rPr>
          <w:rFonts w:ascii="Palatino Linotype" w:eastAsia="Palatino Linotype" w:hAnsi="Palatino Linotype" w:cs="Palatino Linotype"/>
          <w:color w:val="000000"/>
          <w:sz w:val="24"/>
          <w:szCs w:val="24"/>
        </w:rPr>
        <w:t xml:space="preserve"> señalar que la carga de la prueba, para justificar las restricciones, corresponde a los sujetos obligados, por lo que deberán fundar y motivar debidamente la clasificación. </w:t>
      </w:r>
    </w:p>
    <w:p w14:paraId="03A0ED18" w14:textId="77777777" w:rsidR="000A6DEB" w:rsidRDefault="000A6DEB" w:rsidP="000A6DEB">
      <w:pPr>
        <w:spacing w:line="360" w:lineRule="auto"/>
        <w:ind w:right="-451"/>
        <w:jc w:val="both"/>
        <w:rPr>
          <w:rFonts w:ascii="Palatino Linotype" w:eastAsia="Palatino Linotype" w:hAnsi="Palatino Linotype" w:cs="Palatino Linotype"/>
          <w:color w:val="000000"/>
          <w:sz w:val="24"/>
          <w:szCs w:val="24"/>
        </w:rPr>
      </w:pPr>
    </w:p>
    <w:p w14:paraId="4FB4766D" w14:textId="77777777" w:rsidR="000A6DEB" w:rsidRDefault="000A6DEB" w:rsidP="000A6DEB">
      <w:pPr>
        <w:numPr>
          <w:ilvl w:val="0"/>
          <w:numId w:val="6"/>
        </w:numPr>
        <w:spacing w:line="360" w:lineRule="auto"/>
        <w:ind w:left="0" w:right="-451" w:firstLine="0"/>
        <w:jc w:val="both"/>
        <w:rPr>
          <w:color w:val="000000"/>
        </w:rPr>
      </w:pPr>
      <w:r>
        <w:rPr>
          <w:rFonts w:ascii="Palatino Linotype" w:eastAsia="Palatino Linotype" w:hAnsi="Palatino Linotype" w:cs="Palatino Linotype"/>
          <w:color w:val="000000"/>
          <w:sz w:val="24"/>
          <w:szCs w:val="24"/>
        </w:rPr>
        <w:t xml:space="preserve">De lo anterior, se desprende que para una correcta clasificación total o parcial, esto es, determinar los datos que se suprimen en las versiones públicas, </w:t>
      </w:r>
      <w:r>
        <w:rPr>
          <w:rFonts w:ascii="Palatino Linotype" w:eastAsia="Palatino Linotype" w:hAnsi="Palatino Linotype" w:cs="Palatino Linotype"/>
          <w:b/>
          <w:color w:val="000000"/>
          <w:sz w:val="24"/>
          <w:szCs w:val="24"/>
        </w:rPr>
        <w:t>es necesario fundar y motivar</w:t>
      </w:r>
      <w:r>
        <w:rPr>
          <w:rFonts w:ascii="Palatino Linotype" w:eastAsia="Palatino Linotype" w:hAnsi="Palatino Linotype" w:cs="Palatino Linotype"/>
          <w:color w:val="000000"/>
          <w:sz w:val="24"/>
          <w:szCs w:val="24"/>
        </w:rPr>
        <w:t>, de manera correcta la clasificación; considerando que todo acto que la autoridad pronuncie en el ejercicio de sus atribuciones, debe expresar los fundamentos legales que le dieron origen y las razones por las que se deben aplicar al caso concreto, por lo que debe entenderse por fundamentación y motivación, lo siguiente:</w:t>
      </w:r>
    </w:p>
    <w:p w14:paraId="59302317" w14:textId="77777777" w:rsidR="000A6DEB" w:rsidRDefault="000A6DEB" w:rsidP="000A6DEB">
      <w:pPr>
        <w:spacing w:line="360" w:lineRule="auto"/>
        <w:ind w:right="-451"/>
        <w:jc w:val="both"/>
        <w:rPr>
          <w:rFonts w:ascii="Palatino Linotype" w:eastAsia="Palatino Linotype" w:hAnsi="Palatino Linotype" w:cs="Palatino Linotype"/>
          <w:color w:val="000000"/>
          <w:sz w:val="24"/>
          <w:szCs w:val="24"/>
        </w:rPr>
      </w:pPr>
    </w:p>
    <w:p w14:paraId="26BF0DFC" w14:textId="77777777" w:rsidR="000A6DEB" w:rsidRDefault="000A6DEB" w:rsidP="000A6DEB">
      <w:pPr>
        <w:spacing w:line="360" w:lineRule="auto"/>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FUNDAMENTACIÓN Y MOTIVACIÓN.</w:t>
      </w:r>
      <w:r>
        <w:rPr>
          <w:rFonts w:ascii="Palatino Linotype" w:eastAsia="Palatino Linotype" w:hAnsi="Palatino Linotype" w:cs="Palatino Linotype"/>
          <w:i/>
          <w:color w:val="000000"/>
          <w:sz w:val="24"/>
          <w:szCs w:val="24"/>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A885437" w14:textId="77777777" w:rsidR="000A6DEB" w:rsidRDefault="000A6DEB" w:rsidP="000A6DEB">
      <w:pPr>
        <w:spacing w:line="360" w:lineRule="auto"/>
        <w:ind w:right="257"/>
        <w:jc w:val="both"/>
        <w:rPr>
          <w:rFonts w:ascii="Palatino Linotype" w:eastAsia="Palatino Linotype" w:hAnsi="Palatino Linotype" w:cs="Palatino Linotype"/>
          <w:i/>
          <w:color w:val="000000"/>
          <w:sz w:val="24"/>
          <w:szCs w:val="24"/>
        </w:rPr>
      </w:pPr>
    </w:p>
    <w:p w14:paraId="2B138964" w14:textId="77777777" w:rsidR="000A6DEB" w:rsidRDefault="000A6DEB" w:rsidP="000A6DEB">
      <w:pPr>
        <w:spacing w:line="360" w:lineRule="auto"/>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SEGUNDO TRIBUNAL COLEGIADO DEL SEXTO CIRCUITO. Amparo directo 194/88. Bufete Industrial Construcciones, S.A. de C.V. 28 de junio de 1988. </w:t>
      </w:r>
      <w:r>
        <w:rPr>
          <w:rFonts w:ascii="Palatino Linotype" w:eastAsia="Palatino Linotype" w:hAnsi="Palatino Linotype" w:cs="Palatino Linotype"/>
          <w:i/>
          <w:color w:val="000000"/>
          <w:sz w:val="24"/>
          <w:szCs w:val="24"/>
        </w:rPr>
        <w:lastRenderedPageBreak/>
        <w:t xml:space="preserve">Unanimidad de votos. Ponente: Gustavo Calvillo Rangel. Secretario: Jorge Alberto González Álvarez. Revisión fiscal 103/88. Instituto Mexicano del Seguro Social. 18 de octubre de 1988. Unanimidad de votos. Ponente: Arnoldo Nájera Virgen. Secretario: Alejandro Esponda Rincón. Amparo en revisión 333/88. Adilia Romero. 26 de octubre de 1988. Unanimidad de votos. Ponente: Arnoldo Nájera Virgen. Secretario: Enrique Crispín Campos Ramírez. Amparo en revisión 597/95. Emilio Maurer Bretón. 15 de noviembre de 1995. Unanimidad de votos. Ponente: Clementina Ramírez Moguel Goyzueta. Secretario: Gonzalo Carrera Molina. Amparo directo 7/96. Pedro Vicente López Miro. 21 de febrero de 1996. Unanimidad de votos. Ponente: María Eugenia Estela Martínez Cardiel. Secretario: Enrique </w:t>
      </w:r>
      <w:proofErr w:type="spellStart"/>
      <w:r>
        <w:rPr>
          <w:rFonts w:ascii="Palatino Linotype" w:eastAsia="Palatino Linotype" w:hAnsi="Palatino Linotype" w:cs="Palatino Linotype"/>
          <w:i/>
          <w:color w:val="000000"/>
          <w:sz w:val="24"/>
          <w:szCs w:val="24"/>
        </w:rPr>
        <w:t>Baigts</w:t>
      </w:r>
      <w:proofErr w:type="spellEnd"/>
      <w:r>
        <w:rPr>
          <w:rFonts w:ascii="Palatino Linotype" w:eastAsia="Palatino Linotype" w:hAnsi="Palatino Linotype" w:cs="Palatino Linotype"/>
          <w:i/>
          <w:color w:val="000000"/>
          <w:sz w:val="24"/>
          <w:szCs w:val="24"/>
        </w:rPr>
        <w:t xml:space="preserve"> Muñoz.</w:t>
      </w:r>
    </w:p>
    <w:p w14:paraId="278A78C7" w14:textId="77777777" w:rsidR="000A6DEB" w:rsidRDefault="000A6DEB" w:rsidP="000A6DEB">
      <w:pPr>
        <w:spacing w:line="360" w:lineRule="auto"/>
        <w:ind w:left="567" w:right="-451"/>
        <w:jc w:val="both"/>
        <w:rPr>
          <w:rFonts w:ascii="Palatino Linotype" w:eastAsia="Palatino Linotype" w:hAnsi="Palatino Linotype" w:cs="Palatino Linotype"/>
          <w:color w:val="000000"/>
          <w:sz w:val="24"/>
          <w:szCs w:val="24"/>
        </w:rPr>
      </w:pPr>
    </w:p>
    <w:p w14:paraId="06482DA8" w14:textId="77777777" w:rsidR="000A6DEB" w:rsidRDefault="000A6DEB" w:rsidP="000A6DEB">
      <w:pPr>
        <w:numPr>
          <w:ilvl w:val="0"/>
          <w:numId w:val="6"/>
        </w:numPr>
        <w:shd w:val="clear" w:color="auto" w:fill="FFFFFF"/>
        <w:spacing w:line="360" w:lineRule="auto"/>
        <w:ind w:left="0" w:right="-451" w:firstLine="0"/>
        <w:jc w:val="both"/>
        <w:rPr>
          <w:color w:val="000000"/>
        </w:rPr>
      </w:pPr>
      <w:r>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A0C44D3" w14:textId="77777777" w:rsidR="000A6DEB" w:rsidRDefault="000A6DEB" w:rsidP="000A6DEB">
      <w:pPr>
        <w:shd w:val="clear" w:color="auto" w:fill="FFFFFF"/>
        <w:spacing w:line="360" w:lineRule="auto"/>
        <w:ind w:right="-451"/>
        <w:jc w:val="both"/>
        <w:rPr>
          <w:rFonts w:ascii="Palatino Linotype" w:eastAsia="Palatino Linotype" w:hAnsi="Palatino Linotype" w:cs="Palatino Linotype"/>
          <w:color w:val="000000"/>
          <w:sz w:val="24"/>
          <w:szCs w:val="24"/>
        </w:rPr>
      </w:pPr>
    </w:p>
    <w:p w14:paraId="63B90E5E" w14:textId="77777777" w:rsidR="000A6DEB" w:rsidRDefault="000A6DEB" w:rsidP="000A6DEB">
      <w:pPr>
        <w:numPr>
          <w:ilvl w:val="0"/>
          <w:numId w:val="6"/>
        </w:numPr>
        <w:shd w:val="clear" w:color="auto" w:fill="FFFFFF"/>
        <w:spacing w:line="360" w:lineRule="auto"/>
        <w:ind w:left="0" w:right="-451" w:firstLine="0"/>
        <w:jc w:val="both"/>
        <w:rPr>
          <w:color w:val="000000"/>
        </w:rPr>
      </w:pPr>
      <w:r>
        <w:rPr>
          <w:rFonts w:ascii="Palatino Linotype" w:eastAsia="Palatino Linotype" w:hAnsi="Palatino Linotype" w:cs="Palatino Linotype"/>
          <w:color w:val="000000"/>
          <w:sz w:val="24"/>
          <w:szCs w:val="24"/>
        </w:rPr>
        <w:t>En ese mismo sentido, el lineamiento trigésimo tercero fracción V de los Lineamientos Generales, precisa que para motivar la clasificación se deben acreditar las circunstancias de tiempo, modo y lugar.</w:t>
      </w:r>
    </w:p>
    <w:p w14:paraId="4D69236F" w14:textId="77777777" w:rsidR="000A6DEB" w:rsidRDefault="000A6DEB" w:rsidP="000A6DEB">
      <w:pPr>
        <w:spacing w:line="360" w:lineRule="auto"/>
        <w:ind w:right="-451"/>
        <w:jc w:val="both"/>
        <w:rPr>
          <w:rFonts w:ascii="Palatino Linotype" w:eastAsia="Palatino Linotype" w:hAnsi="Palatino Linotype" w:cs="Palatino Linotype"/>
          <w:sz w:val="24"/>
          <w:szCs w:val="24"/>
        </w:rPr>
      </w:pPr>
    </w:p>
    <w:p w14:paraId="558139C2"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lastRenderedPageBreak/>
        <w:t xml:space="preserve">Los elementos que brevemente se han señalado, deben integrar el proceso de clasificación total o parcial de la información, siendo que la falta de cualquiera de ellos puede provocar que el acto que limita o restringe el derecho de acceso a la información sea considerado </w:t>
      </w:r>
      <w:r>
        <w:rPr>
          <w:rFonts w:ascii="Palatino Linotype" w:eastAsia="Palatino Linotype" w:hAnsi="Palatino Linotype" w:cs="Palatino Linotype"/>
          <w:b/>
          <w:sz w:val="24"/>
          <w:szCs w:val="24"/>
        </w:rPr>
        <w:t xml:space="preserve">infundado y se proceda a ordenar la desclasificación de la información por el incumplimiento de las formalidades, es decir, por vicios de legalidad o a la reposición del acto. </w:t>
      </w:r>
    </w:p>
    <w:p w14:paraId="5991988C" w14:textId="77777777" w:rsidR="000A6DEB" w:rsidRDefault="000A6DEB" w:rsidP="000A6DEB">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4196213B"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Por lo anterior, si la información con la que se pueda responder a una solicitud de información, encuadra en algún supuesto de clasificación, se procederá a la misma, en términos de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incurrirán en responsabilidad.</w:t>
      </w:r>
    </w:p>
    <w:p w14:paraId="37859D44" w14:textId="77777777" w:rsidR="000A6DEB" w:rsidRDefault="000A6DEB" w:rsidP="000A6DEB">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1BEF0276" w14:textId="77777777" w:rsidR="000A6DEB" w:rsidRDefault="000A6DEB" w:rsidP="000A6DEB">
      <w:pPr>
        <w:numPr>
          <w:ilvl w:val="0"/>
          <w:numId w:val="6"/>
        </w:numPr>
        <w:spacing w:line="360" w:lineRule="auto"/>
        <w:ind w:left="0" w:right="-451" w:firstLine="0"/>
        <w:jc w:val="both"/>
      </w:pPr>
      <w:r>
        <w:rPr>
          <w:rFonts w:ascii="Palatino Linotype" w:eastAsia="Palatino Linotype" w:hAnsi="Palatino Linotype" w:cs="Palatino Linotype"/>
          <w:sz w:val="24"/>
          <w:szCs w:val="24"/>
        </w:rPr>
        <w:t>De lo anterior, se desprende que una clasificación de información debe estar sustentada y aprobada por el Comité de Transparencia, pues este resulta ser la máxima autoridad, dentro de la estructura de los Sujetos Obligados en materia de transparencia y protección de datos, pues de la normatividad que rige su actuar, se advierte la atribución de confirmar, modificar o revocar las determinaciones en materia de clasificación de información que propongan los servidores públicos habilitados.</w:t>
      </w:r>
    </w:p>
    <w:p w14:paraId="3B3E2AA8" w14:textId="77777777" w:rsidR="000A6DEB" w:rsidRDefault="000A6DEB" w:rsidP="000A6DEB">
      <w:pPr>
        <w:pBdr>
          <w:top w:val="nil"/>
          <w:left w:val="nil"/>
          <w:bottom w:val="nil"/>
          <w:right w:val="nil"/>
          <w:between w:val="nil"/>
        </w:pBdr>
        <w:ind w:left="720" w:right="-451"/>
        <w:rPr>
          <w:rFonts w:ascii="Palatino Linotype" w:eastAsia="Palatino Linotype" w:hAnsi="Palatino Linotype" w:cs="Palatino Linotype"/>
          <w:color w:val="000000"/>
          <w:sz w:val="24"/>
          <w:szCs w:val="24"/>
        </w:rPr>
      </w:pPr>
    </w:p>
    <w:p w14:paraId="5AF734F0" w14:textId="77777777" w:rsidR="000A6DEB" w:rsidRPr="000A6DEB" w:rsidRDefault="000A6DEB" w:rsidP="000A6DEB">
      <w:pPr>
        <w:numPr>
          <w:ilvl w:val="0"/>
          <w:numId w:val="6"/>
        </w:numPr>
        <w:spacing w:line="360" w:lineRule="auto"/>
        <w:ind w:left="0" w:right="-451" w:firstLine="0"/>
        <w:jc w:val="both"/>
      </w:pPr>
      <w:r w:rsidRPr="000A6DEB">
        <w:rPr>
          <w:rFonts w:ascii="Palatino Linotype" w:eastAsia="Palatino Linotype" w:hAnsi="Palatino Linotype" w:cs="Palatino Linotype"/>
          <w:sz w:val="24"/>
          <w:szCs w:val="24"/>
        </w:rPr>
        <w:lastRenderedPageBreak/>
        <w:t>La entrega de información testada sin el acuerdo del Comité de Transparencia, o bien, la no entrega de información por referir su clasificación total sin la entrega del acuerdo que soporta tal circunstancia, se vuelve una restricción ilegítima que vulnera el derecho de acceso a la información de los parti</w:t>
      </w:r>
      <w:r>
        <w:rPr>
          <w:rFonts w:ascii="Palatino Linotype" w:eastAsia="Palatino Linotype" w:hAnsi="Palatino Linotype" w:cs="Palatino Linotype"/>
          <w:sz w:val="24"/>
          <w:szCs w:val="24"/>
        </w:rPr>
        <w:t>culares.</w:t>
      </w:r>
    </w:p>
    <w:p w14:paraId="58B6C715" w14:textId="77777777" w:rsidR="000A6DEB" w:rsidRDefault="000A6DEB" w:rsidP="000A6DEB">
      <w:pPr>
        <w:pStyle w:val="Prrafodelista"/>
      </w:pPr>
    </w:p>
    <w:p w14:paraId="7700600B" w14:textId="77777777" w:rsidR="000A6DEB" w:rsidRPr="001926C7" w:rsidRDefault="000A6DEB" w:rsidP="000A6DEB">
      <w:pPr>
        <w:numPr>
          <w:ilvl w:val="0"/>
          <w:numId w:val="6"/>
        </w:numPr>
        <w:spacing w:line="360" w:lineRule="auto"/>
        <w:ind w:left="0" w:right="-451" w:firstLine="0"/>
        <w:jc w:val="both"/>
        <w:rPr>
          <w:rFonts w:ascii="Palatino Linotype" w:hAnsi="Palatino Linotype"/>
          <w:sz w:val="24"/>
        </w:rPr>
      </w:pPr>
      <w:r w:rsidRPr="001926C7">
        <w:rPr>
          <w:rFonts w:ascii="Palatino Linotype" w:hAnsi="Palatino Linotype"/>
          <w:sz w:val="24"/>
        </w:rPr>
        <w:t>En consecuencia, se REVOCA la respuesta emitida por el Ayuntamiento de Villa Guerrero y se ORDENA entregar el acuerdo emitido por el Comité de Transparencia mediante el cual se clasifique como información confidencial el pronunciamiento respecto a la existencia o no de la información requerida por el Recurrente en la solicitud de acceso a la información.</w:t>
      </w:r>
    </w:p>
    <w:p w14:paraId="64718A05" w14:textId="77777777" w:rsidR="000A6DEB" w:rsidRDefault="000A6DEB" w:rsidP="000A6DEB">
      <w:pPr>
        <w:spacing w:line="360" w:lineRule="auto"/>
        <w:ind w:right="-451"/>
        <w:jc w:val="both"/>
      </w:pPr>
    </w:p>
    <w:p w14:paraId="72C8BDC0" w14:textId="77777777" w:rsidR="000D54A7" w:rsidRDefault="000A6DEB">
      <w:pPr>
        <w:numPr>
          <w:ilvl w:val="0"/>
          <w:numId w:val="6"/>
        </w:numPr>
        <w:pBdr>
          <w:top w:val="nil"/>
          <w:left w:val="nil"/>
          <w:bottom w:val="nil"/>
          <w:right w:val="nil"/>
          <w:between w:val="nil"/>
        </w:pBdr>
        <w:spacing w:line="360" w:lineRule="auto"/>
        <w:ind w:left="0" w:right="-451"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1A246A16" w14:textId="77777777" w:rsidR="000D54A7" w:rsidRDefault="000A6DEB">
      <w:pPr>
        <w:pStyle w:val="Ttulo1"/>
        <w:ind w:right="-451"/>
        <w:jc w:val="center"/>
        <w:rPr>
          <w:rFonts w:ascii="Palatino Linotype" w:eastAsia="Palatino Linotype" w:hAnsi="Palatino Linotype" w:cs="Palatino Linotype"/>
          <w:b/>
          <w:color w:val="000000"/>
          <w:sz w:val="24"/>
          <w:szCs w:val="24"/>
        </w:rPr>
      </w:pPr>
      <w:bookmarkStart w:id="13" w:name="_heading=h.lnxbz9" w:colFirst="0" w:colLast="0"/>
      <w:bookmarkEnd w:id="13"/>
      <w:r>
        <w:rPr>
          <w:rFonts w:ascii="Palatino Linotype" w:eastAsia="Palatino Linotype" w:hAnsi="Palatino Linotype" w:cs="Palatino Linotype"/>
          <w:b/>
          <w:color w:val="000000"/>
          <w:sz w:val="24"/>
          <w:szCs w:val="24"/>
        </w:rPr>
        <w:t>R E S O L U T I V O S</w:t>
      </w:r>
    </w:p>
    <w:p w14:paraId="020680DF" w14:textId="77777777" w:rsidR="000D54A7" w:rsidRDefault="000D54A7">
      <w:pPr>
        <w:keepNext/>
        <w:keepLines/>
        <w:spacing w:line="360" w:lineRule="auto"/>
        <w:ind w:right="-451"/>
        <w:jc w:val="center"/>
        <w:rPr>
          <w:rFonts w:ascii="Palatino Linotype" w:eastAsia="Palatino Linotype" w:hAnsi="Palatino Linotype" w:cs="Palatino Linotype"/>
          <w:b/>
          <w:sz w:val="24"/>
          <w:szCs w:val="24"/>
        </w:rPr>
      </w:pPr>
    </w:p>
    <w:p w14:paraId="4E8AAB4D" w14:textId="77777777" w:rsidR="00D3114D" w:rsidRPr="001926C7" w:rsidRDefault="00D3114D" w:rsidP="00D3114D">
      <w:pPr>
        <w:spacing w:line="360" w:lineRule="auto"/>
        <w:jc w:val="both"/>
        <w:rPr>
          <w:rFonts w:ascii="Palatino Linotype" w:hAnsi="Palatino Linotype"/>
          <w:sz w:val="24"/>
          <w:szCs w:val="24"/>
        </w:rPr>
      </w:pPr>
      <w:r w:rsidRPr="001926C7">
        <w:rPr>
          <w:rFonts w:ascii="Palatino Linotype" w:hAnsi="Palatino Linotype" w:cs="Arial"/>
          <w:b/>
          <w:sz w:val="24"/>
          <w:szCs w:val="24"/>
        </w:rPr>
        <w:t xml:space="preserve">PRIMERO. </w:t>
      </w:r>
      <w:r w:rsidRPr="001926C7">
        <w:rPr>
          <w:rFonts w:ascii="Palatino Linotype" w:hAnsi="Palatino Linotype" w:cs="Arial"/>
          <w:sz w:val="24"/>
          <w:szCs w:val="24"/>
        </w:rPr>
        <w:t>Resultan fundadas las</w:t>
      </w:r>
      <w:r w:rsidRPr="001926C7">
        <w:rPr>
          <w:rFonts w:ascii="Palatino Linotype" w:hAnsi="Palatino Linotype" w:cs="Arial"/>
          <w:b/>
          <w:sz w:val="24"/>
          <w:szCs w:val="24"/>
        </w:rPr>
        <w:t xml:space="preserve"> </w:t>
      </w:r>
      <w:r w:rsidRPr="001926C7">
        <w:rPr>
          <w:rFonts w:ascii="Palatino Linotype" w:hAnsi="Palatino Linotype" w:cs="Arial"/>
          <w:sz w:val="24"/>
          <w:szCs w:val="24"/>
          <w:lang w:val="es-ES"/>
        </w:rPr>
        <w:t xml:space="preserve">razones o motivos de inconformidad hechos valer </w:t>
      </w:r>
      <w:r w:rsidRPr="001926C7">
        <w:rPr>
          <w:rFonts w:ascii="Palatino Linotype" w:eastAsia="Calibri" w:hAnsi="Palatino Linotype" w:cs="Arial"/>
          <w:sz w:val="24"/>
          <w:szCs w:val="24"/>
          <w:lang w:val="es-ES"/>
        </w:rPr>
        <w:t xml:space="preserve">en el recurso de revisión </w:t>
      </w:r>
      <w:r w:rsidRPr="001926C7">
        <w:rPr>
          <w:rFonts w:ascii="Palatino Linotype" w:eastAsia="Palatino Linotype" w:hAnsi="Palatino Linotype" w:cs="Palatino Linotype"/>
          <w:b/>
          <w:sz w:val="24"/>
          <w:szCs w:val="24"/>
        </w:rPr>
        <w:t>02743/INFOEM/IP/RR/2023</w:t>
      </w:r>
      <w:r w:rsidRPr="001926C7">
        <w:rPr>
          <w:rFonts w:ascii="Palatino Linotype" w:hAnsi="Palatino Linotype"/>
          <w:b/>
          <w:sz w:val="24"/>
          <w:szCs w:val="24"/>
        </w:rPr>
        <w:t xml:space="preserve"> </w:t>
      </w:r>
      <w:r w:rsidRPr="001926C7">
        <w:rPr>
          <w:rFonts w:ascii="Palatino Linotype" w:hAnsi="Palatino Linotype"/>
          <w:sz w:val="24"/>
          <w:szCs w:val="24"/>
        </w:rPr>
        <w:t>en términos del</w:t>
      </w:r>
      <w:r w:rsidRPr="001926C7">
        <w:rPr>
          <w:rFonts w:ascii="Palatino Linotype" w:hAnsi="Palatino Linotype"/>
          <w:b/>
          <w:bCs/>
          <w:sz w:val="24"/>
          <w:szCs w:val="24"/>
        </w:rPr>
        <w:t xml:space="preserve"> Considerando</w:t>
      </w:r>
      <w:r w:rsidRPr="001926C7">
        <w:rPr>
          <w:rFonts w:ascii="Palatino Linotype" w:hAnsi="Palatino Linotype"/>
          <w:sz w:val="24"/>
          <w:szCs w:val="24"/>
        </w:rPr>
        <w:t xml:space="preserve"> </w:t>
      </w:r>
      <w:r w:rsidRPr="001926C7">
        <w:rPr>
          <w:rFonts w:ascii="Palatino Linotype" w:hAnsi="Palatino Linotype"/>
          <w:b/>
          <w:sz w:val="24"/>
          <w:szCs w:val="24"/>
        </w:rPr>
        <w:t>CUARTO</w:t>
      </w:r>
      <w:r w:rsidRPr="001926C7">
        <w:rPr>
          <w:rFonts w:ascii="Palatino Linotype" w:hAnsi="Palatino Linotype"/>
          <w:sz w:val="24"/>
          <w:szCs w:val="24"/>
        </w:rPr>
        <w:t xml:space="preserve"> de la presente resolución.</w:t>
      </w:r>
    </w:p>
    <w:p w14:paraId="38DA7CF8" w14:textId="77777777" w:rsidR="00D3114D" w:rsidRPr="001926C7" w:rsidRDefault="00D3114D" w:rsidP="00D3114D">
      <w:pPr>
        <w:spacing w:line="360" w:lineRule="auto"/>
        <w:contextualSpacing/>
        <w:jc w:val="both"/>
        <w:rPr>
          <w:rFonts w:ascii="Palatino Linotype" w:eastAsia="Calibri" w:hAnsi="Palatino Linotype" w:cs="Arial"/>
          <w:b/>
          <w:bCs/>
          <w:sz w:val="24"/>
          <w:szCs w:val="24"/>
          <w:lang w:val="es-ES"/>
        </w:rPr>
      </w:pPr>
    </w:p>
    <w:p w14:paraId="30F91853" w14:textId="77777777" w:rsidR="00D3114D" w:rsidRPr="001926C7" w:rsidRDefault="00D3114D" w:rsidP="00D3114D">
      <w:pPr>
        <w:pStyle w:val="Sinespaciado"/>
        <w:spacing w:line="360" w:lineRule="auto"/>
        <w:ind w:left="0" w:right="0"/>
        <w:rPr>
          <w:rFonts w:ascii="Palatino Linotype" w:eastAsia="Calibri" w:hAnsi="Palatino Linotype" w:cs="Arial"/>
          <w:bCs/>
          <w:sz w:val="24"/>
          <w:lang w:val="es-ES"/>
        </w:rPr>
      </w:pPr>
      <w:r w:rsidRPr="001926C7">
        <w:rPr>
          <w:rFonts w:ascii="Palatino Linotype" w:eastAsia="Calibri" w:hAnsi="Palatino Linotype" w:cs="Arial"/>
          <w:b/>
          <w:bCs/>
          <w:sz w:val="24"/>
          <w:lang w:val="es-ES"/>
        </w:rPr>
        <w:t xml:space="preserve">SEGUNDO. </w:t>
      </w:r>
      <w:r w:rsidRPr="001926C7">
        <w:rPr>
          <w:rFonts w:ascii="Palatino Linotype" w:eastAsia="Calibri" w:hAnsi="Palatino Linotype" w:cs="Arial"/>
          <w:bCs/>
          <w:sz w:val="24"/>
          <w:lang w:val="es-ES"/>
        </w:rPr>
        <w:t xml:space="preserve">Se </w:t>
      </w:r>
      <w:r w:rsidRPr="001926C7">
        <w:rPr>
          <w:rFonts w:ascii="Palatino Linotype" w:eastAsia="Calibri" w:hAnsi="Palatino Linotype" w:cs="Arial"/>
          <w:b/>
          <w:bCs/>
          <w:sz w:val="24"/>
          <w:lang w:val="es-ES"/>
        </w:rPr>
        <w:t>REVOCA</w:t>
      </w:r>
      <w:r w:rsidRPr="001926C7">
        <w:rPr>
          <w:rFonts w:ascii="Palatino Linotype" w:eastAsia="Calibri" w:hAnsi="Palatino Linotype" w:cs="Arial"/>
          <w:bCs/>
          <w:sz w:val="24"/>
          <w:lang w:val="es-ES"/>
        </w:rPr>
        <w:t xml:space="preserve"> la respuesta y se </w:t>
      </w:r>
      <w:r w:rsidRPr="001926C7">
        <w:rPr>
          <w:rFonts w:ascii="Palatino Linotype" w:eastAsia="Calibri" w:hAnsi="Palatino Linotype" w:cs="Arial"/>
          <w:b/>
          <w:bCs/>
          <w:sz w:val="24"/>
          <w:lang w:val="es-ES"/>
        </w:rPr>
        <w:t xml:space="preserve">ORDENA </w:t>
      </w:r>
      <w:r w:rsidRPr="001926C7">
        <w:rPr>
          <w:rFonts w:ascii="Palatino Linotype" w:eastAsia="Calibri" w:hAnsi="Palatino Linotype" w:cs="Arial"/>
          <w:bCs/>
          <w:sz w:val="24"/>
          <w:lang w:val="es-ES"/>
        </w:rPr>
        <w:t xml:space="preserve">al </w:t>
      </w:r>
      <w:r w:rsidRPr="001926C7">
        <w:rPr>
          <w:rFonts w:ascii="Palatino Linotype" w:eastAsia="Calibri" w:hAnsi="Palatino Linotype" w:cs="Arial"/>
          <w:b/>
          <w:sz w:val="24"/>
        </w:rPr>
        <w:t>Ayuntamiento de Villa Guerrero</w:t>
      </w:r>
      <w:r w:rsidRPr="001926C7">
        <w:rPr>
          <w:rFonts w:ascii="Palatino Linotype" w:eastAsia="Calibri" w:hAnsi="Palatino Linotype" w:cs="Arial"/>
          <w:b/>
          <w:sz w:val="28"/>
        </w:rPr>
        <w:t xml:space="preserve"> </w:t>
      </w:r>
      <w:r w:rsidRPr="001926C7">
        <w:rPr>
          <w:rFonts w:ascii="Palatino Linotype" w:eastAsia="Calibri" w:hAnsi="Palatino Linotype" w:cs="Arial"/>
          <w:bCs/>
          <w:sz w:val="24"/>
          <w:lang w:val="es-ES"/>
        </w:rPr>
        <w:t>entregar, vía Sistema de Acceso a la Información Mexiquense (SAIMEX), la siguiente información:</w:t>
      </w:r>
    </w:p>
    <w:p w14:paraId="5F270703" w14:textId="77777777" w:rsidR="00D3114D" w:rsidRPr="001926C7" w:rsidRDefault="00D3114D" w:rsidP="00D3114D">
      <w:pPr>
        <w:pStyle w:val="Sinespaciado"/>
        <w:spacing w:line="360" w:lineRule="auto"/>
        <w:ind w:left="0" w:right="0"/>
        <w:rPr>
          <w:rFonts w:ascii="Palatino Linotype" w:eastAsia="Calibri" w:hAnsi="Palatino Linotype" w:cs="Arial"/>
          <w:bCs/>
          <w:sz w:val="24"/>
          <w:lang w:val="es-ES"/>
        </w:rPr>
      </w:pPr>
    </w:p>
    <w:p w14:paraId="7744D647" w14:textId="77777777" w:rsidR="00F05D65" w:rsidRPr="001926C7" w:rsidRDefault="00F05D65" w:rsidP="00E53053">
      <w:pPr>
        <w:pStyle w:val="Prrafodelista"/>
        <w:numPr>
          <w:ilvl w:val="0"/>
          <w:numId w:val="7"/>
        </w:numPr>
        <w:spacing w:line="360" w:lineRule="auto"/>
        <w:jc w:val="both"/>
        <w:rPr>
          <w:rFonts w:ascii="Palatino Linotype" w:hAnsi="Palatino Linotype" w:cs="Arial"/>
          <w:b/>
          <w:sz w:val="24"/>
          <w:lang w:val="es-ES"/>
        </w:rPr>
      </w:pPr>
      <w:r w:rsidRPr="001926C7">
        <w:rPr>
          <w:rFonts w:ascii="Palatino Linotype" w:hAnsi="Palatino Linotype" w:cs="Arial"/>
          <w:b/>
          <w:sz w:val="24"/>
          <w:lang w:val="es-ES"/>
        </w:rPr>
        <w:t xml:space="preserve">Acuerdo emitido por el Comité de Transparencia mediante el cual se clasifique como información confidencial el pronunciamiento respecto a la existencia o no respecto de la información requerida por el particular en la solicitud de acceso a la información pública </w:t>
      </w:r>
      <w:r w:rsidR="00E53053" w:rsidRPr="001926C7">
        <w:rPr>
          <w:rFonts w:ascii="Palatino Linotype" w:hAnsi="Palatino Linotype" w:cs="Arial"/>
          <w:b/>
          <w:sz w:val="24"/>
          <w:lang w:val="es-ES"/>
        </w:rPr>
        <w:t>00019/VIGUERRE/IP/2023.</w:t>
      </w:r>
    </w:p>
    <w:p w14:paraId="26DD59FB" w14:textId="77777777" w:rsidR="00E53053" w:rsidRPr="001926C7" w:rsidRDefault="00E53053" w:rsidP="00E53053">
      <w:pPr>
        <w:pStyle w:val="Prrafodelista"/>
        <w:spacing w:line="360" w:lineRule="auto"/>
        <w:jc w:val="both"/>
        <w:rPr>
          <w:rFonts w:ascii="Palatino Linotype" w:hAnsi="Palatino Linotype" w:cs="Arial"/>
          <w:b/>
          <w:sz w:val="24"/>
          <w:lang w:val="es-ES"/>
        </w:rPr>
      </w:pPr>
    </w:p>
    <w:p w14:paraId="14D1B326" w14:textId="77777777" w:rsidR="00D3114D" w:rsidRPr="001926C7" w:rsidRDefault="00D3114D" w:rsidP="00D3114D">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1926C7">
        <w:rPr>
          <w:rFonts w:ascii="Palatino Linotype" w:eastAsia="Palatino Linotype" w:hAnsi="Palatino Linotype" w:cs="Palatino Linotype"/>
          <w:b/>
          <w:sz w:val="24"/>
          <w:szCs w:val="24"/>
          <w:lang w:val="es-ES_tradnl"/>
        </w:rPr>
        <w:t xml:space="preserve">TERCERO. </w:t>
      </w:r>
      <w:r w:rsidRPr="001926C7">
        <w:rPr>
          <w:rFonts w:ascii="Palatino Linotype" w:hAnsi="Palatino Linotype" w:cs="Arial"/>
          <w:b/>
          <w:color w:val="222222"/>
          <w:sz w:val="24"/>
          <w:shd w:val="clear" w:color="auto" w:fill="FFFFFF"/>
        </w:rPr>
        <w:t>NOTIFÍQUESE</w:t>
      </w:r>
      <w:r w:rsidRPr="001926C7">
        <w:rPr>
          <w:rFonts w:ascii="Palatino Linotype" w:hAnsi="Palatino Linotype" w:cs="Arial"/>
          <w:color w:val="222222"/>
          <w:sz w:val="24"/>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w:t>
      </w:r>
      <w:r w:rsidRPr="001926C7">
        <w:rPr>
          <w:rFonts w:ascii="Palatino Linotype" w:hAnsi="Palatino Linotype" w:cs="Arial"/>
          <w:b/>
          <w:color w:val="222222"/>
          <w:sz w:val="24"/>
          <w:shd w:val="clear" w:color="auto" w:fill="FFFFFF"/>
        </w:rPr>
        <w:t>plazo de diez días hábiles</w:t>
      </w:r>
      <w:r w:rsidRPr="001926C7">
        <w:rPr>
          <w:rFonts w:ascii="Palatino Linotype" w:hAnsi="Palatino Linotype" w:cs="Arial"/>
          <w:color w:val="222222"/>
          <w:sz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D27ECA" w14:textId="77777777" w:rsidR="00D3114D" w:rsidRPr="001926C7" w:rsidRDefault="00D3114D" w:rsidP="00D3114D">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56D7E2" w14:textId="77777777" w:rsidR="00D3114D" w:rsidRPr="001926C7" w:rsidRDefault="00D3114D" w:rsidP="00D3114D">
      <w:pPr>
        <w:shd w:val="clear" w:color="auto" w:fill="FFFFFF"/>
        <w:tabs>
          <w:tab w:val="left" w:pos="284"/>
        </w:tabs>
        <w:spacing w:line="360" w:lineRule="auto"/>
        <w:jc w:val="both"/>
        <w:rPr>
          <w:rFonts w:ascii="Palatino Linotype" w:eastAsia="MS Mincho" w:hAnsi="Palatino Linotype"/>
          <w:sz w:val="24"/>
          <w:szCs w:val="24"/>
          <w:lang w:val="es-ES_tradnl"/>
        </w:rPr>
      </w:pPr>
      <w:r w:rsidRPr="001926C7">
        <w:rPr>
          <w:rFonts w:ascii="Palatino Linotype" w:hAnsi="Palatino Linotype" w:cs="Arial"/>
          <w:b/>
          <w:sz w:val="24"/>
          <w:szCs w:val="24"/>
          <w:lang w:val="es-ES_tradnl"/>
        </w:rPr>
        <w:t xml:space="preserve">CUARTO. </w:t>
      </w:r>
      <w:r w:rsidRPr="001926C7">
        <w:rPr>
          <w:rFonts w:ascii="Palatino Linotype" w:hAnsi="Palatino Linotype"/>
          <w:b/>
          <w:bCs/>
          <w:color w:val="222222"/>
          <w:sz w:val="24"/>
          <w:szCs w:val="24"/>
          <w:lang w:val="es-ES"/>
        </w:rPr>
        <w:t xml:space="preserve">Notifíquese </w:t>
      </w:r>
      <w:r w:rsidRPr="001926C7">
        <w:rPr>
          <w:rFonts w:ascii="Palatino Linotype" w:hAnsi="Palatino Linotype"/>
          <w:bCs/>
          <w:color w:val="222222"/>
          <w:sz w:val="24"/>
          <w:szCs w:val="24"/>
          <w:lang w:val="es-ES"/>
        </w:rPr>
        <w:t xml:space="preserve">al </w:t>
      </w:r>
      <w:r w:rsidRPr="001926C7">
        <w:rPr>
          <w:rFonts w:ascii="Palatino Linotype" w:hAnsi="Palatino Linotype"/>
          <w:b/>
          <w:bCs/>
          <w:color w:val="222222"/>
          <w:sz w:val="24"/>
          <w:szCs w:val="24"/>
          <w:lang w:val="es-ES"/>
        </w:rPr>
        <w:t>RECURRENTE</w:t>
      </w:r>
      <w:r w:rsidRPr="001926C7">
        <w:rPr>
          <w:rFonts w:ascii="Palatino Linotype" w:hAnsi="Palatino Linotype"/>
          <w:b/>
          <w:color w:val="222222"/>
          <w:sz w:val="24"/>
          <w:szCs w:val="24"/>
          <w:lang w:val="es-ES"/>
        </w:rPr>
        <w:t xml:space="preserve"> </w:t>
      </w:r>
      <w:r w:rsidRPr="001926C7">
        <w:rPr>
          <w:rFonts w:ascii="Palatino Linotype" w:eastAsiaTheme="minorEastAsia" w:hAnsi="Palatino Linotype"/>
          <w:sz w:val="24"/>
          <w:szCs w:val="24"/>
          <w:lang w:val="es-ES_tradnl"/>
        </w:rPr>
        <w:t>la presente resolución</w:t>
      </w:r>
      <w:r w:rsidRPr="001926C7">
        <w:rPr>
          <w:rFonts w:ascii="Palatino Linotype" w:eastAsia="MS Mincho" w:hAnsi="Palatino Linotype"/>
          <w:sz w:val="24"/>
          <w:szCs w:val="24"/>
          <w:lang w:val="es-ES_tradnl"/>
        </w:rPr>
        <w:t xml:space="preserve"> a través del Sistema de Acceso a la Información Mexiquense (SAIMEX).</w:t>
      </w:r>
    </w:p>
    <w:p w14:paraId="4FA4E466" w14:textId="77777777" w:rsidR="00D3114D" w:rsidRPr="001926C7" w:rsidRDefault="00D3114D" w:rsidP="00D3114D">
      <w:pPr>
        <w:shd w:val="clear" w:color="auto" w:fill="FFFFFF"/>
        <w:tabs>
          <w:tab w:val="left" w:pos="284"/>
        </w:tabs>
        <w:spacing w:line="360" w:lineRule="auto"/>
        <w:jc w:val="both"/>
        <w:rPr>
          <w:rFonts w:ascii="Palatino Linotype" w:eastAsia="MS Mincho" w:hAnsi="Palatino Linotype"/>
          <w:sz w:val="24"/>
          <w:szCs w:val="24"/>
          <w:lang w:val="es-ES_tradnl"/>
        </w:rPr>
      </w:pPr>
    </w:p>
    <w:p w14:paraId="03DAFB18" w14:textId="77777777" w:rsidR="00D3114D" w:rsidRPr="001926C7" w:rsidRDefault="00D3114D" w:rsidP="00D3114D">
      <w:pPr>
        <w:spacing w:line="360" w:lineRule="auto"/>
        <w:jc w:val="both"/>
        <w:rPr>
          <w:rFonts w:ascii="Palatino Linotype" w:eastAsia="Calibri" w:hAnsi="Palatino Linotype" w:cs="Arial"/>
          <w:bCs/>
          <w:sz w:val="24"/>
        </w:rPr>
      </w:pPr>
      <w:r w:rsidRPr="001926C7">
        <w:rPr>
          <w:rFonts w:ascii="Palatino Linotype" w:hAnsi="Palatino Linotype" w:cs="Arial"/>
          <w:b/>
          <w:sz w:val="24"/>
        </w:rPr>
        <w:lastRenderedPageBreak/>
        <w:t xml:space="preserve">QUINTO. </w:t>
      </w:r>
      <w:r w:rsidRPr="001926C7">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9E435E" w14:textId="77777777" w:rsidR="00BC4F1E" w:rsidRPr="001926C7" w:rsidRDefault="00BC4F1E" w:rsidP="00BC4F1E">
      <w:pPr>
        <w:shd w:val="clear" w:color="auto" w:fill="FFFFFF"/>
        <w:spacing w:line="360" w:lineRule="auto"/>
        <w:jc w:val="both"/>
        <w:rPr>
          <w:rFonts w:ascii="Palatino Linotype" w:eastAsia="Calibri" w:hAnsi="Palatino Linotype"/>
          <w:b/>
          <w:lang w:eastAsia="en-US"/>
        </w:rPr>
      </w:pPr>
    </w:p>
    <w:p w14:paraId="5374FF13" w14:textId="13ACC214" w:rsidR="00BC4F1E" w:rsidRPr="001926C7" w:rsidRDefault="00BC4F1E" w:rsidP="00BC4F1E">
      <w:pPr>
        <w:shd w:val="clear" w:color="auto" w:fill="FFFFFF"/>
        <w:spacing w:line="360" w:lineRule="auto"/>
        <w:jc w:val="both"/>
        <w:rPr>
          <w:rFonts w:ascii="Palatino Linotype" w:eastAsia="Calibri" w:hAnsi="Palatino Linotype"/>
          <w:sz w:val="24"/>
          <w:szCs w:val="24"/>
          <w:lang w:eastAsia="en-US"/>
        </w:rPr>
      </w:pPr>
      <w:r w:rsidRPr="001926C7">
        <w:rPr>
          <w:rFonts w:ascii="Palatino Linotype" w:eastAsia="Calibri" w:hAnsi="Palatino Linotype"/>
          <w:b/>
          <w:sz w:val="24"/>
          <w:szCs w:val="24"/>
          <w:lang w:eastAsia="en-US"/>
        </w:rPr>
        <w:t xml:space="preserve">SEXTO. </w:t>
      </w:r>
      <w:r w:rsidRPr="001926C7">
        <w:rPr>
          <w:rFonts w:ascii="Palatino Linotype" w:eastAsia="Calibri" w:hAnsi="Palatino Linotype"/>
          <w:sz w:val="24"/>
          <w:szCs w:val="24"/>
          <w:lang w:eastAsia="en-US"/>
        </w:rPr>
        <w:t>Se hace del conocimiento del</w:t>
      </w:r>
      <w:r w:rsidRPr="001926C7">
        <w:rPr>
          <w:rFonts w:ascii="Palatino Linotype" w:eastAsia="Calibri" w:hAnsi="Palatino Linotype"/>
          <w:b/>
          <w:sz w:val="24"/>
          <w:szCs w:val="24"/>
          <w:lang w:eastAsia="en-US"/>
        </w:rPr>
        <w:t xml:space="preserve"> Recurrente </w:t>
      </w:r>
      <w:r w:rsidRPr="001926C7">
        <w:rPr>
          <w:rFonts w:ascii="Palatino Linotype" w:eastAsia="Calibri" w:hAnsi="Palatino Linotype"/>
          <w:sz w:val="24"/>
          <w:szCs w:val="24"/>
          <w:lang w:eastAsia="en-US"/>
        </w:rPr>
        <w:t>que, de conformidad con lo establecido en el artículo 196 de la Ley de Transparencia y Acceso a la Información Pública del Estado de México y Municipios, en caso de que considere que la resolución le cause algún perjuicio podrá impugnarla vía recurso de inconformidad ante el Instituto Nacional de Transparencia, Acceso a la Información y Protección de Datos Personales o, vía juicio de amparo en los términos de las leyes aplicables.</w:t>
      </w:r>
    </w:p>
    <w:p w14:paraId="54F58FC3" w14:textId="77777777" w:rsidR="00E7141D" w:rsidRPr="001926C7" w:rsidRDefault="00E7141D" w:rsidP="00BC4F1E">
      <w:pPr>
        <w:shd w:val="clear" w:color="auto" w:fill="FFFFFF"/>
        <w:spacing w:line="360" w:lineRule="auto"/>
        <w:jc w:val="both"/>
        <w:rPr>
          <w:rFonts w:ascii="Palatino Linotype" w:eastAsia="Calibri" w:hAnsi="Palatino Linotype"/>
          <w:sz w:val="24"/>
          <w:szCs w:val="24"/>
          <w:lang w:eastAsia="en-US"/>
        </w:rPr>
      </w:pPr>
    </w:p>
    <w:p w14:paraId="3B9EC4ED" w14:textId="77777777" w:rsidR="00E7141D" w:rsidRPr="00E7141D" w:rsidRDefault="00E7141D" w:rsidP="00E7141D">
      <w:pPr>
        <w:spacing w:line="360" w:lineRule="auto"/>
        <w:ind w:firstLine="1"/>
        <w:jc w:val="both"/>
        <w:rPr>
          <w:rFonts w:ascii="Palatino Linotype" w:hAnsi="Palatino Linotype"/>
          <w:sz w:val="24"/>
        </w:rPr>
      </w:pPr>
      <w:r w:rsidRPr="001926C7">
        <w:rPr>
          <w:rFonts w:ascii="Palatino Linotype" w:hAnsi="Palatino Linotype"/>
          <w:sz w:val="24"/>
        </w:rPr>
        <w:t>ASÍ LO RESUELVE, POR UNANIMIDAD DE VOTOS, EL</w:t>
      </w:r>
      <w:r w:rsidRPr="00E7141D">
        <w:rPr>
          <w:rFonts w:ascii="Palatino Linotype" w:hAnsi="Palatino Linotype"/>
          <w:sz w:val="24"/>
        </w:rPr>
        <w:t xml:space="preserve">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(14) DE AGOSTO DE DOS MIL VEINTICUATRO, ANTE EL SECRETARIO TÉCNICO DEL PLENO ALEXIS TAPIA RAMÍREZ. </w:t>
      </w:r>
    </w:p>
    <w:p w14:paraId="6DC7816D" w14:textId="77777777" w:rsidR="000D54A7" w:rsidRDefault="000D54A7">
      <w:pPr>
        <w:spacing w:before="240" w:after="240" w:line="360" w:lineRule="auto"/>
        <w:ind w:right="-451"/>
        <w:jc w:val="both"/>
        <w:rPr>
          <w:rFonts w:ascii="Palatino Linotype" w:eastAsia="Palatino Linotype" w:hAnsi="Palatino Linotype" w:cs="Palatino Linotype"/>
          <w:sz w:val="24"/>
          <w:szCs w:val="24"/>
        </w:rPr>
      </w:pPr>
    </w:p>
    <w:p w14:paraId="19BD3653"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0AD9CE38"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60C8F96F"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1915EEEB"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797B6DCE"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0F308022"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52B05B69"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52AFBAC9"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p w14:paraId="3A9DA396" w14:textId="77777777" w:rsidR="000D54A7" w:rsidRDefault="000D54A7">
      <w:pPr>
        <w:spacing w:before="240" w:after="360" w:line="360" w:lineRule="auto"/>
        <w:ind w:right="-451"/>
        <w:jc w:val="both"/>
        <w:rPr>
          <w:rFonts w:ascii="Palatino Linotype" w:eastAsia="Palatino Linotype" w:hAnsi="Palatino Linotype" w:cs="Palatino Linotype"/>
          <w:color w:val="222222"/>
          <w:sz w:val="24"/>
          <w:szCs w:val="24"/>
        </w:rPr>
      </w:pPr>
    </w:p>
    <w:sectPr w:rsidR="000D54A7">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92A0" w14:textId="77777777" w:rsidR="008356A0" w:rsidRDefault="008356A0">
      <w:r>
        <w:separator/>
      </w:r>
    </w:p>
  </w:endnote>
  <w:endnote w:type="continuationSeparator" w:id="0">
    <w:p w14:paraId="3A26D0C0" w14:textId="77777777" w:rsidR="008356A0" w:rsidRDefault="008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DEB4" w14:textId="77777777" w:rsidR="000A6DEB" w:rsidRDefault="000A6DEB">
    <w:pPr>
      <w:pBdr>
        <w:top w:val="nil"/>
        <w:left w:val="nil"/>
        <w:bottom w:val="nil"/>
        <w:right w:val="nil"/>
        <w:between w:val="nil"/>
      </w:pBdr>
      <w:tabs>
        <w:tab w:val="center" w:pos="4419"/>
        <w:tab w:val="right" w:pos="8838"/>
      </w:tabs>
      <w:jc w:val="right"/>
      <w:rPr>
        <w:color w:val="000000"/>
      </w:rPr>
    </w:pPr>
  </w:p>
  <w:p w14:paraId="568F76C2" w14:textId="1CFE70A7" w:rsidR="000A6DEB" w:rsidRDefault="000A6DE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926C7">
      <w:rPr>
        <w:b/>
        <w:noProof/>
        <w:color w:val="000000"/>
        <w:sz w:val="24"/>
        <w:szCs w:val="24"/>
      </w:rPr>
      <w:t>57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926C7">
      <w:rPr>
        <w:b/>
        <w:noProof/>
        <w:color w:val="000000"/>
        <w:sz w:val="24"/>
        <w:szCs w:val="24"/>
      </w:rPr>
      <w:t>58</w:t>
    </w:r>
    <w:r>
      <w:rPr>
        <w:b/>
        <w:color w:val="000000"/>
        <w:sz w:val="24"/>
        <w:szCs w:val="24"/>
      </w:rPr>
      <w:fldChar w:fldCharType="end"/>
    </w:r>
  </w:p>
  <w:p w14:paraId="58CBC25F" w14:textId="77777777" w:rsidR="000A6DEB" w:rsidRDefault="000A6DEB">
    <w:pPr>
      <w:pBdr>
        <w:top w:val="nil"/>
        <w:left w:val="nil"/>
        <w:bottom w:val="nil"/>
        <w:right w:val="nil"/>
        <w:between w:val="nil"/>
      </w:pBdr>
      <w:tabs>
        <w:tab w:val="center" w:pos="4419"/>
        <w:tab w:val="right" w:pos="8838"/>
      </w:tabs>
      <w:rPr>
        <w:color w:val="000000"/>
      </w:rPr>
    </w:pPr>
  </w:p>
  <w:p w14:paraId="1BECA4CF" w14:textId="77777777" w:rsidR="000A6DEB" w:rsidRDefault="000A6DEB"/>
  <w:p w14:paraId="607B5B0F" w14:textId="77777777" w:rsidR="000A6DEB" w:rsidRDefault="000A6DEB"/>
  <w:p w14:paraId="776141B0" w14:textId="77777777" w:rsidR="000A6DEB" w:rsidRDefault="000A6D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BE5A" w14:textId="6A1B5A78" w:rsidR="000A6DEB" w:rsidRDefault="000A6DE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926C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926C7">
      <w:rPr>
        <w:b/>
        <w:noProof/>
        <w:color w:val="000000"/>
        <w:sz w:val="24"/>
        <w:szCs w:val="24"/>
      </w:rPr>
      <w:t>58</w:t>
    </w:r>
    <w:r>
      <w:rPr>
        <w:b/>
        <w:color w:val="000000"/>
        <w:sz w:val="24"/>
        <w:szCs w:val="24"/>
      </w:rPr>
      <w:fldChar w:fldCharType="end"/>
    </w:r>
  </w:p>
  <w:p w14:paraId="3D444DC6" w14:textId="77777777" w:rsidR="000A6DEB" w:rsidRDefault="000A6DEB">
    <w:pPr>
      <w:pBdr>
        <w:top w:val="nil"/>
        <w:left w:val="nil"/>
        <w:bottom w:val="nil"/>
        <w:right w:val="nil"/>
        <w:between w:val="nil"/>
      </w:pBdr>
      <w:tabs>
        <w:tab w:val="center" w:pos="4419"/>
        <w:tab w:val="right" w:pos="8838"/>
      </w:tabs>
      <w:rPr>
        <w:color w:val="000000"/>
      </w:rPr>
    </w:pPr>
  </w:p>
  <w:p w14:paraId="00687EEC" w14:textId="77777777" w:rsidR="000A6DEB" w:rsidRDefault="000A6DEB"/>
  <w:p w14:paraId="43D9DCFB" w14:textId="77777777" w:rsidR="000A6DEB" w:rsidRDefault="000A6DEB"/>
  <w:p w14:paraId="17FF5A56" w14:textId="77777777" w:rsidR="000A6DEB" w:rsidRDefault="000A6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97CF" w14:textId="77777777" w:rsidR="008356A0" w:rsidRDefault="008356A0">
      <w:r>
        <w:separator/>
      </w:r>
    </w:p>
  </w:footnote>
  <w:footnote w:type="continuationSeparator" w:id="0">
    <w:p w14:paraId="5E076E5F" w14:textId="77777777" w:rsidR="008356A0" w:rsidRDefault="008356A0">
      <w:r>
        <w:continuationSeparator/>
      </w:r>
    </w:p>
  </w:footnote>
  <w:footnote w:id="1">
    <w:p w14:paraId="45A48FD2"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552E535D"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6D40FC16"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7113C802"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w:t>
      </w:r>
      <w:proofErr w:type="spellStart"/>
      <w:r>
        <w:rPr>
          <w:rFonts w:ascii="Calibri" w:eastAsia="Calibri" w:hAnsi="Calibri" w:cs="Calibri"/>
          <w:color w:val="000000"/>
        </w:rPr>
        <w:t>Parr</w:t>
      </w:r>
      <w:proofErr w:type="spellEnd"/>
      <w:r>
        <w:rPr>
          <w:rFonts w:ascii="Calibri" w:eastAsia="Calibri" w:hAnsi="Calibri" w:cs="Calibri"/>
          <w:color w:val="000000"/>
        </w:rPr>
        <w:t>. 87.</w:t>
      </w:r>
    </w:p>
  </w:footnote>
  <w:footnote w:id="5">
    <w:p w14:paraId="1EECE3D9"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00EDBDB3" w14:textId="77777777" w:rsidR="000A6DEB" w:rsidRDefault="000A6DE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3B93228B" w14:textId="77777777" w:rsidR="000A6DEB" w:rsidRDefault="000A6DE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14:paraId="16A0EFEA" w14:textId="77777777" w:rsidR="000A6DEB" w:rsidRDefault="000A6DE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Disponible para su consulta en </w:t>
      </w:r>
      <w:r>
        <w:rPr>
          <w:rFonts w:ascii="Palatino Linotype" w:eastAsia="Palatino Linotype" w:hAnsi="Palatino Linotype" w:cs="Palatino Linotype"/>
          <w:color w:val="000000"/>
          <w:sz w:val="24"/>
          <w:szCs w:val="24"/>
        </w:rPr>
        <w:t xml:space="preserve">(consultada en la liga </w:t>
      </w:r>
      <w:hyperlink r:id="rId1">
        <w:r>
          <w:rPr>
            <w:rFonts w:ascii="Palatino Linotype" w:eastAsia="Palatino Linotype" w:hAnsi="Palatino Linotype" w:cs="Palatino Linotype"/>
            <w:color w:val="0563C1"/>
            <w:sz w:val="24"/>
            <w:szCs w:val="24"/>
            <w:u w:val="single"/>
          </w:rPr>
          <w:t>https://www.infoem.org.mx/es/contenido/datospersonales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4765" w14:textId="77777777" w:rsidR="000A6DEB" w:rsidRDefault="008356A0">
    <w:pPr>
      <w:pBdr>
        <w:top w:val="nil"/>
        <w:left w:val="nil"/>
        <w:bottom w:val="nil"/>
        <w:right w:val="nil"/>
        <w:between w:val="nil"/>
      </w:pBdr>
      <w:tabs>
        <w:tab w:val="center" w:pos="4419"/>
        <w:tab w:val="right" w:pos="8838"/>
      </w:tabs>
      <w:rPr>
        <w:color w:val="000000"/>
      </w:rPr>
    </w:pPr>
    <w:r>
      <w:rPr>
        <w:color w:val="000000"/>
      </w:rPr>
      <w:pict w14:anchorId="6FB3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79E6C847" w14:textId="77777777" w:rsidR="000A6DEB" w:rsidRDefault="000A6DEB"/>
  <w:p w14:paraId="259E3CC9" w14:textId="77777777" w:rsidR="000A6DEB" w:rsidRDefault="000A6DEB"/>
  <w:p w14:paraId="428EC190" w14:textId="77777777" w:rsidR="000A6DEB" w:rsidRDefault="000A6D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66B" w14:textId="77777777" w:rsidR="000A6DEB" w:rsidRDefault="000A6DEB">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0A6DEB" w14:paraId="72EAE945" w14:textId="77777777">
      <w:trPr>
        <w:trHeight w:val="1435"/>
      </w:trPr>
      <w:tc>
        <w:tcPr>
          <w:tcW w:w="1843" w:type="dxa"/>
          <w:shd w:val="clear" w:color="auto" w:fill="auto"/>
        </w:tcPr>
        <w:p w14:paraId="2CF92B0D" w14:textId="77777777" w:rsidR="000A6DEB" w:rsidRDefault="000A6DEB">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6DF565F1" w14:textId="77777777" w:rsidR="000A6DEB" w:rsidRDefault="000A6DEB"/>
        <w:tbl>
          <w:tblPr>
            <w:tblStyle w:val="a0"/>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05"/>
            <w:gridCol w:w="3165"/>
          </w:tblGrid>
          <w:tr w:rsidR="000A6DEB" w14:paraId="4C0B696D" w14:textId="77777777">
            <w:trPr>
              <w:trHeight w:val="338"/>
            </w:trPr>
            <w:tc>
              <w:tcPr>
                <w:tcW w:w="2505" w:type="dxa"/>
              </w:tcPr>
              <w:p w14:paraId="7A54AEAE" w14:textId="77777777" w:rsidR="000A6DEB" w:rsidRDefault="000A6DEB">
                <w:pPr>
                  <w:tabs>
                    <w:tab w:val="right" w:pos="8838"/>
                  </w:tabs>
                  <w:ind w:right="-105"/>
                  <w:rPr>
                    <w:rFonts w:ascii="Palatino Linotype" w:eastAsia="Palatino Linotype" w:hAnsi="Palatino Linotype" w:cs="Palatino Linotype"/>
                    <w:b/>
                    <w:sz w:val="22"/>
                    <w:szCs w:val="22"/>
                  </w:rPr>
                </w:pPr>
              </w:p>
              <w:p w14:paraId="1DBE4B37" w14:textId="77777777" w:rsidR="000A6DEB" w:rsidRDefault="000A6DE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65" w:type="dxa"/>
              </w:tcPr>
              <w:p w14:paraId="28583627" w14:textId="77777777" w:rsidR="000A6DEB" w:rsidRDefault="000A6DEB">
                <w:pPr>
                  <w:tabs>
                    <w:tab w:val="right" w:pos="8838"/>
                  </w:tabs>
                  <w:ind w:right="-1290" w:hanging="101"/>
                  <w:rPr>
                    <w:rFonts w:ascii="Palatino Linotype" w:eastAsia="Palatino Linotype" w:hAnsi="Palatino Linotype" w:cs="Palatino Linotype"/>
                    <w:sz w:val="22"/>
                    <w:szCs w:val="22"/>
                  </w:rPr>
                </w:pPr>
              </w:p>
              <w:p w14:paraId="5B224058" w14:textId="77777777" w:rsidR="000A6DEB" w:rsidRDefault="000A6DEB">
                <w:pPr>
                  <w:tabs>
                    <w:tab w:val="right" w:pos="8838"/>
                  </w:tabs>
                  <w:ind w:right="-1290"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02743/INFOEM/IP/RR/2023</w:t>
                </w:r>
              </w:p>
            </w:tc>
          </w:tr>
          <w:tr w:rsidR="000A6DEB" w14:paraId="1D789A4A" w14:textId="77777777">
            <w:trPr>
              <w:trHeight w:val="283"/>
            </w:trPr>
            <w:tc>
              <w:tcPr>
                <w:tcW w:w="2505" w:type="dxa"/>
              </w:tcPr>
              <w:p w14:paraId="6CD8654B" w14:textId="77777777" w:rsidR="000A6DEB" w:rsidRDefault="000A6DEB">
                <w:pPr>
                  <w:tabs>
                    <w:tab w:val="right" w:pos="8838"/>
                  </w:tabs>
                  <w:ind w:right="-105"/>
                  <w:rPr>
                    <w:rFonts w:ascii="Palatino Linotype" w:eastAsia="Palatino Linotype" w:hAnsi="Palatino Linotype" w:cs="Palatino Linotype"/>
                    <w:b/>
                    <w:sz w:val="22"/>
                    <w:szCs w:val="22"/>
                  </w:rPr>
                </w:pPr>
                <w:bookmarkStart w:id="14" w:name="_heading=h.1ksv4uv" w:colFirst="0" w:colLast="0"/>
                <w:bookmarkEnd w:id="14"/>
                <w:r>
                  <w:rPr>
                    <w:rFonts w:ascii="Palatino Linotype" w:eastAsia="Palatino Linotype" w:hAnsi="Palatino Linotype" w:cs="Palatino Linotype"/>
                    <w:b/>
                    <w:sz w:val="22"/>
                    <w:szCs w:val="22"/>
                  </w:rPr>
                  <w:t>Sujeto Obligado:</w:t>
                </w:r>
              </w:p>
            </w:tc>
            <w:tc>
              <w:tcPr>
                <w:tcW w:w="3165" w:type="dxa"/>
              </w:tcPr>
              <w:p w14:paraId="44B2E143" w14:textId="77777777" w:rsidR="000A6DEB" w:rsidRDefault="000A6DEB">
                <w:pPr>
                  <w:tabs>
                    <w:tab w:val="left" w:pos="2834"/>
                    <w:tab w:val="right" w:pos="8838"/>
                  </w:tabs>
                  <w:ind w:left="-113" w:right="-12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Villa Guerrero</w:t>
                </w:r>
              </w:p>
            </w:tc>
          </w:tr>
          <w:tr w:rsidR="000A6DEB" w14:paraId="78F17ED7" w14:textId="77777777">
            <w:trPr>
              <w:trHeight w:val="283"/>
            </w:trPr>
            <w:tc>
              <w:tcPr>
                <w:tcW w:w="2505" w:type="dxa"/>
              </w:tcPr>
              <w:p w14:paraId="36C3BF48" w14:textId="77777777" w:rsidR="000A6DEB" w:rsidRDefault="000A6DE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65" w:type="dxa"/>
              </w:tcPr>
              <w:p w14:paraId="0E8E020E" w14:textId="77777777" w:rsidR="000A6DEB" w:rsidRDefault="000A6DEB">
                <w:pPr>
                  <w:tabs>
                    <w:tab w:val="right" w:pos="8838"/>
                  </w:tabs>
                  <w:ind w:left="-113" w:right="-1290"/>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639C014E" w14:textId="77777777" w:rsidR="000A6DEB" w:rsidRDefault="000A6DEB">
          <w:pPr>
            <w:tabs>
              <w:tab w:val="right" w:pos="8838"/>
            </w:tabs>
            <w:ind w:left="-28"/>
            <w:jc w:val="both"/>
            <w:rPr>
              <w:rFonts w:ascii="Arial" w:eastAsia="Arial" w:hAnsi="Arial" w:cs="Arial"/>
              <w:b/>
              <w:sz w:val="22"/>
              <w:szCs w:val="22"/>
            </w:rPr>
          </w:pPr>
        </w:p>
      </w:tc>
    </w:tr>
  </w:tbl>
  <w:p w14:paraId="3903F766" w14:textId="77777777" w:rsidR="000A6DEB" w:rsidRDefault="008356A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4C62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6836DD4B" w14:textId="77777777" w:rsidR="000A6DEB" w:rsidRDefault="000A6DEB"/>
  <w:p w14:paraId="1BD46CE6" w14:textId="77777777" w:rsidR="000A6DEB" w:rsidRDefault="000A6DEB"/>
  <w:p w14:paraId="3F62878D" w14:textId="77777777" w:rsidR="000A6DEB" w:rsidRDefault="000A6D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09FC" w14:textId="77777777" w:rsidR="000A6DEB" w:rsidRDefault="000A6DEB">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0A6DEB" w14:paraId="6D8F274F" w14:textId="77777777">
      <w:trPr>
        <w:trHeight w:val="1435"/>
      </w:trPr>
      <w:tc>
        <w:tcPr>
          <w:tcW w:w="1560" w:type="dxa"/>
          <w:shd w:val="clear" w:color="auto" w:fill="auto"/>
        </w:tcPr>
        <w:p w14:paraId="1D9BE9A8" w14:textId="77777777" w:rsidR="000A6DEB" w:rsidRDefault="000A6DEB">
          <w:pPr>
            <w:tabs>
              <w:tab w:val="right" w:pos="4273"/>
            </w:tabs>
            <w:rPr>
              <w:rFonts w:ascii="Garamond" w:eastAsia="Garamond" w:hAnsi="Garamond" w:cs="Garamond"/>
              <w:sz w:val="22"/>
              <w:szCs w:val="22"/>
            </w:rPr>
          </w:pPr>
        </w:p>
      </w:tc>
      <w:tc>
        <w:tcPr>
          <w:tcW w:w="7938" w:type="dxa"/>
          <w:shd w:val="clear" w:color="auto" w:fill="auto"/>
        </w:tcPr>
        <w:p w14:paraId="015F9519" w14:textId="77777777" w:rsidR="000A6DEB" w:rsidRDefault="000A6DE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85"/>
            <w:gridCol w:w="2310"/>
          </w:tblGrid>
          <w:tr w:rsidR="000A6DEB" w14:paraId="33AE64CC" w14:textId="77777777">
            <w:trPr>
              <w:trHeight w:val="144"/>
            </w:trPr>
            <w:tc>
              <w:tcPr>
                <w:tcW w:w="2445" w:type="dxa"/>
              </w:tcPr>
              <w:p w14:paraId="4AE78300" w14:textId="77777777" w:rsidR="000A6DEB" w:rsidRDefault="000A6DEB">
                <w:pPr>
                  <w:tabs>
                    <w:tab w:val="right" w:pos="8838"/>
                  </w:tabs>
                  <w:ind w:left="-74" w:right="-105"/>
                  <w:rPr>
                    <w:rFonts w:ascii="Palatino Linotype" w:eastAsia="Palatino Linotype" w:hAnsi="Palatino Linotype" w:cs="Palatino Linotype"/>
                    <w:b/>
                    <w:sz w:val="22"/>
                    <w:szCs w:val="22"/>
                  </w:rPr>
                </w:pPr>
                <w:bookmarkStart w:id="15" w:name="_heading=h.44sinio" w:colFirst="0" w:colLast="0"/>
                <w:bookmarkEnd w:id="15"/>
                <w:r>
                  <w:rPr>
                    <w:rFonts w:ascii="Palatino Linotype" w:eastAsia="Palatino Linotype" w:hAnsi="Palatino Linotype" w:cs="Palatino Linotype"/>
                    <w:b/>
                    <w:sz w:val="22"/>
                    <w:szCs w:val="22"/>
                  </w:rPr>
                  <w:t>Recurso de Revisión:</w:t>
                </w:r>
              </w:p>
            </w:tc>
            <w:tc>
              <w:tcPr>
                <w:tcW w:w="4185" w:type="dxa"/>
              </w:tcPr>
              <w:p w14:paraId="2E996334" w14:textId="77777777" w:rsidR="000A6DEB" w:rsidRDefault="000A6DEB">
                <w:pPr>
                  <w:tabs>
                    <w:tab w:val="right" w:pos="8838"/>
                  </w:tabs>
                  <w:ind w:left="-3" w:right="-115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02743/INFOEM/IP/RR/2023</w:t>
                </w:r>
                <w:r>
                  <w:rPr>
                    <w:rFonts w:ascii="Palatino Linotype" w:eastAsia="Palatino Linotype" w:hAnsi="Palatino Linotype" w:cs="Palatino Linotype"/>
                    <w:sz w:val="16"/>
                    <w:szCs w:val="16"/>
                  </w:rPr>
                  <w:t xml:space="preserve"> </w:t>
                </w:r>
              </w:p>
            </w:tc>
            <w:tc>
              <w:tcPr>
                <w:tcW w:w="2310" w:type="dxa"/>
              </w:tcPr>
              <w:p w14:paraId="4D7F9CC7" w14:textId="77777777" w:rsidR="000A6DEB" w:rsidRDefault="000A6DEB">
                <w:pPr>
                  <w:tabs>
                    <w:tab w:val="right" w:pos="8838"/>
                  </w:tabs>
                  <w:ind w:left="-74" w:right="-105"/>
                  <w:jc w:val="both"/>
                  <w:rPr>
                    <w:rFonts w:ascii="Palatino Linotype" w:eastAsia="Palatino Linotype" w:hAnsi="Palatino Linotype" w:cs="Palatino Linotype"/>
                    <w:sz w:val="22"/>
                    <w:szCs w:val="22"/>
                  </w:rPr>
                </w:pPr>
              </w:p>
            </w:tc>
          </w:tr>
          <w:tr w:rsidR="000A6DEB" w14:paraId="1C8E1DD2" w14:textId="77777777">
            <w:trPr>
              <w:trHeight w:val="144"/>
            </w:trPr>
            <w:tc>
              <w:tcPr>
                <w:tcW w:w="2445" w:type="dxa"/>
              </w:tcPr>
              <w:p w14:paraId="445DAC2B" w14:textId="77777777" w:rsidR="000A6DEB" w:rsidRDefault="000A6DEB">
                <w:pPr>
                  <w:tabs>
                    <w:tab w:val="right" w:pos="8838"/>
                  </w:tabs>
                  <w:ind w:left="-74" w:right="-105"/>
                  <w:rPr>
                    <w:rFonts w:ascii="Palatino Linotype" w:eastAsia="Palatino Linotype" w:hAnsi="Palatino Linotype" w:cs="Palatino Linotype"/>
                    <w:b/>
                    <w:sz w:val="22"/>
                    <w:szCs w:val="22"/>
                  </w:rPr>
                </w:pPr>
                <w:bookmarkStart w:id="16" w:name="_heading=h.2jxsxqh" w:colFirst="0" w:colLast="0"/>
                <w:bookmarkEnd w:id="16"/>
                <w:r>
                  <w:rPr>
                    <w:rFonts w:ascii="Palatino Linotype" w:eastAsia="Palatino Linotype" w:hAnsi="Palatino Linotype" w:cs="Palatino Linotype"/>
                    <w:b/>
                    <w:sz w:val="22"/>
                    <w:szCs w:val="22"/>
                  </w:rPr>
                  <w:t>Recurrente:</w:t>
                </w:r>
              </w:p>
            </w:tc>
            <w:tc>
              <w:tcPr>
                <w:tcW w:w="4185" w:type="dxa"/>
              </w:tcPr>
              <w:p w14:paraId="58A2C117" w14:textId="1801EB4D" w:rsidR="000A6DEB" w:rsidRDefault="0031507B">
                <w:pPr>
                  <w:tabs>
                    <w:tab w:val="left" w:pos="3122"/>
                    <w:tab w:val="right" w:pos="8838"/>
                  </w:tabs>
                  <w:ind w:right="-1155"/>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c>
              <w:tcPr>
                <w:tcW w:w="2310" w:type="dxa"/>
              </w:tcPr>
              <w:p w14:paraId="76D67687" w14:textId="77777777" w:rsidR="000A6DEB" w:rsidRDefault="000A6DEB">
                <w:pPr>
                  <w:tabs>
                    <w:tab w:val="left" w:pos="3122"/>
                    <w:tab w:val="right" w:pos="8838"/>
                  </w:tabs>
                  <w:ind w:right="-105"/>
                  <w:jc w:val="both"/>
                  <w:rPr>
                    <w:rFonts w:ascii="Palatino Linotype" w:eastAsia="Palatino Linotype" w:hAnsi="Palatino Linotype" w:cs="Palatino Linotype"/>
                    <w:sz w:val="22"/>
                    <w:szCs w:val="22"/>
                  </w:rPr>
                </w:pPr>
              </w:p>
            </w:tc>
          </w:tr>
          <w:tr w:rsidR="000A6DEB" w14:paraId="603295A4" w14:textId="77777777">
            <w:trPr>
              <w:trHeight w:val="283"/>
            </w:trPr>
            <w:tc>
              <w:tcPr>
                <w:tcW w:w="2445" w:type="dxa"/>
              </w:tcPr>
              <w:p w14:paraId="131AAFAC" w14:textId="77777777" w:rsidR="000A6DEB" w:rsidRDefault="000A6DE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85" w:type="dxa"/>
              </w:tcPr>
              <w:p w14:paraId="01D21DAC" w14:textId="77777777" w:rsidR="000A6DEB" w:rsidRDefault="000A6DEB">
                <w:pPr>
                  <w:tabs>
                    <w:tab w:val="left" w:pos="2834"/>
                    <w:tab w:val="right" w:pos="8838"/>
                  </w:tabs>
                  <w:ind w:left="-3" w:right="-115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Villa Guerrero</w:t>
                </w:r>
              </w:p>
            </w:tc>
            <w:tc>
              <w:tcPr>
                <w:tcW w:w="2310" w:type="dxa"/>
              </w:tcPr>
              <w:p w14:paraId="74C90E32" w14:textId="77777777" w:rsidR="000A6DEB" w:rsidRDefault="000A6DEB">
                <w:pPr>
                  <w:tabs>
                    <w:tab w:val="left" w:pos="2834"/>
                    <w:tab w:val="right" w:pos="8838"/>
                  </w:tabs>
                  <w:ind w:left="-74" w:right="-105"/>
                  <w:jc w:val="both"/>
                  <w:rPr>
                    <w:rFonts w:ascii="Palatino Linotype" w:eastAsia="Palatino Linotype" w:hAnsi="Palatino Linotype" w:cs="Palatino Linotype"/>
                    <w:sz w:val="22"/>
                    <w:szCs w:val="22"/>
                  </w:rPr>
                </w:pPr>
              </w:p>
            </w:tc>
          </w:tr>
          <w:tr w:rsidR="000A6DEB" w14:paraId="76900D29" w14:textId="77777777">
            <w:trPr>
              <w:trHeight w:val="283"/>
            </w:trPr>
            <w:tc>
              <w:tcPr>
                <w:tcW w:w="2445" w:type="dxa"/>
              </w:tcPr>
              <w:p w14:paraId="0FA3A0B4" w14:textId="77777777" w:rsidR="000A6DEB" w:rsidRDefault="000A6DE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85" w:type="dxa"/>
              </w:tcPr>
              <w:p w14:paraId="1358D0FE" w14:textId="77777777" w:rsidR="000A6DEB" w:rsidRDefault="000A6DEB">
                <w:pPr>
                  <w:tabs>
                    <w:tab w:val="right" w:pos="8838"/>
                  </w:tabs>
                  <w:ind w:left="-3" w:right="-115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10" w:type="dxa"/>
              </w:tcPr>
              <w:p w14:paraId="51564B35" w14:textId="77777777" w:rsidR="000A6DEB" w:rsidRDefault="000A6DEB">
                <w:pPr>
                  <w:tabs>
                    <w:tab w:val="right" w:pos="8838"/>
                  </w:tabs>
                  <w:ind w:left="-74" w:right="-105"/>
                  <w:jc w:val="both"/>
                  <w:rPr>
                    <w:rFonts w:ascii="Palatino Linotype" w:eastAsia="Palatino Linotype" w:hAnsi="Palatino Linotype" w:cs="Palatino Linotype"/>
                    <w:sz w:val="22"/>
                    <w:szCs w:val="22"/>
                  </w:rPr>
                </w:pPr>
              </w:p>
            </w:tc>
          </w:tr>
        </w:tbl>
        <w:p w14:paraId="0F55E717" w14:textId="77777777" w:rsidR="000A6DEB" w:rsidRDefault="000A6DEB">
          <w:pPr>
            <w:tabs>
              <w:tab w:val="right" w:pos="8838"/>
            </w:tabs>
            <w:ind w:left="-28"/>
            <w:jc w:val="both"/>
            <w:rPr>
              <w:rFonts w:ascii="Arial" w:eastAsia="Arial" w:hAnsi="Arial" w:cs="Arial"/>
              <w:b/>
              <w:sz w:val="22"/>
              <w:szCs w:val="22"/>
            </w:rPr>
          </w:pPr>
        </w:p>
      </w:tc>
    </w:tr>
  </w:tbl>
  <w:p w14:paraId="27E3E641" w14:textId="77777777" w:rsidR="000A6DEB" w:rsidRDefault="008356A0">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1FE23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6D051C75" w14:textId="77777777" w:rsidR="000A6DEB" w:rsidRDefault="000A6DEB"/>
  <w:p w14:paraId="7821B454" w14:textId="77777777" w:rsidR="000A6DEB" w:rsidRDefault="000A6D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C18"/>
    <w:multiLevelType w:val="multilevel"/>
    <w:tmpl w:val="E5FEC99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D3330"/>
    <w:multiLevelType w:val="multilevel"/>
    <w:tmpl w:val="EF4CE3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D093235"/>
    <w:multiLevelType w:val="multilevel"/>
    <w:tmpl w:val="C24A0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C25FD8"/>
    <w:multiLevelType w:val="multilevel"/>
    <w:tmpl w:val="5D724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22468C"/>
    <w:multiLevelType w:val="multilevel"/>
    <w:tmpl w:val="73FC1702"/>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87763F"/>
    <w:multiLevelType w:val="multilevel"/>
    <w:tmpl w:val="357A05B8"/>
    <w:lvl w:ilvl="0">
      <w:start w:val="1"/>
      <w:numFmt w:val="lowerRoman"/>
      <w:pStyle w:val="Listaconvietas2"/>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9652395">
    <w:abstractNumId w:val="7"/>
  </w:num>
  <w:num w:numId="2" w16cid:durableId="1260674815">
    <w:abstractNumId w:val="5"/>
  </w:num>
  <w:num w:numId="3" w16cid:durableId="1754207792">
    <w:abstractNumId w:val="0"/>
  </w:num>
  <w:num w:numId="4" w16cid:durableId="479813614">
    <w:abstractNumId w:val="3"/>
  </w:num>
  <w:num w:numId="5" w16cid:durableId="1861968033">
    <w:abstractNumId w:val="2"/>
  </w:num>
  <w:num w:numId="6" w16cid:durableId="252473828">
    <w:abstractNumId w:val="6"/>
  </w:num>
  <w:num w:numId="7" w16cid:durableId="463083046">
    <w:abstractNumId w:val="4"/>
  </w:num>
  <w:num w:numId="8" w16cid:durableId="158186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A7"/>
    <w:rsid w:val="000A6DEB"/>
    <w:rsid w:val="000D54A7"/>
    <w:rsid w:val="000F6566"/>
    <w:rsid w:val="001926C7"/>
    <w:rsid w:val="002F1F27"/>
    <w:rsid w:val="0031507B"/>
    <w:rsid w:val="004E62AE"/>
    <w:rsid w:val="005E0660"/>
    <w:rsid w:val="006D0CFD"/>
    <w:rsid w:val="00715EC2"/>
    <w:rsid w:val="008356A0"/>
    <w:rsid w:val="009356CD"/>
    <w:rsid w:val="00A75E8A"/>
    <w:rsid w:val="00BC4F1E"/>
    <w:rsid w:val="00D3114D"/>
    <w:rsid w:val="00E53053"/>
    <w:rsid w:val="00E7141D"/>
    <w:rsid w:val="00F05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BC73"/>
  <w15:docId w15:val="{37D299E6-BBF1-4D86-A3B0-4DDC25A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8214">
      <w:bodyDiv w:val="1"/>
      <w:marLeft w:val="0"/>
      <w:marRight w:val="0"/>
      <w:marTop w:val="0"/>
      <w:marBottom w:val="0"/>
      <w:divBdr>
        <w:top w:val="none" w:sz="0" w:space="0" w:color="auto"/>
        <w:left w:val="none" w:sz="0" w:space="0" w:color="auto"/>
        <w:bottom w:val="none" w:sz="0" w:space="0" w:color="auto"/>
        <w:right w:val="none" w:sz="0" w:space="0" w:color="auto"/>
      </w:divBdr>
    </w:div>
    <w:div w:id="173122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em.org.mx/es/contenido/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8WFnhv5kP8N2wkQk7x08euIbcQ==">CgMxLjAyCGguZ2pkZ3hzMgloLjMwajB6bGwyCWguMWZvYjl0ZTIJaC4zem55c2g3MgloLjJldDkycDAyCGgudHlqY3d0MgloLjNkeTZ2a20yCWguMXQzaDVzZjIJaC40ZDM0b2c4MgloLjJzOGV5bzEyCWguMTdkcDh2dTIJaC4zcmRjcmpuMgloLjI2aW4xcmcyCGgubG54Yno5MgloLjM1bmt1bjIyCWguMWtzdjR1djIJaC40NHNpbmlvMgloLjJqeHN4cWg4AHIhMWFCMV9CZEk2cTkwOXdxYlo4V05XYTBHbEg2Q1IwQU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58</Pages>
  <Words>12679</Words>
  <Characters>69740</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10</cp:revision>
  <cp:lastPrinted>2024-08-16T03:59:00Z</cp:lastPrinted>
  <dcterms:created xsi:type="dcterms:W3CDTF">2024-08-05T20:16:00Z</dcterms:created>
  <dcterms:modified xsi:type="dcterms:W3CDTF">2024-08-27T18:26:00Z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