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636" w14:textId="77777777" w:rsidR="00197C0D" w:rsidRDefault="00197C0D">
      <w:pPr>
        <w:widowControl w:val="0"/>
        <w:pBdr>
          <w:top w:val="nil"/>
          <w:left w:val="nil"/>
          <w:bottom w:val="nil"/>
          <w:right w:val="nil"/>
          <w:between w:val="nil"/>
        </w:pBdr>
        <w:spacing w:after="0" w:line="276" w:lineRule="auto"/>
      </w:pPr>
    </w:p>
    <w:p w14:paraId="217F4D52" w14:textId="77777777" w:rsidR="00197C0D" w:rsidRDefault="00557677">
      <w:pPr>
        <w:tabs>
          <w:tab w:val="left" w:pos="3465"/>
        </w:tabs>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w:t>
      </w:r>
      <w:r w:rsidR="00BA4CF9">
        <w:rPr>
          <w:rFonts w:ascii="Palatino Linotype" w:eastAsia="Palatino Linotype" w:hAnsi="Palatino Linotype" w:cs="Palatino Linotype"/>
        </w:rPr>
        <w:t>pec, Estado de México; de fecha</w:t>
      </w:r>
      <w:r>
        <w:rPr>
          <w:rFonts w:ascii="Palatino Linotype" w:eastAsia="Palatino Linotype" w:hAnsi="Palatino Linotype" w:cs="Palatino Linotype"/>
          <w:sz w:val="24"/>
          <w:szCs w:val="24"/>
        </w:rPr>
        <w:t xml:space="preserve"> veinticinco (25) de septiembre</w:t>
      </w:r>
      <w:r>
        <w:rPr>
          <w:rFonts w:ascii="Palatino Linotype" w:eastAsia="Palatino Linotype" w:hAnsi="Palatino Linotype" w:cs="Palatino Linotype"/>
        </w:rPr>
        <w:t xml:space="preserve"> de dos mil veinticuatro.</w:t>
      </w:r>
    </w:p>
    <w:p w14:paraId="2BC60541" w14:textId="77777777" w:rsidR="00197C0D" w:rsidRDefault="00197C0D">
      <w:pPr>
        <w:tabs>
          <w:tab w:val="left" w:pos="3465"/>
        </w:tabs>
        <w:spacing w:line="360" w:lineRule="auto"/>
        <w:jc w:val="both"/>
        <w:rPr>
          <w:rFonts w:ascii="Palatino Linotype" w:eastAsia="Palatino Linotype" w:hAnsi="Palatino Linotype" w:cs="Palatino Linotype"/>
        </w:rPr>
      </w:pPr>
    </w:p>
    <w:p w14:paraId="66C44682" w14:textId="58B8EFA7" w:rsidR="00197C0D" w:rsidRDefault="00557677">
      <w:pPr>
        <w:tabs>
          <w:tab w:val="left" w:pos="396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03398/INFOEM/IP/RR/2024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promovido por </w:t>
      </w:r>
      <w:r w:rsidR="00380500">
        <w:rPr>
          <w:rFonts w:ascii="Palatino Linotype" w:eastAsia="Palatino Linotype" w:hAnsi="Palatino Linotype" w:cs="Palatino Linotype"/>
          <w:b/>
        </w:rPr>
        <w:t xml:space="preserve">XXX </w:t>
      </w:r>
      <w:proofErr w:type="spellStart"/>
      <w:r w:rsidR="00380500">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sidRPr="00BA4CF9">
        <w:rPr>
          <w:rFonts w:ascii="Palatino Linotype" w:eastAsia="Palatino Linotype" w:hAnsi="Palatino Linotype" w:cs="Palatino Linotype"/>
          <w:b/>
        </w:rPr>
        <w:t>Ayuntamiento de Atizapán de Zaragoza</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12D1D666" w14:textId="77777777" w:rsidR="00197C0D" w:rsidRDefault="00197C0D">
      <w:pPr>
        <w:spacing w:line="360" w:lineRule="auto"/>
        <w:jc w:val="both"/>
        <w:rPr>
          <w:rFonts w:ascii="Palatino Linotype" w:eastAsia="Palatino Linotype" w:hAnsi="Palatino Linotype" w:cs="Palatino Linotype"/>
          <w:b/>
        </w:rPr>
      </w:pPr>
    </w:p>
    <w:p w14:paraId="171AD37C" w14:textId="77777777" w:rsidR="00197C0D" w:rsidRDefault="00557677">
      <w:pPr>
        <w:pStyle w:val="Ttulo1"/>
        <w:spacing w:before="0" w:line="360" w:lineRule="auto"/>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ANTECEDENTES</w:t>
      </w:r>
    </w:p>
    <w:p w14:paraId="7B2FFA02" w14:textId="77777777" w:rsidR="00197C0D" w:rsidRDefault="00197C0D"/>
    <w:p w14:paraId="7A97273E"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día </w:t>
      </w:r>
      <w:r>
        <w:rPr>
          <w:rFonts w:ascii="Palatino Linotype" w:eastAsia="Palatino Linotype" w:hAnsi="Palatino Linotype" w:cs="Palatino Linotype"/>
          <w:b/>
          <w:color w:val="000000"/>
          <w:sz w:val="24"/>
          <w:szCs w:val="24"/>
        </w:rPr>
        <w:t xml:space="preserve">siete de mayo de dos mil veinticuatro, </w:t>
      </w:r>
      <w:r>
        <w:rPr>
          <w:rFonts w:ascii="Palatino Linotype" w:eastAsia="Palatino Linotype" w:hAnsi="Palatino Linotype" w:cs="Palatino Linotype"/>
          <w:color w:val="000000"/>
          <w:sz w:val="24"/>
          <w:szCs w:val="24"/>
        </w:rPr>
        <w:t xml:space="preserve">se presentó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vía Sistema de Acceso a la Información Mexiquense (SAIMEX), la solicitud de información pública registrada con el número</w:t>
      </w:r>
      <w:r>
        <w:rPr>
          <w:rFonts w:ascii="Palatino Linotype" w:eastAsia="Palatino Linotype" w:hAnsi="Palatino Linotype" w:cs="Palatino Linotype"/>
          <w:b/>
          <w:color w:val="000000"/>
          <w:sz w:val="24"/>
          <w:szCs w:val="24"/>
        </w:rPr>
        <w:t xml:space="preserve"> 00253/ATIZARA/IP/2024; </w:t>
      </w:r>
      <w:r>
        <w:rPr>
          <w:rFonts w:ascii="Palatino Linotype" w:eastAsia="Palatino Linotype" w:hAnsi="Palatino Linotype" w:cs="Palatino Linotype"/>
          <w:color w:val="000000"/>
          <w:sz w:val="24"/>
          <w:szCs w:val="24"/>
        </w:rPr>
        <w:t>mediante la cual se solicitó la siguiente información:</w:t>
      </w:r>
    </w:p>
    <w:p w14:paraId="13C973EE"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271356C" w14:textId="77777777" w:rsidR="00197C0D" w:rsidRDefault="00557677">
      <w:pPr>
        <w:pBdr>
          <w:top w:val="nil"/>
          <w:left w:val="nil"/>
          <w:bottom w:val="nil"/>
          <w:right w:val="nil"/>
          <w:between w:val="nil"/>
        </w:pBdr>
        <w:spacing w:after="0" w:line="360" w:lineRule="auto"/>
        <w:ind w:left="426" w:right="47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 xml:space="preserve">“Solicitó los recibos de pago por la renta </w:t>
      </w:r>
      <w:proofErr w:type="spellStart"/>
      <w:r>
        <w:rPr>
          <w:rFonts w:ascii="Palatino Linotype" w:eastAsia="Palatino Linotype" w:hAnsi="Palatino Linotype" w:cs="Palatino Linotype"/>
          <w:i/>
          <w:color w:val="000000"/>
          <w:sz w:val="24"/>
          <w:szCs w:val="24"/>
        </w:rPr>
        <w:t>delCentro</w:t>
      </w:r>
      <w:proofErr w:type="spellEnd"/>
      <w:r>
        <w:rPr>
          <w:rFonts w:ascii="Palatino Linotype" w:eastAsia="Palatino Linotype" w:hAnsi="Palatino Linotype" w:cs="Palatino Linotype"/>
          <w:i/>
          <w:color w:val="000000"/>
          <w:sz w:val="24"/>
          <w:szCs w:val="24"/>
        </w:rPr>
        <w:t xml:space="preserve"> cultural Luis Nishizawa del mes de abril 2024 así como los oficios de petición de uso del mismo mes.”</w:t>
      </w:r>
    </w:p>
    <w:p w14:paraId="3C1B4069" w14:textId="77777777" w:rsidR="00197C0D" w:rsidRDefault="00197C0D">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14:paraId="7C82BD41" w14:textId="77777777" w:rsidR="00197C0D" w:rsidRDefault="00557677">
      <w:pPr>
        <w:numPr>
          <w:ilvl w:val="0"/>
          <w:numId w:val="5"/>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Se eligió como modalidad de entrega de la información: Vía SAIMEX</w:t>
      </w:r>
      <w:r>
        <w:rPr>
          <w:rFonts w:ascii="Palatino Linotype" w:eastAsia="Palatino Linotype" w:hAnsi="Palatino Linotype" w:cs="Palatino Linotype"/>
          <w:b/>
          <w:color w:val="000000"/>
          <w:sz w:val="24"/>
          <w:szCs w:val="24"/>
        </w:rPr>
        <w:t>.</w:t>
      </w:r>
    </w:p>
    <w:p w14:paraId="3EA360E6"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CC91BD1" w14:textId="77777777" w:rsidR="00197C0D" w:rsidRDefault="00557677">
      <w:pPr>
        <w:numPr>
          <w:ilvl w:val="0"/>
          <w:numId w:val="4"/>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En fecha nueve (09)de mayo de dos mil veinticuatro, se realizó un requerimiento al Servidor Público habilitado </w:t>
      </w:r>
    </w:p>
    <w:p w14:paraId="6A3CE69B" w14:textId="77777777" w:rsidR="00197C0D" w:rsidRDefault="00197C0D">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rPr>
      </w:pPr>
    </w:p>
    <w:p w14:paraId="3D67C5AA" w14:textId="77777777" w:rsidR="00197C0D" w:rsidRDefault="00557677">
      <w:pPr>
        <w:numPr>
          <w:ilvl w:val="0"/>
          <w:numId w:val="4"/>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sz w:val="24"/>
          <w:szCs w:val="24"/>
        </w:rPr>
        <w:t xml:space="preserve">En fecha veintiocho (28) de mayo de dos mil veinticuatro,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dio respuesta a la solicitud de información, en los siguientes términos:</w:t>
      </w:r>
    </w:p>
    <w:p w14:paraId="5116E02D" w14:textId="77777777" w:rsidR="00197C0D" w:rsidRDefault="00197C0D">
      <w:pPr>
        <w:tabs>
          <w:tab w:val="left" w:pos="0"/>
        </w:tabs>
        <w:spacing w:line="360" w:lineRule="auto"/>
        <w:ind w:right="49"/>
        <w:jc w:val="both"/>
        <w:rPr>
          <w:rFonts w:ascii="Palatino Linotype" w:eastAsia="Palatino Linotype" w:hAnsi="Palatino Linotype" w:cs="Palatino Linotype"/>
          <w:i/>
        </w:rPr>
      </w:pPr>
    </w:p>
    <w:p w14:paraId="75A2FAE2" w14:textId="77777777" w:rsidR="00197C0D" w:rsidRDefault="00557677">
      <w:pPr>
        <w:tabs>
          <w:tab w:val="left" w:pos="142"/>
        </w:tabs>
        <w:spacing w:line="360" w:lineRule="auto"/>
        <w:ind w:left="567" w:right="333"/>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7F9675" w14:textId="77777777" w:rsidR="00197C0D" w:rsidRDefault="00557677">
      <w:pPr>
        <w:tabs>
          <w:tab w:val="left" w:pos="142"/>
        </w:tabs>
        <w:spacing w:line="360" w:lineRule="auto"/>
        <w:ind w:left="567" w:right="333"/>
        <w:jc w:val="both"/>
        <w:rPr>
          <w:rFonts w:ascii="Palatino Linotype" w:eastAsia="Palatino Linotype" w:hAnsi="Palatino Linotype" w:cs="Palatino Linotype"/>
          <w:i/>
        </w:rPr>
      </w:pPr>
      <w:r>
        <w:rPr>
          <w:rFonts w:ascii="Palatino Linotype" w:eastAsia="Palatino Linotype" w:hAnsi="Palatino Linotype" w:cs="Palatino Linotype"/>
          <w:i/>
        </w:rPr>
        <w:t>SE ENVÍA RESPUESTA</w:t>
      </w:r>
    </w:p>
    <w:p w14:paraId="21BBBEC7" w14:textId="77777777" w:rsidR="00197C0D" w:rsidRDefault="00557677">
      <w:pPr>
        <w:tabs>
          <w:tab w:val="left" w:pos="142"/>
        </w:tabs>
        <w:spacing w:line="360" w:lineRule="auto"/>
        <w:ind w:left="567" w:right="333"/>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3A929B94" w14:textId="77777777" w:rsidR="00197C0D" w:rsidRDefault="00557677">
      <w:pPr>
        <w:tabs>
          <w:tab w:val="left" w:pos="142"/>
        </w:tabs>
        <w:spacing w:line="360" w:lineRule="auto"/>
        <w:ind w:left="567" w:right="333"/>
        <w:jc w:val="both"/>
        <w:rPr>
          <w:rFonts w:ascii="Palatino Linotype" w:eastAsia="Palatino Linotype" w:hAnsi="Palatino Linotype" w:cs="Palatino Linotype"/>
          <w:i/>
        </w:rPr>
      </w:pPr>
      <w:r>
        <w:rPr>
          <w:rFonts w:ascii="Palatino Linotype" w:eastAsia="Palatino Linotype" w:hAnsi="Palatino Linotype" w:cs="Palatino Linotype"/>
          <w:i/>
        </w:rPr>
        <w:t>LIC. SERGIO PÉREZ SUÁREZ</w:t>
      </w:r>
    </w:p>
    <w:p w14:paraId="25675AF4" w14:textId="77777777" w:rsidR="00197C0D" w:rsidRDefault="00557677">
      <w:pPr>
        <w:tabs>
          <w:tab w:val="left" w:pos="142"/>
        </w:tabs>
        <w:spacing w:line="360" w:lineRule="auto"/>
        <w:ind w:left="284"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su respuesta adjunto los siguientes archivos electrónicos:</w:t>
      </w:r>
    </w:p>
    <w:p w14:paraId="0919027C" w14:textId="77777777" w:rsidR="00197C0D" w:rsidRDefault="00557677">
      <w:pPr>
        <w:numPr>
          <w:ilvl w:val="0"/>
          <w:numId w:val="5"/>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SOLICITUD 253.pdf: </w:t>
      </w:r>
      <w:r>
        <w:rPr>
          <w:rFonts w:ascii="Palatino Linotype" w:eastAsia="Palatino Linotype" w:hAnsi="Palatino Linotype" w:cs="Palatino Linotype"/>
          <w:color w:val="000000"/>
        </w:rPr>
        <w:t xml:space="preserve">Contiene oficio suscrito por Secretario Técnico de la Presidencia Municipal, dirigido al Titular de la Unidad de Transparencia y Acceso a la Información Pública del Municipio de Atizapán de Zaragoza, por medio del cual le informa, </w:t>
      </w:r>
      <w:r>
        <w:rPr>
          <w:rFonts w:ascii="Palatino Linotype" w:eastAsia="Palatino Linotype" w:hAnsi="Palatino Linotype" w:cs="Palatino Linotype"/>
          <w:i/>
          <w:color w:val="000000"/>
        </w:rPr>
        <w:t xml:space="preserve">“…que adjunta en copia simple y en electrónico, el formato de orden de pago del mes de abril del 2024, así como el acuerdo </w:t>
      </w:r>
      <w:r>
        <w:rPr>
          <w:rFonts w:ascii="Palatino Linotype" w:eastAsia="Palatino Linotype" w:hAnsi="Palatino Linotype" w:cs="Palatino Linotype"/>
          <w:b/>
          <w:i/>
          <w:color w:val="000000"/>
        </w:rPr>
        <w:t>ACUERDO-01 CT/V-O/17-05-24</w:t>
      </w:r>
      <w:r>
        <w:rPr>
          <w:rFonts w:ascii="Palatino Linotype" w:eastAsia="Palatino Linotype" w:hAnsi="Palatino Linotype" w:cs="Palatino Linotype"/>
          <w:i/>
          <w:color w:val="000000"/>
        </w:rPr>
        <w:t>, Y por lo que hace a los oficios de petición de uso del mismo mes, se hace del conocimiento que no se generó información al respecto.”</w:t>
      </w:r>
    </w:p>
    <w:p w14:paraId="1F80F93C" w14:textId="77777777" w:rsidR="00197C0D" w:rsidRDefault="00197C0D">
      <w:pPr>
        <w:tabs>
          <w:tab w:val="left" w:pos="0"/>
        </w:tabs>
        <w:spacing w:line="360" w:lineRule="auto"/>
        <w:ind w:right="49"/>
        <w:jc w:val="both"/>
        <w:rPr>
          <w:rFonts w:ascii="Palatino Linotype" w:eastAsia="Palatino Linotype" w:hAnsi="Palatino Linotype" w:cs="Palatino Linotype"/>
          <w:b/>
        </w:rPr>
      </w:pPr>
    </w:p>
    <w:p w14:paraId="31E63064" w14:textId="77777777" w:rsidR="00197C0D" w:rsidRDefault="00557677">
      <w:pPr>
        <w:numPr>
          <w:ilvl w:val="0"/>
          <w:numId w:val="5"/>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ACUERDO.pdf: Contiene ACUERDO</w:t>
      </w:r>
      <w:r>
        <w:rPr>
          <w:rFonts w:ascii="Palatino Linotype" w:eastAsia="Palatino Linotype" w:hAnsi="Palatino Linotype" w:cs="Palatino Linotype"/>
          <w:b/>
          <w:i/>
          <w:color w:val="000000"/>
        </w:rPr>
        <w:t xml:space="preserve">-01 CT/V-O/17-05-24 EN EL QUE SE CONFIRMA EL ACUERDO DE CLASIFICACIÓN DE INFORMACIÓN EN SU MODALIDAD  DE CONFIDENCIAL RESPECTO DEL FORMATO DE ORDEN DE PAGO </w:t>
      </w:r>
    </w:p>
    <w:p w14:paraId="66DB2BA4"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b/>
          <w:color w:val="000000"/>
        </w:rPr>
      </w:pPr>
    </w:p>
    <w:p w14:paraId="01261F14" w14:textId="77777777" w:rsidR="00197C0D" w:rsidRDefault="00197C0D">
      <w:pPr>
        <w:pBdr>
          <w:top w:val="nil"/>
          <w:left w:val="nil"/>
          <w:bottom w:val="nil"/>
          <w:right w:val="nil"/>
          <w:between w:val="nil"/>
        </w:pBdr>
        <w:tabs>
          <w:tab w:val="left" w:pos="0"/>
        </w:tabs>
        <w:spacing w:after="0" w:line="360" w:lineRule="auto"/>
        <w:ind w:left="1724" w:right="49"/>
        <w:jc w:val="both"/>
        <w:rPr>
          <w:rFonts w:ascii="Palatino Linotype" w:eastAsia="Palatino Linotype" w:hAnsi="Palatino Linotype" w:cs="Palatino Linotype"/>
          <w:b/>
          <w:color w:val="000000"/>
        </w:rPr>
      </w:pPr>
    </w:p>
    <w:p w14:paraId="2E82F658" w14:textId="77777777" w:rsidR="00197C0D" w:rsidRDefault="00557677">
      <w:pPr>
        <w:numPr>
          <w:ilvl w:val="0"/>
          <w:numId w:val="5"/>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FORMATO DE ORDEN DE PAGO.pdf: </w:t>
      </w:r>
      <w:r>
        <w:rPr>
          <w:rFonts w:ascii="Palatino Linotype" w:eastAsia="Palatino Linotype" w:hAnsi="Palatino Linotype" w:cs="Palatino Linotype"/>
          <w:color w:val="000000"/>
        </w:rPr>
        <w:t xml:space="preserve">Contiene </w:t>
      </w:r>
      <w:r>
        <w:rPr>
          <w:rFonts w:ascii="Palatino Linotype" w:eastAsia="Palatino Linotype" w:hAnsi="Palatino Linotype" w:cs="Palatino Linotype"/>
          <w:b/>
          <w:color w:val="000000"/>
        </w:rPr>
        <w:t>FORMATO DE ORDEN DE PAGO de fecha 24/04/2024</w:t>
      </w:r>
    </w:p>
    <w:p w14:paraId="71314AA9" w14:textId="77777777" w:rsidR="00197C0D" w:rsidRDefault="00197C0D">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i/>
          <w:color w:val="000000"/>
        </w:rPr>
      </w:pPr>
    </w:p>
    <w:p w14:paraId="0B0A1FAF" w14:textId="77777777" w:rsidR="00197C0D" w:rsidRDefault="00557677">
      <w:pPr>
        <w:numPr>
          <w:ilvl w:val="0"/>
          <w:numId w:val="4"/>
        </w:numPr>
        <w:pBdr>
          <w:top w:val="nil"/>
          <w:left w:val="nil"/>
          <w:bottom w:val="nil"/>
          <w:right w:val="nil"/>
          <w:between w:val="nil"/>
        </w:pBdr>
        <w:tabs>
          <w:tab w:val="left" w:pos="0"/>
        </w:tabs>
        <w:spacing w:after="0" w:line="360" w:lineRule="auto"/>
        <w:ind w:left="0" w:right="49"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De la respuesta emitida por el </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 xml:space="preserve">en fecha </w:t>
      </w:r>
      <w:r>
        <w:rPr>
          <w:rFonts w:ascii="Palatino Linotype" w:eastAsia="Palatino Linotype" w:hAnsi="Palatino Linotype" w:cs="Palatino Linotype"/>
          <w:b/>
          <w:color w:val="000000"/>
          <w:sz w:val="24"/>
          <w:szCs w:val="24"/>
        </w:rPr>
        <w:t>treinta y uno (31) de mayo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de dos mil veinticuatro</w:t>
      </w:r>
      <w:r>
        <w:rPr>
          <w:rFonts w:ascii="Palatino Linotype" w:eastAsia="Palatino Linotype" w:hAnsi="Palatino Linotype" w:cs="Palatino Linotype"/>
          <w:color w:val="000000"/>
          <w:sz w:val="24"/>
          <w:szCs w:val="24"/>
        </w:rPr>
        <w:t>, el particular interpuso el recurso de revisión en contra de la respuesta, manifestando las siguientes razones o motivos de inconformidad:</w:t>
      </w:r>
    </w:p>
    <w:p w14:paraId="1E6E3632" w14:textId="77777777" w:rsidR="00197C0D" w:rsidRDefault="00197C0D">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14:paraId="0521E9CB" w14:textId="77777777" w:rsidR="00197C0D" w:rsidRDefault="00557677">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i/>
          <w:color w:val="000000"/>
          <w:sz w:val="26"/>
          <w:szCs w:val="26"/>
        </w:rPr>
      </w:pPr>
      <w:bookmarkStart w:id="2" w:name="_heading=h.1fob9te" w:colFirst="0" w:colLast="0"/>
      <w:bookmarkEnd w:id="2"/>
      <w:r>
        <w:rPr>
          <w:rFonts w:ascii="Palatino Linotype" w:eastAsia="Palatino Linotype" w:hAnsi="Palatino Linotype" w:cs="Palatino Linotype"/>
          <w:b/>
          <w:color w:val="000000"/>
          <w:sz w:val="26"/>
          <w:szCs w:val="26"/>
        </w:rPr>
        <w:t xml:space="preserve">Acto impugnado: </w:t>
      </w:r>
      <w:r>
        <w:rPr>
          <w:rFonts w:ascii="Palatino Linotype" w:eastAsia="Palatino Linotype" w:hAnsi="Palatino Linotype" w:cs="Palatino Linotype"/>
          <w:i/>
          <w:color w:val="000000"/>
          <w:sz w:val="26"/>
          <w:szCs w:val="26"/>
        </w:rPr>
        <w:t>“</w:t>
      </w:r>
      <w:r>
        <w:rPr>
          <w:rFonts w:ascii="Palatino Linotype" w:eastAsia="Palatino Linotype" w:hAnsi="Palatino Linotype" w:cs="Palatino Linotype"/>
          <w:i/>
          <w:color w:val="000000"/>
          <w:sz w:val="24"/>
          <w:szCs w:val="24"/>
        </w:rPr>
        <w:t>Respuesta</w:t>
      </w:r>
      <w:r>
        <w:rPr>
          <w:rFonts w:ascii="Palatino Linotype" w:eastAsia="Palatino Linotype" w:hAnsi="Palatino Linotype" w:cs="Palatino Linotype"/>
          <w:i/>
          <w:color w:val="000000"/>
          <w:sz w:val="26"/>
          <w:szCs w:val="26"/>
        </w:rPr>
        <w:t>”</w:t>
      </w:r>
    </w:p>
    <w:p w14:paraId="0112CB1F" w14:textId="77777777" w:rsidR="00197C0D" w:rsidRDefault="00197C0D">
      <w:pPr>
        <w:pBdr>
          <w:top w:val="nil"/>
          <w:left w:val="nil"/>
          <w:bottom w:val="nil"/>
          <w:right w:val="nil"/>
          <w:between w:val="nil"/>
        </w:pBdr>
        <w:spacing w:after="0" w:line="360" w:lineRule="auto"/>
        <w:ind w:left="1134"/>
        <w:jc w:val="both"/>
        <w:rPr>
          <w:rFonts w:ascii="Palatino Linotype" w:eastAsia="Palatino Linotype" w:hAnsi="Palatino Linotype" w:cs="Palatino Linotype"/>
          <w:i/>
          <w:color w:val="000000"/>
          <w:sz w:val="26"/>
          <w:szCs w:val="26"/>
        </w:rPr>
      </w:pPr>
    </w:p>
    <w:p w14:paraId="4907047B" w14:textId="77777777" w:rsidR="00197C0D" w:rsidRDefault="00557677" w:rsidP="00B36D10">
      <w:pPr>
        <w:numPr>
          <w:ilvl w:val="0"/>
          <w:numId w:val="5"/>
        </w:numPr>
        <w:pBdr>
          <w:top w:val="nil"/>
          <w:left w:val="nil"/>
          <w:bottom w:val="nil"/>
          <w:right w:val="nil"/>
          <w:between w:val="nil"/>
        </w:pBdr>
        <w:spacing w:after="0" w:line="360" w:lineRule="auto"/>
        <w:ind w:left="993"/>
        <w:jc w:val="both"/>
        <w:rPr>
          <w:rFonts w:ascii="Palatino Linotype" w:eastAsia="Palatino Linotype" w:hAnsi="Palatino Linotype" w:cs="Palatino Linotype"/>
          <w:i/>
          <w:color w:val="000000"/>
          <w:sz w:val="24"/>
          <w:szCs w:val="24"/>
        </w:rPr>
      </w:pPr>
      <w:bookmarkStart w:id="3" w:name="_heading=h.3znysh7" w:colFirst="0" w:colLast="0"/>
      <w:bookmarkEnd w:id="3"/>
      <w:r>
        <w:rPr>
          <w:rFonts w:ascii="Palatino Linotype" w:eastAsia="Palatino Linotype" w:hAnsi="Palatino Linotype" w:cs="Palatino Linotype"/>
          <w:b/>
          <w:color w:val="000000"/>
          <w:sz w:val="26"/>
          <w:szCs w:val="26"/>
        </w:rPr>
        <w:t>Razones o Motivos de inconformidad:</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i/>
          <w:color w:val="000000"/>
          <w:sz w:val="24"/>
          <w:szCs w:val="24"/>
        </w:rPr>
        <w:t xml:space="preserve">“Testar </w:t>
      </w:r>
      <w:proofErr w:type="spellStart"/>
      <w:r>
        <w:rPr>
          <w:rFonts w:ascii="Palatino Linotype" w:eastAsia="Palatino Linotype" w:hAnsi="Palatino Linotype" w:cs="Palatino Linotype"/>
          <w:i/>
          <w:color w:val="000000"/>
          <w:sz w:val="24"/>
          <w:szCs w:val="24"/>
        </w:rPr>
        <w:t>informacion</w:t>
      </w:r>
      <w:proofErr w:type="spellEnd"/>
      <w:r>
        <w:rPr>
          <w:rFonts w:ascii="Palatino Linotype" w:eastAsia="Palatino Linotype" w:hAnsi="Palatino Linotype" w:cs="Palatino Linotype"/>
          <w:i/>
          <w:color w:val="000000"/>
          <w:sz w:val="24"/>
          <w:szCs w:val="24"/>
        </w:rPr>
        <w:t xml:space="preserve"> qué es pública y mandan incompleto les falta información.”</w:t>
      </w:r>
    </w:p>
    <w:p w14:paraId="2D43C092"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i/>
          <w:color w:val="000000"/>
          <w:sz w:val="24"/>
          <w:szCs w:val="24"/>
        </w:rPr>
      </w:pPr>
    </w:p>
    <w:p w14:paraId="1B3F76D6"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tres de junio de dos mil veinticuatro,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w:t>
      </w:r>
      <w:r>
        <w:rPr>
          <w:rFonts w:ascii="Palatino Linotype" w:eastAsia="Palatino Linotype" w:hAnsi="Palatino Linotype" w:cs="Palatino Linotype"/>
          <w:color w:val="000000"/>
          <w:sz w:val="24"/>
          <w:szCs w:val="24"/>
        </w:rPr>
        <w:lastRenderedPageBreak/>
        <w:t xml:space="preserve">manifestaran lo que a su derecho conviniera, ofrecieran pruebas y alegatos según corresponda a los casos concretos, y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presentará el Informe Justificado procedente.</w:t>
      </w:r>
    </w:p>
    <w:p w14:paraId="6CBEA264"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14:paraId="6868CE70" w14:textId="77777777" w:rsidR="00197C0D" w:rsidRPr="006460B9"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 en fecha once de junio de dos mil veinticuatro,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sidRPr="006460B9">
        <w:rPr>
          <w:rFonts w:ascii="Palatino Linotype" w:eastAsia="Palatino Linotype" w:hAnsi="Palatino Linotype" w:cs="Palatino Linotype"/>
          <w:color w:val="000000"/>
          <w:sz w:val="24"/>
          <w:szCs w:val="24"/>
        </w:rPr>
        <w:t xml:space="preserve">rindió su informe justificado mediante un archivo electrónico en formato </w:t>
      </w:r>
      <w:proofErr w:type="spellStart"/>
      <w:r w:rsidRPr="006460B9">
        <w:rPr>
          <w:rFonts w:ascii="Palatino Linotype" w:eastAsia="Palatino Linotype" w:hAnsi="Palatino Linotype" w:cs="Palatino Linotype"/>
          <w:color w:val="000000"/>
          <w:sz w:val="24"/>
          <w:szCs w:val="24"/>
        </w:rPr>
        <w:t>pdf</w:t>
      </w:r>
      <w:proofErr w:type="spellEnd"/>
      <w:r w:rsidRPr="006460B9">
        <w:rPr>
          <w:rFonts w:ascii="Palatino Linotype" w:eastAsia="Palatino Linotype" w:hAnsi="Palatino Linotype" w:cs="Palatino Linotype"/>
          <w:color w:val="000000"/>
          <w:sz w:val="24"/>
          <w:szCs w:val="24"/>
        </w:rPr>
        <w:t xml:space="preserve">, cuyo contenido grosso modo es el siguiente: </w:t>
      </w:r>
    </w:p>
    <w:p w14:paraId="17C47F1F" w14:textId="77777777" w:rsidR="00197C0D" w:rsidRPr="006460B9" w:rsidRDefault="00197C0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684D9955" w14:textId="77777777" w:rsidR="00197C0D" w:rsidRPr="006460B9" w:rsidRDefault="00557677">
      <w:pPr>
        <w:numPr>
          <w:ilvl w:val="0"/>
          <w:numId w:val="2"/>
        </w:numPr>
        <w:pBdr>
          <w:top w:val="nil"/>
          <w:left w:val="nil"/>
          <w:bottom w:val="nil"/>
          <w:right w:val="nil"/>
          <w:between w:val="nil"/>
        </w:pBdr>
        <w:spacing w:after="0" w:line="360" w:lineRule="auto"/>
        <w:ind w:right="333"/>
        <w:jc w:val="both"/>
        <w:rPr>
          <w:rFonts w:ascii="Palatino Linotype" w:eastAsia="Palatino Linotype" w:hAnsi="Palatino Linotype" w:cs="Palatino Linotype"/>
          <w:color w:val="000000"/>
          <w:sz w:val="24"/>
          <w:szCs w:val="24"/>
        </w:rPr>
      </w:pPr>
      <w:r w:rsidRPr="006460B9">
        <w:rPr>
          <w:rFonts w:ascii="Palatino Linotype" w:eastAsia="Palatino Linotype" w:hAnsi="Palatino Linotype" w:cs="Palatino Linotype"/>
          <w:b/>
          <w:color w:val="000000"/>
          <w:sz w:val="24"/>
          <w:szCs w:val="24"/>
        </w:rPr>
        <w:t>MANIFESTACIONES 3398pdf</w:t>
      </w:r>
      <w:r w:rsidRPr="006460B9">
        <w:rPr>
          <w:rFonts w:ascii="Palatino Linotype" w:eastAsia="Palatino Linotype" w:hAnsi="Palatino Linotype" w:cs="Palatino Linotype"/>
          <w:b/>
          <w:i/>
          <w:color w:val="000000"/>
          <w:sz w:val="24"/>
          <w:szCs w:val="24"/>
        </w:rPr>
        <w:t xml:space="preserve">: </w:t>
      </w:r>
      <w:r w:rsidRPr="006460B9">
        <w:rPr>
          <w:rFonts w:ascii="Palatino Linotype" w:eastAsia="Palatino Linotype" w:hAnsi="Palatino Linotype" w:cs="Palatino Linotype"/>
          <w:color w:val="000000"/>
          <w:sz w:val="24"/>
          <w:szCs w:val="24"/>
        </w:rPr>
        <w:t>Oficio suscrito por el Secretario Técnico de la Presidencia Municipal dirigido a la Titular de la Unidad de Transparencia y Acceso a la Información Pública Municip</w:t>
      </w:r>
      <w:r w:rsidR="00AB78D4" w:rsidRPr="006460B9">
        <w:rPr>
          <w:rFonts w:ascii="Palatino Linotype" w:eastAsia="Palatino Linotype" w:hAnsi="Palatino Linotype" w:cs="Palatino Linotype"/>
          <w:color w:val="000000"/>
          <w:sz w:val="24"/>
          <w:szCs w:val="24"/>
        </w:rPr>
        <w:t>al, mediante el cual ratifica la respuesta</w:t>
      </w:r>
      <w:r w:rsidR="002769BA" w:rsidRPr="006460B9">
        <w:rPr>
          <w:rFonts w:ascii="Palatino Linotype" w:eastAsia="Palatino Linotype" w:hAnsi="Palatino Linotype" w:cs="Palatino Linotype"/>
          <w:color w:val="000000"/>
          <w:sz w:val="24"/>
          <w:szCs w:val="24"/>
        </w:rPr>
        <w:t>.</w:t>
      </w:r>
    </w:p>
    <w:p w14:paraId="04004041" w14:textId="77777777" w:rsidR="00197C0D" w:rsidRDefault="00197C0D">
      <w:pPr>
        <w:pBdr>
          <w:top w:val="nil"/>
          <w:left w:val="nil"/>
          <w:bottom w:val="nil"/>
          <w:right w:val="nil"/>
          <w:between w:val="nil"/>
        </w:pBdr>
        <w:spacing w:after="0" w:line="360" w:lineRule="auto"/>
        <w:ind w:left="426" w:right="333"/>
        <w:jc w:val="both"/>
        <w:rPr>
          <w:rFonts w:ascii="Palatino Linotype" w:eastAsia="Palatino Linotype" w:hAnsi="Palatino Linotype" w:cs="Palatino Linotype"/>
          <w:color w:val="000000"/>
          <w:sz w:val="24"/>
          <w:szCs w:val="24"/>
        </w:rPr>
      </w:pPr>
    </w:p>
    <w:p w14:paraId="18ADA015"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14:paraId="57E30E62"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su parte </w:t>
      </w:r>
      <w:r>
        <w:rPr>
          <w:rFonts w:ascii="Palatino Linotype" w:eastAsia="Palatino Linotype" w:hAnsi="Palatino Linotype" w:cs="Palatino Linotype"/>
          <w:b/>
          <w:color w:val="000000"/>
          <w:sz w:val="24"/>
          <w:szCs w:val="24"/>
        </w:rPr>
        <w:t xml:space="preserve">el PARTICULAR </w:t>
      </w:r>
      <w:r>
        <w:rPr>
          <w:rFonts w:ascii="Palatino Linotype" w:eastAsia="Palatino Linotype" w:hAnsi="Palatino Linotype" w:cs="Palatino Linotype"/>
          <w:sz w:val="24"/>
          <w:szCs w:val="24"/>
        </w:rPr>
        <w:t>dejó</w:t>
      </w:r>
      <w:r>
        <w:rPr>
          <w:rFonts w:ascii="Palatino Linotype" w:eastAsia="Palatino Linotype" w:hAnsi="Palatino Linotype" w:cs="Palatino Linotype"/>
          <w:color w:val="000000"/>
          <w:sz w:val="24"/>
          <w:szCs w:val="24"/>
        </w:rPr>
        <w:t xml:space="preserve"> de realizar manifestaciones que a su derecho conviniera y asistiera.</w:t>
      </w:r>
    </w:p>
    <w:p w14:paraId="3CABADC1" w14:textId="77777777" w:rsidR="00197C0D" w:rsidRDefault="00197C0D">
      <w:pPr>
        <w:pBdr>
          <w:top w:val="nil"/>
          <w:left w:val="nil"/>
          <w:bottom w:val="nil"/>
          <w:right w:val="nil"/>
          <w:between w:val="nil"/>
        </w:pBdr>
        <w:spacing w:after="0" w:line="360" w:lineRule="auto"/>
        <w:ind w:left="720"/>
        <w:jc w:val="center"/>
        <w:rPr>
          <w:rFonts w:ascii="Palatino Linotype" w:eastAsia="Palatino Linotype" w:hAnsi="Palatino Linotype" w:cs="Palatino Linotype"/>
          <w:color w:val="000000"/>
          <w:sz w:val="24"/>
          <w:szCs w:val="24"/>
        </w:rPr>
      </w:pPr>
    </w:p>
    <w:p w14:paraId="21358B06" w14:textId="77777777" w:rsidR="00197C0D" w:rsidRDefault="00B36D10">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En fecha once de septiembre</w:t>
      </w:r>
      <w:r w:rsidR="00557677">
        <w:rPr>
          <w:rFonts w:ascii="Palatino Linotype" w:eastAsia="Palatino Linotype" w:hAnsi="Palatino Linotype" w:cs="Palatino Linotype"/>
          <w:color w:val="000000"/>
          <w:sz w:val="24"/>
          <w:szCs w:val="24"/>
        </w:rPr>
        <w:t xml:space="preserve"> de dos mil veinticuatro, se amplió el término para resolver; al respecto es menester realizar las siguientes precisiones. </w:t>
      </w:r>
    </w:p>
    <w:p w14:paraId="1E232AB7" w14:textId="77777777" w:rsidR="00197C0D" w:rsidRDefault="00197C0D">
      <w:pPr>
        <w:spacing w:line="360" w:lineRule="auto"/>
        <w:rPr>
          <w:rFonts w:ascii="Palatino Linotype" w:eastAsia="Palatino Linotype" w:hAnsi="Palatino Linotype" w:cs="Palatino Linotype"/>
        </w:rPr>
      </w:pPr>
    </w:p>
    <w:p w14:paraId="462A7789"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w:t>
      </w:r>
      <w:r>
        <w:rPr>
          <w:rFonts w:ascii="Palatino Linotype" w:eastAsia="Palatino Linotype" w:hAnsi="Palatino Linotype" w:cs="Palatino Linotype"/>
          <w:color w:val="000000"/>
          <w:sz w:val="24"/>
          <w:szCs w:val="24"/>
        </w:rPr>
        <w:lastRenderedPageBreak/>
        <w:t>capacidades técnicas y humanas del personal encargado de la proyección de las resoluciones a dichos medios de impugnación.</w:t>
      </w:r>
    </w:p>
    <w:p w14:paraId="6638A06E"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56F77C0"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51C7C8" w14:textId="77777777" w:rsidR="00197C0D" w:rsidRDefault="00197C0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1C6A24FE"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19D5E1" w14:textId="77777777" w:rsidR="00197C0D" w:rsidRDefault="00197C0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0D2ED5A9"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8C75B5B" w14:textId="77777777" w:rsidR="00197C0D" w:rsidRDefault="00197C0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73089D47"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2C86AA39" w14:textId="77777777" w:rsidR="00197C0D" w:rsidRDefault="00197C0D">
      <w:pPr>
        <w:spacing w:line="360" w:lineRule="auto"/>
        <w:jc w:val="both"/>
        <w:rPr>
          <w:rFonts w:ascii="Palatino Linotype" w:eastAsia="Palatino Linotype" w:hAnsi="Palatino Linotype" w:cs="Palatino Linotype"/>
        </w:rPr>
      </w:pPr>
    </w:p>
    <w:p w14:paraId="453D293E" w14:textId="77777777" w:rsidR="00197C0D" w:rsidRDefault="0055767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566415E0" w14:textId="77777777" w:rsidR="00197C0D" w:rsidRDefault="0055767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Actividad Procesal del interesado. Acciones u omisiones del interesado.</w:t>
      </w:r>
    </w:p>
    <w:p w14:paraId="58A810DC" w14:textId="77777777" w:rsidR="00197C0D" w:rsidRDefault="00557677">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429BA3A2" w14:textId="77777777" w:rsidR="00197C0D" w:rsidRDefault="00557677">
      <w:pPr>
        <w:spacing w:line="360" w:lineRule="auto"/>
        <w:ind w:left="851" w:hanging="284"/>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67E16447" w14:textId="77777777" w:rsidR="00197C0D" w:rsidRDefault="00197C0D">
      <w:pPr>
        <w:spacing w:line="360" w:lineRule="auto"/>
        <w:ind w:left="851" w:hanging="284"/>
        <w:jc w:val="both"/>
        <w:rPr>
          <w:rFonts w:ascii="Palatino Linotype" w:eastAsia="Palatino Linotype" w:hAnsi="Palatino Linotype" w:cs="Palatino Linotype"/>
        </w:rPr>
      </w:pPr>
    </w:p>
    <w:p w14:paraId="4CD0DD3F"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C4917B"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70DDC20" w14:textId="77777777" w:rsidR="00197C0D" w:rsidRDefault="00557677" w:rsidP="00B36D10">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w:t>
      </w:r>
      <w:r>
        <w:rPr>
          <w:rFonts w:ascii="Palatino Linotype" w:eastAsia="Palatino Linotype" w:hAnsi="Palatino Linotype" w:cs="Palatino Linotype"/>
          <w:i/>
          <w:color w:val="000000"/>
          <w:sz w:val="24"/>
          <w:szCs w:val="24"/>
        </w:rPr>
        <w:lastRenderedPageBreak/>
        <w:t>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14:paraId="59C27331" w14:textId="77777777" w:rsidR="00B36D10" w:rsidRPr="00B36D10" w:rsidRDefault="00B36D10" w:rsidP="00B36D1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13CA0827"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A7827B" w14:textId="77777777" w:rsidR="00197C0D" w:rsidRDefault="00197C0D">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14:paraId="5D457901"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4D4010C7" w14:textId="77777777" w:rsidR="00197C0D" w:rsidRDefault="00197C0D">
      <w:pPr>
        <w:spacing w:line="360" w:lineRule="auto"/>
        <w:jc w:val="both"/>
        <w:rPr>
          <w:rFonts w:ascii="Palatino Linotype" w:eastAsia="Palatino Linotype" w:hAnsi="Palatino Linotype" w:cs="Palatino Linotype"/>
        </w:rPr>
      </w:pPr>
    </w:p>
    <w:p w14:paraId="2DD06DF9"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3017AE78" w14:textId="77777777" w:rsidR="00197C0D" w:rsidRDefault="00197C0D">
      <w:pPr>
        <w:spacing w:line="360" w:lineRule="auto"/>
        <w:jc w:val="both"/>
        <w:rPr>
          <w:rFonts w:ascii="Palatino Linotype" w:eastAsia="Palatino Linotype" w:hAnsi="Palatino Linotype" w:cs="Palatino Linotype"/>
        </w:rPr>
      </w:pPr>
    </w:p>
    <w:p w14:paraId="178CF03D" w14:textId="77777777" w:rsidR="00197C0D" w:rsidRDefault="00557677">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14E901F2" w14:textId="77777777" w:rsidR="00197C0D" w:rsidRDefault="00557677">
      <w:pPr>
        <w:spacing w:line="360" w:lineRule="auto"/>
        <w:ind w:left="425" w:right="476"/>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49FC53B7"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14:paraId="70247329"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color w:val="000000"/>
          <w:sz w:val="24"/>
          <w:szCs w:val="24"/>
        </w:rPr>
        <w:t>Seguidamente, med</w:t>
      </w:r>
      <w:r w:rsidR="00B36D10">
        <w:rPr>
          <w:rFonts w:ascii="Palatino Linotype" w:eastAsia="Palatino Linotype" w:hAnsi="Palatino Linotype" w:cs="Palatino Linotype"/>
          <w:color w:val="000000"/>
          <w:sz w:val="24"/>
          <w:szCs w:val="24"/>
        </w:rPr>
        <w:t>iante acuerdo de fecha diecinueve</w:t>
      </w:r>
      <w:r>
        <w:rPr>
          <w:rFonts w:ascii="Palatino Linotype" w:eastAsia="Palatino Linotype" w:hAnsi="Palatino Linotype" w:cs="Palatino Linotype"/>
          <w:color w:val="000000"/>
          <w:sz w:val="24"/>
          <w:szCs w:val="24"/>
        </w:rPr>
        <w:t xml:space="preserve">  de septiembre de dos mil veinticuatro se  decretó el cierre de instrucción, por lo que no habiendo más que hacer constar, y------------------------------------------------------------------------------------------</w:t>
      </w:r>
    </w:p>
    <w:p w14:paraId="4162EA60" w14:textId="77777777" w:rsidR="00197C0D" w:rsidRDefault="00557677">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CONSIDERANDO</w:t>
      </w:r>
    </w:p>
    <w:p w14:paraId="0AC62FBB" w14:textId="77777777" w:rsidR="00197C0D" w:rsidRDefault="00197C0D">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14:paraId="7021DE04" w14:textId="77777777" w:rsidR="00197C0D" w:rsidRDefault="00557677">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14:paraId="5E4F2B6C" w14:textId="77777777" w:rsidR="00197C0D" w:rsidRDefault="00197C0D"/>
    <w:p w14:paraId="1E41C4B3"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w:t>
      </w:r>
      <w:r>
        <w:rPr>
          <w:rFonts w:ascii="Palatino Linotype" w:eastAsia="Palatino Linotype" w:hAnsi="Palatino Linotype" w:cs="Palatino Linotype"/>
          <w:color w:val="000000"/>
          <w:sz w:val="24"/>
          <w:szCs w:val="24"/>
        </w:rPr>
        <w:lastRenderedPageBreak/>
        <w:t>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C23C12C"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2B68D06" w14:textId="77777777" w:rsidR="00197C0D" w:rsidRDefault="00557677">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SEGUNDO. De la oportunidad y procedencia.</w:t>
      </w:r>
    </w:p>
    <w:p w14:paraId="104D096E" w14:textId="77777777" w:rsidR="00197C0D" w:rsidRDefault="00197C0D"/>
    <w:p w14:paraId="766F8A2A"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medio de impugnación fue presentado 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entregó su respuesta el veintiocho  de mayo de dos mil veinticuatro, de tal forma que el plazo para interponer el recurso de revisión transcurrió del día veintinueve de mayo al dieciocho de junio de dos mil veinticuatro; en consecuencia, el ahora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presentó su inconformidad el día treinta y uno de mayo de dos mil veinticuatro; por lo que se estima que la inconformidad se presentó dentro del lapso legalmente establecido para tal efecto.</w:t>
      </w:r>
    </w:p>
    <w:p w14:paraId="301458DB" w14:textId="77777777" w:rsidR="00197C0D" w:rsidRDefault="00197C0D">
      <w:pPr>
        <w:spacing w:line="360" w:lineRule="auto"/>
        <w:jc w:val="both"/>
        <w:rPr>
          <w:rFonts w:ascii="Palatino Linotype" w:eastAsia="Palatino Linotype" w:hAnsi="Palatino Linotype" w:cs="Palatino Linotype"/>
        </w:rPr>
      </w:pPr>
    </w:p>
    <w:p w14:paraId="17A19D1B"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14DC97" w14:textId="77777777" w:rsidR="00197C0D" w:rsidRDefault="00197C0D">
      <w:pPr>
        <w:spacing w:line="360" w:lineRule="auto"/>
        <w:jc w:val="both"/>
        <w:rPr>
          <w:rFonts w:ascii="Palatino Linotype" w:eastAsia="Palatino Linotype" w:hAnsi="Palatino Linotype" w:cs="Palatino Linotype"/>
        </w:rPr>
      </w:pPr>
    </w:p>
    <w:p w14:paraId="715F6724" w14:textId="77777777" w:rsidR="00197C0D" w:rsidRDefault="00197C0D">
      <w:p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p>
    <w:p w14:paraId="7404CB8F" w14:textId="77777777" w:rsidR="00197C0D" w:rsidRDefault="00557677">
      <w:pPr>
        <w:pStyle w:val="Ttulo1"/>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 xml:space="preserve">TERCERO. Del planteamiento de la Litis. </w:t>
      </w:r>
    </w:p>
    <w:p w14:paraId="770213F9" w14:textId="77777777" w:rsidR="00197C0D" w:rsidRDefault="00197C0D"/>
    <w:p w14:paraId="25C52E5F"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 solicitó tener acceso, a la información que a continuación se desagrega:</w:t>
      </w:r>
    </w:p>
    <w:p w14:paraId="1890B02E"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01C39AFF" w14:textId="77777777" w:rsidR="00197C0D" w:rsidRDefault="0055767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Del Centro Cultural Luis Nishizawa, del mes de abril de 2024.</w:t>
      </w:r>
    </w:p>
    <w:p w14:paraId="481DEAA6"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EBFBD1F" w14:textId="77777777" w:rsidR="00197C0D" w:rsidRDefault="0055767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Recibos de pago por renta. </w:t>
      </w:r>
    </w:p>
    <w:p w14:paraId="5CC71E6F" w14:textId="77777777" w:rsidR="00197C0D" w:rsidRDefault="00557677">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Oficios de petición de uso.</w:t>
      </w:r>
    </w:p>
    <w:p w14:paraId="5DE76FCC" w14:textId="77777777" w:rsidR="00197C0D" w:rsidRDefault="00197C0D">
      <w:pPr>
        <w:pBdr>
          <w:top w:val="nil"/>
          <w:left w:val="nil"/>
          <w:bottom w:val="nil"/>
          <w:right w:val="nil"/>
          <w:between w:val="nil"/>
        </w:pBdr>
        <w:spacing w:after="0" w:line="360" w:lineRule="auto"/>
        <w:ind w:left="778"/>
        <w:jc w:val="both"/>
        <w:rPr>
          <w:rFonts w:ascii="Palatino Linotype" w:eastAsia="Palatino Linotype" w:hAnsi="Palatino Linotype" w:cs="Palatino Linotype"/>
          <w:color w:val="000000"/>
          <w:sz w:val="24"/>
          <w:szCs w:val="24"/>
        </w:rPr>
      </w:pPr>
    </w:p>
    <w:p w14:paraId="12B8DF65"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respuesta,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remitió </w:t>
      </w:r>
      <w:r>
        <w:rPr>
          <w:rFonts w:ascii="Palatino Linotype" w:eastAsia="Palatino Linotype" w:hAnsi="Palatino Linotype" w:cs="Palatino Linotype"/>
          <w:color w:val="000000"/>
        </w:rPr>
        <w:t xml:space="preserve">el formato de orden de pago del mes de abril del 2024, así como el acuerdo </w:t>
      </w:r>
      <w:r>
        <w:rPr>
          <w:rFonts w:ascii="Palatino Linotype" w:eastAsia="Palatino Linotype" w:hAnsi="Palatino Linotype" w:cs="Palatino Linotype"/>
          <w:b/>
          <w:color w:val="000000"/>
        </w:rPr>
        <w:t>ACUERDO-01 CT/V-O/17-05-24</w:t>
      </w:r>
      <w:r>
        <w:rPr>
          <w:rFonts w:ascii="Palatino Linotype" w:eastAsia="Palatino Linotype" w:hAnsi="Palatino Linotype" w:cs="Palatino Linotype"/>
          <w:color w:val="000000"/>
        </w:rPr>
        <w:t>, Y por lo que hace a los oficios de petición de uso del mismo mes, informó que no se generó información al respecto.</w:t>
      </w:r>
    </w:p>
    <w:p w14:paraId="595EE9F3" w14:textId="77777777" w:rsidR="00197C0D" w:rsidRDefault="00197C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941FB53"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Recurrente se </w:t>
      </w:r>
      <w:r>
        <w:rPr>
          <w:rFonts w:ascii="Palatino Linotype" w:eastAsia="Palatino Linotype" w:hAnsi="Palatino Linotype" w:cs="Palatino Linotype"/>
          <w:sz w:val="24"/>
          <w:szCs w:val="24"/>
        </w:rPr>
        <w:t>inconformó</w:t>
      </w:r>
      <w:r>
        <w:rPr>
          <w:rFonts w:ascii="Palatino Linotype" w:eastAsia="Palatino Linotype" w:hAnsi="Palatino Linotype" w:cs="Palatino Linotype"/>
          <w:color w:val="000000"/>
          <w:sz w:val="24"/>
          <w:szCs w:val="24"/>
        </w:rPr>
        <w:t xml:space="preserve"> por Testar información qué es pública y mandan incompleto les falta información.</w:t>
      </w:r>
    </w:p>
    <w:p w14:paraId="63537624" w14:textId="77777777" w:rsidR="00197C0D" w:rsidRDefault="00197C0D"/>
    <w:p w14:paraId="13E83EDD" w14:textId="77777777" w:rsidR="00197C0D" w:rsidRDefault="0055767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dichas condiciones, la </w:t>
      </w:r>
      <w:r>
        <w:rPr>
          <w:rFonts w:ascii="Palatino Linotype" w:eastAsia="Palatino Linotype" w:hAnsi="Palatino Linotype" w:cs="Palatino Linotype"/>
          <w:i/>
          <w:color w:val="000000"/>
          <w:sz w:val="24"/>
          <w:szCs w:val="24"/>
        </w:rPr>
        <w:t>Litis</w:t>
      </w:r>
      <w:r>
        <w:rPr>
          <w:rFonts w:ascii="Palatino Linotype" w:eastAsia="Palatino Linotype" w:hAnsi="Palatino Linotype" w:cs="Palatino Linotype"/>
          <w:color w:val="000000"/>
          <w:sz w:val="24"/>
          <w:szCs w:val="24"/>
        </w:rPr>
        <w:t xml:space="preserve"> a resolver en este recurso se circunscribe a determinar si se actualiza la causal de procedencia prevista en el artículo 179, </w:t>
      </w:r>
      <w:r>
        <w:rPr>
          <w:rFonts w:ascii="Palatino Linotype" w:eastAsia="Palatino Linotype" w:hAnsi="Palatino Linotype" w:cs="Palatino Linotype"/>
          <w:b/>
          <w:color w:val="000000"/>
          <w:sz w:val="24"/>
          <w:szCs w:val="24"/>
        </w:rPr>
        <w:t xml:space="preserve">fracción V </w:t>
      </w:r>
      <w:r>
        <w:rPr>
          <w:rFonts w:ascii="Palatino Linotype" w:eastAsia="Palatino Linotype" w:hAnsi="Palatino Linotype" w:cs="Palatino Linotype"/>
          <w:color w:val="000000"/>
          <w:sz w:val="24"/>
          <w:szCs w:val="24"/>
        </w:rPr>
        <w:t xml:space="preserve">de la </w:t>
      </w:r>
      <w:r>
        <w:rPr>
          <w:rFonts w:ascii="Palatino Linotype" w:eastAsia="Palatino Linotype" w:hAnsi="Palatino Linotype" w:cs="Palatino Linotype"/>
          <w:b/>
          <w:color w:val="000000"/>
          <w:sz w:val="24"/>
          <w:szCs w:val="24"/>
        </w:rPr>
        <w:t xml:space="preserve">Ley de Transparencia y Acceso a la Información Pública del Estado de </w:t>
      </w:r>
      <w:r>
        <w:rPr>
          <w:rFonts w:ascii="Palatino Linotype" w:eastAsia="Palatino Linotype" w:hAnsi="Palatino Linotype" w:cs="Palatino Linotype"/>
          <w:color w:val="000000"/>
          <w:sz w:val="24"/>
          <w:szCs w:val="24"/>
        </w:rPr>
        <w:t>México</w:t>
      </w:r>
      <w:r>
        <w:rPr>
          <w:rFonts w:ascii="Palatino Linotype" w:eastAsia="Palatino Linotype" w:hAnsi="Palatino Linotype" w:cs="Palatino Linotype"/>
          <w:b/>
          <w:color w:val="000000"/>
          <w:sz w:val="24"/>
          <w:szCs w:val="24"/>
        </w:rPr>
        <w:t xml:space="preserve"> y </w:t>
      </w:r>
      <w:r>
        <w:rPr>
          <w:rFonts w:ascii="Palatino Linotype" w:eastAsia="Palatino Linotype" w:hAnsi="Palatino Linotype" w:cs="Palatino Linotype"/>
          <w:color w:val="000000"/>
          <w:sz w:val="24"/>
          <w:szCs w:val="24"/>
        </w:rPr>
        <w:t xml:space="preserve">Municipios; fracción que determina la hipótesis jurídica relativa a, la entrega de la información incompleta; contexto del cual se dolió </w:t>
      </w:r>
      <w:r>
        <w:rPr>
          <w:rFonts w:ascii="Palatino Linotype" w:eastAsia="Palatino Linotype" w:hAnsi="Palatino Linotype" w:cs="Palatino Linotype"/>
          <w:b/>
          <w:color w:val="000000"/>
          <w:sz w:val="24"/>
          <w:szCs w:val="24"/>
        </w:rPr>
        <w:t xml:space="preserve">EL RECURRENTE </w:t>
      </w:r>
      <w:r>
        <w:rPr>
          <w:rFonts w:ascii="Palatino Linotype" w:eastAsia="Palatino Linotype" w:hAnsi="Palatino Linotype" w:cs="Palatino Linotype"/>
          <w:color w:val="000000"/>
          <w:sz w:val="24"/>
          <w:szCs w:val="24"/>
        </w:rPr>
        <w:t xml:space="preserve">al momento de interponer su inconformidad. De modo tal que el </w:t>
      </w:r>
      <w:r>
        <w:rPr>
          <w:rFonts w:ascii="Palatino Linotype" w:eastAsia="Palatino Linotype" w:hAnsi="Palatino Linotype" w:cs="Palatino Linotype"/>
          <w:color w:val="000000"/>
          <w:sz w:val="24"/>
          <w:szCs w:val="24"/>
        </w:rPr>
        <w:lastRenderedPageBreak/>
        <w:t xml:space="preserve">presente recurso de revisión se abocara en determinar si el </w:t>
      </w:r>
      <w:r>
        <w:rPr>
          <w:rFonts w:ascii="Palatino Linotype" w:eastAsia="Palatino Linotype" w:hAnsi="Palatino Linotype" w:cs="Palatino Linotype"/>
          <w:b/>
          <w:color w:val="000000"/>
          <w:sz w:val="24"/>
          <w:szCs w:val="24"/>
        </w:rPr>
        <w:t>SUJETO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OBLIGADO</w:t>
      </w:r>
      <w:r>
        <w:rPr>
          <w:rFonts w:ascii="Palatino Linotype" w:eastAsia="Palatino Linotype" w:hAnsi="Palatino Linotype" w:cs="Palatino Linotype"/>
          <w:color w:val="000000"/>
          <w:sz w:val="24"/>
          <w:szCs w:val="24"/>
        </w:rPr>
        <w:t xml:space="preserve"> con su respuesta ciertamente actualiza la causal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antes señalada. </w:t>
      </w:r>
    </w:p>
    <w:p w14:paraId="4FC05A75" w14:textId="77777777" w:rsidR="00197C0D" w:rsidRDefault="00197C0D">
      <w:pPr>
        <w:spacing w:after="0" w:line="360" w:lineRule="auto"/>
        <w:jc w:val="both"/>
        <w:rPr>
          <w:rFonts w:ascii="Palatino Linotype" w:eastAsia="Palatino Linotype" w:hAnsi="Palatino Linotype" w:cs="Palatino Linotype"/>
        </w:rPr>
      </w:pPr>
    </w:p>
    <w:p w14:paraId="215B20DC" w14:textId="77777777" w:rsidR="00197C0D" w:rsidRDefault="00557677">
      <w:pPr>
        <w:pStyle w:val="Ttulo2"/>
        <w:spacing w:before="0" w:line="360" w:lineRule="auto"/>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Del estudio y resolución del asunto.</w:t>
      </w:r>
    </w:p>
    <w:p w14:paraId="4008500B" w14:textId="77777777" w:rsidR="00197C0D" w:rsidRDefault="00197C0D"/>
    <w:p w14:paraId="19F391B6" w14:textId="77777777" w:rsidR="00197C0D" w:rsidRDefault="00557677">
      <w:pPr>
        <w:tabs>
          <w:tab w:val="left" w:pos="426"/>
        </w:tabs>
        <w:spacing w:after="0" w:line="360" w:lineRule="auto"/>
        <w:ind w:right="51"/>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w:t>
      </w:r>
      <w:r>
        <w:rPr>
          <w:rFonts w:ascii="Palatino Linotype" w:eastAsia="Palatino Linotype" w:hAnsi="Palatino Linotype" w:cs="Palatino Linotype"/>
          <w:b/>
          <w:color w:val="000000"/>
          <w:sz w:val="24"/>
          <w:szCs w:val="24"/>
        </w:rPr>
        <w:tab/>
        <w:t>De la atención a las solicitudes</w:t>
      </w:r>
    </w:p>
    <w:p w14:paraId="3029B32F" w14:textId="77777777" w:rsidR="00197C0D" w:rsidRDefault="00197C0D">
      <w:pPr>
        <w:spacing w:after="0" w:line="240" w:lineRule="auto"/>
        <w:rPr>
          <w:rFonts w:ascii="Palatino Linotype" w:eastAsia="Palatino Linotype" w:hAnsi="Palatino Linotype" w:cs="Palatino Linotype"/>
          <w:i/>
          <w:sz w:val="24"/>
          <w:szCs w:val="24"/>
        </w:rPr>
      </w:pPr>
    </w:p>
    <w:p w14:paraId="4ACBD12A" w14:textId="77777777" w:rsidR="00B36D10" w:rsidRDefault="00557677" w:rsidP="00B36D10">
      <w:pPr>
        <w:numPr>
          <w:ilvl w:val="0"/>
          <w:numId w:val="4"/>
        </w:numPr>
        <w:tabs>
          <w:tab w:val="left" w:pos="284"/>
        </w:tabs>
        <w:spacing w:after="0" w:line="360" w:lineRule="auto"/>
        <w:ind w:left="0" w:firstLine="0"/>
        <w:jc w:val="both"/>
        <w:rPr>
          <w:rFonts w:ascii="Palatino Linotype" w:eastAsia="Palatino Linotype" w:hAnsi="Palatino Linotype" w:cs="Palatino Linotype"/>
          <w:i/>
          <w:sz w:val="24"/>
          <w:szCs w:val="24"/>
        </w:rPr>
      </w:pPr>
      <w:r>
        <w:rPr>
          <w:rFonts w:ascii="Palatino Linotype" w:eastAsia="Palatino Linotype" w:hAnsi="Palatino Linotype" w:cs="Palatino Linotype"/>
          <w:color w:val="000000"/>
          <w:sz w:val="24"/>
          <w:szCs w:val="24"/>
        </w:rPr>
        <w:t>Es necesario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en el ámbito de sus atribuciones, de promover, respetar, proteger y garantizar los derechos humanos. En cuanto al derecho de acceso a la información, la Ley de Transparencia y Acceso a la Información Pública del Estado de México y Municipios prevé establece que el procedimiento de acceso a la información es la garantía primaria del derecho en cuestión y se rige por los principios de simplicidad, rapidez y gratuidad del procedimiento, auxilio y orientación a los particulares , asimismo establece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8240FDA" w14:textId="77777777" w:rsidR="00B36D10" w:rsidRPr="00B36D10" w:rsidRDefault="00B36D10" w:rsidP="00B36D10">
      <w:pPr>
        <w:tabs>
          <w:tab w:val="left" w:pos="284"/>
        </w:tabs>
        <w:spacing w:after="0" w:line="360" w:lineRule="auto"/>
        <w:jc w:val="both"/>
        <w:rPr>
          <w:rFonts w:ascii="Palatino Linotype" w:eastAsia="Palatino Linotype" w:hAnsi="Palatino Linotype" w:cs="Palatino Linotype"/>
          <w:i/>
          <w:sz w:val="24"/>
          <w:szCs w:val="24"/>
        </w:rPr>
      </w:pPr>
    </w:p>
    <w:p w14:paraId="6A80DEA2"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que las actuaciones diligentes que lleven a cabo en un primer momento las Unidades de Transparencia y posteriormente cada servidor público en su área </w:t>
      </w:r>
      <w:r>
        <w:rPr>
          <w:rFonts w:ascii="Palatino Linotype" w:eastAsia="Palatino Linotype" w:hAnsi="Palatino Linotype" w:cs="Palatino Linotype"/>
          <w:color w:val="000000"/>
          <w:sz w:val="24"/>
          <w:szCs w:val="24"/>
        </w:rPr>
        <w:lastRenderedPageBreak/>
        <w:t>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6CE9CEC8" w14:textId="77777777" w:rsidR="00197C0D" w:rsidRDefault="00197C0D">
      <w:pPr>
        <w:spacing w:after="0" w:line="240" w:lineRule="auto"/>
        <w:ind w:left="720"/>
        <w:rPr>
          <w:rFonts w:ascii="Palatino Linotype" w:eastAsia="Palatino Linotype" w:hAnsi="Palatino Linotype" w:cs="Palatino Linotype"/>
          <w:color w:val="000000"/>
          <w:sz w:val="24"/>
          <w:szCs w:val="24"/>
        </w:rPr>
      </w:pPr>
    </w:p>
    <w:p w14:paraId="60AEB801"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Las funciones que realizan las Unidades de Transparencia de los Sujetos Obligados es fundamental para el correcto cumplimiento del derecho de acceso a la información, pues son el vínculo entre los particulares y la información que requieren, además, su obligación es: realizar, con efectividad, los trámites internos necesarios para la atención de las solicitudes de información , es decir, deben otorgar respuestas concisas, contundentes y certeras, además de estar en estricto apego a lo que la normatividad en la materia establece.</w:t>
      </w:r>
    </w:p>
    <w:p w14:paraId="29D5E731" w14:textId="77777777" w:rsidR="00197C0D" w:rsidRDefault="00197C0D">
      <w:pPr>
        <w:spacing w:after="0" w:line="240" w:lineRule="auto"/>
        <w:ind w:left="720"/>
        <w:rPr>
          <w:rFonts w:ascii="Palatino Linotype" w:eastAsia="Palatino Linotype" w:hAnsi="Palatino Linotype" w:cs="Palatino Linotype"/>
          <w:color w:val="000000"/>
          <w:sz w:val="24"/>
          <w:szCs w:val="24"/>
        </w:rPr>
      </w:pPr>
    </w:p>
    <w:p w14:paraId="0E12FAB3"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Debiendo cumplir con lo dispuesto en la Ley de Transparencia y Acceso a la Información Pública del Estado de México y Municipios, en el artículo 162, mismo del que se inserta su contenido: </w:t>
      </w:r>
    </w:p>
    <w:p w14:paraId="09286BD7" w14:textId="77777777" w:rsidR="00197C0D" w:rsidRDefault="00197C0D">
      <w:pPr>
        <w:tabs>
          <w:tab w:val="left" w:pos="426"/>
        </w:tabs>
        <w:spacing w:after="0" w:line="360" w:lineRule="auto"/>
        <w:ind w:left="720" w:right="51"/>
        <w:jc w:val="both"/>
        <w:rPr>
          <w:rFonts w:ascii="Palatino Linotype" w:eastAsia="Palatino Linotype" w:hAnsi="Palatino Linotype" w:cs="Palatino Linotype"/>
          <w:color w:val="000000"/>
          <w:sz w:val="24"/>
          <w:szCs w:val="24"/>
        </w:rPr>
      </w:pPr>
    </w:p>
    <w:p w14:paraId="6EBDBD2B" w14:textId="77777777" w:rsidR="00197C0D" w:rsidRDefault="00557677">
      <w:pPr>
        <w:tabs>
          <w:tab w:val="left" w:pos="426"/>
        </w:tabs>
        <w:spacing w:after="0" w:line="360" w:lineRule="auto"/>
        <w:ind w:left="567" w:right="82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Artículo 162. Las unidades de transparencia deberán garantizar que las solicitudes se turnen a todas las Áreas competentes que cuenten con la información o deban tenerla de acuerdo a sus facultades, competencias y </w:t>
      </w:r>
      <w:r>
        <w:rPr>
          <w:rFonts w:ascii="Palatino Linotype" w:eastAsia="Palatino Linotype" w:hAnsi="Palatino Linotype" w:cs="Palatino Linotype"/>
          <w:i/>
          <w:color w:val="000000"/>
          <w:sz w:val="24"/>
          <w:szCs w:val="24"/>
        </w:rPr>
        <w:lastRenderedPageBreak/>
        <w:t>funciones, con el objeto de que realicen una búsqueda exhaustiva y razonable de la información solicitada.</w:t>
      </w:r>
    </w:p>
    <w:p w14:paraId="000EFEF4" w14:textId="77777777" w:rsidR="00197C0D" w:rsidRDefault="00557677">
      <w:pPr>
        <w:tabs>
          <w:tab w:val="left" w:pos="426"/>
        </w:tabs>
        <w:spacing w:after="0" w:line="360" w:lineRule="auto"/>
        <w:ind w:left="720" w:right="5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w:t>
      </w:r>
    </w:p>
    <w:p w14:paraId="5A579282"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C9C6416"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46B885D2"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falta de carteo o turno de las Unidades de Transparencia a las diferentes áreas que integran la estructura orgánica de los Sujetos Obligados, podrían causar una afectación o restricción al derecho ejercido por los particulares.</w:t>
      </w:r>
    </w:p>
    <w:p w14:paraId="2FF29D6F" w14:textId="77777777" w:rsidR="00197C0D" w:rsidRDefault="00197C0D">
      <w:pPr>
        <w:spacing w:after="0" w:line="240" w:lineRule="auto"/>
        <w:ind w:left="720"/>
        <w:rPr>
          <w:rFonts w:ascii="Palatino Linotype" w:eastAsia="Palatino Linotype" w:hAnsi="Palatino Linotype" w:cs="Palatino Linotype"/>
          <w:color w:val="000000"/>
          <w:sz w:val="24"/>
          <w:szCs w:val="24"/>
        </w:rPr>
      </w:pPr>
    </w:p>
    <w:p w14:paraId="098E847E"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3B7D8F18" w14:textId="77777777" w:rsidR="00197C0D" w:rsidRDefault="00197C0D">
      <w:pPr>
        <w:spacing w:after="0" w:line="240" w:lineRule="auto"/>
        <w:ind w:left="720"/>
        <w:rPr>
          <w:rFonts w:ascii="Palatino Linotype" w:eastAsia="Palatino Linotype" w:hAnsi="Palatino Linotype" w:cs="Palatino Linotype"/>
          <w:color w:val="000000"/>
          <w:sz w:val="24"/>
          <w:szCs w:val="24"/>
        </w:rPr>
      </w:pPr>
    </w:p>
    <w:p w14:paraId="5AE763D5"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los Titulares de las Unidades de Transparencia, al recibir una solicitud deben recibir, tramitar y dar respuesta a las solicitudes de acceso a la información, tal y como lo dispone la fracción II y IV del artículo 53 de la Ley de </w:t>
      </w:r>
      <w:r>
        <w:rPr>
          <w:rFonts w:ascii="Palatino Linotype" w:eastAsia="Palatino Linotype" w:hAnsi="Palatino Linotype" w:cs="Palatino Linotype"/>
          <w:color w:val="000000"/>
          <w:sz w:val="24"/>
          <w:szCs w:val="24"/>
        </w:rPr>
        <w:lastRenderedPageBreak/>
        <w:t>Transparencia y Acceso a la Información Pública del Estado de México y Municipios:</w:t>
      </w:r>
    </w:p>
    <w:p w14:paraId="79EDD398" w14:textId="77777777" w:rsidR="00197C0D" w:rsidRDefault="00197C0D">
      <w:pPr>
        <w:tabs>
          <w:tab w:val="left" w:pos="426"/>
        </w:tabs>
        <w:spacing w:after="0" w:line="360" w:lineRule="auto"/>
        <w:ind w:left="720" w:right="51"/>
        <w:jc w:val="both"/>
        <w:rPr>
          <w:rFonts w:ascii="Palatino Linotype" w:eastAsia="Palatino Linotype" w:hAnsi="Palatino Linotype" w:cs="Palatino Linotype"/>
          <w:color w:val="000000"/>
        </w:rPr>
      </w:pPr>
    </w:p>
    <w:p w14:paraId="33DB59AB" w14:textId="77777777" w:rsidR="00197C0D" w:rsidRDefault="00557677">
      <w:pPr>
        <w:tabs>
          <w:tab w:val="left" w:pos="426"/>
        </w:tabs>
        <w:spacing w:after="0"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53. Las Unidades de Transparencia tendrán las siguientes funciones: </w:t>
      </w:r>
    </w:p>
    <w:p w14:paraId="010BBAE2" w14:textId="77777777" w:rsidR="00197C0D" w:rsidRDefault="00557677">
      <w:pPr>
        <w:tabs>
          <w:tab w:val="left" w:pos="426"/>
        </w:tabs>
        <w:spacing w:after="0"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w:t>
      </w:r>
    </w:p>
    <w:p w14:paraId="3A0D27B3" w14:textId="77777777" w:rsidR="00197C0D" w:rsidRDefault="00557677">
      <w:pPr>
        <w:tabs>
          <w:tab w:val="left" w:pos="426"/>
        </w:tabs>
        <w:spacing w:after="0"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Recibir, tramitar y dar respuesta a las solicitudes de acceso a la información;</w:t>
      </w:r>
    </w:p>
    <w:p w14:paraId="25B8CF54" w14:textId="77777777" w:rsidR="00197C0D" w:rsidRDefault="00557677">
      <w:pPr>
        <w:tabs>
          <w:tab w:val="left" w:pos="426"/>
        </w:tabs>
        <w:spacing w:after="0"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3DF68B87" w14:textId="77777777" w:rsidR="00197C0D" w:rsidRDefault="00557677">
      <w:pPr>
        <w:tabs>
          <w:tab w:val="left" w:pos="426"/>
        </w:tabs>
        <w:spacing w:after="0"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IV. Realizar, con efectividad, los trámites internos necesarios para la atención de las solicitudes de acceso a la información;</w:t>
      </w:r>
    </w:p>
    <w:p w14:paraId="365394DB" w14:textId="77777777" w:rsidR="00197C0D" w:rsidRDefault="00197C0D">
      <w:pPr>
        <w:tabs>
          <w:tab w:val="left" w:pos="426"/>
        </w:tabs>
        <w:spacing w:after="0" w:line="360" w:lineRule="auto"/>
        <w:ind w:left="720" w:right="51"/>
        <w:jc w:val="both"/>
        <w:rPr>
          <w:rFonts w:ascii="Palatino Linotype" w:eastAsia="Palatino Linotype" w:hAnsi="Palatino Linotype" w:cs="Palatino Linotype"/>
          <w:color w:val="000000"/>
          <w:sz w:val="24"/>
          <w:szCs w:val="24"/>
        </w:rPr>
      </w:pPr>
    </w:p>
    <w:p w14:paraId="3F827518"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el presente asunto en particular, se aprecia que el Sujeto Obligado turnó la solicitud al Secretario Técnico de la Presidencia Municipal, siendo esta área la que dio respuesta a la solicitud.</w:t>
      </w:r>
    </w:p>
    <w:p w14:paraId="0AD2E3E7"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577DC1A6"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rPr>
      </w:pPr>
      <w:r>
        <w:rPr>
          <w:rFonts w:ascii="Palatino Linotype" w:eastAsia="Palatino Linotype" w:hAnsi="Palatino Linotype" w:cs="Palatino Linotype"/>
          <w:color w:val="000000"/>
          <w:sz w:val="24"/>
          <w:szCs w:val="24"/>
        </w:rPr>
        <w:t xml:space="preserve">Por lo que corresponde a la solicitud marcada con el número uno, en el cual se solicita </w:t>
      </w:r>
      <w:r>
        <w:rPr>
          <w:rFonts w:ascii="Palatino Linotype" w:eastAsia="Palatino Linotype" w:hAnsi="Palatino Linotype" w:cs="Palatino Linotype"/>
        </w:rPr>
        <w:t xml:space="preserve">del Centro Cultural Luis Nishizawa, del mes de abril de 2024 los </w:t>
      </w:r>
      <w:proofErr w:type="spellStart"/>
      <w:r>
        <w:rPr>
          <w:rFonts w:ascii="Palatino Linotype" w:eastAsia="Palatino Linotype" w:hAnsi="Palatino Linotype" w:cs="Palatino Linotype"/>
        </w:rPr>
        <w:t>ecibos</w:t>
      </w:r>
      <w:proofErr w:type="spellEnd"/>
      <w:r>
        <w:rPr>
          <w:rFonts w:ascii="Palatino Linotype" w:eastAsia="Palatino Linotype" w:hAnsi="Palatino Linotype" w:cs="Palatino Linotype"/>
        </w:rPr>
        <w:t xml:space="preserve"> de pago por renta. </w:t>
      </w:r>
    </w:p>
    <w:p w14:paraId="0E7AE802"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1C233B04"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rPr>
      </w:pPr>
      <w:r>
        <w:rPr>
          <w:rFonts w:ascii="Palatino Linotype" w:eastAsia="Palatino Linotype" w:hAnsi="Palatino Linotype" w:cs="Palatino Linotype"/>
        </w:rPr>
        <w:t>En respuesta el Sujeto Obligado,  remitió el formato de orden de pago del mes de abril del 2024, así como el acuerdo ACUERDO</w:t>
      </w:r>
      <w:r>
        <w:rPr>
          <w:rFonts w:ascii="Palatino Linotype" w:eastAsia="Palatino Linotype" w:hAnsi="Palatino Linotype" w:cs="Palatino Linotype"/>
          <w:i/>
        </w:rPr>
        <w:t xml:space="preserve">-01 CT/V-O/17-05-24 EN EL QUE SE CONFIRMA EL ACUERDO DE CLASIFICACIÓN DE INFORMACIÓN EN SU MODALIDAD  DE CONFIDENCIAL RESPECTO DEL FORMATO DE ORDEN DE PAGO </w:t>
      </w:r>
    </w:p>
    <w:p w14:paraId="0E9BDB54" w14:textId="77777777" w:rsidR="00197C0D" w:rsidRDefault="00197C0D">
      <w:pPr>
        <w:tabs>
          <w:tab w:val="left" w:pos="426"/>
        </w:tabs>
        <w:spacing w:after="0" w:line="360" w:lineRule="auto"/>
        <w:ind w:right="51"/>
        <w:jc w:val="both"/>
        <w:rPr>
          <w:rFonts w:ascii="Palatino Linotype" w:eastAsia="Palatino Linotype" w:hAnsi="Palatino Linotype" w:cs="Palatino Linotype"/>
        </w:rPr>
      </w:pPr>
    </w:p>
    <w:p w14:paraId="0C39D4F3"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 este Órgano Garante, realizó un análisis del formato de pago remitido en respuesta por el Sujeto Obligado, derivado de ello, se observó que en </w:t>
      </w:r>
      <w:r>
        <w:rPr>
          <w:rFonts w:ascii="Palatino Linotype" w:eastAsia="Palatino Linotype" w:hAnsi="Palatino Linotype" w:cs="Palatino Linotype"/>
          <w:color w:val="000000"/>
          <w:sz w:val="24"/>
          <w:szCs w:val="24"/>
        </w:rPr>
        <w:lastRenderedPageBreak/>
        <w:t xml:space="preserve">dicho documento se </w:t>
      </w:r>
      <w:r>
        <w:rPr>
          <w:rFonts w:ascii="Palatino Linotype" w:eastAsia="Palatino Linotype" w:hAnsi="Palatino Linotype" w:cs="Palatino Linotype"/>
          <w:sz w:val="24"/>
          <w:szCs w:val="24"/>
        </w:rPr>
        <w:t>testó</w:t>
      </w:r>
      <w:r>
        <w:rPr>
          <w:rFonts w:ascii="Palatino Linotype" w:eastAsia="Palatino Linotype" w:hAnsi="Palatino Linotype" w:cs="Palatino Linotype"/>
          <w:color w:val="000000"/>
          <w:sz w:val="24"/>
          <w:szCs w:val="24"/>
        </w:rPr>
        <w:t xml:space="preserve"> información como: Domicilio, Correo, Domicilio Fiscal, Municipio Fiscal, Estado Fiscal y Firma del Interesado.</w:t>
      </w:r>
    </w:p>
    <w:p w14:paraId="21AB20EE"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3D1B1C35"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anterior resulta necesario traer a contexto los siguientes criterios.</w:t>
      </w:r>
    </w:p>
    <w:p w14:paraId="5415FD9C"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6AAF3A23"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5F564334" w14:textId="77777777" w:rsidR="00197C0D" w:rsidRDefault="00557677">
      <w:pPr>
        <w:pBdr>
          <w:top w:val="nil"/>
          <w:left w:val="nil"/>
          <w:bottom w:val="nil"/>
          <w:right w:val="nil"/>
          <w:between w:val="nil"/>
        </w:pBdr>
        <w:spacing w:after="0" w:line="240" w:lineRule="auto"/>
        <w:ind w:left="720"/>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CRITERIO 08/19</w:t>
      </w:r>
    </w:p>
    <w:p w14:paraId="0B5D10B7" w14:textId="77777777" w:rsidR="00197C0D" w:rsidRDefault="00557677">
      <w:pPr>
        <w:pBdr>
          <w:top w:val="nil"/>
          <w:left w:val="nil"/>
          <w:bottom w:val="nil"/>
          <w:right w:val="nil"/>
          <w:between w:val="nil"/>
        </w:pBdr>
        <w:spacing w:after="0" w:line="240" w:lineRule="auto"/>
        <w:ind w:left="720"/>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Razón Social y RFC de personas morales.</w:t>
      </w:r>
    </w:p>
    <w:p w14:paraId="0C56E266" w14:textId="77777777" w:rsidR="00197C0D" w:rsidRDefault="00197C0D">
      <w:pPr>
        <w:pBdr>
          <w:top w:val="nil"/>
          <w:left w:val="nil"/>
          <w:bottom w:val="nil"/>
          <w:right w:val="nil"/>
          <w:between w:val="nil"/>
        </w:pBdr>
        <w:spacing w:after="0" w:line="240" w:lineRule="auto"/>
        <w:ind w:left="720"/>
        <w:jc w:val="both"/>
        <w:rPr>
          <w:rFonts w:ascii="Palatino Linotype" w:eastAsia="Palatino Linotype" w:hAnsi="Palatino Linotype" w:cs="Palatino Linotype"/>
          <w:b/>
          <w:i/>
          <w:color w:val="000000"/>
        </w:rPr>
      </w:pPr>
    </w:p>
    <w:p w14:paraId="7C381315" w14:textId="77777777" w:rsidR="00197C0D" w:rsidRDefault="00557677">
      <w:pPr>
        <w:tabs>
          <w:tab w:val="left" w:pos="426"/>
        </w:tabs>
        <w:spacing w:after="0"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E40F708" w14:textId="77777777" w:rsidR="00197C0D" w:rsidRDefault="00557677">
      <w:pPr>
        <w:tabs>
          <w:tab w:val="left" w:pos="426"/>
        </w:tabs>
        <w:spacing w:after="0"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http://criteriosdeinterpretacion.inai.org.mx/Criterios/08-19.docx</w:t>
      </w:r>
    </w:p>
    <w:p w14:paraId="6D519EAF"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6F4182ED" w14:textId="77777777" w:rsidR="00197C0D" w:rsidRDefault="00557677">
      <w:pPr>
        <w:tabs>
          <w:tab w:val="left" w:pos="426"/>
        </w:tabs>
        <w:spacing w:after="0" w:line="360" w:lineRule="auto"/>
        <w:ind w:left="567" w:right="333"/>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CRITERIO 10/13</w:t>
      </w:r>
    </w:p>
    <w:p w14:paraId="3F48B8E8" w14:textId="77777777" w:rsidR="00197C0D" w:rsidRDefault="00557677">
      <w:pPr>
        <w:tabs>
          <w:tab w:val="left" w:pos="426"/>
        </w:tabs>
        <w:spacing w:after="0" w:line="360" w:lineRule="auto"/>
        <w:ind w:left="567" w:right="333"/>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Número de cuenta bancaria de particulares, personas físicas y morales, constituyen información confidencial.</w:t>
      </w:r>
    </w:p>
    <w:p w14:paraId="63EA6B07" w14:textId="77777777" w:rsidR="00197C0D" w:rsidRDefault="00197C0D">
      <w:pPr>
        <w:tabs>
          <w:tab w:val="left" w:pos="426"/>
        </w:tabs>
        <w:spacing w:after="0" w:line="360" w:lineRule="auto"/>
        <w:ind w:left="567" w:right="333"/>
        <w:jc w:val="both"/>
        <w:rPr>
          <w:rFonts w:ascii="Palatino Linotype" w:eastAsia="Palatino Linotype" w:hAnsi="Palatino Linotype" w:cs="Palatino Linotype"/>
          <w:i/>
          <w:color w:val="000000"/>
        </w:rPr>
      </w:pPr>
    </w:p>
    <w:p w14:paraId="3318E813" w14:textId="77777777" w:rsidR="00197C0D" w:rsidRDefault="00557677">
      <w:pPr>
        <w:tabs>
          <w:tab w:val="left" w:pos="426"/>
        </w:tabs>
        <w:spacing w:after="0" w:line="360" w:lineRule="auto"/>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 conformidad con lo dispuesto en el artículo 18, fracciones I (personas morales) y ll (personas físicas) de la Ley Federal de Transparencia y Acceso a la Información Pública Gubernamental, el número de cuenta bancaria de los particulares es información confidencial por referirse a su patrimonio. A través de dicho número, el cliente puede acceder a la información relacionada con su patrimonio, contenida en las bases de datos de las instituciones bancarias y financieras, en donde se pueden realizar diversas </w:t>
      </w:r>
      <w:r>
        <w:rPr>
          <w:rFonts w:ascii="Palatino Linotype" w:eastAsia="Palatino Linotype" w:hAnsi="Palatino Linotype" w:cs="Palatino Linotype"/>
          <w:i/>
          <w:color w:val="000000"/>
        </w:rPr>
        <w:lastRenderedPageBreak/>
        <w:t>transacciones como son movimientos y consulta de saldos. Por lo anterior, en los casos en que el acceso a documentos conlleve la revelación del número de cuenta bancaria de un particular, deberán elaborarse versiones públicas en las que deberá testarse dicho dato, por tratarse de información de carácter patrimonial, cuya difusión no contribuye a la rendición de cuentas.</w:t>
      </w:r>
    </w:p>
    <w:p w14:paraId="5D8BF665" w14:textId="77777777" w:rsidR="00197C0D" w:rsidRDefault="00AC1397">
      <w:pPr>
        <w:tabs>
          <w:tab w:val="left" w:pos="426"/>
        </w:tabs>
        <w:spacing w:after="0" w:line="360" w:lineRule="auto"/>
        <w:ind w:left="567" w:right="333"/>
        <w:jc w:val="both"/>
        <w:rPr>
          <w:rFonts w:ascii="Palatino Linotype" w:eastAsia="Palatino Linotype" w:hAnsi="Palatino Linotype" w:cs="Palatino Linotype"/>
          <w:i/>
          <w:color w:val="000000"/>
        </w:rPr>
      </w:pPr>
      <w:hyperlink r:id="rId8">
        <w:r w:rsidR="00557677">
          <w:rPr>
            <w:rFonts w:ascii="Palatino Linotype" w:eastAsia="Palatino Linotype" w:hAnsi="Palatino Linotype" w:cs="Palatino Linotype"/>
            <w:i/>
            <w:color w:val="0563C1"/>
            <w:u w:val="single"/>
          </w:rPr>
          <w:t>http://criteriosdeinterpretacion.inai.org.mx/Criterios/10-13.docx</w:t>
        </w:r>
      </w:hyperlink>
    </w:p>
    <w:p w14:paraId="5D786432" w14:textId="77777777" w:rsidR="00197C0D" w:rsidRDefault="00197C0D">
      <w:pPr>
        <w:tabs>
          <w:tab w:val="left" w:pos="426"/>
        </w:tabs>
        <w:spacing w:after="0" w:line="360" w:lineRule="auto"/>
        <w:ind w:right="333"/>
        <w:jc w:val="both"/>
        <w:rPr>
          <w:rFonts w:ascii="Palatino Linotype" w:eastAsia="Palatino Linotype" w:hAnsi="Palatino Linotype" w:cs="Palatino Linotype"/>
          <w:i/>
          <w:color w:val="000000"/>
        </w:rPr>
      </w:pPr>
    </w:p>
    <w:p w14:paraId="6EA8B464"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Como se refirió en el párrafo treinta y ocho, el Sujeto Obligado testo datos, entre los que cabe destacar el Domicilio Fiscal, Municipio Fiscal, Estado Fiscal, por lo que después del análisis realizado, cabe señalar que los datos testados por el Sujeto Obligado no hacen identificable a ninguna persona física y el no testar dicha información </w:t>
      </w:r>
      <w:r>
        <w:rPr>
          <w:rFonts w:ascii="Palatino Linotype" w:eastAsia="Palatino Linotype" w:hAnsi="Palatino Linotype" w:cs="Palatino Linotype"/>
          <w:b/>
          <w:color w:val="000000"/>
          <w:sz w:val="24"/>
          <w:szCs w:val="24"/>
        </w:rPr>
        <w:t>abona a la transparencia</w:t>
      </w:r>
      <w:r>
        <w:rPr>
          <w:rFonts w:ascii="Palatino Linotype" w:eastAsia="Palatino Linotype" w:hAnsi="Palatino Linotype" w:cs="Palatino Linotype"/>
          <w:color w:val="000000"/>
          <w:sz w:val="24"/>
          <w:szCs w:val="24"/>
        </w:rPr>
        <w:t>, por lo que resulta dable ORDENAR al Sujeto Obligado haga entrega del Formato de Orden de Pago remitido en respuesta, en una correcta versión pública, al mismo deberá de acompañar el acuerdo del comité que sustente la versión pública del documento que se Ordena.</w:t>
      </w:r>
    </w:p>
    <w:p w14:paraId="591D658D"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57CDAA90" w14:textId="77777777" w:rsidR="00197C0D" w:rsidRDefault="00557677">
      <w:pPr>
        <w:numPr>
          <w:ilvl w:val="0"/>
          <w:numId w:val="4"/>
        </w:numPr>
        <w:tabs>
          <w:tab w:val="left" w:pos="426"/>
        </w:tabs>
        <w:spacing w:after="0" w:line="360" w:lineRule="auto"/>
        <w:ind w:left="0" w:right="51"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Ahora bien por lo que respecta a la solicitud de información señalada con el numeral dos, en el cual solicita los </w:t>
      </w:r>
      <w:r>
        <w:rPr>
          <w:rFonts w:ascii="Palatino Linotype" w:eastAsia="Palatino Linotype" w:hAnsi="Palatino Linotype" w:cs="Palatino Linotype"/>
          <w:sz w:val="24"/>
          <w:szCs w:val="24"/>
        </w:rPr>
        <w:t>Oficios de petición de uso. El Sujeto Obligado en respuesta informó que no se generó información al respecto.</w:t>
      </w:r>
    </w:p>
    <w:p w14:paraId="08153613"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30C82FA0" w14:textId="77777777" w:rsidR="00197C0D" w:rsidRDefault="00557677">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w:t>
      </w:r>
      <w:r>
        <w:rPr>
          <w:rFonts w:ascii="Palatino Linotype" w:eastAsia="Palatino Linotype" w:hAnsi="Palatino Linotype" w:cs="Palatino Linotype"/>
          <w:sz w:val="24"/>
          <w:szCs w:val="24"/>
        </w:rPr>
        <w:lastRenderedPageBreak/>
        <w:t>de México y Municipios, y ante una hecho negativo resulta aplicable la siguiente tesis:</w:t>
      </w:r>
    </w:p>
    <w:p w14:paraId="0AD7D3DC" w14:textId="77777777" w:rsidR="00197C0D" w:rsidRDefault="00197C0D">
      <w:pPr>
        <w:spacing w:after="0" w:line="240" w:lineRule="auto"/>
        <w:ind w:left="720"/>
        <w:rPr>
          <w:rFonts w:ascii="Palatino Linotype" w:eastAsia="Palatino Linotype" w:hAnsi="Palatino Linotype" w:cs="Palatino Linotype"/>
          <w:sz w:val="24"/>
          <w:szCs w:val="24"/>
        </w:rPr>
      </w:pPr>
    </w:p>
    <w:p w14:paraId="14E76462" w14:textId="77777777" w:rsidR="00197C0D" w:rsidRDefault="00557677">
      <w:pPr>
        <w:spacing w:after="0" w:line="360" w:lineRule="auto"/>
        <w:ind w:left="851" w:right="56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HECHOS NEGATIVOS, NO SON SUSCEPTIBLES DE DEMOSTRACIÓN. </w:t>
      </w:r>
    </w:p>
    <w:p w14:paraId="0C02C5B1" w14:textId="77777777" w:rsidR="00197C0D" w:rsidRDefault="00557677">
      <w:pPr>
        <w:spacing w:after="0" w:line="360" w:lineRule="auto"/>
        <w:ind w:left="851"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Tratándose de un hecho negativo, el Juez no tiene </w:t>
      </w:r>
      <w:proofErr w:type="spellStart"/>
      <w:r>
        <w:rPr>
          <w:rFonts w:ascii="Palatino Linotype" w:eastAsia="Palatino Linotype" w:hAnsi="Palatino Linotype" w:cs="Palatino Linotype"/>
          <w:i/>
          <w:sz w:val="24"/>
          <w:szCs w:val="24"/>
        </w:rPr>
        <w:t>por que</w:t>
      </w:r>
      <w:proofErr w:type="spellEnd"/>
      <w:r>
        <w:rPr>
          <w:rFonts w:ascii="Palatino Linotype" w:eastAsia="Palatino Linotype" w:hAnsi="Palatino Linotype" w:cs="Palatino Linotype"/>
          <w:i/>
          <w:sz w:val="24"/>
          <w:szCs w:val="24"/>
        </w:rPr>
        <w:t xml:space="preserve"> invocar prueba alguna de la que se desprenda, ya que es bien sabido que esta clase de hechos no son susceptibles de demostración.</w:t>
      </w:r>
    </w:p>
    <w:p w14:paraId="6166D2B8" w14:textId="77777777" w:rsidR="00197C0D" w:rsidRDefault="00557677">
      <w:pPr>
        <w:spacing w:after="0" w:line="360" w:lineRule="auto"/>
        <w:ind w:left="851"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Amparo en revisión 2022/61. José García Florín (Menor). 9 de octubre de 1961. Cinco votos. Ponente: José Rivera Pérez Campos.”</w:t>
      </w:r>
    </w:p>
    <w:p w14:paraId="40AEB842" w14:textId="77777777" w:rsidR="00197C0D" w:rsidRDefault="00197C0D">
      <w:pPr>
        <w:spacing w:after="0" w:line="360" w:lineRule="auto"/>
        <w:ind w:left="709" w:right="758"/>
        <w:jc w:val="both"/>
        <w:rPr>
          <w:rFonts w:ascii="Palatino Linotype" w:eastAsia="Palatino Linotype" w:hAnsi="Palatino Linotype" w:cs="Palatino Linotype"/>
          <w:i/>
          <w:sz w:val="24"/>
          <w:szCs w:val="24"/>
        </w:rPr>
      </w:pPr>
    </w:p>
    <w:p w14:paraId="09DF8689" w14:textId="77777777" w:rsidR="00197C0D" w:rsidRDefault="00557677">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y de conformidad con lo establecido en el artículo 12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anteriormente invocado,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únicamente proporcionará la información que obra en sus archivos, lo que a</w:t>
      </w:r>
      <w:r>
        <w:rPr>
          <w:rFonts w:ascii="Palatino Linotype" w:eastAsia="Palatino Linotype" w:hAnsi="Palatino Linotype" w:cs="Palatino Linotype"/>
          <w:i/>
          <w:sz w:val="24"/>
          <w:szCs w:val="24"/>
        </w:rPr>
        <w:t xml:space="preserve"> contrario sensu</w:t>
      </w:r>
      <w:r>
        <w:rPr>
          <w:rFonts w:ascii="Palatino Linotype" w:eastAsia="Palatino Linotype" w:hAnsi="Palatino Linotype" w:cs="Palatino Linotype"/>
          <w:sz w:val="24"/>
          <w:szCs w:val="24"/>
        </w:rPr>
        <w:t xml:space="preserve"> significa que no se está obligado a proporcionar lo que no obre en sus archivos.</w:t>
      </w:r>
    </w:p>
    <w:p w14:paraId="5F38DEFB" w14:textId="77777777" w:rsidR="00197C0D" w:rsidRDefault="00197C0D">
      <w:pPr>
        <w:spacing w:after="0" w:line="360" w:lineRule="auto"/>
        <w:jc w:val="both"/>
        <w:rPr>
          <w:rFonts w:ascii="Palatino Linotype" w:eastAsia="Palatino Linotype" w:hAnsi="Palatino Linotype" w:cs="Palatino Linotype"/>
          <w:sz w:val="24"/>
          <w:szCs w:val="24"/>
        </w:rPr>
      </w:pPr>
    </w:p>
    <w:p w14:paraId="23CF1947" w14:textId="77777777" w:rsidR="00197C0D" w:rsidRDefault="00557677" w:rsidP="00B36D10">
      <w:pPr>
        <w:numPr>
          <w:ilvl w:val="0"/>
          <w:numId w:val="4"/>
        </w:numPr>
        <w:spacing w:after="0" w:line="360" w:lineRule="auto"/>
        <w:ind w:left="0" w:firstLine="0"/>
        <w:jc w:val="both"/>
        <w:rPr>
          <w:rFonts w:ascii="Palatino Linotype" w:eastAsia="Palatino Linotype" w:hAnsi="Palatino Linotype" w:cs="Palatino Linotype"/>
          <w:color w:val="000000"/>
          <w:sz w:val="24"/>
          <w:szCs w:val="24"/>
        </w:rPr>
      </w:pPr>
      <w:r w:rsidRPr="00B36D10">
        <w:rPr>
          <w:rFonts w:ascii="Palatino Linotype" w:eastAsia="Palatino Linotype" w:hAnsi="Palatino Linotype" w:cs="Palatino Linotype"/>
          <w:sz w:val="24"/>
          <w:szCs w:val="24"/>
        </w:rPr>
        <w:t>Ahora</w:t>
      </w:r>
      <w:r>
        <w:rPr>
          <w:rFonts w:ascii="Palatino Linotype" w:eastAsia="Palatino Linotype" w:hAnsi="Palatino Linotype" w:cs="Palatino Linotype"/>
          <w:color w:val="000000"/>
          <w:sz w:val="24"/>
          <w:szCs w:val="24"/>
        </w:rPr>
        <w:t xml:space="preserve"> bien, con independencia de ellos, es importante precisar que el documento donde conste los Oficios de petición de uso Del Centro Cultural Luis Nishizawa, del mes de abril de 2024, pudieran ser a través de la elaboración un documento elaborado ad hoc para dar cabal cumplimiento al derecho de acceso a la información del particular aún y </w:t>
      </w:r>
      <w:r>
        <w:rPr>
          <w:rFonts w:ascii="Palatino Linotype" w:eastAsia="Palatino Linotype" w:hAnsi="Palatino Linotype" w:cs="Palatino Linotype"/>
          <w:b/>
          <w:color w:val="000000"/>
          <w:sz w:val="24"/>
          <w:szCs w:val="24"/>
        </w:rPr>
        <w:t>cuando no es una obligación de las autoridades</w:t>
      </w:r>
      <w:r>
        <w:rPr>
          <w:rFonts w:ascii="Palatino Linotype" w:eastAsia="Palatino Linotype" w:hAnsi="Palatino Linotype" w:cs="Palatino Linotype"/>
          <w:color w:val="000000"/>
          <w:sz w:val="24"/>
          <w:szCs w:val="24"/>
        </w:rPr>
        <w:t xml:space="preserve"> tal y como lo señala el Criterio 09-10, emitido por el Pleno del entonces Instituto Federal de Acceso a la Información y Protección de Datos, ahora Instituto Nacional </w:t>
      </w:r>
      <w:r>
        <w:rPr>
          <w:rFonts w:ascii="Palatino Linotype" w:eastAsia="Palatino Linotype" w:hAnsi="Palatino Linotype" w:cs="Palatino Linotype"/>
          <w:color w:val="000000"/>
          <w:sz w:val="24"/>
          <w:szCs w:val="24"/>
        </w:rPr>
        <w:lastRenderedPageBreak/>
        <w:t>de Transparencia, Acceso a la Información y Protección de Datos Personales, que dice:</w:t>
      </w:r>
      <w:r>
        <w:rPr>
          <w:rFonts w:ascii="Palatino Linotype" w:eastAsia="Palatino Linotype" w:hAnsi="Palatino Linotype" w:cs="Palatino Linotype"/>
          <w:b/>
          <w:color w:val="000000"/>
          <w:sz w:val="24"/>
          <w:szCs w:val="24"/>
        </w:rPr>
        <w:t xml:space="preserve"> </w:t>
      </w:r>
    </w:p>
    <w:p w14:paraId="5B098751" w14:textId="77777777" w:rsidR="00197C0D" w:rsidRDefault="00197C0D">
      <w:pPr>
        <w:spacing w:after="0" w:line="360" w:lineRule="auto"/>
        <w:ind w:right="49"/>
        <w:jc w:val="both"/>
        <w:rPr>
          <w:rFonts w:ascii="Palatino Linotype" w:eastAsia="Palatino Linotype" w:hAnsi="Palatino Linotype" w:cs="Palatino Linotype"/>
          <w:sz w:val="24"/>
          <w:szCs w:val="24"/>
        </w:rPr>
      </w:pPr>
    </w:p>
    <w:p w14:paraId="1799160E" w14:textId="77777777" w:rsidR="00197C0D" w:rsidRDefault="00557677">
      <w:pPr>
        <w:spacing w:after="0" w:line="360" w:lineRule="auto"/>
        <w:ind w:left="851" w:right="8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6EFD294" w14:textId="77777777" w:rsidR="00197C0D" w:rsidRDefault="00197C0D">
      <w:pPr>
        <w:spacing w:after="0" w:line="360" w:lineRule="auto"/>
        <w:jc w:val="both"/>
        <w:rPr>
          <w:rFonts w:ascii="Palatino Linotype" w:eastAsia="Palatino Linotype" w:hAnsi="Palatino Linotype" w:cs="Palatino Linotype"/>
          <w:sz w:val="24"/>
          <w:szCs w:val="24"/>
        </w:rPr>
      </w:pPr>
    </w:p>
    <w:p w14:paraId="196E5A26" w14:textId="77777777" w:rsidR="00197C0D" w:rsidRDefault="00557677">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Luego entonces, el</w:t>
      </w:r>
      <w:r>
        <w:rPr>
          <w:rFonts w:ascii="Palatino Linotype" w:eastAsia="Palatino Linotype" w:hAnsi="Palatino Linotype" w:cs="Palatino Linotype"/>
          <w:b/>
          <w:sz w:val="24"/>
          <w:szCs w:val="24"/>
        </w:rPr>
        <w:t xml:space="preserve"> SUJETO OBLIGADO, </w:t>
      </w:r>
      <w:r>
        <w:rPr>
          <w:rFonts w:ascii="Palatino Linotype" w:eastAsia="Palatino Linotype" w:hAnsi="Palatino Linotype" w:cs="Palatino Linotype"/>
          <w:sz w:val="24"/>
          <w:szCs w:val="24"/>
        </w:rPr>
        <w:t xml:space="preserve">no se encuentra obligado a generar cálculos o a procesar la información a efecto de atender los </w:t>
      </w:r>
      <w:r>
        <w:rPr>
          <w:rFonts w:ascii="Palatino Linotype" w:eastAsia="Palatino Linotype" w:hAnsi="Palatino Linotype" w:cs="Palatino Linotype"/>
          <w:color w:val="000000"/>
          <w:sz w:val="24"/>
          <w:szCs w:val="24"/>
        </w:rPr>
        <w:t>requerimientos</w:t>
      </w:r>
      <w:r>
        <w:rPr>
          <w:rFonts w:ascii="Palatino Linotype" w:eastAsia="Palatino Linotype" w:hAnsi="Palatino Linotype" w:cs="Palatino Linotype"/>
          <w:sz w:val="24"/>
          <w:szCs w:val="24"/>
        </w:rPr>
        <w:t xml:space="preserve"> del solicitante conforme a sus intereses particular. En ese contexto el artículo 12 de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señala que la obligación de proporcionar información </w:t>
      </w:r>
      <w:r>
        <w:rPr>
          <w:rFonts w:ascii="Palatino Linotype" w:eastAsia="Palatino Linotype" w:hAnsi="Palatino Linotype" w:cs="Palatino Linotype"/>
          <w:b/>
          <w:sz w:val="24"/>
          <w:szCs w:val="24"/>
        </w:rPr>
        <w:t>no comprende</w:t>
      </w:r>
      <w:r>
        <w:rPr>
          <w:rFonts w:ascii="Palatino Linotype" w:eastAsia="Palatino Linotype" w:hAnsi="Palatino Linotype" w:cs="Palatino Linotype"/>
          <w:sz w:val="24"/>
          <w:szCs w:val="24"/>
        </w:rPr>
        <w:t xml:space="preserve"> el procesamiento de la misma:</w:t>
      </w:r>
    </w:p>
    <w:p w14:paraId="39852A3D" w14:textId="77777777" w:rsidR="00197C0D" w:rsidRDefault="00197C0D">
      <w:pPr>
        <w:spacing w:after="0" w:line="360" w:lineRule="auto"/>
        <w:jc w:val="both"/>
        <w:rPr>
          <w:rFonts w:ascii="Palatino Linotype" w:eastAsia="Palatino Linotype" w:hAnsi="Palatino Linotype" w:cs="Palatino Linotype"/>
          <w:sz w:val="24"/>
          <w:szCs w:val="24"/>
        </w:rPr>
      </w:pPr>
    </w:p>
    <w:p w14:paraId="44B2361C" w14:textId="77777777" w:rsidR="00197C0D" w:rsidRDefault="00557677">
      <w:pPr>
        <w:spacing w:after="0" w:line="36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lastRenderedPageBreak/>
        <w:t xml:space="preserve">Artículo 12. </w:t>
      </w:r>
      <w:r>
        <w:rPr>
          <w:rFonts w:ascii="Palatino Linotype" w:eastAsia="Palatino Linotype" w:hAnsi="Palatino Linotype" w:cs="Palatino Linotype"/>
          <w:i/>
          <w:sz w:val="24"/>
          <w:szCs w:val="24"/>
        </w:rPr>
        <w:t>Quienes generen, recopilen, administren, manejen, procesen, archiven o conserven información pública serán responsables de la misma en los términos de las disposiciones jurídicas aplicables.</w:t>
      </w:r>
    </w:p>
    <w:p w14:paraId="03D2A2BF" w14:textId="77777777" w:rsidR="00197C0D" w:rsidRDefault="00197C0D">
      <w:pPr>
        <w:spacing w:after="0" w:line="360" w:lineRule="auto"/>
        <w:ind w:left="567" w:right="567"/>
        <w:jc w:val="both"/>
        <w:rPr>
          <w:rFonts w:ascii="Palatino Linotype" w:eastAsia="Palatino Linotype" w:hAnsi="Palatino Linotype" w:cs="Palatino Linotype"/>
          <w:i/>
          <w:sz w:val="24"/>
          <w:szCs w:val="24"/>
        </w:rPr>
      </w:pPr>
    </w:p>
    <w:p w14:paraId="42BA334E" w14:textId="77777777" w:rsidR="00197C0D" w:rsidRDefault="00557677">
      <w:pPr>
        <w:spacing w:after="0" w:line="360" w:lineRule="auto"/>
        <w:ind w:left="567" w:right="56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Los sujetos obligados </w:t>
      </w:r>
      <w:r>
        <w:rPr>
          <w:rFonts w:ascii="Palatino Linotype" w:eastAsia="Palatino Linotype" w:hAnsi="Palatino Linotype" w:cs="Palatino Linotype"/>
          <w:b/>
          <w:i/>
          <w:sz w:val="24"/>
          <w:szCs w:val="24"/>
        </w:rPr>
        <w:t>sólo proporcionarán la información pública que se les requiera y que obre en sus archivos</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b/>
          <w:i/>
          <w:sz w:val="24"/>
          <w:szCs w:val="24"/>
        </w:rPr>
        <w:t xml:space="preserve">y en el </w:t>
      </w:r>
      <w:r>
        <w:rPr>
          <w:rFonts w:ascii="Palatino Linotype" w:eastAsia="Palatino Linotype" w:hAnsi="Palatino Linotype" w:cs="Palatino Linotype"/>
          <w:b/>
          <w:i/>
          <w:sz w:val="24"/>
          <w:szCs w:val="24"/>
          <w:u w:val="single"/>
        </w:rPr>
        <w:t>estado en que ésta se encuentre.</w:t>
      </w:r>
      <w:r>
        <w:rPr>
          <w:rFonts w:ascii="Palatino Linotype" w:eastAsia="Palatino Linotype" w:hAnsi="Palatino Linotype" w:cs="Palatino Linotype"/>
          <w:i/>
          <w:sz w:val="24"/>
          <w:szCs w:val="24"/>
        </w:rPr>
        <w:t xml:space="preserve"> La obligación de proporcionar información </w:t>
      </w:r>
      <w:r>
        <w:rPr>
          <w:rFonts w:ascii="Palatino Linotype" w:eastAsia="Palatino Linotype" w:hAnsi="Palatino Linotype" w:cs="Palatino Linotype"/>
          <w:b/>
          <w:i/>
          <w:sz w:val="24"/>
          <w:szCs w:val="24"/>
        </w:rPr>
        <w:t>no comprende</w:t>
      </w:r>
      <w:r>
        <w:rPr>
          <w:rFonts w:ascii="Palatino Linotype" w:eastAsia="Palatino Linotype" w:hAnsi="Palatino Linotype" w:cs="Palatino Linotype"/>
          <w:i/>
          <w:sz w:val="24"/>
          <w:szCs w:val="24"/>
        </w:rPr>
        <w:t xml:space="preserve"> el procesamiento de la misma, ni el presentarla conforme al interés del solicitante; no estarán obligados a </w:t>
      </w:r>
      <w:r>
        <w:rPr>
          <w:rFonts w:ascii="Palatino Linotype" w:eastAsia="Palatino Linotype" w:hAnsi="Palatino Linotype" w:cs="Palatino Linotype"/>
          <w:b/>
          <w:i/>
          <w:sz w:val="24"/>
          <w:szCs w:val="24"/>
        </w:rPr>
        <w:t>generarla, resumirla, efectuar cálculos o práctica investigaciones</w:t>
      </w:r>
      <w:r>
        <w:rPr>
          <w:rFonts w:ascii="Palatino Linotype" w:eastAsia="Palatino Linotype" w:hAnsi="Palatino Linotype" w:cs="Palatino Linotype"/>
          <w:i/>
          <w:sz w:val="24"/>
          <w:szCs w:val="24"/>
        </w:rPr>
        <w:t>.</w:t>
      </w:r>
    </w:p>
    <w:p w14:paraId="7C4F20D5" w14:textId="77777777" w:rsidR="00197C0D" w:rsidRDefault="00197C0D">
      <w:pPr>
        <w:spacing w:after="0" w:line="360" w:lineRule="auto"/>
        <w:jc w:val="both"/>
        <w:rPr>
          <w:rFonts w:ascii="Palatino Linotype" w:eastAsia="Palatino Linotype" w:hAnsi="Palatino Linotype" w:cs="Palatino Linotype"/>
          <w:sz w:val="24"/>
          <w:szCs w:val="24"/>
        </w:rPr>
      </w:pPr>
    </w:p>
    <w:p w14:paraId="02AB81FF" w14:textId="77777777" w:rsidR="00197C0D" w:rsidRDefault="00557677">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Entonces, dado a que el Criterio en mención establece que las autoridades </w:t>
      </w:r>
      <w:r>
        <w:rPr>
          <w:rFonts w:ascii="Palatino Linotype" w:eastAsia="Palatino Linotype" w:hAnsi="Palatino Linotype" w:cs="Palatino Linotype"/>
          <w:b/>
          <w:sz w:val="24"/>
          <w:szCs w:val="24"/>
        </w:rPr>
        <w:t xml:space="preserve">no están obligadas a generar documentos </w:t>
      </w:r>
      <w:r>
        <w:rPr>
          <w:rFonts w:ascii="Palatino Linotype" w:eastAsia="Palatino Linotype" w:hAnsi="Palatino Linotype" w:cs="Palatino Linotype"/>
          <w:b/>
          <w:i/>
          <w:sz w:val="24"/>
          <w:szCs w:val="24"/>
        </w:rPr>
        <w:t>ad hoc</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por lo que generar un documento de tales características, seria generar un documento inexistente previo a la solicitud de información. En ese contexto es de explorado derecho que el derecho de acceso a la información pública es un derecho que versa sobre documentos que generan, poseen y administran los sujetos obligados en ejercicio de sus funciones de derecho público, previo a la interposición de una solicitud de acceso a la información, de modo tal que se tiene por colmado el rubro en comento.</w:t>
      </w:r>
    </w:p>
    <w:p w14:paraId="08A6B56F"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7E8B13BA" w14:textId="77777777" w:rsidR="00197C0D" w:rsidRDefault="00557677">
      <w:pPr>
        <w:numPr>
          <w:ilvl w:val="0"/>
          <w:numId w:val="4"/>
        </w:numPr>
        <w:tabs>
          <w:tab w:val="left" w:pos="284"/>
        </w:tabs>
        <w:spacing w:after="0" w:line="360" w:lineRule="auto"/>
        <w:ind w:left="0" w:right="49"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t xml:space="preserve">En este mismo sentido como se advierte de la respuesta,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informó que no se generó información respecto a Oficios de petición de uso del Centro Cultural Luis Nish</w:t>
      </w:r>
      <w:r w:rsidR="00B36D10">
        <w:rPr>
          <w:rFonts w:ascii="Palatino Linotype" w:eastAsia="Palatino Linotype" w:hAnsi="Palatino Linotype" w:cs="Palatino Linotype"/>
          <w:sz w:val="24"/>
          <w:szCs w:val="24"/>
        </w:rPr>
        <w:t>izawa, del mes de abril de 2024.</w:t>
      </w:r>
    </w:p>
    <w:p w14:paraId="3880C471" w14:textId="77777777" w:rsidR="00197C0D" w:rsidRDefault="00557677" w:rsidP="00B36D10">
      <w:pPr>
        <w:numPr>
          <w:ilvl w:val="0"/>
          <w:numId w:val="4"/>
        </w:numPr>
        <w:tabs>
          <w:tab w:val="left" w:pos="284"/>
        </w:tabs>
        <w:spacing w:after="0" w:line="360" w:lineRule="auto"/>
        <w:ind w:left="0" w:right="49"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lastRenderedPageBreak/>
        <w:t xml:space="preserve">Al respecto,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sz w:val="24"/>
          <w:szCs w:val="24"/>
        </w:rPr>
        <w:t>máxime</w:t>
      </w:r>
      <w:r>
        <w:rPr>
          <w:rFonts w:ascii="Palatino Linotype" w:eastAsia="Palatino Linotype" w:hAnsi="Palatino Linotype" w:cs="Palatino Linotype"/>
          <w:color w:val="000000"/>
          <w:sz w:val="24"/>
          <w:szCs w:val="24"/>
        </w:rPr>
        <w:t xml:space="preserve"> que </w:t>
      </w:r>
      <w:r>
        <w:rPr>
          <w:rFonts w:ascii="Palatino Linotype" w:eastAsia="Palatino Linotype" w:hAnsi="Palatino Linotype" w:cs="Palatino Linotype"/>
          <w:b/>
          <w:color w:val="000000"/>
          <w:sz w:val="24"/>
          <w:szCs w:val="24"/>
          <w:u w:val="single"/>
        </w:rPr>
        <w:t>al momento que ponen a disposición ésta, la misma tiene el carácter oficial y se presume veraz, tan es así que la misma queda registrada en el Sistema de Acceso a la Información Mexiquense (SAIMEX).</w:t>
      </w:r>
    </w:p>
    <w:p w14:paraId="3EFCF3C0" w14:textId="77777777" w:rsidR="00197C0D" w:rsidRDefault="00197C0D">
      <w:pPr>
        <w:spacing w:after="0" w:line="360" w:lineRule="auto"/>
        <w:ind w:left="720" w:firstLine="708"/>
        <w:rPr>
          <w:rFonts w:ascii="Palatino Linotype" w:eastAsia="Palatino Linotype" w:hAnsi="Palatino Linotype" w:cs="Palatino Linotype"/>
          <w:color w:val="000000"/>
          <w:sz w:val="24"/>
          <w:szCs w:val="24"/>
        </w:rPr>
      </w:pPr>
    </w:p>
    <w:p w14:paraId="091FD848" w14:textId="77777777" w:rsidR="00197C0D" w:rsidRDefault="00557677">
      <w:pPr>
        <w:numPr>
          <w:ilvl w:val="0"/>
          <w:numId w:val="4"/>
        </w:numPr>
        <w:tabs>
          <w:tab w:val="left" w:pos="284"/>
        </w:tabs>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Sirviendo de apoyo a lo anterior por analogía, el criterio 31-10 emitido por el ahora Instituto Nacional de Transparencia, Acceso a la Información y Protección de Datos Personales, que a la letra dice:</w:t>
      </w:r>
    </w:p>
    <w:p w14:paraId="25B8F93B" w14:textId="77777777" w:rsidR="00197C0D" w:rsidRDefault="00197C0D">
      <w:pPr>
        <w:tabs>
          <w:tab w:val="left" w:pos="284"/>
        </w:tabs>
        <w:spacing w:after="0" w:line="360" w:lineRule="auto"/>
        <w:jc w:val="center"/>
        <w:rPr>
          <w:rFonts w:ascii="Palatino Linotype" w:eastAsia="Palatino Linotype" w:hAnsi="Palatino Linotype" w:cs="Palatino Linotype"/>
          <w:color w:val="000000"/>
          <w:sz w:val="24"/>
          <w:szCs w:val="24"/>
        </w:rPr>
      </w:pPr>
    </w:p>
    <w:p w14:paraId="443E1351" w14:textId="77777777" w:rsidR="00197C0D" w:rsidRDefault="00557677">
      <w:pPr>
        <w:spacing w:after="0" w:line="360" w:lineRule="auto"/>
        <w:ind w:left="851" w:right="85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El Instituto Federal de Acceso a la Información y Protección de Datos </w:t>
      </w:r>
      <w:r>
        <w:rPr>
          <w:rFonts w:ascii="Palatino Linotype" w:eastAsia="Palatino Linotype" w:hAnsi="Palatino Linotype" w:cs="Palatino Linotype"/>
          <w:b/>
          <w:i/>
          <w:color w:val="000000"/>
          <w:sz w:val="24"/>
          <w:szCs w:val="24"/>
        </w:rPr>
        <w:t>no cuenta con facultades para pronunciarse respecto de la veracidad de los documentos proporcionados por los sujetos obligados.</w:t>
      </w:r>
      <w:r>
        <w:rPr>
          <w:rFonts w:ascii="Palatino Linotype" w:eastAsia="Palatino Linotype" w:hAnsi="Palatino Linotype" w:cs="Palatino Linotype"/>
          <w:i/>
          <w:color w:val="000000"/>
          <w:sz w:val="24"/>
          <w:szCs w:val="24"/>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w:t>
      </w:r>
      <w:r>
        <w:rPr>
          <w:rFonts w:ascii="Palatino Linotype" w:eastAsia="Palatino Linotype" w:hAnsi="Palatino Linotype" w:cs="Palatino Linotype"/>
          <w:i/>
          <w:color w:val="000000"/>
          <w:sz w:val="24"/>
          <w:szCs w:val="24"/>
        </w:rPr>
        <w:lastRenderedPageBreak/>
        <w:t>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C77DDD3" w14:textId="77777777" w:rsidR="00197C0D" w:rsidRDefault="00197C0D">
      <w:pPr>
        <w:spacing w:after="0" w:line="360" w:lineRule="auto"/>
        <w:ind w:left="851" w:right="850"/>
        <w:jc w:val="both"/>
        <w:rPr>
          <w:rFonts w:ascii="Palatino Linotype" w:eastAsia="Palatino Linotype" w:hAnsi="Palatino Linotype" w:cs="Palatino Linotype"/>
          <w:i/>
          <w:color w:val="000000"/>
          <w:sz w:val="24"/>
          <w:szCs w:val="24"/>
        </w:rPr>
      </w:pPr>
    </w:p>
    <w:p w14:paraId="3D85A17F" w14:textId="77777777" w:rsidR="00197C0D" w:rsidRDefault="00557677">
      <w:pPr>
        <w:numPr>
          <w:ilvl w:val="0"/>
          <w:numId w:val="4"/>
        </w:numP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mismo,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A9167AB" w14:textId="77777777" w:rsidR="00197C0D" w:rsidRDefault="00197C0D">
      <w:pPr>
        <w:spacing w:after="0" w:line="360" w:lineRule="auto"/>
        <w:jc w:val="both"/>
        <w:rPr>
          <w:rFonts w:ascii="Palatino Linotype" w:eastAsia="Palatino Linotype" w:hAnsi="Palatino Linotype" w:cs="Palatino Linotype"/>
          <w:sz w:val="24"/>
          <w:szCs w:val="24"/>
        </w:rPr>
      </w:pPr>
    </w:p>
    <w:p w14:paraId="4742DF7D" w14:textId="77777777" w:rsidR="00197C0D" w:rsidRDefault="00557677">
      <w:pPr>
        <w:spacing w:after="0" w:line="360" w:lineRule="auto"/>
        <w:ind w:left="644" w:right="902"/>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sz w:val="24"/>
          <w:szCs w:val="24"/>
        </w:rPr>
        <w:t>Los Sujetos Obligados deben poner en práctica, políticas y programas de acceso a la información que se apeguen a criterios de publicidad, veracidad, oportunidad, precisión y suficiencia en beneficio de los solicitantes.</w:t>
      </w:r>
    </w:p>
    <w:p w14:paraId="6B84AC7A" w14:textId="77777777" w:rsidR="00197C0D" w:rsidRDefault="00197C0D">
      <w:pPr>
        <w:spacing w:after="0" w:line="360" w:lineRule="auto"/>
        <w:ind w:right="902"/>
        <w:jc w:val="both"/>
        <w:rPr>
          <w:rFonts w:ascii="Palatino Linotype" w:eastAsia="Palatino Linotype" w:hAnsi="Palatino Linotype" w:cs="Palatino Linotype"/>
          <w:b/>
          <w:i/>
          <w:sz w:val="24"/>
          <w:szCs w:val="24"/>
        </w:rPr>
      </w:pPr>
    </w:p>
    <w:p w14:paraId="5BD9BE01" w14:textId="77777777" w:rsidR="00197C0D" w:rsidRDefault="00557677">
      <w:pPr>
        <w:numPr>
          <w:ilvl w:val="0"/>
          <w:numId w:val="4"/>
        </w:numPr>
        <w:tabs>
          <w:tab w:val="left" w:pos="284"/>
        </w:tabs>
        <w:spacing w:after="0" w:line="360" w:lineRule="auto"/>
        <w:ind w:left="0" w:right="51"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w:t>
      </w:r>
      <w:proofErr w:type="spellStart"/>
      <w:r>
        <w:rPr>
          <w:rFonts w:ascii="Palatino Linotype" w:eastAsia="Palatino Linotype" w:hAnsi="Palatino Linotype" w:cs="Palatino Linotype"/>
          <w:sz w:val="24"/>
          <w:szCs w:val="24"/>
        </w:rPr>
        <w:t>imipidiendo</w:t>
      </w:r>
      <w:proofErr w:type="spellEnd"/>
      <w:r>
        <w:rPr>
          <w:rFonts w:ascii="Palatino Linotype" w:eastAsia="Palatino Linotype" w:hAnsi="Palatino Linotype" w:cs="Palatino Linotype"/>
          <w:sz w:val="24"/>
          <w:szCs w:val="24"/>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4B5B059A" w14:textId="77777777" w:rsidR="00197C0D" w:rsidRDefault="00197C0D">
      <w:pPr>
        <w:tabs>
          <w:tab w:val="left" w:pos="426"/>
        </w:tabs>
        <w:spacing w:after="0" w:line="360" w:lineRule="auto"/>
        <w:ind w:right="51"/>
        <w:jc w:val="both"/>
        <w:rPr>
          <w:rFonts w:ascii="Palatino Linotype" w:eastAsia="Palatino Linotype" w:hAnsi="Palatino Linotype" w:cs="Palatino Linotype"/>
          <w:color w:val="000000"/>
          <w:sz w:val="24"/>
          <w:szCs w:val="24"/>
        </w:rPr>
      </w:pPr>
    </w:p>
    <w:p w14:paraId="7DF2CB98" w14:textId="77777777" w:rsidR="00197C0D" w:rsidRDefault="00557677">
      <w:pPr>
        <w:pBdr>
          <w:top w:val="nil"/>
          <w:left w:val="nil"/>
          <w:bottom w:val="nil"/>
          <w:right w:val="nil"/>
          <w:between w:val="nil"/>
        </w:pBdr>
        <w:spacing w:after="120" w:line="360" w:lineRule="auto"/>
        <w:ind w:right="-646"/>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14:paraId="66798093" w14:textId="77777777" w:rsidR="00197C0D" w:rsidRDefault="00557677">
      <w:pPr>
        <w:keepNext/>
        <w:keepLines/>
        <w:numPr>
          <w:ilvl w:val="0"/>
          <w:numId w:val="3"/>
        </w:numPr>
        <w:tabs>
          <w:tab w:val="left" w:pos="284"/>
        </w:tabs>
        <w:spacing w:after="0" w:line="360" w:lineRule="auto"/>
        <w:ind w:left="0" w:right="-646" w:firstLine="0"/>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 xml:space="preserve">Nociones generales. </w:t>
      </w:r>
    </w:p>
    <w:p w14:paraId="5E467911" w14:textId="77777777" w:rsidR="00197C0D" w:rsidRDefault="00557677">
      <w:pPr>
        <w:numPr>
          <w:ilvl w:val="0"/>
          <w:numId w:val="4"/>
        </w:numPr>
        <w:tabs>
          <w:tab w:val="left" w:pos="284"/>
        </w:tabs>
        <w:spacing w:after="0" w:line="360" w:lineRule="auto"/>
        <w:ind w:left="0" w:right="51" w:firstLine="0"/>
        <w:jc w:val="both"/>
        <w:rPr>
          <w:color w:val="000000"/>
          <w:sz w:val="24"/>
          <w:szCs w:val="24"/>
        </w:rPr>
      </w:pPr>
      <w:r>
        <w:rPr>
          <w:rFonts w:ascii="Palatino Linotype" w:eastAsia="Palatino Linotype" w:hAnsi="Palatino Linotype" w:cs="Palatino Linotype"/>
          <w:color w:val="000000"/>
          <w:sz w:val="24"/>
          <w:szCs w:val="24"/>
        </w:rPr>
        <w:t>Debe destacarse que, debido a la naturaleza de la información solicitada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509F7012" w14:textId="77777777" w:rsidR="00197C0D" w:rsidRDefault="00197C0D">
      <w:pPr>
        <w:pBdr>
          <w:top w:val="nil"/>
          <w:left w:val="nil"/>
          <w:bottom w:val="nil"/>
          <w:right w:val="nil"/>
          <w:between w:val="nil"/>
        </w:pBdr>
        <w:tabs>
          <w:tab w:val="left" w:pos="0"/>
          <w:tab w:val="left" w:pos="284"/>
        </w:tabs>
        <w:spacing w:after="0" w:line="360" w:lineRule="auto"/>
        <w:ind w:right="-646"/>
        <w:jc w:val="both"/>
        <w:rPr>
          <w:rFonts w:ascii="Palatino Linotype" w:eastAsia="Palatino Linotype" w:hAnsi="Palatino Linotype" w:cs="Palatino Linotype"/>
          <w:color w:val="000000"/>
          <w:sz w:val="24"/>
          <w:szCs w:val="24"/>
        </w:rPr>
      </w:pPr>
    </w:p>
    <w:p w14:paraId="0F9B35CA" w14:textId="77777777" w:rsidR="00197C0D" w:rsidRDefault="00557677">
      <w:pPr>
        <w:numPr>
          <w:ilvl w:val="0"/>
          <w:numId w:val="4"/>
        </w:numPr>
        <w:tabs>
          <w:tab w:val="left" w:pos="284"/>
        </w:tabs>
        <w:spacing w:after="0" w:line="360" w:lineRule="auto"/>
        <w:ind w:left="0" w:right="51" w:firstLine="0"/>
        <w:jc w:val="both"/>
        <w:rPr>
          <w:color w:val="000000"/>
          <w:sz w:val="24"/>
          <w:szCs w:val="24"/>
        </w:rPr>
      </w:pPr>
      <w:r>
        <w:rPr>
          <w:rFonts w:ascii="Palatino Linotype" w:eastAsia="Palatino Linotype" w:hAnsi="Palatino Linotype" w:cs="Palatino Linotype"/>
          <w:color w:val="000000"/>
          <w:sz w:val="24"/>
          <w:szCs w:val="24"/>
        </w:rPr>
        <w:t xml:space="preserve">No pasa desapercibido para este Órgano Garante que los </w:t>
      </w:r>
      <w:r>
        <w:rPr>
          <w:rFonts w:ascii="Palatino Linotype" w:eastAsia="Palatino Linotype" w:hAnsi="Palatino Linotype" w:cs="Palatino Linotype"/>
          <w:b/>
          <w:color w:val="000000"/>
          <w:sz w:val="24"/>
          <w:szCs w:val="24"/>
        </w:rPr>
        <w:t xml:space="preserve">Sujetos Obligados </w:t>
      </w:r>
      <w:r>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2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7380"/>
      </w:tblGrid>
      <w:tr w:rsidR="00197C0D" w14:paraId="2E4DB021" w14:textId="77777777">
        <w:tc>
          <w:tcPr>
            <w:tcW w:w="1845" w:type="dxa"/>
          </w:tcPr>
          <w:p w14:paraId="506B324A" w14:textId="77777777" w:rsidR="00197C0D" w:rsidRDefault="00557677">
            <w:pPr>
              <w:tabs>
                <w:tab w:val="left" w:pos="284"/>
              </w:tabs>
              <w:spacing w:after="0"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 Requisitos previos.</w:t>
            </w:r>
          </w:p>
        </w:tc>
        <w:tc>
          <w:tcPr>
            <w:tcW w:w="7380" w:type="dxa"/>
          </w:tcPr>
          <w:p w14:paraId="3B752BA8"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9189FA7"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60B1986A"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14:paraId="1831170B" w14:textId="77777777" w:rsidR="00197C0D" w:rsidRDefault="00557677">
            <w:pPr>
              <w:tabs>
                <w:tab w:val="left" w:pos="284"/>
              </w:tabs>
              <w:spacing w:after="0" w:line="360" w:lineRule="auto"/>
              <w:ind w:right="83"/>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197C0D" w14:paraId="362E2658" w14:textId="77777777">
        <w:tc>
          <w:tcPr>
            <w:tcW w:w="1845" w:type="dxa"/>
          </w:tcPr>
          <w:p w14:paraId="756A9F20" w14:textId="77777777" w:rsidR="00197C0D" w:rsidRDefault="00557677">
            <w:pPr>
              <w:tabs>
                <w:tab w:val="left" w:pos="284"/>
              </w:tabs>
              <w:spacing w:after="0"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7380" w:type="dxa"/>
          </w:tcPr>
          <w:p w14:paraId="16679739"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1F211E48"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49368F3" w14:textId="77777777" w:rsidR="00197C0D" w:rsidRDefault="00557677">
            <w:pPr>
              <w:tabs>
                <w:tab w:val="left" w:pos="284"/>
              </w:tabs>
              <w:spacing w:after="0" w:line="360" w:lineRule="auto"/>
              <w:ind w:right="83"/>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w:t>
            </w:r>
            <w:r>
              <w:rPr>
                <w:rFonts w:ascii="Palatino Linotype" w:eastAsia="Palatino Linotype" w:hAnsi="Palatino Linotype" w:cs="Palatino Linotype"/>
                <w:color w:val="000000"/>
                <w:sz w:val="20"/>
                <w:szCs w:val="20"/>
              </w:rPr>
              <w:lastRenderedPageBreak/>
              <w:t>realizar el servidor público habilitado y el titular del área que administra la información.</w:t>
            </w:r>
          </w:p>
        </w:tc>
      </w:tr>
      <w:tr w:rsidR="00197C0D" w14:paraId="2D16AE09" w14:textId="77777777">
        <w:tc>
          <w:tcPr>
            <w:tcW w:w="1845" w:type="dxa"/>
          </w:tcPr>
          <w:p w14:paraId="2381BF4F" w14:textId="77777777" w:rsidR="00197C0D" w:rsidRDefault="00557677">
            <w:pPr>
              <w:tabs>
                <w:tab w:val="left" w:pos="284"/>
              </w:tabs>
              <w:spacing w:after="0" w:line="360" w:lineRule="auto"/>
              <w:ind w:right="-65"/>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7380" w:type="dxa"/>
          </w:tcPr>
          <w:p w14:paraId="4394FC29"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459A8F28"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5572B856" w14:textId="77777777" w:rsidR="00197C0D" w:rsidRDefault="00557677">
            <w:pPr>
              <w:tabs>
                <w:tab w:val="left" w:pos="284"/>
              </w:tabs>
              <w:spacing w:after="0" w:line="360" w:lineRule="auto"/>
              <w:ind w:right="83"/>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97C0D" w14:paraId="2C3DFD1D" w14:textId="77777777">
        <w:tc>
          <w:tcPr>
            <w:tcW w:w="1845" w:type="dxa"/>
          </w:tcPr>
          <w:p w14:paraId="5A1F4D3C" w14:textId="77777777" w:rsidR="00197C0D" w:rsidRDefault="00197C0D">
            <w:pPr>
              <w:tabs>
                <w:tab w:val="left" w:pos="284"/>
              </w:tabs>
              <w:spacing w:after="0" w:line="360" w:lineRule="auto"/>
              <w:ind w:right="-65"/>
              <w:rPr>
                <w:rFonts w:ascii="Palatino Linotype" w:eastAsia="Palatino Linotype" w:hAnsi="Palatino Linotype" w:cs="Palatino Linotype"/>
                <w:sz w:val="20"/>
                <w:szCs w:val="20"/>
              </w:rPr>
            </w:pPr>
          </w:p>
          <w:p w14:paraId="7DE2D8F3" w14:textId="77777777" w:rsidR="00197C0D" w:rsidRDefault="00557677">
            <w:pPr>
              <w:tabs>
                <w:tab w:val="left" w:pos="284"/>
              </w:tabs>
              <w:spacing w:after="0"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7380" w:type="dxa"/>
          </w:tcPr>
          <w:p w14:paraId="02A9E089"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4A179DCB"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xml:space="preserve">, esto es determinar los datos que se suprimen en las versiones públicas, es necesario fundar y motivar, de manera correcta, la clasificación; considerando que todo acto que la autoridad pronuncie en el ejercicio de sus atribuciones, debe </w:t>
            </w:r>
            <w:r>
              <w:rPr>
                <w:rFonts w:ascii="Palatino Linotype" w:eastAsia="Palatino Linotype" w:hAnsi="Palatino Linotype" w:cs="Palatino Linotype"/>
                <w:color w:val="000000"/>
                <w:sz w:val="20"/>
                <w:szCs w:val="20"/>
              </w:rPr>
              <w:lastRenderedPageBreak/>
              <w:t>expresar los fundamentos legales que le dieron origen y las razones por las que se deben aplicar al caso concreto.</w:t>
            </w:r>
          </w:p>
          <w:p w14:paraId="070D4D2B"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4561BA0"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166E9B06"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97C0D" w14:paraId="48C511FE" w14:textId="77777777">
        <w:tc>
          <w:tcPr>
            <w:tcW w:w="1845" w:type="dxa"/>
          </w:tcPr>
          <w:p w14:paraId="61240365" w14:textId="77777777" w:rsidR="00197C0D" w:rsidRDefault="00557677">
            <w:pPr>
              <w:tabs>
                <w:tab w:val="left" w:pos="284"/>
              </w:tabs>
              <w:spacing w:after="0" w:line="360" w:lineRule="auto"/>
              <w:ind w:right="-65"/>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7380" w:type="dxa"/>
          </w:tcPr>
          <w:p w14:paraId="3DA32CEE"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37FF8E3D" w14:textId="77777777" w:rsidR="00197C0D" w:rsidRDefault="00557677">
            <w:pPr>
              <w:tabs>
                <w:tab w:val="left" w:pos="284"/>
              </w:tabs>
              <w:spacing w:after="0" w:line="360" w:lineRule="auto"/>
              <w:ind w:right="83"/>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2008397" w14:textId="77777777" w:rsidR="00197C0D" w:rsidRDefault="00557677">
            <w:pPr>
              <w:tabs>
                <w:tab w:val="left" w:pos="284"/>
              </w:tabs>
              <w:spacing w:after="0" w:line="360" w:lineRule="auto"/>
              <w:ind w:right="83"/>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B502AD1" w14:textId="77777777" w:rsidR="00197C0D" w:rsidRDefault="00197C0D">
      <w:pPr>
        <w:pBdr>
          <w:top w:val="nil"/>
          <w:left w:val="nil"/>
          <w:bottom w:val="nil"/>
          <w:right w:val="nil"/>
          <w:between w:val="nil"/>
        </w:pBdr>
        <w:tabs>
          <w:tab w:val="left" w:pos="284"/>
        </w:tabs>
        <w:spacing w:after="0" w:line="240" w:lineRule="auto"/>
        <w:ind w:right="-646"/>
        <w:rPr>
          <w:rFonts w:ascii="Palatino Linotype" w:eastAsia="Palatino Linotype" w:hAnsi="Palatino Linotype" w:cs="Palatino Linotype"/>
          <w:color w:val="000000"/>
          <w:sz w:val="24"/>
          <w:szCs w:val="24"/>
        </w:rPr>
      </w:pPr>
    </w:p>
    <w:p w14:paraId="5D878331" w14:textId="77777777" w:rsidR="00197C0D" w:rsidRDefault="00557677">
      <w:pPr>
        <w:numPr>
          <w:ilvl w:val="0"/>
          <w:numId w:val="4"/>
        </w:numPr>
        <w:tabs>
          <w:tab w:val="left" w:pos="284"/>
        </w:tabs>
        <w:spacing w:after="0" w:line="360" w:lineRule="auto"/>
        <w:ind w:left="0" w:right="51" w:firstLine="0"/>
        <w:jc w:val="both"/>
        <w:rPr>
          <w:color w:val="000000"/>
          <w:sz w:val="24"/>
          <w:szCs w:val="24"/>
        </w:rPr>
      </w:pPr>
      <w:r>
        <w:rPr>
          <w:rFonts w:ascii="Palatino Linotype" w:eastAsia="Palatino Linotype" w:hAnsi="Palatino Linotype" w:cs="Palatino Linotype"/>
          <w:color w:val="000000"/>
          <w:sz w:val="24"/>
          <w:szCs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32C0E4E4" w14:textId="77777777" w:rsidR="00197C0D" w:rsidRDefault="00197C0D">
      <w:pPr>
        <w:rPr>
          <w:rFonts w:ascii="Palatino Linotype" w:eastAsia="Palatino Linotype" w:hAnsi="Palatino Linotype" w:cs="Palatino Linotype"/>
        </w:rPr>
      </w:pPr>
      <w:bookmarkStart w:id="10" w:name="_heading=h.17dp8vu" w:colFirst="0" w:colLast="0"/>
      <w:bookmarkEnd w:id="10"/>
    </w:p>
    <w:p w14:paraId="2D19BC7F" w14:textId="77777777" w:rsidR="00197C0D" w:rsidRDefault="00557677">
      <w:pPr>
        <w:numPr>
          <w:ilvl w:val="0"/>
          <w:numId w:val="4"/>
        </w:numPr>
        <w:pBdr>
          <w:top w:val="nil"/>
          <w:left w:val="nil"/>
          <w:bottom w:val="nil"/>
          <w:right w:val="nil"/>
          <w:between w:val="nil"/>
        </w:pBd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anteriormente expuesto y fundado, este </w:t>
      </w:r>
      <w:r>
        <w:rPr>
          <w:rFonts w:ascii="Palatino Linotype" w:eastAsia="Palatino Linotype" w:hAnsi="Palatino Linotype" w:cs="Palatino Linotype"/>
          <w:b/>
          <w:color w:val="000000"/>
          <w:sz w:val="24"/>
          <w:szCs w:val="24"/>
        </w:rPr>
        <w:t>ÓRGANO GARANTE</w:t>
      </w:r>
      <w:r>
        <w:rPr>
          <w:rFonts w:ascii="Palatino Linotype" w:eastAsia="Palatino Linotype" w:hAnsi="Palatino Linotype" w:cs="Palatino Linotype"/>
          <w:color w:val="000000"/>
          <w:sz w:val="24"/>
          <w:szCs w:val="24"/>
        </w:rPr>
        <w:t xml:space="preserve"> emite los siguientes:</w:t>
      </w:r>
    </w:p>
    <w:p w14:paraId="4F611A6B" w14:textId="77777777" w:rsidR="00197C0D" w:rsidRDefault="00197C0D">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14:paraId="5B3F633F" w14:textId="77777777" w:rsidR="00197C0D" w:rsidRDefault="00197C0D">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color w:val="000000"/>
          <w:sz w:val="24"/>
          <w:szCs w:val="24"/>
        </w:rPr>
      </w:pPr>
    </w:p>
    <w:p w14:paraId="29CF42B4" w14:textId="77777777" w:rsidR="00197C0D" w:rsidRDefault="00557677">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0F3EAC90" w14:textId="77777777" w:rsidR="00197C0D" w:rsidRDefault="00197C0D">
      <w:pPr>
        <w:spacing w:line="360" w:lineRule="auto"/>
        <w:rPr>
          <w:rFonts w:ascii="Palatino Linotype" w:eastAsia="Palatino Linotype" w:hAnsi="Palatino Linotype" w:cs="Palatino Linotype"/>
          <w:sz w:val="24"/>
          <w:szCs w:val="24"/>
        </w:rPr>
      </w:pPr>
    </w:p>
    <w:p w14:paraId="726EDA7D" w14:textId="77777777" w:rsidR="00197C0D" w:rsidRDefault="00557677">
      <w:pPr>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 parcialmente fundadas las razones o motivos de inconformidad hechos valer en el Recurso de Revisión </w:t>
      </w:r>
      <w:r>
        <w:rPr>
          <w:rFonts w:ascii="Palatino Linotype" w:eastAsia="Palatino Linotype" w:hAnsi="Palatino Linotype" w:cs="Palatino Linotype"/>
          <w:b/>
          <w:sz w:val="24"/>
          <w:szCs w:val="24"/>
        </w:rPr>
        <w:t xml:space="preserve">03398/INFOEM/IP/RR/2024, </w:t>
      </w:r>
      <w:r>
        <w:rPr>
          <w:rFonts w:ascii="Palatino Linotype" w:eastAsia="Palatino Linotype" w:hAnsi="Palatino Linotype" w:cs="Palatino Linotype"/>
          <w:sz w:val="24"/>
          <w:szCs w:val="24"/>
        </w:rPr>
        <w:t>en términos de los Considerandos Cuarto y Quinto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de la presente resolución.</w:t>
      </w:r>
    </w:p>
    <w:p w14:paraId="21C0E6DF" w14:textId="77777777" w:rsidR="00197C0D" w:rsidRDefault="00557677">
      <w:pPr>
        <w:spacing w:after="0" w:line="360" w:lineRule="auto"/>
        <w:ind w:right="-646"/>
        <w:jc w:val="both"/>
        <w:rPr>
          <w:rFonts w:ascii="Palatino Linotype" w:eastAsia="Palatino Linotype" w:hAnsi="Palatino Linotype" w:cs="Palatino Linotype"/>
          <w:color w:val="000000"/>
          <w:sz w:val="24"/>
          <w:szCs w:val="24"/>
        </w:rPr>
      </w:pPr>
      <w:bookmarkStart w:id="11" w:name="_heading=h.26in1rg" w:colFirst="0" w:colLast="0"/>
      <w:bookmarkEnd w:id="11"/>
      <w:r>
        <w:rPr>
          <w:rFonts w:ascii="Palatino Linotype" w:eastAsia="Palatino Linotype" w:hAnsi="Palatino Linotype" w:cs="Palatino Linotype"/>
          <w:b/>
          <w:sz w:val="24"/>
          <w:szCs w:val="24"/>
        </w:rPr>
        <w:br/>
        <w:t xml:space="preserve">SEGUNDO. </w:t>
      </w:r>
      <w:r>
        <w:rPr>
          <w:rFonts w:ascii="Palatino Linotype" w:eastAsia="Palatino Linotype" w:hAnsi="Palatino Linotype" w:cs="Palatino Linotype"/>
          <w:color w:val="000000"/>
          <w:sz w:val="24"/>
          <w:szCs w:val="24"/>
        </w:rPr>
        <w:t xml:space="preserve">Se </w:t>
      </w:r>
      <w:r>
        <w:rPr>
          <w:rFonts w:ascii="Palatino Linotype" w:eastAsia="Palatino Linotype" w:hAnsi="Palatino Linotype" w:cs="Palatino Linotype"/>
          <w:b/>
          <w:color w:val="000000"/>
          <w:sz w:val="24"/>
          <w:szCs w:val="24"/>
        </w:rPr>
        <w:t xml:space="preserve">MODIFICA </w:t>
      </w:r>
      <w:r>
        <w:rPr>
          <w:rFonts w:ascii="Palatino Linotype" w:eastAsia="Palatino Linotype" w:hAnsi="Palatino Linotype" w:cs="Palatino Linotype"/>
          <w:color w:val="000000"/>
          <w:sz w:val="24"/>
          <w:szCs w:val="24"/>
        </w:rPr>
        <w:t xml:space="preserve">la respuesta emitida por el </w:t>
      </w:r>
      <w:r>
        <w:rPr>
          <w:rFonts w:ascii="Palatino Linotype" w:eastAsia="Palatino Linotype" w:hAnsi="Palatino Linotype" w:cs="Palatino Linotype"/>
          <w:b/>
          <w:color w:val="000000"/>
          <w:sz w:val="24"/>
          <w:szCs w:val="24"/>
        </w:rPr>
        <w:t xml:space="preserve">Ayuntamiento de Atizapán de Zaragoza </w:t>
      </w:r>
      <w:r>
        <w:rPr>
          <w:rFonts w:ascii="Palatino Linotype" w:eastAsia="Palatino Linotype" w:hAnsi="Palatino Linotype" w:cs="Palatino Linotype"/>
          <w:color w:val="000000"/>
          <w:sz w:val="24"/>
          <w:szCs w:val="24"/>
        </w:rPr>
        <w:t xml:space="preserve">y 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entregar vía Sistema de Acceso a la Información Mexiquense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en una correcta versión pública la siguiente información:</w:t>
      </w:r>
    </w:p>
    <w:p w14:paraId="0065BD6D" w14:textId="77777777" w:rsidR="00197C0D" w:rsidRDefault="00197C0D">
      <w:pPr>
        <w:spacing w:after="0" w:line="360" w:lineRule="auto"/>
        <w:ind w:right="-646"/>
        <w:jc w:val="both"/>
        <w:rPr>
          <w:rFonts w:ascii="Palatino Linotype" w:eastAsia="Palatino Linotype" w:hAnsi="Palatino Linotype" w:cs="Palatino Linotype"/>
          <w:color w:val="000000"/>
          <w:sz w:val="24"/>
          <w:szCs w:val="24"/>
        </w:rPr>
      </w:pPr>
    </w:p>
    <w:p w14:paraId="5A20ABDA" w14:textId="77777777" w:rsidR="00197C0D" w:rsidRDefault="00557677">
      <w:pPr>
        <w:pBdr>
          <w:top w:val="nil"/>
          <w:left w:val="nil"/>
          <w:bottom w:val="nil"/>
          <w:right w:val="nil"/>
          <w:between w:val="nil"/>
        </w:pBdr>
        <w:spacing w:after="0" w:line="360" w:lineRule="auto"/>
        <w:ind w:left="705" w:right="-64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1.  Formato de Orden de Pago remitido en respuesta a la solicitud de información 00253/ATIZARA/IP/2024.</w:t>
      </w:r>
    </w:p>
    <w:p w14:paraId="326DBF50" w14:textId="77777777" w:rsidR="00197C0D" w:rsidRDefault="00197C0D">
      <w:pPr>
        <w:spacing w:after="0" w:line="360" w:lineRule="auto"/>
        <w:ind w:right="-646"/>
        <w:jc w:val="both"/>
        <w:rPr>
          <w:rFonts w:ascii="Palatino Linotype" w:eastAsia="Palatino Linotype" w:hAnsi="Palatino Linotype" w:cs="Palatino Linotype"/>
          <w:color w:val="000000"/>
          <w:sz w:val="24"/>
          <w:szCs w:val="24"/>
        </w:rPr>
      </w:pPr>
      <w:bookmarkStart w:id="12" w:name="_heading=h.3rdcrjn" w:colFirst="0" w:colLast="0"/>
      <w:bookmarkEnd w:id="12"/>
    </w:p>
    <w:p w14:paraId="37511E41" w14:textId="77777777" w:rsidR="00197C0D" w:rsidRDefault="00557677">
      <w:pPr>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w:t>
      </w:r>
    </w:p>
    <w:p w14:paraId="3E027450" w14:textId="77777777" w:rsidR="00197C0D" w:rsidRDefault="00197C0D">
      <w:pPr>
        <w:tabs>
          <w:tab w:val="left" w:pos="4962"/>
        </w:tabs>
        <w:spacing w:after="0" w:line="360" w:lineRule="auto"/>
        <w:ind w:right="-646"/>
        <w:jc w:val="both"/>
        <w:rPr>
          <w:rFonts w:ascii="Palatino Linotype" w:eastAsia="Palatino Linotype" w:hAnsi="Palatino Linotype" w:cs="Palatino Linotype"/>
          <w:color w:val="000000"/>
          <w:sz w:val="24"/>
          <w:szCs w:val="24"/>
        </w:rPr>
      </w:pPr>
    </w:p>
    <w:p w14:paraId="7F34EC96" w14:textId="77777777" w:rsidR="00197C0D" w:rsidRDefault="00557677">
      <w:pPr>
        <w:tabs>
          <w:tab w:val="left" w:pos="8080"/>
        </w:tabs>
        <w:spacing w:after="0" w:line="360" w:lineRule="auto"/>
        <w:ind w:right="-646"/>
        <w:jc w:val="both"/>
        <w:rPr>
          <w:rFonts w:ascii="Palatino Linotype" w:eastAsia="Palatino Linotype" w:hAnsi="Palatino Linotype" w:cs="Palatino Linotype"/>
          <w:sz w:val="24"/>
          <w:szCs w:val="24"/>
          <w:highlight w:val="white"/>
        </w:rPr>
      </w:pPr>
      <w:bookmarkStart w:id="13" w:name="_heading=h.35nkun2" w:colFirst="0" w:colLast="0"/>
      <w:bookmarkEnd w:id="13"/>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highlight w:val="white"/>
        </w:rPr>
        <w:t>NOTIFÍQUESE</w:t>
      </w:r>
      <w:r>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highlight w:val="white"/>
        </w:rPr>
        <w:t>dé cumplimiento a lo ordenado dentro del plazo de diez días hábiles</w:t>
      </w:r>
      <w:r>
        <w:rPr>
          <w:rFonts w:ascii="Palatino Linotype" w:eastAsia="Palatino Linotype" w:hAnsi="Palatino Linotype" w:cs="Palatino Linotype"/>
          <w:color w:val="222222"/>
          <w:sz w:val="24"/>
          <w:szCs w:val="24"/>
          <w:highlight w:val="whit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sz w:val="24"/>
          <w:szCs w:val="24"/>
          <w:highlight w:val="white"/>
        </w:rPr>
        <w:t>.</w:t>
      </w:r>
    </w:p>
    <w:p w14:paraId="2C653A4B" w14:textId="77777777" w:rsidR="00197C0D" w:rsidRDefault="00197C0D">
      <w:pPr>
        <w:tabs>
          <w:tab w:val="left" w:pos="8080"/>
        </w:tabs>
        <w:spacing w:after="0" w:line="360" w:lineRule="auto"/>
        <w:ind w:right="-646"/>
        <w:jc w:val="both"/>
        <w:rPr>
          <w:rFonts w:ascii="Palatino Linotype" w:eastAsia="Palatino Linotype" w:hAnsi="Palatino Linotype" w:cs="Palatino Linotype"/>
          <w:sz w:val="24"/>
          <w:szCs w:val="24"/>
          <w:highlight w:val="white"/>
        </w:rPr>
      </w:pPr>
    </w:p>
    <w:p w14:paraId="427A1634" w14:textId="77777777" w:rsidR="00197C0D" w:rsidRDefault="00557677">
      <w:pPr>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0B2A341" w14:textId="77777777" w:rsidR="00197C0D" w:rsidRDefault="00197C0D">
      <w:pPr>
        <w:spacing w:after="0" w:line="360" w:lineRule="auto"/>
        <w:ind w:right="-646"/>
        <w:jc w:val="both"/>
        <w:rPr>
          <w:rFonts w:ascii="Palatino Linotype" w:eastAsia="Palatino Linotype" w:hAnsi="Palatino Linotype" w:cs="Palatino Linotype"/>
          <w:sz w:val="24"/>
          <w:szCs w:val="24"/>
        </w:rPr>
      </w:pPr>
    </w:p>
    <w:p w14:paraId="402DD0B3" w14:textId="77777777" w:rsidR="00197C0D" w:rsidRDefault="00557677">
      <w:pPr>
        <w:tabs>
          <w:tab w:val="left" w:pos="8080"/>
        </w:tabs>
        <w:spacing w:after="0" w:line="360" w:lineRule="auto"/>
        <w:ind w:right="-646"/>
        <w:jc w:val="both"/>
        <w:rPr>
          <w:rFonts w:ascii="Palatino Linotype" w:eastAsia="Palatino Linotype" w:hAnsi="Palatino Linotype" w:cs="Palatino Linotype"/>
          <w:sz w:val="24"/>
          <w:szCs w:val="24"/>
        </w:rPr>
      </w:pPr>
      <w:bookmarkStart w:id="14" w:name="_heading=h.1ksv4uv" w:colFirst="0" w:colLast="0"/>
      <w:bookmarkEnd w:id="14"/>
      <w:r>
        <w:rPr>
          <w:rFonts w:ascii="Palatino Linotype" w:eastAsia="Palatino Linotype" w:hAnsi="Palatino Linotype" w:cs="Palatino Linotype"/>
          <w:b/>
          <w:sz w:val="24"/>
          <w:szCs w:val="24"/>
        </w:rPr>
        <w:lastRenderedPageBreak/>
        <w:t xml:space="preserve">QUINTO. </w:t>
      </w:r>
      <w:r>
        <w:rPr>
          <w:rFonts w:ascii="Palatino Linotype" w:eastAsia="Palatino Linotype" w:hAnsi="Palatino Linotype" w:cs="Palatino Linotype"/>
          <w:sz w:val="24"/>
          <w:szCs w:val="24"/>
        </w:rPr>
        <w:t xml:space="preserve">Notifíquese a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la presente resolución, vía SAIMEX.</w:t>
      </w:r>
    </w:p>
    <w:p w14:paraId="38AC45EF" w14:textId="77777777" w:rsidR="00197C0D" w:rsidRDefault="00197C0D">
      <w:pPr>
        <w:tabs>
          <w:tab w:val="left" w:pos="8080"/>
        </w:tabs>
        <w:spacing w:after="0" w:line="360" w:lineRule="auto"/>
        <w:ind w:right="-646"/>
        <w:jc w:val="both"/>
        <w:rPr>
          <w:rFonts w:ascii="Palatino Linotype" w:eastAsia="Palatino Linotype" w:hAnsi="Palatino Linotype" w:cs="Palatino Linotype"/>
          <w:sz w:val="24"/>
          <w:szCs w:val="24"/>
        </w:rPr>
      </w:pPr>
    </w:p>
    <w:p w14:paraId="4403B2AC" w14:textId="77777777" w:rsidR="00197C0D" w:rsidRDefault="00557677">
      <w:pPr>
        <w:shd w:val="clear" w:color="auto" w:fill="FFFFFF"/>
        <w:spacing w:after="0" w:line="360" w:lineRule="auto"/>
        <w:ind w:right="-64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Se hace del conocimiento de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5CEA49F3" w14:textId="77777777" w:rsidR="00197C0D" w:rsidRDefault="00197C0D">
      <w:pPr>
        <w:shd w:val="clear" w:color="auto" w:fill="FFFFFF"/>
        <w:spacing w:line="360" w:lineRule="auto"/>
        <w:jc w:val="both"/>
        <w:rPr>
          <w:rFonts w:ascii="Palatino Linotype" w:eastAsia="Palatino Linotype" w:hAnsi="Palatino Linotype" w:cs="Palatino Linotype"/>
          <w:sz w:val="26"/>
          <w:szCs w:val="26"/>
        </w:rPr>
      </w:pPr>
    </w:p>
    <w:p w14:paraId="2323C479" w14:textId="77777777" w:rsidR="00BA4CF9" w:rsidRPr="003C7186" w:rsidRDefault="00BA4CF9" w:rsidP="00BA4CF9">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2E351D97" w14:textId="77777777" w:rsidR="00BA4CF9" w:rsidRPr="00902BA4" w:rsidRDefault="00BA4CF9" w:rsidP="00BA4CF9">
      <w:pPr>
        <w:widowControl w:val="0"/>
        <w:autoSpaceDE w:val="0"/>
        <w:autoSpaceDN w:val="0"/>
        <w:adjustRightInd w:val="0"/>
        <w:spacing w:after="200" w:line="276" w:lineRule="auto"/>
        <w:ind w:left="-142" w:right="-234"/>
      </w:pPr>
    </w:p>
    <w:p w14:paraId="46BCF635" w14:textId="77777777" w:rsidR="00197C0D" w:rsidRDefault="00197C0D">
      <w:pPr>
        <w:spacing w:line="360" w:lineRule="auto"/>
        <w:jc w:val="both"/>
        <w:rPr>
          <w:rFonts w:ascii="Palatino Linotype" w:eastAsia="Palatino Linotype" w:hAnsi="Palatino Linotype" w:cs="Palatino Linotype"/>
        </w:rPr>
      </w:pPr>
    </w:p>
    <w:p w14:paraId="5A3E2C9D" w14:textId="77777777" w:rsidR="00197C0D" w:rsidRDefault="00197C0D">
      <w:pPr>
        <w:spacing w:line="360" w:lineRule="auto"/>
        <w:jc w:val="both"/>
        <w:rPr>
          <w:rFonts w:ascii="Palatino Linotype" w:eastAsia="Palatino Linotype" w:hAnsi="Palatino Linotype" w:cs="Palatino Linotype"/>
        </w:rPr>
      </w:pPr>
    </w:p>
    <w:p w14:paraId="1E426951" w14:textId="77777777" w:rsidR="00197C0D" w:rsidRDefault="00197C0D">
      <w:pPr>
        <w:spacing w:line="360" w:lineRule="auto"/>
        <w:jc w:val="both"/>
        <w:rPr>
          <w:rFonts w:ascii="Palatino Linotype" w:eastAsia="Palatino Linotype" w:hAnsi="Palatino Linotype" w:cs="Palatino Linotype"/>
        </w:rPr>
      </w:pPr>
    </w:p>
    <w:p w14:paraId="74CEF993" w14:textId="77777777" w:rsidR="00197C0D" w:rsidRDefault="00197C0D">
      <w:pPr>
        <w:spacing w:line="360" w:lineRule="auto"/>
        <w:jc w:val="both"/>
        <w:rPr>
          <w:rFonts w:ascii="Palatino Linotype" w:eastAsia="Palatino Linotype" w:hAnsi="Palatino Linotype" w:cs="Palatino Linotype"/>
        </w:rPr>
      </w:pPr>
    </w:p>
    <w:p w14:paraId="43498299" w14:textId="77777777" w:rsidR="00197C0D" w:rsidRDefault="00197C0D">
      <w:pPr>
        <w:spacing w:line="360" w:lineRule="auto"/>
        <w:jc w:val="both"/>
        <w:rPr>
          <w:rFonts w:ascii="Palatino Linotype" w:eastAsia="Palatino Linotype" w:hAnsi="Palatino Linotype" w:cs="Palatino Linotype"/>
        </w:rPr>
      </w:pPr>
    </w:p>
    <w:p w14:paraId="76240DB5" w14:textId="77777777" w:rsidR="00197C0D" w:rsidRDefault="00197C0D">
      <w:pPr>
        <w:spacing w:line="360" w:lineRule="auto"/>
        <w:jc w:val="both"/>
        <w:rPr>
          <w:rFonts w:ascii="Palatino Linotype" w:eastAsia="Palatino Linotype" w:hAnsi="Palatino Linotype" w:cs="Palatino Linotype"/>
        </w:rPr>
      </w:pPr>
    </w:p>
    <w:p w14:paraId="602EC8B2" w14:textId="77777777" w:rsidR="00197C0D" w:rsidRDefault="00197C0D">
      <w:pPr>
        <w:spacing w:line="360" w:lineRule="auto"/>
        <w:jc w:val="both"/>
        <w:rPr>
          <w:rFonts w:ascii="Palatino Linotype" w:eastAsia="Palatino Linotype" w:hAnsi="Palatino Linotype" w:cs="Palatino Linotype"/>
        </w:rPr>
      </w:pPr>
    </w:p>
    <w:p w14:paraId="7DD63CE3" w14:textId="77777777" w:rsidR="00197C0D" w:rsidRDefault="00197C0D">
      <w:pPr>
        <w:spacing w:line="360" w:lineRule="auto"/>
        <w:rPr>
          <w:rFonts w:ascii="Palatino Linotype" w:eastAsia="Palatino Linotype" w:hAnsi="Palatino Linotype" w:cs="Palatino Linotype"/>
        </w:rPr>
      </w:pPr>
    </w:p>
    <w:p w14:paraId="1EEAC3B5" w14:textId="77777777" w:rsidR="00197C0D" w:rsidRDefault="00197C0D">
      <w:pPr>
        <w:spacing w:line="360" w:lineRule="auto"/>
        <w:rPr>
          <w:rFonts w:ascii="Palatino Linotype" w:eastAsia="Palatino Linotype" w:hAnsi="Palatino Linotype" w:cs="Palatino Linotype"/>
        </w:rPr>
      </w:pPr>
    </w:p>
    <w:p w14:paraId="2F62B851" w14:textId="77777777" w:rsidR="00197C0D" w:rsidRDefault="00197C0D">
      <w:pPr>
        <w:spacing w:line="360" w:lineRule="auto"/>
        <w:rPr>
          <w:rFonts w:ascii="Palatino Linotype" w:eastAsia="Palatino Linotype" w:hAnsi="Palatino Linotype" w:cs="Palatino Linotype"/>
        </w:rPr>
      </w:pPr>
    </w:p>
    <w:p w14:paraId="7945D2CA" w14:textId="77777777" w:rsidR="00197C0D" w:rsidRDefault="00197C0D">
      <w:pPr>
        <w:spacing w:line="360" w:lineRule="auto"/>
        <w:rPr>
          <w:rFonts w:ascii="Palatino Linotype" w:eastAsia="Palatino Linotype" w:hAnsi="Palatino Linotype" w:cs="Palatino Linotype"/>
        </w:rPr>
      </w:pPr>
    </w:p>
    <w:p w14:paraId="06B487A6" w14:textId="77777777" w:rsidR="00197C0D" w:rsidRDefault="00197C0D">
      <w:pPr>
        <w:spacing w:line="360" w:lineRule="auto"/>
        <w:rPr>
          <w:rFonts w:ascii="Palatino Linotype" w:eastAsia="Palatino Linotype" w:hAnsi="Palatino Linotype" w:cs="Palatino Linotype"/>
        </w:rPr>
      </w:pPr>
    </w:p>
    <w:p w14:paraId="56C48CF2" w14:textId="77777777" w:rsidR="00197C0D" w:rsidRDefault="00197C0D">
      <w:pPr>
        <w:spacing w:line="360" w:lineRule="auto"/>
        <w:rPr>
          <w:rFonts w:ascii="Palatino Linotype" w:eastAsia="Palatino Linotype" w:hAnsi="Palatino Linotype" w:cs="Palatino Linotype"/>
        </w:rPr>
      </w:pPr>
    </w:p>
    <w:p w14:paraId="4D600F1B" w14:textId="77777777" w:rsidR="00197C0D" w:rsidRDefault="00197C0D">
      <w:pPr>
        <w:spacing w:line="360" w:lineRule="auto"/>
        <w:rPr>
          <w:rFonts w:ascii="Palatino Linotype" w:eastAsia="Palatino Linotype" w:hAnsi="Palatino Linotype" w:cs="Palatino Linotype"/>
        </w:rPr>
      </w:pPr>
    </w:p>
    <w:p w14:paraId="79306DED" w14:textId="77777777" w:rsidR="00197C0D" w:rsidRDefault="00557677">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51F6053F" w14:textId="77777777" w:rsidR="00197C0D" w:rsidRDefault="00197C0D">
      <w:pPr>
        <w:tabs>
          <w:tab w:val="left" w:pos="3374"/>
        </w:tabs>
        <w:spacing w:line="360" w:lineRule="auto"/>
        <w:rPr>
          <w:rFonts w:ascii="Palatino Linotype" w:eastAsia="Palatino Linotype" w:hAnsi="Palatino Linotype" w:cs="Palatino Linotype"/>
        </w:rPr>
      </w:pPr>
    </w:p>
    <w:p w14:paraId="66342E4E" w14:textId="77777777" w:rsidR="00197C0D" w:rsidRDefault="00197C0D">
      <w:pPr>
        <w:tabs>
          <w:tab w:val="left" w:pos="3374"/>
        </w:tabs>
        <w:spacing w:line="360" w:lineRule="auto"/>
        <w:rPr>
          <w:rFonts w:ascii="Palatino Linotype" w:eastAsia="Palatino Linotype" w:hAnsi="Palatino Linotype" w:cs="Palatino Linotype"/>
        </w:rPr>
      </w:pPr>
    </w:p>
    <w:p w14:paraId="7AE1602B" w14:textId="77777777" w:rsidR="00197C0D" w:rsidRDefault="00197C0D">
      <w:pPr>
        <w:tabs>
          <w:tab w:val="left" w:pos="3374"/>
        </w:tabs>
        <w:spacing w:line="360" w:lineRule="auto"/>
        <w:rPr>
          <w:rFonts w:ascii="Palatino Linotype" w:eastAsia="Palatino Linotype" w:hAnsi="Palatino Linotype" w:cs="Palatino Linotype"/>
        </w:rPr>
      </w:pPr>
    </w:p>
    <w:p w14:paraId="333338CC" w14:textId="77777777" w:rsidR="00197C0D" w:rsidRDefault="00197C0D">
      <w:pPr>
        <w:tabs>
          <w:tab w:val="left" w:pos="3374"/>
        </w:tabs>
        <w:spacing w:line="360" w:lineRule="auto"/>
        <w:rPr>
          <w:rFonts w:ascii="Palatino Linotype" w:eastAsia="Palatino Linotype" w:hAnsi="Palatino Linotype" w:cs="Palatino Linotype"/>
        </w:rPr>
      </w:pPr>
    </w:p>
    <w:p w14:paraId="4F16C898" w14:textId="77777777" w:rsidR="00197C0D" w:rsidRDefault="00197C0D">
      <w:pPr>
        <w:tabs>
          <w:tab w:val="left" w:pos="3374"/>
        </w:tabs>
        <w:spacing w:line="360" w:lineRule="auto"/>
        <w:rPr>
          <w:rFonts w:ascii="Palatino Linotype" w:eastAsia="Palatino Linotype" w:hAnsi="Palatino Linotype" w:cs="Palatino Linotype"/>
        </w:rPr>
      </w:pPr>
    </w:p>
    <w:p w14:paraId="381A4AEF" w14:textId="77777777" w:rsidR="00197C0D" w:rsidRDefault="00197C0D">
      <w:pPr>
        <w:tabs>
          <w:tab w:val="left" w:pos="3374"/>
        </w:tabs>
        <w:spacing w:line="360" w:lineRule="auto"/>
        <w:rPr>
          <w:rFonts w:ascii="Palatino Linotype" w:eastAsia="Palatino Linotype" w:hAnsi="Palatino Linotype" w:cs="Palatino Linotype"/>
        </w:rPr>
      </w:pPr>
    </w:p>
    <w:p w14:paraId="63B972E3" w14:textId="77777777" w:rsidR="00197C0D" w:rsidRDefault="00197C0D"/>
    <w:p w14:paraId="5C7953EB" w14:textId="77777777" w:rsidR="00197C0D" w:rsidRDefault="00197C0D"/>
    <w:p w14:paraId="359535F7" w14:textId="77777777" w:rsidR="00197C0D" w:rsidRDefault="00557677">
      <w:r>
        <w:t xml:space="preserve"> </w:t>
      </w:r>
    </w:p>
    <w:sectPr w:rsidR="00197C0D">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17A1" w14:textId="77777777" w:rsidR="00AC1397" w:rsidRDefault="00AC1397">
      <w:pPr>
        <w:spacing w:after="0" w:line="240" w:lineRule="auto"/>
      </w:pPr>
      <w:r>
        <w:separator/>
      </w:r>
    </w:p>
  </w:endnote>
  <w:endnote w:type="continuationSeparator" w:id="0">
    <w:p w14:paraId="2E6A303F" w14:textId="77777777" w:rsidR="00AC1397" w:rsidRDefault="00AC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2343" w14:textId="77777777" w:rsidR="00197C0D" w:rsidRDefault="0055767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60B9">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60B9">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5B849196" w14:textId="77777777" w:rsidR="00197C0D" w:rsidRDefault="00197C0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04DA" w14:textId="77777777" w:rsidR="00197C0D" w:rsidRDefault="0055767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60B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60B9">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14:paraId="140EEF72" w14:textId="77777777" w:rsidR="00197C0D" w:rsidRDefault="00197C0D">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FFD7" w14:textId="77777777" w:rsidR="00AC1397" w:rsidRDefault="00AC1397">
      <w:pPr>
        <w:spacing w:after="0" w:line="240" w:lineRule="auto"/>
      </w:pPr>
      <w:r>
        <w:separator/>
      </w:r>
    </w:p>
  </w:footnote>
  <w:footnote w:type="continuationSeparator" w:id="0">
    <w:p w14:paraId="5D17B8DD" w14:textId="77777777" w:rsidR="00AC1397" w:rsidRDefault="00AC1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9805" w14:textId="77777777" w:rsidR="00197C0D" w:rsidRDefault="00AC1397">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754A0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9DFF" w14:textId="77777777" w:rsidR="00197C0D" w:rsidRDefault="00197C0D">
    <w:pPr>
      <w:widowControl w:val="0"/>
      <w:pBdr>
        <w:top w:val="nil"/>
        <w:left w:val="nil"/>
        <w:bottom w:val="nil"/>
        <w:right w:val="nil"/>
        <w:between w:val="nil"/>
      </w:pBdr>
      <w:spacing w:after="0" w:line="276" w:lineRule="auto"/>
      <w:rPr>
        <w:color w:val="000000"/>
        <w:sz w:val="24"/>
        <w:szCs w:val="24"/>
      </w:rPr>
    </w:pPr>
  </w:p>
  <w:tbl>
    <w:tblPr>
      <w:tblStyle w:val="a0"/>
      <w:tblW w:w="6519" w:type="dxa"/>
      <w:tblInd w:w="2694" w:type="dxa"/>
      <w:tblLayout w:type="fixed"/>
      <w:tblLook w:val="0400" w:firstRow="0" w:lastRow="0" w:firstColumn="0" w:lastColumn="0" w:noHBand="0" w:noVBand="1"/>
    </w:tblPr>
    <w:tblGrid>
      <w:gridCol w:w="2976"/>
      <w:gridCol w:w="3543"/>
    </w:tblGrid>
    <w:tr w:rsidR="00197C0D" w14:paraId="64FD3DF7" w14:textId="77777777">
      <w:trPr>
        <w:trHeight w:val="227"/>
      </w:trPr>
      <w:tc>
        <w:tcPr>
          <w:tcW w:w="2976" w:type="dxa"/>
          <w:vAlign w:val="center"/>
        </w:tcPr>
        <w:p w14:paraId="337C0A31" w14:textId="77777777" w:rsidR="00197C0D" w:rsidRDefault="00557677">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14:paraId="389FC960" w14:textId="77777777" w:rsidR="00197C0D" w:rsidRDefault="005576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03398/INFOEM/IP/RR/2024</w:t>
          </w:r>
        </w:p>
      </w:tc>
    </w:tr>
    <w:tr w:rsidR="00197C0D" w14:paraId="4363D209" w14:textId="77777777">
      <w:trPr>
        <w:trHeight w:val="242"/>
      </w:trPr>
      <w:tc>
        <w:tcPr>
          <w:tcW w:w="2976" w:type="dxa"/>
          <w:vAlign w:val="center"/>
        </w:tcPr>
        <w:p w14:paraId="623F219E" w14:textId="77777777" w:rsidR="00197C0D" w:rsidRDefault="00557677">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14:paraId="2AF99207" w14:textId="77777777" w:rsidR="00197C0D" w:rsidRDefault="0055767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197C0D" w14:paraId="3BF89B65" w14:textId="77777777">
      <w:trPr>
        <w:trHeight w:val="342"/>
      </w:trPr>
      <w:tc>
        <w:tcPr>
          <w:tcW w:w="2976" w:type="dxa"/>
          <w:vAlign w:val="center"/>
        </w:tcPr>
        <w:p w14:paraId="677D85A6" w14:textId="77777777" w:rsidR="00197C0D" w:rsidRDefault="00557677">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14:paraId="557D1E19" w14:textId="77777777" w:rsidR="00197C0D" w:rsidRDefault="005576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14:paraId="4B6E4443" w14:textId="77777777" w:rsidR="00197C0D" w:rsidRDefault="00AC1397">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33F48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67FD" w14:textId="77777777" w:rsidR="00197C0D" w:rsidRDefault="00197C0D">
    <w:pPr>
      <w:widowControl w:val="0"/>
      <w:pBdr>
        <w:top w:val="nil"/>
        <w:left w:val="nil"/>
        <w:bottom w:val="nil"/>
        <w:right w:val="nil"/>
        <w:between w:val="nil"/>
      </w:pBdr>
      <w:spacing w:after="0"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197C0D" w14:paraId="6D37F290" w14:textId="77777777">
      <w:trPr>
        <w:trHeight w:val="227"/>
      </w:trPr>
      <w:tc>
        <w:tcPr>
          <w:tcW w:w="2977" w:type="dxa"/>
          <w:vAlign w:val="center"/>
        </w:tcPr>
        <w:p w14:paraId="21C2198C" w14:textId="77777777" w:rsidR="00197C0D" w:rsidRDefault="00557677">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14:paraId="2E5AD206" w14:textId="77777777" w:rsidR="00197C0D" w:rsidRDefault="005576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03398/INFOEM/IP/RR/2024</w:t>
          </w:r>
        </w:p>
      </w:tc>
    </w:tr>
    <w:tr w:rsidR="00197C0D" w14:paraId="35ED261B" w14:textId="77777777">
      <w:trPr>
        <w:trHeight w:val="242"/>
      </w:trPr>
      <w:tc>
        <w:tcPr>
          <w:tcW w:w="2977" w:type="dxa"/>
          <w:vAlign w:val="center"/>
        </w:tcPr>
        <w:p w14:paraId="16617BF8" w14:textId="77777777" w:rsidR="00197C0D" w:rsidRDefault="00557677">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14:paraId="34DDA419" w14:textId="28434E8C" w:rsidR="00197C0D" w:rsidRDefault="00557677">
          <w:pPr>
            <w:pBdr>
              <w:top w:val="nil"/>
              <w:left w:val="nil"/>
              <w:bottom w:val="nil"/>
              <w:right w:val="nil"/>
              <w:between w:val="nil"/>
            </w:pBdr>
            <w:tabs>
              <w:tab w:val="center" w:pos="4419"/>
              <w:tab w:val="right" w:pos="8838"/>
              <w:tab w:val="left" w:pos="521"/>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FF0000"/>
            </w:rPr>
            <w:t> </w:t>
          </w:r>
          <w:r w:rsidR="00380500">
            <w:rPr>
              <w:rFonts w:ascii="Palatino Linotype" w:eastAsia="Palatino Linotype" w:hAnsi="Palatino Linotype" w:cs="Palatino Linotype"/>
              <w:b/>
              <w:color w:val="000000"/>
            </w:rPr>
            <w:t xml:space="preserve">XXX </w:t>
          </w:r>
          <w:proofErr w:type="spellStart"/>
          <w:r w:rsidR="00380500">
            <w:rPr>
              <w:rFonts w:ascii="Palatino Linotype" w:eastAsia="Palatino Linotype" w:hAnsi="Palatino Linotype" w:cs="Palatino Linotype"/>
              <w:b/>
              <w:color w:val="000000"/>
            </w:rPr>
            <w:t>XXX</w:t>
          </w:r>
          <w:proofErr w:type="spellEnd"/>
        </w:p>
      </w:tc>
    </w:tr>
    <w:tr w:rsidR="00197C0D" w14:paraId="194AF9C3" w14:textId="77777777">
      <w:trPr>
        <w:trHeight w:val="342"/>
      </w:trPr>
      <w:tc>
        <w:tcPr>
          <w:tcW w:w="2977" w:type="dxa"/>
          <w:vAlign w:val="center"/>
        </w:tcPr>
        <w:p w14:paraId="65DB972C" w14:textId="77777777" w:rsidR="00197C0D" w:rsidRDefault="00557677">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14:paraId="34436A1F" w14:textId="77777777" w:rsidR="00197C0D" w:rsidRDefault="0055767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 de Zaragoza.</w:t>
          </w:r>
        </w:p>
      </w:tc>
    </w:tr>
    <w:tr w:rsidR="00197C0D" w14:paraId="4AB7DD50" w14:textId="77777777">
      <w:trPr>
        <w:trHeight w:val="342"/>
      </w:trPr>
      <w:tc>
        <w:tcPr>
          <w:tcW w:w="2977" w:type="dxa"/>
          <w:vAlign w:val="center"/>
        </w:tcPr>
        <w:p w14:paraId="6C5C60CA" w14:textId="77777777" w:rsidR="00197C0D" w:rsidRDefault="00557677">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14:paraId="2EFA1301" w14:textId="77777777" w:rsidR="00197C0D" w:rsidRDefault="0055767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14:paraId="0AB218A3" w14:textId="77777777" w:rsidR="00197C0D" w:rsidRDefault="00AC1397">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4817A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83F"/>
    <w:multiLevelType w:val="multilevel"/>
    <w:tmpl w:val="971801E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03066"/>
    <w:multiLevelType w:val="multilevel"/>
    <w:tmpl w:val="D856E6A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0F130F59"/>
    <w:multiLevelType w:val="multilevel"/>
    <w:tmpl w:val="071285F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E96E5D"/>
    <w:multiLevelType w:val="multilevel"/>
    <w:tmpl w:val="81ECAAFA"/>
    <w:lvl w:ilvl="0">
      <w:start w:val="1"/>
      <w:numFmt w:val="decimal"/>
      <w:lvlText w:val="%1."/>
      <w:lvlJc w:val="left"/>
      <w:pPr>
        <w:ind w:left="778" w:hanging="360"/>
      </w:p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4B05337F"/>
    <w:multiLevelType w:val="multilevel"/>
    <w:tmpl w:val="7FC0628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2453588"/>
    <w:multiLevelType w:val="multilevel"/>
    <w:tmpl w:val="9CD04EB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895358566">
    <w:abstractNumId w:val="3"/>
  </w:num>
  <w:num w:numId="2" w16cid:durableId="1407455804">
    <w:abstractNumId w:val="5"/>
  </w:num>
  <w:num w:numId="3" w16cid:durableId="331875312">
    <w:abstractNumId w:val="0"/>
  </w:num>
  <w:num w:numId="4" w16cid:durableId="2088915406">
    <w:abstractNumId w:val="2"/>
  </w:num>
  <w:num w:numId="5" w16cid:durableId="38208483">
    <w:abstractNumId w:val="1"/>
  </w:num>
  <w:num w:numId="6" w16cid:durableId="1626036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0D"/>
    <w:rsid w:val="00156AF2"/>
    <w:rsid w:val="00197C0D"/>
    <w:rsid w:val="002769BA"/>
    <w:rsid w:val="00380500"/>
    <w:rsid w:val="00425631"/>
    <w:rsid w:val="00557677"/>
    <w:rsid w:val="006460B9"/>
    <w:rsid w:val="00AB78D4"/>
    <w:rsid w:val="00AC1397"/>
    <w:rsid w:val="00B36D10"/>
    <w:rsid w:val="00B7162F"/>
    <w:rsid w:val="00BA4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455E0"/>
  <w15:docId w15:val="{F03EE692-D5D9-4977-885A-50D990B0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CB"/>
  </w:style>
  <w:style w:type="paragraph" w:styleId="Ttulo1">
    <w:name w:val="heading 1"/>
    <w:basedOn w:val="Normal"/>
    <w:next w:val="Normal"/>
    <w:link w:val="Ttulo1Car"/>
    <w:uiPriority w:val="9"/>
    <w:qFormat/>
    <w:rsid w:val="007749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7749C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749C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749C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749CB"/>
    <w:pPr>
      <w:tabs>
        <w:tab w:val="center" w:pos="4419"/>
        <w:tab w:val="right" w:pos="8838"/>
      </w:tabs>
      <w:spacing w:after="0" w:line="240" w:lineRule="auto"/>
    </w:pPr>
    <w:rPr>
      <w:rFonts w:eastAsiaTheme="minorEastAsia"/>
      <w:sz w:val="24"/>
      <w:szCs w:val="24"/>
      <w:lang w:eastAsia="es-ES"/>
    </w:rPr>
  </w:style>
  <w:style w:type="character" w:customStyle="1" w:styleId="EncabezadoCar">
    <w:name w:val="Encabezado Car"/>
    <w:basedOn w:val="Fuentedeprrafopredeter"/>
    <w:link w:val="Encabezado"/>
    <w:uiPriority w:val="99"/>
    <w:rsid w:val="007749CB"/>
    <w:rPr>
      <w:rFonts w:eastAsiaTheme="minorEastAsia"/>
      <w:sz w:val="24"/>
      <w:szCs w:val="24"/>
      <w:lang w:val="es-ES_tradnl" w:eastAsia="es-ES"/>
    </w:rPr>
  </w:style>
  <w:style w:type="paragraph" w:styleId="Piedepgina">
    <w:name w:val="footer"/>
    <w:basedOn w:val="Normal"/>
    <w:link w:val="PiedepginaCar"/>
    <w:uiPriority w:val="99"/>
    <w:unhideWhenUsed/>
    <w:rsid w:val="007749CB"/>
    <w:pPr>
      <w:tabs>
        <w:tab w:val="center" w:pos="4419"/>
        <w:tab w:val="right" w:pos="8838"/>
      </w:tabs>
      <w:spacing w:after="0" w:line="240" w:lineRule="auto"/>
    </w:pPr>
    <w:rPr>
      <w:rFonts w:eastAsiaTheme="minorEastAsia"/>
      <w:sz w:val="24"/>
      <w:szCs w:val="24"/>
      <w:lang w:eastAsia="es-ES"/>
    </w:rPr>
  </w:style>
  <w:style w:type="character" w:customStyle="1" w:styleId="PiedepginaCar">
    <w:name w:val="Pie de página Car"/>
    <w:basedOn w:val="Fuentedeprrafopredeter"/>
    <w:link w:val="Piedepgina"/>
    <w:uiPriority w:val="99"/>
    <w:rsid w:val="007749CB"/>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749CB"/>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749CB"/>
    <w:pPr>
      <w:spacing w:after="0" w:line="240" w:lineRule="auto"/>
    </w:pPr>
    <w:rPr>
      <w:sz w:val="20"/>
      <w:szCs w:val="20"/>
    </w:rPr>
  </w:style>
  <w:style w:type="character" w:customStyle="1" w:styleId="TextonotapieCar1">
    <w:name w:val="Texto nota pie Car1"/>
    <w:basedOn w:val="Fuentedeprrafopredeter"/>
    <w:uiPriority w:val="99"/>
    <w:semiHidden/>
    <w:rsid w:val="007749CB"/>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749CB"/>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49CB"/>
    <w:pPr>
      <w:spacing w:after="0" w:line="240" w:lineRule="auto"/>
      <w:ind w:left="720"/>
      <w:contextualSpacing/>
    </w:pPr>
    <w:rPr>
      <w:rFonts w:eastAsiaTheme="minorEastAsia"/>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49CB"/>
    <w:rPr>
      <w:rFonts w:eastAsiaTheme="minorEastAsia"/>
      <w:sz w:val="24"/>
      <w:szCs w:val="24"/>
      <w:lang w:val="es-ES_tradnl" w:eastAsia="es-ES"/>
    </w:rPr>
  </w:style>
  <w:style w:type="character" w:styleId="Hipervnculo">
    <w:name w:val="Hyperlink"/>
    <w:basedOn w:val="Fuentedeprrafopredeter"/>
    <w:uiPriority w:val="99"/>
    <w:unhideWhenUsed/>
    <w:rsid w:val="00E769A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iteriosdeinterpretacion.inai.org.mx/Criterios/10-13.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WZ0K7pzxfEwCNeY5Gyg9qgx8g==">CgMxLjAyCGguZ2pkZ3hzMgloLjMwajB6bGwyCWguMWZvYjl0ZTIJaC4zem55c2g3MgloLjJldDkycDAyCGgudHlqY3d0MgloLjNkeTZ2a20yCWguMXQzaDVzZjIJaC40ZDM0b2c4MgloLjJzOGV5bzEyCWguMTdkcDh2dTIJaC4yNmluMXJnMgloLjNyZGNyam4yCWguMzVua3VuMjIJaC4xa3N2NHV2OAByITE1aVQxMi12LVVJV2REd3F0X2FRTjMxclhvWEdUS3ZYeQ==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5908</Words>
  <Characters>32494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6</cp:revision>
  <dcterms:created xsi:type="dcterms:W3CDTF">2024-09-23T18:16:00Z</dcterms:created>
  <dcterms:modified xsi:type="dcterms:W3CDTF">2024-10-16T19:49:00Z</dcterms:modified>
</cp:coreProperties>
</file>