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21" w:rsidRDefault="00716121">
      <w:pPr>
        <w:widowControl w:val="0"/>
        <w:pBdr>
          <w:top w:val="nil"/>
          <w:left w:val="nil"/>
          <w:bottom w:val="nil"/>
          <w:right w:val="nil"/>
          <w:between w:val="nil"/>
        </w:pBdr>
        <w:spacing w:after="0" w:line="276" w:lineRule="auto"/>
        <w:jc w:val="left"/>
      </w:pPr>
    </w:p>
    <w:p w:rsidR="00716121" w:rsidRPr="00776857" w:rsidRDefault="005008FD">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sidRPr="00776857">
        <w:rPr>
          <w:rFonts w:ascii="Calibri" w:eastAsia="Calibri" w:hAnsi="Calibri" w:cs="Calibri"/>
          <w:color w:val="2F5496"/>
          <w:sz w:val="32"/>
          <w:szCs w:val="32"/>
        </w:rPr>
        <w:t>Contenido</w:t>
      </w:r>
    </w:p>
    <w:p w:rsidR="00716121" w:rsidRPr="00776857" w:rsidRDefault="00716121">
      <w:pPr>
        <w:pBdr>
          <w:top w:val="nil"/>
          <w:left w:val="nil"/>
          <w:bottom w:val="nil"/>
          <w:right w:val="nil"/>
          <w:between w:val="nil"/>
        </w:pBdr>
        <w:tabs>
          <w:tab w:val="right" w:pos="9204"/>
        </w:tabs>
        <w:spacing w:after="100"/>
        <w:rPr>
          <w:b/>
          <w:color w:val="000000"/>
        </w:rPr>
      </w:pPr>
    </w:p>
    <w:sdt>
      <w:sdtPr>
        <w:id w:val="-1964560332"/>
        <w:docPartObj>
          <w:docPartGallery w:val="Table of Contents"/>
          <w:docPartUnique/>
        </w:docPartObj>
      </w:sdtPr>
      <w:sdtEndPr/>
      <w:sdtContent>
        <w:p w:rsidR="00716121" w:rsidRPr="00776857" w:rsidRDefault="005008FD">
          <w:pPr>
            <w:pBdr>
              <w:top w:val="nil"/>
              <w:left w:val="nil"/>
              <w:bottom w:val="nil"/>
              <w:right w:val="nil"/>
              <w:between w:val="nil"/>
            </w:pBdr>
            <w:tabs>
              <w:tab w:val="right" w:pos="9204"/>
            </w:tabs>
            <w:spacing w:after="100"/>
            <w:rPr>
              <w:rFonts w:ascii="Calibri" w:eastAsia="Calibri" w:hAnsi="Calibri" w:cs="Calibri"/>
              <w:color w:val="000000"/>
            </w:rPr>
          </w:pPr>
          <w:r w:rsidRPr="00776857">
            <w:fldChar w:fldCharType="begin"/>
          </w:r>
          <w:r w:rsidRPr="00776857">
            <w:instrText xml:space="preserve"> TOC \h \u \z \t "Heading 1,1,Heading 2,2,Heading 3,3,"</w:instrText>
          </w:r>
          <w:r w:rsidRPr="00776857">
            <w:fldChar w:fldCharType="separate"/>
          </w:r>
          <w:hyperlink w:anchor="_heading=h.2jxsxqh">
            <w:r w:rsidRPr="00776857">
              <w:rPr>
                <w:color w:val="000000"/>
              </w:rPr>
              <w:t>A N T E C E D E N T E S</w:t>
            </w:r>
            <w:r w:rsidRPr="00776857">
              <w:rPr>
                <w:color w:val="000000"/>
              </w:rPr>
              <w:tab/>
              <w:t>2</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z337ya">
            <w:r w:rsidR="005008FD" w:rsidRPr="00776857">
              <w:rPr>
                <w:color w:val="000000"/>
              </w:rPr>
              <w:t>I. Presentación de la solicitud de información</w:t>
            </w:r>
            <w:r w:rsidR="005008FD" w:rsidRPr="00776857">
              <w:rPr>
                <w:color w:val="000000"/>
              </w:rPr>
              <w:tab/>
              <w:t>2</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j2qqm3">
            <w:r w:rsidR="005008FD" w:rsidRPr="00776857">
              <w:rPr>
                <w:color w:val="000000"/>
              </w:rPr>
              <w:t>II. Respuesta del Sujeto Obligado</w:t>
            </w:r>
            <w:r w:rsidR="005008FD" w:rsidRPr="00776857">
              <w:rPr>
                <w:color w:val="000000"/>
              </w:rPr>
              <w:tab/>
              <w:t>3</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y810tw">
            <w:r w:rsidR="005008FD" w:rsidRPr="00776857">
              <w:rPr>
                <w:color w:val="000000"/>
              </w:rPr>
              <w:t>III. Interposición del Recurso de Revisión</w:t>
            </w:r>
            <w:r w:rsidR="005008FD" w:rsidRPr="00776857">
              <w:rPr>
                <w:color w:val="000000"/>
              </w:rPr>
              <w:tab/>
              <w:t>4</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i7ojhp">
            <w:r w:rsidR="005008FD" w:rsidRPr="00776857">
              <w:rPr>
                <w:color w:val="000000"/>
              </w:rPr>
              <w:t>IV. Trámite del Recurso de Revisión ante este Instituto</w:t>
            </w:r>
            <w:r w:rsidR="005008FD" w:rsidRPr="00776857">
              <w:rPr>
                <w:color w:val="000000"/>
              </w:rPr>
              <w:tab/>
              <w:t>4</w:t>
            </w:r>
          </w:hyperlink>
        </w:p>
        <w:p w:rsidR="00716121" w:rsidRPr="00776857" w:rsidRDefault="0071330F">
          <w:pPr>
            <w:pBdr>
              <w:top w:val="nil"/>
              <w:left w:val="nil"/>
              <w:bottom w:val="nil"/>
              <w:right w:val="nil"/>
              <w:between w:val="nil"/>
            </w:pBdr>
            <w:tabs>
              <w:tab w:val="right" w:pos="9204"/>
            </w:tabs>
            <w:spacing w:after="100"/>
            <w:rPr>
              <w:rFonts w:ascii="Calibri" w:eastAsia="Calibri" w:hAnsi="Calibri" w:cs="Calibri"/>
              <w:color w:val="000000"/>
            </w:rPr>
          </w:pPr>
          <w:hyperlink w:anchor="_heading=h.2xcytpi">
            <w:r w:rsidR="005008FD" w:rsidRPr="00776857">
              <w:rPr>
                <w:color w:val="000000"/>
              </w:rPr>
              <w:t>C O N S I D E R A N D O S</w:t>
            </w:r>
            <w:r w:rsidR="005008FD" w:rsidRPr="00776857">
              <w:rPr>
                <w:color w:val="000000"/>
              </w:rPr>
              <w:tab/>
              <w:t>6</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ci93xb">
            <w:r w:rsidR="005008FD" w:rsidRPr="00776857">
              <w:rPr>
                <w:color w:val="000000"/>
              </w:rPr>
              <w:t>PRIMERO. Competencia</w:t>
            </w:r>
            <w:r w:rsidR="005008FD" w:rsidRPr="00776857">
              <w:rPr>
                <w:color w:val="000000"/>
              </w:rPr>
              <w:tab/>
              <w:t>6</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whwml4">
            <w:r w:rsidR="005008FD" w:rsidRPr="00776857">
              <w:rPr>
                <w:color w:val="000000"/>
              </w:rPr>
              <w:t>SEGUNDO. Causales de improcedencia y sobreseimiento</w:t>
            </w:r>
            <w:r w:rsidR="005008FD" w:rsidRPr="00776857">
              <w:rPr>
                <w:color w:val="000000"/>
              </w:rPr>
              <w:tab/>
              <w:t>6</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bn6wsx">
            <w:r w:rsidR="005008FD" w:rsidRPr="00776857">
              <w:rPr>
                <w:color w:val="000000"/>
              </w:rPr>
              <w:t>TERCERO. Determinación de la Controversia</w:t>
            </w:r>
            <w:r w:rsidR="005008FD" w:rsidRPr="00776857">
              <w:rPr>
                <w:color w:val="000000"/>
              </w:rPr>
              <w:tab/>
              <w:t>8</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qsh70q">
            <w:r w:rsidR="005008FD" w:rsidRPr="00776857">
              <w:rPr>
                <w:color w:val="000000"/>
              </w:rPr>
              <w:t>CUARTO. Marco normativo aplicable en materia de transparencia y acceso a la información pública</w:t>
            </w:r>
            <w:r w:rsidR="005008FD" w:rsidRPr="00776857">
              <w:rPr>
                <w:color w:val="000000"/>
              </w:rPr>
              <w:tab/>
              <w:t>9</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as4poj">
            <w:r w:rsidR="005008FD" w:rsidRPr="00776857">
              <w:rPr>
                <w:smallCaps/>
                <w:color w:val="000000"/>
              </w:rPr>
              <w:t>QUINTO.</w:t>
            </w:r>
          </w:hyperlink>
          <w:hyperlink w:anchor="_heading=h.3as4poj">
            <w:r w:rsidR="005008FD" w:rsidRPr="00776857">
              <w:rPr>
                <w:color w:val="000000"/>
              </w:rPr>
              <w:t xml:space="preserve"> Estudio de Fondo</w:t>
            </w:r>
            <w:r w:rsidR="005008FD" w:rsidRPr="00776857">
              <w:rPr>
                <w:color w:val="000000"/>
              </w:rPr>
              <w:tab/>
              <w:t>10</w:t>
            </w:r>
          </w:hyperlink>
        </w:p>
        <w:p w:rsidR="00716121" w:rsidRPr="00776857" w:rsidRDefault="0071330F">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ksv4uv">
            <w:r w:rsidR="005008FD" w:rsidRPr="00776857">
              <w:rPr>
                <w:color w:val="000000"/>
              </w:rPr>
              <w:t>SEXTO. Decisión</w:t>
            </w:r>
            <w:r w:rsidR="005008FD" w:rsidRPr="00776857">
              <w:rPr>
                <w:color w:val="000000"/>
              </w:rPr>
              <w:tab/>
              <w:t>16</w:t>
            </w:r>
          </w:hyperlink>
        </w:p>
        <w:p w:rsidR="00716121" w:rsidRPr="00776857" w:rsidRDefault="0071330F">
          <w:pPr>
            <w:pBdr>
              <w:top w:val="nil"/>
              <w:left w:val="nil"/>
              <w:bottom w:val="nil"/>
              <w:right w:val="nil"/>
              <w:between w:val="nil"/>
            </w:pBdr>
            <w:tabs>
              <w:tab w:val="right" w:pos="9204"/>
            </w:tabs>
            <w:spacing w:after="100"/>
            <w:rPr>
              <w:rFonts w:ascii="Calibri" w:eastAsia="Calibri" w:hAnsi="Calibri" w:cs="Calibri"/>
              <w:color w:val="000000"/>
            </w:rPr>
          </w:pPr>
          <w:hyperlink w:anchor="_heading=h.44sinio">
            <w:r w:rsidR="005008FD" w:rsidRPr="00776857">
              <w:rPr>
                <w:color w:val="000000"/>
              </w:rPr>
              <w:t>R E S U E L V E</w:t>
            </w:r>
            <w:r w:rsidR="005008FD" w:rsidRPr="00776857">
              <w:rPr>
                <w:color w:val="000000"/>
              </w:rPr>
              <w:tab/>
              <w:t>17</w:t>
            </w:r>
          </w:hyperlink>
        </w:p>
        <w:p w:rsidR="00716121" w:rsidRPr="00776857" w:rsidRDefault="005008FD">
          <w:r w:rsidRPr="00776857">
            <w:fldChar w:fldCharType="end"/>
          </w:r>
        </w:p>
      </w:sdtContent>
    </w:sdt>
    <w:p w:rsidR="00716121" w:rsidRPr="00776857" w:rsidRDefault="00716121">
      <w:pPr>
        <w:spacing w:after="0" w:line="360" w:lineRule="auto"/>
      </w:pPr>
    </w:p>
    <w:p w:rsidR="00716121" w:rsidRPr="00776857" w:rsidRDefault="00716121">
      <w:pPr>
        <w:spacing w:after="0" w:line="360" w:lineRule="auto"/>
      </w:pPr>
    </w:p>
    <w:p w:rsidR="00716121" w:rsidRPr="00776857" w:rsidRDefault="005008FD">
      <w:pPr>
        <w:spacing w:after="0" w:line="360" w:lineRule="auto"/>
      </w:pPr>
      <w:r w:rsidRPr="00776857">
        <w:br w:type="page"/>
      </w:r>
    </w:p>
    <w:p w:rsidR="00716121" w:rsidRPr="00776857" w:rsidRDefault="00716121">
      <w:pPr>
        <w:widowControl w:val="0"/>
        <w:pBdr>
          <w:top w:val="nil"/>
          <w:left w:val="nil"/>
          <w:bottom w:val="nil"/>
          <w:right w:val="nil"/>
          <w:between w:val="nil"/>
        </w:pBdr>
        <w:spacing w:after="0" w:line="360" w:lineRule="auto"/>
        <w:jc w:val="left"/>
      </w:pPr>
    </w:p>
    <w:p w:rsidR="00716121" w:rsidRPr="00776857" w:rsidRDefault="005008FD">
      <w:pPr>
        <w:spacing w:after="0" w:line="360" w:lineRule="auto"/>
      </w:pPr>
      <w:r w:rsidRPr="00776857">
        <w:t>Resolución del Pleno del Instituto de Transparencia, Acceso a la Información Pública y Protección de Datos Personales del Estado de México y Municipios, con domicilio en Metepec, Estado de México, de fecha cuatro de diciembre de dos mil veinticuatro.</w:t>
      </w:r>
    </w:p>
    <w:p w:rsidR="00716121" w:rsidRPr="00776857" w:rsidRDefault="00716121">
      <w:pPr>
        <w:spacing w:after="0" w:line="360" w:lineRule="auto"/>
        <w:rPr>
          <w:b/>
        </w:rPr>
      </w:pPr>
    </w:p>
    <w:p w:rsidR="00716121" w:rsidRPr="00776857" w:rsidRDefault="005008FD">
      <w:pPr>
        <w:spacing w:after="0" w:line="360" w:lineRule="auto"/>
      </w:pPr>
      <w:r w:rsidRPr="00776857">
        <w:rPr>
          <w:b/>
        </w:rPr>
        <w:t>VISTO</w:t>
      </w:r>
      <w:r w:rsidRPr="00776857">
        <w:t xml:space="preserve"> el expediente conformado con motivo del Recurso de Revisión </w:t>
      </w:r>
      <w:r w:rsidRPr="00776857">
        <w:rPr>
          <w:b/>
        </w:rPr>
        <w:t>05016/INFOEM/IP/RR/2024</w:t>
      </w:r>
      <w:r w:rsidRPr="00776857">
        <w:t xml:space="preserve">, interpuesto por </w:t>
      </w:r>
      <w:r w:rsidR="00DA7B2E" w:rsidRPr="00DA7B2E">
        <w:rPr>
          <w:highlight w:val="black"/>
        </w:rPr>
        <w:t>XXXXXXXXXXXXXXXXX</w:t>
      </w:r>
      <w:r w:rsidRPr="00776857">
        <w:t>, en adelante, la persona Recurrente o Particular, en contra de la respuesta del Sujeto Obligado, Secretaría de Finanzas, se emite la presente Resolución, con base en los antecedentes y considerandos que se exponen a continuación:</w:t>
      </w:r>
    </w:p>
    <w:p w:rsidR="00716121" w:rsidRPr="00776857" w:rsidRDefault="00716121">
      <w:pPr>
        <w:spacing w:after="0" w:line="360" w:lineRule="auto"/>
      </w:pPr>
    </w:p>
    <w:p w:rsidR="00716121" w:rsidRPr="00776857" w:rsidRDefault="005008FD">
      <w:pPr>
        <w:pStyle w:val="Ttulo1"/>
        <w:spacing w:before="0" w:after="0"/>
        <w:rPr>
          <w:sz w:val="22"/>
          <w:szCs w:val="22"/>
        </w:rPr>
      </w:pPr>
      <w:bookmarkStart w:id="0" w:name="_heading=h.2jxsxqh" w:colFirst="0" w:colLast="0"/>
      <w:bookmarkEnd w:id="0"/>
      <w:r w:rsidRPr="00776857">
        <w:rPr>
          <w:sz w:val="22"/>
          <w:szCs w:val="22"/>
        </w:rPr>
        <w:t>A N T E C E D E N T E S</w:t>
      </w:r>
    </w:p>
    <w:p w:rsidR="00716121" w:rsidRPr="00776857" w:rsidRDefault="00716121">
      <w:pPr>
        <w:spacing w:after="0" w:line="360" w:lineRule="auto"/>
      </w:pPr>
    </w:p>
    <w:p w:rsidR="00716121" w:rsidRPr="00776857" w:rsidRDefault="005008FD">
      <w:pPr>
        <w:pStyle w:val="Ttulo2"/>
        <w:spacing w:before="0" w:after="0"/>
      </w:pPr>
      <w:bookmarkStart w:id="1" w:name="_heading=h.z337ya" w:colFirst="0" w:colLast="0"/>
      <w:bookmarkEnd w:id="1"/>
      <w:r w:rsidRPr="00776857">
        <w:t>I. Presentación de la solicitud de información</w:t>
      </w:r>
    </w:p>
    <w:p w:rsidR="00716121" w:rsidRPr="00776857" w:rsidRDefault="00716121">
      <w:pPr>
        <w:tabs>
          <w:tab w:val="left" w:pos="567"/>
        </w:tabs>
        <w:spacing w:after="0" w:line="360" w:lineRule="auto"/>
      </w:pPr>
    </w:p>
    <w:p w:rsidR="00716121" w:rsidRPr="00776857" w:rsidRDefault="005008FD">
      <w:pPr>
        <w:spacing w:after="0" w:line="360" w:lineRule="auto"/>
        <w:rPr>
          <w:color w:val="000000"/>
        </w:rPr>
      </w:pPr>
      <w:r w:rsidRPr="00776857">
        <w:t xml:space="preserve">Con fecha doce de agosto de dos mil veinticuatro, </w:t>
      </w:r>
      <w:r w:rsidRPr="00776857">
        <w:rPr>
          <w:color w:val="000000"/>
        </w:rPr>
        <w:t xml:space="preserve">la Particular presentó una solicitud de acceso a la información pública, </w:t>
      </w:r>
      <w:r w:rsidRPr="00776857">
        <w:t>a través del</w:t>
      </w:r>
      <w:r w:rsidRPr="00776857">
        <w:rPr>
          <w:color w:val="000000"/>
        </w:rPr>
        <w:t xml:space="preserve"> Sistema de Acceso a la Información Mexiquense, en lo sucesivo el SAIMEX, ante la </w:t>
      </w:r>
      <w:r w:rsidRPr="00776857">
        <w:rPr>
          <w:b/>
        </w:rPr>
        <w:t>Secretaría de Finanzas</w:t>
      </w:r>
      <w:r w:rsidRPr="00776857">
        <w:t xml:space="preserve">, </w:t>
      </w:r>
      <w:r w:rsidRPr="00776857">
        <w:rPr>
          <w:color w:val="000000"/>
        </w:rPr>
        <w:t>en la que requirió lo siguiente:</w:t>
      </w:r>
    </w:p>
    <w:p w:rsidR="00716121" w:rsidRPr="00776857" w:rsidRDefault="00716121">
      <w:pPr>
        <w:spacing w:after="0" w:line="360" w:lineRule="auto"/>
        <w:rPr>
          <w:color w:val="000000"/>
        </w:rPr>
      </w:pPr>
    </w:p>
    <w:p w:rsidR="00716121" w:rsidRPr="00776857" w:rsidRDefault="005008FD">
      <w:pPr>
        <w:tabs>
          <w:tab w:val="left" w:pos="567"/>
        </w:tabs>
        <w:spacing w:after="0" w:line="360" w:lineRule="auto"/>
        <w:ind w:left="567" w:right="709"/>
        <w:rPr>
          <w:b/>
          <w:sz w:val="20"/>
          <w:szCs w:val="20"/>
        </w:rPr>
      </w:pPr>
      <w:r w:rsidRPr="00776857">
        <w:rPr>
          <w:b/>
          <w:sz w:val="20"/>
          <w:szCs w:val="20"/>
        </w:rPr>
        <w:t>Folio de la solicitud: 00522/SF/IP/2024</w:t>
      </w:r>
    </w:p>
    <w:p w:rsidR="00716121" w:rsidRPr="00776857" w:rsidRDefault="005008FD">
      <w:pPr>
        <w:tabs>
          <w:tab w:val="left" w:pos="567"/>
        </w:tabs>
        <w:spacing w:after="0" w:line="360" w:lineRule="auto"/>
        <w:ind w:left="567" w:right="709"/>
        <w:rPr>
          <w:b/>
          <w:sz w:val="20"/>
          <w:szCs w:val="20"/>
        </w:rPr>
      </w:pPr>
      <w:r w:rsidRPr="00776857">
        <w:rPr>
          <w:b/>
          <w:sz w:val="20"/>
          <w:szCs w:val="20"/>
        </w:rPr>
        <w:t>DESCRIPCIÓN CLARA Y PRECISA DE LA INFORMACIÓN SOLICITADA</w:t>
      </w:r>
    </w:p>
    <w:p w:rsidR="00716121" w:rsidRPr="00776857" w:rsidRDefault="005008FD">
      <w:pPr>
        <w:tabs>
          <w:tab w:val="left" w:pos="4667"/>
        </w:tabs>
        <w:spacing w:after="0" w:line="360" w:lineRule="auto"/>
        <w:ind w:left="567" w:right="709"/>
        <w:rPr>
          <w:i/>
          <w:sz w:val="20"/>
          <w:szCs w:val="20"/>
        </w:rPr>
      </w:pPr>
      <w:r w:rsidRPr="00776857">
        <w:rPr>
          <w:i/>
          <w:sz w:val="20"/>
          <w:szCs w:val="20"/>
        </w:rPr>
        <w:t xml:space="preserve">“Sirva este medio para saludar respetuosamente y solicitar Con fundamento en el artículo 8vo. Constitucional la siguiente información: </w:t>
      </w:r>
      <w:r w:rsidRPr="00776857">
        <w:rPr>
          <w:b/>
          <w:i/>
          <w:sz w:val="20"/>
          <w:szCs w:val="20"/>
        </w:rPr>
        <w:t xml:space="preserve">1.- información </w:t>
      </w:r>
      <w:r w:rsidR="003A6DC9" w:rsidRPr="00776857">
        <w:rPr>
          <w:b/>
          <w:i/>
          <w:sz w:val="20"/>
          <w:szCs w:val="20"/>
        </w:rPr>
        <w:t>sobre, si</w:t>
      </w:r>
      <w:r w:rsidRPr="00776857">
        <w:rPr>
          <w:b/>
          <w:i/>
          <w:sz w:val="20"/>
          <w:szCs w:val="20"/>
        </w:rPr>
        <w:t xml:space="preserve"> se </w:t>
      </w:r>
      <w:r w:rsidR="003A6DC9" w:rsidRPr="00776857">
        <w:rPr>
          <w:b/>
          <w:i/>
          <w:sz w:val="20"/>
          <w:szCs w:val="20"/>
        </w:rPr>
        <w:t>contó</w:t>
      </w:r>
      <w:r w:rsidRPr="00776857">
        <w:rPr>
          <w:b/>
          <w:i/>
          <w:sz w:val="20"/>
          <w:szCs w:val="20"/>
        </w:rPr>
        <w:t xml:space="preserve"> con seguro de vida contratado por parte de IMEVIS en los periodos de los años 2021-2022-2023</w:t>
      </w:r>
      <w:r w:rsidRPr="00776857">
        <w:rPr>
          <w:i/>
          <w:sz w:val="20"/>
          <w:szCs w:val="20"/>
        </w:rPr>
        <w:t xml:space="preserve"> a favor de sus empleados, si se </w:t>
      </w:r>
      <w:r w:rsidR="003A6DC9" w:rsidRPr="00776857">
        <w:rPr>
          <w:i/>
          <w:sz w:val="20"/>
          <w:szCs w:val="20"/>
        </w:rPr>
        <w:t>contó</w:t>
      </w:r>
      <w:r w:rsidRPr="00776857">
        <w:rPr>
          <w:i/>
          <w:sz w:val="20"/>
          <w:szCs w:val="20"/>
        </w:rPr>
        <w:t xml:space="preserve"> con seguros de vida contratados para los trabajadores de dicha dependencia que Aseguradoras fueron las encargadas de asegurar en cada periodo. 2.- En el supuesto de no contar con información sobre el requerimiento, turnar a la dependencia que se encarga de salvaguardar esa información para que se nos proporcione. </w:t>
      </w:r>
      <w:r w:rsidRPr="00776857">
        <w:rPr>
          <w:b/>
          <w:i/>
          <w:sz w:val="20"/>
          <w:szCs w:val="20"/>
        </w:rPr>
        <w:t xml:space="preserve">3.- si fuese posible obtener copia simple de la póliza </w:t>
      </w:r>
      <w:r w:rsidRPr="00776857">
        <w:rPr>
          <w:b/>
          <w:i/>
          <w:sz w:val="20"/>
          <w:szCs w:val="20"/>
        </w:rPr>
        <w:lastRenderedPageBreak/>
        <w:t xml:space="preserve">de Seguro de vida a favor de MARTHA CAYETANA JIMÉNEZ VALENTE </w:t>
      </w:r>
      <w:r w:rsidRPr="00776857">
        <w:rPr>
          <w:i/>
          <w:sz w:val="20"/>
          <w:szCs w:val="20"/>
        </w:rPr>
        <w:t>trabajadora del IMEVIS con número de Servidor público 00004782 R.F.C.: […] CLAVE ISSEMYM: […]. Sin más por el momento me despido, agradeciendo sus finas atenciones.” (</w:t>
      </w:r>
      <w:r w:rsidR="003A6DC9" w:rsidRPr="00776857">
        <w:rPr>
          <w:i/>
          <w:sz w:val="20"/>
          <w:szCs w:val="20"/>
        </w:rPr>
        <w:t>Sic</w:t>
      </w:r>
      <w:r w:rsidRPr="00776857">
        <w:rPr>
          <w:i/>
          <w:sz w:val="20"/>
          <w:szCs w:val="20"/>
        </w:rPr>
        <w:t>.)</w:t>
      </w:r>
    </w:p>
    <w:p w:rsidR="00716121" w:rsidRPr="00776857" w:rsidRDefault="005008FD">
      <w:pPr>
        <w:tabs>
          <w:tab w:val="left" w:pos="4667"/>
        </w:tabs>
        <w:spacing w:after="0" w:line="360" w:lineRule="auto"/>
        <w:ind w:left="567" w:right="709"/>
        <w:rPr>
          <w:i/>
          <w:sz w:val="20"/>
          <w:szCs w:val="20"/>
        </w:rPr>
      </w:pPr>
      <w:r w:rsidRPr="00776857">
        <w:rPr>
          <w:i/>
          <w:sz w:val="20"/>
          <w:szCs w:val="20"/>
        </w:rPr>
        <w:t xml:space="preserve"> </w:t>
      </w:r>
    </w:p>
    <w:p w:rsidR="00716121" w:rsidRPr="00776857" w:rsidRDefault="005008FD">
      <w:pPr>
        <w:pBdr>
          <w:top w:val="nil"/>
          <w:left w:val="nil"/>
          <w:bottom w:val="nil"/>
          <w:right w:val="nil"/>
          <w:between w:val="nil"/>
        </w:pBdr>
        <w:tabs>
          <w:tab w:val="left" w:pos="567"/>
        </w:tabs>
        <w:spacing w:after="0" w:line="360" w:lineRule="auto"/>
        <w:ind w:left="567" w:right="709"/>
        <w:rPr>
          <w:i/>
          <w:color w:val="000000"/>
          <w:sz w:val="20"/>
          <w:szCs w:val="20"/>
        </w:rPr>
      </w:pPr>
      <w:r w:rsidRPr="00776857">
        <w:rPr>
          <w:b/>
          <w:color w:val="000000"/>
          <w:sz w:val="20"/>
          <w:szCs w:val="20"/>
        </w:rPr>
        <w:t xml:space="preserve">MODALIDAD DE ENTREGA </w:t>
      </w:r>
      <w:r w:rsidRPr="00776857">
        <w:rPr>
          <w:i/>
          <w:color w:val="000000"/>
          <w:sz w:val="20"/>
          <w:szCs w:val="20"/>
        </w:rPr>
        <w:t>“A través del SAIMEX”</w:t>
      </w:r>
      <w:bookmarkStart w:id="2" w:name="_GoBack"/>
      <w:bookmarkEnd w:id="2"/>
    </w:p>
    <w:p w:rsidR="00716121" w:rsidRPr="00776857" w:rsidRDefault="00716121">
      <w:pPr>
        <w:pStyle w:val="Ttulo2"/>
        <w:spacing w:before="0" w:after="0"/>
      </w:pPr>
    </w:p>
    <w:p w:rsidR="00716121" w:rsidRPr="00776857" w:rsidRDefault="005008FD">
      <w:pPr>
        <w:pStyle w:val="Ttulo2"/>
        <w:spacing w:before="0" w:after="0"/>
      </w:pPr>
      <w:bookmarkStart w:id="3" w:name="_heading=h.3j2qqm3" w:colFirst="0" w:colLast="0"/>
      <w:bookmarkEnd w:id="3"/>
      <w:r w:rsidRPr="00776857">
        <w:t>II. Respuesta del Sujeto Obligado</w:t>
      </w:r>
    </w:p>
    <w:p w:rsidR="00716121" w:rsidRPr="00776857" w:rsidRDefault="00716121">
      <w:pPr>
        <w:spacing w:after="0" w:line="360" w:lineRule="auto"/>
      </w:pPr>
    </w:p>
    <w:p w:rsidR="00716121" w:rsidRPr="00776857" w:rsidRDefault="005008FD">
      <w:pPr>
        <w:spacing w:after="0" w:line="360" w:lineRule="auto"/>
        <w:rPr>
          <w:color w:val="000000"/>
        </w:rPr>
      </w:pPr>
      <w:r w:rsidRPr="00776857">
        <w:t xml:space="preserve">El quince de agosto de dos mil veinticuatro, el Sujeto Obligado otorgó respuesta a través de SAIMEX, mediante un documento, del que se desprende </w:t>
      </w:r>
      <w:r w:rsidRPr="00776857">
        <w:rPr>
          <w:color w:val="000000"/>
        </w:rPr>
        <w:t>un Acuerdo de incompetencia, suscrito por el Jefe de la UIPPE y Titular de la Unidad de Transparencia del Sujeto Obligado, mediante el cual se declaró incompetente para conocer de la información solicitada y señaló que la Oficialía Mayor es competente para conocer de lo solicitado; ello bajo los siguientes argumentos:</w:t>
      </w:r>
    </w:p>
    <w:p w:rsidR="00716121" w:rsidRPr="00776857" w:rsidRDefault="00716121">
      <w:pPr>
        <w:spacing w:after="0" w:line="360" w:lineRule="auto"/>
        <w:rPr>
          <w:color w:val="000000"/>
        </w:rPr>
      </w:pPr>
    </w:p>
    <w:p w:rsidR="00716121" w:rsidRPr="00776857" w:rsidRDefault="005008FD">
      <w:pPr>
        <w:numPr>
          <w:ilvl w:val="0"/>
          <w:numId w:val="1"/>
        </w:numPr>
        <w:pBdr>
          <w:top w:val="nil"/>
          <w:left w:val="nil"/>
          <w:bottom w:val="nil"/>
          <w:right w:val="nil"/>
          <w:between w:val="nil"/>
        </w:pBdr>
        <w:spacing w:after="0" w:line="360" w:lineRule="auto"/>
      </w:pPr>
      <w:r w:rsidRPr="00776857">
        <w:rPr>
          <w:color w:val="000000"/>
        </w:rPr>
        <w:t>Que el 11 de septiembre de 2023 se emitió la nueva Ley Orgánica de la Administración Pública del Estado de México, en el que se contempló la creación de la Oficialía Mayor</w:t>
      </w:r>
    </w:p>
    <w:p w:rsidR="00716121" w:rsidRPr="00776857" w:rsidRDefault="005008FD">
      <w:pPr>
        <w:numPr>
          <w:ilvl w:val="0"/>
          <w:numId w:val="1"/>
        </w:numPr>
        <w:pBdr>
          <w:top w:val="nil"/>
          <w:left w:val="nil"/>
          <w:bottom w:val="nil"/>
          <w:right w:val="nil"/>
          <w:between w:val="nil"/>
        </w:pBdr>
        <w:spacing w:after="0" w:line="360" w:lineRule="auto"/>
      </w:pPr>
      <w:r w:rsidRPr="00776857">
        <w:rPr>
          <w:color w:val="000000"/>
        </w:rPr>
        <w:t>Que en fecha 27 de septiembre de 2023 se publicó el acuerdo por el que se transfieren los recursos de la Subsecretaría de Administración de la Secretaría de Finanzas a la Oficialía Mayor.</w:t>
      </w:r>
    </w:p>
    <w:p w:rsidR="00716121" w:rsidRPr="00776857" w:rsidRDefault="005008FD">
      <w:pPr>
        <w:numPr>
          <w:ilvl w:val="0"/>
          <w:numId w:val="1"/>
        </w:numPr>
        <w:pBdr>
          <w:top w:val="nil"/>
          <w:left w:val="nil"/>
          <w:bottom w:val="nil"/>
          <w:right w:val="nil"/>
          <w:between w:val="nil"/>
        </w:pBdr>
        <w:spacing w:after="0" w:line="360" w:lineRule="auto"/>
      </w:pPr>
      <w:r w:rsidRPr="00776857">
        <w:rPr>
          <w:color w:val="000000"/>
        </w:rPr>
        <w:t>Que derivado de lo anterior se transfirieron a la Oficialía Mayor los recursos humanos, materiales, presupuestales y financieros de la Dirección General de Recursos Materiales, la Dirección General de Personal, la Dirección General de Innovación y de la Coordinación de Servicios Auxiliares a Contingencias y Emergencias, lo anterior de conformidad con el Reglamento interior de dicha dependencia, que fue emitido el 20 de diciembre de 2023.</w:t>
      </w:r>
    </w:p>
    <w:p w:rsidR="00716121" w:rsidRPr="00776857" w:rsidRDefault="005008FD">
      <w:pPr>
        <w:numPr>
          <w:ilvl w:val="0"/>
          <w:numId w:val="1"/>
        </w:numPr>
        <w:pBdr>
          <w:top w:val="nil"/>
          <w:left w:val="nil"/>
          <w:bottom w:val="nil"/>
          <w:right w:val="nil"/>
          <w:between w:val="nil"/>
        </w:pBdr>
        <w:spacing w:after="0" w:line="360" w:lineRule="auto"/>
      </w:pPr>
      <w:r w:rsidRPr="00776857">
        <w:rPr>
          <w:color w:val="000000"/>
        </w:rPr>
        <w:t xml:space="preserve">Que la información solicitada versa sobre información laboral que pudiera obrar en el ámbito de competencia de la Dirección General de Personal de la Oficialía Mayor. </w:t>
      </w:r>
    </w:p>
    <w:p w:rsidR="00716121" w:rsidRPr="00776857" w:rsidRDefault="005008FD">
      <w:pPr>
        <w:pStyle w:val="Ttulo2"/>
        <w:spacing w:before="0" w:after="0"/>
      </w:pPr>
      <w:bookmarkStart w:id="4" w:name="_heading=h.1y810tw" w:colFirst="0" w:colLast="0"/>
      <w:bookmarkEnd w:id="4"/>
      <w:r w:rsidRPr="00776857">
        <w:lastRenderedPageBreak/>
        <w:t>III. Interposición del Recurso de Revisión</w:t>
      </w:r>
    </w:p>
    <w:p w:rsidR="00716121" w:rsidRPr="00776857" w:rsidRDefault="00716121">
      <w:pPr>
        <w:spacing w:after="0" w:line="360" w:lineRule="auto"/>
        <w:rPr>
          <w:b/>
        </w:rPr>
      </w:pPr>
    </w:p>
    <w:p w:rsidR="00716121" w:rsidRPr="00776857" w:rsidRDefault="005008FD">
      <w:pPr>
        <w:spacing w:after="0" w:line="360" w:lineRule="auto"/>
      </w:pPr>
      <w:bookmarkStart w:id="5" w:name="_heading=h.2et92p0" w:colFirst="0" w:colLast="0"/>
      <w:bookmarkEnd w:id="5"/>
      <w:r w:rsidRPr="00776857">
        <w:t>Con fecha veinte de agosto de dos mil veinticuatro, se recibió en este Instituto, a través del SAIMEX, el Recurso de Revisión interpuesto por la persona Solicitante, en los siguientes términos:</w:t>
      </w:r>
    </w:p>
    <w:p w:rsidR="00716121" w:rsidRPr="00776857" w:rsidRDefault="00716121">
      <w:pPr>
        <w:spacing w:after="0" w:line="360" w:lineRule="auto"/>
      </w:pPr>
    </w:p>
    <w:p w:rsidR="00716121" w:rsidRPr="00776857" w:rsidRDefault="005008FD">
      <w:pPr>
        <w:spacing w:after="0" w:line="360" w:lineRule="auto"/>
        <w:ind w:left="567" w:right="709"/>
        <w:rPr>
          <w:b/>
          <w:sz w:val="20"/>
          <w:szCs w:val="20"/>
        </w:rPr>
      </w:pPr>
      <w:r w:rsidRPr="00776857">
        <w:rPr>
          <w:b/>
          <w:sz w:val="20"/>
          <w:szCs w:val="20"/>
        </w:rPr>
        <w:t>ACTO IMPUGNADO</w:t>
      </w:r>
      <w:r w:rsidRPr="00776857">
        <w:rPr>
          <w:b/>
          <w:sz w:val="20"/>
          <w:szCs w:val="20"/>
        </w:rPr>
        <w:tab/>
      </w:r>
    </w:p>
    <w:p w:rsidR="00716121" w:rsidRPr="00776857" w:rsidRDefault="005008FD">
      <w:pPr>
        <w:spacing w:after="0" w:line="360" w:lineRule="auto"/>
        <w:ind w:left="567" w:right="709"/>
        <w:rPr>
          <w:i/>
          <w:sz w:val="20"/>
          <w:szCs w:val="20"/>
        </w:rPr>
      </w:pPr>
      <w:r w:rsidRPr="00776857">
        <w:rPr>
          <w:i/>
          <w:sz w:val="20"/>
          <w:szCs w:val="20"/>
        </w:rPr>
        <w:t xml:space="preserve">“Contestación sobre la solicitud de información.” </w:t>
      </w:r>
    </w:p>
    <w:p w:rsidR="00716121" w:rsidRPr="00776857" w:rsidRDefault="00716121">
      <w:pPr>
        <w:spacing w:after="0" w:line="360" w:lineRule="auto"/>
        <w:ind w:left="567" w:right="709"/>
        <w:rPr>
          <w:sz w:val="20"/>
          <w:szCs w:val="20"/>
        </w:rPr>
      </w:pPr>
    </w:p>
    <w:p w:rsidR="00716121" w:rsidRPr="00776857" w:rsidRDefault="005008FD">
      <w:pPr>
        <w:spacing w:after="0" w:line="360" w:lineRule="auto"/>
        <w:ind w:left="567" w:right="709"/>
        <w:rPr>
          <w:b/>
          <w:sz w:val="20"/>
          <w:szCs w:val="20"/>
        </w:rPr>
      </w:pPr>
      <w:r w:rsidRPr="00776857">
        <w:rPr>
          <w:b/>
          <w:sz w:val="20"/>
          <w:szCs w:val="20"/>
        </w:rPr>
        <w:t>RAZONES O MOTIVOS DE LA INCONFORMIDAD</w:t>
      </w:r>
      <w:r w:rsidRPr="00776857">
        <w:rPr>
          <w:b/>
          <w:sz w:val="20"/>
          <w:szCs w:val="20"/>
        </w:rPr>
        <w:tab/>
      </w:r>
    </w:p>
    <w:p w:rsidR="00716121" w:rsidRPr="00776857" w:rsidRDefault="005008FD">
      <w:pPr>
        <w:tabs>
          <w:tab w:val="left" w:pos="4667"/>
        </w:tabs>
        <w:spacing w:after="0" w:line="360" w:lineRule="auto"/>
        <w:ind w:left="567" w:right="709"/>
        <w:rPr>
          <w:i/>
          <w:sz w:val="20"/>
          <w:szCs w:val="20"/>
        </w:rPr>
      </w:pPr>
      <w:r w:rsidRPr="00776857">
        <w:rPr>
          <w:i/>
          <w:sz w:val="20"/>
          <w:szCs w:val="20"/>
        </w:rPr>
        <w:t xml:space="preserve">“No proporciona la información requerida que debiera estar en su poder como secretaria de finanzas, se declara incompetente cuando está autoridad cuenta con su Archivo de dónde puede obtener y proporcionar lo requerido.” </w:t>
      </w:r>
    </w:p>
    <w:p w:rsidR="00716121" w:rsidRPr="00776857" w:rsidRDefault="00716121">
      <w:pPr>
        <w:tabs>
          <w:tab w:val="left" w:pos="4667"/>
        </w:tabs>
        <w:spacing w:after="0" w:line="360" w:lineRule="auto"/>
        <w:ind w:right="537"/>
      </w:pPr>
    </w:p>
    <w:p w:rsidR="00716121" w:rsidRPr="00776857" w:rsidRDefault="005008FD">
      <w:pPr>
        <w:pStyle w:val="Ttulo2"/>
        <w:spacing w:before="0" w:after="0"/>
      </w:pPr>
      <w:bookmarkStart w:id="6" w:name="_heading=h.4i7ojhp" w:colFirst="0" w:colLast="0"/>
      <w:bookmarkEnd w:id="6"/>
      <w:r w:rsidRPr="00776857">
        <w:t>IV. Trámite del Recurso de Revisión ante este Instituto</w:t>
      </w:r>
    </w:p>
    <w:p w:rsidR="00716121" w:rsidRPr="00776857" w:rsidRDefault="00716121">
      <w:pPr>
        <w:spacing w:after="0" w:line="360" w:lineRule="auto"/>
        <w:rPr>
          <w:b/>
        </w:rPr>
      </w:pPr>
    </w:p>
    <w:p w:rsidR="00716121" w:rsidRPr="00776857" w:rsidRDefault="005008FD">
      <w:pPr>
        <w:spacing w:after="0" w:line="360" w:lineRule="auto"/>
        <w:rPr>
          <w:color w:val="000000"/>
        </w:rPr>
      </w:pPr>
      <w:r w:rsidRPr="00776857">
        <w:rPr>
          <w:b/>
        </w:rPr>
        <w:t>a) Turno del Medio de Impugnación.</w:t>
      </w:r>
      <w:r w:rsidRPr="00776857">
        <w:t xml:space="preserve"> </w:t>
      </w:r>
      <w:r w:rsidRPr="00776857">
        <w:rPr>
          <w:color w:val="000000"/>
        </w:rPr>
        <w:t xml:space="preserve">El veinte de agosto de dos mil veinticuatro, el SAIMEX, asignó el número de expediente </w:t>
      </w:r>
      <w:r w:rsidRPr="00776857">
        <w:rPr>
          <w:b/>
          <w:color w:val="000000"/>
        </w:rPr>
        <w:t xml:space="preserve">05016/INFOEM/IP/RR/2024, </w:t>
      </w:r>
      <w:r w:rsidRPr="00776857">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716121" w:rsidRPr="00776857" w:rsidRDefault="00716121">
      <w:pPr>
        <w:spacing w:after="0" w:line="360" w:lineRule="auto"/>
      </w:pPr>
    </w:p>
    <w:p w:rsidR="00716121" w:rsidRPr="00776857" w:rsidRDefault="005008FD">
      <w:pPr>
        <w:spacing w:after="0" w:line="360" w:lineRule="auto"/>
        <w:rPr>
          <w:color w:val="000000"/>
        </w:rPr>
      </w:pPr>
      <w:bookmarkStart w:id="7" w:name="_heading=h.gjdgxs" w:colFirst="0" w:colLast="0"/>
      <w:bookmarkEnd w:id="7"/>
      <w:r w:rsidRPr="00776857">
        <w:rPr>
          <w:b/>
        </w:rPr>
        <w:t>b) Admisión del Recurso de Revisión.</w:t>
      </w:r>
      <w:r w:rsidRPr="00776857">
        <w:t xml:space="preserve"> </w:t>
      </w:r>
      <w:r w:rsidRPr="00776857">
        <w:rPr>
          <w:color w:val="000000"/>
        </w:rPr>
        <w:t xml:space="preserve">El </w:t>
      </w:r>
      <w:r w:rsidRPr="00776857">
        <w:t>veintiséis de agosto de dos mil veinticuatro</w:t>
      </w:r>
      <w:r w:rsidRPr="00776857">
        <w:rPr>
          <w:color w:val="000000"/>
        </w:rPr>
        <w:t xml:space="preserve">,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el veintisiete de agosto del mismo año, a través del SAIMEX, en el que se les otorgó un plazo de </w:t>
      </w:r>
      <w:r w:rsidRPr="00776857">
        <w:rPr>
          <w:color w:val="000000"/>
        </w:rPr>
        <w:lastRenderedPageBreak/>
        <w:t>siete días hábiles posteriores a la misma, para que manifestaran lo que a su derecho conviniera y formularan alegatos.</w:t>
      </w:r>
    </w:p>
    <w:p w:rsidR="00716121" w:rsidRPr="00776857" w:rsidRDefault="00716121">
      <w:pPr>
        <w:spacing w:after="0" w:line="360" w:lineRule="auto"/>
        <w:rPr>
          <w:color w:val="000000"/>
        </w:rPr>
      </w:pPr>
    </w:p>
    <w:p w:rsidR="00716121" w:rsidRPr="00776857" w:rsidRDefault="005008FD">
      <w:pPr>
        <w:spacing w:after="0" w:line="360" w:lineRule="auto"/>
        <w:rPr>
          <w:b/>
        </w:rPr>
      </w:pPr>
      <w:r w:rsidRPr="00776857">
        <w:rPr>
          <w:b/>
        </w:rPr>
        <w:t xml:space="preserve">c) Informe Justificado. </w:t>
      </w:r>
      <w:r w:rsidRPr="00776857">
        <w:t xml:space="preserve">En fecha tres de septiembre del año en curso el, Sujeto Obligado rindió informe justificado, a través de un oficio suscrito por el Jefe de la UIPPE y Titular de la Unidad de Transparencia, en el que </w:t>
      </w:r>
      <w:r w:rsidRPr="00776857">
        <w:rPr>
          <w:b/>
        </w:rPr>
        <w:t xml:space="preserve">ratificó la respuesta inicial. </w:t>
      </w:r>
    </w:p>
    <w:p w:rsidR="00716121" w:rsidRPr="00776857" w:rsidRDefault="00716121">
      <w:pPr>
        <w:spacing w:after="0" w:line="360" w:lineRule="auto"/>
        <w:rPr>
          <w:b/>
        </w:rPr>
      </w:pPr>
    </w:p>
    <w:p w:rsidR="00716121" w:rsidRPr="00776857" w:rsidRDefault="005008FD">
      <w:pPr>
        <w:spacing w:after="0" w:line="360" w:lineRule="auto"/>
        <w:rPr>
          <w:b/>
        </w:rPr>
      </w:pPr>
      <w:r w:rsidRPr="00776857">
        <w:rPr>
          <w:b/>
        </w:rPr>
        <w:t xml:space="preserve">d) Vista del informe justificado. </w:t>
      </w:r>
      <w:r w:rsidRPr="00776857">
        <w:t>El veinticinco de noviembre de dos mil veinticuatro, se dictó un acuerdo mediante el cual se puso a la vista de la persona Recurrente el informe justificado, que fue notificado a las partes en la misma fecha, a través del SAIMEX.</w:t>
      </w:r>
    </w:p>
    <w:p w:rsidR="00716121" w:rsidRPr="00776857" w:rsidRDefault="00716121">
      <w:pPr>
        <w:spacing w:after="0" w:line="360" w:lineRule="auto"/>
        <w:rPr>
          <w:b/>
        </w:rPr>
      </w:pPr>
    </w:p>
    <w:p w:rsidR="00716121" w:rsidRPr="00776857" w:rsidRDefault="005008FD">
      <w:pPr>
        <w:widowControl w:val="0"/>
        <w:spacing w:after="0" w:line="360" w:lineRule="auto"/>
      </w:pPr>
      <w:r w:rsidRPr="00776857">
        <w:rPr>
          <w:b/>
        </w:rPr>
        <w:t xml:space="preserve">e) Manifestaciones de la parte Recurrente. </w:t>
      </w:r>
      <w:r w:rsidRPr="00776857">
        <w:t>La persona Recurrente omitió realizar manifestaciones que a su derecho asistiera.</w:t>
      </w:r>
    </w:p>
    <w:p w:rsidR="00716121" w:rsidRPr="00776857" w:rsidRDefault="00716121">
      <w:pPr>
        <w:widowControl w:val="0"/>
        <w:spacing w:after="0" w:line="360" w:lineRule="auto"/>
        <w:rPr>
          <w:b/>
        </w:rPr>
      </w:pPr>
    </w:p>
    <w:p w:rsidR="00716121" w:rsidRPr="00776857" w:rsidRDefault="005008FD">
      <w:pPr>
        <w:spacing w:line="360" w:lineRule="auto"/>
        <w:rPr>
          <w:color w:val="000000"/>
        </w:rPr>
      </w:pPr>
      <w:r w:rsidRPr="00776857">
        <w:rPr>
          <w:b/>
        </w:rPr>
        <w:t xml:space="preserve">f) Ampliación de plazo </w:t>
      </w:r>
      <w:r w:rsidRPr="00776857">
        <w:rPr>
          <w:b/>
          <w:color w:val="000000"/>
        </w:rPr>
        <w:t xml:space="preserve">para resolver. </w:t>
      </w:r>
      <w:r w:rsidRPr="00776857">
        <w:rPr>
          <w:color w:val="000000"/>
        </w:rPr>
        <w:t>El diecinueve de noviembre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SAIMEX.</w:t>
      </w:r>
    </w:p>
    <w:p w:rsidR="00716121" w:rsidRPr="00776857" w:rsidRDefault="005008FD">
      <w:pPr>
        <w:spacing w:line="360" w:lineRule="auto"/>
        <w:rPr>
          <w:color w:val="000000"/>
        </w:rPr>
      </w:pPr>
      <w:r w:rsidRPr="00776857">
        <w:rPr>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 xml:space="preserve">Por ello, es menester precisar que, si bien se ha excedido el plazo para resolver el presente medio de impugnación, de conformidad con la ley de la materia, el plazo para emitir resolución se </w:t>
      </w:r>
      <w:r w:rsidRPr="00776857">
        <w:rPr>
          <w:color w:val="000000"/>
        </w:rPr>
        <w:lastRenderedPageBreak/>
        <w:t>encuentra justificado en los elementos para medir su razonabilidad de asuntos conforme a los parámetros establecidos por diversos órganos jurisdiccionales federales, aplicables también en procedimientos análogos, como el que nos ocupa.</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16121" w:rsidRPr="00776857" w:rsidRDefault="00716121">
      <w:pPr>
        <w:spacing w:line="360" w:lineRule="auto"/>
        <w:rPr>
          <w:color w:val="000000"/>
        </w:rPr>
      </w:pPr>
    </w:p>
    <w:p w:rsidR="00716121" w:rsidRPr="00776857" w:rsidRDefault="005008FD">
      <w:pPr>
        <w:spacing w:line="360" w:lineRule="auto"/>
      </w:pPr>
      <w:r w:rsidRPr="00776857">
        <w:rPr>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16121" w:rsidRPr="00776857" w:rsidRDefault="00716121">
      <w:pPr>
        <w:spacing w:line="360" w:lineRule="auto"/>
      </w:pPr>
    </w:p>
    <w:p w:rsidR="00716121" w:rsidRPr="00776857" w:rsidRDefault="005008FD">
      <w:pPr>
        <w:spacing w:line="360" w:lineRule="auto"/>
        <w:rPr>
          <w:color w:val="000000"/>
        </w:rPr>
      </w:pPr>
      <w:r w:rsidRPr="00776857">
        <w:rPr>
          <w:color w:val="000000"/>
        </w:rPr>
        <w:t xml:space="preserve">Por ello, excepcionalmente, si un asunto es resuelto con posterioridad a los plazos señalados por la norma debe analizarse la razonabilidad del tiempo necesario para su resolución, atentos a los siguientes criterios:  </w:t>
      </w:r>
    </w:p>
    <w:p w:rsidR="00716121" w:rsidRPr="00776857" w:rsidRDefault="00716121">
      <w:pPr>
        <w:spacing w:line="360" w:lineRule="auto"/>
        <w:rPr>
          <w:color w:val="000000"/>
        </w:rPr>
      </w:pPr>
    </w:p>
    <w:p w:rsidR="00716121" w:rsidRPr="00776857" w:rsidRDefault="005008FD">
      <w:pPr>
        <w:numPr>
          <w:ilvl w:val="0"/>
          <w:numId w:val="4"/>
        </w:numPr>
        <w:pBdr>
          <w:top w:val="nil"/>
          <w:left w:val="nil"/>
          <w:bottom w:val="nil"/>
          <w:right w:val="nil"/>
          <w:between w:val="nil"/>
        </w:pBdr>
        <w:spacing w:after="0" w:line="360" w:lineRule="auto"/>
        <w:rPr>
          <w:color w:val="000000"/>
        </w:rPr>
      </w:pPr>
      <w:r w:rsidRPr="00776857">
        <w:rPr>
          <w:b/>
          <w:color w:val="000000"/>
        </w:rPr>
        <w:t>Complejidad del asunto:</w:t>
      </w:r>
      <w:r w:rsidRPr="00776857">
        <w:rPr>
          <w:color w:val="000000"/>
        </w:rPr>
        <w:t xml:space="preserve"> La complejidad de la prueba, la pluralidad de sujetos procesales, el tiempo transcurrido, las características y contexto del recurso.</w:t>
      </w:r>
    </w:p>
    <w:p w:rsidR="00716121" w:rsidRPr="00776857" w:rsidRDefault="00716121">
      <w:pPr>
        <w:spacing w:line="360" w:lineRule="auto"/>
        <w:rPr>
          <w:color w:val="000000"/>
        </w:rPr>
      </w:pPr>
    </w:p>
    <w:p w:rsidR="00716121" w:rsidRPr="00776857" w:rsidRDefault="005008FD">
      <w:pPr>
        <w:numPr>
          <w:ilvl w:val="0"/>
          <w:numId w:val="4"/>
        </w:numPr>
        <w:pBdr>
          <w:top w:val="nil"/>
          <w:left w:val="nil"/>
          <w:bottom w:val="nil"/>
          <w:right w:val="nil"/>
          <w:between w:val="nil"/>
        </w:pBdr>
        <w:spacing w:after="0" w:line="360" w:lineRule="auto"/>
        <w:rPr>
          <w:color w:val="000000"/>
        </w:rPr>
      </w:pPr>
      <w:r w:rsidRPr="00776857">
        <w:rPr>
          <w:b/>
          <w:color w:val="000000"/>
        </w:rPr>
        <w:t>Actividad Procesal del interesado:</w:t>
      </w:r>
      <w:r w:rsidRPr="00776857">
        <w:rPr>
          <w:color w:val="000000"/>
        </w:rPr>
        <w:t xml:space="preserve"> Acciones u omisiones del interesado.</w:t>
      </w:r>
    </w:p>
    <w:p w:rsidR="00716121" w:rsidRPr="00776857" w:rsidRDefault="00716121">
      <w:pPr>
        <w:spacing w:line="360" w:lineRule="auto"/>
        <w:rPr>
          <w:color w:val="000000"/>
        </w:rPr>
      </w:pPr>
    </w:p>
    <w:p w:rsidR="00716121" w:rsidRPr="00776857" w:rsidRDefault="005008FD">
      <w:pPr>
        <w:numPr>
          <w:ilvl w:val="0"/>
          <w:numId w:val="4"/>
        </w:numPr>
        <w:pBdr>
          <w:top w:val="nil"/>
          <w:left w:val="nil"/>
          <w:bottom w:val="nil"/>
          <w:right w:val="nil"/>
          <w:between w:val="nil"/>
        </w:pBdr>
        <w:spacing w:after="0" w:line="360" w:lineRule="auto"/>
        <w:rPr>
          <w:color w:val="000000"/>
        </w:rPr>
      </w:pPr>
      <w:r w:rsidRPr="00776857">
        <w:rPr>
          <w:b/>
          <w:color w:val="000000"/>
        </w:rPr>
        <w:lastRenderedPageBreak/>
        <w:t>Conducta de la Autoridad:</w:t>
      </w:r>
      <w:r w:rsidRPr="00776857">
        <w:rPr>
          <w:color w:val="000000"/>
        </w:rPr>
        <w:t xml:space="preserve"> Las Acciones u omisiones realizadas en el procedimiento. Así como si la autoridad actuó con la debida diligencia.</w:t>
      </w:r>
    </w:p>
    <w:p w:rsidR="00716121" w:rsidRPr="00776857" w:rsidRDefault="00716121">
      <w:pPr>
        <w:spacing w:line="360" w:lineRule="auto"/>
        <w:rPr>
          <w:color w:val="000000"/>
        </w:rPr>
      </w:pPr>
    </w:p>
    <w:p w:rsidR="00716121" w:rsidRPr="00776857" w:rsidRDefault="005008FD">
      <w:pPr>
        <w:numPr>
          <w:ilvl w:val="0"/>
          <w:numId w:val="4"/>
        </w:numPr>
        <w:pBdr>
          <w:top w:val="nil"/>
          <w:left w:val="nil"/>
          <w:bottom w:val="nil"/>
          <w:right w:val="nil"/>
          <w:between w:val="nil"/>
        </w:pBdr>
        <w:spacing w:after="0" w:line="360" w:lineRule="auto"/>
        <w:rPr>
          <w:color w:val="000000"/>
        </w:rPr>
      </w:pPr>
      <w:r w:rsidRPr="00776857">
        <w:rPr>
          <w:b/>
          <w:color w:val="000000"/>
        </w:rPr>
        <w:t xml:space="preserve">La afectación generada en la situación jurídica de la persona involucrada en el proceso: </w:t>
      </w:r>
      <w:r w:rsidRPr="00776857">
        <w:rPr>
          <w:color w:val="000000"/>
        </w:rPr>
        <w:t>Violación a sus derechos humanos.</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716121" w:rsidRPr="00776857" w:rsidRDefault="005008FD">
      <w:pPr>
        <w:spacing w:line="360" w:lineRule="auto"/>
        <w:rPr>
          <w:color w:val="000000"/>
        </w:rPr>
      </w:pPr>
      <w:r w:rsidRPr="00776857">
        <w:rPr>
          <w:color w:val="000000"/>
        </w:rPr>
        <w:t>Argumento que encuentra sustento en la jurisprudencia P</w:t>
      </w:r>
      <w:proofErr w:type="gramStart"/>
      <w:r w:rsidRPr="00776857">
        <w:rPr>
          <w:color w:val="000000"/>
        </w:rPr>
        <w:t>./</w:t>
      </w:r>
      <w:proofErr w:type="gramEnd"/>
      <w:r w:rsidRPr="00776857">
        <w:rPr>
          <w:color w:val="000000"/>
        </w:rPr>
        <w:t>J. 32/92 emitida por el Pleno de la Suprema Corte de Justicia de la Nación de rubro “</w:t>
      </w:r>
      <w:r w:rsidRPr="00776857">
        <w:rPr>
          <w:b/>
          <w:color w:val="000000"/>
        </w:rPr>
        <w:t>TÉRMINOS PROCESALES. PARA DETERMINAR SI UN FUNCIONARIO JUDICIAL ACTUÓ INDEBIDAMENTE POR NO RESPETARLOS SE DEBE ATENDER AL PRESUPUESTO QUE CONSIDERÓ EL LEGISLADOR AL FIJARLOS Y LAS CARACTERÍSTICAS DEL CASO</w:t>
      </w:r>
      <w:r w:rsidRPr="00776857">
        <w:rPr>
          <w:color w:val="000000"/>
        </w:rPr>
        <w:t>.”, visible en la Gaceta del Seminario Judicial de la Federación con el registro digital 205635.</w:t>
      </w:r>
    </w:p>
    <w:p w:rsidR="00716121" w:rsidRPr="00776857" w:rsidRDefault="005008FD">
      <w:pPr>
        <w:spacing w:line="360" w:lineRule="auto"/>
        <w:rPr>
          <w:color w:val="000000"/>
        </w:rPr>
      </w:pPr>
      <w:r w:rsidRPr="00776857">
        <w:rPr>
          <w:color w:val="000000"/>
        </w:rPr>
        <w:t xml:space="preserve"> </w:t>
      </w:r>
    </w:p>
    <w:p w:rsidR="00716121" w:rsidRPr="00776857" w:rsidRDefault="005008FD">
      <w:pPr>
        <w:spacing w:line="360" w:lineRule="auto"/>
        <w:rPr>
          <w:color w:val="000000"/>
        </w:rPr>
      </w:pPr>
      <w:r w:rsidRPr="00776857">
        <w:rPr>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776857">
        <w:rPr>
          <w:color w:val="000000"/>
        </w:rPr>
        <w:lastRenderedPageBreak/>
        <w:t>los términos legales previamente establecidos por la Ley, por tratarse de causas de fuerza mayor.</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Al respecto, también son de considerar los criterios sostenidos por el Cuarto Tribunal Colegiado en Materia Administrativa del Primer Circuito, cuyos rubros y datos de identificación son los siguientes:</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 xml:space="preserve"> “</w:t>
      </w:r>
      <w:r w:rsidRPr="00776857">
        <w:rPr>
          <w:b/>
          <w:color w:val="000000"/>
        </w:rPr>
        <w:t>PLAZO RAZONABLE PARA RESOLVER. DIMENSIÓN Y EFECTOS DE ESTE CONCEPTO CUANDO SE ADUCE EXCESIVA CARGA DE TRABAJO</w:t>
      </w:r>
      <w:r w:rsidRPr="00776857">
        <w:rPr>
          <w:color w:val="000000"/>
        </w:rPr>
        <w:t>.” consultable en el Seminario Judicial de la Federación y su gaceta, con el registro digital 2002351.</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w:t>
      </w:r>
      <w:r w:rsidRPr="00776857">
        <w:rPr>
          <w:b/>
          <w:color w:val="000000"/>
        </w:rPr>
        <w:t>PLAZO RAZONABLE PARA RESOLVER. CONCEPTO Y ELEMENTOS QUE LO INTEGRAN A LA LUZ DEL DERECHO INTERNACIONAL DE LOS DERECHOS HUMANOS</w:t>
      </w:r>
      <w:r w:rsidRPr="00776857">
        <w:rPr>
          <w:color w:val="000000"/>
        </w:rPr>
        <w:t>.”, visible en el Seminario Judicial de la Federación y su gaceta, con el registro digital 2002350.</w:t>
      </w:r>
    </w:p>
    <w:p w:rsidR="00716121" w:rsidRPr="00776857" w:rsidRDefault="00716121">
      <w:pPr>
        <w:spacing w:line="360" w:lineRule="auto"/>
        <w:rPr>
          <w:color w:val="000000"/>
        </w:rPr>
      </w:pPr>
    </w:p>
    <w:p w:rsidR="00716121" w:rsidRPr="00776857" w:rsidRDefault="005008FD">
      <w:pPr>
        <w:spacing w:line="360" w:lineRule="auto"/>
        <w:rPr>
          <w:color w:val="000000"/>
        </w:rPr>
      </w:pPr>
      <w:r w:rsidRPr="00776857">
        <w:rPr>
          <w:color w:val="000000"/>
        </w:rPr>
        <w:t>Por ello, este organismo garante comprometido con la tutela de los derechos humanos confiados señala que este exceso del plazo legal para resolver el presente asunto, resulta de carácter excepcional.</w:t>
      </w:r>
    </w:p>
    <w:p w:rsidR="00716121" w:rsidRPr="00776857" w:rsidRDefault="00716121">
      <w:pPr>
        <w:widowControl w:val="0"/>
        <w:spacing w:after="0" w:line="360" w:lineRule="auto"/>
        <w:rPr>
          <w:b/>
        </w:rPr>
      </w:pPr>
    </w:p>
    <w:p w:rsidR="00716121" w:rsidRPr="00776857" w:rsidRDefault="005008FD">
      <w:pPr>
        <w:spacing w:after="0" w:line="360" w:lineRule="auto"/>
        <w:rPr>
          <w:b/>
        </w:rPr>
      </w:pPr>
      <w:r w:rsidRPr="00776857">
        <w:rPr>
          <w:b/>
        </w:rPr>
        <w:t>g) Cierre de instrucción.</w:t>
      </w:r>
      <w:r w:rsidRPr="00776857">
        <w:t xml:space="preserve"> El veintinueve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Pr="00776857">
        <w:lastRenderedPageBreak/>
        <w:t>Pública del Estado de México y Municipios, acto que fue notificado a las partes, mediante el Sistema de Acceso a la Información Mexiquense (SAIMEX) el mismo día.</w:t>
      </w:r>
    </w:p>
    <w:p w:rsidR="00716121" w:rsidRPr="00776857" w:rsidRDefault="00716121">
      <w:pPr>
        <w:spacing w:after="0" w:line="360" w:lineRule="auto"/>
      </w:pPr>
    </w:p>
    <w:p w:rsidR="00716121" w:rsidRPr="00776857" w:rsidRDefault="005008FD">
      <w:pPr>
        <w:spacing w:after="0" w:line="360" w:lineRule="auto"/>
      </w:pPr>
      <w:r w:rsidRPr="00776857">
        <w:t xml:space="preserve">En razón de que fue debidamente sustanciado e integrado el expediente electrónico y no existir diligencia pendiente de desahogo, se emite la resolución que conforme a Derecho proceda, de acuerdo a los siguientes: </w:t>
      </w:r>
    </w:p>
    <w:p w:rsidR="00716121" w:rsidRPr="00776857" w:rsidRDefault="00716121">
      <w:pPr>
        <w:spacing w:after="0" w:line="360" w:lineRule="auto"/>
      </w:pPr>
    </w:p>
    <w:p w:rsidR="00716121" w:rsidRPr="00776857" w:rsidRDefault="005008FD">
      <w:pPr>
        <w:pStyle w:val="Ttulo1"/>
        <w:spacing w:before="0" w:after="0"/>
        <w:rPr>
          <w:sz w:val="22"/>
          <w:szCs w:val="22"/>
        </w:rPr>
      </w:pPr>
      <w:bookmarkStart w:id="8" w:name="_heading=h.2xcytpi" w:colFirst="0" w:colLast="0"/>
      <w:bookmarkEnd w:id="8"/>
      <w:r w:rsidRPr="00776857">
        <w:rPr>
          <w:sz w:val="22"/>
          <w:szCs w:val="22"/>
        </w:rPr>
        <w:t>C O N S I D E R A N D O S</w:t>
      </w:r>
    </w:p>
    <w:p w:rsidR="00716121" w:rsidRPr="00776857" w:rsidRDefault="00716121">
      <w:pPr>
        <w:spacing w:after="0" w:line="360" w:lineRule="auto"/>
        <w:rPr>
          <w:b/>
        </w:rPr>
      </w:pPr>
    </w:p>
    <w:p w:rsidR="00716121" w:rsidRPr="00776857" w:rsidRDefault="005008FD">
      <w:pPr>
        <w:pStyle w:val="Ttulo2"/>
        <w:spacing w:before="0" w:after="0"/>
      </w:pPr>
      <w:bookmarkStart w:id="9" w:name="_heading=h.1ci93xb" w:colFirst="0" w:colLast="0"/>
      <w:bookmarkEnd w:id="9"/>
      <w:r w:rsidRPr="00776857">
        <w:t>PRIMERO. Competencia</w:t>
      </w:r>
    </w:p>
    <w:p w:rsidR="00716121" w:rsidRPr="00776857" w:rsidRDefault="00716121">
      <w:pPr>
        <w:spacing w:after="0" w:line="360" w:lineRule="auto"/>
        <w:rPr>
          <w:b/>
        </w:rPr>
      </w:pPr>
    </w:p>
    <w:p w:rsidR="00716121" w:rsidRPr="00776857" w:rsidRDefault="005008FD">
      <w:pPr>
        <w:spacing w:after="0" w:line="360" w:lineRule="auto"/>
      </w:pPr>
      <w:r w:rsidRPr="00776857">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776857">
        <w:rPr>
          <w:color w:val="000000"/>
        </w:rPr>
        <w:t>trigésimo segundo, trigésimo tercero y trigésimo cuarto</w:t>
      </w:r>
      <w:r w:rsidRPr="00776857">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716121" w:rsidRPr="00776857" w:rsidRDefault="00716121">
      <w:pPr>
        <w:spacing w:after="0" w:line="360" w:lineRule="auto"/>
      </w:pPr>
    </w:p>
    <w:p w:rsidR="00716121" w:rsidRPr="00776857" w:rsidRDefault="005008FD">
      <w:pPr>
        <w:pStyle w:val="Ttulo2"/>
        <w:spacing w:before="0" w:after="0"/>
      </w:pPr>
      <w:bookmarkStart w:id="10" w:name="_heading=h.3whwml4" w:colFirst="0" w:colLast="0"/>
      <w:bookmarkEnd w:id="10"/>
      <w:r w:rsidRPr="00776857">
        <w:t>SEGUNDO. Causales de improcedencia y sobreseimiento</w:t>
      </w:r>
    </w:p>
    <w:p w:rsidR="00716121" w:rsidRPr="00776857" w:rsidRDefault="00716121">
      <w:pPr>
        <w:spacing w:after="0" w:line="360" w:lineRule="auto"/>
      </w:pPr>
    </w:p>
    <w:p w:rsidR="00716121" w:rsidRPr="00776857" w:rsidRDefault="005008FD">
      <w:pPr>
        <w:spacing w:after="0" w:line="360" w:lineRule="auto"/>
      </w:pPr>
      <w:r w:rsidRPr="00776857">
        <w:lastRenderedPageBreak/>
        <w:t xml:space="preserve">De las constancias que forman parte del Recurso de Revisión que se analiza, se advierte que previo al estudio del fondo de la </w:t>
      </w:r>
      <w:proofErr w:type="spellStart"/>
      <w:r w:rsidRPr="00776857">
        <w:rPr>
          <w:i/>
        </w:rPr>
        <w:t>litis</w:t>
      </w:r>
      <w:proofErr w:type="spellEnd"/>
      <w:r w:rsidRPr="00776857">
        <w:t>, es necesario estudiar las causales de improcedencia y sobreseimiento que se adviertan, para determinar lo que en Derecho proceda.</w:t>
      </w:r>
    </w:p>
    <w:p w:rsidR="00716121" w:rsidRPr="00776857" w:rsidRDefault="00716121">
      <w:pPr>
        <w:spacing w:after="0" w:line="360" w:lineRule="auto"/>
      </w:pPr>
    </w:p>
    <w:p w:rsidR="00716121" w:rsidRPr="00776857" w:rsidRDefault="005008FD">
      <w:pPr>
        <w:spacing w:after="0" w:line="360" w:lineRule="auto"/>
        <w:rPr>
          <w:b/>
        </w:rPr>
      </w:pPr>
      <w:r w:rsidRPr="00776857">
        <w:rPr>
          <w:b/>
        </w:rPr>
        <w:t>Causales de improcedencia</w:t>
      </w:r>
    </w:p>
    <w:p w:rsidR="00716121" w:rsidRPr="00776857" w:rsidRDefault="00716121">
      <w:pPr>
        <w:spacing w:after="0" w:line="360" w:lineRule="auto"/>
      </w:pPr>
    </w:p>
    <w:p w:rsidR="00716121" w:rsidRPr="00776857" w:rsidRDefault="005008FD">
      <w:pPr>
        <w:spacing w:after="0" w:line="360" w:lineRule="auto"/>
      </w:pPr>
      <w:r w:rsidRPr="00776857">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776857">
        <w:t>./</w:t>
      </w:r>
      <w:proofErr w:type="gramEnd"/>
      <w:r w:rsidRPr="00776857">
        <w:t>J. 163/2005</w:t>
      </w:r>
      <w:r w:rsidRPr="00776857">
        <w:rPr>
          <w:b/>
        </w:rPr>
        <w:t xml:space="preserve"> </w:t>
      </w:r>
      <w:r w:rsidRPr="00776857">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716121" w:rsidRPr="00776857" w:rsidRDefault="00716121">
      <w:pPr>
        <w:spacing w:after="0" w:line="360" w:lineRule="auto"/>
      </w:pPr>
    </w:p>
    <w:p w:rsidR="00716121" w:rsidRPr="00776857" w:rsidRDefault="005008FD">
      <w:pPr>
        <w:spacing w:after="0" w:line="360" w:lineRule="auto"/>
      </w:pPr>
      <w:r w:rsidRPr="00776857">
        <w:t xml:space="preserve">En el presente caso, </w:t>
      </w:r>
      <w:r w:rsidRPr="00776857">
        <w:rPr>
          <w:b/>
        </w:rPr>
        <w:t>no se actualiza ninguna de las causales de improcedencia</w:t>
      </w:r>
      <w:r w:rsidRPr="00776857">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716121" w:rsidRPr="00776857" w:rsidRDefault="00716121">
      <w:pPr>
        <w:spacing w:after="0" w:line="360" w:lineRule="auto"/>
        <w:rPr>
          <w:b/>
        </w:rPr>
      </w:pPr>
    </w:p>
    <w:p w:rsidR="00716121" w:rsidRPr="00776857" w:rsidRDefault="005008FD">
      <w:pPr>
        <w:spacing w:after="0" w:line="360" w:lineRule="auto"/>
        <w:ind w:right="-28"/>
        <w:rPr>
          <w:b/>
          <w:color w:val="000000"/>
        </w:rPr>
      </w:pPr>
      <w:r w:rsidRPr="00776857">
        <w:rPr>
          <w:b/>
          <w:color w:val="000000"/>
        </w:rPr>
        <w:t>Causales de sobreseimiento</w:t>
      </w:r>
    </w:p>
    <w:p w:rsidR="00716121" w:rsidRPr="00776857" w:rsidRDefault="00716121">
      <w:pPr>
        <w:spacing w:after="0" w:line="360" w:lineRule="auto"/>
        <w:ind w:right="-28"/>
        <w:rPr>
          <w:color w:val="000000"/>
        </w:rPr>
      </w:pPr>
    </w:p>
    <w:p w:rsidR="00716121" w:rsidRPr="00776857" w:rsidRDefault="005008FD">
      <w:pPr>
        <w:spacing w:after="0" w:line="360" w:lineRule="auto"/>
        <w:rPr>
          <w:color w:val="000000"/>
        </w:rPr>
      </w:pPr>
      <w:r w:rsidRPr="00776857">
        <w:rPr>
          <w:color w:val="000000"/>
        </w:rPr>
        <w:t>Por ser de previo y especial pronunciamiento, este Instituto analiza si se actualiza alguna causal de sobreseimiento.</w:t>
      </w:r>
    </w:p>
    <w:p w:rsidR="00716121" w:rsidRPr="00776857" w:rsidRDefault="00716121">
      <w:pPr>
        <w:spacing w:after="0" w:line="360" w:lineRule="auto"/>
        <w:rPr>
          <w:color w:val="000000"/>
        </w:rPr>
      </w:pPr>
    </w:p>
    <w:p w:rsidR="00716121" w:rsidRPr="00776857" w:rsidRDefault="005008FD">
      <w:pPr>
        <w:spacing w:after="0" w:line="360" w:lineRule="auto"/>
        <w:rPr>
          <w:color w:val="0D0D0D"/>
        </w:rPr>
      </w:pPr>
      <w:r w:rsidRPr="00776857">
        <w:rPr>
          <w:color w:val="0D0D0D"/>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776857">
        <w:rPr>
          <w:b/>
          <w:color w:val="0D0D0D"/>
        </w:rPr>
        <w:t xml:space="preserve"> </w:t>
      </w:r>
      <w:r w:rsidRPr="00776857">
        <w:rPr>
          <w:color w:val="0D0D0D"/>
        </w:rPr>
        <w:t>toda vez que no hay constancias en el expediente en que se actúa, de que la persona Recurrente se haya desistido, fallecido, que el Sujeto Obligado hubiese modificado o revocado el acto impugnado o bien,</w:t>
      </w:r>
      <w:r w:rsidRPr="00776857">
        <w:t xml:space="preserve"> </w:t>
      </w:r>
      <w:r w:rsidRPr="00776857">
        <w:rPr>
          <w:color w:val="0D0D0D"/>
        </w:rPr>
        <w:t>que admitido una vez admitido el Recurso de Revisión, aparezca alguna causal de improcedencia o haya quedado sin materia.</w:t>
      </w:r>
    </w:p>
    <w:p w:rsidR="00716121" w:rsidRPr="00776857" w:rsidRDefault="00716121">
      <w:pPr>
        <w:spacing w:after="0" w:line="360" w:lineRule="auto"/>
        <w:rPr>
          <w:color w:val="000000"/>
        </w:rPr>
      </w:pPr>
    </w:p>
    <w:p w:rsidR="00716121" w:rsidRPr="00776857" w:rsidRDefault="005008FD">
      <w:pPr>
        <w:pStyle w:val="Ttulo2"/>
        <w:spacing w:before="0" w:after="0"/>
      </w:pPr>
      <w:bookmarkStart w:id="11" w:name="_heading=h.2bn6wsx" w:colFirst="0" w:colLast="0"/>
      <w:bookmarkEnd w:id="11"/>
      <w:r w:rsidRPr="00776857">
        <w:t xml:space="preserve">TERCERO. Determinación de la Controversia </w:t>
      </w:r>
    </w:p>
    <w:p w:rsidR="00716121" w:rsidRPr="00776857" w:rsidRDefault="00716121">
      <w:pPr>
        <w:spacing w:after="0" w:line="360" w:lineRule="auto"/>
        <w:rPr>
          <w:b/>
        </w:rPr>
      </w:pPr>
    </w:p>
    <w:p w:rsidR="00716121" w:rsidRPr="00776857" w:rsidRDefault="005008FD">
      <w:pPr>
        <w:tabs>
          <w:tab w:val="left" w:pos="4962"/>
        </w:tabs>
        <w:spacing w:after="0" w:line="360" w:lineRule="auto"/>
      </w:pPr>
      <w:r w:rsidRPr="00776857">
        <w:t>La persona Solicitante requirió respecto al Instituto Mexiquense de la Vivienda Social (IMEVIS), lo siguiente:</w:t>
      </w:r>
    </w:p>
    <w:p w:rsidR="00716121" w:rsidRPr="00776857" w:rsidRDefault="005008FD">
      <w:pPr>
        <w:numPr>
          <w:ilvl w:val="0"/>
          <w:numId w:val="2"/>
        </w:numPr>
        <w:pBdr>
          <w:top w:val="nil"/>
          <w:left w:val="nil"/>
          <w:bottom w:val="nil"/>
          <w:right w:val="nil"/>
          <w:between w:val="nil"/>
        </w:pBdr>
        <w:tabs>
          <w:tab w:val="left" w:pos="4962"/>
        </w:tabs>
        <w:spacing w:after="0" w:line="360" w:lineRule="auto"/>
      </w:pPr>
      <w:r w:rsidRPr="00776857">
        <w:rPr>
          <w:color w:val="000000"/>
        </w:rPr>
        <w:t xml:space="preserve">Información sobre sí contrató un seguro de vida a favor de las personas servidoras públicas en los periodos de 2021 a 2023 y el nombre de las aseguradoras contratadas. </w:t>
      </w:r>
    </w:p>
    <w:p w:rsidR="00716121" w:rsidRPr="00776857" w:rsidRDefault="005008FD">
      <w:pPr>
        <w:numPr>
          <w:ilvl w:val="0"/>
          <w:numId w:val="2"/>
        </w:numPr>
        <w:pBdr>
          <w:top w:val="nil"/>
          <w:left w:val="nil"/>
          <w:bottom w:val="nil"/>
          <w:right w:val="nil"/>
          <w:between w:val="nil"/>
        </w:pBdr>
        <w:tabs>
          <w:tab w:val="left" w:pos="4962"/>
        </w:tabs>
        <w:spacing w:after="0" w:line="360" w:lineRule="auto"/>
      </w:pPr>
      <w:r w:rsidRPr="00776857">
        <w:rPr>
          <w:color w:val="000000"/>
        </w:rPr>
        <w:t>En caso de no tener la información, que se turne a la dependencia que cuente con la documentación.</w:t>
      </w:r>
    </w:p>
    <w:p w:rsidR="00716121" w:rsidRPr="00776857" w:rsidRDefault="005008FD">
      <w:pPr>
        <w:numPr>
          <w:ilvl w:val="0"/>
          <w:numId w:val="2"/>
        </w:numPr>
        <w:pBdr>
          <w:top w:val="nil"/>
          <w:left w:val="nil"/>
          <w:bottom w:val="nil"/>
          <w:right w:val="nil"/>
          <w:between w:val="nil"/>
        </w:pBdr>
        <w:tabs>
          <w:tab w:val="left" w:pos="4962"/>
        </w:tabs>
        <w:spacing w:after="0" w:line="360" w:lineRule="auto"/>
      </w:pPr>
      <w:r w:rsidRPr="00776857">
        <w:rPr>
          <w:color w:val="000000"/>
        </w:rPr>
        <w:t xml:space="preserve">Copia simple de la póliza de seguro de vida a favor de una servidora pública. </w:t>
      </w:r>
    </w:p>
    <w:p w:rsidR="00716121" w:rsidRPr="00776857" w:rsidRDefault="00716121">
      <w:pPr>
        <w:tabs>
          <w:tab w:val="left" w:pos="4962"/>
        </w:tabs>
        <w:spacing w:after="0" w:line="360" w:lineRule="auto"/>
      </w:pPr>
    </w:p>
    <w:p w:rsidR="00716121" w:rsidRPr="00776857" w:rsidRDefault="005008FD">
      <w:pPr>
        <w:tabs>
          <w:tab w:val="left" w:pos="4962"/>
        </w:tabs>
        <w:spacing w:after="0" w:line="360" w:lineRule="auto"/>
      </w:pPr>
      <w:r w:rsidRPr="00776857">
        <w:t>En respuesta, el Sujeto Obligado se declaró incompetente para conocer de la información, derivado de la creación de la Oficialía Mayor y de la transmisión de recursos materiales, humanos y de funciones. Derivado de la respuesta, la persona Recurrente se inconformó por la declaración de incompetencia y porque no se le entregó lo solicitado. Durante la sustanciación del Recurso de Revisión el Sujeto Obligado rindió informe justificado en el que medularmente ratificó la respuesta inicial y la parte Recurrente omitió añadir manifestaciones.</w:t>
      </w:r>
    </w:p>
    <w:p w:rsidR="00716121" w:rsidRPr="00776857" w:rsidRDefault="00716121">
      <w:pPr>
        <w:tabs>
          <w:tab w:val="left" w:pos="4962"/>
        </w:tabs>
        <w:spacing w:after="0" w:line="360" w:lineRule="auto"/>
      </w:pPr>
    </w:p>
    <w:p w:rsidR="00716121" w:rsidRPr="00776857" w:rsidRDefault="005008FD">
      <w:pPr>
        <w:tabs>
          <w:tab w:val="left" w:pos="4962"/>
        </w:tabs>
        <w:spacing w:after="0" w:line="360" w:lineRule="auto"/>
      </w:pPr>
      <w:r w:rsidRPr="00776857">
        <w:lastRenderedPageBreak/>
        <w:t xml:space="preserve">Así pues, de las constancias que integran el expediente, se advierte que </w:t>
      </w:r>
      <w:r w:rsidRPr="00776857">
        <w:rPr>
          <w:color w:val="000000"/>
        </w:rPr>
        <w:t xml:space="preserve">en el asunto que nos ocupa se actualiza la causal de procedencia señalada en el </w:t>
      </w:r>
      <w:r w:rsidRPr="00776857">
        <w:t xml:space="preserve">artículo 179, fracción IV, de la Ley de la materia; por la declaración de incompetencia por el Sujeto Obligado. </w:t>
      </w:r>
    </w:p>
    <w:p w:rsidR="00716121" w:rsidRPr="00776857" w:rsidRDefault="00716121">
      <w:pPr>
        <w:tabs>
          <w:tab w:val="left" w:pos="4962"/>
        </w:tabs>
        <w:spacing w:after="0" w:line="360" w:lineRule="auto"/>
        <w:rPr>
          <w:b/>
        </w:rPr>
      </w:pPr>
    </w:p>
    <w:p w:rsidR="00716121" w:rsidRPr="00776857" w:rsidRDefault="005008FD">
      <w:pPr>
        <w:tabs>
          <w:tab w:val="left" w:pos="4962"/>
        </w:tabs>
        <w:spacing w:after="0" w:line="360" w:lineRule="auto"/>
      </w:pPr>
      <w:r w:rsidRPr="00776857">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716121" w:rsidRPr="00776857" w:rsidRDefault="00716121">
      <w:pPr>
        <w:spacing w:after="0" w:line="360" w:lineRule="auto"/>
      </w:pPr>
    </w:p>
    <w:p w:rsidR="00716121" w:rsidRPr="00776857" w:rsidRDefault="00716121">
      <w:pPr>
        <w:tabs>
          <w:tab w:val="left" w:pos="4962"/>
        </w:tabs>
        <w:spacing w:after="0" w:line="360" w:lineRule="auto"/>
      </w:pPr>
    </w:p>
    <w:p w:rsidR="00716121" w:rsidRPr="00776857" w:rsidRDefault="005008FD">
      <w:pPr>
        <w:pStyle w:val="Ttulo2"/>
        <w:spacing w:before="0" w:after="0"/>
      </w:pPr>
      <w:bookmarkStart w:id="12" w:name="_heading=h.qsh70q" w:colFirst="0" w:colLast="0"/>
      <w:bookmarkEnd w:id="12"/>
      <w:r w:rsidRPr="00776857">
        <w:t>CUARTO. Marco normativo aplicable en materia de transparencia y acceso a la información pública</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lastRenderedPageBreak/>
        <w:t>Por su parte, la Ley de Transparencia y Acceso a la Información Pública del Estado de México y Municipios (Reglamentaria del artículo 5° de la Constitución Local), establece lo siguiente:</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t xml:space="preserve">El artículo </w:t>
      </w:r>
      <w:r w:rsidRPr="00776857">
        <w:t>12 dice que</w:t>
      </w:r>
      <w:r w:rsidRPr="00776857">
        <w:rPr>
          <w:color w:val="000000"/>
        </w:rPr>
        <w:t>, quienes generen, recopilen, administren, manejen, procesen, archiven o conserven información pública serán responsables de la misma.</w:t>
      </w:r>
    </w:p>
    <w:p w:rsidR="00716121" w:rsidRPr="00776857" w:rsidRDefault="00716121">
      <w:pPr>
        <w:spacing w:after="0" w:line="360" w:lineRule="auto"/>
        <w:rPr>
          <w:color w:val="000000"/>
        </w:rPr>
      </w:pPr>
    </w:p>
    <w:p w:rsidR="00716121" w:rsidRPr="00776857" w:rsidRDefault="005008FD">
      <w:pPr>
        <w:widowControl w:val="0"/>
        <w:spacing w:after="0" w:line="360" w:lineRule="auto"/>
        <w:rPr>
          <w:color w:val="000000"/>
        </w:rPr>
      </w:pPr>
      <w:r w:rsidRPr="0077685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716121" w:rsidRPr="00776857" w:rsidRDefault="00716121">
      <w:pPr>
        <w:spacing w:after="0" w:line="360" w:lineRule="auto"/>
        <w:rPr>
          <w:color w:val="000000"/>
        </w:rPr>
      </w:pPr>
    </w:p>
    <w:p w:rsidR="00716121" w:rsidRPr="00776857" w:rsidRDefault="005008FD">
      <w:pPr>
        <w:spacing w:after="0" w:line="360" w:lineRule="auto"/>
        <w:rPr>
          <w:color w:val="000000"/>
        </w:rPr>
      </w:pPr>
      <w:r w:rsidRPr="00776857">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16121" w:rsidRPr="00776857" w:rsidRDefault="00716121">
      <w:pPr>
        <w:spacing w:after="0" w:line="360" w:lineRule="auto"/>
      </w:pPr>
    </w:p>
    <w:p w:rsidR="00716121" w:rsidRPr="00776857" w:rsidRDefault="005008FD">
      <w:pPr>
        <w:pStyle w:val="Ttulo2"/>
        <w:spacing w:before="0" w:after="0"/>
      </w:pPr>
      <w:bookmarkStart w:id="13" w:name="_heading=h.3as4poj" w:colFirst="0" w:colLast="0"/>
      <w:bookmarkEnd w:id="13"/>
      <w:r w:rsidRPr="00776857">
        <w:rPr>
          <w:smallCaps/>
        </w:rPr>
        <w:t>QUINTO.</w:t>
      </w:r>
      <w:r w:rsidRPr="00776857">
        <w:t xml:space="preserve"> Estudio de Fondo</w:t>
      </w:r>
    </w:p>
    <w:p w:rsidR="00716121" w:rsidRPr="00776857" w:rsidRDefault="00716121">
      <w:pPr>
        <w:spacing w:after="0" w:line="360" w:lineRule="auto"/>
        <w:ind w:right="-28"/>
      </w:pPr>
    </w:p>
    <w:p w:rsidR="00716121" w:rsidRPr="00776857" w:rsidRDefault="005008FD">
      <w:pPr>
        <w:spacing w:after="0" w:line="360" w:lineRule="auto"/>
        <w:ind w:right="-28"/>
      </w:pPr>
      <w:r w:rsidRPr="00776857">
        <w:t xml:space="preserve">Una vez expuesto lo anterior, es preciso señalar que la persona Solicitante requirió información relacionada con contrataciones de seguros de vida y pólizas de personas servidoras públicas que pertenecen al Instituto Mexiquense de la Vivienda Social (IMEVIS); en respuesta el Sujeto Obligado declaró su incompetencia para conocer de la información solicitada, </w:t>
      </w:r>
      <w:r w:rsidRPr="00776857">
        <w:rPr>
          <w:color w:val="000000"/>
        </w:rPr>
        <w:t xml:space="preserve">al respecto, es preciso señalar que, de </w:t>
      </w:r>
      <w:r w:rsidRPr="00776857">
        <w:t xml:space="preserve">los artículos 49, fracción II, 53, fracción III y 167 de la Ley de Transparencia y Acceso a la Información Pública del Estado de México, se 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 y tienen </w:t>
      </w:r>
      <w:r w:rsidRPr="00776857">
        <w:lastRenderedPageBreak/>
        <w:t xml:space="preserve">entre sus atribuciones confirmar, modificar o revocar la </w:t>
      </w:r>
      <w:r w:rsidRPr="00776857">
        <w:rPr>
          <w:b/>
        </w:rPr>
        <w:t>declaración de incompetencia</w:t>
      </w:r>
      <w:r w:rsidRPr="00776857">
        <w:t xml:space="preserve"> que realicen los titulares de las unidades administrativas.</w:t>
      </w:r>
    </w:p>
    <w:p w:rsidR="00716121" w:rsidRPr="00776857" w:rsidRDefault="00716121">
      <w:pPr>
        <w:spacing w:after="0" w:line="360" w:lineRule="auto"/>
        <w:ind w:right="-28"/>
      </w:pPr>
    </w:p>
    <w:p w:rsidR="00716121" w:rsidRPr="00776857" w:rsidRDefault="005008FD">
      <w:pPr>
        <w:widowControl w:val="0"/>
        <w:spacing w:after="0" w:line="360" w:lineRule="auto"/>
        <w:rPr>
          <w:color w:val="000000"/>
        </w:rPr>
      </w:pPr>
      <w:r w:rsidRPr="00776857">
        <w:t>Cómo se logra observar, si bien la Ley de la materia, prevé el supuesto de incompetencia para que los sujetos obligados den atención a solicitudes de información, también lo es, que no se precisa en qué consiste dicho concepto; al respecto, según Cabanellas, Guillermo (1993), en el “Diccionario Jurídico Elemental” (p. 32 y 161), precisó los siguientes conceptos:</w:t>
      </w:r>
    </w:p>
    <w:p w:rsidR="00716121" w:rsidRPr="00776857" w:rsidRDefault="00716121">
      <w:pPr>
        <w:spacing w:after="0" w:line="360" w:lineRule="auto"/>
      </w:pPr>
    </w:p>
    <w:p w:rsidR="00716121" w:rsidRPr="00776857" w:rsidRDefault="005008FD">
      <w:pPr>
        <w:numPr>
          <w:ilvl w:val="0"/>
          <w:numId w:val="3"/>
        </w:numPr>
        <w:spacing w:after="0" w:line="360" w:lineRule="auto"/>
      </w:pPr>
      <w:r w:rsidRPr="00776857">
        <w:rPr>
          <w:b/>
        </w:rPr>
        <w:t xml:space="preserve">Competencia: </w:t>
      </w:r>
      <w:r w:rsidRPr="00776857">
        <w:t>La capacidad de una autoridad para conocer sobre una materia o asunto.</w:t>
      </w:r>
    </w:p>
    <w:p w:rsidR="00716121" w:rsidRPr="00776857" w:rsidRDefault="005008FD">
      <w:pPr>
        <w:numPr>
          <w:ilvl w:val="0"/>
          <w:numId w:val="3"/>
        </w:numPr>
        <w:spacing w:after="0" w:line="360" w:lineRule="auto"/>
      </w:pPr>
      <w:r w:rsidRPr="00776857">
        <w:rPr>
          <w:b/>
        </w:rPr>
        <w:t>Incompetencia:</w:t>
      </w:r>
      <w:r w:rsidRPr="00776857">
        <w:t xml:space="preserve"> Falta de Competencia.</w:t>
      </w:r>
    </w:p>
    <w:p w:rsidR="00716121" w:rsidRPr="00776857" w:rsidRDefault="00716121">
      <w:pPr>
        <w:spacing w:after="0" w:line="360" w:lineRule="auto"/>
      </w:pPr>
    </w:p>
    <w:p w:rsidR="00716121" w:rsidRPr="00776857" w:rsidRDefault="005008FD">
      <w:pPr>
        <w:spacing w:after="0" w:line="360" w:lineRule="auto"/>
      </w:pPr>
      <w:r w:rsidRPr="00776857">
        <w:t xml:space="preserve">Por lo que, </w:t>
      </w:r>
      <w:r w:rsidRPr="00776857">
        <w:rPr>
          <w:b/>
        </w:rPr>
        <w:t>la incompetencia</w:t>
      </w:r>
      <w:r w:rsidRPr="00776857">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rsidR="00716121" w:rsidRPr="00776857" w:rsidRDefault="00716121">
      <w:pPr>
        <w:spacing w:after="0" w:line="360" w:lineRule="auto"/>
      </w:pPr>
    </w:p>
    <w:p w:rsidR="00716121" w:rsidRPr="00776857" w:rsidRDefault="005008FD">
      <w:pPr>
        <w:spacing w:after="0" w:line="360" w:lineRule="auto"/>
        <w:ind w:left="567" w:right="567"/>
        <w:rPr>
          <w:i/>
          <w:sz w:val="20"/>
          <w:szCs w:val="20"/>
        </w:rPr>
      </w:pPr>
      <w:r w:rsidRPr="00776857">
        <w:rPr>
          <w:b/>
          <w:i/>
          <w:sz w:val="20"/>
          <w:szCs w:val="20"/>
        </w:rPr>
        <w:t xml:space="preserve">“LEGITIMACIÓN DE FUNCIONARIOS PÚBLICOS. LOS TRIBUNALES DE AMPARO, POR ESTAR VINCULADOS CON EL CONCEPTO DE COMPETENCIA A QUE SE REFIERE EL ARTÍCULO 16 CONSTITUCIONAL, NO PUEDEN CONOCER DE AQUÉLLA. </w:t>
      </w:r>
      <w:r w:rsidRPr="00776857">
        <w:rPr>
          <w:i/>
          <w:sz w:val="20"/>
          <w:szCs w:val="20"/>
        </w:rPr>
        <w:t>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716121" w:rsidRPr="00776857" w:rsidRDefault="00716121">
      <w:pPr>
        <w:spacing w:after="0" w:line="360" w:lineRule="auto"/>
      </w:pPr>
    </w:p>
    <w:p w:rsidR="00716121" w:rsidRPr="00776857" w:rsidRDefault="005008FD">
      <w:pPr>
        <w:spacing w:after="0" w:line="360" w:lineRule="auto"/>
      </w:pPr>
      <w:r w:rsidRPr="00776857">
        <w:t xml:space="preserve">Asimismo, resulta necesario traer a colación, el Criterio 13/17, emitido por el Instituto Nacional de Transparencia, Acceso a la Información y Protección de Datos Personales, que dispone lo siguiente: </w:t>
      </w:r>
    </w:p>
    <w:p w:rsidR="00716121" w:rsidRPr="00776857" w:rsidRDefault="00716121">
      <w:pPr>
        <w:spacing w:after="0" w:line="360" w:lineRule="auto"/>
      </w:pPr>
    </w:p>
    <w:p w:rsidR="00716121" w:rsidRPr="00776857" w:rsidRDefault="005008FD">
      <w:pPr>
        <w:spacing w:after="0" w:line="360" w:lineRule="auto"/>
        <w:ind w:left="567" w:right="567"/>
        <w:rPr>
          <w:i/>
          <w:sz w:val="20"/>
          <w:szCs w:val="20"/>
        </w:rPr>
      </w:pPr>
      <w:r w:rsidRPr="00776857">
        <w:rPr>
          <w:b/>
          <w:i/>
          <w:sz w:val="20"/>
          <w:szCs w:val="20"/>
        </w:rPr>
        <w:t xml:space="preserve">“Incompetencia. </w:t>
      </w:r>
      <w:r w:rsidRPr="00776857">
        <w:rPr>
          <w:i/>
          <w:sz w:val="20"/>
          <w:szCs w:val="20"/>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716121" w:rsidRPr="00776857" w:rsidRDefault="00716121">
      <w:pPr>
        <w:spacing w:after="0" w:line="360" w:lineRule="auto"/>
        <w:rPr>
          <w:sz w:val="20"/>
          <w:szCs w:val="20"/>
        </w:rPr>
      </w:pPr>
    </w:p>
    <w:p w:rsidR="00716121" w:rsidRPr="00776857" w:rsidRDefault="005008FD">
      <w:pPr>
        <w:spacing w:after="0" w:line="360" w:lineRule="auto"/>
      </w:pPr>
      <w:r w:rsidRPr="00776857">
        <w:t xml:space="preserve">En tal virtud, la </w:t>
      </w:r>
      <w:r w:rsidRPr="00776857">
        <w:rPr>
          <w:b/>
        </w:rPr>
        <w:t xml:space="preserve">incompetencia </w:t>
      </w:r>
      <w:r w:rsidRPr="00776857">
        <w:t>implica que, de conformidad con las atribuciones conferidas al sujeto obligado, no habría razón por la cual éste deba contar con la información solicitada, en cuyo caso, tendría que orientar al particular para que acuda a la instancia competente.</w:t>
      </w:r>
    </w:p>
    <w:p w:rsidR="00716121" w:rsidRPr="00776857" w:rsidRDefault="00716121">
      <w:pPr>
        <w:spacing w:after="0" w:line="360" w:lineRule="auto"/>
      </w:pPr>
    </w:p>
    <w:p w:rsidR="00716121" w:rsidRPr="00776857" w:rsidRDefault="005008FD">
      <w:pPr>
        <w:spacing w:after="0" w:line="360" w:lineRule="auto"/>
        <w:ind w:right="-28"/>
        <w:rPr>
          <w:b/>
        </w:rPr>
      </w:pPr>
      <w:r w:rsidRPr="00776857">
        <w:t xml:space="preserve">En este contexto se debe tener en cuenta que el artículo 28 de la Ley Orgánica de la Administración Pública del Estado de México, establece que </w:t>
      </w:r>
      <w:r w:rsidRPr="00776857">
        <w:rPr>
          <w:i/>
        </w:rPr>
        <w:t xml:space="preserve">La Secretaría de Finanzas es la encargada de la planeación, programación, presupuestación y evaluación de las actividades del Poder Ejecutivo, de la administración financiera y tributaria de la hacienda pública del Estado que </w:t>
      </w:r>
      <w:r w:rsidRPr="00776857">
        <w:rPr>
          <w:b/>
          <w:i/>
        </w:rPr>
        <w:t>requieran las dependencias del Poder Ejecutivo</w:t>
      </w:r>
      <w:r w:rsidRPr="00776857">
        <w:rPr>
          <w:i/>
        </w:rPr>
        <w:t xml:space="preserve"> del Estado, en los ámbitos de su competencia</w:t>
      </w:r>
      <w:r w:rsidRPr="00776857">
        <w:t xml:space="preserve">. </w:t>
      </w:r>
      <w:r w:rsidRPr="00776857">
        <w:rPr>
          <w:b/>
        </w:rPr>
        <w:t>Por tanto, el Sujeto Obligado únicamente conocer de la información relacionada con las dependencias del Poder Ejecutivo.</w:t>
      </w:r>
    </w:p>
    <w:p w:rsidR="00716121" w:rsidRPr="00776857" w:rsidRDefault="00716121">
      <w:pPr>
        <w:spacing w:after="0" w:line="360" w:lineRule="auto"/>
        <w:ind w:right="-28"/>
      </w:pPr>
    </w:p>
    <w:p w:rsidR="00716121" w:rsidRPr="00776857" w:rsidRDefault="005008FD">
      <w:pPr>
        <w:spacing w:after="0" w:line="360" w:lineRule="auto"/>
        <w:ind w:right="-28"/>
        <w:rPr>
          <w:b/>
        </w:rPr>
      </w:pPr>
      <w:r w:rsidRPr="00776857">
        <w:t xml:space="preserve">Ahora bien, dicha Ley Orgánica, establece en sus artículos 1° y 66, que para la organización y el funcionamiento de la Administración Pública Estatal, se considerarán unidades administrativas que dependen directamente del Titular del Poder Ejecutivo y que constituyen la administración pública centralizada y son denominadas dependencias, y por otra parte, se cuenta con organismos auxiliares, entre ellos, los organismo públicos descentralizados, que gozan de </w:t>
      </w:r>
      <w:r w:rsidRPr="00776857">
        <w:lastRenderedPageBreak/>
        <w:t xml:space="preserve">personalidad jurídica y patrimonio propio; </w:t>
      </w:r>
      <w:r w:rsidRPr="00776857">
        <w:rPr>
          <w:b/>
        </w:rPr>
        <w:t xml:space="preserve">por lo que se advierte que las dependencias pertenecen a la administración central y son distintas a los organismo auxiliares, entre los que se encuentran los organismos públicos descentralizados. </w:t>
      </w:r>
    </w:p>
    <w:p w:rsidR="00716121" w:rsidRPr="00776857" w:rsidRDefault="00716121">
      <w:pPr>
        <w:spacing w:after="0" w:line="360" w:lineRule="auto"/>
        <w:ind w:right="-28"/>
      </w:pPr>
    </w:p>
    <w:p w:rsidR="00716121" w:rsidRPr="00776857" w:rsidRDefault="005008FD">
      <w:pPr>
        <w:spacing w:after="0" w:line="360" w:lineRule="auto"/>
        <w:ind w:right="-28"/>
        <w:rPr>
          <w:b/>
        </w:rPr>
      </w:pPr>
      <w:r w:rsidRPr="00776857">
        <w:t xml:space="preserve">En este sentido, el artículo 1° de la Ley que crea el IMEVIS, prevé que tiene el carácter de organismo público descentralizado de carácter estatal con personalidad jurídica y patrimonio propio, por lo que, </w:t>
      </w:r>
      <w:r w:rsidRPr="00776857">
        <w:rPr>
          <w:b/>
        </w:rPr>
        <w:t xml:space="preserve">el IMEVIS corresponde a un organismo público descentralizado, que no pertenece a la administración pública central y por tanto, tiene facultades para administrar su propio patrimonio; en consecuencia, no es administrado por el Sujeto Obligado puesto que no es una dependencia de la administración central. </w:t>
      </w:r>
    </w:p>
    <w:p w:rsidR="00716121" w:rsidRPr="00776857" w:rsidRDefault="005008FD">
      <w:pPr>
        <w:spacing w:after="0" w:line="360" w:lineRule="auto"/>
        <w:ind w:right="-28"/>
        <w:rPr>
          <w:b/>
        </w:rPr>
      </w:pPr>
      <w:r w:rsidRPr="00776857">
        <w:t xml:space="preserve">Por su parte, el Reglamento interior del IMEVIS, prevé en su estructura orgánica a la Dirección de Administración y Finanzas, cuyo objetivo es el de </w:t>
      </w:r>
      <w:r w:rsidRPr="00776857">
        <w:rPr>
          <w:i/>
        </w:rPr>
        <w:t xml:space="preserve">Dirigir, planear y coordinar las acciones para proporcionar con suficiencia y oportunidad los recursos humanos, materiales y financieros, así como los servicios generales que requieran las diferentes unidades administrativas del Instituto; </w:t>
      </w:r>
      <w:r w:rsidRPr="00776857">
        <w:t xml:space="preserve">y tiene entre sus funciones la de suscribir convenios y contratos en materia de adquisición de bienes y/o contratación de servicios con instituciones públicas y/o privadas para el interés del Instituto, asimismo, tiene atribuciones para autorizar y firmar la documentación para las erogaciones o pagos con cargo al presupuesto de egresos que deba ejercer el Instituto; </w:t>
      </w:r>
      <w:r w:rsidRPr="00776857">
        <w:rPr>
          <w:b/>
        </w:rPr>
        <w:t>en atención ello, la Dirección de Administración y Finanzas del IMEVIS tiene competencia para conocer del ejercicio del presupuesto ejercido y de la suscripción de contratos y por tanto, puede conocer de la contratación de seguros de vida a favor de personas servidoras públicas.</w:t>
      </w:r>
    </w:p>
    <w:p w:rsidR="00716121" w:rsidRPr="00776857" w:rsidRDefault="00716121">
      <w:pPr>
        <w:spacing w:after="0" w:line="360" w:lineRule="auto"/>
        <w:ind w:right="-28"/>
        <w:rPr>
          <w:b/>
        </w:rPr>
      </w:pPr>
    </w:p>
    <w:p w:rsidR="00716121" w:rsidRPr="00776857" w:rsidRDefault="005008FD">
      <w:pPr>
        <w:spacing w:after="0" w:line="360" w:lineRule="auto"/>
        <w:ind w:right="-28"/>
        <w:rPr>
          <w:b/>
        </w:rPr>
      </w:pPr>
      <w:r w:rsidRPr="00776857">
        <w:t xml:space="preserve">De igual forma en dicho reglamento se prevé que la Dirección de Administración y Finanzas también tiene funciones para coordinar y supervisar las acciones pertinentes en materia de personal y que cuenta con un Departamento de Recursos Humanos, el cual tiene atribuciones para integrar y controlar los expedientes de las personas servidoras públicas que laboran en el Instituto, por tanto, </w:t>
      </w:r>
      <w:r w:rsidRPr="00776857">
        <w:rPr>
          <w:b/>
        </w:rPr>
        <w:t xml:space="preserve">el Departamento de Recursos Humanos, dependiente de la Dirección de </w:t>
      </w:r>
      <w:r w:rsidRPr="00776857">
        <w:rPr>
          <w:b/>
        </w:rPr>
        <w:lastRenderedPageBreak/>
        <w:t xml:space="preserve">Administración y Finanzas del IMEVIS puede conocer de la información relacionada con pólizas de seguros que obren en los expedientes personales de las personas servidoras públicas que laboren en el mencionado Instituto. </w:t>
      </w:r>
    </w:p>
    <w:p w:rsidR="00716121" w:rsidRPr="00776857" w:rsidRDefault="00716121">
      <w:pPr>
        <w:spacing w:after="0" w:line="360" w:lineRule="auto"/>
        <w:ind w:right="-28"/>
        <w:rPr>
          <w:b/>
        </w:rPr>
      </w:pPr>
    </w:p>
    <w:p w:rsidR="00716121" w:rsidRPr="00776857" w:rsidRDefault="005008FD">
      <w:pPr>
        <w:spacing w:after="0" w:line="360" w:lineRule="auto"/>
        <w:ind w:right="-28"/>
        <w:rPr>
          <w:b/>
        </w:rPr>
      </w:pPr>
      <w:r w:rsidRPr="00776857">
        <w:t>Cabe precisar que dentro de la estructura orgánica del IMEVIS, se advierten otras áreas que pueden conocer de la información, como el Departamento de contratos y convenios que tiene entre sus facultades la de llevar el registro y control de contratos, o convenios, recabar firmas y distribuir a las áreas;</w:t>
      </w:r>
      <w:r w:rsidRPr="00776857">
        <w:rPr>
          <w:b/>
        </w:rPr>
        <w:t xml:space="preserve"> por tanto, el Departamento de contratos y convenios del IMEVIS también puede tener conocimiento de los contratos suscritos con aseguradoras respecto a seguros de vida a favor de las personas servidoras públicas.</w:t>
      </w:r>
    </w:p>
    <w:p w:rsidR="00716121" w:rsidRPr="00776857" w:rsidRDefault="005008FD">
      <w:pPr>
        <w:spacing w:after="0" w:line="360" w:lineRule="auto"/>
        <w:ind w:right="-28"/>
      </w:pPr>
      <w:r w:rsidRPr="00776857">
        <w:t>Así pues, se advierten distintas áreas pertenecientes al IMEVIS que pueden conocer de la información solicitada y que fueron analizadas de manera enunciativa más no limitativa, puesto que se mencionan a manera de ejemplo para acreditar que el Instituto cuenta con la competencia para conocer de sus propias contrataciones y de los expedientes personales de las personas servidoras públicas que laboran en dicha institución.</w:t>
      </w:r>
    </w:p>
    <w:p w:rsidR="00716121" w:rsidRPr="00776857" w:rsidRDefault="00716121">
      <w:pPr>
        <w:spacing w:after="0" w:line="360" w:lineRule="auto"/>
        <w:ind w:right="-28"/>
        <w:rPr>
          <w:b/>
        </w:rPr>
      </w:pPr>
    </w:p>
    <w:p w:rsidR="00716121" w:rsidRPr="00776857" w:rsidRDefault="005008FD">
      <w:pPr>
        <w:spacing w:after="0" w:line="360" w:lineRule="auto"/>
        <w:ind w:right="-28"/>
      </w:pPr>
      <w:r w:rsidRPr="00776857">
        <w:t xml:space="preserve">Aunado a lo anterior, este Organismo Garante realizó una búsqueda de la contratación de seguros de vida por parte del IMEVIS y se localizó un documento con denominado </w:t>
      </w:r>
      <w:r w:rsidRPr="00776857">
        <w:rPr>
          <w:i/>
        </w:rPr>
        <w:t>MINUTA DE AUDIENCIA, O REUNIÓN</w:t>
      </w:r>
      <w:r w:rsidRPr="00776857">
        <w:t xml:space="preserve"> celebrada el 8 de abril de 2022, en las oficinas de dicho Instituto, en los que se reunieron personas servidoras públicas del IMEVIS con representantes legales de una compañía de seguros, y se trató la firma del contrato pedido administrativo de contratación de pólizas de seguro de vida para el personal operativo, así pues, se acredita que el IMEVIS realizó al menos una contratación de seguros de vida y que no se advierte la participación del Sujeto Obligado. </w:t>
      </w:r>
    </w:p>
    <w:p w:rsidR="00716121" w:rsidRPr="00776857" w:rsidRDefault="00716121">
      <w:pPr>
        <w:spacing w:after="0" w:line="360" w:lineRule="auto"/>
        <w:ind w:right="-28"/>
        <w:rPr>
          <w:b/>
        </w:rPr>
      </w:pPr>
    </w:p>
    <w:p w:rsidR="00716121" w:rsidRPr="00776857" w:rsidRDefault="005008FD">
      <w:pPr>
        <w:spacing w:after="0" w:line="360" w:lineRule="auto"/>
        <w:ind w:right="-28"/>
      </w:pPr>
      <w:bookmarkStart w:id="14" w:name="_heading=h.35nkun2" w:colFirst="0" w:colLast="0"/>
      <w:bookmarkEnd w:id="14"/>
      <w:r w:rsidRPr="00776857">
        <w:t xml:space="preserve">Entonces, se advierte que el IMEVIS corresponde a un organismo público descentralizado, que sí bien forma parte de los organismos auxiliares de la administración pública estatal que ayuda </w:t>
      </w:r>
      <w:r w:rsidRPr="00776857">
        <w:lastRenderedPageBreak/>
        <w:t xml:space="preserve">en el ejercicio de sus funciones al Poder Ejecutivo, no es administrado de forma central, dado que cuenta con su propio patrimonio y con áreas que se encuentran facultadas para contratar y erogar recursos públicos, asimismo, con aquellas que pueden administrar documentos del personal que labora en dicho Instituto, por tanto, el IMEVIS puede conocer de la información solicitada. Cabe señalar que dicho Instituto forma parte de los Sujeto Obligados en materia de transparencia y acceso a la información pública, de conformidad con el padrón de Sujetos Obligados emitido y aprobado por este Pleno, por lo que, es dable considerar que </w:t>
      </w:r>
      <w:r w:rsidRPr="00776857">
        <w:rPr>
          <w:b/>
        </w:rPr>
        <w:t>la Secretaría de Finanzas es incompetente para conocer de la información solicitada, dado que el IMEVIS es competente para conocer de sus contrataciones y de los expedientes de las personas servidoras públicas que laboran en dicho Instituto.</w:t>
      </w:r>
    </w:p>
    <w:p w:rsidR="00716121" w:rsidRPr="00776857" w:rsidRDefault="005008FD">
      <w:pPr>
        <w:spacing w:after="0" w:line="360" w:lineRule="auto"/>
        <w:ind w:right="-28"/>
      </w:pPr>
      <w:r w:rsidRPr="00776857">
        <w:t xml:space="preserve">En consecuencia, resulta dable tener por infundados los motivos de agravio y </w:t>
      </w:r>
      <w:r w:rsidRPr="00776857">
        <w:rPr>
          <w:b/>
        </w:rPr>
        <w:t>confirmar</w:t>
      </w:r>
      <w:r w:rsidRPr="00776857">
        <w:t xml:space="preserve"> la respuesta respecto a que la Secretaría de Finanzas resulta incompetente para conocer de la información solicitada, y cabe aclarar que la orientación no debió realizarse a la Oficialía Mayor, sino al IMEVIS, puesto que este último resulta competente para conocer de la información solicitada.</w:t>
      </w:r>
    </w:p>
    <w:p w:rsidR="00716121" w:rsidRPr="00776857" w:rsidRDefault="00716121">
      <w:pPr>
        <w:spacing w:after="0" w:line="360" w:lineRule="auto"/>
        <w:ind w:right="-28"/>
      </w:pPr>
    </w:p>
    <w:p w:rsidR="00716121" w:rsidRPr="00776857" w:rsidRDefault="005008FD">
      <w:pPr>
        <w:tabs>
          <w:tab w:val="left" w:pos="1528"/>
        </w:tabs>
        <w:spacing w:after="0" w:line="360" w:lineRule="auto"/>
        <w:rPr>
          <w:i/>
        </w:rPr>
      </w:pPr>
      <w:r w:rsidRPr="00776857">
        <w:t>Asimismo, se debe señalar que sí bien no se emitió el acuerdo que declara la notoria incompetencia en términos de lo dispuesto por los artículos 49 fracción II y 167 de la Ley de la materia, lo cierto es que resulta aplicable el criterio con clave de control SO/002/2020 emitido por el Instituto Nacional de Transparencia, Acceso a la Información y Protección de Datos Personales (INAI), bajo el rubro</w:t>
      </w:r>
      <w:r w:rsidRPr="00776857">
        <w:rPr>
          <w:b/>
          <w:i/>
        </w:rPr>
        <w:t xml:space="preserve"> Declaración de incompetencia por parte del Comité, cuando no sea notoria o manifiesta</w:t>
      </w:r>
      <w:r w:rsidRPr="00776857">
        <w:rPr>
          <w:b/>
        </w:rPr>
        <w:t xml:space="preserve">, </w:t>
      </w:r>
      <w:r w:rsidRPr="00776857">
        <w:t xml:space="preserve">en el que se determina que cuando la normatividad no delimita la competencia del Sujeto Obligado y resulte necesario efectuar un análisis mayor para determinar la incompetencia, entonces, debe declararse a través del Comité de Transparencia. </w:t>
      </w:r>
      <w:r w:rsidRPr="00776857">
        <w:rPr>
          <w:i/>
        </w:rPr>
        <w:t xml:space="preserve"> </w:t>
      </w:r>
    </w:p>
    <w:p w:rsidR="00716121" w:rsidRPr="00776857" w:rsidRDefault="00716121">
      <w:pPr>
        <w:tabs>
          <w:tab w:val="left" w:pos="1528"/>
        </w:tabs>
        <w:spacing w:after="0" w:line="360" w:lineRule="auto"/>
        <w:rPr>
          <w:i/>
        </w:rPr>
      </w:pPr>
    </w:p>
    <w:p w:rsidR="00716121" w:rsidRPr="00776857" w:rsidRDefault="005008FD">
      <w:pPr>
        <w:tabs>
          <w:tab w:val="left" w:pos="1528"/>
        </w:tabs>
        <w:spacing w:after="0" w:line="360" w:lineRule="auto"/>
      </w:pPr>
      <w:r w:rsidRPr="00776857">
        <w:t xml:space="preserve">Así pues, en interpretación del criterio emitido por el INAI, se aprecia que la emisión de la declaratoria de incompetencia por parte del Comité de Transparencia, tiene la finalidad de </w:t>
      </w:r>
      <w:r w:rsidRPr="00776857">
        <w:lastRenderedPageBreak/>
        <w:t xml:space="preserve">esclarecer la competencia derivada de una incertidumbre, es decir, cuando la competencia no es notoria, por tanto, el Comité de Transparencia debe emitir dichas declaratorias cuando no es notoriamente incompetente, o bien, cuando mediante el estudio correspondiente del caso en concreto se determine que existen facultades concurrentes entre dos o más sujetos obligados para generar, poseer o administrar la información solicitada, por lo que es procedente CONFIRMAR la respuesta del Sujeto Obligado y dejar a salvo los derechos del Recurrente para realizar una nueva solicitud de información ante el IMEVIS que administra, genera o posee la información solicitada.   </w:t>
      </w:r>
    </w:p>
    <w:p w:rsidR="00716121" w:rsidRPr="00776857" w:rsidRDefault="00716121">
      <w:pPr>
        <w:spacing w:after="0" w:line="360" w:lineRule="auto"/>
        <w:ind w:right="-28"/>
      </w:pPr>
    </w:p>
    <w:p w:rsidR="00716121" w:rsidRPr="00776857" w:rsidRDefault="005008FD">
      <w:pPr>
        <w:pStyle w:val="Ttulo2"/>
        <w:spacing w:before="0" w:after="0"/>
      </w:pPr>
      <w:bookmarkStart w:id="15" w:name="_heading=h.1ksv4uv" w:colFirst="0" w:colLast="0"/>
      <w:bookmarkEnd w:id="15"/>
      <w:r w:rsidRPr="00776857">
        <w:t>SEXTO. Decisión</w:t>
      </w:r>
    </w:p>
    <w:p w:rsidR="00716121" w:rsidRPr="00776857" w:rsidRDefault="00716121">
      <w:pPr>
        <w:spacing w:after="0" w:line="360" w:lineRule="auto"/>
      </w:pPr>
    </w:p>
    <w:p w:rsidR="00716121" w:rsidRPr="00776857" w:rsidRDefault="005008FD">
      <w:pPr>
        <w:tabs>
          <w:tab w:val="left" w:pos="4962"/>
        </w:tabs>
        <w:spacing w:after="0" w:line="360" w:lineRule="auto"/>
      </w:pPr>
      <w:r w:rsidRPr="00776857">
        <w:t xml:space="preserve">Con fundamento en el artículo 186, fracción II, de la Ley de Transparencia y Acceso a la Información Pública del Estado de México y Municipios, este Instituto considera procedente </w:t>
      </w:r>
      <w:r w:rsidRPr="00776857">
        <w:rPr>
          <w:b/>
        </w:rPr>
        <w:t xml:space="preserve">CONFIRMAR </w:t>
      </w:r>
      <w:r w:rsidRPr="00776857">
        <w:t xml:space="preserve">la respuesta otorgada por el Sujeto Obligado. </w:t>
      </w:r>
    </w:p>
    <w:p w:rsidR="00716121" w:rsidRPr="00776857" w:rsidRDefault="00716121">
      <w:pPr>
        <w:tabs>
          <w:tab w:val="left" w:pos="4962"/>
        </w:tabs>
        <w:spacing w:after="0" w:line="360" w:lineRule="auto"/>
        <w:rPr>
          <w:color w:val="000000"/>
        </w:rPr>
      </w:pPr>
    </w:p>
    <w:p w:rsidR="00716121" w:rsidRPr="00776857" w:rsidRDefault="005008FD">
      <w:pPr>
        <w:spacing w:after="0" w:line="360" w:lineRule="auto"/>
        <w:rPr>
          <w:b/>
          <w:u w:val="single"/>
        </w:rPr>
      </w:pPr>
      <w:r w:rsidRPr="00776857">
        <w:rPr>
          <w:b/>
          <w:u w:val="single"/>
        </w:rPr>
        <w:t>Términos de la Resolución para la persona Recurrente</w:t>
      </w:r>
    </w:p>
    <w:p w:rsidR="00716121" w:rsidRPr="00776857" w:rsidRDefault="00716121">
      <w:pPr>
        <w:spacing w:after="0" w:line="360" w:lineRule="auto"/>
      </w:pPr>
    </w:p>
    <w:p w:rsidR="00716121" w:rsidRPr="00776857" w:rsidRDefault="005008FD">
      <w:pPr>
        <w:tabs>
          <w:tab w:val="left" w:pos="4962"/>
        </w:tabs>
        <w:spacing w:after="0" w:line="360" w:lineRule="auto"/>
        <w:rPr>
          <w:u w:val="single"/>
        </w:rPr>
      </w:pPr>
      <w:r w:rsidRPr="00776857">
        <w:rPr>
          <w:u w:val="single"/>
        </w:rPr>
        <w:t xml:space="preserve">Se le hace del conocimiento a la Particular, que en el presente caso, se confirma la respuesta, en virtud de que la información solicitada no es competencia de la Secretaría de Finanzas, sin embargo, se dejan a salvo sus derechos para solicitar la información ante el IMEVIS, quién resulta competente para conocer de la información solicitada. </w:t>
      </w:r>
    </w:p>
    <w:p w:rsidR="00716121" w:rsidRPr="00776857" w:rsidRDefault="00716121">
      <w:pPr>
        <w:tabs>
          <w:tab w:val="left" w:pos="4962"/>
        </w:tabs>
        <w:spacing w:after="0" w:line="360" w:lineRule="auto"/>
      </w:pPr>
    </w:p>
    <w:p w:rsidR="00716121" w:rsidRPr="00776857" w:rsidRDefault="005008FD">
      <w:pPr>
        <w:tabs>
          <w:tab w:val="left" w:pos="4962"/>
        </w:tabs>
        <w:spacing w:after="0" w:line="360" w:lineRule="auto"/>
        <w:rPr>
          <w:u w:val="single"/>
        </w:rPr>
      </w:pPr>
      <w:r w:rsidRPr="00776857">
        <w:rPr>
          <w:b/>
          <w:u w:val="single"/>
        </w:rPr>
        <w:t xml:space="preserve">Asimismo, se le sugiere que presente su escrito como una solicitud de acceso a datos de fallecido en el SARCOEM </w:t>
      </w:r>
      <w:hyperlink r:id="rId8">
        <w:r w:rsidRPr="00776857">
          <w:rPr>
            <w:b/>
            <w:color w:val="0563C1"/>
            <w:u w:val="single"/>
          </w:rPr>
          <w:t>https://www.sarcoem.org.mx/sarcoem/ciudadano/login.page</w:t>
        </w:r>
      </w:hyperlink>
      <w:r w:rsidRPr="00776857">
        <w:rPr>
          <w:b/>
          <w:u w:val="single"/>
        </w:rPr>
        <w:t xml:space="preserve"> para ello deberá adjuntar una identificación vigente con fotografía, otra de la persona finada, el documento que acredite que el titular de los datos falleció y el documento con el que acredite el interés jurídico o legítimo para acceder a la información (puede ser su el acta de </w:t>
      </w:r>
      <w:r w:rsidRPr="00776857">
        <w:rPr>
          <w:b/>
          <w:u w:val="single"/>
        </w:rPr>
        <w:lastRenderedPageBreak/>
        <w:t xml:space="preserve">nacimiento, el documento donde lo señalen como albacea, heredero o legatario, sentencia por juez en donde se le concede el derecho de acceso a los datos del fallecido, etc.); </w:t>
      </w:r>
      <w:r w:rsidRPr="00776857">
        <w:rPr>
          <w:u w:val="single"/>
        </w:rPr>
        <w:t>lo anterior de conformidad con lo señalado en los artículos 106 y 110 de la Ley de Protección de Datos Personales en Posesión de Sujetos Obligados del Estado de México y Municipios.</w:t>
      </w:r>
    </w:p>
    <w:p w:rsidR="00716121" w:rsidRPr="00776857" w:rsidRDefault="00716121">
      <w:pPr>
        <w:tabs>
          <w:tab w:val="left" w:pos="4962"/>
        </w:tabs>
        <w:spacing w:after="0" w:line="360" w:lineRule="auto"/>
        <w:rPr>
          <w:u w:val="single"/>
        </w:rPr>
      </w:pPr>
    </w:p>
    <w:p w:rsidR="00716121" w:rsidRPr="00776857" w:rsidRDefault="005008FD">
      <w:pPr>
        <w:tabs>
          <w:tab w:val="left" w:pos="4962"/>
        </w:tabs>
        <w:spacing w:after="0" w:line="360" w:lineRule="auto"/>
        <w:rPr>
          <w:u w:val="single"/>
        </w:rPr>
      </w:pPr>
      <w:r w:rsidRPr="00776857">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716121" w:rsidRPr="00776857" w:rsidRDefault="00716121">
      <w:pPr>
        <w:tabs>
          <w:tab w:val="left" w:pos="4962"/>
        </w:tabs>
        <w:spacing w:after="0" w:line="360" w:lineRule="auto"/>
        <w:rPr>
          <w:color w:val="000000"/>
        </w:rPr>
      </w:pPr>
    </w:p>
    <w:p w:rsidR="00716121" w:rsidRPr="00776857" w:rsidRDefault="005008FD">
      <w:pPr>
        <w:pStyle w:val="Ttulo1"/>
        <w:spacing w:before="0" w:after="0"/>
        <w:rPr>
          <w:b w:val="0"/>
          <w:sz w:val="22"/>
          <w:szCs w:val="22"/>
        </w:rPr>
      </w:pPr>
      <w:bookmarkStart w:id="16" w:name="_heading=h.44sinio" w:colFirst="0" w:colLast="0"/>
      <w:bookmarkEnd w:id="16"/>
      <w:r w:rsidRPr="00776857">
        <w:rPr>
          <w:sz w:val="22"/>
          <w:szCs w:val="22"/>
        </w:rPr>
        <w:t>R E S U E L V E</w:t>
      </w:r>
    </w:p>
    <w:p w:rsidR="00716121" w:rsidRPr="00776857" w:rsidRDefault="00716121">
      <w:pPr>
        <w:spacing w:after="0" w:line="360" w:lineRule="auto"/>
        <w:rPr>
          <w:b/>
        </w:rPr>
      </w:pPr>
    </w:p>
    <w:p w:rsidR="00716121" w:rsidRPr="00776857" w:rsidRDefault="005008FD">
      <w:pPr>
        <w:tabs>
          <w:tab w:val="left" w:pos="4962"/>
        </w:tabs>
        <w:spacing w:after="0" w:line="360" w:lineRule="auto"/>
      </w:pPr>
      <w:r w:rsidRPr="00776857">
        <w:rPr>
          <w:b/>
        </w:rPr>
        <w:t>PRIMERO.</w:t>
      </w:r>
      <w:r w:rsidRPr="00776857">
        <w:t xml:space="preserve"> Se </w:t>
      </w:r>
      <w:r w:rsidRPr="00776857">
        <w:rPr>
          <w:b/>
        </w:rPr>
        <w:t xml:space="preserve">CONFIRMA </w:t>
      </w:r>
      <w:r w:rsidRPr="00776857">
        <w:t xml:space="preserve">la respuesta entregada por el Sujeto Obligado a la solicitud de acceso a la información con número de folio </w:t>
      </w:r>
      <w:r w:rsidRPr="00776857">
        <w:rPr>
          <w:b/>
        </w:rPr>
        <w:t>00522/SF/IP/2024</w:t>
      </w:r>
      <w:r w:rsidRPr="00776857">
        <w:t xml:space="preserve">, por resultar </w:t>
      </w:r>
      <w:r w:rsidRPr="00776857">
        <w:rPr>
          <w:b/>
        </w:rPr>
        <w:t>INFUNDADAS</w:t>
      </w:r>
      <w:r w:rsidRPr="00776857">
        <w:t xml:space="preserve"> las razones o motivos de inconformidad hechas valer por la persona Recurrente, en términos de los Considerandos QUINTO y SEXTO de esta Resolución.</w:t>
      </w:r>
    </w:p>
    <w:p w:rsidR="00716121" w:rsidRPr="00776857" w:rsidRDefault="00716121">
      <w:pPr>
        <w:tabs>
          <w:tab w:val="left" w:pos="4962"/>
        </w:tabs>
        <w:spacing w:after="0" w:line="360" w:lineRule="auto"/>
        <w:rPr>
          <w:b/>
        </w:rPr>
      </w:pPr>
    </w:p>
    <w:p w:rsidR="00716121" w:rsidRPr="00776857" w:rsidRDefault="005008FD">
      <w:pPr>
        <w:tabs>
          <w:tab w:val="left" w:pos="4962"/>
        </w:tabs>
        <w:spacing w:after="0" w:line="360" w:lineRule="auto"/>
        <w:rPr>
          <w:b/>
        </w:rPr>
      </w:pPr>
      <w:r w:rsidRPr="00776857">
        <w:rPr>
          <w:b/>
        </w:rPr>
        <w:t xml:space="preserve">SEGUNDO. NOTIFÍQUESE POR SAIMEX </w:t>
      </w:r>
      <w:r w:rsidRPr="00776857">
        <w:t>la presente Resolución, al Titular de la Unidad de Transparencia del Sujeto Obligado.</w:t>
      </w:r>
    </w:p>
    <w:p w:rsidR="00716121" w:rsidRPr="00776857" w:rsidRDefault="00716121">
      <w:pPr>
        <w:tabs>
          <w:tab w:val="left" w:pos="4962"/>
        </w:tabs>
        <w:spacing w:after="0" w:line="360" w:lineRule="auto"/>
        <w:rPr>
          <w:b/>
          <w:i/>
        </w:rPr>
      </w:pPr>
    </w:p>
    <w:p w:rsidR="00716121" w:rsidRPr="00776857" w:rsidRDefault="005008FD">
      <w:pPr>
        <w:tabs>
          <w:tab w:val="left" w:pos="4962"/>
        </w:tabs>
        <w:spacing w:after="0" w:line="360" w:lineRule="auto"/>
        <w:rPr>
          <w:b/>
        </w:rPr>
      </w:pPr>
      <w:r w:rsidRPr="00776857">
        <w:rPr>
          <w:b/>
        </w:rPr>
        <w:t xml:space="preserve">TERCERO. NOTIFÍQUESE POR SAIMEX </w:t>
      </w:r>
      <w:r w:rsidRPr="00776857">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716121" w:rsidRPr="00776857" w:rsidRDefault="00716121">
      <w:pPr>
        <w:tabs>
          <w:tab w:val="left" w:pos="4962"/>
        </w:tabs>
        <w:spacing w:after="0" w:line="360" w:lineRule="auto"/>
      </w:pPr>
    </w:p>
    <w:p w:rsidR="00716121" w:rsidRDefault="005008FD">
      <w:pPr>
        <w:tabs>
          <w:tab w:val="left" w:pos="4962"/>
        </w:tabs>
        <w:spacing w:after="0" w:line="360" w:lineRule="auto"/>
      </w:pPr>
      <w:r w:rsidRPr="00776857">
        <w:t xml:space="preserve">ASÍ LO RESUELVE, POR </w:t>
      </w:r>
      <w:r w:rsidRPr="00776857">
        <w:rPr>
          <w:b/>
        </w:rPr>
        <w:t>UNANIMIDAD</w:t>
      </w:r>
      <w:r w:rsidRPr="00776857">
        <w:t xml:space="preserve"> DE VOTOS EL PLENO DEL INSTITUTO DE TRANSPARENCIA, ACCESO A LA INFORMACIÓN PÚBLICA Y PROTECCIÓN DE DATOS </w:t>
      </w:r>
      <w:r w:rsidRPr="00776857">
        <w:lastRenderedPageBreak/>
        <w:t>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p w:rsidR="00716121" w:rsidRDefault="00716121">
      <w:pPr>
        <w:widowControl w:val="0"/>
        <w:spacing w:after="0" w:line="360" w:lineRule="auto"/>
        <w:rPr>
          <w:b/>
        </w:rPr>
      </w:pPr>
    </w:p>
    <w:sectPr w:rsidR="00716121">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0F" w:rsidRDefault="0071330F">
      <w:pPr>
        <w:spacing w:after="0" w:line="240" w:lineRule="auto"/>
      </w:pPr>
      <w:r>
        <w:separator/>
      </w:r>
    </w:p>
  </w:endnote>
  <w:endnote w:type="continuationSeparator" w:id="0">
    <w:p w:rsidR="0071330F" w:rsidRDefault="0071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5008F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D46B5">
      <w:rPr>
        <w:b/>
        <w:noProof/>
        <w:color w:val="000000"/>
        <w:sz w:val="24"/>
        <w:szCs w:val="24"/>
      </w:rPr>
      <w:t>22</w:t>
    </w:r>
    <w:r>
      <w:rPr>
        <w:b/>
        <w:color w:val="000000"/>
        <w:sz w:val="24"/>
        <w:szCs w:val="24"/>
      </w:rPr>
      <w:fldChar w:fldCharType="end"/>
    </w:r>
  </w:p>
  <w:p w:rsidR="00716121" w:rsidRDefault="0071612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5008F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6DC9">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6DC9">
      <w:rPr>
        <w:b/>
        <w:noProof/>
        <w:color w:val="000000"/>
        <w:sz w:val="24"/>
        <w:szCs w:val="24"/>
      </w:rPr>
      <w:t>22</w:t>
    </w:r>
    <w:r>
      <w:rPr>
        <w:b/>
        <w:color w:val="000000"/>
        <w:sz w:val="24"/>
        <w:szCs w:val="24"/>
      </w:rPr>
      <w:fldChar w:fldCharType="end"/>
    </w:r>
  </w:p>
  <w:p w:rsidR="00716121" w:rsidRDefault="0071612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5008F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6DC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6DC9">
      <w:rPr>
        <w:b/>
        <w:noProof/>
        <w:color w:val="000000"/>
        <w:sz w:val="24"/>
        <w:szCs w:val="24"/>
      </w:rPr>
      <w:t>22</w:t>
    </w:r>
    <w:r>
      <w:rPr>
        <w:b/>
        <w:color w:val="000000"/>
        <w:sz w:val="24"/>
        <w:szCs w:val="24"/>
      </w:rPr>
      <w:fldChar w:fldCharType="end"/>
    </w:r>
  </w:p>
  <w:p w:rsidR="00716121" w:rsidRDefault="007161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0F" w:rsidRDefault="0071330F">
      <w:pPr>
        <w:spacing w:after="0" w:line="240" w:lineRule="auto"/>
      </w:pPr>
      <w:r>
        <w:separator/>
      </w:r>
    </w:p>
  </w:footnote>
  <w:footnote w:type="continuationSeparator" w:id="0">
    <w:p w:rsidR="0071330F" w:rsidRDefault="00713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716121">
    <w:pPr>
      <w:widowControl w:val="0"/>
      <w:pBdr>
        <w:top w:val="nil"/>
        <w:left w:val="nil"/>
        <w:bottom w:val="nil"/>
        <w:right w:val="nil"/>
        <w:between w:val="nil"/>
      </w:pBdr>
      <w:spacing w:after="0" w:line="276" w:lineRule="auto"/>
      <w:jc w:val="left"/>
      <w:rPr>
        <w:color w:val="000000"/>
      </w:rPr>
    </w:pPr>
  </w:p>
  <w:tbl>
    <w:tblPr>
      <w:tblStyle w:val="af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716121">
      <w:trPr>
        <w:trHeight w:val="141"/>
      </w:trPr>
      <w:tc>
        <w:tcPr>
          <w:tcW w:w="0" w:type="auto"/>
        </w:tcPr>
        <w:p w:rsidR="00716121" w:rsidRDefault="005008FD">
          <w:pPr>
            <w:tabs>
              <w:tab w:val="right" w:pos="8838"/>
            </w:tabs>
            <w:ind w:right="-105"/>
            <w:rPr>
              <w:b/>
            </w:rPr>
          </w:pPr>
          <w:r>
            <w:rPr>
              <w:b/>
            </w:rPr>
            <w:t>Recurso de Revisión:</w:t>
          </w:r>
        </w:p>
      </w:tc>
      <w:tc>
        <w:tcPr>
          <w:tcW w:w="0" w:type="auto"/>
        </w:tcPr>
        <w:p w:rsidR="00716121" w:rsidRDefault="005008FD">
          <w:pPr>
            <w:tabs>
              <w:tab w:val="right" w:pos="8838"/>
            </w:tabs>
            <w:ind w:left="-28" w:right="683"/>
          </w:pPr>
          <w:r>
            <w:t>04196/INFOEM/IP/RR/2020</w:t>
          </w:r>
        </w:p>
      </w:tc>
    </w:tr>
    <w:tr w:rsidR="00716121">
      <w:trPr>
        <w:trHeight w:val="276"/>
      </w:trPr>
      <w:tc>
        <w:tcPr>
          <w:tcW w:w="0" w:type="auto"/>
        </w:tcPr>
        <w:p w:rsidR="00716121" w:rsidRDefault="005008FD">
          <w:pPr>
            <w:tabs>
              <w:tab w:val="right" w:pos="8838"/>
            </w:tabs>
            <w:ind w:right="-105"/>
            <w:rPr>
              <w:b/>
            </w:rPr>
          </w:pPr>
          <w:r>
            <w:rPr>
              <w:b/>
            </w:rPr>
            <w:t>Sujeto Obligado:</w:t>
          </w:r>
        </w:p>
      </w:tc>
      <w:tc>
        <w:tcPr>
          <w:tcW w:w="0" w:type="auto"/>
        </w:tcPr>
        <w:p w:rsidR="00716121" w:rsidRDefault="005008FD">
          <w:pPr>
            <w:tabs>
              <w:tab w:val="right" w:pos="8838"/>
            </w:tabs>
            <w:ind w:right="116"/>
          </w:pPr>
          <w:r>
            <w:t>Ayuntamiento de Chapultepec</w:t>
          </w:r>
        </w:p>
      </w:tc>
    </w:tr>
    <w:tr w:rsidR="00716121">
      <w:trPr>
        <w:trHeight w:val="276"/>
      </w:trPr>
      <w:tc>
        <w:tcPr>
          <w:tcW w:w="0" w:type="auto"/>
        </w:tcPr>
        <w:p w:rsidR="00716121" w:rsidRDefault="005008FD">
          <w:pPr>
            <w:tabs>
              <w:tab w:val="right" w:pos="8838"/>
            </w:tabs>
            <w:ind w:right="-105"/>
            <w:rPr>
              <w:b/>
            </w:rPr>
          </w:pPr>
          <w:r>
            <w:rPr>
              <w:b/>
            </w:rPr>
            <w:t>Comisionado Ponente:</w:t>
          </w:r>
        </w:p>
      </w:tc>
      <w:tc>
        <w:tcPr>
          <w:tcW w:w="0" w:type="auto"/>
        </w:tcPr>
        <w:p w:rsidR="00716121" w:rsidRDefault="005008FD">
          <w:pPr>
            <w:tabs>
              <w:tab w:val="right" w:pos="8838"/>
            </w:tabs>
            <w:ind w:right="-32"/>
          </w:pPr>
          <w:r>
            <w:t>Luis Gustavo Parra Noriega</w:t>
          </w:r>
        </w:p>
      </w:tc>
    </w:tr>
  </w:tbl>
  <w:p w:rsidR="00716121" w:rsidRDefault="0071330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716121">
    <w:pPr>
      <w:rPr>
        <w:sz w:val="16"/>
        <w:szCs w:val="16"/>
      </w:rPr>
    </w:pPr>
  </w:p>
  <w:tbl>
    <w:tblPr>
      <w:tblStyle w:val="afc"/>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716121">
      <w:trPr>
        <w:trHeight w:val="141"/>
      </w:trPr>
      <w:tc>
        <w:tcPr>
          <w:tcW w:w="2404" w:type="dxa"/>
        </w:tcPr>
        <w:p w:rsidR="00716121" w:rsidRDefault="005008FD">
          <w:pPr>
            <w:tabs>
              <w:tab w:val="right" w:pos="8838"/>
            </w:tabs>
            <w:ind w:left="-395" w:right="-105" w:firstLine="395"/>
            <w:rPr>
              <w:b/>
            </w:rPr>
          </w:pPr>
          <w:r>
            <w:rPr>
              <w:b/>
            </w:rPr>
            <w:t>Recurso de Revisión:</w:t>
          </w:r>
        </w:p>
      </w:tc>
      <w:tc>
        <w:tcPr>
          <w:tcW w:w="3408" w:type="dxa"/>
        </w:tcPr>
        <w:p w:rsidR="00716121" w:rsidRDefault="005008FD">
          <w:pPr>
            <w:tabs>
              <w:tab w:val="right" w:pos="8838"/>
            </w:tabs>
            <w:ind w:left="-28" w:right="454"/>
            <w:rPr>
              <w:b/>
            </w:rPr>
          </w:pPr>
          <w:bookmarkStart w:id="17" w:name="_heading=h.30j0zll" w:colFirst="0" w:colLast="0"/>
          <w:bookmarkEnd w:id="17"/>
          <w:r>
            <w:rPr>
              <w:b/>
            </w:rPr>
            <w:t>05016/INFOEM/IP/RR/2024</w:t>
          </w:r>
        </w:p>
      </w:tc>
    </w:tr>
    <w:tr w:rsidR="00716121">
      <w:trPr>
        <w:trHeight w:val="276"/>
      </w:trPr>
      <w:tc>
        <w:tcPr>
          <w:tcW w:w="2404" w:type="dxa"/>
        </w:tcPr>
        <w:p w:rsidR="00716121" w:rsidRDefault="005008FD">
          <w:pPr>
            <w:tabs>
              <w:tab w:val="right" w:pos="8838"/>
            </w:tabs>
            <w:ind w:right="-105"/>
            <w:rPr>
              <w:b/>
            </w:rPr>
          </w:pPr>
          <w:r>
            <w:rPr>
              <w:b/>
            </w:rPr>
            <w:t>Sujeto Obligado:</w:t>
          </w:r>
        </w:p>
      </w:tc>
      <w:tc>
        <w:tcPr>
          <w:tcW w:w="3408" w:type="dxa"/>
        </w:tcPr>
        <w:p w:rsidR="00716121" w:rsidRDefault="005008FD">
          <w:pPr>
            <w:tabs>
              <w:tab w:val="left" w:pos="3158"/>
              <w:tab w:val="left" w:pos="4292"/>
              <w:tab w:val="right" w:pos="8838"/>
            </w:tabs>
            <w:ind w:right="601"/>
          </w:pPr>
          <w:r>
            <w:t>Secretaría de Finanzas</w:t>
          </w:r>
        </w:p>
      </w:tc>
    </w:tr>
    <w:tr w:rsidR="00716121">
      <w:trPr>
        <w:trHeight w:val="276"/>
      </w:trPr>
      <w:tc>
        <w:tcPr>
          <w:tcW w:w="2404" w:type="dxa"/>
        </w:tcPr>
        <w:p w:rsidR="00716121" w:rsidRDefault="005008FD">
          <w:pPr>
            <w:tabs>
              <w:tab w:val="right" w:pos="8838"/>
            </w:tabs>
            <w:ind w:right="-105"/>
            <w:rPr>
              <w:b/>
            </w:rPr>
          </w:pPr>
          <w:r>
            <w:rPr>
              <w:b/>
            </w:rPr>
            <w:t>Comisionado Ponente:</w:t>
          </w:r>
        </w:p>
      </w:tc>
      <w:tc>
        <w:tcPr>
          <w:tcW w:w="3408" w:type="dxa"/>
        </w:tcPr>
        <w:p w:rsidR="00716121" w:rsidRDefault="005008FD">
          <w:pPr>
            <w:tabs>
              <w:tab w:val="right" w:pos="8838"/>
            </w:tabs>
            <w:ind w:right="454"/>
          </w:pPr>
          <w:r>
            <w:t>Luis Gustavo Parra Noriega</w:t>
          </w:r>
        </w:p>
        <w:p w:rsidR="00716121" w:rsidRDefault="00716121">
          <w:pPr>
            <w:tabs>
              <w:tab w:val="right" w:pos="8838"/>
            </w:tabs>
            <w:ind w:right="454"/>
          </w:pPr>
        </w:p>
      </w:tc>
    </w:tr>
  </w:tbl>
  <w:p w:rsidR="00716121" w:rsidRDefault="0071330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21" w:rsidRDefault="0071330F">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d"/>
      <w:tblW w:w="9214" w:type="dxa"/>
      <w:tblInd w:w="0" w:type="dxa"/>
      <w:tblLayout w:type="fixed"/>
      <w:tblLook w:val="0400" w:firstRow="0" w:lastRow="0" w:firstColumn="0" w:lastColumn="0" w:noHBand="0" w:noVBand="1"/>
    </w:tblPr>
    <w:tblGrid>
      <w:gridCol w:w="2127"/>
      <w:gridCol w:w="7087"/>
    </w:tblGrid>
    <w:tr w:rsidR="00716121">
      <w:trPr>
        <w:trHeight w:val="1546"/>
      </w:trPr>
      <w:tc>
        <w:tcPr>
          <w:tcW w:w="2127" w:type="dxa"/>
          <w:shd w:val="clear" w:color="auto" w:fill="auto"/>
        </w:tcPr>
        <w:p w:rsidR="00716121" w:rsidRDefault="00716121">
          <w:pPr>
            <w:tabs>
              <w:tab w:val="right" w:pos="4273"/>
            </w:tabs>
            <w:rPr>
              <w:rFonts w:ascii="Garamond" w:eastAsia="Garamond" w:hAnsi="Garamond" w:cs="Garamond"/>
              <w:sz w:val="16"/>
              <w:szCs w:val="16"/>
            </w:rPr>
          </w:pPr>
        </w:p>
      </w:tc>
      <w:tc>
        <w:tcPr>
          <w:tcW w:w="7087" w:type="dxa"/>
          <w:shd w:val="clear" w:color="auto" w:fill="auto"/>
        </w:tcPr>
        <w:p w:rsidR="00716121" w:rsidRDefault="00716121">
          <w:pPr>
            <w:rPr>
              <w:sz w:val="10"/>
              <w:szCs w:val="10"/>
            </w:rPr>
          </w:pPr>
        </w:p>
        <w:tbl>
          <w:tblPr>
            <w:tblStyle w:val="afe"/>
            <w:tblW w:w="5812" w:type="dxa"/>
            <w:tblInd w:w="1167" w:type="dxa"/>
            <w:tblLayout w:type="fixed"/>
            <w:tblLook w:val="0400" w:firstRow="0" w:lastRow="0" w:firstColumn="0" w:lastColumn="0" w:noHBand="0" w:noVBand="1"/>
          </w:tblPr>
          <w:tblGrid>
            <w:gridCol w:w="2583"/>
            <w:gridCol w:w="3229"/>
          </w:tblGrid>
          <w:tr w:rsidR="00716121">
            <w:trPr>
              <w:trHeight w:val="427"/>
            </w:trPr>
            <w:tc>
              <w:tcPr>
                <w:tcW w:w="2583" w:type="dxa"/>
                <w:vAlign w:val="bottom"/>
              </w:tcPr>
              <w:p w:rsidR="00716121" w:rsidRDefault="005008FD">
                <w:pPr>
                  <w:tabs>
                    <w:tab w:val="right" w:pos="8838"/>
                  </w:tabs>
                  <w:ind w:right="-105"/>
                  <w:rPr>
                    <w:b/>
                  </w:rPr>
                </w:pPr>
                <w:r>
                  <w:rPr>
                    <w:b/>
                  </w:rPr>
                  <w:t>Recurso de Revisión:</w:t>
                </w:r>
              </w:p>
            </w:tc>
            <w:tc>
              <w:tcPr>
                <w:tcW w:w="3229" w:type="dxa"/>
              </w:tcPr>
              <w:p w:rsidR="00716121" w:rsidRDefault="00716121">
                <w:pPr>
                  <w:tabs>
                    <w:tab w:val="right" w:pos="8838"/>
                  </w:tabs>
                  <w:ind w:left="-28" w:right="-107"/>
                  <w:rPr>
                    <w:b/>
                  </w:rPr>
                </w:pPr>
              </w:p>
              <w:p w:rsidR="00716121" w:rsidRDefault="005008FD">
                <w:pPr>
                  <w:tabs>
                    <w:tab w:val="right" w:pos="8838"/>
                  </w:tabs>
                  <w:ind w:left="-28" w:right="-107"/>
                  <w:rPr>
                    <w:b/>
                  </w:rPr>
                </w:pPr>
                <w:r>
                  <w:rPr>
                    <w:b/>
                  </w:rPr>
                  <w:t>05016/INFOEM/IP/RR/2024</w:t>
                </w:r>
              </w:p>
            </w:tc>
          </w:tr>
          <w:tr w:rsidR="00716121">
            <w:trPr>
              <w:trHeight w:val="141"/>
            </w:trPr>
            <w:tc>
              <w:tcPr>
                <w:tcW w:w="2583" w:type="dxa"/>
              </w:tcPr>
              <w:p w:rsidR="00716121" w:rsidRDefault="005008FD">
                <w:pPr>
                  <w:tabs>
                    <w:tab w:val="right" w:pos="8838"/>
                  </w:tabs>
                  <w:ind w:right="-105"/>
                  <w:rPr>
                    <w:b/>
                  </w:rPr>
                </w:pPr>
                <w:r>
                  <w:rPr>
                    <w:b/>
                  </w:rPr>
                  <w:t>Recurrente:</w:t>
                </w:r>
              </w:p>
            </w:tc>
            <w:tc>
              <w:tcPr>
                <w:tcW w:w="3229" w:type="dxa"/>
              </w:tcPr>
              <w:p w:rsidR="00716121" w:rsidRDefault="00DA7B2E">
                <w:pPr>
                  <w:tabs>
                    <w:tab w:val="right" w:pos="8838"/>
                  </w:tabs>
                  <w:ind w:right="-107"/>
                </w:pPr>
                <w:r w:rsidRPr="00DA7B2E">
                  <w:rPr>
                    <w:highlight w:val="black"/>
                  </w:rPr>
                  <w:t>XXXXXXXXXXXXXXXXXXXXX</w:t>
                </w:r>
              </w:p>
            </w:tc>
          </w:tr>
          <w:tr w:rsidR="00716121">
            <w:trPr>
              <w:trHeight w:val="276"/>
            </w:trPr>
            <w:tc>
              <w:tcPr>
                <w:tcW w:w="2583" w:type="dxa"/>
              </w:tcPr>
              <w:p w:rsidR="00716121" w:rsidRDefault="005008FD">
                <w:pPr>
                  <w:tabs>
                    <w:tab w:val="right" w:pos="8838"/>
                  </w:tabs>
                  <w:ind w:right="-105"/>
                  <w:rPr>
                    <w:b/>
                  </w:rPr>
                </w:pPr>
                <w:r>
                  <w:rPr>
                    <w:b/>
                  </w:rPr>
                  <w:t>Sujeto Obligado:</w:t>
                </w:r>
              </w:p>
            </w:tc>
            <w:tc>
              <w:tcPr>
                <w:tcW w:w="3229" w:type="dxa"/>
              </w:tcPr>
              <w:p w:rsidR="00716121" w:rsidRDefault="005008FD">
                <w:pPr>
                  <w:tabs>
                    <w:tab w:val="right" w:pos="8838"/>
                  </w:tabs>
                  <w:ind w:right="33"/>
                </w:pPr>
                <w:r>
                  <w:t>Secretaría de Finanzas</w:t>
                </w:r>
              </w:p>
            </w:tc>
          </w:tr>
          <w:tr w:rsidR="00716121">
            <w:trPr>
              <w:trHeight w:val="276"/>
            </w:trPr>
            <w:tc>
              <w:tcPr>
                <w:tcW w:w="2583" w:type="dxa"/>
              </w:tcPr>
              <w:p w:rsidR="00716121" w:rsidRDefault="005008FD">
                <w:pPr>
                  <w:tabs>
                    <w:tab w:val="right" w:pos="8838"/>
                  </w:tabs>
                  <w:ind w:right="-105"/>
                  <w:rPr>
                    <w:b/>
                  </w:rPr>
                </w:pPr>
                <w:r>
                  <w:rPr>
                    <w:b/>
                  </w:rPr>
                  <w:t>Comisionado Ponente:</w:t>
                </w:r>
              </w:p>
            </w:tc>
            <w:tc>
              <w:tcPr>
                <w:tcW w:w="3229" w:type="dxa"/>
              </w:tcPr>
              <w:p w:rsidR="00716121" w:rsidRDefault="005008FD">
                <w:pPr>
                  <w:tabs>
                    <w:tab w:val="right" w:pos="8838"/>
                  </w:tabs>
                  <w:ind w:right="-107"/>
                </w:pPr>
                <w:r>
                  <w:t>Luis Gustavo Parra Noriega</w:t>
                </w:r>
              </w:p>
            </w:tc>
          </w:tr>
        </w:tbl>
        <w:p w:rsidR="00716121" w:rsidRDefault="00716121">
          <w:pPr>
            <w:tabs>
              <w:tab w:val="right" w:pos="8838"/>
            </w:tabs>
            <w:ind w:left="-28"/>
            <w:rPr>
              <w:rFonts w:ascii="Arial" w:eastAsia="Arial" w:hAnsi="Arial" w:cs="Arial"/>
              <w:b/>
            </w:rPr>
          </w:pPr>
        </w:p>
      </w:tc>
    </w:tr>
  </w:tbl>
  <w:p w:rsidR="00716121" w:rsidRDefault="0071612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3441E"/>
    <w:multiLevelType w:val="multilevel"/>
    <w:tmpl w:val="F1D28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1E331A"/>
    <w:multiLevelType w:val="multilevel"/>
    <w:tmpl w:val="7022504E"/>
    <w:lvl w:ilvl="0">
      <w:start w:val="1"/>
      <w:numFmt w:val="upperLetter"/>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2710F"/>
    <w:multiLevelType w:val="multilevel"/>
    <w:tmpl w:val="49DCD28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60DF23CE"/>
    <w:multiLevelType w:val="multilevel"/>
    <w:tmpl w:val="BF2CB1F2"/>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21"/>
    <w:rsid w:val="002D46B5"/>
    <w:rsid w:val="003A6DC9"/>
    <w:rsid w:val="005008FD"/>
    <w:rsid w:val="005E5DBE"/>
    <w:rsid w:val="007058ED"/>
    <w:rsid w:val="0071330F"/>
    <w:rsid w:val="00716121"/>
    <w:rsid w:val="00776857"/>
    <w:rsid w:val="009B0367"/>
    <w:rsid w:val="00DA7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F14A40B-900C-4F8B-858D-C66C541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6"/>
    <w:pPr>
      <w:spacing w:after="0" w:line="240" w:lineRule="auto"/>
    </w:pPr>
    <w:tblPr>
      <w:tblStyleRowBandSize w:val="1"/>
      <w:tblStyleColBandSize w:val="1"/>
      <w:tblCellMar>
        <w:left w:w="108" w:type="dxa"/>
        <w:right w:w="108" w:type="dxa"/>
      </w:tblCellMar>
    </w:tblPr>
  </w:style>
  <w:style w:type="table" w:customStyle="1" w:styleId="a4">
    <w:basedOn w:val="TableNormal6"/>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pPr>
      <w:spacing w:after="0" w:line="240" w:lineRule="auto"/>
    </w:pPr>
    <w:tblPr>
      <w:tblStyleRowBandSize w:val="1"/>
      <w:tblStyleColBandSize w:val="1"/>
      <w:tblCellMar>
        <w:left w:w="108" w:type="dxa"/>
        <w:right w:w="108" w:type="dxa"/>
      </w:tblCellMar>
    </w:tblPr>
  </w:style>
  <w:style w:type="table" w:customStyle="1" w:styleId="aa">
    <w:basedOn w:val="TableNormal5"/>
    <w:pPr>
      <w:spacing w:after="0" w:line="240" w:lineRule="auto"/>
    </w:pPr>
    <w:tblPr>
      <w:tblStyleRowBandSize w:val="1"/>
      <w:tblStyleColBandSize w:val="1"/>
      <w:tblCellMar>
        <w:left w:w="108" w:type="dxa"/>
        <w:right w:w="108" w:type="dxa"/>
      </w:tblCellMar>
    </w:tbl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4"/>
    <w:pPr>
      <w:spacing w:after="0" w:line="240" w:lineRule="auto"/>
    </w:pPr>
    <w:tblPr>
      <w:tblStyleRowBandSize w:val="1"/>
      <w:tblStyleColBandSize w:val="1"/>
      <w:tblCellMar>
        <w:left w:w="108" w:type="dxa"/>
        <w:right w:w="108" w:type="dxa"/>
      </w:tblCellMar>
    </w:tblPr>
  </w:style>
  <w:style w:type="table" w:customStyle="1" w:styleId="ae">
    <w:basedOn w:val="TableNormal4"/>
    <w:pPr>
      <w:spacing w:after="0" w:line="240" w:lineRule="auto"/>
    </w:pPr>
    <w:tblPr>
      <w:tblStyleRowBandSize w:val="1"/>
      <w:tblStyleColBandSize w:val="1"/>
      <w:tblCellMar>
        <w:left w:w="108" w:type="dxa"/>
        <w:right w:w="108" w:type="dxa"/>
      </w:tblCellMar>
    </w:tblPr>
  </w:style>
  <w:style w:type="table" w:customStyle="1" w:styleId="af">
    <w:basedOn w:val="TableNormal3"/>
    <w:pPr>
      <w:spacing w:after="0" w:line="240" w:lineRule="auto"/>
    </w:pPr>
    <w:tblPr>
      <w:tblStyleRowBandSize w:val="1"/>
      <w:tblStyleColBandSize w:val="1"/>
      <w:tblCellMar>
        <w:left w:w="108" w:type="dxa"/>
        <w:right w:w="108" w:type="dxa"/>
      </w:tblCellMar>
    </w:tblPr>
  </w:style>
  <w:style w:type="table" w:customStyle="1" w:styleId="af0">
    <w:basedOn w:val="TableNormal3"/>
    <w:pPr>
      <w:spacing w:after="0" w:line="240" w:lineRule="auto"/>
    </w:pPr>
    <w:tblPr>
      <w:tblStyleRowBandSize w:val="1"/>
      <w:tblStyleColBandSize w:val="1"/>
      <w:tblCellMar>
        <w:left w:w="108" w:type="dxa"/>
        <w:right w:w="108" w:type="dxa"/>
      </w:tblCellMar>
    </w:tblPr>
  </w:style>
  <w:style w:type="table" w:customStyle="1" w:styleId="af1">
    <w:basedOn w:val="TableNormal3"/>
    <w:pPr>
      <w:spacing w:after="0" w:line="240" w:lineRule="auto"/>
    </w:pPr>
    <w:tblPr>
      <w:tblStyleRowBandSize w:val="1"/>
      <w:tblStyleColBandSize w:val="1"/>
      <w:tblCellMar>
        <w:left w:w="108" w:type="dxa"/>
        <w:right w:w="108" w:type="dxa"/>
      </w:tblCellMar>
    </w:tblPr>
  </w:style>
  <w:style w:type="table" w:customStyle="1" w:styleId="af2">
    <w:basedOn w:val="TableNormal3"/>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B03340"/>
    <w:rPr>
      <w:color w:val="605E5C"/>
      <w:shd w:val="clear" w:color="auto" w:fill="E1DFDD"/>
    </w:rPr>
  </w:style>
  <w:style w:type="paragraph" w:styleId="Listaconvietas2">
    <w:name w:val="List Bullet 2"/>
    <w:basedOn w:val="Normal"/>
    <w:uiPriority w:val="99"/>
    <w:unhideWhenUsed/>
    <w:rsid w:val="00E07859"/>
    <w:pPr>
      <w:numPr>
        <w:numId w:val="4"/>
      </w:numPr>
      <w:spacing w:after="0" w:line="240" w:lineRule="auto"/>
      <w:contextualSpacing/>
      <w:jc w:val="left"/>
    </w:pPr>
    <w:rPr>
      <w:rFonts w:ascii="Times New Roman" w:eastAsia="Times New Roman" w:hAnsi="Times New Roman" w:cs="Times New Roman"/>
      <w:color w:val="auto"/>
      <w:sz w:val="20"/>
      <w:szCs w:val="20"/>
      <w:lang w:eastAsia="es-ES"/>
    </w:r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vM6aRAsmXPwizLfIAdmixgpFw==">CgMxLjAyCWguMmp4c3hxaDIIaC56MzM3eWEyCWguM2oycXFtMzIJaC4xeTgxMHR3MgloLjJldDkycDAyCWguNGk3b2pocDIIaC5namRneHMyCWguMnhjeXRwaTIJaC4xY2k5M3hiMgloLjN3aHdtbDQyCWguMmJuNndzeDIIaC5xc2g3MHEyCWguM2FzNHBvajIJaC4zNW5rdW4yMgloLjFrc3Y0dXYyCWguNDRzaW5pbzIJaC4zMGowemxsOAByITF2enk1YXJsVUthOHZNUE9QZXNsY052V2JkaUw3c25V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5354</Words>
  <Characters>29453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2024-12-05T23:01:00Z</cp:lastPrinted>
  <dcterms:created xsi:type="dcterms:W3CDTF">2024-12-05T23:00:00Z</dcterms:created>
  <dcterms:modified xsi:type="dcterms:W3CDTF">2025-02-04T19:59:00Z</dcterms:modified>
</cp:coreProperties>
</file>