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1CA879" w14:textId="30BE1C39" w:rsidR="006168E4" w:rsidRDefault="006168E4" w:rsidP="006F5F55">
      <w:pPr>
        <w:spacing w:before="240" w:line="360" w:lineRule="auto"/>
        <w:jc w:val="both"/>
        <w:rPr>
          <w:rFonts w:ascii="Palatino Linotype" w:eastAsia="Times New Roman" w:hAnsi="Palatino Linotype" w:cs="Arial"/>
          <w:color w:val="000000"/>
          <w:sz w:val="24"/>
          <w:szCs w:val="24"/>
          <w:lang w:eastAsia="es-MX"/>
        </w:rPr>
      </w:pPr>
      <w:r w:rsidRPr="00E64A3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3C3A96">
        <w:rPr>
          <w:rFonts w:ascii="Palatino Linotype" w:eastAsia="Times New Roman" w:hAnsi="Palatino Linotype" w:cs="Arial"/>
          <w:color w:val="000000"/>
          <w:sz w:val="24"/>
          <w:szCs w:val="24"/>
          <w:lang w:eastAsia="es-MX"/>
        </w:rPr>
        <w:t>diecisiete</w:t>
      </w:r>
      <w:r w:rsidR="00ED0EA7">
        <w:rPr>
          <w:rFonts w:ascii="Palatino Linotype" w:eastAsia="Times New Roman" w:hAnsi="Palatino Linotype" w:cs="Arial"/>
          <w:color w:val="000000"/>
          <w:sz w:val="24"/>
          <w:szCs w:val="24"/>
          <w:lang w:eastAsia="es-MX"/>
        </w:rPr>
        <w:t xml:space="preserve"> de enero de dos mil veinticuatro. </w:t>
      </w:r>
      <w:r w:rsidR="008963E2">
        <w:rPr>
          <w:rFonts w:ascii="Palatino Linotype" w:eastAsia="Times New Roman" w:hAnsi="Palatino Linotype" w:cs="Arial"/>
          <w:color w:val="000000"/>
          <w:sz w:val="24"/>
          <w:szCs w:val="24"/>
          <w:lang w:eastAsia="es-MX"/>
        </w:rPr>
        <w:t xml:space="preserve"> </w:t>
      </w:r>
      <w:r w:rsidR="00E36029">
        <w:rPr>
          <w:rFonts w:ascii="Palatino Linotype" w:eastAsia="Times New Roman" w:hAnsi="Palatino Linotype" w:cs="Arial"/>
          <w:color w:val="000000"/>
          <w:sz w:val="24"/>
          <w:szCs w:val="24"/>
          <w:lang w:eastAsia="es-MX"/>
        </w:rPr>
        <w:t xml:space="preserve"> </w:t>
      </w:r>
      <w:r w:rsidR="00BE673B">
        <w:rPr>
          <w:rFonts w:ascii="Palatino Linotype" w:eastAsia="Times New Roman" w:hAnsi="Palatino Linotype" w:cs="Arial"/>
          <w:color w:val="000000"/>
          <w:sz w:val="24"/>
          <w:szCs w:val="24"/>
          <w:lang w:eastAsia="es-MX"/>
        </w:rPr>
        <w:t xml:space="preserve"> </w:t>
      </w:r>
      <w:r w:rsidR="00FB6049">
        <w:rPr>
          <w:rFonts w:ascii="Palatino Linotype" w:eastAsia="Times New Roman" w:hAnsi="Palatino Linotype" w:cs="Arial"/>
          <w:color w:val="000000"/>
          <w:sz w:val="24"/>
          <w:szCs w:val="24"/>
          <w:lang w:eastAsia="es-MX"/>
        </w:rPr>
        <w:t xml:space="preserve"> </w:t>
      </w:r>
      <w:r w:rsidR="00817A08">
        <w:rPr>
          <w:rFonts w:ascii="Palatino Linotype" w:eastAsia="Times New Roman" w:hAnsi="Palatino Linotype" w:cs="Arial"/>
          <w:color w:val="000000"/>
          <w:sz w:val="24"/>
          <w:szCs w:val="24"/>
          <w:lang w:eastAsia="es-MX"/>
        </w:rPr>
        <w:t xml:space="preserve"> </w:t>
      </w:r>
    </w:p>
    <w:p w14:paraId="1A1A604B" w14:textId="469BCBD0" w:rsidR="00956C26" w:rsidRPr="00956C26" w:rsidRDefault="006168E4" w:rsidP="006F5F55">
      <w:pPr>
        <w:tabs>
          <w:tab w:val="left" w:pos="1701"/>
        </w:tabs>
        <w:spacing w:before="240" w:line="360" w:lineRule="auto"/>
        <w:jc w:val="both"/>
        <w:rPr>
          <w:rFonts w:ascii="Palatino Linotype" w:hAnsi="Palatino Linotype" w:cs="Arial"/>
          <w:sz w:val="24"/>
          <w:szCs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 </w:t>
      </w:r>
      <w:bookmarkStart w:id="0" w:name="_GoBack"/>
      <w:r w:rsidR="00E36029">
        <w:rPr>
          <w:rFonts w:ascii="Palatino Linotype" w:hAnsi="Palatino Linotype" w:cs="Arial"/>
          <w:b/>
          <w:bCs/>
          <w:sz w:val="24"/>
          <w:lang w:eastAsia="es-MX"/>
        </w:rPr>
        <w:t>0</w:t>
      </w:r>
      <w:r w:rsidR="00956C26">
        <w:rPr>
          <w:rFonts w:ascii="Palatino Linotype" w:hAnsi="Palatino Linotype" w:cs="Arial"/>
          <w:b/>
          <w:bCs/>
          <w:sz w:val="24"/>
          <w:lang w:eastAsia="es-MX"/>
        </w:rPr>
        <w:t>5370</w:t>
      </w:r>
      <w:r w:rsidR="00F403EA">
        <w:rPr>
          <w:rFonts w:ascii="Palatino Linotype" w:hAnsi="Palatino Linotype" w:cs="Arial"/>
          <w:b/>
          <w:bCs/>
          <w:sz w:val="24"/>
          <w:lang w:eastAsia="es-MX"/>
        </w:rPr>
        <w:t>/</w:t>
      </w:r>
      <w:r w:rsidR="00D06CA0" w:rsidRPr="00F403EA">
        <w:rPr>
          <w:rFonts w:ascii="Palatino Linotype" w:hAnsi="Palatino Linotype" w:cs="Arial"/>
          <w:b/>
          <w:bCs/>
          <w:sz w:val="24"/>
          <w:lang w:eastAsia="es-MX"/>
        </w:rPr>
        <w:t>INFOEM/IP/RR/20</w:t>
      </w:r>
      <w:r w:rsidR="00EC3C36">
        <w:rPr>
          <w:rFonts w:ascii="Palatino Linotype" w:hAnsi="Palatino Linotype" w:cs="Arial"/>
          <w:b/>
          <w:bCs/>
          <w:sz w:val="24"/>
          <w:lang w:eastAsia="es-MX"/>
        </w:rPr>
        <w:t>2</w:t>
      </w:r>
      <w:r w:rsidR="00BE673B">
        <w:rPr>
          <w:rFonts w:ascii="Palatino Linotype" w:hAnsi="Palatino Linotype" w:cs="Arial"/>
          <w:b/>
          <w:bCs/>
          <w:sz w:val="24"/>
          <w:lang w:eastAsia="es-MX"/>
        </w:rPr>
        <w:t>3</w:t>
      </w:r>
      <w:bookmarkEnd w:id="0"/>
      <w:r w:rsidRPr="00F403EA">
        <w:rPr>
          <w:rFonts w:ascii="Palatino Linotype" w:hAnsi="Palatino Linotype" w:cs="Arial"/>
          <w:sz w:val="24"/>
        </w:rPr>
        <w:t xml:space="preserve">, </w:t>
      </w:r>
      <w:r w:rsidRPr="00F403EA">
        <w:rPr>
          <w:rFonts w:ascii="Palatino Linotype" w:hAnsi="Palatino Linotype" w:cs="Arial"/>
          <w:sz w:val="24"/>
          <w:szCs w:val="24"/>
        </w:rPr>
        <w:t>interpuesto por</w:t>
      </w:r>
      <w:r w:rsidR="00956C26">
        <w:rPr>
          <w:rFonts w:ascii="Palatino Linotype" w:hAnsi="Palatino Linotype" w:cs="Arial"/>
          <w:sz w:val="24"/>
          <w:szCs w:val="24"/>
        </w:rPr>
        <w:t xml:space="preserve"> el </w:t>
      </w:r>
      <w:r w:rsidR="00956C26">
        <w:rPr>
          <w:rFonts w:ascii="Palatino Linotype" w:hAnsi="Palatino Linotype" w:cs="Arial"/>
          <w:b/>
          <w:bCs/>
          <w:sz w:val="24"/>
          <w:szCs w:val="24"/>
        </w:rPr>
        <w:t xml:space="preserve">C. </w:t>
      </w:r>
      <w:r w:rsidR="00DA084A">
        <w:rPr>
          <w:rFonts w:ascii="Palatino Linotype" w:hAnsi="Palatino Linotype" w:cs="Arial"/>
          <w:b/>
          <w:bCs/>
          <w:sz w:val="24"/>
          <w:szCs w:val="24"/>
        </w:rPr>
        <w:t>XXXXXXXXXXXXXXXXXXX</w:t>
      </w:r>
      <w:r w:rsidR="00956C26">
        <w:rPr>
          <w:rFonts w:ascii="Palatino Linotype" w:hAnsi="Palatino Linotype" w:cs="Arial"/>
          <w:b/>
          <w:bCs/>
          <w:sz w:val="24"/>
          <w:szCs w:val="24"/>
        </w:rPr>
        <w:t xml:space="preserve"> </w:t>
      </w:r>
      <w:r w:rsidR="00DA084A">
        <w:rPr>
          <w:rFonts w:ascii="Palatino Linotype" w:hAnsi="Palatino Linotype" w:cs="Arial"/>
          <w:b/>
          <w:bCs/>
          <w:sz w:val="24"/>
          <w:szCs w:val="24"/>
        </w:rPr>
        <w:t>XXXXXXXX</w:t>
      </w:r>
      <w:r w:rsidR="00956C26">
        <w:rPr>
          <w:rFonts w:ascii="Palatino Linotype" w:hAnsi="Palatino Linotype" w:cs="Arial"/>
          <w:b/>
          <w:bCs/>
          <w:sz w:val="24"/>
          <w:szCs w:val="24"/>
        </w:rPr>
        <w:t xml:space="preserve">, </w:t>
      </w:r>
      <w:r w:rsidR="00956C26">
        <w:rPr>
          <w:rFonts w:ascii="Palatino Linotype" w:hAnsi="Palatino Linotype" w:cs="Arial"/>
          <w:sz w:val="24"/>
          <w:szCs w:val="24"/>
        </w:rPr>
        <w:t xml:space="preserve">en lo sucesivo </w:t>
      </w:r>
      <w:r w:rsidR="00956C26">
        <w:rPr>
          <w:rFonts w:ascii="Palatino Linotype" w:hAnsi="Palatino Linotype" w:cs="Arial"/>
          <w:b/>
          <w:bCs/>
          <w:sz w:val="24"/>
          <w:szCs w:val="24"/>
        </w:rPr>
        <w:t xml:space="preserve">El Recurrente, </w:t>
      </w:r>
      <w:r w:rsidR="00956C26">
        <w:rPr>
          <w:rFonts w:ascii="Palatino Linotype" w:hAnsi="Palatino Linotype" w:cs="Arial"/>
          <w:sz w:val="24"/>
          <w:szCs w:val="24"/>
        </w:rPr>
        <w:t xml:space="preserve">en contra de la respuesta del </w:t>
      </w:r>
      <w:r w:rsidR="00956C26">
        <w:rPr>
          <w:rFonts w:ascii="Palatino Linotype" w:hAnsi="Palatino Linotype" w:cs="Arial"/>
          <w:b/>
          <w:bCs/>
          <w:sz w:val="24"/>
          <w:szCs w:val="24"/>
        </w:rPr>
        <w:t xml:space="preserve">Ayuntamiento de Cuautitlán Izcalli, </w:t>
      </w:r>
      <w:r w:rsidR="00956C26">
        <w:rPr>
          <w:rFonts w:ascii="Palatino Linotype" w:hAnsi="Palatino Linotype" w:cs="Arial"/>
          <w:sz w:val="24"/>
          <w:szCs w:val="24"/>
        </w:rPr>
        <w:t xml:space="preserve">en lo subsecuente </w:t>
      </w:r>
      <w:r w:rsidR="00956C26">
        <w:rPr>
          <w:rFonts w:ascii="Palatino Linotype" w:hAnsi="Palatino Linotype" w:cs="Arial"/>
          <w:b/>
          <w:bCs/>
          <w:sz w:val="24"/>
          <w:szCs w:val="24"/>
        </w:rPr>
        <w:t xml:space="preserve">El Sujeto Obligado, </w:t>
      </w:r>
      <w:r w:rsidR="00956C26">
        <w:rPr>
          <w:rFonts w:ascii="Palatino Linotype" w:hAnsi="Palatino Linotype" w:cs="Arial"/>
          <w:sz w:val="24"/>
          <w:szCs w:val="24"/>
        </w:rPr>
        <w:t xml:space="preserve">se procede a dictar la presente resolución. </w:t>
      </w:r>
    </w:p>
    <w:p w14:paraId="1C57499C" w14:textId="77777777" w:rsidR="00956C26" w:rsidRDefault="00956C26" w:rsidP="006F5F55">
      <w:pPr>
        <w:tabs>
          <w:tab w:val="left" w:pos="1701"/>
        </w:tabs>
        <w:spacing w:before="240" w:line="360" w:lineRule="auto"/>
        <w:jc w:val="both"/>
        <w:rPr>
          <w:rFonts w:ascii="Palatino Linotype" w:hAnsi="Palatino Linotype" w:cs="Arial"/>
          <w:sz w:val="24"/>
          <w:szCs w:val="24"/>
        </w:rPr>
      </w:pPr>
    </w:p>
    <w:p w14:paraId="39A8E1A3" w14:textId="4BD243AC" w:rsidR="006168E4" w:rsidRPr="00F205B9" w:rsidRDefault="006168E4" w:rsidP="0084456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1EE5021C" w14:textId="77777777" w:rsidR="006168E4" w:rsidRDefault="006168E4" w:rsidP="0084456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3625957D" w14:textId="1953D043" w:rsidR="00956C26" w:rsidRDefault="006168E4" w:rsidP="00844569">
      <w:pPr>
        <w:spacing w:before="240" w:line="360" w:lineRule="auto"/>
        <w:jc w:val="both"/>
        <w:rPr>
          <w:rFonts w:ascii="Palatino Linotype" w:hAnsi="Palatino Linotype" w:cs="Arial"/>
          <w:sz w:val="24"/>
        </w:rPr>
      </w:pPr>
      <w:r>
        <w:rPr>
          <w:rFonts w:ascii="Palatino Linotype" w:hAnsi="Palatino Linotype" w:cs="Arial"/>
          <w:sz w:val="24"/>
        </w:rPr>
        <w:t xml:space="preserve">Con </w:t>
      </w:r>
      <w:r w:rsidR="00C03F20">
        <w:rPr>
          <w:rFonts w:ascii="Palatino Linotype" w:hAnsi="Palatino Linotype" w:cs="Arial"/>
          <w:sz w:val="24"/>
        </w:rPr>
        <w:t>fecha</w:t>
      </w:r>
      <w:r w:rsidR="00ED0EA7">
        <w:rPr>
          <w:rFonts w:ascii="Palatino Linotype" w:hAnsi="Palatino Linotype" w:cs="Arial"/>
          <w:sz w:val="24"/>
        </w:rPr>
        <w:t xml:space="preserve"> </w:t>
      </w:r>
      <w:r w:rsidR="00956C26">
        <w:rPr>
          <w:rFonts w:ascii="Palatino Linotype" w:hAnsi="Palatino Linotype" w:cs="Arial"/>
          <w:sz w:val="24"/>
        </w:rPr>
        <w:t xml:space="preserve">treinta y uno de julio de dos mil veintitrés, </w:t>
      </w:r>
      <w:r w:rsidR="00956C26">
        <w:rPr>
          <w:rFonts w:ascii="Palatino Linotype" w:hAnsi="Palatino Linotype" w:cs="Arial"/>
          <w:b/>
          <w:bCs/>
          <w:sz w:val="24"/>
        </w:rPr>
        <w:t xml:space="preserve">El Recurrente, </w:t>
      </w:r>
      <w:r w:rsidR="00956C26">
        <w:rPr>
          <w:rFonts w:ascii="Palatino Linotype" w:hAnsi="Palatino Linotype" w:cs="Arial"/>
          <w:sz w:val="24"/>
        </w:rPr>
        <w:t>presentó a través del Sistema de Acceso a la Información Mexiquense (</w:t>
      </w:r>
      <w:r w:rsidR="00956C26">
        <w:rPr>
          <w:rFonts w:ascii="Palatino Linotype" w:hAnsi="Palatino Linotype" w:cs="Arial"/>
          <w:b/>
          <w:sz w:val="24"/>
        </w:rPr>
        <w:t>SAIMEX)</w:t>
      </w:r>
      <w:r w:rsidR="00956C26">
        <w:rPr>
          <w:rFonts w:ascii="Palatino Linotype" w:hAnsi="Palatino Linotype" w:cs="Arial"/>
          <w:sz w:val="24"/>
        </w:rPr>
        <w:t xml:space="preserve"> ante </w:t>
      </w:r>
      <w:r w:rsidR="00956C26">
        <w:rPr>
          <w:rFonts w:ascii="Palatino Linotype" w:hAnsi="Palatino Linotype" w:cs="Arial"/>
          <w:b/>
          <w:sz w:val="24"/>
        </w:rPr>
        <w:t>El Sujeto Obligado</w:t>
      </w:r>
      <w:r w:rsidR="00956C26">
        <w:rPr>
          <w:rFonts w:ascii="Palatino Linotype" w:hAnsi="Palatino Linotype" w:cs="Arial"/>
          <w:sz w:val="24"/>
        </w:rPr>
        <w:t xml:space="preserve">, solicitud de acceso a la información pública, registrada bajo el número de expediente </w:t>
      </w:r>
      <w:r w:rsidR="00956C26">
        <w:rPr>
          <w:rFonts w:ascii="Palatino Linotype" w:hAnsi="Palatino Linotype" w:cs="Arial"/>
          <w:b/>
          <w:bCs/>
          <w:sz w:val="24"/>
        </w:rPr>
        <w:t xml:space="preserve">00463/CUAUTIZC/IP/2023, </w:t>
      </w:r>
      <w:r w:rsidR="00956C26">
        <w:rPr>
          <w:rFonts w:ascii="Palatino Linotype" w:hAnsi="Palatino Linotype" w:cs="Arial"/>
          <w:sz w:val="24"/>
        </w:rPr>
        <w:t>mediante la cual solicitó información en el tenor siguiente:</w:t>
      </w:r>
    </w:p>
    <w:p w14:paraId="4559C26B" w14:textId="30460657" w:rsidR="00956C26" w:rsidRPr="00956C26" w:rsidRDefault="00956C26" w:rsidP="00956C26">
      <w:pPr>
        <w:pStyle w:val="Citas"/>
        <w:rPr>
          <w:b/>
          <w:bCs/>
          <w:sz w:val="24"/>
        </w:rPr>
      </w:pPr>
      <w:r>
        <w:t xml:space="preserve">“QUIERO SABER EL NÚMERO DE TIANGUIS O MERCADOS SOBRE RUEDAS QUE EXISTEN EN EL MUNICIPIO DE CUAUTITLÁN IZCALLI, CUANTOS PUESTOS INTEGRAN CADA UNO DE ELLOS, CUAL ES LA EXTENSIÓN QUE OCUPAN, CUANTO DINERO INGRESA A LAS ARCAS </w:t>
      </w:r>
      <w:r>
        <w:lastRenderedPageBreak/>
        <w:t xml:space="preserve">MUNICIPALES POR EL PAGO DE DERECHOS DE CADA UNO DE LOS TIANGUIS O MERCADOS SOBRE RUEDAS, EL NOMBRE, CARGO, SALARIO DE LA PERSONA RESPONSABLE DE SUPERVISAR LOS TIANGUIS O MERCADOS SOBRE RUEDAS Y EL NOMBRE, CARGO, SALARIO DE LA PERSONA RESPONSABLE DE COBRAR A LOS PUESTOS DE CADA TIANGUIS O MERCADO SOBRE RUEDAS. QUIERO SABER EL NOMBRE, CARGO Y SALARIO DE TODOS LOS SERVIDORES PÚBLICOS INVOLUCRADOS EN SUPERVISAR Y CONTROLAR EL COMERCIO EN LA VÍA PÚBLICA, DESDE EL SUPERIOR JERÁRQUICO CON NIVEL DE DIRECCIÓN Y HASTA LOS SUPERVISORES O INSPECTORES DE CALLE” </w:t>
      </w:r>
      <w:r>
        <w:rPr>
          <w:b/>
          <w:bCs/>
        </w:rPr>
        <w:t>(Sic)</w:t>
      </w:r>
    </w:p>
    <w:p w14:paraId="73DDF68A" w14:textId="5E7DB1EA" w:rsidR="00F4623D" w:rsidRDefault="006168E4" w:rsidP="00F4623D">
      <w:pPr>
        <w:spacing w:before="240" w:line="360" w:lineRule="auto"/>
        <w:ind w:right="850"/>
        <w:jc w:val="both"/>
        <w:rPr>
          <w:rFonts w:ascii="Palatino Linotype" w:eastAsia="Times New Roman" w:hAnsi="Palatino Linotype" w:cs="Times New Roman"/>
          <w:sz w:val="24"/>
          <w:szCs w:val="24"/>
          <w:lang w:val="es-ES_tradnl" w:eastAsia="es-ES"/>
        </w:rPr>
      </w:pPr>
      <w:r w:rsidRPr="008D6D04">
        <w:rPr>
          <w:rFonts w:ascii="Palatino Linotype" w:eastAsia="Times New Roman" w:hAnsi="Palatino Linotype" w:cs="Times New Roman"/>
          <w:b/>
          <w:sz w:val="24"/>
          <w:szCs w:val="24"/>
          <w:lang w:val="es-ES_tradnl" w:eastAsia="es-ES"/>
        </w:rPr>
        <w:t>Modalidad de entrega:</w:t>
      </w:r>
      <w:r w:rsidRPr="00CA1161">
        <w:rPr>
          <w:rFonts w:ascii="Palatino Linotype" w:eastAsia="Times New Roman" w:hAnsi="Palatino Linotype" w:cs="Times New Roman"/>
          <w:sz w:val="24"/>
          <w:szCs w:val="24"/>
          <w:lang w:val="es-ES_tradnl" w:eastAsia="es-ES"/>
        </w:rPr>
        <w:t xml:space="preserve"> </w:t>
      </w:r>
      <w:r w:rsidR="0018726A">
        <w:rPr>
          <w:rFonts w:ascii="Palatino Linotype" w:eastAsia="Times New Roman" w:hAnsi="Palatino Linotype" w:cs="Times New Roman"/>
          <w:sz w:val="24"/>
          <w:szCs w:val="24"/>
          <w:lang w:val="es-ES_tradnl" w:eastAsia="es-ES"/>
        </w:rPr>
        <w:t xml:space="preserve">A </w:t>
      </w:r>
      <w:r w:rsidR="00F4623D">
        <w:rPr>
          <w:rFonts w:ascii="Palatino Linotype" w:eastAsia="Times New Roman" w:hAnsi="Palatino Linotype" w:cs="Times New Roman"/>
          <w:sz w:val="24"/>
          <w:szCs w:val="24"/>
          <w:lang w:val="es-ES_tradnl" w:eastAsia="es-ES"/>
        </w:rPr>
        <w:t xml:space="preserve">través del SAIMEX. </w:t>
      </w:r>
    </w:p>
    <w:p w14:paraId="48A06890" w14:textId="77777777" w:rsidR="00FB6049" w:rsidRDefault="00FB6049" w:rsidP="00844569">
      <w:pPr>
        <w:spacing w:before="240" w:line="360" w:lineRule="auto"/>
        <w:jc w:val="both"/>
        <w:rPr>
          <w:rFonts w:ascii="Palatino Linotype" w:hAnsi="Palatino Linotype" w:cs="Arial"/>
          <w:b/>
          <w:sz w:val="28"/>
        </w:rPr>
      </w:pPr>
    </w:p>
    <w:p w14:paraId="140C1316" w14:textId="77777777" w:rsidR="00956C26" w:rsidRDefault="00956C26" w:rsidP="00956C26">
      <w:pPr>
        <w:spacing w:before="240" w:line="360" w:lineRule="auto"/>
        <w:ind w:right="850"/>
        <w:jc w:val="both"/>
        <w:rPr>
          <w:rFonts w:ascii="Palatino Linotype" w:hAnsi="Palatino Linotype" w:cs="Arial"/>
          <w:b/>
          <w:sz w:val="28"/>
        </w:rPr>
      </w:pPr>
      <w:r>
        <w:rPr>
          <w:rFonts w:ascii="Palatino Linotype" w:hAnsi="Palatino Linotype" w:cs="Arial"/>
          <w:b/>
          <w:sz w:val="28"/>
        </w:rPr>
        <w:t xml:space="preserve">SEGUNDO. De la prórroga del Sujeto Obligado. </w:t>
      </w:r>
    </w:p>
    <w:p w14:paraId="2E44E6C5" w14:textId="48C74872" w:rsidR="00956C26" w:rsidRPr="001D3E11" w:rsidRDefault="00956C26" w:rsidP="00956C26">
      <w:pPr>
        <w:spacing w:before="240" w:line="360" w:lineRule="auto"/>
        <w:jc w:val="both"/>
        <w:rPr>
          <w:rFonts w:ascii="Palatino Linotype" w:hAnsi="Palatino Linotype" w:cs="Arial"/>
          <w:b/>
          <w:bCs/>
          <w:sz w:val="24"/>
          <w:szCs w:val="24"/>
        </w:rPr>
      </w:pPr>
      <w:r w:rsidRPr="00441692">
        <w:rPr>
          <w:rFonts w:ascii="Palatino Linotype" w:hAnsi="Palatino Linotype" w:cs="Arial"/>
          <w:sz w:val="24"/>
          <w:szCs w:val="24"/>
        </w:rPr>
        <w:t>De las constancias que obra</w:t>
      </w:r>
      <w:r>
        <w:rPr>
          <w:rFonts w:ascii="Palatino Linotype" w:hAnsi="Palatino Linotype" w:cs="Arial"/>
          <w:sz w:val="24"/>
          <w:szCs w:val="24"/>
        </w:rPr>
        <w:t>n</w:t>
      </w:r>
      <w:r w:rsidRPr="00441692">
        <w:rPr>
          <w:rFonts w:ascii="Palatino Linotype" w:hAnsi="Palatino Linotype" w:cs="Arial"/>
          <w:sz w:val="24"/>
          <w:szCs w:val="24"/>
        </w:rPr>
        <w:t xml:space="preserve"> en </w:t>
      </w:r>
      <w:r>
        <w:rPr>
          <w:rFonts w:ascii="Palatino Linotype" w:hAnsi="Palatino Linotype" w:cs="Arial"/>
          <w:sz w:val="24"/>
          <w:szCs w:val="24"/>
        </w:rPr>
        <w:t xml:space="preserve">el expediente electrónico del </w:t>
      </w:r>
      <w:r>
        <w:rPr>
          <w:rFonts w:ascii="Palatino Linotype" w:hAnsi="Palatino Linotype" w:cs="Arial"/>
          <w:b/>
          <w:sz w:val="24"/>
          <w:szCs w:val="24"/>
        </w:rPr>
        <w:t xml:space="preserve">SAIMEX, </w:t>
      </w:r>
      <w:r>
        <w:rPr>
          <w:rFonts w:ascii="Palatino Linotype" w:hAnsi="Palatino Linotype" w:cs="Arial"/>
          <w:sz w:val="24"/>
          <w:szCs w:val="24"/>
        </w:rPr>
        <w:t xml:space="preserve">se advierte que en fecha </w:t>
      </w:r>
      <w:r>
        <w:rPr>
          <w:rFonts w:ascii="Palatino Linotype" w:hAnsi="Palatino Linotype" w:cs="Arial"/>
          <w:b/>
          <w:bCs/>
          <w:sz w:val="24"/>
          <w:szCs w:val="24"/>
        </w:rPr>
        <w:t xml:space="preserve">diecisiete de agosto de dos mil veintitrés, El Sujeto Obligado </w:t>
      </w:r>
      <w:r>
        <w:rPr>
          <w:rFonts w:ascii="Palatino Linotype" w:hAnsi="Palatino Linotype" w:cs="Arial"/>
          <w:sz w:val="24"/>
          <w:szCs w:val="24"/>
        </w:rPr>
        <w:t xml:space="preserve">solicitó prórroga de siete días para recabar la información solicitada y dar cumplimiento a lo requerido por </w:t>
      </w:r>
      <w:r>
        <w:rPr>
          <w:rFonts w:ascii="Palatino Linotype" w:hAnsi="Palatino Linotype" w:cs="Arial"/>
          <w:b/>
          <w:bCs/>
          <w:sz w:val="24"/>
          <w:szCs w:val="24"/>
        </w:rPr>
        <w:t xml:space="preserve">El Recurrente, </w:t>
      </w:r>
      <w:r>
        <w:rPr>
          <w:rFonts w:ascii="Palatino Linotype" w:hAnsi="Palatino Linotype" w:cs="Arial"/>
          <w:sz w:val="24"/>
          <w:szCs w:val="24"/>
        </w:rPr>
        <w:t xml:space="preserve">advirtiendo que dicha prórroga </w:t>
      </w:r>
      <w:r>
        <w:rPr>
          <w:rFonts w:ascii="Palatino Linotype" w:hAnsi="Palatino Linotype" w:cs="Arial"/>
          <w:b/>
          <w:bCs/>
          <w:sz w:val="24"/>
          <w:szCs w:val="24"/>
        </w:rPr>
        <w:t xml:space="preserve">sí </w:t>
      </w:r>
      <w:r>
        <w:rPr>
          <w:rFonts w:ascii="Palatino Linotype" w:hAnsi="Palatino Linotype" w:cs="Arial"/>
          <w:sz w:val="24"/>
          <w:szCs w:val="24"/>
        </w:rPr>
        <w:t xml:space="preserve">cumple con lo </w:t>
      </w:r>
      <w:r>
        <w:rPr>
          <w:rFonts w:ascii="Palatino Linotype" w:hAnsi="Palatino Linotype"/>
          <w:sz w:val="24"/>
          <w:szCs w:val="24"/>
        </w:rPr>
        <w:t xml:space="preserve">establecido </w:t>
      </w:r>
      <w:r w:rsidRPr="00441692">
        <w:rPr>
          <w:rFonts w:ascii="Palatino Linotype" w:hAnsi="Palatino Linotype"/>
          <w:sz w:val="24"/>
          <w:szCs w:val="24"/>
        </w:rPr>
        <w:t xml:space="preserve">en el artículo 49, fracción II, así como en el artículo 163 segundo párrafo, de la </w:t>
      </w:r>
      <w:r w:rsidRPr="00441692">
        <w:rPr>
          <w:rFonts w:ascii="Palatino Linotype" w:hAnsi="Palatino Linotype" w:cs="Arial"/>
          <w:sz w:val="24"/>
          <w:szCs w:val="24"/>
        </w:rPr>
        <w:t>Ley de Transparencia y Acceso a la Información Pública del Estado de México y Municipios.</w:t>
      </w:r>
    </w:p>
    <w:p w14:paraId="0752426A" w14:textId="77777777" w:rsidR="00956C26" w:rsidRDefault="00956C26" w:rsidP="00844569">
      <w:pPr>
        <w:spacing w:before="240" w:line="360" w:lineRule="auto"/>
        <w:jc w:val="both"/>
        <w:rPr>
          <w:rFonts w:ascii="Palatino Linotype" w:hAnsi="Palatino Linotype" w:cs="Arial"/>
          <w:b/>
          <w:sz w:val="28"/>
        </w:rPr>
      </w:pPr>
    </w:p>
    <w:p w14:paraId="1B7C3267" w14:textId="513C4421" w:rsidR="006168E4" w:rsidRDefault="00956C26" w:rsidP="00844569">
      <w:pPr>
        <w:spacing w:before="240" w:line="360" w:lineRule="auto"/>
        <w:jc w:val="both"/>
        <w:rPr>
          <w:rFonts w:ascii="Palatino Linotype" w:hAnsi="Palatino Linotype" w:cs="Arial"/>
          <w:b/>
          <w:sz w:val="28"/>
        </w:rPr>
      </w:pPr>
      <w:r>
        <w:rPr>
          <w:rFonts w:ascii="Palatino Linotype" w:hAnsi="Palatino Linotype" w:cs="Arial"/>
          <w:b/>
          <w:sz w:val="28"/>
        </w:rPr>
        <w:lastRenderedPageBreak/>
        <w:t>TERCERO</w:t>
      </w:r>
      <w:r w:rsidR="006168E4">
        <w:rPr>
          <w:rFonts w:ascii="Palatino Linotype" w:hAnsi="Palatino Linotype" w:cs="Arial"/>
          <w:b/>
          <w:sz w:val="28"/>
        </w:rPr>
        <w:t xml:space="preserve">. </w:t>
      </w:r>
      <w:r w:rsidR="006168E4" w:rsidRPr="00165D6E">
        <w:rPr>
          <w:rFonts w:ascii="Palatino Linotype" w:hAnsi="Palatino Linotype" w:cs="Arial"/>
          <w:b/>
          <w:sz w:val="28"/>
          <w:szCs w:val="20"/>
        </w:rPr>
        <w:t xml:space="preserve">De la respuesta </w:t>
      </w:r>
      <w:r w:rsidR="006168E4">
        <w:rPr>
          <w:rFonts w:ascii="Palatino Linotype" w:hAnsi="Palatino Linotype" w:cs="Arial"/>
          <w:b/>
          <w:sz w:val="28"/>
          <w:szCs w:val="20"/>
        </w:rPr>
        <w:t>del Sujeto Obligado</w:t>
      </w:r>
      <w:r w:rsidR="006168E4" w:rsidRPr="00165D6E">
        <w:rPr>
          <w:rFonts w:ascii="Palatino Linotype" w:hAnsi="Palatino Linotype" w:cs="Arial"/>
          <w:b/>
          <w:sz w:val="28"/>
          <w:szCs w:val="20"/>
        </w:rPr>
        <w:t>.</w:t>
      </w:r>
    </w:p>
    <w:p w14:paraId="15B56BED" w14:textId="1CB4821C" w:rsidR="00956C26" w:rsidRDefault="006168E4" w:rsidP="00045379">
      <w:pPr>
        <w:spacing w:before="240" w:line="360" w:lineRule="auto"/>
        <w:jc w:val="both"/>
        <w:rPr>
          <w:rFonts w:ascii="Palatino Linotype" w:hAnsi="Palatino Linotype" w:cs="Arial"/>
          <w:sz w:val="24"/>
          <w:szCs w:val="24"/>
        </w:rPr>
      </w:pPr>
      <w:r w:rsidRPr="001B05B9">
        <w:rPr>
          <w:rFonts w:ascii="Palatino Linotype" w:hAnsi="Palatino Linotype" w:cs="Arial"/>
          <w:sz w:val="24"/>
          <w:szCs w:val="24"/>
        </w:rPr>
        <w:t xml:space="preserve">En el expediente electrónico </w:t>
      </w:r>
      <w:r w:rsidRPr="001B05B9">
        <w:rPr>
          <w:rFonts w:ascii="Palatino Linotype" w:hAnsi="Palatino Linotype" w:cs="Arial"/>
          <w:b/>
          <w:sz w:val="24"/>
          <w:szCs w:val="24"/>
        </w:rPr>
        <w:t>SAIMEX</w:t>
      </w:r>
      <w:r w:rsidRPr="001B05B9">
        <w:rPr>
          <w:rFonts w:ascii="Palatino Linotype" w:hAnsi="Palatino Linotype" w:cs="Arial"/>
          <w:sz w:val="24"/>
          <w:szCs w:val="24"/>
        </w:rPr>
        <w:t xml:space="preserve">, se aprecia que el </w:t>
      </w:r>
      <w:r w:rsidR="00956C26">
        <w:rPr>
          <w:rFonts w:ascii="Palatino Linotype" w:hAnsi="Palatino Linotype" w:cs="Arial"/>
          <w:sz w:val="24"/>
          <w:szCs w:val="24"/>
        </w:rPr>
        <w:t xml:space="preserve">veintinueve de agosto de dos mil veintitrés, </w:t>
      </w:r>
      <w:r w:rsidR="00956C26">
        <w:rPr>
          <w:rFonts w:ascii="Palatino Linotype" w:hAnsi="Palatino Linotype" w:cs="Arial"/>
          <w:b/>
          <w:bCs/>
          <w:sz w:val="24"/>
          <w:szCs w:val="24"/>
        </w:rPr>
        <w:t xml:space="preserve">El Sujeto Obligado </w:t>
      </w:r>
      <w:r w:rsidR="00956C26">
        <w:rPr>
          <w:rFonts w:ascii="Palatino Linotype" w:hAnsi="Palatino Linotype" w:cs="Arial"/>
          <w:sz w:val="24"/>
          <w:szCs w:val="24"/>
        </w:rPr>
        <w:t xml:space="preserve">dio respuesta a la solicitud de información </w:t>
      </w:r>
      <w:r w:rsidR="00956C26">
        <w:rPr>
          <w:rFonts w:ascii="Palatino Linotype" w:hAnsi="Palatino Linotype" w:cs="Arial"/>
          <w:b/>
          <w:bCs/>
          <w:sz w:val="24"/>
          <w:szCs w:val="24"/>
        </w:rPr>
        <w:t xml:space="preserve">00463/CUAUTIZC/IP/2023, </w:t>
      </w:r>
      <w:r w:rsidR="00956C26">
        <w:rPr>
          <w:rFonts w:ascii="Palatino Linotype" w:hAnsi="Palatino Linotype" w:cs="Arial"/>
          <w:sz w:val="24"/>
          <w:szCs w:val="24"/>
        </w:rPr>
        <w:t>resulta de nuestro interés lo siguiente:</w:t>
      </w:r>
    </w:p>
    <w:p w14:paraId="3D48BCFF" w14:textId="65F84107" w:rsidR="00956C26" w:rsidRDefault="00956C26" w:rsidP="00956C26">
      <w:pPr>
        <w:pStyle w:val="Citas"/>
      </w:pPr>
      <w:r>
        <w:t>“En respuesta a la solicitud recibida, nos permitimos hacer de su conocimiento que con fundamento en el artículo 53, Fracciones: II, V y VI de la Ley de Transparencia y Acceso a la Información Pública del Estado de México y Municipios, le contestamos que:</w:t>
      </w:r>
    </w:p>
    <w:p w14:paraId="4502DBD5" w14:textId="569E87A2" w:rsidR="00956C26" w:rsidRPr="00956C26" w:rsidRDefault="00956C26" w:rsidP="00956C26">
      <w:pPr>
        <w:pStyle w:val="Citas"/>
        <w:rPr>
          <w:b/>
          <w:bCs/>
          <w:sz w:val="24"/>
          <w:szCs w:val="24"/>
        </w:rPr>
      </w:pPr>
      <w:r>
        <w:t xml:space="preserve">Por medio del presente y con fundamento en los artículos 3, 11, 40, 41, 46, 53 fracciones II, V y VI y demás relativos y aplicables de la Ley de Transparencia y Acceso a la Información Pública del Estado de México y Municipios, así como el numeral TREINTA Y OCHO inciso d), de sus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ANEXO EL OFICIO DE RESPUESTA QUE A SU SOLICITUD LE ENTREGA LA (1) DIRECCIÓN DE DESARROLLO ECONOMICO (2) TESORERÍA MUNICIPAL, (3) DIRECCIÓN DE ADMINISTRACIÓN 1 “ Por este conducto, reciba por anticipado un cordial saludo, y respecto de la solicitud número 00463/CUAUTIZC/IP/2023, registrada vía internet, en la que solicita en su parte conducente: “QUIERO SABER EL NÚMERO DE TIANGUIS O MERCADOS SOBRE RUEDAS QUE EXISTEN EN EL MUNICIPIO DE CUAUTITLÁN IZCALLI, CUANTOS PUESTOS INTEGRAN CADA UNO DE ELLOS, CUAL ES LA EXTENSIÓN QUE OCUPAN, CUANTO DINERO </w:t>
      </w:r>
      <w:r>
        <w:lastRenderedPageBreak/>
        <w:t xml:space="preserve">INGRESA A LAS ARCAS MUNICIPALES POR EL PAGO DE DERECHOS DE CADA UNO DE LOS TIANGUIS O MERCADOS SOBRE RUEDAS, EL NOMBRE, CARGO, SALARIO DE LA PERSONA RESPONSABLE DE SUPERVISAR LOS TIANGUIS O MERCADOS SOBRE RUEDAS Y EL NOMBRE, CARGO, SALARIO DE LA PERSONA RESPONSABLE DE COBRAR A LOS PUESTOS DE CADA TIANGUIS O MERCADO SOBRE RUEDAS. En cumplimiento a lo anterior, le remito copia simple del oficio DDE/DCVPyM/260/2023, de fecha once de agosto del año en curso, signado por el Lic. Roberto Liceaga García, Titular de la Jefatura del Departamento de Comercio en Vía Pública y Mercados de la Subdirección de Comercio adscrita a la Dirección de Desarrollo Económico. “(SIC) 2 “Reciba un cordial saludo de quien suscribe, por este medio, en atención a la solicitud de información con número de folio 0463/CUAUTIZC/IP/2023, recibida a través de la plataforma SAIMEX que a la letra se transcribe: “QUIERO SABER EL NÚMERO DE TIANGUIS O MERCADOS SOBRE RUEDAS QUE EXISTEN EN EL MUNICIPIO DE CUAUTITLÁN IZCALLI, CUANTOS PUESTOS INTEGRAN CADA UNO DE ELLOS, CUAL ES LA EXTENSIÓN QUE OCUPAN, CUANTO DINERO INGRESA A LAS ARCAS MUNICIPALES POR EL PAGO DE DERECHOS DE CADA UNO DE LOS TIANGUIS O MERCADOS SOBRE RUEDAS, EL NOMBRE, CARGO, SALARIO DE LA PERSONA RESPONSABLE DE SUPERVISAR LOS TIANGUIS O MERCADOS SOBRE RUEDAS Y EL NOMBRE, CARGO, SALARIO DE LA PERSONA RESPONSABLE DE COBRAR A LOS PUESTOS DE CADA TIANGUIS O MERCADO SOBRE RUEDAS. QUIERO SABER EL NOMBRE, CARGO Y SALARIO DE TODOS LOS SERVIDORES PÚBLICOS INVOLUCRADOS EN SUPERVISAR Y CONTROLAR EL COMERCIO EN LA VÍA PÚBLICA, DESDE EL SUPERIOR </w:t>
      </w:r>
      <w:r>
        <w:lastRenderedPageBreak/>
        <w:t xml:space="preserve">JERÁRQUICO CON NIVEL DE DIRECCIÓN Y HASTA LOS SUPERVISORES O INSPECTORES DE CALLE. “(SIC) Sobre la particular y con fundamento en los artículos 11,12 segundos párrafos de la ley de Transparencia y Acceso a la información del Estado de México y Municipios (LTAIPEMyM), de conformidad con las facultades y atribuciones normativas de esta Tesorería Municipal establecidas en el artículo 32 del Reglamento de Organización Interna de la Administración Pública del Municipio de Cuautitlán Izcalli, Estado de México. (2022-2024) corresponde a esta tesorería dar atención únicamente a: “CUANTO DINERO INGRESA A LAS ARCAS MUNICIPALES POR EL PAGO DE DERECHOS DE CADA UNO DE LOS TIANGUIS O MERCADOS SOBRE RUEDAS, …” (sic) Por lo que una vez realizada una búsqueda exhaustiva y razonada de la información que los archivos de la Subtesorería de Ingresos, me permito remitir copia del oficio número TM/STI/DID/318/2023 y anexos de fecha 03 de agosto del año en curso, a través del cual esa Subtesorería remite la información solicitada. Ahora bien, por lo que hace a los demás puntos de la solicitud, le informo que esta Tesorería Municipal no es el área encargada de generar o resguardar información relacionada, sin embargo resulta oportuno mencionar, que de conformidad con los artículos 41 fracción III inciso b) y 42 fracciones XX y XXVI del Reglamento de Organización Interna de la Administración Pública Municipal de Cuautitlán Izcalli, Estado de México (2022-2024), artículo 2 fracciones III y XV, 5 fracciones XX y XXV, 16 fracciones I, y VI, y 18 fracciones I y III del Reglamento Interno de la Dirección de Desarrollo Económico del Municipio de Cuautitlán Izcalli, Estado de México, la DIRECCIÓN DE DESARROLLO ECONÓMICO, es la de encargada vigilar el cumplimiento de las disposiciones legales y reglamentarias en materia de abasto, mercados, módulos comerciales, TIANGUIS y comercio en vía y espacios públicos, así como la de iniciar, tramitar y resolver los procedimientos </w:t>
      </w:r>
      <w:r>
        <w:lastRenderedPageBreak/>
        <w:t xml:space="preserve">administrativos relativos a la expedición, renovación, modificación o revocación de las cédulas para unidades económicas o de prestación de servicios en tianguis, por lo anterior dicha información deberá ser requerida a esa unidad administrativa. Sin más por el momento quedo de usted. “(SIC) 3 “ Con fundamento en los artículos 6 de la Constitución Política de los Estados Unidos Mexicanos; 4, 6, 11, 12, 19 y 23 fracción IV y 163 de la Ley de Transparencia y Acceso a la Información Pública del Estado de México y Municipios; 47 fracción II y 48 fracciones XXXV y LVII del Reglamento de Organización Interna de la Administración Pública del Municipio de Cuautitlán Izcalli, Estado de México (2022-2024); 3 fracción IV del Reglamento Interno de la Dirección de Administración del Municipio de Cuautitlán Izcalli, Estado de México, y en relación a la solicitud de información citada al rubro, turnada a través del Sistema de Acceso a la Información Mexiquense, consistente en: “QUIERO SABER EL NÚMERO DE TIANGUIS O MERCADOS SOBRE RUEDAS QUE EXISTEN EN EL MUNICIPIO DE CUAUTITLÁN IZCALLI, CUANTOS PUESTOS INTEGRAN CADA UNO DE ELLOS, CUAL ES LA EXTENSIÓN QUE OCUPAN, CUANTO DINERO INGRESA A LAS ARCAS MUNICIPALES POR EL PAGO DE DERECHOS DE CADA UNO DE LOS TIANGUIS O MERCADOS SOBRE RUEDAS, EL NOMBRE, CARGO, SALARIO DE LA PERSONA RESPONSABLE DE SUPERVISAR LOS TIANGUIS O MERCADOS SOBRE RUEDAS Y EL NOMBRE, CARGO, SALARIO DE LA PERSONA RESPONSABLE DE COBRAR A LOS PUESTOS DE CADA TIANGUIS O MERCADO SOBRE RUEDAS. QUIERO SABER EL NOMBRE, CARGO Y SALARIO DE TODOS LOS SERVIDORES PÚBLICOS INVOLUCRADOS EN SUPERVISAR Y CONTROLAR EL COMERCIO EN LA VÍA PÚBLICA, DESDE EL SUPERIOR JERÁRQUICO CON NIVEL DE DIRECCIÓN Y HASTA LOS SUPERVISORES O INSPECTORES DE CALLE. </w:t>
      </w:r>
      <w:r>
        <w:lastRenderedPageBreak/>
        <w:t xml:space="preserve">”(SIC) Al respecto, adjunto copia simple del memorándum número SRH/0181/2023, suscrito por la Subdirección de Recursos Humanos, mediante el cual informa que respecto a quien es el servidor público responsable de supervisar, cobrar a los puestos y controlar los tianguis o mercados sobre ruedas, no es competencia de la Subdirección en comento, sin embargo en aras de la transparencia y el principio de máxima publicidad, así como el derecho humano de acceso a la información pública y dentro del ámbito de competencia y derivado de una búsqueda exhaustiva en los archivos y bases de datos de la misma, se localizó un listado el cual contiene los siguientes datos; nombre del trabajador, departamento, puesto, tipo, sueldo bruto mensual y sueldo neto mensual de los servidores públicos adscritos al Departamento de Comercio en vía Pública y Mercados de la Subdirección de Comercio dependiente de la Dirección de Desarrollo Económico, mismo que se adjunta en formato pdf. Asimismo, la Subdirección en comento informa dentro del ámbito de competencia y después de una búsqueda exhaustiva y minuciosa en los archivos y base de la misma, que no obra información refente al número de tianguis o mercadios sobre ruedas que existen en el Municipio de Cuautitlán Izcalli; cuántos puestos integran cada uno de ellos; cuál es la extensión que ocupan; cuánto dinero ingresa a las arcas municipales por el pago de derechos de cada uno de los tianguis o mercados sobre ruedas” </w:t>
      </w:r>
      <w:r>
        <w:rPr>
          <w:b/>
          <w:bCs/>
        </w:rPr>
        <w:t>(Sic)</w:t>
      </w:r>
    </w:p>
    <w:p w14:paraId="75072E26" w14:textId="77777777" w:rsidR="00956C26" w:rsidRDefault="00956C26" w:rsidP="00045379">
      <w:pPr>
        <w:spacing w:before="240" w:line="360" w:lineRule="auto"/>
        <w:jc w:val="both"/>
        <w:rPr>
          <w:rFonts w:ascii="Palatino Linotype" w:hAnsi="Palatino Linotype" w:cs="Arial"/>
          <w:sz w:val="24"/>
          <w:szCs w:val="24"/>
        </w:rPr>
      </w:pPr>
    </w:p>
    <w:p w14:paraId="5B815B1F" w14:textId="7B24FB9B" w:rsidR="00B60699" w:rsidRPr="002578DC" w:rsidRDefault="00B60699" w:rsidP="00B6069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De manera complementaria,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adjuntó los documentos electrónicos </w:t>
      </w:r>
      <w:r>
        <w:rPr>
          <w:rFonts w:ascii="Palatino Linotype" w:hAnsi="Palatino Linotype" w:cs="Arial"/>
          <w:b/>
          <w:bCs/>
          <w:sz w:val="24"/>
          <w:szCs w:val="24"/>
        </w:rPr>
        <w:t>“</w:t>
      </w:r>
      <w:r w:rsidR="00357975">
        <w:rPr>
          <w:rFonts w:ascii="Palatino Linotype" w:hAnsi="Palatino Linotype" w:cs="Arial"/>
          <w:b/>
          <w:bCs/>
          <w:sz w:val="24"/>
          <w:szCs w:val="24"/>
        </w:rPr>
        <w:t xml:space="preserve">RESPUESTA 463.pdf”, “LISTADO DE TIANGUIS saimex 463.pdf”, “RESPUESTA SAIMEX 463.pdf”, “anexo 463.pdf” </w:t>
      </w:r>
      <w:r w:rsidR="00357975">
        <w:rPr>
          <w:rFonts w:ascii="Palatino Linotype" w:hAnsi="Palatino Linotype" w:cs="Arial"/>
          <w:sz w:val="24"/>
          <w:szCs w:val="24"/>
        </w:rPr>
        <w:t xml:space="preserve">y </w:t>
      </w:r>
      <w:r w:rsidR="00357975">
        <w:rPr>
          <w:rFonts w:ascii="Palatino Linotype" w:hAnsi="Palatino Linotype" w:cs="Arial"/>
          <w:b/>
          <w:bCs/>
          <w:sz w:val="24"/>
          <w:szCs w:val="24"/>
        </w:rPr>
        <w:t xml:space="preserve">“saimex463.pdf”, </w:t>
      </w:r>
      <w:r w:rsidR="002578DC">
        <w:rPr>
          <w:rFonts w:ascii="Palatino Linotype" w:hAnsi="Palatino Linotype" w:cs="Arial"/>
          <w:sz w:val="24"/>
          <w:szCs w:val="24"/>
        </w:rPr>
        <w:t xml:space="preserve">cuyo contenido se tiene por reproducido como si a la letra se insertase en virtud de que serán materia de análisis en el considerando respectivo. </w:t>
      </w:r>
    </w:p>
    <w:p w14:paraId="37F573AF" w14:textId="56AB5CC5" w:rsidR="006168E4" w:rsidRDefault="00357975" w:rsidP="00844569">
      <w:pPr>
        <w:spacing w:before="240" w:line="360" w:lineRule="auto"/>
        <w:jc w:val="both"/>
        <w:rPr>
          <w:rFonts w:ascii="Palatino Linotype" w:hAnsi="Palatino Linotype" w:cs="Arial"/>
          <w:b/>
          <w:sz w:val="28"/>
        </w:rPr>
      </w:pPr>
      <w:r>
        <w:rPr>
          <w:rFonts w:ascii="Palatino Linotype" w:hAnsi="Palatino Linotype" w:cs="Arial"/>
          <w:b/>
          <w:sz w:val="28"/>
        </w:rPr>
        <w:lastRenderedPageBreak/>
        <w:t>CUARTO</w:t>
      </w:r>
      <w:r w:rsidR="006168E4">
        <w:rPr>
          <w:rFonts w:ascii="Palatino Linotype" w:hAnsi="Palatino Linotype" w:cs="Arial"/>
          <w:b/>
          <w:sz w:val="28"/>
        </w:rPr>
        <w:t xml:space="preserve">. </w:t>
      </w:r>
      <w:r w:rsidR="006168E4">
        <w:rPr>
          <w:rFonts w:ascii="Palatino Linotype" w:hAnsi="Palatino Linotype"/>
          <w:b/>
          <w:sz w:val="28"/>
        </w:rPr>
        <w:t>Del recurso de revisión.</w:t>
      </w:r>
    </w:p>
    <w:p w14:paraId="781A9A8D" w14:textId="5CABD19D" w:rsidR="00357975" w:rsidRPr="002D560C" w:rsidRDefault="006168E4" w:rsidP="00844569">
      <w:pPr>
        <w:spacing w:before="240" w:line="360" w:lineRule="auto"/>
        <w:jc w:val="both"/>
        <w:rPr>
          <w:rFonts w:ascii="Palatino Linotype" w:hAnsi="Palatino Linotype" w:cs="Arial"/>
          <w:bCs/>
          <w:sz w:val="24"/>
          <w:szCs w:val="24"/>
        </w:rPr>
      </w:pPr>
      <w:r w:rsidRPr="0096643B">
        <w:rPr>
          <w:rFonts w:ascii="Palatino Linotype" w:hAnsi="Palatino Linotype" w:cs="Arial"/>
          <w:sz w:val="24"/>
          <w:szCs w:val="24"/>
        </w:rPr>
        <w:t xml:space="preserve">Inconforme con la respuesta notificada por </w:t>
      </w:r>
      <w:r w:rsidR="008B42B1" w:rsidRPr="008B42B1">
        <w:rPr>
          <w:rFonts w:ascii="Palatino Linotype" w:hAnsi="Palatino Linotype" w:cs="Arial"/>
          <w:b/>
          <w:sz w:val="24"/>
          <w:szCs w:val="24"/>
        </w:rPr>
        <w:t>E</w:t>
      </w:r>
      <w:r w:rsidRPr="008B42B1">
        <w:rPr>
          <w:rFonts w:ascii="Palatino Linotype" w:hAnsi="Palatino Linotype" w:cs="Arial"/>
          <w:b/>
          <w:sz w:val="24"/>
          <w:szCs w:val="24"/>
        </w:rPr>
        <w:t xml:space="preserve">l </w:t>
      </w:r>
      <w:r w:rsidR="008B42B1" w:rsidRPr="008B42B1">
        <w:rPr>
          <w:rFonts w:ascii="Palatino Linotype" w:hAnsi="Palatino Linotype" w:cs="Arial"/>
          <w:b/>
          <w:sz w:val="24"/>
          <w:szCs w:val="24"/>
        </w:rPr>
        <w:t>S</w:t>
      </w:r>
      <w:r w:rsidRPr="008B42B1">
        <w:rPr>
          <w:rFonts w:ascii="Palatino Linotype" w:hAnsi="Palatino Linotype" w:cs="Arial"/>
          <w:b/>
          <w:sz w:val="24"/>
          <w:szCs w:val="24"/>
        </w:rPr>
        <w:t xml:space="preserve">ujeto </w:t>
      </w:r>
      <w:r w:rsidR="008B42B1" w:rsidRPr="008B42B1">
        <w:rPr>
          <w:rFonts w:ascii="Palatino Linotype" w:hAnsi="Palatino Linotype" w:cs="Arial"/>
          <w:b/>
          <w:sz w:val="24"/>
          <w:szCs w:val="24"/>
        </w:rPr>
        <w:t>O</w:t>
      </w:r>
      <w:r w:rsidRPr="008B42B1">
        <w:rPr>
          <w:rFonts w:ascii="Palatino Linotype" w:hAnsi="Palatino Linotype" w:cs="Arial"/>
          <w:b/>
          <w:sz w:val="24"/>
          <w:szCs w:val="24"/>
        </w:rPr>
        <w:t xml:space="preserve">bligado, </w:t>
      </w:r>
      <w:r w:rsidR="005202C4">
        <w:rPr>
          <w:rFonts w:ascii="Palatino Linotype" w:hAnsi="Palatino Linotype" w:cs="Arial"/>
          <w:b/>
          <w:sz w:val="24"/>
          <w:szCs w:val="24"/>
        </w:rPr>
        <w:t>El</w:t>
      </w:r>
      <w:r w:rsidR="00817A08">
        <w:rPr>
          <w:rFonts w:ascii="Palatino Linotype" w:hAnsi="Palatino Linotype" w:cs="Arial"/>
          <w:b/>
          <w:sz w:val="24"/>
          <w:szCs w:val="24"/>
        </w:rPr>
        <w:t xml:space="preserve"> Recurrente </w:t>
      </w:r>
      <w:r w:rsidR="00817A08">
        <w:rPr>
          <w:rFonts w:ascii="Palatino Linotype" w:hAnsi="Palatino Linotype" w:cs="Arial"/>
          <w:bCs/>
          <w:sz w:val="24"/>
          <w:szCs w:val="24"/>
        </w:rPr>
        <w:t xml:space="preserve">interpuso el recurso de revisión, en fecha </w:t>
      </w:r>
      <w:r w:rsidR="002D560C">
        <w:rPr>
          <w:rFonts w:ascii="Palatino Linotype" w:hAnsi="Palatino Linotype" w:cs="Arial"/>
          <w:bCs/>
          <w:sz w:val="24"/>
          <w:szCs w:val="24"/>
        </w:rPr>
        <w:t xml:space="preserve">cuatro de septiembre de dos mil veintitrés, el cual fue registrado en el sistema electrónico con el expediente </w:t>
      </w:r>
      <w:r w:rsidR="002D560C">
        <w:rPr>
          <w:rFonts w:ascii="Palatino Linotype" w:hAnsi="Palatino Linotype" w:cs="Arial"/>
          <w:b/>
          <w:sz w:val="24"/>
          <w:szCs w:val="24"/>
        </w:rPr>
        <w:t xml:space="preserve">05370/INFOEM/IP/RR/2023, </w:t>
      </w:r>
      <w:r w:rsidR="002D560C">
        <w:rPr>
          <w:rFonts w:ascii="Palatino Linotype" w:hAnsi="Palatino Linotype" w:cs="Arial"/>
          <w:bCs/>
          <w:sz w:val="24"/>
          <w:szCs w:val="24"/>
        </w:rPr>
        <w:t xml:space="preserve">en el cual arguye las siguientes manifestaciones: </w:t>
      </w:r>
    </w:p>
    <w:p w14:paraId="3774298B" w14:textId="77777777" w:rsidR="006168E4" w:rsidRDefault="006168E4" w:rsidP="00844569">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40CA7A53" w14:textId="5EFD7BD7" w:rsidR="003406C5" w:rsidRPr="003406C5" w:rsidRDefault="003406C5" w:rsidP="003406C5">
      <w:pPr>
        <w:pStyle w:val="Citas"/>
        <w:rPr>
          <w:b/>
          <w:bCs/>
          <w:sz w:val="24"/>
        </w:rPr>
      </w:pPr>
      <w:r w:rsidRPr="002D560C">
        <w:t>“</w:t>
      </w:r>
      <w:r w:rsidR="002D560C" w:rsidRPr="002D560C">
        <w:t>LA RESPUESTA DEL SUJETO OBLIGADO, QUIEN DE FORMA PREPOTENTE Y ABUSANDO DE SU AUTORIDAD POR INCUMPLIR DE FORMA ARTERA OCULTA LA INFORMACIÓN QUE POR LEY DEBE SER PÚBLICA</w:t>
      </w:r>
      <w:r w:rsidRPr="002D560C">
        <w:t>”</w:t>
      </w:r>
      <w:r>
        <w:t xml:space="preserve"> </w:t>
      </w:r>
      <w:r>
        <w:rPr>
          <w:b/>
          <w:bCs/>
        </w:rPr>
        <w:t>(Sic)</w:t>
      </w:r>
    </w:p>
    <w:p w14:paraId="22A465CC" w14:textId="77777777" w:rsidR="006168E4" w:rsidRDefault="006168E4" w:rsidP="00844569">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0F651FB8" w14:textId="415CD67C" w:rsidR="005202C4" w:rsidRPr="003406C5" w:rsidRDefault="003406C5" w:rsidP="003406C5">
      <w:pPr>
        <w:pStyle w:val="Citas"/>
        <w:rPr>
          <w:b/>
          <w:bCs/>
        </w:rPr>
      </w:pPr>
      <w:r w:rsidRPr="002D560C">
        <w:t>“</w:t>
      </w:r>
      <w:r w:rsidR="002D560C" w:rsidRPr="002D560C">
        <w:t>PORQUE MANIPULA LA FORMA DE ENTREGAR EL PADRÓN QUE DICE POSEER DE TIANGUIS HACIENDO IMPOSIBLE DE IDENTIFICAR CADA UNO DE LOS TIENGUIS EXISTENTES Y POR OTRO LADO NO DICE CUANTO RECAUDA DE CADA UNO, LO QUE PRESUME UNA COALICIÓN ENTRE LA AUTORIDAD MUNICIPAL Y LOS LIDERES TIANGUISTAS QUE PAGAN MENOS DE LO QUE DEBEN</w:t>
      </w:r>
      <w:r w:rsidRPr="002D560C">
        <w:t>”</w:t>
      </w:r>
      <w:r>
        <w:t xml:space="preserve"> </w:t>
      </w:r>
      <w:r>
        <w:rPr>
          <w:b/>
          <w:bCs/>
        </w:rPr>
        <w:t>(Sic)</w:t>
      </w:r>
    </w:p>
    <w:p w14:paraId="5B263052" w14:textId="77777777" w:rsidR="003406C5" w:rsidRPr="00AA207C" w:rsidRDefault="003406C5" w:rsidP="00AA207C">
      <w:pPr>
        <w:pStyle w:val="Citas"/>
        <w:rPr>
          <w:b/>
        </w:rPr>
      </w:pPr>
    </w:p>
    <w:p w14:paraId="7E88DE81" w14:textId="38083B2A" w:rsidR="006168E4" w:rsidRDefault="002D560C" w:rsidP="00844569">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006168E4" w:rsidRPr="008551ED">
        <w:rPr>
          <w:rFonts w:ascii="Palatino Linotype" w:hAnsi="Palatino Linotype" w:cs="Arial"/>
          <w:b/>
          <w:sz w:val="24"/>
          <w:szCs w:val="24"/>
        </w:rPr>
        <w:t xml:space="preserve">. </w:t>
      </w:r>
      <w:r w:rsidR="006168E4" w:rsidRPr="0087163A">
        <w:rPr>
          <w:rFonts w:ascii="Palatino Linotype" w:hAnsi="Palatino Linotype" w:cs="Arial"/>
          <w:b/>
          <w:sz w:val="28"/>
          <w:szCs w:val="28"/>
        </w:rPr>
        <w:t>Del turno del recurso de revisión.</w:t>
      </w:r>
    </w:p>
    <w:p w14:paraId="63CCE915" w14:textId="1CE5D008" w:rsidR="006168E4" w:rsidRDefault="006168E4" w:rsidP="0084456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w:t>
      </w:r>
      <w:r w:rsidR="0018726A">
        <w:rPr>
          <w:rFonts w:ascii="Palatino Linotype" w:hAnsi="Palatino Linotype" w:cs="Arial"/>
          <w:sz w:val="24"/>
          <w:szCs w:val="24"/>
        </w:rPr>
        <w:t>al Comisionado</w:t>
      </w:r>
      <w:r>
        <w:rPr>
          <w:rFonts w:ascii="Palatino Linotype" w:hAnsi="Palatino Linotype" w:cs="Arial"/>
          <w:sz w:val="24"/>
          <w:szCs w:val="24"/>
        </w:rPr>
        <w:t xml:space="preserve"> </w:t>
      </w:r>
      <w:r w:rsidR="000E5F05">
        <w:rPr>
          <w:rFonts w:ascii="Palatino Linotype" w:hAnsi="Palatino Linotype" w:cs="Arial"/>
          <w:b/>
          <w:sz w:val="24"/>
          <w:szCs w:val="24"/>
        </w:rPr>
        <w:t>José Martínez Vilchis</w:t>
      </w:r>
      <w:r>
        <w:rPr>
          <w:rFonts w:ascii="Palatino Linotype" w:hAnsi="Palatino Linotype" w:cs="Arial"/>
          <w:sz w:val="24"/>
          <w:szCs w:val="24"/>
        </w:rPr>
        <w:t xml:space="preserve">, por medio del sistema electrónico en términos del arábigo 185 fracción I de la Ley de </w:t>
      </w:r>
      <w:r>
        <w:rPr>
          <w:rFonts w:ascii="Palatino Linotype" w:hAnsi="Palatino Linotype" w:cs="Arial"/>
          <w:sz w:val="24"/>
          <w:szCs w:val="24"/>
        </w:rPr>
        <w:lastRenderedPageBreak/>
        <w:t>Transparencia y Acceso a la información Pública del Estado de México y Municipios, del cual recayó acuerdo de admisión en fecha</w:t>
      </w:r>
      <w:r w:rsidR="000E5F05">
        <w:rPr>
          <w:rFonts w:ascii="Palatino Linotype" w:hAnsi="Palatino Linotype" w:cs="Arial"/>
          <w:sz w:val="24"/>
          <w:szCs w:val="24"/>
        </w:rPr>
        <w:t xml:space="preserve"> </w:t>
      </w:r>
      <w:r w:rsidR="002D560C">
        <w:rPr>
          <w:rFonts w:ascii="Palatino Linotype" w:hAnsi="Palatino Linotype" w:cs="Arial"/>
          <w:b/>
          <w:bCs/>
          <w:sz w:val="24"/>
          <w:szCs w:val="24"/>
        </w:rPr>
        <w:t xml:space="preserve">cinco de septiembre de dos mil veintitrés, </w:t>
      </w:r>
      <w:r>
        <w:rPr>
          <w:rFonts w:ascii="Palatino Linotype" w:hAnsi="Palatino Linotype" w:cs="Arial"/>
          <w:sz w:val="24"/>
          <w:szCs w:val="24"/>
        </w:rPr>
        <w:t>determinándose en él, un plazo de siete días para que las partes manifestaran lo que a su derecho corresponda en términos del numeral ya citado.</w:t>
      </w:r>
    </w:p>
    <w:p w14:paraId="4FCAD254" w14:textId="77777777" w:rsidR="005E46D0" w:rsidRDefault="005E46D0" w:rsidP="00844569">
      <w:pPr>
        <w:spacing w:before="240" w:line="360" w:lineRule="auto"/>
        <w:jc w:val="both"/>
        <w:rPr>
          <w:rFonts w:ascii="Palatino Linotype" w:hAnsi="Palatino Linotype" w:cs="Arial"/>
          <w:sz w:val="24"/>
          <w:szCs w:val="24"/>
        </w:rPr>
      </w:pPr>
    </w:p>
    <w:p w14:paraId="4BCFD455" w14:textId="5A4861EB" w:rsidR="006168E4" w:rsidRPr="00B07D6D" w:rsidRDefault="002D560C" w:rsidP="00844569">
      <w:pPr>
        <w:spacing w:before="240" w:line="360" w:lineRule="auto"/>
        <w:jc w:val="both"/>
        <w:rPr>
          <w:rFonts w:ascii="Palatino Linotype" w:hAnsi="Palatino Linotype" w:cs="Arial"/>
          <w:b/>
          <w:sz w:val="24"/>
          <w:szCs w:val="24"/>
        </w:rPr>
      </w:pPr>
      <w:r>
        <w:rPr>
          <w:rFonts w:ascii="Palatino Linotype" w:hAnsi="Palatino Linotype" w:cs="Arial"/>
          <w:b/>
          <w:sz w:val="28"/>
        </w:rPr>
        <w:t>SEXTO</w:t>
      </w:r>
      <w:r w:rsidR="006168E4" w:rsidRPr="00B07D6D">
        <w:rPr>
          <w:rFonts w:ascii="Palatino Linotype" w:hAnsi="Palatino Linotype" w:cs="Arial"/>
          <w:b/>
          <w:sz w:val="24"/>
          <w:szCs w:val="24"/>
        </w:rPr>
        <w:t xml:space="preserve">. </w:t>
      </w:r>
      <w:r w:rsidR="006168E4" w:rsidRPr="00B07D6D">
        <w:rPr>
          <w:rFonts w:ascii="Palatino Linotype" w:hAnsi="Palatino Linotype" w:cs="Arial"/>
          <w:b/>
          <w:sz w:val="28"/>
          <w:szCs w:val="28"/>
        </w:rPr>
        <w:t>De la etapa de instrucción.</w:t>
      </w:r>
    </w:p>
    <w:p w14:paraId="4D68AB8A" w14:textId="6A2E3B7E" w:rsidR="00FC0941" w:rsidRPr="002D560C" w:rsidRDefault="005E46D0" w:rsidP="005E46D0">
      <w:pPr>
        <w:spacing w:before="240" w:line="360" w:lineRule="auto"/>
        <w:jc w:val="both"/>
        <w:rPr>
          <w:rFonts w:ascii="Palatino Linotype" w:hAnsi="Palatino Linotype" w:cs="Arial"/>
          <w:b/>
          <w:bCs/>
          <w:sz w:val="24"/>
          <w:szCs w:val="24"/>
        </w:rPr>
      </w:pPr>
      <w:r w:rsidRPr="00D05C83">
        <w:rPr>
          <w:rFonts w:ascii="Palatino Linotype" w:hAnsi="Palatino Linotype" w:cs="Arial"/>
          <w:sz w:val="24"/>
          <w:szCs w:val="24"/>
        </w:rPr>
        <w:t>Así, una vez transcurr</w:t>
      </w:r>
      <w:r>
        <w:rPr>
          <w:rFonts w:ascii="Palatino Linotype" w:hAnsi="Palatino Linotype" w:cs="Arial"/>
          <w:sz w:val="24"/>
          <w:szCs w:val="24"/>
        </w:rPr>
        <w:t xml:space="preserve">ido el término legal referido, </w:t>
      </w:r>
      <w:r w:rsidR="002B4228">
        <w:rPr>
          <w:rFonts w:ascii="Palatino Linotype" w:hAnsi="Palatino Linotype" w:cs="Arial"/>
          <w:b/>
          <w:bCs/>
          <w:sz w:val="24"/>
          <w:szCs w:val="24"/>
        </w:rPr>
        <w:t xml:space="preserve">El Sujeto Obligado </w:t>
      </w:r>
      <w:r w:rsidR="002D560C">
        <w:rPr>
          <w:rFonts w:ascii="Palatino Linotype" w:hAnsi="Palatino Linotype" w:cs="Arial"/>
          <w:sz w:val="24"/>
          <w:szCs w:val="24"/>
        </w:rPr>
        <w:t xml:space="preserve">rindió su informe justificado en fecha </w:t>
      </w:r>
      <w:r w:rsidR="002D560C">
        <w:rPr>
          <w:rFonts w:ascii="Palatino Linotype" w:hAnsi="Palatino Linotype" w:cs="Arial"/>
          <w:b/>
          <w:bCs/>
          <w:sz w:val="24"/>
          <w:szCs w:val="24"/>
        </w:rPr>
        <w:t xml:space="preserve">catorce de septiembre, </w:t>
      </w:r>
      <w:r w:rsidR="002D560C">
        <w:rPr>
          <w:rFonts w:ascii="Palatino Linotype" w:hAnsi="Palatino Linotype" w:cs="Arial"/>
          <w:sz w:val="24"/>
          <w:szCs w:val="24"/>
        </w:rPr>
        <w:t xml:space="preserve">mismo que fue puesto a la vista el </w:t>
      </w:r>
      <w:r w:rsidR="002D560C">
        <w:rPr>
          <w:rFonts w:ascii="Palatino Linotype" w:hAnsi="Palatino Linotype" w:cs="Arial"/>
          <w:b/>
          <w:bCs/>
          <w:sz w:val="24"/>
          <w:szCs w:val="24"/>
        </w:rPr>
        <w:t xml:space="preserve">veintiséis de septiembre, ambos de dos mil veintitrés. </w:t>
      </w:r>
    </w:p>
    <w:p w14:paraId="62D38638" w14:textId="79A6C68E" w:rsidR="006168E4" w:rsidRDefault="001A2E07" w:rsidP="005E46D0">
      <w:pPr>
        <w:spacing w:before="240" w:line="360" w:lineRule="auto"/>
        <w:jc w:val="both"/>
        <w:rPr>
          <w:rFonts w:ascii="Palatino Linotype" w:hAnsi="Palatino Linotype" w:cs="Arial"/>
          <w:sz w:val="24"/>
          <w:szCs w:val="24"/>
        </w:rPr>
      </w:pPr>
      <w:r>
        <w:rPr>
          <w:rFonts w:ascii="Palatino Linotype" w:hAnsi="Palatino Linotype" w:cs="Arial"/>
          <w:bCs/>
          <w:sz w:val="24"/>
          <w:szCs w:val="24"/>
        </w:rPr>
        <w:t xml:space="preserve">Por lo cual se decretó el cierre de instrucción con fecha </w:t>
      </w:r>
      <w:r w:rsidR="002D560C">
        <w:rPr>
          <w:rFonts w:ascii="Palatino Linotype" w:hAnsi="Palatino Linotype" w:cs="Arial"/>
          <w:b/>
          <w:sz w:val="24"/>
          <w:szCs w:val="24"/>
        </w:rPr>
        <w:t>dos</w:t>
      </w:r>
      <w:r w:rsidR="00FC0941">
        <w:rPr>
          <w:rFonts w:ascii="Palatino Linotype" w:hAnsi="Palatino Linotype" w:cs="Arial"/>
          <w:b/>
          <w:sz w:val="24"/>
          <w:szCs w:val="24"/>
        </w:rPr>
        <w:t xml:space="preserve"> de octubre de dos mil veintitrés, </w:t>
      </w:r>
      <w:r w:rsidR="005E46D0">
        <w:rPr>
          <w:rFonts w:ascii="Palatino Linotype" w:hAnsi="Palatino Linotype" w:cs="Arial"/>
          <w:b/>
          <w:sz w:val="24"/>
          <w:szCs w:val="24"/>
        </w:rPr>
        <w:t>e</w:t>
      </w:r>
      <w:r w:rsidR="005E46D0" w:rsidRPr="00C12209">
        <w:rPr>
          <w:rFonts w:ascii="Palatino Linotype" w:hAnsi="Palatino Linotype" w:cs="Arial"/>
          <w:sz w:val="24"/>
          <w:szCs w:val="24"/>
        </w:rPr>
        <w:t>n términos del artículo 185 Fracción VI de la Ley de Transparencia y Acceso a la Información Pública del Estado de México y Municipios, iniciando el término legal para dictar resolución definitiva del asunto.</w:t>
      </w:r>
    </w:p>
    <w:p w14:paraId="0405D842" w14:textId="206DAB7B" w:rsidR="00FC0941" w:rsidRDefault="00FC0941" w:rsidP="00FC0941">
      <w:pPr>
        <w:spacing w:before="240" w:line="360" w:lineRule="auto"/>
        <w:jc w:val="both"/>
        <w:rPr>
          <w:rFonts w:ascii="Palatino Linotype" w:hAnsi="Palatino Linotype" w:cs="Arial"/>
          <w:sz w:val="24"/>
          <w:szCs w:val="24"/>
        </w:rPr>
      </w:pPr>
      <w:r w:rsidRPr="0036654D">
        <w:rPr>
          <w:rFonts w:ascii="Palatino Linotype" w:hAnsi="Palatino Linotype" w:cs="Arial"/>
          <w:sz w:val="24"/>
          <w:szCs w:val="24"/>
        </w:rPr>
        <w:t>Así, en fecha</w:t>
      </w:r>
      <w:r>
        <w:rPr>
          <w:rFonts w:ascii="Palatino Linotype" w:hAnsi="Palatino Linotype" w:cs="Arial"/>
          <w:sz w:val="24"/>
          <w:szCs w:val="24"/>
        </w:rPr>
        <w:t xml:space="preserve"> </w:t>
      </w:r>
      <w:r w:rsidR="002D560C">
        <w:rPr>
          <w:rFonts w:ascii="Palatino Linotype" w:hAnsi="Palatino Linotype" w:cs="Arial"/>
          <w:b/>
          <w:bCs/>
          <w:sz w:val="24"/>
          <w:szCs w:val="24"/>
        </w:rPr>
        <w:t>diecisiete de octubre</w:t>
      </w:r>
      <w:r>
        <w:rPr>
          <w:rFonts w:ascii="Palatino Linotype" w:hAnsi="Palatino Linotype" w:cs="Arial"/>
          <w:b/>
          <w:bCs/>
          <w:sz w:val="24"/>
          <w:szCs w:val="24"/>
        </w:rPr>
        <w:t xml:space="preserve"> de dos mil veintitrés, </w:t>
      </w:r>
      <w:r w:rsidRPr="005C7C26">
        <w:rPr>
          <w:rFonts w:ascii="Palatino Linotype" w:hAnsi="Palatino Linotype" w:cs="Arial"/>
          <w:sz w:val="24"/>
          <w:szCs w:val="24"/>
        </w:rPr>
        <w:t>e</w:t>
      </w:r>
      <w:r>
        <w:rPr>
          <w:rFonts w:ascii="Palatino Linotype" w:hAnsi="Palatino Linotype" w:cs="Arial"/>
          <w:sz w:val="24"/>
          <w:szCs w:val="24"/>
        </w:rPr>
        <w:t xml:space="preserve">n el expediente electrónico del recurso de revisión </w:t>
      </w:r>
      <w:r>
        <w:rPr>
          <w:rFonts w:ascii="Palatino Linotype" w:hAnsi="Palatino Linotype" w:cs="Arial"/>
          <w:sz w:val="24"/>
        </w:rPr>
        <w:t xml:space="preserve">se amplió plazo para dictar resolución, en términos del </w:t>
      </w:r>
      <w:r w:rsidRPr="0053191B">
        <w:rPr>
          <w:rFonts w:ascii="Palatino Linotype" w:hAnsi="Palatino Linotype" w:cs="Arial"/>
          <w:sz w:val="24"/>
          <w:szCs w:val="24"/>
        </w:rPr>
        <w:t>artículo 181 de la Ley de Transparencia y Acceso a la Información del Estado de México y Municipios.</w:t>
      </w:r>
      <w:r>
        <w:rPr>
          <w:rFonts w:ascii="Palatino Linotype" w:hAnsi="Palatino Linotype" w:cs="Arial"/>
          <w:sz w:val="24"/>
          <w:szCs w:val="24"/>
        </w:rPr>
        <w:t xml:space="preserve"> </w:t>
      </w:r>
    </w:p>
    <w:p w14:paraId="6F4617D7" w14:textId="77777777" w:rsidR="00FC0941" w:rsidRPr="001F3B43" w:rsidRDefault="00FC0941" w:rsidP="00FC0941">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Este organismo garante no pasa por alto justificar, </w:t>
      </w:r>
      <w:r w:rsidRPr="001F3B43">
        <w:rPr>
          <w:rFonts w:ascii="Palatino Linotype" w:hAnsi="Palatino Linotype" w:cstheme="majorHAnsi"/>
          <w:bCs/>
          <w:sz w:val="24"/>
          <w:szCs w:val="24"/>
        </w:rPr>
        <w:t xml:space="preserve">que el plazo para emitir resolución en el presente asunto </w:t>
      </w:r>
      <w:r w:rsidRPr="001F3B43">
        <w:rPr>
          <w:rFonts w:ascii="Palatino Linotype" w:hAnsi="Palatino Linotype" w:cstheme="majorHAnsi"/>
          <w:sz w:val="24"/>
          <w:szCs w:val="24"/>
        </w:rPr>
        <w:t xml:space="preserve">encuentra justificación en el alto número de recursos de revisión recibidos dentro del primer semestre del año dos mil veintidós, que, en comparación con los recibidos el año pasado dentro del mismo periodo, se ha incrementado </w:t>
      </w:r>
      <w:r w:rsidRPr="001F3B43">
        <w:rPr>
          <w:rFonts w:ascii="Palatino Linotype" w:hAnsi="Palatino Linotype" w:cstheme="majorHAnsi"/>
          <w:sz w:val="24"/>
          <w:szCs w:val="24"/>
        </w:rPr>
        <w:lastRenderedPageBreak/>
        <w:t>aproximadamente un 400%, circunstancia atípica que ha rebasado las capacidades técnicas y humanas del personal encargado de la proyección de las resoluciones a dichos medios de impugnación.</w:t>
      </w:r>
    </w:p>
    <w:p w14:paraId="6F0D9853" w14:textId="77777777" w:rsidR="00FC0941" w:rsidRPr="001F3B43" w:rsidRDefault="00FC0941" w:rsidP="00FC0941">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Por ello, es menester precisar que si bien se ha excedido el plazo para resolver el presente medio de impugnación, de conformidad con la ley de la materia, </w:t>
      </w:r>
      <w:r w:rsidRPr="001F3B43">
        <w:rPr>
          <w:rFonts w:ascii="Palatino Linotype" w:hAnsi="Palatino Linotype" w:cstheme="majorHAnsi"/>
          <w:bCs/>
          <w:sz w:val="24"/>
          <w:szCs w:val="24"/>
        </w:rPr>
        <w:t>el plazo para emitir resolución</w:t>
      </w:r>
      <w:r w:rsidRPr="001F3B43">
        <w:rPr>
          <w:rFonts w:ascii="Palatino Linotype" w:hAnsi="Palatino Linotype" w:cstheme="majorHAnsi"/>
          <w:sz w:val="24"/>
          <w:szCs w:val="24"/>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7799A6DA" w14:textId="77777777" w:rsidR="00FC0941" w:rsidRPr="001F3B43" w:rsidRDefault="00FC0941" w:rsidP="00FC0941">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CA2FF64" w14:textId="77777777" w:rsidR="00FC0941" w:rsidRPr="001F3B43" w:rsidRDefault="00FC0941" w:rsidP="00FC0941">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742C8574" w14:textId="77777777" w:rsidR="00FC0941" w:rsidRPr="001F3B43" w:rsidRDefault="00FC0941" w:rsidP="00FC0941">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Por ello, excepcionalmente, si un asunto es resuelto con posterioridad a los plazos señalados por la norma debe analizarse la razonabilidad del tiempo necesario para su resolución, atentos a los siguientes criterios:  </w:t>
      </w:r>
    </w:p>
    <w:p w14:paraId="6B08A315" w14:textId="77777777" w:rsidR="00FC0941" w:rsidRPr="001F3B43" w:rsidRDefault="00FC0941" w:rsidP="00FC0941">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w:t>
      </w:r>
      <w:r>
        <w:rPr>
          <w:rFonts w:ascii="Palatino Linotype" w:hAnsi="Palatino Linotype" w:cstheme="majorHAnsi"/>
          <w:sz w:val="24"/>
          <w:szCs w:val="24"/>
        </w:rPr>
        <w:t xml:space="preserve"> </w:t>
      </w:r>
      <w:r w:rsidRPr="001F3B43">
        <w:rPr>
          <w:rFonts w:ascii="Palatino Linotype" w:hAnsi="Palatino Linotype" w:cstheme="majorHAnsi"/>
          <w:sz w:val="24"/>
          <w:szCs w:val="24"/>
        </w:rPr>
        <w:t>Complejidad del asunto: La complejidad de la prueba, la pluralidad de sujetos procesales, el tiempo transcurrido, las características y contexto del recurso.</w:t>
      </w:r>
    </w:p>
    <w:p w14:paraId="456544DB" w14:textId="77777777" w:rsidR="00FC0941" w:rsidRPr="001F3B43" w:rsidRDefault="00FC0941" w:rsidP="00FC0941">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lastRenderedPageBreak/>
        <w:t>b)     Actividad Procesal del interesado: Acciones u omisiones del interesado.</w:t>
      </w:r>
    </w:p>
    <w:p w14:paraId="590F5282" w14:textId="77777777" w:rsidR="00FC0941" w:rsidRPr="001F3B43" w:rsidRDefault="00FC0941" w:rsidP="00FC0941">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c) </w:t>
      </w:r>
      <w:r>
        <w:rPr>
          <w:rFonts w:ascii="Palatino Linotype" w:hAnsi="Palatino Linotype" w:cstheme="majorHAnsi"/>
          <w:sz w:val="24"/>
          <w:szCs w:val="24"/>
        </w:rPr>
        <w:t xml:space="preserve"> </w:t>
      </w:r>
      <w:r w:rsidRPr="001F3B43">
        <w:rPr>
          <w:rFonts w:ascii="Palatino Linotype" w:hAnsi="Palatino Linotype" w:cstheme="majorHAnsi"/>
          <w:sz w:val="24"/>
          <w:szCs w:val="24"/>
        </w:rPr>
        <w:t>Conducta de la Autoridad: Las Acciones u omisiones realizadas en el procedimiento. Así como si la autoridad actuó con la debida diligencia.</w:t>
      </w:r>
    </w:p>
    <w:p w14:paraId="3BDD33F9" w14:textId="77777777" w:rsidR="00FC0941" w:rsidRPr="001F3B43" w:rsidRDefault="00FC0941" w:rsidP="00FC0941">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d)</w:t>
      </w:r>
      <w:r>
        <w:rPr>
          <w:rFonts w:ascii="Palatino Linotype" w:hAnsi="Palatino Linotype" w:cstheme="majorHAnsi"/>
          <w:sz w:val="24"/>
          <w:szCs w:val="24"/>
        </w:rPr>
        <w:t xml:space="preserve">   </w:t>
      </w:r>
      <w:r w:rsidRPr="001F3B43">
        <w:rPr>
          <w:rFonts w:ascii="Palatino Linotype" w:hAnsi="Palatino Linotype" w:cstheme="majorHAnsi"/>
          <w:sz w:val="24"/>
          <w:szCs w:val="24"/>
        </w:rPr>
        <w:t>La afectación generada en la situación jurídica de la persona involucrada en el proceso: Violación a sus derechos humanos.</w:t>
      </w:r>
    </w:p>
    <w:p w14:paraId="301F9CC4" w14:textId="77777777" w:rsidR="00FC0941" w:rsidRPr="001F3B43" w:rsidRDefault="00FC0941" w:rsidP="00FC0941">
      <w:pPr>
        <w:spacing w:line="360" w:lineRule="auto"/>
        <w:jc w:val="both"/>
        <w:rPr>
          <w:rFonts w:ascii="Palatino Linotype" w:hAnsi="Palatino Linotype" w:cstheme="majorHAnsi"/>
          <w:sz w:val="24"/>
          <w:szCs w:val="24"/>
        </w:rPr>
      </w:pPr>
    </w:p>
    <w:p w14:paraId="47CDE5B7" w14:textId="77777777" w:rsidR="00FC0941" w:rsidRPr="001F3B43" w:rsidRDefault="00FC0941" w:rsidP="00FC0941">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0F28781" w14:textId="77777777" w:rsidR="00FC0941" w:rsidRPr="001F3B43" w:rsidRDefault="00FC0941" w:rsidP="00FC0941">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33453A87" w14:textId="77777777" w:rsidR="00FC0941" w:rsidRPr="001F3B43" w:rsidRDefault="00FC0941" w:rsidP="00FC0941">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w:t>
      </w:r>
      <w:r w:rsidRPr="001F3B43">
        <w:rPr>
          <w:rFonts w:ascii="Palatino Linotype" w:hAnsi="Palatino Linotype" w:cstheme="majorHAnsi"/>
          <w:sz w:val="24"/>
          <w:szCs w:val="24"/>
        </w:rPr>
        <w:lastRenderedPageBreak/>
        <w:t>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1E31EA5" w14:textId="77777777" w:rsidR="00FC0941" w:rsidRPr="001F3B43" w:rsidRDefault="00FC0941" w:rsidP="00FC0941">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Al respecto, también son de considerar los criterios sostenidos por el Cuarto Tribunal Colegiado en Materia Administrativa del Primer Circuito, cuyos rubros y datos de identificación son los siguientes:</w:t>
      </w:r>
    </w:p>
    <w:p w14:paraId="011B4C01" w14:textId="77777777" w:rsidR="00FC0941" w:rsidRPr="001F3B43" w:rsidRDefault="00FC0941" w:rsidP="00FC0941">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“PLAZO RAZONABLE PARA RESOLVER. DIMENSIÓN Y EFECTOS DE ESTE CONCEPTO CUANDO SE ADUCE EXCESIVA CARGA DE TRABAJO.” consultable en el Seminario Judicial de la Federación y su gaceta, con el registro digital 2002351.</w:t>
      </w:r>
    </w:p>
    <w:p w14:paraId="0F3F6E5A" w14:textId="77777777" w:rsidR="00FC0941" w:rsidRPr="001F3B43" w:rsidRDefault="00FC0941" w:rsidP="00FC0941">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“PLAZO RAZONABLE PARA RESOLVER. CONCEPTO Y ELEMENTOS QUE LO INTEGRAN A LA LUZ DEL DERECHO INTERNACIONAL DE LOS DERECHOS HUMANOS.”, visible en el Seminario Judicial de la Federación y su gaceta, con el registro digital 2002350.</w:t>
      </w:r>
    </w:p>
    <w:p w14:paraId="0F792EB6" w14:textId="77777777" w:rsidR="00FC0941" w:rsidRDefault="00FC0941" w:rsidP="00FC0941">
      <w:pPr>
        <w:spacing w:line="360" w:lineRule="auto"/>
        <w:jc w:val="both"/>
        <w:rPr>
          <w:rFonts w:ascii="Palatino Linotype" w:hAnsi="Palatino Linotype" w:cstheme="majorHAnsi"/>
          <w:bCs/>
          <w:sz w:val="24"/>
          <w:szCs w:val="24"/>
        </w:rPr>
      </w:pPr>
      <w:r w:rsidRPr="001F3B43">
        <w:rPr>
          <w:rFonts w:ascii="Palatino Linotype" w:hAnsi="Palatino Linotype" w:cstheme="majorHAnsi"/>
          <w:bCs/>
          <w:sz w:val="24"/>
          <w:szCs w:val="24"/>
        </w:rPr>
        <w:t>Por ello, este organismo garante comprometido con la tutela de los derechos humanos confiados, señala que este exceso del plazo legal para resolver el presente asunto, resulta de carácter excepcional.</w:t>
      </w:r>
    </w:p>
    <w:p w14:paraId="1BAEA35F" w14:textId="77777777" w:rsidR="00FC0941" w:rsidRDefault="00FC0941" w:rsidP="00844569">
      <w:pPr>
        <w:spacing w:before="240" w:line="360" w:lineRule="auto"/>
        <w:jc w:val="center"/>
        <w:rPr>
          <w:rFonts w:ascii="Palatino Linotype" w:hAnsi="Palatino Linotype" w:cs="Arial"/>
          <w:b/>
          <w:sz w:val="24"/>
        </w:rPr>
      </w:pPr>
    </w:p>
    <w:p w14:paraId="67D0FD90" w14:textId="62817692" w:rsidR="006168E4" w:rsidRDefault="006168E4" w:rsidP="00844569">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r w:rsidRPr="00311A15">
        <w:rPr>
          <w:rFonts w:ascii="Palatino Linotype" w:hAnsi="Palatino Linotype" w:cs="Arial"/>
          <w:b/>
          <w:sz w:val="24"/>
        </w:rPr>
        <w:t xml:space="preserve"> </w:t>
      </w:r>
    </w:p>
    <w:p w14:paraId="579C7ABE" w14:textId="77777777" w:rsidR="006168E4" w:rsidRDefault="006168E4" w:rsidP="00844569">
      <w:pPr>
        <w:spacing w:before="240" w:line="360" w:lineRule="auto"/>
        <w:jc w:val="both"/>
        <w:rPr>
          <w:rFonts w:ascii="Palatino Linotype" w:hAnsi="Palatino Linotype" w:cs="Arial"/>
          <w:sz w:val="24"/>
        </w:rPr>
      </w:pPr>
      <w:r w:rsidRPr="00C43323">
        <w:rPr>
          <w:rFonts w:ascii="Palatino Linotype" w:hAnsi="Palatino Linotype" w:cs="Arial"/>
          <w:b/>
          <w:sz w:val="28"/>
        </w:rPr>
        <w:lastRenderedPageBreak/>
        <w:t>PRIMERO.</w:t>
      </w:r>
      <w:r w:rsidRPr="00D24A52">
        <w:rPr>
          <w:rFonts w:ascii="Palatino Linotype" w:hAnsi="Palatino Linotype" w:cs="Arial"/>
          <w:b/>
        </w:rPr>
        <w:t xml:space="preserve"> </w:t>
      </w:r>
      <w:r w:rsidRPr="0087163A">
        <w:rPr>
          <w:rFonts w:ascii="Palatino Linotype" w:hAnsi="Palatino Linotype" w:cs="Arial"/>
          <w:b/>
          <w:sz w:val="28"/>
          <w:szCs w:val="28"/>
        </w:rPr>
        <w:t>De la competencia</w:t>
      </w:r>
      <w:r w:rsidRPr="0087163A">
        <w:rPr>
          <w:rFonts w:ascii="Palatino Linotype" w:hAnsi="Palatino Linotype" w:cs="Arial"/>
          <w:sz w:val="28"/>
          <w:szCs w:val="28"/>
        </w:rPr>
        <w:t>.</w:t>
      </w:r>
    </w:p>
    <w:p w14:paraId="5099FB18" w14:textId="77777777" w:rsidR="003406C5" w:rsidRPr="00121F39" w:rsidRDefault="003406C5" w:rsidP="003406C5">
      <w:pPr>
        <w:spacing w:after="0" w:line="360" w:lineRule="auto"/>
        <w:jc w:val="both"/>
        <w:rPr>
          <w:rFonts w:ascii="Palatino Linotype" w:hAnsi="Palatino Linotype"/>
          <w:sz w:val="24"/>
          <w:szCs w:val="24"/>
        </w:rPr>
      </w:pPr>
      <w:r w:rsidRPr="00121F39">
        <w:rPr>
          <w:rFonts w:ascii="Palatino Linotype" w:hAnsi="Palatino Linotype"/>
          <w:sz w:val="24"/>
          <w:szCs w:val="24"/>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4A0E9978" w14:textId="77777777" w:rsidR="000E5F05" w:rsidRDefault="000E5F05" w:rsidP="00BF01A7">
      <w:pPr>
        <w:spacing w:after="0" w:line="360" w:lineRule="auto"/>
        <w:jc w:val="both"/>
        <w:rPr>
          <w:rFonts w:ascii="Palatino Linotype" w:hAnsi="Palatino Linotype" w:cs="Arial"/>
          <w:sz w:val="24"/>
          <w:szCs w:val="24"/>
        </w:rPr>
      </w:pPr>
    </w:p>
    <w:p w14:paraId="71AC3F8F"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780F37AC"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554D8C3C" w14:textId="77777777" w:rsidR="002D560C" w:rsidRDefault="002D560C" w:rsidP="002D560C">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lastRenderedPageBreak/>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1B09AB9F" w14:textId="77777777" w:rsidR="002D560C" w:rsidRPr="00514E66" w:rsidRDefault="002D560C" w:rsidP="002D560C">
      <w:pPr>
        <w:pStyle w:val="Prrafodelista"/>
        <w:autoSpaceDE w:val="0"/>
        <w:autoSpaceDN w:val="0"/>
        <w:adjustRightInd w:val="0"/>
        <w:spacing w:before="240" w:after="160" w:line="360" w:lineRule="auto"/>
        <w:ind w:left="0"/>
        <w:jc w:val="both"/>
        <w:rPr>
          <w:rFonts w:ascii="Palatino Linotype" w:hAnsi="Palatino Linotype" w:cs="Arial"/>
        </w:rPr>
      </w:pPr>
      <w:r w:rsidRPr="00514E66">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D09B3B9" w14:textId="77777777" w:rsidR="002D560C" w:rsidRDefault="002D560C" w:rsidP="002D560C">
      <w:pPr>
        <w:pStyle w:val="Prrafodelista"/>
        <w:autoSpaceDE w:val="0"/>
        <w:autoSpaceDN w:val="0"/>
        <w:adjustRightInd w:val="0"/>
        <w:spacing w:line="360" w:lineRule="auto"/>
        <w:ind w:left="0"/>
        <w:jc w:val="both"/>
        <w:rPr>
          <w:rFonts w:ascii="Palatino Linotype" w:hAnsi="Palatino Linotype" w:cs="Arial"/>
        </w:rPr>
      </w:pPr>
      <w:r w:rsidRPr="00514E66">
        <w:rPr>
          <w:rFonts w:ascii="Palatino Linotype" w:hAnsi="Palatino Linotype" w:cs="Arial"/>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514E66">
        <w:rPr>
          <w:rStyle w:val="Refdenotaalpie"/>
          <w:rFonts w:ascii="Palatino Linotype" w:hAnsi="Palatino Linotype" w:cs="Arial"/>
        </w:rPr>
        <w:footnoteReference w:id="1"/>
      </w:r>
      <w:r w:rsidRPr="00514E66">
        <w:rPr>
          <w:rFonts w:ascii="Palatino Linotype" w:hAnsi="Palatino Linotype" w:cs="Arial"/>
        </w:rPr>
        <w:t>.</w:t>
      </w:r>
      <w:r>
        <w:rPr>
          <w:rFonts w:ascii="Palatino Linotype" w:hAnsi="Palatino Linotype" w:cs="Arial"/>
        </w:rPr>
        <w:t xml:space="preserve"> Así las cosas, del análisis de los</w:t>
      </w:r>
      <w:r w:rsidRPr="00514E66">
        <w:rPr>
          <w:rFonts w:ascii="Palatino Linotype" w:hAnsi="Palatino Linotype" w:cs="Arial"/>
        </w:rPr>
        <w:t xml:space="preserve"> </w:t>
      </w:r>
      <w:r w:rsidRPr="00514E66">
        <w:rPr>
          <w:rFonts w:ascii="Palatino Linotype" w:hAnsi="Palatino Linotype" w:cs="Arial"/>
        </w:rPr>
        <w:lastRenderedPageBreak/>
        <w:t>expediente</w:t>
      </w:r>
      <w:r>
        <w:rPr>
          <w:rFonts w:ascii="Palatino Linotype" w:hAnsi="Palatino Linotype" w:cs="Arial"/>
        </w:rPr>
        <w:t>s</w:t>
      </w:r>
      <w:r w:rsidRPr="00514E66">
        <w:rPr>
          <w:rFonts w:ascii="Palatino Linotype" w:hAnsi="Palatino Linotype" w:cs="Arial"/>
        </w:rPr>
        <w:t xml:space="preserve"> electrónico</w:t>
      </w:r>
      <w:r>
        <w:rPr>
          <w:rFonts w:ascii="Palatino Linotype" w:hAnsi="Palatino Linotype" w:cs="Arial"/>
        </w:rPr>
        <w:t>s</w:t>
      </w:r>
      <w:r w:rsidRPr="00514E66">
        <w:rPr>
          <w:rFonts w:ascii="Palatino Linotype" w:hAnsi="Palatino Linotype" w:cs="Arial"/>
        </w:rPr>
        <w:t xml:space="preserve"> no se advierte ninguna causa de improcedencia que se actualice ni mucho menos alguna hecha valer por alguna de las partes, procediendo al estudio del fondo del asunto, en los siguientes términos.</w:t>
      </w:r>
    </w:p>
    <w:p w14:paraId="7E9C154B" w14:textId="77777777" w:rsidR="001A2E07" w:rsidRPr="002D560C" w:rsidRDefault="001A2E07" w:rsidP="007B0046">
      <w:pPr>
        <w:tabs>
          <w:tab w:val="left" w:pos="709"/>
        </w:tabs>
        <w:spacing w:before="240" w:line="360" w:lineRule="auto"/>
        <w:ind w:right="51"/>
        <w:jc w:val="both"/>
        <w:rPr>
          <w:rFonts w:ascii="Palatino Linotype" w:hAnsi="Palatino Linotype"/>
          <w:b/>
          <w:sz w:val="28"/>
          <w:szCs w:val="28"/>
          <w:lang w:val="es-ES"/>
        </w:rPr>
      </w:pPr>
    </w:p>
    <w:p w14:paraId="4057BC66" w14:textId="09FE5F56" w:rsidR="007B0046" w:rsidRPr="009A0D0A" w:rsidRDefault="007B0046" w:rsidP="007B0046">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p>
    <w:p w14:paraId="00E379C3" w14:textId="77777777" w:rsidR="007B0046" w:rsidRDefault="007B0046" w:rsidP="007B0046">
      <w:pPr>
        <w:pStyle w:val="Prrafodelista"/>
        <w:autoSpaceDE w:val="0"/>
        <w:autoSpaceDN w:val="0"/>
        <w:adjustRightInd w:val="0"/>
        <w:spacing w:before="240" w:after="160" w:line="360" w:lineRule="auto"/>
        <w:ind w:left="0"/>
        <w:jc w:val="both"/>
        <w:rPr>
          <w:rFonts w:ascii="Palatino Linotype" w:hAnsi="Palatino Linotype" w:cs="Arial"/>
        </w:rPr>
      </w:pPr>
      <w:r w:rsidRPr="00505517">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31C2E61D" w14:textId="77777777" w:rsidR="007B0046" w:rsidRPr="002869E1" w:rsidRDefault="007B0046" w:rsidP="007B0046">
      <w:pPr>
        <w:spacing w:after="0" w:line="360" w:lineRule="auto"/>
        <w:jc w:val="both"/>
        <w:rPr>
          <w:rFonts w:ascii="Palatino Linotype" w:eastAsia="Times New Roman" w:hAnsi="Palatino Linotype" w:cs="Times New Roman"/>
          <w:sz w:val="24"/>
          <w:szCs w:val="24"/>
          <w:lang w:eastAsia="es-ES"/>
        </w:rPr>
      </w:pPr>
      <w:r w:rsidRPr="00505517">
        <w:rPr>
          <w:rFonts w:ascii="Palatino Linotype" w:hAnsi="Palatino Linotype" w:cs="Arial"/>
          <w:sz w:val="24"/>
          <w:szCs w:val="24"/>
        </w:rPr>
        <w:t xml:space="preserve">En este tenor, es necesario subrayar que </w:t>
      </w:r>
      <w:r w:rsidRPr="00505517">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1D02A9D3"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lastRenderedPageBreak/>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0A39C6FB"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593334E"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5B242EA8"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161EDA2C"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38A4761E"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8543637" w14:textId="77777777" w:rsidR="007B0046" w:rsidRPr="006010FE" w:rsidRDefault="007B0046" w:rsidP="007B0046">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lastRenderedPageBreak/>
        <w:t xml:space="preserve">Artículo 24. </w:t>
      </w:r>
    </w:p>
    <w:p w14:paraId="71B0A33C"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20732B09"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7D46C405"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EDAE629"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4EBC6D90" w14:textId="77777777" w:rsidR="007B0046" w:rsidRPr="006E4CCA" w:rsidRDefault="007B0046" w:rsidP="007B0046">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2DC40FC5" w14:textId="77777777" w:rsidR="007B0046" w:rsidRDefault="007B0046" w:rsidP="007B0046">
      <w:pPr>
        <w:spacing w:after="0" w:line="360" w:lineRule="auto"/>
        <w:jc w:val="both"/>
        <w:rPr>
          <w:rFonts w:ascii="Palatino Linotype" w:eastAsia="Times New Roman" w:hAnsi="Palatino Linotype" w:cs="Times New Roman"/>
          <w:sz w:val="24"/>
          <w:szCs w:val="24"/>
          <w:lang w:eastAsia="es-ES"/>
        </w:rPr>
      </w:pPr>
    </w:p>
    <w:p w14:paraId="559DC5F7" w14:textId="77777777" w:rsidR="007B0046" w:rsidRPr="006010FE" w:rsidRDefault="007B0046" w:rsidP="007B0046">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20C086EC" w14:textId="77777777" w:rsidR="007B0046" w:rsidRDefault="007B0046" w:rsidP="007B0046">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2A3ED66A" w14:textId="77777777" w:rsidR="00367CC7" w:rsidRPr="006E4CCA" w:rsidRDefault="00367CC7" w:rsidP="007B0046">
      <w:pPr>
        <w:spacing w:before="240" w:line="360" w:lineRule="auto"/>
        <w:ind w:left="851" w:right="851"/>
        <w:jc w:val="both"/>
        <w:rPr>
          <w:rFonts w:ascii="Palatino Linotype" w:eastAsia="Times New Roman" w:hAnsi="Palatino Linotype" w:cs="Arial"/>
          <w:i/>
          <w:lang w:eastAsia="es-ES"/>
        </w:rPr>
      </w:pPr>
    </w:p>
    <w:p w14:paraId="685AF76E" w14:textId="5B668168" w:rsidR="002D560C" w:rsidRPr="00D61894" w:rsidRDefault="00F95FBD" w:rsidP="00F95FBD">
      <w:pPr>
        <w:autoSpaceDE w:val="0"/>
        <w:autoSpaceDN w:val="0"/>
        <w:adjustRightInd w:val="0"/>
        <w:spacing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Una vez sentado lo anterior, de una interpretación armónica a la solicitud de información </w:t>
      </w:r>
      <w:r w:rsidR="002D560C">
        <w:rPr>
          <w:rFonts w:ascii="Palatino Linotype" w:hAnsi="Palatino Linotype" w:cs="Arial"/>
          <w:b/>
          <w:bCs/>
          <w:sz w:val="24"/>
          <w:szCs w:val="24"/>
        </w:rPr>
        <w:t>00463/CUAUTIZC/IP/2023</w:t>
      </w:r>
      <w:r w:rsidR="00D61894">
        <w:rPr>
          <w:rFonts w:ascii="Palatino Linotype" w:hAnsi="Palatino Linotype" w:cs="Arial"/>
          <w:b/>
          <w:bCs/>
          <w:sz w:val="24"/>
          <w:szCs w:val="24"/>
        </w:rPr>
        <w:t xml:space="preserve">, </w:t>
      </w:r>
      <w:r w:rsidR="00D61894">
        <w:rPr>
          <w:rFonts w:ascii="Palatino Linotype" w:hAnsi="Palatino Linotype" w:cs="Arial"/>
          <w:sz w:val="24"/>
          <w:szCs w:val="24"/>
        </w:rPr>
        <w:t>se desprenden las siguientes consideraciones:</w:t>
      </w:r>
    </w:p>
    <w:p w14:paraId="11466023" w14:textId="77777777" w:rsidR="00F95FBD" w:rsidRPr="00F95FBD" w:rsidRDefault="00F95FBD" w:rsidP="00DA084A">
      <w:pPr>
        <w:pStyle w:val="Prrafodelista"/>
        <w:numPr>
          <w:ilvl w:val="0"/>
          <w:numId w:val="3"/>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Que el derecho de acceso a la información pública estriba en la prerrogativa de carácter constitucional que reconoce la potestad de los ciudadanos para solicitar soportes documentales generados, poseídos o administrados por los </w:t>
      </w:r>
      <w:r>
        <w:rPr>
          <w:rFonts w:ascii="Palatino Linotype" w:hAnsi="Palatino Linotype" w:cs="Arial"/>
          <w:b/>
          <w:bCs/>
        </w:rPr>
        <w:t>Sujetos Obligados.</w:t>
      </w:r>
    </w:p>
    <w:p w14:paraId="5B1B2295" w14:textId="69005FDC" w:rsidR="00D61894" w:rsidRDefault="00F95FBD" w:rsidP="00DA084A">
      <w:pPr>
        <w:pStyle w:val="Prrafodelista"/>
        <w:numPr>
          <w:ilvl w:val="0"/>
          <w:numId w:val="4"/>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Que </w:t>
      </w:r>
      <w:r w:rsidR="00D61894">
        <w:rPr>
          <w:rFonts w:ascii="Palatino Linotype" w:hAnsi="Palatino Linotype" w:cs="Arial"/>
        </w:rPr>
        <w:t xml:space="preserve">fueron formulados </w:t>
      </w:r>
      <w:r w:rsidR="00D61894">
        <w:rPr>
          <w:rFonts w:ascii="Palatino Linotype" w:hAnsi="Palatino Linotype" w:cs="Arial"/>
          <w:b/>
          <w:bCs/>
        </w:rPr>
        <w:t xml:space="preserve">7 -siete- </w:t>
      </w:r>
      <w:r w:rsidR="00D61894">
        <w:rPr>
          <w:rFonts w:ascii="Palatino Linotype" w:hAnsi="Palatino Linotype" w:cs="Arial"/>
        </w:rPr>
        <w:t xml:space="preserve">requerimientos, respecto de los cuales no fue señalado parámetro de inicio y conclusión de la búsqueda de la información. </w:t>
      </w:r>
    </w:p>
    <w:p w14:paraId="09BD04B6" w14:textId="4470AE00" w:rsidR="00FC0941" w:rsidRDefault="00D61894" w:rsidP="00DA084A">
      <w:pPr>
        <w:pStyle w:val="Prrafodelista"/>
        <w:numPr>
          <w:ilvl w:val="0"/>
          <w:numId w:val="4"/>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Que en atención a la naturaleza de los requerimientos </w:t>
      </w:r>
      <w:r>
        <w:rPr>
          <w:rFonts w:ascii="Palatino Linotype" w:hAnsi="Palatino Linotype" w:cs="Arial"/>
          <w:b/>
          <w:bCs/>
        </w:rPr>
        <w:t xml:space="preserve">1 -uno-, 2 -dos-, 3 -tres-, 5 -cinco-, 6 -seis- y 7 -siete- </w:t>
      </w:r>
      <w:r>
        <w:rPr>
          <w:rFonts w:ascii="Palatino Linotype" w:hAnsi="Palatino Linotype" w:cs="Arial"/>
        </w:rPr>
        <w:t xml:space="preserve">deben de ser fijados al treinta y uno de julio de dos mil veintitrés, al corresponder a la fecha en que se ejerció el derecho de acceso a la información pública. </w:t>
      </w:r>
    </w:p>
    <w:p w14:paraId="0E481409" w14:textId="4F7194F8" w:rsidR="000655A3" w:rsidRPr="00994FEC" w:rsidRDefault="000655A3" w:rsidP="00DA084A">
      <w:pPr>
        <w:pStyle w:val="Prrafodelista"/>
        <w:numPr>
          <w:ilvl w:val="0"/>
          <w:numId w:val="6"/>
        </w:numPr>
        <w:autoSpaceDE w:val="0"/>
        <w:autoSpaceDN w:val="0"/>
        <w:adjustRightInd w:val="0"/>
        <w:spacing w:before="240" w:line="360" w:lineRule="auto"/>
        <w:jc w:val="both"/>
        <w:rPr>
          <w:rFonts w:ascii="Palatino Linotype" w:hAnsi="Palatino Linotype"/>
        </w:rPr>
      </w:pPr>
      <w:r w:rsidRPr="00994FEC">
        <w:rPr>
          <w:rFonts w:ascii="Palatino Linotype" w:hAnsi="Palatino Linotype" w:cs="Arial"/>
        </w:rPr>
        <w:t xml:space="preserve">Que, en alusión </w:t>
      </w:r>
      <w:r>
        <w:rPr>
          <w:rFonts w:ascii="Palatino Linotype" w:hAnsi="Palatino Linotype" w:cs="Arial"/>
        </w:rPr>
        <w:t>a todos los requerimientos</w:t>
      </w:r>
      <w:r>
        <w:rPr>
          <w:rFonts w:ascii="Palatino Linotype" w:hAnsi="Palatino Linotype"/>
          <w:b/>
          <w:bCs/>
        </w:rPr>
        <w:t xml:space="preserve">, </w:t>
      </w:r>
      <w:r w:rsidRPr="000655A3">
        <w:rPr>
          <w:rFonts w:ascii="Palatino Linotype" w:hAnsi="Palatino Linotype"/>
        </w:rPr>
        <w:t>el</w:t>
      </w:r>
      <w:r>
        <w:rPr>
          <w:rFonts w:ascii="Palatino Linotype" w:hAnsi="Palatino Linotype"/>
          <w:b/>
          <w:bCs/>
        </w:rPr>
        <w:t xml:space="preserve"> </w:t>
      </w:r>
      <w:r w:rsidRPr="00994FEC">
        <w:rPr>
          <w:rFonts w:ascii="Palatino Linotype" w:hAnsi="Palatino Linotype"/>
        </w:rPr>
        <w:t xml:space="preserve">particular no identifica de forma precisa el documento requerido, bastará con que se remita cualquiera que refleje la información requerida. Al respecto, cobra relevancia el criterio emitido por el Órgano Garante Nacional con número </w:t>
      </w:r>
      <w:r w:rsidRPr="00994FEC">
        <w:rPr>
          <w:rFonts w:ascii="Palatino Linotype" w:hAnsi="Palatino Linotype"/>
          <w:b/>
          <w:bCs/>
        </w:rPr>
        <w:t xml:space="preserve">16/17 </w:t>
      </w:r>
      <w:r w:rsidRPr="00994FEC">
        <w:rPr>
          <w:rFonts w:ascii="Palatino Linotype" w:hAnsi="Palatino Linotype"/>
        </w:rPr>
        <w:t>cuyo rubro y texto disponen a la literalidad lo siguiente:</w:t>
      </w:r>
    </w:p>
    <w:p w14:paraId="7E354AE6" w14:textId="77777777" w:rsidR="000655A3" w:rsidRPr="00AB5B4A" w:rsidRDefault="000655A3" w:rsidP="000655A3">
      <w:pPr>
        <w:pStyle w:val="Citas"/>
        <w:jc w:val="center"/>
        <w:rPr>
          <w:b/>
          <w:bCs/>
          <w:sz w:val="24"/>
          <w:szCs w:val="24"/>
        </w:rPr>
      </w:pPr>
      <w:r w:rsidRPr="00AB5B4A">
        <w:rPr>
          <w:b/>
          <w:bCs/>
          <w:sz w:val="24"/>
          <w:szCs w:val="24"/>
        </w:rPr>
        <w:t>“EXPRESIÓN DOCUMENTAL.</w:t>
      </w:r>
    </w:p>
    <w:p w14:paraId="5D874B25" w14:textId="77777777" w:rsidR="000655A3" w:rsidRPr="00AB5B4A" w:rsidRDefault="000655A3" w:rsidP="000655A3">
      <w:pPr>
        <w:pStyle w:val="Citas"/>
        <w:rPr>
          <w:szCs w:val="24"/>
        </w:rPr>
      </w:pPr>
      <w:r w:rsidRPr="00AB5B4A">
        <w:rPr>
          <w:bCs/>
          <w:szCs w:val="24"/>
        </w:rPr>
        <w:t>Cuando</w:t>
      </w:r>
      <w:r w:rsidRPr="00AB5B4A">
        <w:rPr>
          <w:lang w:val="es-ES"/>
        </w:rPr>
        <w:t xml:space="preserve"> los particulares presenten solicitudes de acceso a la información sin identificar de forma precisa la documentación que pudiera contener la información de su interés, </w:t>
      </w:r>
      <w:r w:rsidRPr="00AB5B4A">
        <w:rPr>
          <w:szCs w:val="24"/>
        </w:rPr>
        <w:t>o bien, la solicitud constituya una consulta,</w:t>
      </w:r>
      <w:r w:rsidRPr="00AB5B4A">
        <w:rPr>
          <w:lang w:val="es-ES"/>
        </w:rPr>
        <w:t xml:space="preserve"> pero la respuesta pudiera obrar en algún documento en poder de los sujetos obligados, éstos deben dar a dichas solicitudes una interpretación que les otorgue una expresión documental. </w:t>
      </w:r>
    </w:p>
    <w:p w14:paraId="2A5AB25E" w14:textId="77777777" w:rsidR="000655A3" w:rsidRPr="00AB5B4A" w:rsidRDefault="000655A3" w:rsidP="000655A3">
      <w:pPr>
        <w:pStyle w:val="Citas"/>
        <w:rPr>
          <w:b/>
        </w:rPr>
      </w:pPr>
      <w:r w:rsidRPr="00AB5B4A">
        <w:rPr>
          <w:b/>
        </w:rPr>
        <w:lastRenderedPageBreak/>
        <w:t>Precedentes:</w:t>
      </w:r>
    </w:p>
    <w:p w14:paraId="74799783" w14:textId="77777777" w:rsidR="000655A3" w:rsidRPr="00AB5B4A" w:rsidRDefault="000655A3" w:rsidP="00DA084A">
      <w:pPr>
        <w:pStyle w:val="Citas"/>
        <w:numPr>
          <w:ilvl w:val="0"/>
          <w:numId w:val="7"/>
        </w:numPr>
        <w:rPr>
          <w:color w:val="000000"/>
        </w:rPr>
      </w:pPr>
      <w:r w:rsidRPr="00AB5B4A">
        <w:t xml:space="preserve">Acceso a la información pública. RRA 0774/16. Sesión del 31 de agosto de 2016. Votación por unanimidad. </w:t>
      </w:r>
      <w:r w:rsidRPr="00AB5B4A">
        <w:rPr>
          <w:rFonts w:eastAsia="Arial"/>
        </w:rPr>
        <w:t>Sin votos disidentes o particulares.</w:t>
      </w:r>
      <w:r w:rsidRPr="00AB5B4A">
        <w:t xml:space="preserve"> Secretaría de Salud. Comisionada Ponente María Patricia Kurczyn Villalobos.</w:t>
      </w:r>
    </w:p>
    <w:p w14:paraId="77B674D9" w14:textId="77777777" w:rsidR="000655A3" w:rsidRPr="00AB5B4A" w:rsidRDefault="000655A3" w:rsidP="00DA084A">
      <w:pPr>
        <w:pStyle w:val="Citas"/>
        <w:numPr>
          <w:ilvl w:val="0"/>
          <w:numId w:val="7"/>
        </w:numPr>
        <w:rPr>
          <w:color w:val="000000"/>
        </w:rPr>
      </w:pPr>
      <w:r w:rsidRPr="00AB5B4A">
        <w:t xml:space="preserve">Acceso a la información pública. RRA 0143/17. Sesión del 22 de febrero de 2017. Votación por unanimidad. </w:t>
      </w:r>
      <w:r w:rsidRPr="00AB5B4A">
        <w:rPr>
          <w:rFonts w:eastAsia="Arial"/>
        </w:rPr>
        <w:t>Sin votos disidentes o particulares.</w:t>
      </w:r>
      <w:r w:rsidRPr="00AB5B4A">
        <w:t xml:space="preserve"> Universidad Autónoma Agraria Antonio Narro. Comisionado Ponente Oscar Mauricio Guerra Ford. </w:t>
      </w:r>
    </w:p>
    <w:p w14:paraId="2DAD9734" w14:textId="77777777" w:rsidR="000655A3" w:rsidRPr="00AB5B4A" w:rsidRDefault="000655A3" w:rsidP="00DA084A">
      <w:pPr>
        <w:pStyle w:val="Citas"/>
        <w:numPr>
          <w:ilvl w:val="0"/>
          <w:numId w:val="7"/>
        </w:numPr>
        <w:rPr>
          <w:color w:val="000000"/>
        </w:rPr>
      </w:pPr>
      <w:r w:rsidRPr="00AB5B4A">
        <w:t xml:space="preserve">Acceso a la información pública. RRA 0540/17. Sesión del 08 de marzo del 2017. Votación por unanimidad. </w:t>
      </w:r>
      <w:r w:rsidRPr="00AB5B4A">
        <w:rPr>
          <w:rFonts w:eastAsia="Arial"/>
        </w:rPr>
        <w:t>Sin votos disidentes o particulares.</w:t>
      </w:r>
      <w:r w:rsidRPr="00AB5B4A">
        <w:t xml:space="preserve"> Secretaría de Economía. Comisionado Ponente Francisco Javier Acuña Llamas. “ </w:t>
      </w:r>
      <w:r w:rsidRPr="00AB5B4A">
        <w:rPr>
          <w:b/>
          <w:bCs/>
        </w:rPr>
        <w:t>(Sic)</w:t>
      </w:r>
    </w:p>
    <w:p w14:paraId="33102AD6" w14:textId="77777777" w:rsidR="000655A3" w:rsidRDefault="000655A3" w:rsidP="000655A3">
      <w:pPr>
        <w:autoSpaceDE w:val="0"/>
        <w:autoSpaceDN w:val="0"/>
        <w:adjustRightInd w:val="0"/>
        <w:spacing w:line="360" w:lineRule="auto"/>
        <w:jc w:val="both"/>
        <w:rPr>
          <w:rFonts w:ascii="Palatino Linotype" w:hAnsi="Palatino Linotype" w:cs="Arial"/>
        </w:rPr>
      </w:pPr>
    </w:p>
    <w:p w14:paraId="1B415587" w14:textId="77777777" w:rsidR="000655A3" w:rsidRPr="0051062B" w:rsidRDefault="000655A3" w:rsidP="000655A3">
      <w:pPr>
        <w:spacing w:before="240" w:line="360" w:lineRule="auto"/>
        <w:jc w:val="both"/>
        <w:rPr>
          <w:rFonts w:ascii="Palatino Linotype" w:hAnsi="Palatino Linotype"/>
          <w:sz w:val="24"/>
          <w:szCs w:val="24"/>
        </w:rPr>
      </w:pPr>
      <w:r w:rsidRPr="00A44FBE">
        <w:rPr>
          <w:rFonts w:ascii="Palatino Linotype" w:hAnsi="Palatino Linotype"/>
          <w:sz w:val="24"/>
          <w:szCs w:val="24"/>
        </w:rPr>
        <w:t xml:space="preserve">Dichas precisiones, con fundamento </w:t>
      </w:r>
      <w:r w:rsidRPr="0051062B">
        <w:rPr>
          <w:rFonts w:ascii="Palatino Linotype" w:hAnsi="Palatino Linotype"/>
          <w:sz w:val="24"/>
          <w:szCs w:val="24"/>
        </w:rPr>
        <w:t xml:space="preserve">en los artículos 13 y 181 cuarto párrafo de la Ley en materia, los cuales a la letra rezan: </w:t>
      </w:r>
    </w:p>
    <w:p w14:paraId="347AE9AB" w14:textId="77777777" w:rsidR="000655A3" w:rsidRPr="0051062B" w:rsidRDefault="000655A3" w:rsidP="000655A3">
      <w:pPr>
        <w:pStyle w:val="Citas"/>
      </w:pPr>
      <w:r w:rsidRPr="0051062B">
        <w:rPr>
          <w:b/>
          <w:bCs/>
        </w:rPr>
        <w:t xml:space="preserve">“Artículo 13. </w:t>
      </w:r>
      <w:r w:rsidRPr="0051062B">
        <w:t>El Instituto, en el ámbito de sus atribuciones, deberá suplir cualquier deficiencia para garantizar el ejercicio del derecho de acceso a la información.</w:t>
      </w:r>
    </w:p>
    <w:p w14:paraId="6A6325DA" w14:textId="77777777" w:rsidR="000655A3" w:rsidRPr="0051062B" w:rsidRDefault="000655A3" w:rsidP="000655A3">
      <w:pPr>
        <w:pStyle w:val="Citas"/>
        <w:rPr>
          <w:b/>
        </w:rPr>
      </w:pPr>
      <w:r w:rsidRPr="0051062B">
        <w:rPr>
          <w:b/>
        </w:rPr>
        <w:t xml:space="preserve">Artículo 181. … </w:t>
      </w:r>
    </w:p>
    <w:p w14:paraId="78B00923" w14:textId="77777777" w:rsidR="000655A3" w:rsidRDefault="000655A3" w:rsidP="000655A3">
      <w:pPr>
        <w:pStyle w:val="Citas"/>
        <w:rPr>
          <w:b/>
        </w:rPr>
      </w:pPr>
      <w:r w:rsidRPr="0051062B">
        <w:t xml:space="preserve">Durante el procedimiento deberá aplicarse la suplencia de la queja a favor del recurrente, sin cambiar los hechos expuestos, asegurándose de que las partes puedan </w:t>
      </w:r>
      <w:r w:rsidRPr="0051062B">
        <w:lastRenderedPageBreak/>
        <w:t xml:space="preserve">presentar, de manera oral o escrita, los argumentos que funden y motiven sus pretensiones.” </w:t>
      </w:r>
      <w:r w:rsidRPr="0051062B">
        <w:rPr>
          <w:b/>
        </w:rPr>
        <w:t>[Sic]</w:t>
      </w:r>
    </w:p>
    <w:p w14:paraId="7049B86E" w14:textId="77777777" w:rsidR="000655A3" w:rsidRDefault="000655A3" w:rsidP="000655A3">
      <w:pPr>
        <w:autoSpaceDE w:val="0"/>
        <w:autoSpaceDN w:val="0"/>
        <w:adjustRightInd w:val="0"/>
        <w:spacing w:line="360" w:lineRule="auto"/>
        <w:jc w:val="both"/>
        <w:rPr>
          <w:rFonts w:ascii="Palatino Linotype" w:hAnsi="Palatino Linotype" w:cs="Arial"/>
        </w:rPr>
      </w:pPr>
    </w:p>
    <w:p w14:paraId="15AEE046" w14:textId="2CA03E07" w:rsidR="00D61894" w:rsidRPr="000655A3" w:rsidRDefault="000655A3" w:rsidP="000655A3">
      <w:pPr>
        <w:autoSpaceDE w:val="0"/>
        <w:autoSpaceDN w:val="0"/>
        <w:adjustRightInd w:val="0"/>
        <w:spacing w:line="360" w:lineRule="auto"/>
        <w:jc w:val="both"/>
        <w:rPr>
          <w:rFonts w:ascii="Palatino Linotype" w:hAnsi="Palatino Linotype" w:cs="Arial"/>
          <w:sz w:val="24"/>
          <w:szCs w:val="24"/>
        </w:rPr>
      </w:pPr>
      <w:r w:rsidRPr="00C964B1">
        <w:rPr>
          <w:rFonts w:ascii="Palatino Linotype" w:hAnsi="Palatino Linotype" w:cs="Arial"/>
          <w:sz w:val="24"/>
          <w:szCs w:val="24"/>
        </w:rPr>
        <w:t xml:space="preserve">Ahora bien, con relación al </w:t>
      </w:r>
      <w:r>
        <w:rPr>
          <w:rFonts w:ascii="Palatino Linotype" w:hAnsi="Palatino Linotype" w:cs="Arial"/>
          <w:sz w:val="24"/>
          <w:szCs w:val="24"/>
        </w:rPr>
        <w:t>cuarto</w:t>
      </w:r>
      <w:r w:rsidRPr="00C964B1">
        <w:rPr>
          <w:rFonts w:ascii="Palatino Linotype" w:hAnsi="Palatino Linotype" w:cs="Arial"/>
          <w:sz w:val="24"/>
          <w:szCs w:val="24"/>
        </w:rPr>
        <w:t xml:space="preserve"> requerimiento</w:t>
      </w:r>
      <w:r>
        <w:rPr>
          <w:rFonts w:ascii="Palatino Linotype" w:hAnsi="Palatino Linotype" w:cs="Arial"/>
          <w:sz w:val="24"/>
          <w:szCs w:val="24"/>
        </w:rPr>
        <w:t xml:space="preserve"> </w:t>
      </w:r>
      <w:r w:rsidRPr="00C964B1">
        <w:rPr>
          <w:rFonts w:ascii="Palatino Linotype" w:hAnsi="Palatino Linotype" w:cs="Arial"/>
          <w:sz w:val="24"/>
          <w:szCs w:val="24"/>
        </w:rPr>
        <w:t xml:space="preserve">resulta </w:t>
      </w:r>
      <w:r w:rsidRPr="00C964B1">
        <w:rPr>
          <w:rFonts w:ascii="Palatino Linotype" w:hAnsi="Palatino Linotype" w:cs="Arial"/>
          <w:sz w:val="24"/>
          <w:szCs w:val="24"/>
          <w:lang w:val="es-ES"/>
        </w:rPr>
        <w:t xml:space="preserve">óbice destacar que </w:t>
      </w:r>
      <w:r w:rsidRPr="00C964B1">
        <w:rPr>
          <w:rFonts w:ascii="Palatino Linotype" w:hAnsi="Palatino Linotype" w:cs="Arial"/>
          <w:sz w:val="24"/>
          <w:szCs w:val="24"/>
        </w:rPr>
        <w:t>no fue delimitado un parámetro de inicio y conclusión de búsqueda de la información. En este tenor, debe de ser fijado del periodo comprendido del</w:t>
      </w:r>
      <w:r>
        <w:rPr>
          <w:rFonts w:ascii="Palatino Linotype" w:hAnsi="Palatino Linotype" w:cs="Arial"/>
          <w:sz w:val="24"/>
          <w:szCs w:val="24"/>
        </w:rPr>
        <w:t xml:space="preserve"> </w:t>
      </w:r>
      <w:r w:rsidR="00D61894" w:rsidRPr="000655A3">
        <w:rPr>
          <w:rFonts w:ascii="Palatino Linotype" w:hAnsi="Palatino Linotype" w:cs="Arial"/>
          <w:sz w:val="24"/>
          <w:szCs w:val="24"/>
        </w:rPr>
        <w:t xml:space="preserve">treinta y uno de julio de dos mil veintidós al treinta y uno de julio de dos mil veintitrés, éste último al corresponder a la fecha en que se ejerció el </w:t>
      </w:r>
      <w:r w:rsidRPr="000655A3">
        <w:rPr>
          <w:rFonts w:ascii="Palatino Linotype" w:hAnsi="Palatino Linotype" w:cs="Arial"/>
          <w:sz w:val="24"/>
          <w:szCs w:val="24"/>
        </w:rPr>
        <w:t>derecho de acceso a la información pública.</w:t>
      </w:r>
    </w:p>
    <w:p w14:paraId="4B614AE9" w14:textId="77777777" w:rsidR="000655A3" w:rsidRPr="00846137" w:rsidRDefault="000655A3" w:rsidP="000655A3">
      <w:pPr>
        <w:pStyle w:val="Sinespaciado"/>
        <w:spacing w:line="360" w:lineRule="auto"/>
        <w:jc w:val="both"/>
        <w:rPr>
          <w:rFonts w:ascii="Palatino Linotype" w:hAnsi="Palatino Linotype"/>
        </w:rPr>
      </w:pPr>
      <w:r w:rsidRPr="00846137">
        <w:rPr>
          <w:rFonts w:ascii="Palatino Linotype" w:hAnsi="Palatino Linotype"/>
        </w:rPr>
        <w:t xml:space="preserve">Robustece lo anterior el criterio </w:t>
      </w:r>
      <w:r w:rsidRPr="00846137">
        <w:rPr>
          <w:rFonts w:ascii="Palatino Linotype" w:hAnsi="Palatino Linotype"/>
          <w:b/>
        </w:rPr>
        <w:t xml:space="preserve">3/19 </w:t>
      </w:r>
      <w:r w:rsidRPr="00846137">
        <w:rPr>
          <w:rFonts w:ascii="Palatino Linotype" w:hAnsi="Palatino Linotype"/>
        </w:rPr>
        <w:t xml:space="preserve">emitido por el Instituto Nacional de Transparencia, Acceso a la Información y Protección de Datos Personales, que dispone a la literalidad lo siguiente: </w:t>
      </w:r>
    </w:p>
    <w:p w14:paraId="6E83B518" w14:textId="77777777" w:rsidR="000655A3" w:rsidRPr="00846137" w:rsidRDefault="000655A3" w:rsidP="000655A3">
      <w:pPr>
        <w:pStyle w:val="Citas"/>
        <w:ind w:left="780"/>
        <w:jc w:val="center"/>
        <w:rPr>
          <w:b/>
        </w:rPr>
      </w:pPr>
      <w:r w:rsidRPr="00846137">
        <w:rPr>
          <w:b/>
        </w:rPr>
        <w:t>“PERIODO DE BÚSQUEDA DE LA INFORMACIÓN.</w:t>
      </w:r>
    </w:p>
    <w:p w14:paraId="4DC73B80" w14:textId="77777777" w:rsidR="000655A3" w:rsidRPr="00846137" w:rsidRDefault="000655A3" w:rsidP="000655A3">
      <w:pPr>
        <w:pStyle w:val="Citas"/>
        <w:ind w:left="780"/>
      </w:pPr>
      <w:r w:rsidRPr="00846137">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6F4278FC" w14:textId="77777777" w:rsidR="000655A3" w:rsidRPr="00846137" w:rsidRDefault="000655A3" w:rsidP="000655A3">
      <w:pPr>
        <w:pStyle w:val="Citas"/>
        <w:ind w:left="780"/>
      </w:pPr>
      <w:r w:rsidRPr="00846137">
        <w:rPr>
          <w:b/>
          <w:spacing w:val="-1"/>
        </w:rPr>
        <w:t>R</w:t>
      </w:r>
      <w:r w:rsidRPr="00846137">
        <w:rPr>
          <w:b/>
        </w:rPr>
        <w:t>e</w:t>
      </w:r>
      <w:r w:rsidRPr="00846137">
        <w:rPr>
          <w:b/>
          <w:spacing w:val="-1"/>
        </w:rPr>
        <w:t>s</w:t>
      </w:r>
      <w:r w:rsidRPr="00846137">
        <w:rPr>
          <w:b/>
        </w:rPr>
        <w:t>olucion</w:t>
      </w:r>
      <w:r w:rsidRPr="00846137">
        <w:rPr>
          <w:b/>
          <w:spacing w:val="-1"/>
        </w:rPr>
        <w:t>es</w:t>
      </w:r>
    </w:p>
    <w:p w14:paraId="6428536E" w14:textId="77777777" w:rsidR="000655A3" w:rsidRPr="00846137" w:rsidRDefault="000655A3" w:rsidP="000655A3">
      <w:pPr>
        <w:pStyle w:val="Citas"/>
        <w:ind w:left="780"/>
        <w:rPr>
          <w:rFonts w:eastAsia="Symbol"/>
        </w:rPr>
      </w:pPr>
      <w:r w:rsidRPr="00846137">
        <w:rPr>
          <w:b/>
          <w:spacing w:val="-1"/>
        </w:rPr>
        <w:t>R</w:t>
      </w:r>
      <w:r w:rsidRPr="00846137">
        <w:rPr>
          <w:b/>
          <w:spacing w:val="3"/>
        </w:rPr>
        <w:t>R</w:t>
      </w:r>
      <w:r w:rsidRPr="00846137">
        <w:rPr>
          <w:b/>
        </w:rPr>
        <w:t>A</w:t>
      </w:r>
      <w:r w:rsidRPr="00846137">
        <w:rPr>
          <w:b/>
          <w:spacing w:val="5"/>
        </w:rPr>
        <w:t xml:space="preserve"> 0022</w:t>
      </w:r>
      <w:r w:rsidRPr="00846137">
        <w:rPr>
          <w:b/>
          <w:spacing w:val="-1"/>
        </w:rPr>
        <w:t>/17</w:t>
      </w:r>
      <w:r w:rsidRPr="00846137">
        <w:rPr>
          <w:b/>
        </w:rPr>
        <w:t>.</w:t>
      </w:r>
      <w:r w:rsidRPr="00846137">
        <w:rPr>
          <w:b/>
          <w:spacing w:val="15"/>
        </w:rPr>
        <w:t xml:space="preserve"> </w:t>
      </w:r>
      <w:r w:rsidRPr="00846137">
        <w:rPr>
          <w:spacing w:val="-1"/>
        </w:rPr>
        <w:t>Instituto Mexicano de la Propiedad Industrial</w:t>
      </w:r>
      <w:r w:rsidRPr="00846137">
        <w:t>.</w:t>
      </w:r>
      <w:r w:rsidRPr="00846137">
        <w:rPr>
          <w:spacing w:val="4"/>
        </w:rPr>
        <w:t xml:space="preserve"> 16 de febrero de 2017. Por unanimidad. </w:t>
      </w:r>
      <w:r w:rsidRPr="00846137">
        <w:rPr>
          <w:spacing w:val="-1"/>
        </w:rPr>
        <w:t>C</w:t>
      </w:r>
      <w:r w:rsidRPr="00846137">
        <w:t>omis</w:t>
      </w:r>
      <w:r w:rsidRPr="00846137">
        <w:rPr>
          <w:spacing w:val="-2"/>
        </w:rPr>
        <w:t>i</w:t>
      </w:r>
      <w:r w:rsidRPr="00846137">
        <w:t>o</w:t>
      </w:r>
      <w:r w:rsidRPr="00846137">
        <w:rPr>
          <w:spacing w:val="1"/>
        </w:rPr>
        <w:t>n</w:t>
      </w:r>
      <w:r w:rsidRPr="00846137">
        <w:t>a</w:t>
      </w:r>
      <w:r w:rsidRPr="00846137">
        <w:rPr>
          <w:spacing w:val="-1"/>
        </w:rPr>
        <w:t>d</w:t>
      </w:r>
      <w:r w:rsidRPr="00846137">
        <w:t>o</w:t>
      </w:r>
      <w:r w:rsidRPr="00846137">
        <w:rPr>
          <w:spacing w:val="3"/>
        </w:rPr>
        <w:t xml:space="preserve"> </w:t>
      </w:r>
      <w:r w:rsidRPr="00846137">
        <w:rPr>
          <w:spacing w:val="-1"/>
        </w:rPr>
        <w:t>P</w:t>
      </w:r>
      <w:r w:rsidRPr="00846137">
        <w:t>o</w:t>
      </w:r>
      <w:r w:rsidRPr="00846137">
        <w:rPr>
          <w:spacing w:val="-1"/>
        </w:rPr>
        <w:t>n</w:t>
      </w:r>
      <w:r w:rsidRPr="00846137">
        <w:t>e</w:t>
      </w:r>
      <w:r w:rsidRPr="00846137">
        <w:rPr>
          <w:spacing w:val="-1"/>
        </w:rPr>
        <w:t>n</w:t>
      </w:r>
      <w:r w:rsidRPr="00846137">
        <w:rPr>
          <w:spacing w:val="1"/>
        </w:rPr>
        <w:t>t</w:t>
      </w:r>
      <w:r w:rsidRPr="00846137">
        <w:t>e Francisco Javier Acuña Llamas.</w:t>
      </w:r>
    </w:p>
    <w:p w14:paraId="7A1594C6" w14:textId="4B397C8C" w:rsidR="000655A3" w:rsidRPr="00846137" w:rsidRDefault="00DA084A" w:rsidP="000655A3">
      <w:pPr>
        <w:pStyle w:val="Citas"/>
        <w:ind w:left="780"/>
        <w:rPr>
          <w:rFonts w:eastAsia="Symbol"/>
        </w:rPr>
      </w:pPr>
      <w:hyperlink r:id="rId8" w:history="1">
        <w:r w:rsidR="000655A3" w:rsidRPr="00077391">
          <w:rPr>
            <w:rStyle w:val="Hipervnculo"/>
            <w:rFonts w:eastAsia="Symbol"/>
          </w:rPr>
          <w:t>http://consultas.ifai.org.mx/descargar.php?r=./pdf/resoluciones/2017/&amp;a=RRA%2022.pdf</w:t>
        </w:r>
      </w:hyperlink>
      <w:r w:rsidR="000655A3" w:rsidRPr="00846137">
        <w:rPr>
          <w:rFonts w:eastAsia="Symbol"/>
        </w:rPr>
        <w:t xml:space="preserve"> </w:t>
      </w:r>
    </w:p>
    <w:p w14:paraId="28F96CC3" w14:textId="77777777" w:rsidR="000655A3" w:rsidRPr="00846137" w:rsidRDefault="000655A3" w:rsidP="000655A3">
      <w:pPr>
        <w:pStyle w:val="Citas"/>
        <w:ind w:left="780"/>
        <w:rPr>
          <w:b/>
          <w:spacing w:val="-1"/>
        </w:rPr>
      </w:pPr>
      <w:r w:rsidRPr="00846137">
        <w:rPr>
          <w:b/>
          <w:spacing w:val="-1"/>
        </w:rPr>
        <w:lastRenderedPageBreak/>
        <w:t>R</w:t>
      </w:r>
      <w:r w:rsidRPr="00846137">
        <w:rPr>
          <w:b/>
          <w:spacing w:val="3"/>
        </w:rPr>
        <w:t>R</w:t>
      </w:r>
      <w:r w:rsidRPr="00846137">
        <w:rPr>
          <w:b/>
        </w:rPr>
        <w:t>A</w:t>
      </w:r>
      <w:r w:rsidRPr="00846137">
        <w:rPr>
          <w:b/>
          <w:spacing w:val="43"/>
        </w:rPr>
        <w:t xml:space="preserve"> </w:t>
      </w:r>
      <w:r w:rsidRPr="00846137">
        <w:rPr>
          <w:b/>
          <w:spacing w:val="5"/>
        </w:rPr>
        <w:t>2536</w:t>
      </w:r>
      <w:r w:rsidRPr="00846137">
        <w:rPr>
          <w:b/>
          <w:spacing w:val="1"/>
        </w:rPr>
        <w:t>/</w:t>
      </w:r>
      <w:r w:rsidRPr="00846137">
        <w:rPr>
          <w:b/>
        </w:rPr>
        <w:t xml:space="preserve">17. </w:t>
      </w:r>
      <w:r w:rsidRPr="00846137">
        <w:rPr>
          <w:spacing w:val="-1"/>
        </w:rPr>
        <w:t>Secretaría de Gobernación</w:t>
      </w:r>
      <w:r w:rsidRPr="00846137">
        <w:t>. 07 de junio de 2017. Por unanimidad. Comisionada Ponente Areli Cano Guadiana.</w:t>
      </w:r>
      <w:r w:rsidRPr="00846137">
        <w:rPr>
          <w:spacing w:val="-1"/>
          <w:position w:val="5"/>
        </w:rPr>
        <w:t xml:space="preserve"> </w:t>
      </w:r>
    </w:p>
    <w:p w14:paraId="03CE3FFF" w14:textId="46FAC9D0" w:rsidR="000655A3" w:rsidRPr="00846137" w:rsidRDefault="00DA084A" w:rsidP="000655A3">
      <w:pPr>
        <w:pStyle w:val="Citas"/>
        <w:ind w:left="780"/>
        <w:rPr>
          <w:spacing w:val="-1"/>
        </w:rPr>
      </w:pPr>
      <w:hyperlink r:id="rId9" w:history="1">
        <w:r w:rsidR="000655A3" w:rsidRPr="00077391">
          <w:rPr>
            <w:rStyle w:val="Hipervnculo"/>
            <w:rFonts w:eastAsia="Arial"/>
            <w:spacing w:val="-1"/>
          </w:rPr>
          <w:t>http://consultas.ifai.org.mx/descargar.php?r=./pdf/resoluciones/2017/&amp;a=RRA%202536.pdf</w:t>
        </w:r>
      </w:hyperlink>
      <w:r w:rsidR="000655A3" w:rsidRPr="00846137">
        <w:rPr>
          <w:spacing w:val="-1"/>
        </w:rPr>
        <w:t xml:space="preserve"> </w:t>
      </w:r>
    </w:p>
    <w:p w14:paraId="1A79D43C" w14:textId="77777777" w:rsidR="000655A3" w:rsidRPr="00846137" w:rsidRDefault="000655A3" w:rsidP="000655A3">
      <w:pPr>
        <w:pStyle w:val="Citas"/>
        <w:ind w:left="780"/>
        <w:rPr>
          <w:bCs/>
        </w:rPr>
      </w:pPr>
      <w:r w:rsidRPr="00846137">
        <w:rPr>
          <w:b/>
          <w:spacing w:val="-1"/>
          <w:position w:val="-1"/>
        </w:rPr>
        <w:t>R</w:t>
      </w:r>
      <w:r w:rsidRPr="00846137">
        <w:rPr>
          <w:b/>
          <w:spacing w:val="3"/>
          <w:position w:val="-1"/>
        </w:rPr>
        <w:t>R</w:t>
      </w:r>
      <w:r w:rsidRPr="00846137">
        <w:rPr>
          <w:b/>
          <w:position w:val="-1"/>
        </w:rPr>
        <w:t xml:space="preserve">A </w:t>
      </w:r>
      <w:r w:rsidRPr="00846137">
        <w:rPr>
          <w:b/>
          <w:spacing w:val="-1"/>
          <w:position w:val="-1"/>
        </w:rPr>
        <w:t>3482/17</w:t>
      </w:r>
      <w:r w:rsidRPr="00846137">
        <w:rPr>
          <w:b/>
          <w:position w:val="-1"/>
        </w:rPr>
        <w:t xml:space="preserve">. </w:t>
      </w:r>
      <w:r w:rsidRPr="00846137">
        <w:rPr>
          <w:spacing w:val="-1"/>
          <w:position w:val="-1"/>
        </w:rPr>
        <w:t>Secretaría de Comunicaciones y Transportes</w:t>
      </w:r>
      <w:r w:rsidRPr="00846137">
        <w:rPr>
          <w:position w:val="-1"/>
        </w:rPr>
        <w:t>. 02 de agosto de 2017. Por unanimidad. Comisionado Ponente Oscar Mauricio Guerra Ford</w:t>
      </w:r>
      <w:r w:rsidRPr="00846137">
        <w:rPr>
          <w:bCs/>
        </w:rPr>
        <w:t>.</w:t>
      </w:r>
    </w:p>
    <w:p w14:paraId="4ECFB6EC" w14:textId="3A45378C" w:rsidR="000655A3" w:rsidRPr="000655A3" w:rsidRDefault="00DA084A" w:rsidP="000655A3">
      <w:pPr>
        <w:pStyle w:val="Citas"/>
        <w:ind w:left="780"/>
      </w:pPr>
      <w:hyperlink r:id="rId10" w:history="1">
        <w:r w:rsidR="000655A3" w:rsidRPr="000655A3">
          <w:rPr>
            <w:rStyle w:val="Hipervnculo"/>
            <w:bCs/>
          </w:rPr>
          <w:t>http://consultas.ifai.org.mx/descargar.php?r=./pdf/resoluciones/2017/&amp;a=RRA%203482.pdf</w:t>
        </w:r>
      </w:hyperlink>
      <w:r w:rsidR="000655A3" w:rsidRPr="000655A3">
        <w:rPr>
          <w:rStyle w:val="Hipervnculo"/>
          <w:bCs/>
        </w:rPr>
        <w:t xml:space="preserve">” </w:t>
      </w:r>
      <w:r w:rsidR="000655A3" w:rsidRPr="000655A3">
        <w:rPr>
          <w:rStyle w:val="Hipervnculo"/>
          <w:b/>
          <w:bCs/>
          <w:color w:val="auto"/>
          <w:u w:val="none"/>
        </w:rPr>
        <w:t>[Sic]</w:t>
      </w:r>
    </w:p>
    <w:p w14:paraId="1422D3FB" w14:textId="77777777" w:rsidR="000655A3" w:rsidRDefault="000655A3" w:rsidP="007E0EE4">
      <w:pPr>
        <w:spacing w:before="240" w:line="360" w:lineRule="auto"/>
        <w:jc w:val="both"/>
        <w:rPr>
          <w:rFonts w:ascii="Palatino Linotype" w:hAnsi="Palatino Linotype"/>
          <w:sz w:val="24"/>
          <w:szCs w:val="24"/>
        </w:rPr>
      </w:pPr>
    </w:p>
    <w:p w14:paraId="1A2C71D7" w14:textId="1A784CB1" w:rsidR="007E0EE4" w:rsidRDefault="007E0EE4" w:rsidP="007E0EE4">
      <w:pPr>
        <w:spacing w:before="240" w:line="360" w:lineRule="auto"/>
        <w:jc w:val="both"/>
        <w:rPr>
          <w:rFonts w:ascii="Palatino Linotype" w:hAnsi="Palatino Linotype"/>
          <w:sz w:val="24"/>
          <w:szCs w:val="24"/>
        </w:rPr>
      </w:pPr>
      <w:bookmarkStart w:id="1" w:name="_Hlk153886516"/>
      <w:r>
        <w:rPr>
          <w:rFonts w:ascii="Palatino Linotype" w:hAnsi="Palatino Linotype"/>
          <w:sz w:val="24"/>
          <w:szCs w:val="24"/>
        </w:rPr>
        <w:t xml:space="preserve">Bajo estas líneas argumentativas, al retomar y delimitar los requerimientos formulados por el ahora </w:t>
      </w:r>
      <w:r>
        <w:rPr>
          <w:rFonts w:ascii="Palatino Linotype" w:hAnsi="Palatino Linotype"/>
          <w:b/>
          <w:bCs/>
          <w:sz w:val="24"/>
          <w:szCs w:val="24"/>
        </w:rPr>
        <w:t xml:space="preserve">Recurrente, </w:t>
      </w:r>
      <w:r>
        <w:rPr>
          <w:rFonts w:ascii="Palatino Linotype" w:hAnsi="Palatino Linotype"/>
          <w:sz w:val="24"/>
          <w:szCs w:val="24"/>
        </w:rPr>
        <w:t xml:space="preserve">de manera objetiva se precisa que versa en conocer la siguiente información: </w:t>
      </w:r>
    </w:p>
    <w:p w14:paraId="131D6FBB" w14:textId="094543CC" w:rsidR="00994FEC" w:rsidRDefault="002D560C" w:rsidP="00DA084A">
      <w:pPr>
        <w:pStyle w:val="Prrafodelista"/>
        <w:numPr>
          <w:ilvl w:val="0"/>
          <w:numId w:val="5"/>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El o los documentos donde conste el número de tianguis o mercados sobre ruedas, al treinta y uno de julio de dos mil veintitrés. </w:t>
      </w:r>
    </w:p>
    <w:p w14:paraId="4CACFB44" w14:textId="7BF3EB4C" w:rsidR="002D560C" w:rsidRDefault="002D560C" w:rsidP="00DA084A">
      <w:pPr>
        <w:pStyle w:val="Prrafodelista"/>
        <w:numPr>
          <w:ilvl w:val="0"/>
          <w:numId w:val="5"/>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El o los documentos donde conste el número de puestos que integra cada tianguis o mercado sobre ruedas, al treinta y uno de julio de dos mil veintitrés. </w:t>
      </w:r>
    </w:p>
    <w:p w14:paraId="78A44528" w14:textId="6A98A611" w:rsidR="002D560C" w:rsidRDefault="002D560C" w:rsidP="00DA084A">
      <w:pPr>
        <w:pStyle w:val="Prrafodelista"/>
        <w:numPr>
          <w:ilvl w:val="0"/>
          <w:numId w:val="5"/>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El o los documentos donde conste la extensión de cada tianguis o mercado sobre ruedas, al treinta y uno de julio de dos mil veintitrés. </w:t>
      </w:r>
    </w:p>
    <w:p w14:paraId="17505530" w14:textId="46849F2D" w:rsidR="002D560C" w:rsidRDefault="002D560C" w:rsidP="00DA084A">
      <w:pPr>
        <w:pStyle w:val="Prrafodelista"/>
        <w:numPr>
          <w:ilvl w:val="0"/>
          <w:numId w:val="5"/>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El o los documentos donde consten los ingresos por pago de derechos respecto de cada tianguis o mercado sobre ruedas, del periodo comprendido del treinta y uno de julio de dos mil veintidós al treinta y uno de julio de dos mil veintitrés. </w:t>
      </w:r>
    </w:p>
    <w:p w14:paraId="7710D5B3" w14:textId="1ED64C8D" w:rsidR="002D560C" w:rsidRDefault="002D560C" w:rsidP="00DA084A">
      <w:pPr>
        <w:pStyle w:val="Prrafodelista"/>
        <w:numPr>
          <w:ilvl w:val="0"/>
          <w:numId w:val="5"/>
        </w:numPr>
        <w:autoSpaceDE w:val="0"/>
        <w:autoSpaceDN w:val="0"/>
        <w:adjustRightInd w:val="0"/>
        <w:spacing w:line="360" w:lineRule="auto"/>
        <w:jc w:val="both"/>
        <w:rPr>
          <w:rFonts w:ascii="Palatino Linotype" w:hAnsi="Palatino Linotype" w:cs="Arial"/>
        </w:rPr>
      </w:pPr>
      <w:r>
        <w:rPr>
          <w:rFonts w:ascii="Palatino Linotype" w:hAnsi="Palatino Linotype" w:cs="Arial"/>
        </w:rPr>
        <w:lastRenderedPageBreak/>
        <w:t xml:space="preserve">El o los documentos donde conste el nombre, cargo y salario del servidor público responsable de supervisar los tianguis o mercados sobre ruedas, al treinta y uno de julio de dos mil veintitrés. </w:t>
      </w:r>
    </w:p>
    <w:p w14:paraId="68D0F4F8" w14:textId="60AA3130" w:rsidR="002D560C" w:rsidRDefault="002D560C" w:rsidP="00DA084A">
      <w:pPr>
        <w:pStyle w:val="Prrafodelista"/>
        <w:numPr>
          <w:ilvl w:val="0"/>
          <w:numId w:val="5"/>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El o los documentos donde conste el nombre, cargo y salario del servidor público responsable de </w:t>
      </w:r>
      <w:r w:rsidR="00486D61">
        <w:rPr>
          <w:rFonts w:ascii="Palatino Linotype" w:hAnsi="Palatino Linotype" w:cs="Arial"/>
        </w:rPr>
        <w:t xml:space="preserve">cobrar derechos a los tianguis o mercados sobre ruedas, al treinta y uno de julio de dos mil veintitrés. </w:t>
      </w:r>
    </w:p>
    <w:p w14:paraId="69F6E0CD" w14:textId="35350E66" w:rsidR="00486D61" w:rsidRDefault="00486D61" w:rsidP="00DA084A">
      <w:pPr>
        <w:pStyle w:val="Prrafodelista"/>
        <w:numPr>
          <w:ilvl w:val="0"/>
          <w:numId w:val="5"/>
        </w:numPr>
        <w:autoSpaceDE w:val="0"/>
        <w:autoSpaceDN w:val="0"/>
        <w:adjustRightInd w:val="0"/>
        <w:spacing w:line="360" w:lineRule="auto"/>
        <w:jc w:val="both"/>
        <w:rPr>
          <w:rFonts w:ascii="Palatino Linotype" w:hAnsi="Palatino Linotype" w:cs="Arial"/>
        </w:rPr>
      </w:pPr>
      <w:r>
        <w:rPr>
          <w:rFonts w:ascii="Palatino Linotype" w:hAnsi="Palatino Linotype" w:cs="Arial"/>
        </w:rPr>
        <w:t>El o los documentos donde conste el nombre, cargo y salario de todos los servidores públicos</w:t>
      </w:r>
      <w:r w:rsidR="00D61894">
        <w:rPr>
          <w:rFonts w:ascii="Palatino Linotype" w:hAnsi="Palatino Linotype" w:cs="Arial"/>
        </w:rPr>
        <w:t xml:space="preserve"> involucrados en supervisar y controlar el comercio en la vía pública, al treinta y uno de julio de dos mil veintitrés. </w:t>
      </w:r>
    </w:p>
    <w:bookmarkEnd w:id="1"/>
    <w:p w14:paraId="6BB0EB6C" w14:textId="77777777" w:rsidR="002D560C" w:rsidRDefault="002D560C" w:rsidP="002D560C">
      <w:pPr>
        <w:autoSpaceDE w:val="0"/>
        <w:autoSpaceDN w:val="0"/>
        <w:adjustRightInd w:val="0"/>
        <w:spacing w:line="360" w:lineRule="auto"/>
        <w:jc w:val="both"/>
        <w:rPr>
          <w:rFonts w:ascii="Palatino Linotype" w:hAnsi="Palatino Linotype" w:cs="Arial"/>
        </w:rPr>
      </w:pPr>
    </w:p>
    <w:p w14:paraId="22783158" w14:textId="7640C028" w:rsidR="000655A3" w:rsidRDefault="000655A3" w:rsidP="000655A3">
      <w:pPr>
        <w:spacing w:after="0" w:line="360" w:lineRule="auto"/>
        <w:jc w:val="both"/>
        <w:rPr>
          <w:rFonts w:ascii="Palatino Linotype" w:hAnsi="Palatino Linotype" w:cs="Arial"/>
          <w:noProof/>
          <w:color w:val="000000"/>
          <w:sz w:val="24"/>
          <w:lang w:eastAsia="es-MX"/>
        </w:rPr>
      </w:pPr>
      <w:r>
        <w:rPr>
          <w:rFonts w:ascii="Palatino Linotype" w:hAnsi="Palatino Linotype" w:cs="Arial"/>
          <w:sz w:val="24"/>
          <w:szCs w:val="24"/>
        </w:rPr>
        <w:t xml:space="preserve">Bajo este contexto, a efecto de identificar las unidades administrativas competentes se traen a colación los </w:t>
      </w:r>
      <w:r>
        <w:rPr>
          <w:rFonts w:ascii="Palatino Linotype" w:hAnsi="Palatino Linotype" w:cs="Arial"/>
          <w:noProof/>
          <w:color w:val="000000"/>
          <w:sz w:val="24"/>
          <w:lang w:eastAsia="es-MX"/>
        </w:rPr>
        <w:t xml:space="preserve">artículos 24, fracción XII, y 92, fracción II de la Ley de Transparencia local, porciones normativas cuyo contenido literal es el siguiente: </w:t>
      </w:r>
    </w:p>
    <w:p w14:paraId="7809B743" w14:textId="77777777" w:rsidR="000655A3" w:rsidRPr="009535E0" w:rsidRDefault="000655A3" w:rsidP="000655A3">
      <w:pPr>
        <w:tabs>
          <w:tab w:val="left" w:pos="709"/>
        </w:tabs>
        <w:spacing w:before="240" w:line="360" w:lineRule="auto"/>
        <w:ind w:left="851" w:right="851"/>
        <w:jc w:val="both"/>
        <w:rPr>
          <w:rFonts w:ascii="Palatino Linotype" w:hAnsi="Palatino Linotype"/>
          <w:i/>
        </w:rPr>
      </w:pPr>
      <w:r>
        <w:rPr>
          <w:rFonts w:ascii="Palatino Linotype" w:hAnsi="Palatino Linotype"/>
          <w:i/>
        </w:rPr>
        <w:t>“</w:t>
      </w:r>
      <w:r w:rsidRPr="009535E0">
        <w:rPr>
          <w:rFonts w:ascii="Palatino Linotype" w:hAnsi="Palatino Linotype"/>
          <w:i/>
        </w:rPr>
        <w:t>Artículo 24. Para el cumplimiento de los objetivos de esta Ley, los sujetos obligados deberán cumplir con las siguientes obligaciones, según corresponda, de acuerdo a su naturaleza:</w:t>
      </w:r>
    </w:p>
    <w:p w14:paraId="27C86B52" w14:textId="77777777" w:rsidR="000655A3" w:rsidRPr="009535E0" w:rsidRDefault="000655A3" w:rsidP="000655A3">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XII. Publicar y mantener actualizada la información relativa a las obligaciones generales de transparencia previstas en la presente Ley o determinadas así por el Instituto, y en general aquella que sea de interés público;</w:t>
      </w:r>
    </w:p>
    <w:p w14:paraId="4EC9E482" w14:textId="77777777" w:rsidR="000655A3" w:rsidRPr="009535E0" w:rsidRDefault="000655A3" w:rsidP="000655A3">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 xml:space="preserve">Artículo 92. Los sujetos obligados deberán poner a disposición del público de manera permanente y actualizada de forma sencilla, precisa y entendible, en los respectivos medios electrónicos, de acuerdo con sus facultades, atribuciones, funciones u objeto </w:t>
      </w:r>
      <w:r w:rsidRPr="009535E0">
        <w:rPr>
          <w:rFonts w:ascii="Palatino Linotype" w:hAnsi="Palatino Linotype"/>
          <w:i/>
        </w:rPr>
        <w:lastRenderedPageBreak/>
        <w:t>social, según corresponda, la información, por lo menos, de los temas, documentos y políticas que a continuación se señalan:</w:t>
      </w:r>
    </w:p>
    <w:p w14:paraId="32502026" w14:textId="77777777" w:rsidR="000655A3" w:rsidRDefault="000655A3" w:rsidP="000655A3">
      <w:pPr>
        <w:pStyle w:val="INFOEM"/>
      </w:pPr>
      <w: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46EE323D" w14:textId="77777777" w:rsidR="000655A3" w:rsidRPr="00A94BBE" w:rsidRDefault="000655A3" w:rsidP="000655A3">
      <w:pPr>
        <w:pStyle w:val="INFOEM"/>
        <w:rPr>
          <w:b/>
        </w:rPr>
      </w:pPr>
      <w:r>
        <w:t xml:space="preserve"> (…)” </w:t>
      </w:r>
      <w:r>
        <w:rPr>
          <w:b/>
        </w:rPr>
        <w:t xml:space="preserve">[Sic] </w:t>
      </w:r>
    </w:p>
    <w:p w14:paraId="3B0A1F3C" w14:textId="77777777" w:rsidR="000655A3" w:rsidRDefault="000655A3" w:rsidP="000655A3">
      <w:pPr>
        <w:pStyle w:val="Sinespaciado"/>
        <w:spacing w:line="360" w:lineRule="auto"/>
        <w:jc w:val="both"/>
        <w:rPr>
          <w:rFonts w:ascii="Palatino Linotype" w:hAnsi="Palatino Linotype"/>
        </w:rPr>
      </w:pPr>
    </w:p>
    <w:p w14:paraId="0E5D08CE" w14:textId="77777777" w:rsidR="000655A3" w:rsidRDefault="000655A3" w:rsidP="000655A3">
      <w:pPr>
        <w:autoSpaceDE w:val="0"/>
        <w:autoSpaceDN w:val="0"/>
        <w:adjustRightInd w:val="0"/>
        <w:spacing w:line="360" w:lineRule="auto"/>
        <w:jc w:val="both"/>
        <w:rPr>
          <w:rFonts w:ascii="Palatino Linotype" w:hAnsi="Palatino Linotype" w:cs="Arial"/>
          <w:sz w:val="24"/>
          <w:szCs w:val="24"/>
        </w:rPr>
      </w:pPr>
      <w:r>
        <w:rPr>
          <w:rFonts w:ascii="Palatino Linotype" w:hAnsi="Palatino Linotype"/>
        </w:rPr>
        <w:t xml:space="preserve">Resulta oportuno traer a colación las siguientes imágenes ilustrativas, correspondientes al organigrama del </w:t>
      </w:r>
      <w:r>
        <w:rPr>
          <w:rFonts w:ascii="Palatino Linotype" w:hAnsi="Palatino Linotype"/>
          <w:b/>
          <w:bCs/>
        </w:rPr>
        <w:t>Sujeto Obligado:</w:t>
      </w:r>
    </w:p>
    <w:p w14:paraId="4C9646C0" w14:textId="5193AAF8" w:rsidR="000655A3" w:rsidRDefault="00050C8A" w:rsidP="005E74B7">
      <w:pPr>
        <w:spacing w:after="0" w:line="360" w:lineRule="auto"/>
        <w:jc w:val="both"/>
        <w:rPr>
          <w:rFonts w:ascii="Palatino Linotype" w:hAnsi="Palatino Linotype" w:cs="Arial"/>
          <w:sz w:val="24"/>
          <w:szCs w:val="24"/>
        </w:rPr>
      </w:pPr>
      <w:r>
        <w:rPr>
          <w:rFonts w:ascii="Palatino Linotype" w:hAnsi="Palatino Linotype" w:cs="Arial"/>
          <w:noProof/>
          <w:sz w:val="24"/>
          <w:szCs w:val="24"/>
          <w:lang w:eastAsia="es-MX"/>
        </w:rPr>
        <w:drawing>
          <wp:anchor distT="0" distB="0" distL="114300" distR="114300" simplePos="0" relativeHeight="251803638" behindDoc="0" locked="0" layoutInCell="1" allowOverlap="1" wp14:anchorId="158499DF" wp14:editId="1EF5E6F9">
            <wp:simplePos x="0" y="0"/>
            <wp:positionH relativeFrom="page">
              <wp:align>center</wp:align>
            </wp:positionH>
            <wp:positionV relativeFrom="paragraph">
              <wp:posOffset>342265</wp:posOffset>
            </wp:positionV>
            <wp:extent cx="5753100" cy="3225800"/>
            <wp:effectExtent l="19050" t="19050" r="19050" b="12700"/>
            <wp:wrapThrough wrapText="bothSides">
              <wp:wrapPolygon edited="0">
                <wp:start x="-72" y="-128"/>
                <wp:lineTo x="-72" y="21557"/>
                <wp:lineTo x="21600" y="21557"/>
                <wp:lineTo x="21600" y="-128"/>
                <wp:lineTo x="-72" y="-128"/>
              </wp:wrapPolygon>
            </wp:wrapThrough>
            <wp:docPr id="979990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32258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30BBC98" w14:textId="521A9278" w:rsidR="000655A3" w:rsidRDefault="000655A3" w:rsidP="005E74B7">
      <w:pPr>
        <w:spacing w:after="0" w:line="360" w:lineRule="auto"/>
        <w:jc w:val="both"/>
        <w:rPr>
          <w:rFonts w:ascii="Palatino Linotype" w:hAnsi="Palatino Linotype" w:cs="Arial"/>
          <w:sz w:val="24"/>
          <w:szCs w:val="24"/>
        </w:rPr>
      </w:pPr>
    </w:p>
    <w:p w14:paraId="09A01CDD" w14:textId="69E71965" w:rsidR="000655A3" w:rsidRDefault="000655A3" w:rsidP="005E74B7">
      <w:pPr>
        <w:spacing w:after="0" w:line="360" w:lineRule="auto"/>
        <w:jc w:val="both"/>
        <w:rPr>
          <w:rFonts w:ascii="Palatino Linotype" w:hAnsi="Palatino Linotype" w:cs="Arial"/>
          <w:sz w:val="24"/>
          <w:szCs w:val="24"/>
        </w:rPr>
      </w:pPr>
    </w:p>
    <w:p w14:paraId="5ABEAD17" w14:textId="65B827F9" w:rsidR="00050C8A" w:rsidRDefault="00050C8A" w:rsidP="005E74B7">
      <w:pPr>
        <w:spacing w:after="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anchor distT="0" distB="0" distL="114300" distR="114300" simplePos="0" relativeHeight="251804662" behindDoc="0" locked="0" layoutInCell="1" allowOverlap="1" wp14:anchorId="09AE4D96" wp14:editId="64E26E65">
            <wp:simplePos x="0" y="0"/>
            <wp:positionH relativeFrom="page">
              <wp:align>center</wp:align>
            </wp:positionH>
            <wp:positionV relativeFrom="paragraph">
              <wp:posOffset>19050</wp:posOffset>
            </wp:positionV>
            <wp:extent cx="5753100" cy="3238500"/>
            <wp:effectExtent l="19050" t="19050" r="19050" b="19050"/>
            <wp:wrapThrough wrapText="bothSides">
              <wp:wrapPolygon edited="0">
                <wp:start x="-72" y="-127"/>
                <wp:lineTo x="-72" y="21600"/>
                <wp:lineTo x="21600" y="21600"/>
                <wp:lineTo x="21600" y="-127"/>
                <wp:lineTo x="-72" y="-127"/>
              </wp:wrapPolygon>
            </wp:wrapThrough>
            <wp:docPr id="11997424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6A7DEF3" w14:textId="7D1AD2BD" w:rsidR="00050C8A" w:rsidRDefault="00050C8A" w:rsidP="005E74B7">
      <w:pPr>
        <w:spacing w:after="0" w:line="360" w:lineRule="auto"/>
        <w:jc w:val="both"/>
        <w:rPr>
          <w:rFonts w:ascii="Palatino Linotype" w:hAnsi="Palatino Linotype" w:cs="Arial"/>
          <w:sz w:val="24"/>
          <w:szCs w:val="24"/>
        </w:rPr>
      </w:pPr>
    </w:p>
    <w:p w14:paraId="0994D246" w14:textId="4E5E50E7" w:rsidR="00050C8A" w:rsidRDefault="007E0EE4" w:rsidP="00050C8A">
      <w:pPr>
        <w:spacing w:before="240" w:line="360" w:lineRule="auto"/>
        <w:jc w:val="both"/>
        <w:rPr>
          <w:rFonts w:ascii="Palatino Linotype" w:hAnsi="Palatino Linotype" w:cs="Arial"/>
          <w:sz w:val="24"/>
          <w:szCs w:val="24"/>
        </w:rPr>
      </w:pPr>
      <w:r>
        <w:rPr>
          <w:rFonts w:ascii="Palatino Linotype" w:hAnsi="Palatino Linotype" w:cs="Arial"/>
          <w:sz w:val="24"/>
          <w:szCs w:val="24"/>
        </w:rPr>
        <w:t>D</w:t>
      </w:r>
      <w:r w:rsidR="009C5799">
        <w:rPr>
          <w:rFonts w:ascii="Palatino Linotype" w:hAnsi="Palatino Linotype" w:cs="Arial"/>
          <w:sz w:val="24"/>
          <w:szCs w:val="24"/>
        </w:rPr>
        <w:t xml:space="preserve">e lo expuesto con anterioridad, se desprende que </w:t>
      </w:r>
      <w:r w:rsidR="009C5799">
        <w:rPr>
          <w:rFonts w:ascii="Palatino Linotype" w:hAnsi="Palatino Linotype" w:cs="Arial"/>
          <w:b/>
          <w:bCs/>
          <w:sz w:val="24"/>
          <w:szCs w:val="24"/>
        </w:rPr>
        <w:t xml:space="preserve">El Sujeto Obligado </w:t>
      </w:r>
      <w:r w:rsidR="009C5799">
        <w:rPr>
          <w:rFonts w:ascii="Palatino Linotype" w:hAnsi="Palatino Linotype" w:cs="Arial"/>
          <w:sz w:val="24"/>
          <w:szCs w:val="24"/>
        </w:rPr>
        <w:t xml:space="preserve">se auxilia de diversas Coordinaciones, Direcciones y Departamentos para cumplir con sus fines y objetivos, resultando de nuestro interés </w:t>
      </w:r>
      <w:r w:rsidR="00247537">
        <w:rPr>
          <w:rFonts w:ascii="Palatino Linotype" w:hAnsi="Palatino Linotype" w:cs="Arial"/>
          <w:sz w:val="24"/>
          <w:szCs w:val="24"/>
        </w:rPr>
        <w:t xml:space="preserve">la </w:t>
      </w:r>
      <w:r w:rsidR="00050C8A">
        <w:rPr>
          <w:rFonts w:ascii="Palatino Linotype" w:hAnsi="Palatino Linotype" w:cs="Arial"/>
          <w:sz w:val="24"/>
          <w:szCs w:val="24"/>
        </w:rPr>
        <w:t xml:space="preserve">Tesorería, Subtesorería de ingresos, dirección de desarrollo económico, subdirección de comercio, así como el departamento de comercio en vía pública y mercados.  </w:t>
      </w:r>
    </w:p>
    <w:p w14:paraId="598C2A11" w14:textId="772083D8" w:rsidR="00994FEC" w:rsidRDefault="00B926B2" w:rsidP="00E8308B">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virtud de lo anterior, para delimitar las fronteras conceptuales </w:t>
      </w:r>
      <w:r w:rsidR="007E0EE4">
        <w:rPr>
          <w:rFonts w:ascii="Palatino Linotype" w:hAnsi="Palatino Linotype" w:cs="Arial"/>
          <w:sz w:val="24"/>
          <w:szCs w:val="24"/>
        </w:rPr>
        <w:t xml:space="preserve">de </w:t>
      </w:r>
      <w:r w:rsidR="00994FEC">
        <w:rPr>
          <w:rFonts w:ascii="Palatino Linotype" w:hAnsi="Palatino Linotype" w:cs="Arial"/>
          <w:sz w:val="24"/>
          <w:szCs w:val="24"/>
        </w:rPr>
        <w:t xml:space="preserve">las unidades administrativas en cita, resulta oportuno traer </w:t>
      </w:r>
      <w:r w:rsidR="00591F2A">
        <w:rPr>
          <w:rFonts w:ascii="Palatino Linotype" w:hAnsi="Palatino Linotype" w:cs="Arial"/>
          <w:sz w:val="24"/>
          <w:szCs w:val="24"/>
        </w:rPr>
        <w:t>a colación los artículos</w:t>
      </w:r>
      <w:r w:rsidR="00387A7A">
        <w:rPr>
          <w:rFonts w:ascii="Palatino Linotype" w:hAnsi="Palatino Linotype" w:cs="Arial"/>
          <w:sz w:val="24"/>
          <w:szCs w:val="24"/>
        </w:rPr>
        <w:t xml:space="preserve"> </w:t>
      </w:r>
      <w:r w:rsidR="00591F2A" w:rsidRPr="00591F2A">
        <w:rPr>
          <w:rFonts w:ascii="Palatino Linotype" w:hAnsi="Palatino Linotype" w:cs="Arial"/>
          <w:sz w:val="24"/>
          <w:szCs w:val="24"/>
        </w:rPr>
        <w:t xml:space="preserve">31 y 95 de la Ley Orgánica Municipal del Estado de México; numeral 50 del Bando Municipal de Cuautitlán Izcalli; artículos 31, 32 y 42 del Reglamento de organización interna de la </w:t>
      </w:r>
      <w:r w:rsidR="00591F2A" w:rsidRPr="00591F2A">
        <w:rPr>
          <w:rFonts w:ascii="Palatino Linotype" w:hAnsi="Palatino Linotype" w:cs="Arial"/>
          <w:sz w:val="24"/>
          <w:szCs w:val="24"/>
        </w:rPr>
        <w:lastRenderedPageBreak/>
        <w:t>administración pública del municipio de Cuautitlán Izcalli</w:t>
      </w:r>
      <w:r w:rsidR="00591F2A">
        <w:rPr>
          <w:rFonts w:ascii="Palatino Linotype" w:hAnsi="Palatino Linotype" w:cs="Arial"/>
          <w:sz w:val="24"/>
          <w:szCs w:val="24"/>
        </w:rPr>
        <w:t>, porciones normativas que disponen a la literalidad lo siguiente:</w:t>
      </w:r>
    </w:p>
    <w:p w14:paraId="68B2EE1D" w14:textId="526D4137" w:rsidR="00387A7A" w:rsidRPr="00A06A6F" w:rsidRDefault="00387A7A" w:rsidP="00387A7A">
      <w:pPr>
        <w:pStyle w:val="Citas"/>
        <w:jc w:val="center"/>
        <w:rPr>
          <w:b/>
          <w:bCs/>
        </w:rPr>
      </w:pPr>
      <w:r w:rsidRPr="00A06A6F">
        <w:rPr>
          <w:b/>
          <w:bCs/>
        </w:rPr>
        <w:t>LEY ORGÁNICA MUNICIPAL DEL ESTADO DE MÉXICO</w:t>
      </w:r>
    </w:p>
    <w:p w14:paraId="6E5430F3" w14:textId="215F393C" w:rsidR="003457EC" w:rsidRDefault="00387A7A" w:rsidP="00387A7A">
      <w:pPr>
        <w:pStyle w:val="Citas"/>
      </w:pPr>
      <w:r>
        <w:t>“</w:t>
      </w:r>
      <w:r w:rsidR="003457EC">
        <w:t>Artículo 31.- Son atribuciones de los ayuntamientos:</w:t>
      </w:r>
    </w:p>
    <w:p w14:paraId="64090B54" w14:textId="3816E96F" w:rsidR="003457EC" w:rsidRDefault="003457EC" w:rsidP="00387A7A">
      <w:pPr>
        <w:pStyle w:val="Citas"/>
      </w:pPr>
      <w:r>
        <w:t>(…)</w:t>
      </w:r>
    </w:p>
    <w:p w14:paraId="1D111E04" w14:textId="503C9E3E" w:rsidR="003457EC" w:rsidRPr="003457EC" w:rsidRDefault="003457EC" w:rsidP="00387A7A">
      <w:pPr>
        <w:pStyle w:val="Citas"/>
        <w:rPr>
          <w:b/>
          <w:bCs/>
          <w:u w:val="single"/>
        </w:rPr>
      </w:pPr>
      <w:r w:rsidRPr="003457EC">
        <w:rPr>
          <w:b/>
          <w:bCs/>
          <w:u w:val="single"/>
        </w:rPr>
        <w:t>XLVI. Promover la ejecución municipal de programas de dignificación, calidad y mejora permanente del servicio público de los mercados, así como del comercio semifijo, con el objeto de impulsar su rentabilidad y desarrollo digno en beneficio de las y los habitantes del Municipio, y</w:t>
      </w:r>
    </w:p>
    <w:p w14:paraId="1C4045E1" w14:textId="63E740AD" w:rsidR="003457EC" w:rsidRDefault="003457EC" w:rsidP="00387A7A">
      <w:pPr>
        <w:pStyle w:val="Citas"/>
      </w:pPr>
      <w:r>
        <w:t>(…)</w:t>
      </w:r>
    </w:p>
    <w:p w14:paraId="3365CD2A" w14:textId="5E86A426" w:rsidR="00387A7A" w:rsidRDefault="00387A7A" w:rsidP="00387A7A">
      <w:pPr>
        <w:pStyle w:val="Citas"/>
      </w:pPr>
      <w:r>
        <w:t>Artículo 95.- Son atribuciones del tesorero municipal:</w:t>
      </w:r>
    </w:p>
    <w:p w14:paraId="637C9D0C" w14:textId="77777777" w:rsidR="00387A7A" w:rsidRDefault="00387A7A" w:rsidP="00387A7A">
      <w:pPr>
        <w:pStyle w:val="Citas"/>
      </w:pPr>
      <w:r>
        <w:t>I. Administrar la hacienda pública municipal, de conformidad con las disposiciones legales aplicables;</w:t>
      </w:r>
    </w:p>
    <w:p w14:paraId="3EA1B891" w14:textId="77777777" w:rsidR="00387A7A" w:rsidRPr="007D097F" w:rsidRDefault="00387A7A" w:rsidP="00387A7A">
      <w:pPr>
        <w:pStyle w:val="Citas"/>
        <w:rPr>
          <w:b/>
          <w:bCs/>
          <w:u w:val="single"/>
        </w:rPr>
      </w:pPr>
      <w:r w:rsidRPr="007D097F">
        <w:rPr>
          <w:b/>
          <w:bCs/>
          <w:u w:val="single"/>
        </w:rPr>
        <w:t xml:space="preserve">IV. Llevar los registros contables, financieros y administrativos de los ingresos, egresos, e inventarios; </w:t>
      </w:r>
    </w:p>
    <w:p w14:paraId="5D325908" w14:textId="77777777" w:rsidR="00387A7A" w:rsidRDefault="00387A7A" w:rsidP="00387A7A">
      <w:pPr>
        <w:pStyle w:val="Citas"/>
      </w:pPr>
      <w:r>
        <w:t>V. Proporcionar oportunamente al ayuntamiento todos los datos o informes que sean necesarios para la formulación del Presupuesto de Egresos Municipales, vigilando que se ajuste a las disposiciones de esta Ley y otros ordenamientos aplicables;</w:t>
      </w:r>
    </w:p>
    <w:p w14:paraId="6F8E773F" w14:textId="77777777" w:rsidR="00387A7A" w:rsidRDefault="00387A7A" w:rsidP="00387A7A">
      <w:pPr>
        <w:pStyle w:val="Citas"/>
      </w:pPr>
      <w:r>
        <w:t>XVI. Glosar oportunamente las cuentas del ayuntamiento;</w:t>
      </w:r>
    </w:p>
    <w:p w14:paraId="4781A8F1" w14:textId="77777777" w:rsidR="00387A7A" w:rsidRPr="00E82C6A" w:rsidRDefault="00387A7A" w:rsidP="00387A7A">
      <w:pPr>
        <w:pStyle w:val="Citas"/>
        <w:rPr>
          <w:b/>
          <w:bCs/>
        </w:rPr>
      </w:pPr>
      <w:r>
        <w:t xml:space="preserve">(…)” </w:t>
      </w:r>
      <w:r>
        <w:rPr>
          <w:b/>
          <w:bCs/>
        </w:rPr>
        <w:t>(Sic)</w:t>
      </w:r>
    </w:p>
    <w:p w14:paraId="5CB266C4" w14:textId="3DD0E037" w:rsidR="00994FEC" w:rsidRPr="00387A7A" w:rsidRDefault="000F761E" w:rsidP="00387A7A">
      <w:pPr>
        <w:pStyle w:val="Citas"/>
        <w:jc w:val="center"/>
        <w:rPr>
          <w:b/>
          <w:bCs/>
        </w:rPr>
      </w:pPr>
      <w:r w:rsidRPr="00387A7A">
        <w:rPr>
          <w:b/>
          <w:bCs/>
        </w:rPr>
        <w:lastRenderedPageBreak/>
        <w:t xml:space="preserve">BANDO MUNICIPAL DE </w:t>
      </w:r>
      <w:r>
        <w:rPr>
          <w:b/>
          <w:bCs/>
        </w:rPr>
        <w:t>CUAUTITLÁN IZCALLI</w:t>
      </w:r>
    </w:p>
    <w:p w14:paraId="24E62912" w14:textId="75780F15" w:rsidR="00387A7A" w:rsidRDefault="00387A7A" w:rsidP="000F761E">
      <w:pPr>
        <w:pStyle w:val="Citas"/>
      </w:pPr>
      <w:r>
        <w:t xml:space="preserve">“ARTÍCULO </w:t>
      </w:r>
      <w:r w:rsidR="000F761E">
        <w:t>50. Para el adecuado desarrollo económico en el Municipio, se deberán llevar a cabo las siguientes acciones:</w:t>
      </w:r>
    </w:p>
    <w:p w14:paraId="60C00483" w14:textId="449AFF7A" w:rsidR="000F761E" w:rsidRDefault="000F761E" w:rsidP="000F761E">
      <w:pPr>
        <w:pStyle w:val="Citas"/>
      </w:pPr>
      <w:r>
        <w:t>(…)</w:t>
      </w:r>
    </w:p>
    <w:p w14:paraId="20D0EE2A" w14:textId="051E7374" w:rsidR="000F761E" w:rsidRDefault="000F761E" w:rsidP="000F761E">
      <w:pPr>
        <w:pStyle w:val="Citas"/>
        <w:rPr>
          <w:b/>
          <w:bCs/>
          <w:u w:val="single"/>
        </w:rPr>
      </w:pPr>
      <w:r w:rsidRPr="003457EC">
        <w:rPr>
          <w:b/>
          <w:bCs/>
          <w:u w:val="single"/>
        </w:rPr>
        <w:t xml:space="preserve">VI. Observar el cumplimiento de las disposiciones legales en materia de abasto, mercados municipales, tianguis y comercio en vía pública, así como ordenar la reubicación y demás medidas cautelares o de seguridad, imponiendo las sanciones que correspondan; </w:t>
      </w:r>
    </w:p>
    <w:p w14:paraId="29466800" w14:textId="45A8FFCE" w:rsidR="003457EC" w:rsidRDefault="003457EC" w:rsidP="000F761E">
      <w:pPr>
        <w:pStyle w:val="Citas"/>
        <w:rPr>
          <w:b/>
          <w:bCs/>
        </w:rPr>
      </w:pPr>
      <w:r>
        <w:t xml:space="preserve">(…)” </w:t>
      </w:r>
      <w:r>
        <w:rPr>
          <w:b/>
          <w:bCs/>
        </w:rPr>
        <w:t>(Sic)</w:t>
      </w:r>
    </w:p>
    <w:p w14:paraId="2B776E1C" w14:textId="77777777" w:rsidR="003457EC" w:rsidRPr="003457EC" w:rsidRDefault="003457EC" w:rsidP="000F761E">
      <w:pPr>
        <w:pStyle w:val="Citas"/>
        <w:rPr>
          <w:b/>
          <w:bCs/>
        </w:rPr>
      </w:pPr>
    </w:p>
    <w:p w14:paraId="71A4B7F1" w14:textId="39747EB9" w:rsidR="003457EC" w:rsidRPr="003457EC" w:rsidRDefault="003457EC" w:rsidP="003457EC">
      <w:pPr>
        <w:pStyle w:val="Citas"/>
        <w:rPr>
          <w:b/>
          <w:bCs/>
        </w:rPr>
      </w:pPr>
      <w:r w:rsidRPr="003457EC">
        <w:rPr>
          <w:b/>
          <w:bCs/>
        </w:rPr>
        <w:t>REGLAMENTO DE ORGANIZACIÓN INTERNA DE LA ADMINISTRACIÓN PÚBLICA DEL MUNICIPIO DE CUAUTITLÁN IZCALLI</w:t>
      </w:r>
    </w:p>
    <w:p w14:paraId="5200AD9E" w14:textId="77777777" w:rsidR="00591F2A" w:rsidRDefault="003457EC" w:rsidP="000F761E">
      <w:pPr>
        <w:pStyle w:val="Citas"/>
      </w:pPr>
      <w:r>
        <w:t xml:space="preserve">“Artículo 31.- La Tesorería Municipal para el estudio, planeación y despacho de los asuntos de su competencia contará con las siguientes áreas administrativas: </w:t>
      </w:r>
    </w:p>
    <w:p w14:paraId="5C886915" w14:textId="77777777" w:rsidR="00591F2A" w:rsidRDefault="003457EC" w:rsidP="000F761E">
      <w:pPr>
        <w:pStyle w:val="Citas"/>
      </w:pPr>
      <w:r>
        <w:t xml:space="preserve">I. Tesorería Municipal: </w:t>
      </w:r>
    </w:p>
    <w:p w14:paraId="081F2AF4" w14:textId="77777777" w:rsidR="00591F2A" w:rsidRDefault="003457EC" w:rsidP="000F761E">
      <w:pPr>
        <w:pStyle w:val="Citas"/>
      </w:pPr>
      <w:r>
        <w:t xml:space="preserve">a. Enlace Administrativo; </w:t>
      </w:r>
    </w:p>
    <w:p w14:paraId="03D106DA" w14:textId="77777777" w:rsidR="00591F2A" w:rsidRDefault="003457EC" w:rsidP="000F761E">
      <w:pPr>
        <w:pStyle w:val="Citas"/>
      </w:pPr>
      <w:r>
        <w:t xml:space="preserve">b. Departamento de Control de Gestión; </w:t>
      </w:r>
    </w:p>
    <w:p w14:paraId="00583D37" w14:textId="77777777" w:rsidR="00591F2A" w:rsidRDefault="003457EC" w:rsidP="000F761E">
      <w:pPr>
        <w:pStyle w:val="Citas"/>
      </w:pPr>
      <w:r>
        <w:t xml:space="preserve">c. Departamento Jurídico; </w:t>
      </w:r>
    </w:p>
    <w:p w14:paraId="77FC6CC4" w14:textId="77777777" w:rsidR="00591F2A" w:rsidRDefault="003457EC" w:rsidP="000F761E">
      <w:pPr>
        <w:pStyle w:val="Citas"/>
      </w:pPr>
      <w:r>
        <w:t>d. Coordinación de Catastro;</w:t>
      </w:r>
    </w:p>
    <w:p w14:paraId="65461C08" w14:textId="77777777" w:rsidR="00591F2A" w:rsidRDefault="003457EC" w:rsidP="000F761E">
      <w:pPr>
        <w:pStyle w:val="Citas"/>
      </w:pPr>
      <w:r>
        <w:lastRenderedPageBreak/>
        <w:t xml:space="preserve"> e. Coordinación de Egresos y Control Presupuestal: </w:t>
      </w:r>
    </w:p>
    <w:p w14:paraId="319E13B9" w14:textId="77777777" w:rsidR="00591F2A" w:rsidRDefault="003457EC" w:rsidP="000F761E">
      <w:pPr>
        <w:pStyle w:val="Citas"/>
      </w:pPr>
      <w:r>
        <w:t xml:space="preserve">I. Departamento de Programas federales y Estatales; y </w:t>
      </w:r>
    </w:p>
    <w:p w14:paraId="508640C9" w14:textId="77777777" w:rsidR="00591F2A" w:rsidRDefault="003457EC" w:rsidP="000F761E">
      <w:pPr>
        <w:pStyle w:val="Citas"/>
      </w:pPr>
      <w:r>
        <w:t xml:space="preserve">f. Coordinación de Caja General, a la cual quedan adscritas las siguientes áreas: </w:t>
      </w:r>
    </w:p>
    <w:p w14:paraId="740DE164" w14:textId="77777777" w:rsidR="00591F2A" w:rsidRDefault="003457EC" w:rsidP="000F761E">
      <w:pPr>
        <w:pStyle w:val="Citas"/>
      </w:pPr>
      <w:r>
        <w:t>I. Departamento de Unidades de Recaudación; y</w:t>
      </w:r>
    </w:p>
    <w:p w14:paraId="54583A89" w14:textId="1E0EDC99" w:rsidR="00591F2A" w:rsidRDefault="003457EC" w:rsidP="000F761E">
      <w:pPr>
        <w:pStyle w:val="Citas"/>
      </w:pPr>
      <w:r>
        <w:t>II. Departamento de Receptorías.</w:t>
      </w:r>
    </w:p>
    <w:p w14:paraId="3B2F3F12" w14:textId="77777777" w:rsidR="00591F2A" w:rsidRDefault="003457EC" w:rsidP="000F761E">
      <w:pPr>
        <w:pStyle w:val="Citas"/>
      </w:pPr>
      <w:r>
        <w:t xml:space="preserve"> II. Subtesorería de Ingresos: </w:t>
      </w:r>
    </w:p>
    <w:p w14:paraId="18E850A1" w14:textId="77777777" w:rsidR="00591F2A" w:rsidRDefault="003457EC" w:rsidP="000F761E">
      <w:pPr>
        <w:pStyle w:val="Citas"/>
      </w:pPr>
      <w:r>
        <w:t xml:space="preserve">a. Departamento de Atención al Contribuyente; </w:t>
      </w:r>
    </w:p>
    <w:p w14:paraId="31C29C3D" w14:textId="77777777" w:rsidR="00591F2A" w:rsidRDefault="003457EC" w:rsidP="000F761E">
      <w:pPr>
        <w:pStyle w:val="Citas"/>
      </w:pPr>
      <w:r>
        <w:t xml:space="preserve">b. Departamento de Impuestos inmobiliarios; </w:t>
      </w:r>
    </w:p>
    <w:p w14:paraId="562FD0C5" w14:textId="77777777" w:rsidR="00591F2A" w:rsidRDefault="003457EC" w:rsidP="000F761E">
      <w:pPr>
        <w:pStyle w:val="Citas"/>
      </w:pPr>
      <w:r>
        <w:t xml:space="preserve">c. Departamento de Ingresos Diversos; y </w:t>
      </w:r>
    </w:p>
    <w:p w14:paraId="6C9E0FFA" w14:textId="77777777" w:rsidR="00591F2A" w:rsidRDefault="003457EC" w:rsidP="000F761E">
      <w:pPr>
        <w:pStyle w:val="Citas"/>
      </w:pPr>
      <w:r>
        <w:t xml:space="preserve">d. Departamento de Ejecución Fiscal. </w:t>
      </w:r>
    </w:p>
    <w:p w14:paraId="20208935" w14:textId="77777777" w:rsidR="00591F2A" w:rsidRDefault="003457EC" w:rsidP="000F761E">
      <w:pPr>
        <w:pStyle w:val="Citas"/>
      </w:pPr>
      <w:r>
        <w:t xml:space="preserve">III. Subtesorería de Contabilidad: </w:t>
      </w:r>
    </w:p>
    <w:p w14:paraId="7AE9F77C" w14:textId="77777777" w:rsidR="00591F2A" w:rsidRDefault="003457EC" w:rsidP="000F761E">
      <w:pPr>
        <w:pStyle w:val="Citas"/>
      </w:pPr>
      <w:r>
        <w:t xml:space="preserve">a. Departamento de Cuenta Pública; y </w:t>
      </w:r>
    </w:p>
    <w:p w14:paraId="0E58D7EF" w14:textId="1B3C7F3D" w:rsidR="003457EC" w:rsidRDefault="003457EC" w:rsidP="000F761E">
      <w:pPr>
        <w:pStyle w:val="Citas"/>
      </w:pPr>
      <w:r>
        <w:t>b. Departamento de Solventaciones.</w:t>
      </w:r>
    </w:p>
    <w:p w14:paraId="637B28D7" w14:textId="4D672905" w:rsidR="003457EC" w:rsidRDefault="003457EC" w:rsidP="000F761E">
      <w:pPr>
        <w:pStyle w:val="Citas"/>
      </w:pPr>
      <w:r>
        <w:t>Artículo 32. - La persona titular de la Tesorería Municipal además de las facultades que señalan las disposiciones legales vigentes tendrá, entre otras, las siguientes:</w:t>
      </w:r>
    </w:p>
    <w:p w14:paraId="5922B30A" w14:textId="2BEAEE3A" w:rsidR="003457EC" w:rsidRDefault="003457EC" w:rsidP="000F761E">
      <w:pPr>
        <w:pStyle w:val="Citas"/>
      </w:pPr>
      <w:r>
        <w:t>(…)</w:t>
      </w:r>
    </w:p>
    <w:p w14:paraId="0EA8BDB2" w14:textId="77777777" w:rsidR="003457EC" w:rsidRDefault="003457EC" w:rsidP="000F761E">
      <w:pPr>
        <w:pStyle w:val="Citas"/>
      </w:pPr>
      <w:r>
        <w:t xml:space="preserve">IV. Ordenar que la recaudación de ingresos se deposite en las cuentas bancarias del Municipio; </w:t>
      </w:r>
    </w:p>
    <w:p w14:paraId="201A8551" w14:textId="7581C67E" w:rsidR="003457EC" w:rsidRDefault="003457EC" w:rsidP="000F761E">
      <w:pPr>
        <w:pStyle w:val="Citas"/>
      </w:pPr>
      <w:r>
        <w:lastRenderedPageBreak/>
        <w:t>V. Proponer al Ayuntamiento, en acuerdo con el Presidente Municipal, las políticas, estrategias y campañas para incrementar los ingresos de la hacienda pública municipal, así como el otorgamiento de estímulos fiscales, subsidios, condonaciones y exenciones.</w:t>
      </w:r>
    </w:p>
    <w:p w14:paraId="6C575CB6" w14:textId="5757CDFF" w:rsidR="003457EC" w:rsidRDefault="003457EC" w:rsidP="000F761E">
      <w:pPr>
        <w:pStyle w:val="Citas"/>
      </w:pPr>
      <w:r>
        <w:t>(…)</w:t>
      </w:r>
    </w:p>
    <w:p w14:paraId="560FF919" w14:textId="57318665" w:rsidR="00994FEC" w:rsidRDefault="000F761E" w:rsidP="000F761E">
      <w:pPr>
        <w:pStyle w:val="Citas"/>
      </w:pPr>
      <w:r>
        <w:t>Artículo 42. - La persona titular de la Dirección de Desarrollo Económico, además de las facultades que le señalan las disposiciones legales vigentes tendrá, entre otras, las siguientes:</w:t>
      </w:r>
    </w:p>
    <w:p w14:paraId="20977FE9" w14:textId="75215EEA" w:rsidR="000F761E" w:rsidRDefault="000F761E" w:rsidP="000F761E">
      <w:pPr>
        <w:pStyle w:val="Citas"/>
      </w:pPr>
      <w:r>
        <w:t>(…)</w:t>
      </w:r>
    </w:p>
    <w:p w14:paraId="2CA44E73" w14:textId="77777777" w:rsidR="00591F2A" w:rsidRDefault="000F761E" w:rsidP="000F761E">
      <w:pPr>
        <w:pStyle w:val="Citas"/>
      </w:pPr>
      <w:r>
        <w:t xml:space="preserve">XX. Iniciar, tramitar y resolver los procedimientos administrativos relativos a la expedición, renovación, modificación o revocación de las cédulas para unidades económicas o de prestación de servicios en tianguis; </w:t>
      </w:r>
    </w:p>
    <w:p w14:paraId="74B10D24" w14:textId="77777777" w:rsidR="00591F2A" w:rsidRDefault="000F761E" w:rsidP="000F761E">
      <w:pPr>
        <w:pStyle w:val="Citas"/>
      </w:pPr>
      <w:r>
        <w:t xml:space="preserve">XXI. Expedir, renovar, modificar y revocar los permisos, autorizaciones o cédulas para actividades económicas o de prestación de servicios en vía pública, ya sea en puesto fijo, semifijo, comercio ambulante o de temporada; </w:t>
      </w:r>
    </w:p>
    <w:p w14:paraId="34E4BBF4" w14:textId="77777777" w:rsidR="00591F2A" w:rsidRDefault="000F761E" w:rsidP="000F761E">
      <w:pPr>
        <w:pStyle w:val="Citas"/>
      </w:pPr>
      <w:r>
        <w:t xml:space="preserve">XXII. Iniciar, tramitar y resolver los procedimientos para el otorgamiento, modificación o revocación de las autorizaciones para actividad comercial o de prestación de servicios en mercados, módulos comerciales, centrales de abasto, previo acuerdo con la persona titular de la Presidencia Municipal; </w:t>
      </w:r>
    </w:p>
    <w:p w14:paraId="3DC4E63A" w14:textId="77777777" w:rsidR="00591F2A" w:rsidRDefault="000F761E" w:rsidP="000F761E">
      <w:pPr>
        <w:pStyle w:val="Citas"/>
      </w:pPr>
      <w:r>
        <w:t xml:space="preserve">XXIII. Gestionar los convenios de uso de espacios de mercados, módulos comerciales y centrales de abasto que funcionen en bienes municipales, previo acuerdo de la persona titular de la Presidencia Municipal; </w:t>
      </w:r>
    </w:p>
    <w:p w14:paraId="188FBABB" w14:textId="77777777" w:rsidR="00591F2A" w:rsidRDefault="000F761E" w:rsidP="000F761E">
      <w:pPr>
        <w:pStyle w:val="Citas"/>
      </w:pPr>
      <w:r>
        <w:lastRenderedPageBreak/>
        <w:t xml:space="preserve">XXIV. Ordenar, autorizar o imponer como medida cautelar o de seguridad la ubicación o reubicación de puestos fijos y semifijos; expedir o renovar la cédula correspondiente, en términos de las disposiciones y reglamentarias aplicables; </w:t>
      </w:r>
    </w:p>
    <w:p w14:paraId="2EEAB3EE" w14:textId="77777777" w:rsidR="00591F2A" w:rsidRDefault="000F761E" w:rsidP="000F761E">
      <w:pPr>
        <w:pStyle w:val="Citas"/>
      </w:pPr>
      <w:r>
        <w:t xml:space="preserve">XXV. Designar y remover a los administradores de mercados, módulos comerciales y centrales de abasto que funcionen en bienes del dominio municipal, previo acuerdo con la persona titular de la Presidencia Municipal; </w:t>
      </w:r>
    </w:p>
    <w:p w14:paraId="584E1416" w14:textId="5CFB4749" w:rsidR="000F761E" w:rsidRDefault="000F761E" w:rsidP="000F761E">
      <w:pPr>
        <w:pStyle w:val="Citas"/>
      </w:pPr>
      <w:r>
        <w:t>XXVI. Vigilar el cumplimiento de las disposiciones legales y reglamentarias en materia de abasto, mercados, módulos comerciales, tianguis y comercio en vía y espacios públicos, así como ordenar e imponer las medidas cautelares o medidas de seguridad y las sanciones que correspondan en términos de las disposiciones legales o reglamentarias aplicables;</w:t>
      </w:r>
    </w:p>
    <w:p w14:paraId="207088A1" w14:textId="35F82F3D" w:rsidR="000F761E" w:rsidRDefault="000F761E" w:rsidP="000F761E">
      <w:pPr>
        <w:pStyle w:val="Citas"/>
      </w:pPr>
      <w:r>
        <w:t>(…)</w:t>
      </w:r>
    </w:p>
    <w:p w14:paraId="612000BD" w14:textId="4BC468F0" w:rsidR="000F761E" w:rsidRDefault="000F761E" w:rsidP="000F761E">
      <w:pPr>
        <w:pStyle w:val="Citas"/>
      </w:pPr>
      <w:r>
        <w:t xml:space="preserve">XXXIII. Ordenar y ejecutar la práctica de visitas de verificación e inspección, para comprobar que las Unidades Económicas que desarrollen actividades comerciales, industriales y de prestación de servicios cumplan con las disposiciones jurídicas que regulan su funcionamiento, para lo cual designará a los inspectores, verificadores y notificadores para su realización; ordenando y ejecutando, en su caso, la suspensión de actividades y/o clausura de la unidad económica que incumpla con las disposiciones jurídicas que regulen su funcionamiento; así como imponer las medidas de seguridad que resulten procedentes; todo lo anterior por incumplimiento a las disipaciones contenidas en el Código Administrativo del Estado de México, el Código de Procedimientos Administrativos del Estado de México, la Ley Orgánica Municipal del Estado de México, la Ley de Competitividad y Ordenamiento Comercial del Estado de México, el Reglamento de la Ley de Competitividad y </w:t>
      </w:r>
      <w:r>
        <w:lastRenderedPageBreak/>
        <w:t>Ordenamiento Comercial del Estado de México; el Reglamento para la Recepción, Guarda y Protección de Vehículos en Estacionamientos de Servicio al Público del Municipio de Cuautitlán Izcalli, Estado de México y el Bando Municipal de Cuautitlán Izcalli;</w:t>
      </w:r>
    </w:p>
    <w:p w14:paraId="2A03730A" w14:textId="2B3A50BF" w:rsidR="000F761E" w:rsidRPr="00591F2A" w:rsidRDefault="000F761E" w:rsidP="000F761E">
      <w:pPr>
        <w:pStyle w:val="Citas"/>
        <w:rPr>
          <w:b/>
          <w:bCs/>
        </w:rPr>
      </w:pPr>
      <w:r>
        <w:t>(…)</w:t>
      </w:r>
      <w:r w:rsidR="00591F2A">
        <w:t xml:space="preserve">” </w:t>
      </w:r>
      <w:r w:rsidR="00591F2A">
        <w:rPr>
          <w:b/>
          <w:bCs/>
        </w:rPr>
        <w:t>(Sic)</w:t>
      </w:r>
    </w:p>
    <w:p w14:paraId="718C9A62" w14:textId="77777777" w:rsidR="000F761E" w:rsidRDefault="000F761E" w:rsidP="000F761E">
      <w:pPr>
        <w:pStyle w:val="Citas"/>
      </w:pPr>
    </w:p>
    <w:p w14:paraId="6BEB7407" w14:textId="2B3BB11A" w:rsidR="003457EC" w:rsidRDefault="006E135A" w:rsidP="006E135A">
      <w:pPr>
        <w:autoSpaceDE w:val="0"/>
        <w:autoSpaceDN w:val="0"/>
        <w:adjustRightInd w:val="0"/>
        <w:spacing w:before="240" w:line="360" w:lineRule="auto"/>
        <w:jc w:val="both"/>
        <w:rPr>
          <w:rFonts w:ascii="Palatino Linotype" w:hAnsi="Palatino Linotype" w:cs="Arial"/>
          <w:sz w:val="24"/>
          <w:szCs w:val="24"/>
        </w:rPr>
      </w:pPr>
      <w:r w:rsidRPr="008B7C54">
        <w:rPr>
          <w:rFonts w:ascii="Palatino Linotype" w:hAnsi="Palatino Linotype" w:cs="Arial"/>
          <w:sz w:val="24"/>
          <w:szCs w:val="24"/>
        </w:rPr>
        <w:t xml:space="preserve">Bajo este contexto, a toda luz se desprende que la </w:t>
      </w:r>
      <w:r w:rsidR="00387A7A">
        <w:rPr>
          <w:rFonts w:ascii="Palatino Linotype" w:hAnsi="Palatino Linotype" w:cs="Arial"/>
          <w:sz w:val="24"/>
          <w:szCs w:val="24"/>
        </w:rPr>
        <w:t xml:space="preserve">Tesorería municipal se encarga de la recaudación de contribuciones de particulares, así como de llevar los registros contables, financieros y administrativos de los ingresos y egresos del municipio. En contraste, la Dirección de </w:t>
      </w:r>
      <w:r w:rsidR="003457EC">
        <w:rPr>
          <w:rFonts w:ascii="Palatino Linotype" w:hAnsi="Palatino Linotype" w:cs="Arial"/>
          <w:sz w:val="24"/>
          <w:szCs w:val="24"/>
        </w:rPr>
        <w:t>Desarrollo Económico regula diversas aristas vinculadas con mercados, tianguis y comercio semifijo</w:t>
      </w:r>
      <w:r w:rsidR="00591F2A">
        <w:rPr>
          <w:rFonts w:ascii="Palatino Linotype" w:hAnsi="Palatino Linotype" w:cs="Arial"/>
          <w:sz w:val="24"/>
          <w:szCs w:val="24"/>
        </w:rPr>
        <w:t xml:space="preserve"> tales como practica de visitas, nombramiento y remoción de administradores, expedición o revocación de permisos, entre otros. </w:t>
      </w:r>
    </w:p>
    <w:p w14:paraId="250F90CF" w14:textId="221E5461" w:rsidR="001249A0" w:rsidRDefault="001249A0" w:rsidP="001249A0">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De manera complementaria, resulta oportuno traer a colación los artículos 24 fracción XII y 92 fracción </w:t>
      </w:r>
      <w:r w:rsidR="00591F2A">
        <w:rPr>
          <w:rFonts w:ascii="Palatino Linotype" w:hAnsi="Palatino Linotype" w:cs="Arial"/>
          <w:sz w:val="24"/>
          <w:szCs w:val="24"/>
        </w:rPr>
        <w:t>XLVII</w:t>
      </w:r>
      <w:r>
        <w:rPr>
          <w:rFonts w:ascii="Palatino Linotype" w:hAnsi="Palatino Linotype" w:cs="Arial"/>
          <w:sz w:val="24"/>
          <w:szCs w:val="24"/>
        </w:rPr>
        <w:t xml:space="preserve"> de la Ley de Transparencia y Acceso a la Información Pública del Estado de México y Municipios, cuyo contenido literal es el siguiente: </w:t>
      </w:r>
    </w:p>
    <w:p w14:paraId="613328D1" w14:textId="77777777" w:rsidR="001249A0" w:rsidRPr="00FA7CFC" w:rsidRDefault="001249A0" w:rsidP="001249A0">
      <w:pPr>
        <w:pStyle w:val="Default"/>
        <w:spacing w:before="240" w:after="160" w:line="360" w:lineRule="auto"/>
        <w:ind w:left="851" w:right="851"/>
        <w:jc w:val="both"/>
        <w:rPr>
          <w:rFonts w:ascii="Palatino Linotype" w:hAnsi="Palatino Linotype"/>
          <w:b/>
          <w:bCs/>
          <w:i/>
          <w:sz w:val="22"/>
          <w:szCs w:val="22"/>
        </w:rPr>
      </w:pPr>
      <w:r w:rsidRPr="00FA7CFC">
        <w:rPr>
          <w:rFonts w:ascii="Palatino Linotype" w:hAnsi="Palatino Linotype"/>
          <w:b/>
          <w:bCs/>
          <w:i/>
          <w:sz w:val="22"/>
          <w:szCs w:val="22"/>
        </w:rPr>
        <w:t xml:space="preserve">“Artículo 24. </w:t>
      </w:r>
      <w:r w:rsidRPr="00FA7CFC">
        <w:rPr>
          <w:rFonts w:ascii="Palatino Linotype" w:hAnsi="Palatino Linotype"/>
          <w:i/>
          <w:sz w:val="22"/>
          <w:szCs w:val="22"/>
        </w:rPr>
        <w:t>Para el cumplimiento de los objetivos de esta Ley, los sujetos obligados deberán cumplir con las siguientes obligaciones, según corresponda, de acuerdo a su naturaleza:</w:t>
      </w:r>
    </w:p>
    <w:p w14:paraId="02B1CF0B" w14:textId="77777777" w:rsidR="001249A0" w:rsidRPr="00FA7CFC" w:rsidRDefault="001249A0" w:rsidP="001249A0">
      <w:pPr>
        <w:pStyle w:val="Default"/>
        <w:spacing w:before="240" w:after="160" w:line="360" w:lineRule="auto"/>
        <w:ind w:left="851" w:right="851"/>
        <w:jc w:val="both"/>
        <w:rPr>
          <w:rFonts w:ascii="Palatino Linotype" w:hAnsi="Palatino Linotype"/>
          <w:b/>
          <w:bCs/>
          <w:i/>
          <w:sz w:val="22"/>
          <w:szCs w:val="22"/>
        </w:rPr>
      </w:pPr>
      <w:r w:rsidRPr="00FA7CFC">
        <w:rPr>
          <w:rFonts w:ascii="Palatino Linotype" w:hAnsi="Palatino Linotype"/>
          <w:b/>
          <w:bCs/>
          <w:i/>
          <w:sz w:val="22"/>
          <w:szCs w:val="22"/>
        </w:rPr>
        <w:t xml:space="preserve">XII. </w:t>
      </w:r>
      <w:r w:rsidRPr="00FA7CFC">
        <w:rPr>
          <w:rFonts w:ascii="Palatino Linotype" w:hAnsi="Palatino Linotype"/>
          <w:b/>
          <w:i/>
          <w:sz w:val="22"/>
          <w:szCs w:val="22"/>
          <w:u w:val="single"/>
        </w:rPr>
        <w:t>Publicar y mantener actualizada la información relativa a las obligaciones generales de transparencia</w:t>
      </w:r>
      <w:r w:rsidRPr="00FA7CFC">
        <w:rPr>
          <w:rFonts w:ascii="Palatino Linotype" w:hAnsi="Palatino Linotype"/>
          <w:i/>
          <w:sz w:val="22"/>
          <w:szCs w:val="22"/>
        </w:rPr>
        <w:t xml:space="preserve"> previstas en la presente Ley o determinadas así por el Instituto, y en general aquella que sea de interés público;</w:t>
      </w:r>
    </w:p>
    <w:p w14:paraId="7A6088CC" w14:textId="77777777" w:rsidR="001249A0" w:rsidRDefault="001249A0" w:rsidP="001249A0">
      <w:pPr>
        <w:pStyle w:val="Default"/>
        <w:spacing w:before="240" w:after="160" w:line="360" w:lineRule="auto"/>
        <w:ind w:left="851" w:right="851"/>
        <w:jc w:val="both"/>
        <w:rPr>
          <w:rFonts w:ascii="Palatino Linotype" w:hAnsi="Palatino Linotype"/>
          <w:i/>
          <w:sz w:val="22"/>
          <w:szCs w:val="22"/>
        </w:rPr>
      </w:pPr>
      <w:r w:rsidRPr="00FA7CFC">
        <w:rPr>
          <w:rFonts w:ascii="Palatino Linotype" w:hAnsi="Palatino Linotype"/>
          <w:b/>
          <w:bCs/>
          <w:i/>
          <w:sz w:val="22"/>
          <w:szCs w:val="22"/>
        </w:rPr>
        <w:lastRenderedPageBreak/>
        <w:t xml:space="preserve">Artículo 92. </w:t>
      </w:r>
      <w:r w:rsidRPr="00FA7CFC">
        <w:rPr>
          <w:rFonts w:ascii="Palatino Linotype" w:hAnsi="Palatino Linotype"/>
          <w:i/>
          <w:sz w:val="22"/>
          <w:szCs w:val="22"/>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646CF5F7" w14:textId="77777777" w:rsidR="001249A0" w:rsidRDefault="001249A0" w:rsidP="001249A0">
      <w:pPr>
        <w:pStyle w:val="Default"/>
        <w:spacing w:before="240" w:after="160" w:line="360" w:lineRule="auto"/>
        <w:ind w:left="851" w:right="851"/>
        <w:jc w:val="both"/>
        <w:rPr>
          <w:rFonts w:ascii="Palatino Linotype" w:hAnsi="Palatino Linotype"/>
          <w:i/>
          <w:sz w:val="22"/>
          <w:szCs w:val="22"/>
        </w:rPr>
      </w:pPr>
      <w:r>
        <w:rPr>
          <w:rFonts w:ascii="Palatino Linotype" w:hAnsi="Palatino Linotype"/>
          <w:b/>
          <w:bCs/>
          <w:i/>
          <w:sz w:val="22"/>
          <w:szCs w:val="22"/>
        </w:rPr>
        <w:t>(…</w:t>
      </w:r>
      <w:r>
        <w:rPr>
          <w:rFonts w:ascii="Palatino Linotype" w:hAnsi="Palatino Linotype"/>
          <w:i/>
          <w:sz w:val="22"/>
          <w:szCs w:val="22"/>
        </w:rPr>
        <w:t>)</w:t>
      </w:r>
    </w:p>
    <w:p w14:paraId="56DC2A1D" w14:textId="77777777" w:rsidR="00591F2A" w:rsidRPr="00591F2A" w:rsidRDefault="00591F2A" w:rsidP="00591F2A">
      <w:pPr>
        <w:pStyle w:val="Citas"/>
        <w:rPr>
          <w:b/>
          <w:bCs/>
          <w:u w:val="single"/>
        </w:rPr>
      </w:pPr>
      <w:r w:rsidRPr="00591F2A">
        <w:rPr>
          <w:b/>
          <w:bCs/>
          <w:u w:val="single"/>
        </w:rPr>
        <w:t xml:space="preserve">XLVII. Los ingresos recibidos por cualquier concepto señalando el nombre de los responsables de recibirlos, administrarlos y ejercerlos, indicando el destino de cada uno de ellos; </w:t>
      </w:r>
    </w:p>
    <w:p w14:paraId="7D60A052" w14:textId="17093252" w:rsidR="001249A0" w:rsidRPr="00682B6F" w:rsidRDefault="001249A0" w:rsidP="001249A0">
      <w:pPr>
        <w:autoSpaceDE w:val="0"/>
        <w:autoSpaceDN w:val="0"/>
        <w:adjustRightInd w:val="0"/>
        <w:spacing w:before="240" w:line="360" w:lineRule="auto"/>
        <w:ind w:left="851" w:right="851"/>
        <w:jc w:val="both"/>
        <w:rPr>
          <w:rFonts w:ascii="Palatino Linotype" w:hAnsi="Palatino Linotype"/>
          <w:b/>
          <w:i/>
          <w:u w:val="single"/>
        </w:rPr>
      </w:pPr>
      <w:r>
        <w:rPr>
          <w:rFonts w:ascii="Palatino Linotype" w:hAnsi="Palatino Linotype"/>
          <w:b/>
          <w:i/>
          <w:u w:val="single"/>
        </w:rPr>
        <w:t>(…)</w:t>
      </w:r>
      <w:r w:rsidRPr="00682B6F">
        <w:rPr>
          <w:rFonts w:ascii="Palatino Linotype" w:hAnsi="Palatino Linotype"/>
          <w:b/>
          <w:i/>
          <w:u w:val="single"/>
        </w:rPr>
        <w:t>”</w:t>
      </w:r>
      <w:r w:rsidRPr="00682B6F">
        <w:rPr>
          <w:rFonts w:ascii="Palatino Linotype" w:hAnsi="Palatino Linotype"/>
          <w:i/>
          <w:u w:val="single"/>
        </w:rPr>
        <w:t xml:space="preserve"> </w:t>
      </w:r>
      <w:r w:rsidRPr="00682B6F">
        <w:rPr>
          <w:rFonts w:ascii="Palatino Linotype" w:hAnsi="Palatino Linotype"/>
          <w:b/>
          <w:i/>
          <w:u w:val="single"/>
        </w:rPr>
        <w:t>[Sic]</w:t>
      </w:r>
    </w:p>
    <w:p w14:paraId="7EF36FD5" w14:textId="77777777" w:rsidR="001249A0" w:rsidRDefault="001249A0" w:rsidP="001249A0">
      <w:pPr>
        <w:autoSpaceDE w:val="0"/>
        <w:autoSpaceDN w:val="0"/>
        <w:adjustRightInd w:val="0"/>
        <w:spacing w:before="240" w:line="360" w:lineRule="auto"/>
        <w:ind w:right="851"/>
        <w:jc w:val="both"/>
        <w:rPr>
          <w:rFonts w:ascii="Palatino Linotype" w:hAnsi="Palatino Linotype"/>
          <w:b/>
          <w:i/>
        </w:rPr>
      </w:pPr>
    </w:p>
    <w:p w14:paraId="5C163CEE" w14:textId="4D45A2DF" w:rsidR="001249A0" w:rsidRDefault="001249A0" w:rsidP="001249A0">
      <w:pPr>
        <w:spacing w:line="360" w:lineRule="auto"/>
        <w:contextualSpacing/>
        <w:jc w:val="both"/>
        <w:rPr>
          <w:rFonts w:ascii="Palatino Linotype" w:eastAsia="MS Mincho" w:hAnsi="Palatino Linotype" w:cs="Times New Roman"/>
          <w:sz w:val="24"/>
          <w:szCs w:val="24"/>
        </w:rPr>
      </w:pPr>
      <w:r w:rsidRPr="0039245A">
        <w:rPr>
          <w:rFonts w:ascii="Palatino Linotype" w:eastAsia="MS Mincho" w:hAnsi="Palatino Linotype" w:cs="Tahoma"/>
          <w:sz w:val="24"/>
          <w:szCs w:val="24"/>
        </w:rPr>
        <w:t>Así</w:t>
      </w:r>
      <w:r>
        <w:rPr>
          <w:rFonts w:ascii="Palatino Linotype" w:eastAsia="MS Mincho" w:hAnsi="Palatino Linotype" w:cs="Tahoma"/>
          <w:sz w:val="24"/>
          <w:szCs w:val="24"/>
        </w:rPr>
        <w:t>,</w:t>
      </w:r>
      <w:r w:rsidRPr="0039245A">
        <w:rPr>
          <w:rFonts w:ascii="Palatino Linotype" w:eastAsia="MS Mincho" w:hAnsi="Palatino Linotype" w:cs="Tahoma"/>
          <w:sz w:val="24"/>
          <w:szCs w:val="24"/>
        </w:rPr>
        <w:t xml:space="preserve"> la Ley de Transparencia y Acceso a la Información Pública del Estado de México y Municipios </w:t>
      </w:r>
      <w:r w:rsidRPr="0039245A">
        <w:rPr>
          <w:rFonts w:ascii="Palatino Linotype" w:eastAsia="Arial Unicode MS" w:hAnsi="Palatino Linotype" w:cs="Arial"/>
          <w:sz w:val="24"/>
          <w:szCs w:val="24"/>
        </w:rPr>
        <w:t xml:space="preserve">en el artículo 92 </w:t>
      </w:r>
      <w:r w:rsidRPr="0039245A">
        <w:rPr>
          <w:rFonts w:ascii="Palatino Linotype" w:eastAsia="Arial Unicode MS" w:hAnsi="Palatino Linotype" w:cs="Times New Roman"/>
          <w:sz w:val="24"/>
          <w:szCs w:val="24"/>
        </w:rPr>
        <w:t xml:space="preserve">fracción </w:t>
      </w:r>
      <w:r w:rsidR="00591F2A">
        <w:rPr>
          <w:rFonts w:ascii="Palatino Linotype" w:eastAsia="Arial Unicode MS" w:hAnsi="Palatino Linotype" w:cs="Times New Roman"/>
          <w:sz w:val="24"/>
          <w:szCs w:val="24"/>
        </w:rPr>
        <w:t>XLVII</w:t>
      </w:r>
      <w:r w:rsidRPr="0039245A">
        <w:rPr>
          <w:rFonts w:ascii="Palatino Linotype" w:eastAsia="Arial Unicode MS" w:hAnsi="Palatino Linotype" w:cs="Times New Roman"/>
          <w:sz w:val="24"/>
          <w:szCs w:val="24"/>
        </w:rPr>
        <w:t>, señala que</w:t>
      </w:r>
      <w:r w:rsidRPr="0039245A">
        <w:rPr>
          <w:rFonts w:ascii="Palatino Linotype" w:eastAsia="MS Mincho" w:hAnsi="Palatino Linotype" w:cs="Tahoma"/>
          <w:sz w:val="24"/>
          <w:szCs w:val="24"/>
        </w:rPr>
        <w:t xml:space="preserve"> la </w:t>
      </w:r>
      <w:r w:rsidRPr="0039245A">
        <w:rPr>
          <w:rFonts w:ascii="Palatino Linotype" w:eastAsia="Times New Roman" w:hAnsi="Palatino Linotype" w:cs="Arial"/>
          <w:sz w:val="24"/>
          <w:szCs w:val="24"/>
        </w:rPr>
        <w:t xml:space="preserve">información solicitada respecto de </w:t>
      </w:r>
      <w:r w:rsidR="00591F2A">
        <w:rPr>
          <w:rFonts w:ascii="Palatino Linotype" w:eastAsia="Times New Roman" w:hAnsi="Palatino Linotype" w:cs="Arial"/>
          <w:sz w:val="24"/>
          <w:szCs w:val="24"/>
        </w:rPr>
        <w:t xml:space="preserve">ingresos por </w:t>
      </w:r>
      <w:r w:rsidR="00D314C2">
        <w:rPr>
          <w:rFonts w:ascii="Palatino Linotype" w:eastAsia="Times New Roman" w:hAnsi="Palatino Linotype" w:cs="Arial"/>
          <w:sz w:val="24"/>
          <w:szCs w:val="24"/>
        </w:rPr>
        <w:t xml:space="preserve">cualquier concepto (mercados, tianguis, comercios fijo y semifijos), </w:t>
      </w:r>
      <w:r w:rsidRPr="0039245A">
        <w:rPr>
          <w:rFonts w:ascii="Palatino Linotype" w:eastAsia="Arial Unicode MS" w:hAnsi="Palatino Linotype" w:cs="Arial"/>
          <w:sz w:val="24"/>
          <w:szCs w:val="24"/>
        </w:rPr>
        <w:t xml:space="preserve">se trata de las obligaciones de transparencia comunes, esto es, información que por su naturaleza es pública y que los </w:t>
      </w:r>
      <w:r w:rsidRPr="0039245A">
        <w:rPr>
          <w:rFonts w:ascii="Palatino Linotype" w:eastAsia="MS Mincho" w:hAnsi="Palatino Linotype" w:cs="Times New Roman"/>
          <w:sz w:val="24"/>
          <w:szCs w:val="24"/>
        </w:rPr>
        <w:t xml:space="preserve">sujetos obligados deben poner a disposición del público de manera permanente y por tanto deberán mantenerla actualizada, en los respectivos medios electrónicos, de acuerdo con sus facultades, atribuciones, funciones u objeto </w:t>
      </w:r>
      <w:r w:rsidRPr="00C82D1D">
        <w:rPr>
          <w:rFonts w:ascii="Palatino Linotype" w:eastAsia="MS Mincho" w:hAnsi="Palatino Linotype" w:cs="Times New Roman"/>
          <w:sz w:val="24"/>
          <w:szCs w:val="24"/>
        </w:rPr>
        <w:t xml:space="preserve">social. </w:t>
      </w:r>
    </w:p>
    <w:p w14:paraId="5C2C6EB8" w14:textId="77777777" w:rsidR="001249A0" w:rsidRDefault="001249A0" w:rsidP="001249A0">
      <w:pPr>
        <w:spacing w:line="360" w:lineRule="auto"/>
        <w:contextualSpacing/>
        <w:jc w:val="both"/>
        <w:rPr>
          <w:rFonts w:ascii="Palatino Linotype" w:eastAsia="MS Mincho" w:hAnsi="Palatino Linotype" w:cs="Times New Roman"/>
          <w:sz w:val="24"/>
          <w:szCs w:val="24"/>
        </w:rPr>
      </w:pPr>
    </w:p>
    <w:p w14:paraId="7A82003C" w14:textId="60711BE2" w:rsidR="00A6185A" w:rsidRDefault="00CD783C" w:rsidP="00A6185A">
      <w:pPr>
        <w:spacing w:line="360" w:lineRule="auto"/>
        <w:jc w:val="both"/>
        <w:rPr>
          <w:rFonts w:ascii="Palatino Linotype" w:hAnsi="Palatino Linotype" w:cs="Arial"/>
          <w:sz w:val="24"/>
          <w:szCs w:val="24"/>
        </w:rPr>
      </w:pPr>
      <w:r>
        <w:rPr>
          <w:rFonts w:ascii="Palatino Linotype" w:hAnsi="Palatino Linotype"/>
          <w:sz w:val="24"/>
          <w:szCs w:val="24"/>
        </w:rPr>
        <w:t xml:space="preserve">Con base en lo anteriormente expuesto, se desprende que la esfera competencial del </w:t>
      </w:r>
      <w:r>
        <w:rPr>
          <w:rFonts w:ascii="Palatino Linotype" w:hAnsi="Palatino Linotype"/>
          <w:b/>
          <w:bCs/>
          <w:sz w:val="24"/>
          <w:szCs w:val="24"/>
        </w:rPr>
        <w:t xml:space="preserve">Sujeto Obligado </w:t>
      </w:r>
      <w:r>
        <w:rPr>
          <w:rFonts w:ascii="Palatino Linotype" w:hAnsi="Palatino Linotype"/>
          <w:sz w:val="24"/>
          <w:szCs w:val="24"/>
        </w:rPr>
        <w:t xml:space="preserve">le constriñe a generar, poseer y administrar la información requerida. </w:t>
      </w:r>
      <w:r w:rsidR="00A6185A">
        <w:rPr>
          <w:rFonts w:ascii="Palatino Linotype" w:hAnsi="Palatino Linotype" w:cs="Arial"/>
          <w:sz w:val="24"/>
          <w:szCs w:val="24"/>
        </w:rPr>
        <w:t xml:space="preserve">Bajo este contexto, en términos de los numerales 18 y 19 de la Ley de Transparencia </w:t>
      </w:r>
      <w:r w:rsidR="00A6185A">
        <w:rPr>
          <w:rFonts w:ascii="Palatino Linotype" w:hAnsi="Palatino Linotype" w:cs="Arial"/>
          <w:sz w:val="24"/>
          <w:szCs w:val="24"/>
        </w:rPr>
        <w:lastRenderedPageBreak/>
        <w:t xml:space="preserve">local existe obligación de documentar actos de autoridad, así como una presunción de existencia de la información cuando se refiera a las atribuciones de los sujetos obligados, porciones normativas que disponen a la literalidad lo siguiente: </w:t>
      </w:r>
    </w:p>
    <w:p w14:paraId="684FF335" w14:textId="77777777" w:rsidR="00A6185A" w:rsidRDefault="00A6185A" w:rsidP="00A6185A">
      <w:pPr>
        <w:pStyle w:val="Citas"/>
      </w:pPr>
      <w:r>
        <w:t xml:space="preserve">“Artículo 18. Los sujetos obligados deberán documentar todo acto que derive del ejercicio de sus facultades, competencias o funciones, considerando desde su origen la eventual publicidad y reutilización de la información que generen. </w:t>
      </w:r>
    </w:p>
    <w:p w14:paraId="5E322A5E" w14:textId="77777777" w:rsidR="00A6185A" w:rsidRDefault="00A6185A" w:rsidP="00A6185A">
      <w:pPr>
        <w:pStyle w:val="Citas"/>
      </w:pPr>
      <w:r>
        <w:t xml:space="preserve">Artículo 19. Se presume que la información debe existir si se refiere a las facultades, competencias y funciones que los ordenamientos jurídicos aplicables otorgan a los sujetos obligados. </w:t>
      </w:r>
    </w:p>
    <w:p w14:paraId="45904A7D" w14:textId="77777777" w:rsidR="00A6185A" w:rsidRDefault="00A6185A" w:rsidP="00A6185A">
      <w:pPr>
        <w:pStyle w:val="Citas"/>
      </w:pPr>
      <w:r>
        <w:t xml:space="preserve">En los casos en que ciertas facultades, competencias o funciones no se hayan ejercido, se debe motivar la respuesta en función de las causas que motiven tal circunstancia. </w:t>
      </w:r>
    </w:p>
    <w:p w14:paraId="4B867E4B" w14:textId="77777777" w:rsidR="00A6185A" w:rsidRPr="00407C65" w:rsidRDefault="00A6185A" w:rsidP="00A6185A">
      <w:pPr>
        <w:pStyle w:val="Citas"/>
        <w:rPr>
          <w:b/>
          <w:bCs/>
          <w:sz w:val="24"/>
          <w:szCs w:val="24"/>
        </w:rPr>
      </w:pPr>
      <w: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Pr>
          <w:b/>
          <w:bCs/>
        </w:rPr>
        <w:t>(Sic)</w:t>
      </w:r>
    </w:p>
    <w:p w14:paraId="6623167F" w14:textId="77777777" w:rsidR="00AB535D" w:rsidRDefault="00AB535D" w:rsidP="00A6185A">
      <w:pPr>
        <w:spacing w:after="240" w:line="360" w:lineRule="auto"/>
        <w:jc w:val="both"/>
        <w:rPr>
          <w:rFonts w:ascii="Palatino Linotype" w:hAnsi="Palatino Linotype" w:cs="Arial"/>
          <w:color w:val="000000"/>
          <w:sz w:val="24"/>
          <w:lang w:val="es-ES_tradnl"/>
        </w:rPr>
      </w:pPr>
    </w:p>
    <w:p w14:paraId="4C0C9AD9" w14:textId="7FF287F6" w:rsidR="00D314C2" w:rsidRDefault="00A6185A" w:rsidP="00A6185A">
      <w:pPr>
        <w:spacing w:after="240" w:line="360" w:lineRule="auto"/>
        <w:jc w:val="both"/>
        <w:rPr>
          <w:rFonts w:ascii="Palatino Linotype" w:hAnsi="Palatino Linotype" w:cs="Arial"/>
          <w:color w:val="000000"/>
          <w:sz w:val="24"/>
          <w:lang w:val="es-ES_tradnl"/>
        </w:rPr>
      </w:pPr>
      <w:r w:rsidRPr="00114DCB">
        <w:rPr>
          <w:rFonts w:ascii="Palatino Linotype" w:hAnsi="Palatino Linotype" w:cs="Arial"/>
          <w:color w:val="000000"/>
          <w:sz w:val="24"/>
          <w:lang w:val="es-ES_tradnl"/>
        </w:rPr>
        <w:t xml:space="preserve">Una vez sentado lo anterior, como se mencionó en el antecedente </w:t>
      </w:r>
      <w:r>
        <w:rPr>
          <w:rFonts w:ascii="Palatino Linotype" w:hAnsi="Palatino Linotype" w:cs="Arial"/>
          <w:color w:val="000000"/>
          <w:sz w:val="24"/>
          <w:lang w:val="es-ES_tradnl"/>
        </w:rPr>
        <w:t>segundo</w:t>
      </w:r>
      <w:r w:rsidRPr="00114DCB">
        <w:rPr>
          <w:rFonts w:ascii="Palatino Linotype" w:hAnsi="Palatino Linotype" w:cs="Arial"/>
          <w:color w:val="000000"/>
          <w:sz w:val="24"/>
          <w:lang w:val="es-ES_tradnl"/>
        </w:rPr>
        <w:t xml:space="preserve">, </w:t>
      </w:r>
      <w:r w:rsidRPr="00114DCB">
        <w:rPr>
          <w:rFonts w:ascii="Palatino Linotype" w:hAnsi="Palatino Linotype" w:cs="Arial"/>
          <w:b/>
          <w:color w:val="000000"/>
          <w:sz w:val="24"/>
          <w:lang w:val="es-ES_tradnl"/>
        </w:rPr>
        <w:t xml:space="preserve">El Sujeto Obligado </w:t>
      </w:r>
      <w:r w:rsidRPr="00114DCB">
        <w:rPr>
          <w:rFonts w:ascii="Palatino Linotype" w:hAnsi="Palatino Linotype" w:cs="Arial"/>
          <w:color w:val="000000"/>
          <w:sz w:val="24"/>
          <w:lang w:val="es-ES_tradnl"/>
        </w:rPr>
        <w:t>en fecha</w:t>
      </w:r>
      <w:r>
        <w:rPr>
          <w:rFonts w:ascii="Palatino Linotype" w:hAnsi="Palatino Linotype" w:cs="Arial"/>
          <w:color w:val="000000"/>
          <w:sz w:val="24"/>
          <w:lang w:val="es-ES_tradnl"/>
        </w:rPr>
        <w:t xml:space="preserve"> </w:t>
      </w:r>
      <w:r w:rsidR="00830560">
        <w:rPr>
          <w:rFonts w:ascii="Palatino Linotype" w:hAnsi="Palatino Linotype" w:cs="Arial"/>
          <w:b/>
          <w:bCs/>
          <w:color w:val="000000"/>
          <w:sz w:val="24"/>
          <w:lang w:val="es-ES_tradnl"/>
        </w:rPr>
        <w:t xml:space="preserve">veintinueve de agosto de dos mil veintitrés, </w:t>
      </w:r>
      <w:r w:rsidR="00830560">
        <w:rPr>
          <w:rFonts w:ascii="Palatino Linotype" w:hAnsi="Palatino Linotype" w:cs="Arial"/>
          <w:color w:val="000000"/>
          <w:sz w:val="24"/>
          <w:lang w:val="es-ES_tradnl"/>
        </w:rPr>
        <w:t>rindió su respuesta a la solicitud de información formulada por el particular, adjuntando para tal efecto lo siguiente:</w:t>
      </w:r>
    </w:p>
    <w:p w14:paraId="1AD27563" w14:textId="55F86E75" w:rsidR="004A0857" w:rsidRDefault="00830560" w:rsidP="00DA084A">
      <w:pPr>
        <w:pStyle w:val="Prrafodelista"/>
        <w:numPr>
          <w:ilvl w:val="0"/>
          <w:numId w:val="8"/>
        </w:numPr>
        <w:spacing w:after="240" w:line="360" w:lineRule="auto"/>
        <w:jc w:val="both"/>
        <w:rPr>
          <w:rFonts w:ascii="Palatino Linotype" w:hAnsi="Palatino Linotype" w:cs="Arial"/>
          <w:b/>
          <w:bCs/>
          <w:color w:val="000000"/>
          <w:lang w:val="es-ES_tradnl"/>
        </w:rPr>
      </w:pPr>
      <w:r>
        <w:rPr>
          <w:rFonts w:ascii="Palatino Linotype" w:hAnsi="Palatino Linotype" w:cs="Arial"/>
          <w:b/>
          <w:bCs/>
          <w:color w:val="000000"/>
          <w:lang w:val="es-ES_tradnl"/>
        </w:rPr>
        <w:t>“RESPUESTA 463.pdf”:</w:t>
      </w:r>
      <w:r w:rsidR="004A0857">
        <w:rPr>
          <w:rFonts w:ascii="Palatino Linotype" w:hAnsi="Palatino Linotype" w:cs="Arial"/>
          <w:b/>
          <w:bCs/>
          <w:color w:val="000000"/>
          <w:lang w:val="es-ES_tradnl"/>
        </w:rPr>
        <w:t xml:space="preserve"> </w:t>
      </w:r>
      <w:r w:rsidR="004A0857">
        <w:rPr>
          <w:rFonts w:ascii="Palatino Linotype" w:hAnsi="Palatino Linotype" w:cs="Arial"/>
          <w:color w:val="000000"/>
          <w:lang w:val="es-ES_tradnl"/>
        </w:rPr>
        <w:t>Compila lo siguiente:</w:t>
      </w:r>
    </w:p>
    <w:p w14:paraId="1DC08AD3" w14:textId="32195C72" w:rsidR="00830560" w:rsidRPr="004A0857" w:rsidRDefault="004A0857" w:rsidP="00DA084A">
      <w:pPr>
        <w:pStyle w:val="Prrafodelista"/>
        <w:numPr>
          <w:ilvl w:val="0"/>
          <w:numId w:val="3"/>
        </w:numPr>
        <w:spacing w:after="240" w:line="360" w:lineRule="auto"/>
        <w:jc w:val="both"/>
        <w:rPr>
          <w:rFonts w:ascii="Palatino Linotype" w:hAnsi="Palatino Linotype" w:cs="Arial"/>
          <w:b/>
          <w:bCs/>
          <w:color w:val="000000"/>
          <w:lang w:val="es-ES_tradnl"/>
        </w:rPr>
      </w:pPr>
      <w:r w:rsidRPr="004A0857">
        <w:rPr>
          <w:rFonts w:ascii="Palatino Linotype" w:hAnsi="Palatino Linotype" w:cs="Arial"/>
          <w:color w:val="000000"/>
          <w:lang w:val="es-ES_tradnl"/>
        </w:rPr>
        <w:lastRenderedPageBreak/>
        <w:t xml:space="preserve">Oficio número </w:t>
      </w:r>
      <w:r w:rsidRPr="004A0857">
        <w:rPr>
          <w:rFonts w:ascii="Palatino Linotype" w:hAnsi="Palatino Linotype" w:cs="Arial"/>
          <w:b/>
          <w:bCs/>
          <w:color w:val="000000"/>
          <w:lang w:val="es-ES_tradnl"/>
        </w:rPr>
        <w:t xml:space="preserve">DA/5317/2023 </w:t>
      </w:r>
      <w:r w:rsidRPr="004A0857">
        <w:rPr>
          <w:rFonts w:ascii="Palatino Linotype" w:hAnsi="Palatino Linotype" w:cs="Arial"/>
          <w:color w:val="000000"/>
          <w:lang w:val="es-ES_tradnl"/>
        </w:rPr>
        <w:t xml:space="preserve">signado por el </w:t>
      </w:r>
      <w:r>
        <w:rPr>
          <w:rFonts w:ascii="Palatino Linotype" w:hAnsi="Palatino Linotype" w:cs="Arial"/>
          <w:color w:val="000000"/>
          <w:lang w:val="es-ES_tradnl"/>
        </w:rPr>
        <w:t xml:space="preserve">director de administración y dirigido a la titular de la coordinación de transparencia, de fecha siete de agosto de dos mil veintitrés, en lo medular refiere adjuntar oficio emitido por servidor público habilitado adscrito a la subdirección de recursos humanos. Adicionalmente, señala que no resulta ámbito de su competencia la información relativa a tianguis o mercados sobre ruedas. </w:t>
      </w:r>
    </w:p>
    <w:p w14:paraId="15408C96" w14:textId="4CD81A51" w:rsidR="004A0857" w:rsidRPr="00DF4892" w:rsidRDefault="004A0857" w:rsidP="00DA084A">
      <w:pPr>
        <w:pStyle w:val="Prrafodelista"/>
        <w:numPr>
          <w:ilvl w:val="0"/>
          <w:numId w:val="3"/>
        </w:numPr>
        <w:spacing w:after="240" w:line="360" w:lineRule="auto"/>
        <w:jc w:val="both"/>
        <w:rPr>
          <w:rFonts w:ascii="Palatino Linotype" w:hAnsi="Palatino Linotype" w:cs="Arial"/>
          <w:b/>
          <w:bCs/>
          <w:color w:val="000000"/>
          <w:lang w:val="es-ES_tradnl"/>
        </w:rPr>
      </w:pPr>
      <w:r>
        <w:rPr>
          <w:rFonts w:ascii="Palatino Linotype" w:hAnsi="Palatino Linotype" w:cs="Arial"/>
          <w:color w:val="000000"/>
          <w:lang w:val="es-ES_tradnl"/>
        </w:rPr>
        <w:t xml:space="preserve">Oficio número </w:t>
      </w:r>
      <w:r>
        <w:rPr>
          <w:rFonts w:ascii="Palatino Linotype" w:hAnsi="Palatino Linotype" w:cs="Arial"/>
          <w:b/>
          <w:bCs/>
          <w:color w:val="000000"/>
          <w:lang w:val="es-ES_tradnl"/>
        </w:rPr>
        <w:t xml:space="preserve">SRH/0181/2023 </w:t>
      </w:r>
      <w:r>
        <w:rPr>
          <w:rFonts w:ascii="Palatino Linotype" w:hAnsi="Palatino Linotype" w:cs="Arial"/>
          <w:color w:val="000000"/>
          <w:lang w:val="es-ES_tradnl"/>
        </w:rPr>
        <w:t>signado por la subdirectora de recursos  humanos y dirigido al director de administración, de fecha tres de agosto de dos mil veintitrés, en síntesis refiere desconocer quien es el servidor público encargado de supervisar, cobrar a los puestos y controlar los tianguis o mercados sobre ruedas, sin embargo, refiere adjuntar listado de servidores públicos adscritos al Departamento de Comercio en Vía Pública y Mercados. Adicionalmente, señala que no resulta ámbito de su competencia la información relativa a tianguis o mercados sobre ruedas.</w:t>
      </w:r>
    </w:p>
    <w:p w14:paraId="33A52F83" w14:textId="77777777" w:rsidR="00DF4892" w:rsidRPr="004A0857" w:rsidRDefault="00DF4892" w:rsidP="00DF4892">
      <w:pPr>
        <w:pStyle w:val="Prrafodelista"/>
        <w:spacing w:after="240" w:line="360" w:lineRule="auto"/>
        <w:ind w:left="720"/>
        <w:jc w:val="both"/>
        <w:rPr>
          <w:rFonts w:ascii="Palatino Linotype" w:hAnsi="Palatino Linotype" w:cs="Arial"/>
          <w:b/>
          <w:bCs/>
          <w:color w:val="000000"/>
          <w:lang w:val="es-ES_tradnl"/>
        </w:rPr>
      </w:pPr>
    </w:p>
    <w:p w14:paraId="5A7BCB8A" w14:textId="458EC35D" w:rsidR="00830560" w:rsidRPr="005F4A8C" w:rsidRDefault="00830560" w:rsidP="00DA084A">
      <w:pPr>
        <w:pStyle w:val="Prrafodelista"/>
        <w:numPr>
          <w:ilvl w:val="0"/>
          <w:numId w:val="8"/>
        </w:numPr>
        <w:spacing w:after="240" w:line="360" w:lineRule="auto"/>
        <w:jc w:val="both"/>
        <w:rPr>
          <w:rFonts w:ascii="Palatino Linotype" w:hAnsi="Palatino Linotype" w:cs="Arial"/>
          <w:b/>
          <w:bCs/>
          <w:color w:val="000000"/>
          <w:lang w:val="es-ES_tradnl"/>
        </w:rPr>
      </w:pPr>
      <w:r>
        <w:rPr>
          <w:rFonts w:ascii="Palatino Linotype" w:hAnsi="Palatino Linotype" w:cs="Arial"/>
          <w:b/>
          <w:bCs/>
          <w:color w:val="000000"/>
          <w:lang w:val="es-ES_tradnl"/>
        </w:rPr>
        <w:t>“LISTADO DE TIANGUIS saimex 463.pdf”:</w:t>
      </w:r>
      <w:r w:rsidR="004A0857">
        <w:rPr>
          <w:rFonts w:ascii="Palatino Linotype" w:hAnsi="Palatino Linotype" w:cs="Arial"/>
          <w:b/>
          <w:bCs/>
          <w:color w:val="000000"/>
          <w:lang w:val="es-ES_tradnl"/>
        </w:rPr>
        <w:t xml:space="preserve"> </w:t>
      </w:r>
      <w:r w:rsidR="004A0857">
        <w:rPr>
          <w:rFonts w:ascii="Palatino Linotype" w:hAnsi="Palatino Linotype" w:cs="Arial"/>
          <w:color w:val="000000"/>
          <w:lang w:val="es-ES_tradnl"/>
        </w:rPr>
        <w:t>Listado de tianguis en el municipio de Cuautitlán Izcalli, refleja número progresivo</w:t>
      </w:r>
      <w:r w:rsidR="002E4703">
        <w:rPr>
          <w:rFonts w:ascii="Palatino Linotype" w:hAnsi="Palatino Linotype" w:cs="Arial"/>
          <w:color w:val="000000"/>
          <w:lang w:val="es-ES_tradnl"/>
        </w:rPr>
        <w:t xml:space="preserve"> (1 al 73), número de puestos aproximado y superficie que ocupa. </w:t>
      </w:r>
      <w:r w:rsidR="005F4A8C">
        <w:rPr>
          <w:rFonts w:ascii="Palatino Linotype" w:hAnsi="Palatino Linotype" w:cs="Arial"/>
          <w:color w:val="000000"/>
          <w:lang w:val="es-ES_tradnl"/>
        </w:rPr>
        <w:t>Sirve de sustento la siguiente imagen ilustrativa:</w:t>
      </w:r>
    </w:p>
    <w:p w14:paraId="6D1493AF" w14:textId="77777777" w:rsidR="005F4A8C" w:rsidRDefault="005F4A8C" w:rsidP="005F4A8C">
      <w:pPr>
        <w:spacing w:after="240" w:line="360" w:lineRule="auto"/>
        <w:jc w:val="both"/>
        <w:rPr>
          <w:rFonts w:ascii="Palatino Linotype" w:hAnsi="Palatino Linotype" w:cs="Arial"/>
          <w:b/>
          <w:bCs/>
          <w:color w:val="000000"/>
          <w:lang w:val="es-ES_tradnl"/>
        </w:rPr>
      </w:pPr>
    </w:p>
    <w:p w14:paraId="1B1109CE" w14:textId="77777777" w:rsidR="005F4A8C" w:rsidRDefault="005F4A8C" w:rsidP="005F4A8C">
      <w:pPr>
        <w:spacing w:after="240" w:line="360" w:lineRule="auto"/>
        <w:jc w:val="both"/>
        <w:rPr>
          <w:rFonts w:ascii="Palatino Linotype" w:hAnsi="Palatino Linotype" w:cs="Arial"/>
          <w:b/>
          <w:bCs/>
          <w:color w:val="000000"/>
          <w:lang w:val="es-ES_tradnl"/>
        </w:rPr>
      </w:pPr>
    </w:p>
    <w:p w14:paraId="7C954A1E" w14:textId="528D0AAA" w:rsidR="005F4A8C" w:rsidRDefault="005F4A8C" w:rsidP="005F4A8C">
      <w:pPr>
        <w:spacing w:after="240" w:line="360" w:lineRule="auto"/>
        <w:jc w:val="both"/>
        <w:rPr>
          <w:rFonts w:ascii="Palatino Linotype" w:hAnsi="Palatino Linotype" w:cs="Arial"/>
          <w:b/>
          <w:bCs/>
          <w:color w:val="000000"/>
          <w:lang w:val="es-ES_tradnl"/>
        </w:rPr>
      </w:pPr>
      <w:r>
        <w:rPr>
          <w:rFonts w:ascii="Palatino Linotype" w:hAnsi="Palatino Linotype" w:cs="Arial"/>
          <w:b/>
          <w:bCs/>
          <w:noProof/>
          <w:color w:val="000000"/>
          <w:lang w:eastAsia="es-MX"/>
        </w:rPr>
        <w:lastRenderedPageBreak/>
        <w:drawing>
          <wp:anchor distT="0" distB="0" distL="114300" distR="114300" simplePos="0" relativeHeight="251813878" behindDoc="0" locked="0" layoutInCell="1" allowOverlap="1" wp14:anchorId="07DEFB72" wp14:editId="6C2644A8">
            <wp:simplePos x="0" y="0"/>
            <wp:positionH relativeFrom="margin">
              <wp:align>right</wp:align>
            </wp:positionH>
            <wp:positionV relativeFrom="paragraph">
              <wp:posOffset>19050</wp:posOffset>
            </wp:positionV>
            <wp:extent cx="5759450" cy="3238500"/>
            <wp:effectExtent l="19050" t="19050" r="12700" b="19050"/>
            <wp:wrapThrough wrapText="bothSides">
              <wp:wrapPolygon edited="0">
                <wp:start x="-71" y="-127"/>
                <wp:lineTo x="-71" y="21600"/>
                <wp:lineTo x="21576" y="21600"/>
                <wp:lineTo x="21576" y="-127"/>
                <wp:lineTo x="-71" y="-127"/>
              </wp:wrapPolygon>
            </wp:wrapThrough>
            <wp:docPr id="1677979923" name="Picture 4" descr="A table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979923" name="Picture 4" descr="A table with text and number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32385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EDDC586" w14:textId="44D8D1C6" w:rsidR="00830560" w:rsidRPr="00DF4892" w:rsidRDefault="00830560" w:rsidP="00DA084A">
      <w:pPr>
        <w:pStyle w:val="Prrafodelista"/>
        <w:numPr>
          <w:ilvl w:val="0"/>
          <w:numId w:val="8"/>
        </w:numPr>
        <w:spacing w:after="240" w:line="360" w:lineRule="auto"/>
        <w:jc w:val="both"/>
        <w:rPr>
          <w:rFonts w:ascii="Palatino Linotype" w:hAnsi="Palatino Linotype" w:cs="Arial"/>
          <w:b/>
          <w:bCs/>
          <w:color w:val="000000"/>
          <w:lang w:val="es-ES_tradnl"/>
        </w:rPr>
      </w:pPr>
      <w:r>
        <w:rPr>
          <w:rFonts w:ascii="Palatino Linotype" w:hAnsi="Palatino Linotype" w:cs="Arial"/>
          <w:b/>
          <w:bCs/>
          <w:color w:val="000000"/>
          <w:lang w:val="es-ES_tradnl"/>
        </w:rPr>
        <w:t>“RESPUESTA SAIMEX 463.pdf”:</w:t>
      </w:r>
      <w:r w:rsidR="002E4703">
        <w:rPr>
          <w:rFonts w:ascii="Palatino Linotype" w:hAnsi="Palatino Linotype" w:cs="Arial"/>
          <w:b/>
          <w:bCs/>
          <w:color w:val="000000"/>
          <w:lang w:val="es-ES_tradnl"/>
        </w:rPr>
        <w:t xml:space="preserve"> </w:t>
      </w:r>
      <w:r w:rsidR="002E4703">
        <w:rPr>
          <w:rFonts w:ascii="Palatino Linotype" w:hAnsi="Palatino Linotype" w:cs="Arial"/>
          <w:color w:val="000000"/>
          <w:lang w:val="es-ES_tradnl"/>
        </w:rPr>
        <w:t xml:space="preserve">Oficio número </w:t>
      </w:r>
      <w:r w:rsidR="002E4703">
        <w:rPr>
          <w:rFonts w:ascii="Palatino Linotype" w:hAnsi="Palatino Linotype" w:cs="Arial"/>
          <w:b/>
          <w:bCs/>
          <w:color w:val="000000"/>
          <w:lang w:val="es-ES_tradnl"/>
        </w:rPr>
        <w:t xml:space="preserve">DDE/1790/2023 </w:t>
      </w:r>
      <w:r w:rsidR="002E4703">
        <w:rPr>
          <w:rFonts w:ascii="Palatino Linotype" w:hAnsi="Palatino Linotype" w:cs="Arial"/>
          <w:color w:val="000000"/>
          <w:lang w:val="es-ES_tradnl"/>
        </w:rPr>
        <w:t xml:space="preserve">signado por la directora de desarrollo económico y dirigido a la titular de la coordinación de transparencia, de fecha dieciocho de agosto de dos mil veintitrés, en síntesis, refiere adjuntar oficio emitido por el jefe de departamento de comercio en vía pública y mercados de la subdirección de comercio.  </w:t>
      </w:r>
    </w:p>
    <w:p w14:paraId="5C1E1814" w14:textId="77777777" w:rsidR="00DF4892" w:rsidRPr="00DF4892" w:rsidRDefault="00DF4892" w:rsidP="00DF4892">
      <w:pPr>
        <w:pStyle w:val="Prrafodelista"/>
        <w:rPr>
          <w:rFonts w:ascii="Palatino Linotype" w:hAnsi="Palatino Linotype" w:cs="Arial"/>
          <w:b/>
          <w:bCs/>
          <w:color w:val="000000"/>
          <w:lang w:val="es-ES_tradnl"/>
        </w:rPr>
      </w:pPr>
    </w:p>
    <w:p w14:paraId="7FE974C9" w14:textId="266006A7" w:rsidR="00830560" w:rsidRPr="002E4703" w:rsidRDefault="00830560" w:rsidP="00DA084A">
      <w:pPr>
        <w:pStyle w:val="Prrafodelista"/>
        <w:numPr>
          <w:ilvl w:val="0"/>
          <w:numId w:val="8"/>
        </w:numPr>
        <w:spacing w:after="240" w:line="360" w:lineRule="auto"/>
        <w:jc w:val="both"/>
        <w:rPr>
          <w:rFonts w:ascii="Palatino Linotype" w:hAnsi="Palatino Linotype" w:cs="Arial"/>
          <w:b/>
          <w:bCs/>
          <w:color w:val="000000"/>
          <w:lang w:val="es-ES_tradnl"/>
        </w:rPr>
      </w:pPr>
      <w:r>
        <w:rPr>
          <w:rFonts w:ascii="Palatino Linotype" w:hAnsi="Palatino Linotype" w:cs="Arial"/>
          <w:b/>
          <w:bCs/>
          <w:color w:val="000000"/>
          <w:lang w:val="es-ES_tradnl"/>
        </w:rPr>
        <w:t>“anexo 463.pdf”:</w:t>
      </w:r>
      <w:r w:rsidR="002E4703">
        <w:rPr>
          <w:rFonts w:ascii="Palatino Linotype" w:hAnsi="Palatino Linotype" w:cs="Arial"/>
          <w:b/>
          <w:bCs/>
          <w:color w:val="000000"/>
          <w:lang w:val="es-ES_tradnl"/>
        </w:rPr>
        <w:t xml:space="preserve"> </w:t>
      </w:r>
      <w:r w:rsidR="002E4703">
        <w:rPr>
          <w:rFonts w:ascii="Palatino Linotype" w:hAnsi="Palatino Linotype" w:cs="Arial"/>
          <w:color w:val="000000"/>
          <w:lang w:val="es-ES_tradnl"/>
        </w:rPr>
        <w:t xml:space="preserve">Oficio número </w:t>
      </w:r>
      <w:r w:rsidR="002E4703">
        <w:rPr>
          <w:rFonts w:ascii="Palatino Linotype" w:hAnsi="Palatino Linotype" w:cs="Arial"/>
          <w:b/>
          <w:bCs/>
          <w:color w:val="000000"/>
          <w:lang w:val="es-ES_tradnl"/>
        </w:rPr>
        <w:t xml:space="preserve">DDE/DCVPyM/260/2023 </w:t>
      </w:r>
      <w:r w:rsidR="002E4703">
        <w:rPr>
          <w:rFonts w:ascii="Palatino Linotype" w:hAnsi="Palatino Linotype" w:cs="Arial"/>
          <w:color w:val="000000"/>
          <w:lang w:val="es-ES_tradnl"/>
        </w:rPr>
        <w:t>signado por el jefe de departamento de comercio en vía pública y mercados y dirigido a la titular de la dirección de desarrollo económico, de fecha once de agosto de dos mil veintitrés, resulta de nuestro interés los siguientes extractos:</w:t>
      </w:r>
    </w:p>
    <w:p w14:paraId="14FE5989" w14:textId="502CED9C" w:rsidR="002E4703" w:rsidRDefault="002E4703" w:rsidP="002E4703">
      <w:pPr>
        <w:pStyle w:val="Prrafodelista"/>
        <w:spacing w:after="240" w:line="360" w:lineRule="auto"/>
        <w:ind w:left="720"/>
        <w:jc w:val="both"/>
        <w:rPr>
          <w:rFonts w:ascii="Palatino Linotype" w:hAnsi="Palatino Linotype" w:cs="Arial"/>
          <w:i/>
          <w:iCs/>
          <w:color w:val="000000"/>
          <w:lang w:val="es-ES_tradnl"/>
        </w:rPr>
      </w:pPr>
      <w:r>
        <w:rPr>
          <w:rFonts w:ascii="Palatino Linotype" w:hAnsi="Palatino Linotype" w:cs="Arial"/>
          <w:i/>
          <w:iCs/>
          <w:color w:val="000000"/>
          <w:lang w:val="es-ES_tradnl"/>
        </w:rPr>
        <w:lastRenderedPageBreak/>
        <w:t xml:space="preserve">“1. En relación a lo solicitado </w:t>
      </w:r>
      <w:r w:rsidRPr="002E4703">
        <w:rPr>
          <w:rFonts w:ascii="Palatino Linotype" w:hAnsi="Palatino Linotype" w:cs="Arial"/>
          <w:b/>
          <w:bCs/>
          <w:i/>
          <w:iCs/>
          <w:color w:val="000000"/>
          <w:lang w:val="es-ES_tradnl"/>
        </w:rPr>
        <w:t>QUIERO SABER EL NÚMERO DE TIANGUIS O MERCADOS SOBRE RUEDAS QUE EXISTEN EN EL MUNICIPIO DE CUAUTITLÁN IZCALLI, CUÁNTOS PUESTOS INTEGRAN CADA UNO DE ELLOS, CUAL ES LA EXTENSIÓN QUE OCUPAN</w:t>
      </w:r>
      <w:r>
        <w:rPr>
          <w:rFonts w:ascii="Palatino Linotype" w:hAnsi="Palatino Linotype" w:cs="Arial"/>
          <w:i/>
          <w:iCs/>
          <w:color w:val="000000"/>
          <w:lang w:val="es-ES_tradnl"/>
        </w:rPr>
        <w:t xml:space="preserve"> le informo que este Departamento cuenta con un padrón de Tianguis del cual se anexa dicha información de manera digital con los datos solicitados. </w:t>
      </w:r>
    </w:p>
    <w:p w14:paraId="4C2137DC" w14:textId="7EDE3576" w:rsidR="002E4703" w:rsidRDefault="002E4703" w:rsidP="002E4703">
      <w:pPr>
        <w:pStyle w:val="Prrafodelista"/>
        <w:spacing w:after="240" w:line="360" w:lineRule="auto"/>
        <w:ind w:left="720"/>
        <w:jc w:val="both"/>
        <w:rPr>
          <w:rFonts w:ascii="Palatino Linotype" w:hAnsi="Palatino Linotype" w:cs="Arial"/>
          <w:b/>
          <w:bCs/>
          <w:i/>
          <w:iCs/>
          <w:color w:val="000000"/>
          <w:lang w:val="es-ES_tradnl"/>
        </w:rPr>
      </w:pPr>
      <w:r>
        <w:rPr>
          <w:rFonts w:ascii="Palatino Linotype" w:hAnsi="Palatino Linotype" w:cs="Arial"/>
          <w:i/>
          <w:iCs/>
          <w:color w:val="000000"/>
          <w:lang w:val="es-ES_tradnl"/>
        </w:rPr>
        <w:t xml:space="preserve">2. En cuanto </w:t>
      </w:r>
      <w:r w:rsidR="00DD040D">
        <w:rPr>
          <w:rFonts w:ascii="Palatino Linotype" w:hAnsi="Palatino Linotype" w:cs="Arial"/>
          <w:i/>
          <w:iCs/>
          <w:color w:val="000000"/>
          <w:lang w:val="es-ES_tradnl"/>
        </w:rPr>
        <w:t xml:space="preserve">a el </w:t>
      </w:r>
      <w:r w:rsidR="00DD040D" w:rsidRPr="00DD040D">
        <w:rPr>
          <w:rFonts w:ascii="Palatino Linotype" w:hAnsi="Palatino Linotype" w:cs="Arial"/>
          <w:b/>
          <w:bCs/>
          <w:i/>
          <w:iCs/>
          <w:color w:val="000000"/>
          <w:lang w:val="es-ES_tradnl"/>
        </w:rPr>
        <w:t>NOMBRE, CARGO, SALARIO DE LA PERSONA RESPONSABLE DE COBRAR A LOS PUESTOS DE CADA TIANGUIS O MERCADO SOBRE RUEDAS.</w:t>
      </w:r>
      <w:r w:rsidR="00DD040D" w:rsidRPr="00DD040D">
        <w:rPr>
          <w:rFonts w:ascii="Palatino Linotype" w:hAnsi="Palatino Linotype" w:cs="Arial"/>
          <w:i/>
          <w:iCs/>
          <w:color w:val="000000"/>
          <w:lang w:val="es-ES_tradnl"/>
        </w:rPr>
        <w:t xml:space="preserve"> </w:t>
      </w:r>
      <w:r w:rsidR="00DD040D">
        <w:rPr>
          <w:rFonts w:ascii="Palatino Linotype" w:hAnsi="Palatino Linotype" w:cs="Arial"/>
          <w:i/>
          <w:iCs/>
          <w:color w:val="000000"/>
          <w:lang w:val="es-ES_tradnl"/>
        </w:rPr>
        <w:t xml:space="preserve">Este departamento no cuenta con esa información derivado de que el Departamento de Ingresos Diversos, dependiente de la Tesorería Municipal es el encargado de los cobros tal y como lo estipula el artículo 154 del Código Financiero del Estado de México y Municipios” </w:t>
      </w:r>
      <w:r w:rsidR="00DD040D">
        <w:rPr>
          <w:rFonts w:ascii="Palatino Linotype" w:hAnsi="Palatino Linotype" w:cs="Arial"/>
          <w:b/>
          <w:bCs/>
          <w:i/>
          <w:iCs/>
          <w:color w:val="000000"/>
          <w:lang w:val="es-ES_tradnl"/>
        </w:rPr>
        <w:t>(Sic)</w:t>
      </w:r>
    </w:p>
    <w:p w14:paraId="45AB7FC9" w14:textId="77777777" w:rsidR="00DF4892" w:rsidRPr="00DD040D" w:rsidRDefault="00DF4892" w:rsidP="002E4703">
      <w:pPr>
        <w:pStyle w:val="Prrafodelista"/>
        <w:spacing w:after="240" w:line="360" w:lineRule="auto"/>
        <w:ind w:left="720"/>
        <w:jc w:val="both"/>
        <w:rPr>
          <w:rFonts w:ascii="Palatino Linotype" w:hAnsi="Palatino Linotype" w:cs="Arial"/>
          <w:b/>
          <w:bCs/>
          <w:i/>
          <w:iCs/>
          <w:color w:val="000000"/>
          <w:lang w:val="es-ES_tradnl"/>
        </w:rPr>
      </w:pPr>
    </w:p>
    <w:p w14:paraId="270E766B" w14:textId="05CA18D3" w:rsidR="00830560" w:rsidRPr="00DD040D" w:rsidRDefault="00830560" w:rsidP="00DA084A">
      <w:pPr>
        <w:pStyle w:val="Prrafodelista"/>
        <w:numPr>
          <w:ilvl w:val="0"/>
          <w:numId w:val="8"/>
        </w:numPr>
        <w:spacing w:after="240" w:line="360" w:lineRule="auto"/>
        <w:jc w:val="both"/>
        <w:rPr>
          <w:rFonts w:ascii="Palatino Linotype" w:hAnsi="Palatino Linotype" w:cs="Arial"/>
          <w:b/>
          <w:bCs/>
          <w:color w:val="000000"/>
          <w:lang w:val="es-ES_tradnl"/>
        </w:rPr>
      </w:pPr>
      <w:r>
        <w:rPr>
          <w:rFonts w:ascii="Palatino Linotype" w:hAnsi="Palatino Linotype" w:cs="Arial"/>
          <w:b/>
          <w:bCs/>
          <w:color w:val="000000"/>
          <w:lang w:val="es-ES_tradnl"/>
        </w:rPr>
        <w:t>“saimex463.pdf”:</w:t>
      </w:r>
      <w:r w:rsidR="00DD040D">
        <w:rPr>
          <w:rFonts w:ascii="Palatino Linotype" w:hAnsi="Palatino Linotype" w:cs="Arial"/>
          <w:b/>
          <w:bCs/>
          <w:color w:val="000000"/>
          <w:lang w:val="es-ES_tradnl"/>
        </w:rPr>
        <w:t xml:space="preserve"> </w:t>
      </w:r>
      <w:r w:rsidR="00DD040D">
        <w:rPr>
          <w:rFonts w:ascii="Palatino Linotype" w:hAnsi="Palatino Linotype" w:cs="Arial"/>
          <w:color w:val="000000"/>
          <w:lang w:val="es-ES_tradnl"/>
        </w:rPr>
        <w:t>Compila lo siguiente:</w:t>
      </w:r>
    </w:p>
    <w:p w14:paraId="3526EC63" w14:textId="6F18E82A" w:rsidR="00DD040D" w:rsidRPr="00913F84" w:rsidRDefault="00913F84" w:rsidP="00DA084A">
      <w:pPr>
        <w:pStyle w:val="Prrafodelista"/>
        <w:numPr>
          <w:ilvl w:val="0"/>
          <w:numId w:val="9"/>
        </w:numPr>
        <w:spacing w:after="240" w:line="360" w:lineRule="auto"/>
        <w:jc w:val="both"/>
        <w:rPr>
          <w:rFonts w:ascii="Palatino Linotype" w:hAnsi="Palatino Linotype" w:cs="Arial"/>
          <w:b/>
          <w:bCs/>
          <w:color w:val="000000"/>
          <w:lang w:val="es-ES_tradnl"/>
        </w:rPr>
      </w:pPr>
      <w:r>
        <w:rPr>
          <w:rFonts w:ascii="Palatino Linotype" w:hAnsi="Palatino Linotype" w:cs="Arial"/>
          <w:color w:val="000000"/>
          <w:lang w:val="es-ES_tradnl"/>
        </w:rPr>
        <w:t xml:space="preserve">Oficio con número </w:t>
      </w:r>
      <w:r>
        <w:rPr>
          <w:rFonts w:ascii="Palatino Linotype" w:hAnsi="Palatino Linotype" w:cs="Arial"/>
          <w:b/>
          <w:bCs/>
          <w:color w:val="000000"/>
          <w:lang w:val="es-ES_tradnl"/>
        </w:rPr>
        <w:t xml:space="preserve">TM/2960/2023 </w:t>
      </w:r>
      <w:r>
        <w:rPr>
          <w:rFonts w:ascii="Palatino Linotype" w:hAnsi="Palatino Linotype" w:cs="Arial"/>
          <w:color w:val="000000"/>
          <w:lang w:val="es-ES_tradnl"/>
        </w:rPr>
        <w:t xml:space="preserve">signado por el tesorero municipal y dirigido a la coordinadora de transparencia, de fecha veintiocho de agosto de dos mil veintitrés, en </w:t>
      </w:r>
      <w:r w:rsidR="005F4A8C">
        <w:rPr>
          <w:rFonts w:ascii="Palatino Linotype" w:hAnsi="Palatino Linotype" w:cs="Arial"/>
          <w:color w:val="000000"/>
          <w:lang w:val="es-ES_tradnl"/>
        </w:rPr>
        <w:t>síntesis,</w:t>
      </w:r>
      <w:r>
        <w:rPr>
          <w:rFonts w:ascii="Palatino Linotype" w:hAnsi="Palatino Linotype" w:cs="Arial"/>
          <w:color w:val="000000"/>
          <w:lang w:val="es-ES_tradnl"/>
        </w:rPr>
        <w:t xml:space="preserve"> aduce que únicamente resulta competente para atender requerimiento relativo a ingresos por pago de derechos por concepto tianguis o mercados sobre ruedas, adjuntando para tal efecto oficio emitido por servidor público habilitado. </w:t>
      </w:r>
    </w:p>
    <w:p w14:paraId="0331A31F" w14:textId="062B22B9" w:rsidR="00913F84" w:rsidRDefault="00913F84" w:rsidP="00DA084A">
      <w:pPr>
        <w:pStyle w:val="Prrafodelista"/>
        <w:numPr>
          <w:ilvl w:val="0"/>
          <w:numId w:val="9"/>
        </w:numPr>
        <w:spacing w:after="240" w:line="360" w:lineRule="auto"/>
        <w:jc w:val="both"/>
        <w:rPr>
          <w:rFonts w:ascii="Palatino Linotype" w:hAnsi="Palatino Linotype" w:cs="Arial"/>
          <w:b/>
          <w:bCs/>
          <w:color w:val="000000"/>
          <w:lang w:val="es-ES_tradnl"/>
        </w:rPr>
      </w:pPr>
      <w:r>
        <w:rPr>
          <w:rFonts w:ascii="Palatino Linotype" w:hAnsi="Palatino Linotype" w:cs="Arial"/>
          <w:color w:val="000000"/>
          <w:lang w:val="es-ES_tradnl"/>
        </w:rPr>
        <w:t xml:space="preserve">Oficio número </w:t>
      </w:r>
      <w:r>
        <w:rPr>
          <w:rFonts w:ascii="Palatino Linotype" w:hAnsi="Palatino Linotype" w:cs="Arial"/>
          <w:b/>
          <w:bCs/>
          <w:color w:val="000000"/>
          <w:lang w:val="es-ES_tradnl"/>
        </w:rPr>
        <w:t xml:space="preserve">TM/STI/DID/318/2023 </w:t>
      </w:r>
      <w:r>
        <w:rPr>
          <w:rFonts w:ascii="Palatino Linotype" w:hAnsi="Palatino Linotype" w:cs="Arial"/>
          <w:color w:val="000000"/>
          <w:lang w:val="es-ES_tradnl"/>
        </w:rPr>
        <w:t xml:space="preserve">signado por la subtesorera de ingresos y dirigido a la servidora pública habilitada adscrita al </w:t>
      </w:r>
      <w:r>
        <w:rPr>
          <w:rFonts w:ascii="Palatino Linotype" w:hAnsi="Palatino Linotype" w:cs="Arial"/>
          <w:color w:val="000000"/>
          <w:lang w:val="es-ES_tradnl"/>
        </w:rPr>
        <w:lastRenderedPageBreak/>
        <w:t xml:space="preserve">departamento jurídico, de fecha tres de agosto de dos mil veintitrés, refiere adjuntar estados comparativos 2022 y del mes de enero a junio 2023, donde se aprecia la cuenta contable </w:t>
      </w:r>
      <w:r>
        <w:rPr>
          <w:rFonts w:ascii="Palatino Linotype" w:hAnsi="Palatino Linotype" w:cs="Arial"/>
          <w:b/>
          <w:bCs/>
          <w:color w:val="000000"/>
          <w:lang w:val="es-ES_tradnl"/>
        </w:rPr>
        <w:t xml:space="preserve">4 141 01 01 0001, </w:t>
      </w:r>
      <w:r>
        <w:rPr>
          <w:rFonts w:ascii="Palatino Linotype" w:hAnsi="Palatino Linotype" w:cs="Arial"/>
          <w:color w:val="000000"/>
          <w:lang w:val="es-ES_tradnl"/>
        </w:rPr>
        <w:t xml:space="preserve">misma que se refiere al concepto de </w:t>
      </w:r>
      <w:r>
        <w:rPr>
          <w:rFonts w:ascii="Palatino Linotype" w:hAnsi="Palatino Linotype" w:cs="Arial"/>
          <w:b/>
          <w:bCs/>
          <w:color w:val="000000"/>
          <w:lang w:val="es-ES_tradnl"/>
        </w:rPr>
        <w:t xml:space="preserve">uso de vías públicas para el ejercicio de actividades comerciales y servicios. </w:t>
      </w:r>
    </w:p>
    <w:p w14:paraId="06DE98DD" w14:textId="6EE070BF" w:rsidR="00913F84" w:rsidRPr="00913F84" w:rsidRDefault="00913F84" w:rsidP="00DA084A">
      <w:pPr>
        <w:pStyle w:val="Prrafodelista"/>
        <w:numPr>
          <w:ilvl w:val="0"/>
          <w:numId w:val="9"/>
        </w:numPr>
        <w:spacing w:after="240" w:line="360" w:lineRule="auto"/>
        <w:jc w:val="both"/>
        <w:rPr>
          <w:rFonts w:ascii="Palatino Linotype" w:hAnsi="Palatino Linotype" w:cs="Arial"/>
          <w:b/>
          <w:bCs/>
          <w:color w:val="000000"/>
          <w:lang w:val="es-ES_tradnl"/>
        </w:rPr>
      </w:pPr>
      <w:r>
        <w:rPr>
          <w:rFonts w:ascii="Palatino Linotype" w:hAnsi="Palatino Linotype" w:cs="Arial"/>
          <w:b/>
          <w:bCs/>
          <w:color w:val="000000"/>
          <w:lang w:val="es-ES_tradnl"/>
        </w:rPr>
        <w:t xml:space="preserve">PbRM 09b </w:t>
      </w:r>
      <w:r>
        <w:rPr>
          <w:rFonts w:ascii="Palatino Linotype" w:hAnsi="Palatino Linotype" w:cs="Arial"/>
          <w:color w:val="000000"/>
          <w:lang w:val="es-ES_tradnl"/>
        </w:rPr>
        <w:t xml:space="preserve">“Estado comparativo presupuestal de ingresos” del 1 de enero al 30 de junio de 2023, de su lectura integral se advierte que su contenido resulta parcialmente ilegible. </w:t>
      </w:r>
    </w:p>
    <w:p w14:paraId="76291805" w14:textId="4F8424CD" w:rsidR="00913F84" w:rsidRPr="00913F84" w:rsidRDefault="00913F84" w:rsidP="00DA084A">
      <w:pPr>
        <w:pStyle w:val="Prrafodelista"/>
        <w:numPr>
          <w:ilvl w:val="0"/>
          <w:numId w:val="9"/>
        </w:numPr>
        <w:spacing w:after="240" w:line="360" w:lineRule="auto"/>
        <w:jc w:val="both"/>
        <w:rPr>
          <w:rFonts w:ascii="Palatino Linotype" w:hAnsi="Palatino Linotype" w:cs="Arial"/>
          <w:b/>
          <w:bCs/>
          <w:color w:val="000000"/>
          <w:lang w:val="es-ES_tradnl"/>
        </w:rPr>
      </w:pPr>
      <w:r>
        <w:rPr>
          <w:rFonts w:ascii="Palatino Linotype" w:hAnsi="Palatino Linotype" w:cs="Arial"/>
          <w:b/>
          <w:bCs/>
          <w:color w:val="000000"/>
          <w:lang w:val="es-ES_tradnl"/>
        </w:rPr>
        <w:t xml:space="preserve">PbRM 09b </w:t>
      </w:r>
      <w:r>
        <w:rPr>
          <w:rFonts w:ascii="Palatino Linotype" w:hAnsi="Palatino Linotype" w:cs="Arial"/>
          <w:color w:val="000000"/>
          <w:lang w:val="es-ES_tradnl"/>
        </w:rPr>
        <w:t xml:space="preserve">“Estado comparativo presupuestal de ingresos” del 1 de enero al 31 de diciembre de 2022, resulta de nuestro interés la siguiente imagen ilustrativa: </w:t>
      </w:r>
    </w:p>
    <w:p w14:paraId="77C0059A" w14:textId="027B812B" w:rsidR="00913F84" w:rsidRDefault="005F4A8C" w:rsidP="00913F84">
      <w:pPr>
        <w:spacing w:after="240" w:line="360" w:lineRule="auto"/>
        <w:jc w:val="both"/>
        <w:rPr>
          <w:rFonts w:ascii="Palatino Linotype" w:hAnsi="Palatino Linotype" w:cs="Arial"/>
          <w:b/>
          <w:bCs/>
          <w:color w:val="000000"/>
          <w:lang w:val="es-ES_tradnl"/>
        </w:rPr>
      </w:pPr>
      <w:r>
        <w:rPr>
          <w:rFonts w:ascii="Palatino Linotype" w:hAnsi="Palatino Linotype" w:cs="Arial"/>
          <w:b/>
          <w:bCs/>
          <w:noProof/>
          <w:color w:val="000000"/>
          <w:lang w:eastAsia="es-MX"/>
        </w:rPr>
        <w:drawing>
          <wp:anchor distT="0" distB="0" distL="114300" distR="114300" simplePos="0" relativeHeight="251811830" behindDoc="0" locked="0" layoutInCell="1" allowOverlap="1" wp14:anchorId="0ACC0F7B" wp14:editId="29538D82">
            <wp:simplePos x="0" y="0"/>
            <wp:positionH relativeFrom="page">
              <wp:align>center</wp:align>
            </wp:positionH>
            <wp:positionV relativeFrom="paragraph">
              <wp:posOffset>317712</wp:posOffset>
            </wp:positionV>
            <wp:extent cx="5753100" cy="3270250"/>
            <wp:effectExtent l="19050" t="19050" r="19050" b="25400"/>
            <wp:wrapThrough wrapText="bothSides">
              <wp:wrapPolygon edited="0">
                <wp:start x="-72" y="-126"/>
                <wp:lineTo x="-72" y="21642"/>
                <wp:lineTo x="21600" y="21642"/>
                <wp:lineTo x="21600" y="-126"/>
                <wp:lineTo x="-72" y="-126"/>
              </wp:wrapPolygon>
            </wp:wrapThrough>
            <wp:docPr id="158656764" name="Picture 6" descr="A document with numbers and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56764" name="Picture 6" descr="A document with numbers and a red lin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32702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7A34998" w14:textId="25386336" w:rsidR="0035341B" w:rsidRDefault="002D155E" w:rsidP="00F85EE7">
      <w:pPr>
        <w:spacing w:before="100" w:beforeAutospacing="1" w:after="100" w:afterAutospacing="1" w:line="360" w:lineRule="auto"/>
        <w:jc w:val="both"/>
        <w:rPr>
          <w:rFonts w:ascii="Palatino Linotype" w:hAnsi="Palatino Linotype"/>
          <w:iCs/>
          <w:sz w:val="24"/>
          <w:szCs w:val="24"/>
        </w:rPr>
      </w:pPr>
      <w:r>
        <w:rPr>
          <w:rFonts w:ascii="Palatino Linotype" w:hAnsi="Palatino Linotype" w:cs="Arial"/>
          <w:bCs/>
          <w:sz w:val="24"/>
          <w:szCs w:val="24"/>
          <w:lang w:val="es-ES_tradnl" w:eastAsia="es-MX"/>
        </w:rPr>
        <w:lastRenderedPageBreak/>
        <w:t xml:space="preserve">Bajo este contexto, </w:t>
      </w:r>
      <w:r w:rsidR="0035341B" w:rsidRPr="00C653F2">
        <w:rPr>
          <w:rFonts w:ascii="Palatino Linotype" w:hAnsi="Palatino Linotype" w:cs="Arial"/>
          <w:bCs/>
          <w:sz w:val="24"/>
          <w:szCs w:val="24"/>
          <w:lang w:val="es-ES_tradnl" w:eastAsia="es-MX"/>
        </w:rPr>
        <w:t>con relación a los requerimientos</w:t>
      </w:r>
      <w:r w:rsidR="006D17AB" w:rsidRPr="00C653F2">
        <w:rPr>
          <w:rFonts w:ascii="Palatino Linotype" w:hAnsi="Palatino Linotype" w:cs="Arial"/>
          <w:bCs/>
          <w:sz w:val="24"/>
          <w:szCs w:val="24"/>
          <w:lang w:val="es-ES_tradnl" w:eastAsia="es-MX"/>
        </w:rPr>
        <w:t xml:space="preserve"> </w:t>
      </w:r>
      <w:r w:rsidR="006D17AB" w:rsidRPr="00C653F2">
        <w:rPr>
          <w:rFonts w:ascii="Palatino Linotype" w:hAnsi="Palatino Linotype" w:cs="Arial"/>
          <w:b/>
          <w:sz w:val="24"/>
          <w:szCs w:val="24"/>
          <w:lang w:val="es-ES_tradnl" w:eastAsia="es-MX"/>
        </w:rPr>
        <w:t>1 -uno-, 2 -dos- y 3 -tres-</w:t>
      </w:r>
      <w:r w:rsidR="0035341B" w:rsidRPr="00C653F2">
        <w:rPr>
          <w:rFonts w:ascii="Palatino Linotype" w:hAnsi="Palatino Linotype" w:cs="Arial"/>
          <w:b/>
          <w:sz w:val="24"/>
          <w:szCs w:val="24"/>
          <w:lang w:val="es-ES_tradnl" w:eastAsia="es-MX"/>
        </w:rPr>
        <w:t xml:space="preserve">, </w:t>
      </w:r>
      <w:r w:rsidR="0035341B" w:rsidRPr="00C653F2">
        <w:rPr>
          <w:rFonts w:ascii="Palatino Linotype" w:hAnsi="Palatino Linotype" w:cs="Arial"/>
          <w:bCs/>
          <w:sz w:val="24"/>
          <w:szCs w:val="24"/>
          <w:lang w:val="es-ES_tradnl" w:eastAsia="es-MX"/>
        </w:rPr>
        <w:t xml:space="preserve">se destaca que </w:t>
      </w:r>
      <w:r w:rsidR="0035341B" w:rsidRPr="00C653F2">
        <w:rPr>
          <w:rFonts w:ascii="Palatino Linotype" w:hAnsi="Palatino Linotype"/>
          <w:sz w:val="24"/>
          <w:szCs w:val="24"/>
        </w:rPr>
        <w:t>este</w:t>
      </w:r>
      <w:r w:rsidR="0035341B" w:rsidRPr="00C653F2">
        <w:rPr>
          <w:rFonts w:ascii="Palatino Linotype" w:hAnsi="Palatino Linotype"/>
          <w:iCs/>
          <w:sz w:val="24"/>
          <w:szCs w:val="24"/>
        </w:rPr>
        <w:t xml:space="preserve"> Instituto no está facultado para manifestarse sobre la veracidad de la información proporcionada, pues este Órgano Garante, conforme al artículo 36 de la Ley de la Materia, no se encuentra facultado para pronunciarse acerca de la autenticidad de dicho pronunciamiento.  </w:t>
      </w:r>
    </w:p>
    <w:p w14:paraId="413114AA" w14:textId="4D534ECC" w:rsidR="00C653F2" w:rsidRDefault="00C653F2" w:rsidP="00F85EE7">
      <w:pPr>
        <w:spacing w:before="100" w:beforeAutospacing="1" w:after="100" w:afterAutospacing="1" w:line="360" w:lineRule="auto"/>
        <w:jc w:val="both"/>
        <w:rPr>
          <w:rFonts w:ascii="Palatino Linotype" w:hAnsi="Palatino Linotype"/>
          <w:iCs/>
          <w:sz w:val="24"/>
          <w:szCs w:val="24"/>
        </w:rPr>
      </w:pPr>
      <w:r>
        <w:rPr>
          <w:rFonts w:ascii="Palatino Linotype" w:hAnsi="Palatino Linotype"/>
          <w:iCs/>
          <w:sz w:val="24"/>
          <w:szCs w:val="24"/>
        </w:rPr>
        <w:t>Dicho pronunciamiento resulta aplicable para efectos de:</w:t>
      </w:r>
    </w:p>
    <w:p w14:paraId="57021FFD" w14:textId="532AE181" w:rsidR="00C653F2" w:rsidRDefault="00C653F2" w:rsidP="00DA084A">
      <w:pPr>
        <w:pStyle w:val="Prrafodelista"/>
        <w:numPr>
          <w:ilvl w:val="0"/>
          <w:numId w:val="13"/>
        </w:numPr>
        <w:spacing w:before="100" w:beforeAutospacing="1" w:after="100" w:afterAutospacing="1" w:line="360" w:lineRule="auto"/>
        <w:jc w:val="both"/>
        <w:rPr>
          <w:rFonts w:ascii="Palatino Linotype" w:hAnsi="Palatino Linotype"/>
          <w:iCs/>
        </w:rPr>
      </w:pPr>
      <w:r>
        <w:rPr>
          <w:rFonts w:ascii="Palatino Linotype" w:hAnsi="Palatino Linotype"/>
          <w:iCs/>
        </w:rPr>
        <w:t>Volumen de la información</w:t>
      </w:r>
    </w:p>
    <w:p w14:paraId="0ED63CB0" w14:textId="32C88C33" w:rsidR="00C653F2" w:rsidRDefault="00C653F2" w:rsidP="00DA084A">
      <w:pPr>
        <w:pStyle w:val="Prrafodelista"/>
        <w:numPr>
          <w:ilvl w:val="0"/>
          <w:numId w:val="13"/>
        </w:numPr>
        <w:spacing w:before="100" w:beforeAutospacing="1" w:after="100" w:afterAutospacing="1" w:line="360" w:lineRule="auto"/>
        <w:jc w:val="both"/>
        <w:rPr>
          <w:rFonts w:ascii="Palatino Linotype" w:hAnsi="Palatino Linotype"/>
          <w:iCs/>
        </w:rPr>
      </w:pPr>
      <w:r>
        <w:rPr>
          <w:rFonts w:ascii="Palatino Linotype" w:hAnsi="Palatino Linotype"/>
          <w:iCs/>
        </w:rPr>
        <w:t>Formato de la información</w:t>
      </w:r>
    </w:p>
    <w:p w14:paraId="5E12C554" w14:textId="0F4DA7C6" w:rsidR="00C653F2" w:rsidRPr="00C653F2" w:rsidRDefault="00C653F2" w:rsidP="00DA084A">
      <w:pPr>
        <w:pStyle w:val="Prrafodelista"/>
        <w:numPr>
          <w:ilvl w:val="0"/>
          <w:numId w:val="13"/>
        </w:numPr>
        <w:spacing w:before="100" w:beforeAutospacing="1" w:after="100" w:afterAutospacing="1" w:line="360" w:lineRule="auto"/>
        <w:jc w:val="both"/>
        <w:rPr>
          <w:rFonts w:ascii="Palatino Linotype" w:hAnsi="Palatino Linotype"/>
          <w:iCs/>
        </w:rPr>
      </w:pPr>
      <w:r>
        <w:rPr>
          <w:rFonts w:ascii="Palatino Linotype" w:hAnsi="Palatino Linotype"/>
          <w:iCs/>
        </w:rPr>
        <w:t>Contenido de la información</w:t>
      </w:r>
    </w:p>
    <w:p w14:paraId="3E4B18A5" w14:textId="77777777" w:rsidR="0035341B" w:rsidRPr="00093E92" w:rsidRDefault="0035341B" w:rsidP="0035341B">
      <w:pPr>
        <w:spacing w:before="100" w:beforeAutospacing="1" w:after="100" w:afterAutospacing="1" w:line="360" w:lineRule="auto"/>
        <w:jc w:val="both"/>
        <w:rPr>
          <w:rFonts w:ascii="Palatino Linotype" w:hAnsi="Palatino Linotype" w:cs="Arial"/>
          <w:iCs/>
          <w:sz w:val="24"/>
          <w:szCs w:val="24"/>
        </w:rPr>
      </w:pPr>
      <w:r w:rsidRPr="00093E92">
        <w:rPr>
          <w:rFonts w:ascii="Palatino Linotype" w:hAnsi="Palatino Linotype" w:cs="Arial"/>
          <w:iCs/>
          <w:sz w:val="24"/>
          <w:szCs w:val="24"/>
        </w:rPr>
        <w:t xml:space="preserve">Sirve de sustento a lo anterior, el criterio </w:t>
      </w:r>
      <w:r w:rsidRPr="00093E92">
        <w:rPr>
          <w:rFonts w:ascii="Palatino Linotype" w:hAnsi="Palatino Linotype" w:cs="Arial"/>
          <w:b/>
          <w:bCs/>
          <w:iCs/>
          <w:sz w:val="24"/>
          <w:szCs w:val="24"/>
        </w:rPr>
        <w:t>31/10</w:t>
      </w:r>
      <w:r w:rsidRPr="00093E92">
        <w:rPr>
          <w:rFonts w:ascii="Palatino Linotype" w:hAnsi="Palatino Linotype" w:cs="Arial"/>
          <w:iCs/>
          <w:sz w:val="24"/>
          <w:szCs w:val="24"/>
        </w:rPr>
        <w:t xml:space="preserve"> emitido por el entonces Instituto Federal de Acceso a la Información y Protección de Datos, ahora Instituto Nacional de Transparencia, Acceso a la Información y Protección de Datos Personales (INAI), el cual refiere: </w:t>
      </w:r>
    </w:p>
    <w:p w14:paraId="61FD5645" w14:textId="77777777" w:rsidR="0035341B" w:rsidRPr="003A41AE" w:rsidRDefault="0035341B" w:rsidP="0035341B">
      <w:pPr>
        <w:pStyle w:val="Citas"/>
        <w:rPr>
          <w:b/>
        </w:rPr>
      </w:pPr>
      <w:r w:rsidRPr="003A41AE">
        <w:rPr>
          <w:b/>
        </w:rPr>
        <w:t xml:space="preserve">“EL INSTITUTO FEDERAL DE ACCESO A LA INFORMACIÓN Y PROTECCIÓN DE DATOS NO CUENTA CON FACULTADES PARA PRONUNCIARSE RESPECTO DE LA VERACIDAD DE LOS DOCUMENTOS PROPORCIONADOS POR LOS SUJETOS OBLIGADOS. </w:t>
      </w:r>
    </w:p>
    <w:p w14:paraId="4EE37739" w14:textId="77777777" w:rsidR="0035341B" w:rsidRDefault="0035341B" w:rsidP="0035341B">
      <w:pPr>
        <w:pStyle w:val="Citas"/>
      </w:pPr>
      <w:r w:rsidRPr="00D02076">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w:t>
      </w:r>
      <w:r w:rsidRPr="00D02076">
        <w:lastRenderedPageBreak/>
        <w:t xml:space="preserve">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w:t>
      </w:r>
    </w:p>
    <w:p w14:paraId="07619D9A" w14:textId="77777777" w:rsidR="0035341B" w:rsidRDefault="0035341B" w:rsidP="0035341B">
      <w:pPr>
        <w:pStyle w:val="Citas"/>
      </w:pPr>
      <w:r w:rsidRPr="00D02076">
        <w:t xml:space="preserve">Expedientes: </w:t>
      </w:r>
    </w:p>
    <w:p w14:paraId="46E7D2E5" w14:textId="77777777" w:rsidR="0035341B" w:rsidRDefault="0035341B" w:rsidP="00DA084A">
      <w:pPr>
        <w:pStyle w:val="Citas"/>
        <w:numPr>
          <w:ilvl w:val="0"/>
          <w:numId w:val="2"/>
        </w:numPr>
      </w:pPr>
      <w:r w:rsidRPr="00D02076">
        <w:t xml:space="preserve">2440/07 Comisión Federal de Electricidad - Alonso Lujambio Irazábal </w:t>
      </w:r>
    </w:p>
    <w:p w14:paraId="46926CA3" w14:textId="77777777" w:rsidR="0035341B" w:rsidRDefault="0035341B" w:rsidP="00DA084A">
      <w:pPr>
        <w:pStyle w:val="Citas"/>
        <w:numPr>
          <w:ilvl w:val="0"/>
          <w:numId w:val="2"/>
        </w:numPr>
      </w:pPr>
      <w:r w:rsidRPr="00D02076">
        <w:t xml:space="preserve">0113/09 Instituto de Seguridad y Servicios Sociales de los Trabajadores del Estado – Alonso Lujambio Irazábal </w:t>
      </w:r>
    </w:p>
    <w:p w14:paraId="7A5E940F" w14:textId="77777777" w:rsidR="0035341B" w:rsidRDefault="0035341B" w:rsidP="00DA084A">
      <w:pPr>
        <w:pStyle w:val="Citas"/>
        <w:numPr>
          <w:ilvl w:val="0"/>
          <w:numId w:val="2"/>
        </w:numPr>
      </w:pPr>
      <w:r w:rsidRPr="00D02076">
        <w:t xml:space="preserve">1624/09 Instituto Nacional para la Educación de los Adultos - María Marván Laborde </w:t>
      </w:r>
    </w:p>
    <w:p w14:paraId="19630467" w14:textId="77777777" w:rsidR="0035341B" w:rsidRDefault="0035341B" w:rsidP="00DA084A">
      <w:pPr>
        <w:pStyle w:val="Citas"/>
        <w:numPr>
          <w:ilvl w:val="0"/>
          <w:numId w:val="2"/>
        </w:numPr>
      </w:pPr>
      <w:r w:rsidRPr="00D02076">
        <w:t xml:space="preserve">2395/09 Secretaría de Economía - María Marván Laborde </w:t>
      </w:r>
    </w:p>
    <w:p w14:paraId="06ACAE20" w14:textId="77777777" w:rsidR="0035341B" w:rsidRPr="00D02076" w:rsidRDefault="0035341B" w:rsidP="00DA084A">
      <w:pPr>
        <w:pStyle w:val="Citas"/>
        <w:numPr>
          <w:ilvl w:val="0"/>
          <w:numId w:val="2"/>
        </w:numPr>
      </w:pPr>
      <w:r w:rsidRPr="00D02076">
        <w:t>0837/10 Administración Portuaria Integral de Veracruz, S.A. de C.V. – María Marván Laborde</w:t>
      </w:r>
      <w:r>
        <w:t>”</w:t>
      </w:r>
      <w:r w:rsidRPr="00D02076">
        <w:t xml:space="preserve"> </w:t>
      </w:r>
      <w:r>
        <w:rPr>
          <w:b/>
        </w:rPr>
        <w:t>[Sic]</w:t>
      </w:r>
    </w:p>
    <w:p w14:paraId="29A0B8C6" w14:textId="77777777" w:rsidR="0035341B" w:rsidRPr="0035341B" w:rsidRDefault="0035341B" w:rsidP="0035341B">
      <w:pPr>
        <w:spacing w:after="0" w:line="360" w:lineRule="auto"/>
        <w:jc w:val="both"/>
        <w:rPr>
          <w:rFonts w:ascii="Palatino Linotype" w:hAnsi="Palatino Linotype" w:cs="Arial"/>
          <w:noProof/>
          <w:color w:val="000000"/>
          <w:sz w:val="24"/>
          <w:szCs w:val="24"/>
          <w:lang w:eastAsia="es-MX"/>
        </w:rPr>
      </w:pPr>
    </w:p>
    <w:p w14:paraId="64C948CD" w14:textId="77777777" w:rsidR="00C653F2" w:rsidRPr="00F74924" w:rsidRDefault="00C653F2" w:rsidP="00C653F2">
      <w:pPr>
        <w:spacing w:line="360" w:lineRule="auto"/>
        <w:jc w:val="both"/>
        <w:rPr>
          <w:rFonts w:ascii="Palatino Linotype" w:hAnsi="Palatino Linotype" w:cs="Arial"/>
          <w:color w:val="000000"/>
          <w:sz w:val="24"/>
          <w:szCs w:val="24"/>
          <w:lang w:val="es-ES_tradnl"/>
        </w:rPr>
      </w:pPr>
      <w:r>
        <w:rPr>
          <w:rFonts w:ascii="Palatino Linotype" w:hAnsi="Palatino Linotype" w:cs="Arial"/>
          <w:noProof/>
          <w:color w:val="000000"/>
          <w:sz w:val="24"/>
          <w:szCs w:val="24"/>
          <w:lang w:eastAsia="es-MX"/>
        </w:rPr>
        <w:t xml:space="preserve">Por otra parte, resulta oportuno señalar que </w:t>
      </w:r>
      <w:r w:rsidRPr="00F74924">
        <w:rPr>
          <w:rFonts w:ascii="Palatino Linotype" w:hAnsi="Palatino Linotype" w:cs="Arial"/>
          <w:color w:val="000000"/>
          <w:sz w:val="24"/>
          <w:szCs w:val="24"/>
          <w:lang w:val="es-ES_tradnl"/>
        </w:rPr>
        <w:t>el derecho de acceso a la información pública se satisface en aquellos casos en que se entregue el soporte documental en que conste la información pública, toda vez que, los Sujetos Obligados</w:t>
      </w:r>
      <w:r w:rsidRPr="00F74924">
        <w:rPr>
          <w:rFonts w:ascii="Palatino Linotype" w:hAnsi="Palatino Linotype" w:cs="Arial"/>
          <w:b/>
          <w:color w:val="000000"/>
          <w:sz w:val="24"/>
          <w:szCs w:val="24"/>
          <w:lang w:val="es-ES_tradnl"/>
        </w:rPr>
        <w:t xml:space="preserve"> </w:t>
      </w:r>
      <w:r w:rsidRPr="00F74924">
        <w:rPr>
          <w:rFonts w:ascii="Palatino Linotype" w:hAnsi="Palatino Linotype" w:cs="Arial"/>
          <w:color w:val="000000"/>
          <w:sz w:val="24"/>
          <w:szCs w:val="24"/>
          <w:lang w:val="es-ES_tradnl"/>
        </w:rPr>
        <w:t xml:space="preserve">no tienen el deber de generar, poseer o administrar la información pública con el grado de detalle solicitado; esto es, que no tienen el deber de generar un documento </w:t>
      </w:r>
      <w:r w:rsidRPr="00F74924">
        <w:rPr>
          <w:rFonts w:ascii="Palatino Linotype" w:hAnsi="Palatino Linotype" w:cs="Arial"/>
          <w:i/>
          <w:color w:val="000000"/>
          <w:sz w:val="24"/>
          <w:szCs w:val="24"/>
          <w:lang w:val="es-ES_tradnl"/>
        </w:rPr>
        <w:t>ad hoc</w:t>
      </w:r>
      <w:r w:rsidRPr="00F74924">
        <w:rPr>
          <w:rFonts w:ascii="Palatino Linotype" w:hAnsi="Palatino Linotype" w:cs="Arial"/>
          <w:color w:val="000000"/>
          <w:sz w:val="24"/>
          <w:szCs w:val="24"/>
          <w:lang w:val="es-ES_tradnl"/>
        </w:rPr>
        <w:t>, para satisfacer el derecho de acceso a la información pública.</w:t>
      </w:r>
    </w:p>
    <w:p w14:paraId="18FAD2D1" w14:textId="77777777" w:rsidR="00C653F2" w:rsidRPr="00F74924" w:rsidRDefault="00C653F2" w:rsidP="00C653F2">
      <w:pPr>
        <w:spacing w:line="360" w:lineRule="auto"/>
        <w:jc w:val="both"/>
        <w:rPr>
          <w:rFonts w:ascii="Palatino Linotype" w:hAnsi="Palatino Linotype"/>
          <w:b/>
          <w:bCs/>
          <w:color w:val="000000"/>
          <w:sz w:val="24"/>
          <w:szCs w:val="24"/>
          <w:lang w:val="es-ES_tradnl"/>
        </w:rPr>
      </w:pPr>
      <w:r w:rsidRPr="00F74924">
        <w:rPr>
          <w:rFonts w:ascii="Palatino Linotype" w:hAnsi="Palatino Linotype" w:cs="Arial"/>
          <w:color w:val="000000"/>
          <w:sz w:val="24"/>
          <w:szCs w:val="24"/>
          <w:lang w:val="es-ES_tradnl"/>
        </w:rPr>
        <w:lastRenderedPageBreak/>
        <w:t xml:space="preserve">Como apoyo a lo anterior, es aplicable el Criterio 03-17, emitido por </w:t>
      </w:r>
      <w:r w:rsidRPr="00F74924">
        <w:rPr>
          <w:rFonts w:ascii="Palatino Linotype" w:eastAsia="Arial Unicode MS" w:hAnsi="Palatino Linotype" w:cs="Arial"/>
          <w:color w:val="000000"/>
          <w:sz w:val="24"/>
          <w:szCs w:val="24"/>
          <w:lang w:val="es-ES_tradnl"/>
        </w:rPr>
        <w:t>el Instituto Nacional de Transparencia, Acceso a la Información y Protección de Datos Personales,</w:t>
      </w:r>
      <w:r w:rsidRPr="00F74924">
        <w:rPr>
          <w:rFonts w:ascii="Palatino Linotype" w:hAnsi="Palatino Linotype"/>
          <w:bCs/>
          <w:color w:val="000000"/>
          <w:sz w:val="24"/>
          <w:szCs w:val="24"/>
          <w:lang w:val="es-ES_tradnl"/>
        </w:rPr>
        <w:t xml:space="preserve"> que dice:</w:t>
      </w:r>
      <w:r w:rsidRPr="00F74924">
        <w:rPr>
          <w:rFonts w:ascii="Palatino Linotype" w:hAnsi="Palatino Linotype"/>
          <w:b/>
          <w:bCs/>
          <w:color w:val="000000"/>
          <w:sz w:val="24"/>
          <w:szCs w:val="24"/>
          <w:lang w:val="es-ES_tradnl"/>
        </w:rPr>
        <w:t xml:space="preserve"> </w:t>
      </w:r>
    </w:p>
    <w:p w14:paraId="69765671" w14:textId="77777777" w:rsidR="00C653F2" w:rsidRPr="00012AFA" w:rsidRDefault="00C653F2" w:rsidP="00C653F2">
      <w:pPr>
        <w:ind w:left="851" w:right="850"/>
        <w:rPr>
          <w:rFonts w:cs="Arial"/>
          <w:color w:val="000000"/>
          <w:sz w:val="2"/>
          <w:lang w:val="es-ES_tradnl"/>
        </w:rPr>
      </w:pPr>
    </w:p>
    <w:p w14:paraId="7BDF27EE" w14:textId="77777777" w:rsidR="00C653F2" w:rsidRDefault="00C653F2" w:rsidP="00C653F2">
      <w:pPr>
        <w:pStyle w:val="Citas"/>
        <w:rPr>
          <w:lang w:val="es-ES_tradnl"/>
        </w:rPr>
      </w:pPr>
      <w:r>
        <w:rPr>
          <w:b/>
          <w:lang w:val="es-ES_tradnl"/>
        </w:rPr>
        <w:t>“</w:t>
      </w:r>
      <w:r w:rsidRPr="00012AFA">
        <w:rPr>
          <w:b/>
          <w:lang w:val="es-ES_tradnl"/>
        </w:rPr>
        <w:t>NO EXISTE OBLIGACIÓN DE ELABORAR DOCUMENTOS AD HOC PARA ATENDER LAS SOLICITUDES DE ACCESO A LA INFORMACIÓN.</w:t>
      </w:r>
      <w:r w:rsidRPr="00012AFA">
        <w:rPr>
          <w:lang w:val="es-ES_tradnl"/>
        </w:rPr>
        <w:t xml:space="preserve"> </w:t>
      </w:r>
    </w:p>
    <w:p w14:paraId="3B0BD178" w14:textId="77777777" w:rsidR="00C653F2" w:rsidRPr="00F74924" w:rsidRDefault="00C653F2" w:rsidP="00C653F2">
      <w:pPr>
        <w:pStyle w:val="Citas"/>
        <w:rPr>
          <w:b/>
          <w:bCs/>
          <w:lang w:val="es-ES_tradnl"/>
        </w:rPr>
      </w:pPr>
      <w:r w:rsidRPr="00012AFA">
        <w:rPr>
          <w:lang w:val="es-ES_tradnl"/>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r>
        <w:rPr>
          <w:lang w:val="es-ES_tradnl"/>
        </w:rPr>
        <w:t xml:space="preserve">” </w:t>
      </w:r>
      <w:r>
        <w:rPr>
          <w:b/>
          <w:bCs/>
          <w:lang w:val="es-ES_tradnl"/>
        </w:rPr>
        <w:t>(Sic)</w:t>
      </w:r>
    </w:p>
    <w:p w14:paraId="4F6FB3BF" w14:textId="77777777" w:rsidR="00C653F2" w:rsidRPr="00012AFA" w:rsidRDefault="00C653F2" w:rsidP="00C653F2">
      <w:pPr>
        <w:spacing w:line="240" w:lineRule="auto"/>
        <w:ind w:left="567" w:right="567"/>
        <w:rPr>
          <w:rFonts w:cs="Arial"/>
          <w:i/>
          <w:color w:val="000000"/>
          <w:sz w:val="2"/>
          <w:lang w:val="es-ES_tradnl"/>
        </w:rPr>
      </w:pPr>
    </w:p>
    <w:p w14:paraId="0B4F8759" w14:textId="77777777" w:rsidR="00C653F2" w:rsidRPr="00012AFA" w:rsidRDefault="00C653F2" w:rsidP="00C653F2">
      <w:pPr>
        <w:rPr>
          <w:rFonts w:cs="Arial"/>
          <w:color w:val="000000" w:themeColor="text1"/>
          <w:lang w:val="es-ES_tradnl"/>
        </w:rPr>
      </w:pPr>
    </w:p>
    <w:p w14:paraId="05081676" w14:textId="77777777" w:rsidR="00C653F2" w:rsidRPr="00F74924" w:rsidRDefault="00C653F2" w:rsidP="00C653F2">
      <w:pPr>
        <w:spacing w:line="360" w:lineRule="auto"/>
        <w:jc w:val="both"/>
        <w:rPr>
          <w:rFonts w:ascii="Palatino Linotype" w:hAnsi="Palatino Linotype" w:cs="Arial"/>
          <w:color w:val="000000" w:themeColor="text1"/>
          <w:sz w:val="24"/>
          <w:szCs w:val="24"/>
          <w:lang w:val="es-ES_tradnl"/>
        </w:rPr>
      </w:pPr>
      <w:r w:rsidRPr="00F74924">
        <w:rPr>
          <w:rFonts w:ascii="Palatino Linotype" w:hAnsi="Palatino Linotype" w:cs="Arial"/>
          <w:color w:val="000000" w:themeColor="text1"/>
          <w:sz w:val="24"/>
          <w:szCs w:val="24"/>
          <w:lang w:val="es-ES_tradnl"/>
        </w:rPr>
        <w:t xml:space="preserve">Asimismo, el artículo 24, de la Ley de la materia, dispone que los Sujetos Obligados sólo proporcionarán la información pública que </w:t>
      </w:r>
      <w:r w:rsidRPr="00F74924">
        <w:rPr>
          <w:rFonts w:ascii="Palatino Linotype" w:hAnsi="Palatino Linotype" w:cs="Arial"/>
          <w:sz w:val="24"/>
          <w:szCs w:val="24"/>
          <w:lang w:val="es-ES_tradnl"/>
        </w:rPr>
        <w:t>generen</w:t>
      </w:r>
      <w:r w:rsidRPr="00F74924">
        <w:rPr>
          <w:rFonts w:ascii="Palatino Linotype" w:hAnsi="Palatino Linotype" w:cs="Arial"/>
          <w:color w:val="000000" w:themeColor="text1"/>
          <w:sz w:val="24"/>
          <w:szCs w:val="24"/>
          <w:lang w:val="es-ES_tradnl"/>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33069EAA" w14:textId="7715F393" w:rsidR="00C653F2" w:rsidRDefault="00C653F2" w:rsidP="0035341B">
      <w:pPr>
        <w:spacing w:after="0" w:line="360" w:lineRule="auto"/>
        <w:jc w:val="both"/>
        <w:rPr>
          <w:rFonts w:ascii="Palatino Linotype" w:hAnsi="Palatino Linotype" w:cs="Arial"/>
          <w:noProof/>
          <w:color w:val="000000"/>
          <w:sz w:val="24"/>
          <w:szCs w:val="24"/>
          <w:lang w:val="es-ES_tradnl" w:eastAsia="es-MX"/>
        </w:rPr>
      </w:pPr>
      <w:r>
        <w:rPr>
          <w:rFonts w:ascii="Palatino Linotype" w:hAnsi="Palatino Linotype" w:cs="Arial"/>
          <w:noProof/>
          <w:color w:val="000000"/>
          <w:sz w:val="24"/>
          <w:szCs w:val="24"/>
          <w:lang w:val="es-ES_tradnl" w:eastAsia="es-MX"/>
        </w:rPr>
        <w:t xml:space="preserve">En las generalizaciones anteriores, los </w:t>
      </w:r>
      <w:r>
        <w:rPr>
          <w:rFonts w:ascii="Palatino Linotype" w:hAnsi="Palatino Linotype" w:cs="Arial"/>
          <w:b/>
          <w:bCs/>
          <w:noProof/>
          <w:color w:val="000000"/>
          <w:sz w:val="24"/>
          <w:szCs w:val="24"/>
          <w:lang w:val="es-ES_tradnl" w:eastAsia="es-MX"/>
        </w:rPr>
        <w:t xml:space="preserve">Sujetos Obligados </w:t>
      </w:r>
      <w:r>
        <w:rPr>
          <w:rFonts w:ascii="Palatino Linotype" w:hAnsi="Palatino Linotype" w:cs="Arial"/>
          <w:noProof/>
          <w:color w:val="000000"/>
          <w:sz w:val="24"/>
          <w:szCs w:val="24"/>
          <w:lang w:val="es-ES_tradnl" w:eastAsia="es-MX"/>
        </w:rPr>
        <w:t xml:space="preserve">no se encuentran constreñidos a generar documentos ad hoc para colmar el derecho de acceso a la </w:t>
      </w:r>
      <w:r>
        <w:rPr>
          <w:rFonts w:ascii="Palatino Linotype" w:hAnsi="Palatino Linotype" w:cs="Arial"/>
          <w:noProof/>
          <w:color w:val="000000"/>
          <w:sz w:val="24"/>
          <w:szCs w:val="24"/>
          <w:lang w:val="es-ES_tradnl" w:eastAsia="es-MX"/>
        </w:rPr>
        <w:lastRenderedPageBreak/>
        <w:t xml:space="preserve">información pública. No obstante, tampoco se prevé porción normativa que prohiba hacerlo. </w:t>
      </w:r>
    </w:p>
    <w:p w14:paraId="2C9B75D9" w14:textId="1D9CF993" w:rsidR="00C653F2" w:rsidRPr="00C653F2" w:rsidRDefault="00C653F2" w:rsidP="0035341B">
      <w:pPr>
        <w:spacing w:after="0" w:line="360" w:lineRule="auto"/>
        <w:jc w:val="both"/>
        <w:rPr>
          <w:rFonts w:ascii="Palatino Linotype" w:hAnsi="Palatino Linotype" w:cs="Arial"/>
          <w:noProof/>
          <w:color w:val="000000"/>
          <w:sz w:val="24"/>
          <w:szCs w:val="24"/>
          <w:lang w:val="es-ES_tradnl" w:eastAsia="es-MX"/>
        </w:rPr>
      </w:pPr>
      <w:r>
        <w:rPr>
          <w:rFonts w:ascii="Palatino Linotype" w:hAnsi="Palatino Linotype" w:cs="Arial"/>
          <w:noProof/>
          <w:color w:val="000000"/>
          <w:sz w:val="24"/>
          <w:szCs w:val="24"/>
          <w:lang w:val="es-ES_tradnl" w:eastAsia="es-MX"/>
        </w:rPr>
        <w:t xml:space="preserve">Se plantea entonces que el documento ad hoc remitido mediante respuesta primigenia, es susceptible de colmar los requerimientos identificados con los numerales </w:t>
      </w:r>
      <w:r>
        <w:rPr>
          <w:rFonts w:ascii="Palatino Linotype" w:hAnsi="Palatino Linotype" w:cs="Arial"/>
          <w:b/>
          <w:bCs/>
          <w:noProof/>
          <w:color w:val="000000"/>
          <w:sz w:val="24"/>
          <w:szCs w:val="24"/>
          <w:lang w:val="es-ES_tradnl" w:eastAsia="es-MX"/>
        </w:rPr>
        <w:t xml:space="preserve">1 -uno-, 2 -dos- y 3-tres-, </w:t>
      </w:r>
      <w:r>
        <w:rPr>
          <w:rFonts w:ascii="Palatino Linotype" w:hAnsi="Palatino Linotype" w:cs="Arial"/>
          <w:noProof/>
          <w:color w:val="000000"/>
          <w:sz w:val="24"/>
          <w:szCs w:val="24"/>
          <w:lang w:val="es-ES_tradnl" w:eastAsia="es-MX"/>
        </w:rPr>
        <w:t xml:space="preserve">al tomar en consideración que atiende a la literalidad los requerimientos formulados por el particular. </w:t>
      </w:r>
    </w:p>
    <w:p w14:paraId="481D73AC" w14:textId="6B6D9DA4" w:rsidR="00C653F2" w:rsidRDefault="00C653F2" w:rsidP="0035341B">
      <w:pPr>
        <w:spacing w:after="0" w:line="360" w:lineRule="auto"/>
        <w:jc w:val="both"/>
        <w:rPr>
          <w:rFonts w:ascii="Palatino Linotype" w:hAnsi="Palatino Linotype" w:cs="Arial"/>
          <w:noProof/>
          <w:color w:val="000000"/>
          <w:sz w:val="24"/>
          <w:szCs w:val="24"/>
          <w:lang w:val="es-ES_tradnl" w:eastAsia="es-MX"/>
        </w:rPr>
      </w:pPr>
      <w:r>
        <w:rPr>
          <w:rFonts w:ascii="Palatino Linotype" w:hAnsi="Palatino Linotype" w:cs="Arial"/>
          <w:noProof/>
          <w:color w:val="000000"/>
          <w:sz w:val="24"/>
          <w:szCs w:val="24"/>
          <w:lang w:val="es-ES_tradnl" w:eastAsia="es-MX"/>
        </w:rPr>
        <w:t xml:space="preserve">Ahora bien, con relación al requerimiento identificado con el numeral </w:t>
      </w:r>
      <w:r>
        <w:rPr>
          <w:rFonts w:ascii="Palatino Linotype" w:hAnsi="Palatino Linotype" w:cs="Arial"/>
          <w:b/>
          <w:bCs/>
          <w:noProof/>
          <w:color w:val="000000"/>
          <w:sz w:val="24"/>
          <w:szCs w:val="24"/>
          <w:lang w:val="es-ES_tradnl" w:eastAsia="es-MX"/>
        </w:rPr>
        <w:t xml:space="preserve">4 -cuatro-, </w:t>
      </w:r>
      <w:r>
        <w:rPr>
          <w:rFonts w:ascii="Palatino Linotype" w:hAnsi="Palatino Linotype" w:cs="Arial"/>
          <w:noProof/>
          <w:color w:val="000000"/>
          <w:sz w:val="24"/>
          <w:szCs w:val="24"/>
          <w:lang w:val="es-ES_tradnl" w:eastAsia="es-MX"/>
        </w:rPr>
        <w:t xml:space="preserve">consistente en ingresos por pago de derechos respecto de cada tianguis o mercado sobre ruedas-, cabe resaltar que fueron remitidos </w:t>
      </w:r>
      <w:r>
        <w:rPr>
          <w:rFonts w:ascii="Palatino Linotype" w:hAnsi="Palatino Linotype" w:cs="Arial"/>
          <w:b/>
          <w:bCs/>
          <w:noProof/>
          <w:color w:val="000000"/>
          <w:sz w:val="24"/>
          <w:szCs w:val="24"/>
          <w:lang w:val="es-ES_tradnl" w:eastAsia="es-MX"/>
        </w:rPr>
        <w:t xml:space="preserve">PbRM 09b </w:t>
      </w:r>
      <w:r>
        <w:rPr>
          <w:rFonts w:ascii="Palatino Linotype" w:hAnsi="Palatino Linotype" w:cs="Arial"/>
          <w:noProof/>
          <w:color w:val="000000"/>
          <w:sz w:val="24"/>
          <w:szCs w:val="24"/>
          <w:lang w:val="es-ES_tradnl" w:eastAsia="es-MX"/>
        </w:rPr>
        <w:t xml:space="preserve">“Estado comparativo presupuestal de ingresos” correspondientes a las temporalidades “1 de enero al 31 de diciembre de 2022” y “1 de enero al 30 de junio de 2023”. Dentro de este orden de ideas, el documento correspondiente a la segunda temporalidad se encuentra ilegible, de esta manera, el requerimiento en cita se tiene por atendido en términos parciales, al inobservar el numeral 11 de la Ley de Transparencia local, porción normativa que dispone a la literalidad lo siguiente: </w:t>
      </w:r>
    </w:p>
    <w:p w14:paraId="5B37B7D9" w14:textId="06B65CD8" w:rsidR="00C653F2" w:rsidRDefault="00C653F2" w:rsidP="00C653F2">
      <w:pPr>
        <w:pStyle w:val="Citas"/>
      </w:pPr>
      <w:r>
        <w:t xml:space="preserve">“Artículo 11. En la generación, publicación y entrega de información se deberá garantizar que ésta sea </w:t>
      </w:r>
      <w:r w:rsidRPr="00A2781C">
        <w:rPr>
          <w:b/>
          <w:bCs/>
          <w:u w:val="single"/>
        </w:rPr>
        <w:t>accesible, actualizada, completa, congruente, confiable, verificable, veraz, integral, oportuna y expedita,</w:t>
      </w:r>
      <w:r>
        <w:t xml:space="preserve"> sujeta a un claro régimen de excepciones que deberá estar definido y ser además legítima y estrictamente necesaria en una sociedad democrática, por lo que atenderá las necesidades del derecho de acceso a la información de toda persona.</w:t>
      </w:r>
    </w:p>
    <w:p w14:paraId="69FDB466" w14:textId="431C25CA" w:rsidR="00C653F2" w:rsidRPr="00C653F2" w:rsidRDefault="00C653F2" w:rsidP="00C653F2">
      <w:pPr>
        <w:pStyle w:val="Citas"/>
        <w:rPr>
          <w:b/>
          <w:bCs/>
        </w:rPr>
      </w:pPr>
      <w:r>
        <w:t xml:space="preserve">Los sujetos obligados garantizarán, en todo momento, que la información generada tenga un lenguaje sencillo para cualquier persona y, en los casos en que así se requiera, realizarán las gestiones necesarias para contar con la traducción a lenguas </w:t>
      </w:r>
      <w:r>
        <w:lastRenderedPageBreak/>
        <w:t xml:space="preserve">indígenas, principalmente cuando se trate de aquellas residentes en el Estado de México” </w:t>
      </w:r>
      <w:r>
        <w:rPr>
          <w:b/>
          <w:bCs/>
        </w:rPr>
        <w:t>(Sic)</w:t>
      </w:r>
    </w:p>
    <w:p w14:paraId="7A730051" w14:textId="77777777" w:rsidR="00C653F2" w:rsidRDefault="00C653F2" w:rsidP="0035341B">
      <w:pPr>
        <w:spacing w:after="0" w:line="360" w:lineRule="auto"/>
        <w:jc w:val="both"/>
        <w:rPr>
          <w:rFonts w:ascii="Palatino Linotype" w:hAnsi="Palatino Linotype" w:cs="Arial"/>
          <w:noProof/>
          <w:color w:val="000000"/>
          <w:sz w:val="24"/>
          <w:szCs w:val="24"/>
          <w:lang w:val="es-ES_tradnl" w:eastAsia="es-MX"/>
        </w:rPr>
      </w:pPr>
    </w:p>
    <w:p w14:paraId="6DFD171F" w14:textId="203C2734" w:rsidR="002D155E" w:rsidRDefault="002D155E" w:rsidP="0035341B">
      <w:pPr>
        <w:spacing w:after="0" w:line="360" w:lineRule="auto"/>
        <w:jc w:val="both"/>
        <w:rPr>
          <w:rFonts w:ascii="Palatino Linotype" w:hAnsi="Palatino Linotype" w:cs="Arial"/>
          <w:color w:val="000000"/>
          <w:sz w:val="24"/>
          <w:szCs w:val="24"/>
          <w:lang w:val="es-ES_tradnl"/>
        </w:rPr>
      </w:pPr>
      <w:r w:rsidRPr="002D155E">
        <w:rPr>
          <w:rFonts w:ascii="Palatino Linotype" w:hAnsi="Palatino Linotype" w:cs="Arial"/>
          <w:noProof/>
          <w:color w:val="000000"/>
          <w:sz w:val="24"/>
          <w:szCs w:val="24"/>
          <w:lang w:val="es-ES_tradnl" w:eastAsia="es-MX"/>
        </w:rPr>
        <w:t xml:space="preserve">En referencia a los requerimientos </w:t>
      </w:r>
      <w:r w:rsidRPr="002D155E">
        <w:rPr>
          <w:rFonts w:ascii="Palatino Linotype" w:hAnsi="Palatino Linotype" w:cs="Arial"/>
          <w:b/>
          <w:bCs/>
          <w:noProof/>
          <w:color w:val="000000"/>
          <w:sz w:val="24"/>
          <w:szCs w:val="24"/>
          <w:lang w:val="es-ES_tradnl" w:eastAsia="es-MX"/>
        </w:rPr>
        <w:t xml:space="preserve">5 -cinco-, 6 -seis- </w:t>
      </w:r>
      <w:r w:rsidRPr="002D155E">
        <w:rPr>
          <w:rFonts w:ascii="Palatino Linotype" w:hAnsi="Palatino Linotype" w:cs="Arial"/>
          <w:noProof/>
          <w:color w:val="000000"/>
          <w:sz w:val="24"/>
          <w:szCs w:val="24"/>
          <w:lang w:val="es-ES_tradnl" w:eastAsia="es-MX"/>
        </w:rPr>
        <w:t xml:space="preserve">y </w:t>
      </w:r>
      <w:r w:rsidRPr="002D155E">
        <w:rPr>
          <w:rFonts w:ascii="Palatino Linotype" w:hAnsi="Palatino Linotype" w:cs="Arial"/>
          <w:b/>
          <w:bCs/>
          <w:noProof/>
          <w:color w:val="000000"/>
          <w:sz w:val="24"/>
          <w:szCs w:val="24"/>
          <w:lang w:val="es-ES_tradnl" w:eastAsia="es-MX"/>
        </w:rPr>
        <w:t xml:space="preserve">7 -siete-, </w:t>
      </w:r>
      <w:r w:rsidRPr="002D155E">
        <w:rPr>
          <w:rFonts w:ascii="Palatino Linotype" w:hAnsi="Palatino Linotype" w:cs="Arial"/>
          <w:noProof/>
          <w:color w:val="000000"/>
          <w:sz w:val="24"/>
          <w:szCs w:val="24"/>
          <w:lang w:val="es-ES_tradnl" w:eastAsia="es-MX"/>
        </w:rPr>
        <w:t xml:space="preserve">resulta oportuno mencionar que el </w:t>
      </w:r>
      <w:r w:rsidRPr="002D155E">
        <w:rPr>
          <w:rFonts w:ascii="Palatino Linotype" w:hAnsi="Palatino Linotype" w:cs="Arial"/>
          <w:color w:val="000000"/>
          <w:sz w:val="24"/>
          <w:szCs w:val="24"/>
          <w:lang w:val="es-ES_tradnl"/>
        </w:rPr>
        <w:t>servidor público habilitado adscrito a la subdirección de recursos humanos refirió desconocer las actividades de los servidores públicos.</w:t>
      </w:r>
    </w:p>
    <w:p w14:paraId="4FFDED86" w14:textId="7F502F9D" w:rsidR="002D155E" w:rsidRDefault="002D155E" w:rsidP="0035341B">
      <w:pPr>
        <w:spacing w:after="0" w:line="360" w:lineRule="auto"/>
        <w:jc w:val="both"/>
        <w:rPr>
          <w:rFonts w:ascii="Palatino Linotype" w:hAnsi="Palatino Linotype" w:cs="Arial"/>
          <w:color w:val="000000"/>
          <w:sz w:val="24"/>
          <w:szCs w:val="24"/>
          <w:lang w:val="es-ES_tradnl"/>
        </w:rPr>
      </w:pPr>
      <w:r>
        <w:rPr>
          <w:rFonts w:ascii="Palatino Linotype" w:hAnsi="Palatino Linotype" w:cs="Arial"/>
          <w:color w:val="000000"/>
          <w:sz w:val="24"/>
          <w:szCs w:val="24"/>
          <w:lang w:val="es-ES_tradnl"/>
        </w:rPr>
        <w:t xml:space="preserve">Sin embargo, en atención al principio de máxima publicidad previsto en el artículo 8 de la Ley de Transparencia y Acceso a la Información Pública del Estado de México y Municipios, adjunta listado de servidores públicos adscritos al Departamento de Comercio en Vía Pública y Mercados, soporte documental que no obra en el expediente electrónico, en consecuencia, no se tiene por colmado el requerimiento en cita. </w:t>
      </w:r>
    </w:p>
    <w:p w14:paraId="3B9F47DF" w14:textId="77777777" w:rsidR="002D155E" w:rsidRPr="00777333" w:rsidRDefault="002D155E" w:rsidP="002D155E">
      <w:pPr>
        <w:spacing w:before="240" w:line="360" w:lineRule="auto"/>
        <w:jc w:val="both"/>
        <w:rPr>
          <w:rFonts w:ascii="Palatino Linotype" w:hAnsi="Palatino Linotype"/>
          <w:sz w:val="24"/>
          <w:szCs w:val="24"/>
        </w:rPr>
      </w:pPr>
      <w:r>
        <w:rPr>
          <w:rFonts w:ascii="Palatino Linotype" w:hAnsi="Palatino Linotype"/>
          <w:sz w:val="24"/>
          <w:szCs w:val="24"/>
        </w:rPr>
        <w:t xml:space="preserve">Inconforme con la respuesta del </w:t>
      </w:r>
      <w:r>
        <w:rPr>
          <w:rFonts w:ascii="Palatino Linotype" w:hAnsi="Palatino Linotype"/>
          <w:b/>
          <w:bCs/>
          <w:sz w:val="24"/>
          <w:szCs w:val="24"/>
        </w:rPr>
        <w:t xml:space="preserve">Sujeto Obligado, El Recurrente </w:t>
      </w:r>
      <w:r>
        <w:rPr>
          <w:rFonts w:ascii="Palatino Linotype" w:hAnsi="Palatino Linotype"/>
          <w:sz w:val="24"/>
          <w:szCs w:val="24"/>
        </w:rPr>
        <w:t xml:space="preserve">interpuso recurso de revisión en fecha </w:t>
      </w:r>
      <w:r>
        <w:rPr>
          <w:rFonts w:ascii="Palatino Linotype" w:hAnsi="Palatino Linotype"/>
          <w:b/>
          <w:bCs/>
          <w:sz w:val="24"/>
          <w:szCs w:val="24"/>
        </w:rPr>
        <w:t xml:space="preserve">veintinueve de agosto, </w:t>
      </w:r>
      <w:r>
        <w:rPr>
          <w:rFonts w:ascii="Palatino Linotype" w:hAnsi="Palatino Linotype"/>
          <w:sz w:val="24"/>
          <w:szCs w:val="24"/>
        </w:rPr>
        <w:t xml:space="preserve">admitiéndose el </w:t>
      </w:r>
      <w:r>
        <w:rPr>
          <w:rFonts w:ascii="Palatino Linotype" w:hAnsi="Palatino Linotype"/>
          <w:b/>
          <w:bCs/>
          <w:sz w:val="24"/>
          <w:szCs w:val="24"/>
        </w:rPr>
        <w:t xml:space="preserve">cinco de septiembre, ambos de dos mil veintitrés. </w:t>
      </w:r>
      <w:r>
        <w:rPr>
          <w:rFonts w:ascii="Palatino Linotype" w:hAnsi="Palatino Linotype"/>
          <w:sz w:val="24"/>
          <w:szCs w:val="24"/>
        </w:rPr>
        <w:t xml:space="preserve">Señalando como acto impugnado y como razones o motivos de inconformidad: </w:t>
      </w:r>
    </w:p>
    <w:p w14:paraId="6894FB3E" w14:textId="77777777" w:rsidR="002D155E" w:rsidRDefault="002D155E" w:rsidP="002D155E">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3677736F" w14:textId="77777777" w:rsidR="002D155E" w:rsidRPr="003406C5" w:rsidRDefault="002D155E" w:rsidP="002D155E">
      <w:pPr>
        <w:pStyle w:val="Citas"/>
        <w:rPr>
          <w:b/>
          <w:bCs/>
          <w:sz w:val="24"/>
        </w:rPr>
      </w:pPr>
      <w:r w:rsidRPr="002D560C">
        <w:t>“LA RESPUESTA DEL SUJETO OBLIGADO, QUIEN DE FORMA PREPOTENTE Y ABUSANDO DE SU AUTORIDAD POR INCUMPLIR DE FORMA ARTERA OCULTA LA INFORMACIÓN QUE POR LEY DEBE SER PÚBLICA”</w:t>
      </w:r>
      <w:r>
        <w:t xml:space="preserve"> </w:t>
      </w:r>
      <w:r>
        <w:rPr>
          <w:b/>
          <w:bCs/>
        </w:rPr>
        <w:t>(Sic)</w:t>
      </w:r>
    </w:p>
    <w:p w14:paraId="1F94311C" w14:textId="77777777" w:rsidR="002D155E" w:rsidRDefault="002D155E" w:rsidP="002D155E">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132CB31A" w14:textId="77777777" w:rsidR="002D155E" w:rsidRPr="003406C5" w:rsidRDefault="002D155E" w:rsidP="002D155E">
      <w:pPr>
        <w:pStyle w:val="Citas"/>
        <w:rPr>
          <w:b/>
          <w:bCs/>
        </w:rPr>
      </w:pPr>
      <w:r w:rsidRPr="002D560C">
        <w:lastRenderedPageBreak/>
        <w:t>“PORQUE MANIPULA LA FORMA DE ENTREGAR EL PADRÓN QUE DICE POSEER DE TIANGUIS HACIENDO IMPOSIBLE DE IDENTIFICAR CADA UNO DE LOS TIENGUIS EXISTENTES Y POR OTRO LADO NO DICE CUANTO RECAUDA DE CADA UNO, LO QUE PRESUME UNA COALICIÓN ENTRE LA AUTORIDAD MUNICIPAL Y LOS LIDERES TIANGUISTAS QUE PAGAN MENOS DE LO QUE DEBEN”</w:t>
      </w:r>
      <w:r>
        <w:t xml:space="preserve"> </w:t>
      </w:r>
      <w:r>
        <w:rPr>
          <w:b/>
          <w:bCs/>
        </w:rPr>
        <w:t>(Sic)</w:t>
      </w:r>
    </w:p>
    <w:p w14:paraId="34DF9B34" w14:textId="77777777" w:rsidR="002D155E" w:rsidRDefault="002D155E" w:rsidP="002D155E">
      <w:pPr>
        <w:spacing w:before="240" w:line="360" w:lineRule="auto"/>
        <w:jc w:val="both"/>
        <w:rPr>
          <w:rFonts w:ascii="Palatino Linotype" w:hAnsi="Palatino Linotype"/>
          <w:sz w:val="24"/>
          <w:szCs w:val="24"/>
        </w:rPr>
      </w:pPr>
    </w:p>
    <w:p w14:paraId="0151DA8F" w14:textId="77777777" w:rsidR="002D155E" w:rsidRPr="0028616A" w:rsidRDefault="002D155E" w:rsidP="002D155E">
      <w:pPr>
        <w:spacing w:before="240" w:line="360" w:lineRule="auto"/>
        <w:jc w:val="both"/>
        <w:rPr>
          <w:rFonts w:ascii="Palatino Linotype" w:hAnsi="Palatino Linotype"/>
          <w:b/>
          <w:bCs/>
          <w:sz w:val="24"/>
          <w:szCs w:val="24"/>
        </w:rPr>
      </w:pPr>
      <w:r w:rsidRPr="002D4E78">
        <w:rPr>
          <w:rFonts w:ascii="Palatino Linotype" w:hAnsi="Palatino Linotype"/>
          <w:sz w:val="24"/>
          <w:szCs w:val="24"/>
        </w:rPr>
        <w:t xml:space="preserve">Bajo estas líneas argumentativas, de una interpretación literal y gramatical a los motivos de inconformidad aducidos por el particular se advierte que consiente </w:t>
      </w:r>
      <w:r>
        <w:rPr>
          <w:rFonts w:ascii="Palatino Linotype" w:hAnsi="Palatino Linotype"/>
          <w:sz w:val="24"/>
          <w:szCs w:val="24"/>
        </w:rPr>
        <w:t xml:space="preserve">los requerimientos </w:t>
      </w:r>
      <w:r>
        <w:rPr>
          <w:rFonts w:ascii="Palatino Linotype" w:hAnsi="Palatino Linotype"/>
          <w:b/>
          <w:bCs/>
          <w:sz w:val="24"/>
          <w:szCs w:val="24"/>
        </w:rPr>
        <w:t xml:space="preserve">5 -cinco-, 6 -seis- y 7 -siete-.  </w:t>
      </w:r>
    </w:p>
    <w:p w14:paraId="3C3A4A0F" w14:textId="77777777" w:rsidR="002D155E" w:rsidRPr="002D4E78" w:rsidRDefault="002D155E" w:rsidP="002D155E">
      <w:pPr>
        <w:tabs>
          <w:tab w:val="left" w:pos="709"/>
        </w:tabs>
        <w:spacing w:before="240" w:line="360" w:lineRule="auto"/>
        <w:ind w:right="51"/>
        <w:jc w:val="both"/>
        <w:rPr>
          <w:rFonts w:ascii="Palatino Linotype" w:hAnsi="Palatino Linotype" w:cs="Arial"/>
          <w:sz w:val="24"/>
          <w:szCs w:val="24"/>
        </w:rPr>
      </w:pPr>
      <w:r w:rsidRPr="002D4E78">
        <w:rPr>
          <w:rFonts w:ascii="Palatino Linotype" w:hAnsi="Palatino Linotype"/>
          <w:sz w:val="24"/>
          <w:szCs w:val="24"/>
        </w:rPr>
        <w:t xml:space="preserve">Luego entonces, la parte de la solicitud sobre la que no se expresó inconformidad </w:t>
      </w:r>
      <w:r w:rsidRPr="002D4E78">
        <w:rPr>
          <w:rFonts w:ascii="Palatino Linotype" w:hAnsi="Palatino Linotype"/>
          <w:sz w:val="24"/>
          <w:szCs w:val="24"/>
          <w:lang w:eastAsia="es-MX"/>
        </w:rPr>
        <w:t xml:space="preserve">debe declararse consentida por </w:t>
      </w:r>
      <w:r>
        <w:rPr>
          <w:rFonts w:ascii="Palatino Linotype" w:hAnsi="Palatino Linotype"/>
          <w:sz w:val="24"/>
          <w:szCs w:val="24"/>
          <w:lang w:eastAsia="es-MX"/>
        </w:rPr>
        <w:t>el</w:t>
      </w:r>
      <w:r w:rsidRPr="002D4E78">
        <w:rPr>
          <w:rFonts w:ascii="Palatino Linotype" w:hAnsi="Palatino Linotype"/>
          <w:sz w:val="24"/>
          <w:szCs w:val="24"/>
          <w:lang w:eastAsia="es-MX"/>
        </w:rPr>
        <w:t xml:space="preserve"> hoy </w:t>
      </w:r>
      <w:r w:rsidRPr="002D4E78">
        <w:rPr>
          <w:rFonts w:ascii="Palatino Linotype" w:hAnsi="Palatino Linotype"/>
          <w:b/>
          <w:sz w:val="24"/>
          <w:szCs w:val="24"/>
          <w:lang w:eastAsia="es-MX"/>
        </w:rPr>
        <w:t xml:space="preserve">Recurrente, </w:t>
      </w:r>
      <w:r w:rsidRPr="002D4E78">
        <w:rPr>
          <w:rFonts w:ascii="Palatino Linotype" w:hAnsi="Palatino Linotype"/>
          <w:sz w:val="24"/>
          <w:szCs w:val="24"/>
          <w:lang w:eastAsia="es-MX"/>
        </w:rPr>
        <w:t xml:space="preserve">ya que </w:t>
      </w:r>
      <w:r w:rsidRPr="002D4E78">
        <w:rPr>
          <w:rFonts w:ascii="Palatino Linotype" w:hAnsi="Palatino Linotype" w:cs="Arial"/>
          <w:sz w:val="24"/>
          <w:szCs w:val="24"/>
          <w:lang w:eastAsia="es-MX"/>
        </w:rPr>
        <w:t xml:space="preserve">no pueden producirse efectos jurídicos tendentes a revocar, confirmar o modificar la parte de la respuesta con relación a la parte de la solicitud que no fue motivo de disenso ya que se infiere un consentimiento </w:t>
      </w:r>
      <w:r>
        <w:rPr>
          <w:rFonts w:ascii="Palatino Linotype" w:hAnsi="Palatino Linotype" w:cs="Arial"/>
          <w:sz w:val="24"/>
          <w:szCs w:val="24"/>
          <w:lang w:eastAsia="es-MX"/>
        </w:rPr>
        <w:t>del</w:t>
      </w:r>
      <w:r w:rsidRPr="002D4E78">
        <w:rPr>
          <w:rFonts w:ascii="Palatino Linotype" w:hAnsi="Palatino Linotype" w:cs="Arial"/>
          <w:sz w:val="24"/>
          <w:szCs w:val="24"/>
          <w:lang w:eastAsia="es-MX"/>
        </w:rPr>
        <w:t xml:space="preserve"> </w:t>
      </w:r>
      <w:r w:rsidRPr="002D4E78">
        <w:rPr>
          <w:rFonts w:ascii="Palatino Linotype" w:hAnsi="Palatino Linotype" w:cs="Arial"/>
          <w:b/>
          <w:sz w:val="24"/>
          <w:szCs w:val="24"/>
          <w:lang w:eastAsia="es-MX"/>
        </w:rPr>
        <w:t>Recurrente</w:t>
      </w:r>
      <w:r w:rsidRPr="002D4E78">
        <w:rPr>
          <w:rFonts w:ascii="Palatino Linotype" w:hAnsi="Palatino Linotype" w:cs="Arial"/>
          <w:sz w:val="24"/>
          <w:szCs w:val="24"/>
          <w:lang w:eastAsia="es-MX"/>
        </w:rPr>
        <w:t xml:space="preserve"> ante la falta de impugnación eficaz. </w:t>
      </w:r>
      <w:r w:rsidRPr="002D4E78">
        <w:rPr>
          <w:rFonts w:ascii="Palatino Linotype" w:hAnsi="Palatino Linotype" w:cs="Arial"/>
          <w:sz w:val="24"/>
          <w:szCs w:val="24"/>
        </w:rPr>
        <w:t xml:space="preserve">Sirve de sustento a lo anterior, por analogía, la tesis jurisprudencial, que a la letra dice: </w:t>
      </w:r>
    </w:p>
    <w:p w14:paraId="2337FE70" w14:textId="77777777" w:rsidR="002D155E" w:rsidRPr="002D4E78" w:rsidRDefault="002D155E" w:rsidP="002D155E">
      <w:pPr>
        <w:pStyle w:val="Prrafodelista"/>
        <w:spacing w:before="240" w:after="160" w:line="360" w:lineRule="auto"/>
        <w:ind w:left="851" w:right="851"/>
        <w:jc w:val="both"/>
        <w:rPr>
          <w:rFonts w:ascii="Palatino Linotype" w:hAnsi="Palatino Linotype"/>
          <w:i/>
          <w:sz w:val="22"/>
          <w:szCs w:val="22"/>
        </w:rPr>
      </w:pPr>
      <w:r w:rsidRPr="002D4E78">
        <w:rPr>
          <w:rFonts w:ascii="Palatino Linotype" w:hAnsi="Palatino Linotype"/>
          <w:i/>
          <w:sz w:val="22"/>
          <w:szCs w:val="22"/>
        </w:rPr>
        <w:t>“Época: Novena</w:t>
      </w:r>
    </w:p>
    <w:p w14:paraId="3628DD97" w14:textId="77777777" w:rsidR="002D155E" w:rsidRPr="002D4E78" w:rsidRDefault="002D155E" w:rsidP="002D155E">
      <w:pPr>
        <w:pStyle w:val="Prrafodelista"/>
        <w:spacing w:before="240" w:after="160" w:line="360" w:lineRule="auto"/>
        <w:ind w:left="851" w:right="851"/>
        <w:jc w:val="both"/>
        <w:rPr>
          <w:rFonts w:ascii="Palatino Linotype" w:hAnsi="Palatino Linotype"/>
          <w:i/>
          <w:sz w:val="22"/>
          <w:szCs w:val="22"/>
        </w:rPr>
      </w:pPr>
      <w:r w:rsidRPr="002D4E78">
        <w:rPr>
          <w:rFonts w:ascii="Palatino Linotype" w:hAnsi="Palatino Linotype"/>
          <w:i/>
          <w:sz w:val="22"/>
          <w:szCs w:val="22"/>
        </w:rPr>
        <w:t>Registro: 176608</w:t>
      </w:r>
    </w:p>
    <w:p w14:paraId="58C9A798" w14:textId="77777777" w:rsidR="002D155E" w:rsidRPr="002D4E78" w:rsidRDefault="002D155E" w:rsidP="002D155E">
      <w:pPr>
        <w:pStyle w:val="Prrafodelista"/>
        <w:spacing w:before="240" w:after="160" w:line="360" w:lineRule="auto"/>
        <w:ind w:left="851" w:right="851"/>
        <w:jc w:val="both"/>
        <w:rPr>
          <w:rFonts w:ascii="Palatino Linotype" w:hAnsi="Palatino Linotype"/>
          <w:i/>
          <w:sz w:val="22"/>
          <w:szCs w:val="22"/>
        </w:rPr>
      </w:pPr>
      <w:r w:rsidRPr="002D4E78">
        <w:rPr>
          <w:rFonts w:ascii="Palatino Linotype" w:hAnsi="Palatino Linotype"/>
          <w:i/>
          <w:sz w:val="22"/>
          <w:szCs w:val="22"/>
        </w:rPr>
        <w:t>Tipo de tesis: Jurisprudencia</w:t>
      </w:r>
    </w:p>
    <w:p w14:paraId="4B2F65D5" w14:textId="77777777" w:rsidR="002D155E" w:rsidRPr="002D4E78" w:rsidRDefault="002D155E" w:rsidP="002D155E">
      <w:pPr>
        <w:pStyle w:val="Prrafodelista"/>
        <w:spacing w:before="240" w:after="160" w:line="360" w:lineRule="auto"/>
        <w:ind w:left="851" w:right="851"/>
        <w:jc w:val="both"/>
        <w:rPr>
          <w:rFonts w:ascii="Palatino Linotype" w:hAnsi="Palatino Linotype"/>
          <w:i/>
          <w:sz w:val="22"/>
          <w:szCs w:val="22"/>
        </w:rPr>
      </w:pPr>
      <w:r w:rsidRPr="002D4E78">
        <w:rPr>
          <w:rFonts w:ascii="Palatino Linotype" w:hAnsi="Palatino Linotype"/>
          <w:i/>
          <w:sz w:val="22"/>
          <w:szCs w:val="22"/>
        </w:rPr>
        <w:t>Fuente: Semanario Judicial de la Federación y su Gaceta</w:t>
      </w:r>
    </w:p>
    <w:p w14:paraId="746280A1" w14:textId="77777777" w:rsidR="002D155E" w:rsidRPr="002D4E78" w:rsidRDefault="002D155E" w:rsidP="002D155E">
      <w:pPr>
        <w:pStyle w:val="Prrafodelista"/>
        <w:spacing w:before="240" w:after="160" w:line="360" w:lineRule="auto"/>
        <w:ind w:left="851" w:right="851"/>
        <w:jc w:val="both"/>
        <w:rPr>
          <w:rFonts w:ascii="Palatino Linotype" w:hAnsi="Palatino Linotype"/>
          <w:i/>
          <w:sz w:val="22"/>
          <w:szCs w:val="22"/>
        </w:rPr>
      </w:pPr>
      <w:r w:rsidRPr="002D4E78">
        <w:rPr>
          <w:rFonts w:ascii="Palatino Linotype" w:hAnsi="Palatino Linotype"/>
          <w:i/>
          <w:sz w:val="22"/>
          <w:szCs w:val="22"/>
        </w:rPr>
        <w:t>Diciembre de 2005, Tomo XXII</w:t>
      </w:r>
    </w:p>
    <w:p w14:paraId="01EDA20B" w14:textId="77777777" w:rsidR="002D155E" w:rsidRPr="002D4E78" w:rsidRDefault="002D155E" w:rsidP="002D155E">
      <w:pPr>
        <w:pStyle w:val="Prrafodelista"/>
        <w:spacing w:before="240" w:after="160" w:line="360" w:lineRule="auto"/>
        <w:ind w:left="851" w:right="851"/>
        <w:jc w:val="both"/>
        <w:rPr>
          <w:rFonts w:ascii="Palatino Linotype" w:hAnsi="Palatino Linotype"/>
          <w:i/>
          <w:sz w:val="22"/>
          <w:szCs w:val="22"/>
        </w:rPr>
      </w:pPr>
      <w:r w:rsidRPr="002D4E78">
        <w:rPr>
          <w:rFonts w:ascii="Palatino Linotype" w:hAnsi="Palatino Linotype"/>
          <w:i/>
          <w:sz w:val="22"/>
          <w:szCs w:val="22"/>
        </w:rPr>
        <w:lastRenderedPageBreak/>
        <w:t>Materia (s): Común</w:t>
      </w:r>
    </w:p>
    <w:p w14:paraId="146E35B9" w14:textId="77777777" w:rsidR="002D155E" w:rsidRPr="002D4E78" w:rsidRDefault="002D155E" w:rsidP="002D155E">
      <w:pPr>
        <w:pStyle w:val="Prrafodelista"/>
        <w:spacing w:before="240" w:after="160" w:line="360" w:lineRule="auto"/>
        <w:ind w:left="851" w:right="851"/>
        <w:jc w:val="both"/>
        <w:rPr>
          <w:rFonts w:ascii="Palatino Linotype" w:hAnsi="Palatino Linotype"/>
          <w:i/>
          <w:sz w:val="22"/>
          <w:szCs w:val="22"/>
        </w:rPr>
      </w:pPr>
      <w:r w:rsidRPr="002D4E78">
        <w:rPr>
          <w:rFonts w:ascii="Palatino Linotype" w:hAnsi="Palatino Linotype"/>
          <w:i/>
          <w:sz w:val="22"/>
          <w:szCs w:val="22"/>
        </w:rPr>
        <w:t>Tesis: VI. 3o.C. J/60</w:t>
      </w:r>
    </w:p>
    <w:p w14:paraId="630FB6C0" w14:textId="77777777" w:rsidR="002D155E" w:rsidRPr="002D4E78" w:rsidRDefault="002D155E" w:rsidP="002D155E">
      <w:pPr>
        <w:pStyle w:val="Prrafodelista"/>
        <w:spacing w:before="240" w:after="160" w:line="360" w:lineRule="auto"/>
        <w:ind w:left="851" w:right="851"/>
        <w:jc w:val="both"/>
        <w:rPr>
          <w:rFonts w:ascii="Palatino Linotype" w:hAnsi="Palatino Linotype"/>
          <w:i/>
          <w:sz w:val="22"/>
          <w:szCs w:val="22"/>
        </w:rPr>
      </w:pPr>
      <w:r w:rsidRPr="002D4E78">
        <w:rPr>
          <w:rFonts w:ascii="Palatino Linotype" w:hAnsi="Palatino Linotype"/>
          <w:i/>
          <w:sz w:val="22"/>
          <w:szCs w:val="22"/>
        </w:rPr>
        <w:t>Página: 2365</w:t>
      </w:r>
    </w:p>
    <w:p w14:paraId="6CE2CB99" w14:textId="77777777" w:rsidR="002D155E" w:rsidRPr="002D4E78" w:rsidRDefault="002D155E" w:rsidP="002D155E">
      <w:pPr>
        <w:spacing w:before="240" w:line="360" w:lineRule="auto"/>
        <w:ind w:left="851" w:right="851"/>
        <w:jc w:val="both"/>
        <w:rPr>
          <w:rFonts w:ascii="Palatino Linotype" w:hAnsi="Palatino Linotype" w:cs="Arial"/>
          <w:i/>
          <w:lang w:eastAsia="es-MX"/>
        </w:rPr>
      </w:pPr>
      <w:r w:rsidRPr="002D4E78">
        <w:rPr>
          <w:rFonts w:ascii="Palatino Linotype" w:hAnsi="Palatino Linotype" w:cs="Arial"/>
          <w:i/>
          <w:lang w:eastAsia="es-MX"/>
        </w:rPr>
        <w:t xml:space="preserve"> </w:t>
      </w:r>
      <w:r w:rsidRPr="002D4E78">
        <w:rPr>
          <w:rFonts w:ascii="Palatino Linotype" w:hAnsi="Palatino Linotype" w:cs="Arial"/>
          <w:b/>
          <w:i/>
          <w:lang w:eastAsia="es-MX"/>
        </w:rPr>
        <w:t>ACTOS CONSENTIDOS. SON LOS QUE NO SE IMPUGNAN MEDIANTE EL RECURSO IDÓNEO</w:t>
      </w:r>
      <w:r w:rsidRPr="002D4E78">
        <w:rPr>
          <w:rFonts w:ascii="Palatino Linotype" w:hAnsi="Palatino Linotype" w:cs="Arial"/>
          <w:i/>
          <w:lang w:eastAsia="es-MX"/>
        </w:rPr>
        <w:t xml:space="preserve">. </w:t>
      </w:r>
    </w:p>
    <w:p w14:paraId="53A9A358" w14:textId="77777777" w:rsidR="002D155E" w:rsidRPr="002D4E78" w:rsidRDefault="002D155E" w:rsidP="002D155E">
      <w:pPr>
        <w:spacing w:before="240" w:line="360" w:lineRule="auto"/>
        <w:ind w:left="851" w:right="851"/>
        <w:jc w:val="both"/>
        <w:rPr>
          <w:rFonts w:ascii="Palatino Linotype" w:hAnsi="Palatino Linotype" w:cs="Arial"/>
          <w:i/>
          <w:lang w:eastAsia="es-MX"/>
        </w:rPr>
      </w:pPr>
      <w:r w:rsidRPr="002D4E78">
        <w:rPr>
          <w:rFonts w:ascii="Palatino Linotype" w:hAnsi="Palatino Linotype" w:cs="Arial"/>
          <w:i/>
          <w:lang w:eastAsia="es-MX"/>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2DEC3D10" w14:textId="77777777" w:rsidR="002D155E" w:rsidRPr="002D4E78" w:rsidRDefault="002D155E" w:rsidP="002D155E">
      <w:pPr>
        <w:spacing w:before="240" w:line="360" w:lineRule="auto"/>
        <w:ind w:left="851" w:right="851"/>
        <w:jc w:val="both"/>
        <w:rPr>
          <w:rFonts w:ascii="Palatino Linotype" w:eastAsia="Times New Roman" w:hAnsi="Palatino Linotype" w:cs="Calibri"/>
          <w:i/>
          <w:color w:val="000000"/>
          <w:lang w:eastAsia="es-MX"/>
        </w:rPr>
      </w:pPr>
      <w:r w:rsidRPr="002D4E78">
        <w:rPr>
          <w:rFonts w:ascii="Palatino Linotype" w:eastAsia="Times New Roman" w:hAnsi="Palatino Linotype" w:cs="Calibri"/>
          <w:i/>
          <w:color w:val="000000"/>
          <w:lang w:eastAsia="es-MX"/>
        </w:rPr>
        <w:t>TERCER TRIBUNAL COLEGIADO EN MATERIA CIVIL DEL SEXTO CIRCUITO.</w:t>
      </w:r>
    </w:p>
    <w:p w14:paraId="5AEF5D56" w14:textId="77777777" w:rsidR="002D155E" w:rsidRPr="002D4E78" w:rsidRDefault="002D155E" w:rsidP="002D155E">
      <w:pPr>
        <w:spacing w:before="240" w:line="360" w:lineRule="auto"/>
        <w:ind w:left="851" w:right="851"/>
        <w:jc w:val="both"/>
        <w:rPr>
          <w:rFonts w:ascii="Palatino Linotype" w:eastAsia="Times New Roman" w:hAnsi="Palatino Linotype" w:cs="Calibri"/>
          <w:i/>
          <w:color w:val="444444"/>
          <w:lang w:eastAsia="es-MX"/>
        </w:rPr>
      </w:pPr>
      <w:r w:rsidRPr="002D4E78">
        <w:rPr>
          <w:rFonts w:ascii="Palatino Linotype" w:eastAsia="Times New Roman" w:hAnsi="Palatino Linotype" w:cs="Calibri"/>
          <w:i/>
          <w:color w:val="444444"/>
          <w:lang w:eastAsia="es-MX"/>
        </w:rPr>
        <w:t>Amparo en revisión 2/90. Germán Miguel Núñez Rivera. 13 de noviembre de 1990. Unanimidad de votos. Ponente: Juan Manuel Brito Velázquez. Secretaria: Luz del Carmen Herrera Calderón.</w:t>
      </w:r>
    </w:p>
    <w:p w14:paraId="2BDC93DF" w14:textId="77777777" w:rsidR="002D155E" w:rsidRPr="002D4E78" w:rsidRDefault="002D155E" w:rsidP="002D155E">
      <w:pPr>
        <w:spacing w:before="240" w:line="360" w:lineRule="auto"/>
        <w:ind w:left="851" w:right="851"/>
        <w:jc w:val="both"/>
        <w:rPr>
          <w:rFonts w:ascii="Palatino Linotype" w:eastAsia="Times New Roman" w:hAnsi="Palatino Linotype" w:cs="Calibri"/>
          <w:i/>
          <w:color w:val="444444"/>
          <w:lang w:eastAsia="es-MX"/>
        </w:rPr>
      </w:pPr>
      <w:r w:rsidRPr="002D4E78">
        <w:rPr>
          <w:rFonts w:ascii="Palatino Linotype" w:eastAsia="Times New Roman" w:hAnsi="Palatino Linotype" w:cs="Calibri"/>
          <w:i/>
          <w:color w:val="444444"/>
          <w:lang w:eastAsia="es-MX"/>
        </w:rPr>
        <w:t>Amparo en revisión 393/90. Amparo Naylor Hernández y otros. 6 de diciembre de 1990. Unanimidad de votos. Ponente: Juan Manuel Brito Velázquez. Secretaria: María Dolores Olarte Ruvalcaba.</w:t>
      </w:r>
    </w:p>
    <w:p w14:paraId="48218D81" w14:textId="77777777" w:rsidR="002D155E" w:rsidRPr="002D4E78" w:rsidRDefault="002D155E" w:rsidP="002D155E">
      <w:pPr>
        <w:spacing w:before="240" w:line="360" w:lineRule="auto"/>
        <w:ind w:left="851" w:right="851"/>
        <w:jc w:val="both"/>
        <w:rPr>
          <w:rFonts w:ascii="Palatino Linotype" w:eastAsia="Times New Roman" w:hAnsi="Palatino Linotype" w:cs="Calibri"/>
          <w:i/>
          <w:color w:val="444444"/>
          <w:lang w:eastAsia="es-MX"/>
        </w:rPr>
      </w:pPr>
      <w:r w:rsidRPr="002D4E78">
        <w:rPr>
          <w:rFonts w:ascii="Palatino Linotype" w:eastAsia="Times New Roman" w:hAnsi="Palatino Linotype" w:cs="Calibri"/>
          <w:i/>
          <w:color w:val="444444"/>
          <w:lang w:eastAsia="es-MX"/>
        </w:rPr>
        <w:t>Amparo directo 352/2000. Omar González Morales. 1o. de septiembre de 2000. Unanimidad de votos. Ponente: Teresa Munguía Sánchez. Secretaria: Julieta Esther Fernández Gaona.</w:t>
      </w:r>
    </w:p>
    <w:p w14:paraId="4A3E703E" w14:textId="77777777" w:rsidR="002D155E" w:rsidRPr="002D4E78" w:rsidRDefault="002D155E" w:rsidP="002D155E">
      <w:pPr>
        <w:spacing w:before="240" w:line="360" w:lineRule="auto"/>
        <w:ind w:left="851" w:right="851"/>
        <w:jc w:val="both"/>
        <w:rPr>
          <w:rFonts w:ascii="Palatino Linotype" w:eastAsia="Times New Roman" w:hAnsi="Palatino Linotype" w:cs="Calibri"/>
          <w:i/>
          <w:color w:val="444444"/>
          <w:lang w:eastAsia="es-MX"/>
        </w:rPr>
      </w:pPr>
      <w:r w:rsidRPr="002D4E78">
        <w:rPr>
          <w:rFonts w:ascii="Palatino Linotype" w:eastAsia="Times New Roman" w:hAnsi="Palatino Linotype" w:cs="Calibri"/>
          <w:i/>
          <w:color w:val="444444"/>
          <w:lang w:eastAsia="es-MX"/>
        </w:rPr>
        <w:lastRenderedPageBreak/>
        <w:t>Amparo directo 366/2005. Virginia Quixihuitl Burgos y otra. 14 de octubre de 2005. Unanimidad de votos. Ponente: Norma Fiallega Sánchez. Secretario: Horacio Óscar Rosete Mentado.</w:t>
      </w:r>
    </w:p>
    <w:p w14:paraId="5864E751" w14:textId="77777777" w:rsidR="002D155E" w:rsidRPr="002D4E78" w:rsidRDefault="002D155E" w:rsidP="002D155E">
      <w:pPr>
        <w:spacing w:before="240" w:line="360" w:lineRule="auto"/>
        <w:ind w:left="851" w:right="851"/>
        <w:jc w:val="both"/>
        <w:rPr>
          <w:rFonts w:ascii="Palatino Linotype" w:eastAsia="Times New Roman" w:hAnsi="Palatino Linotype" w:cs="Calibri"/>
          <w:b/>
          <w:i/>
          <w:color w:val="444444"/>
          <w:lang w:eastAsia="es-MX"/>
        </w:rPr>
      </w:pPr>
      <w:r w:rsidRPr="002D4E78">
        <w:rPr>
          <w:rFonts w:ascii="Palatino Linotype" w:eastAsia="Times New Roman" w:hAnsi="Palatino Linotype" w:cs="Calibri"/>
          <w:i/>
          <w:color w:val="444444"/>
          <w:lang w:eastAsia="es-MX"/>
        </w:rPr>
        <w:t xml:space="preserve">Amparo en revisión 353/2005. Francisco Torres Coronel y otro. 4 de noviembre de 2005. Unanimidad de votos. Ponente: Filiberto Méndez Gutiérrez. Secretaria: Carla Isselín Talavera.” </w:t>
      </w:r>
      <w:r w:rsidRPr="002D4E78">
        <w:rPr>
          <w:rFonts w:ascii="Palatino Linotype" w:eastAsia="Times New Roman" w:hAnsi="Palatino Linotype" w:cs="Calibri"/>
          <w:b/>
          <w:i/>
          <w:color w:val="444444"/>
          <w:lang w:eastAsia="es-MX"/>
        </w:rPr>
        <w:t>[Sic]</w:t>
      </w:r>
    </w:p>
    <w:p w14:paraId="320B04BD" w14:textId="77777777" w:rsidR="002D155E" w:rsidRPr="002D4E78" w:rsidRDefault="002D155E" w:rsidP="002D155E">
      <w:pPr>
        <w:spacing w:after="0" w:line="360" w:lineRule="auto"/>
        <w:jc w:val="both"/>
        <w:rPr>
          <w:rFonts w:ascii="Palatino Linotype" w:hAnsi="Palatino Linotype" w:cs="Arial"/>
          <w:noProof/>
          <w:color w:val="000000"/>
          <w:sz w:val="24"/>
          <w:lang w:eastAsia="es-MX"/>
        </w:rPr>
      </w:pPr>
    </w:p>
    <w:p w14:paraId="6BC1993B" w14:textId="77777777" w:rsidR="002D155E" w:rsidRPr="002D4E78" w:rsidRDefault="002D155E" w:rsidP="002D155E">
      <w:pPr>
        <w:spacing w:after="0" w:line="360" w:lineRule="auto"/>
        <w:jc w:val="both"/>
        <w:rPr>
          <w:rFonts w:ascii="Palatino Linotype" w:hAnsi="Palatino Linotype" w:cs="Arial"/>
          <w:noProof/>
          <w:color w:val="000000"/>
          <w:sz w:val="24"/>
          <w:lang w:eastAsia="es-MX"/>
        </w:rPr>
      </w:pPr>
      <w:r w:rsidRPr="002D4E78">
        <w:rPr>
          <w:rFonts w:ascii="Palatino Linotype" w:hAnsi="Palatino Linotype" w:cs="Arial"/>
          <w:noProof/>
          <w:color w:val="000000"/>
          <w:sz w:val="24"/>
          <w:lang w:eastAsia="es-MX"/>
        </w:rPr>
        <w:t xml:space="preserve">De forma complementaria, robustece lo anterior el criterio </w:t>
      </w:r>
      <w:r w:rsidRPr="002D4E78">
        <w:rPr>
          <w:rFonts w:ascii="Palatino Linotype" w:hAnsi="Palatino Linotype" w:cs="Arial"/>
          <w:b/>
          <w:bCs/>
          <w:noProof/>
          <w:color w:val="000000"/>
          <w:sz w:val="24"/>
          <w:lang w:eastAsia="es-MX"/>
        </w:rPr>
        <w:t xml:space="preserve">01/20 </w:t>
      </w:r>
      <w:r w:rsidRPr="002D4E78">
        <w:rPr>
          <w:rFonts w:ascii="Palatino Linotype" w:hAnsi="Palatino Linotype" w:cs="Arial"/>
          <w:noProof/>
          <w:color w:val="000000"/>
          <w:sz w:val="24"/>
          <w:lang w:eastAsia="es-MX"/>
        </w:rPr>
        <w:t xml:space="preserve">emitido por el Instituto Nacional de Transparencia, Acceso a la Información y Protección de Datos Personales, cuyo rubro y texto señalan a la literalidad lo siguiente: </w:t>
      </w:r>
    </w:p>
    <w:p w14:paraId="7D204CB7" w14:textId="77777777" w:rsidR="002D155E" w:rsidRPr="002D4E78" w:rsidRDefault="002D155E" w:rsidP="002D155E">
      <w:pPr>
        <w:pStyle w:val="Citas"/>
        <w:rPr>
          <w:b/>
        </w:rPr>
      </w:pPr>
      <w:r w:rsidRPr="002D4E78">
        <w:rPr>
          <w:b/>
        </w:rPr>
        <w:t xml:space="preserve">“ACTOS CONSENTIDOS TÁCITAMENTE. IMPROCEDENCIA DE SU ANÁLISIS. </w:t>
      </w:r>
    </w:p>
    <w:p w14:paraId="5B2BF20E" w14:textId="77777777" w:rsidR="002D155E" w:rsidRPr="002D4E78" w:rsidRDefault="002D155E" w:rsidP="002D155E">
      <w:pPr>
        <w:pStyle w:val="Citas"/>
        <w:rPr>
          <w:strike/>
        </w:rPr>
      </w:pPr>
      <w:r w:rsidRPr="002D4E78">
        <w:t xml:space="preserve">Si en su recurso de revisión, la persona recurrente no expresó inconformidad alguna con ciertas partes de la respuesta otorgada, se entienden tácitamente consentidas, por ende, no deben formar parte del estudio de fondo de la resolución que emite el Instituto. </w:t>
      </w:r>
    </w:p>
    <w:p w14:paraId="3FF1DA61" w14:textId="77777777" w:rsidR="002D155E" w:rsidRPr="002D4E78" w:rsidRDefault="002D155E" w:rsidP="002D155E">
      <w:pPr>
        <w:pStyle w:val="Citas"/>
        <w:rPr>
          <w:b/>
          <w:bCs/>
        </w:rPr>
      </w:pPr>
      <w:r w:rsidRPr="002D4E78">
        <w:rPr>
          <w:b/>
          <w:bCs/>
        </w:rPr>
        <w:t>Resoluciones:</w:t>
      </w:r>
    </w:p>
    <w:p w14:paraId="3C53862B" w14:textId="77777777" w:rsidR="002D155E" w:rsidRPr="002D4E78" w:rsidRDefault="002D155E" w:rsidP="002D155E">
      <w:pPr>
        <w:pStyle w:val="Citas"/>
      </w:pPr>
      <w:r w:rsidRPr="002D4E78">
        <w:rPr>
          <w:b/>
        </w:rPr>
        <w:t xml:space="preserve">RRA 4548/18. </w:t>
      </w:r>
      <w:r w:rsidRPr="002D4E78">
        <w:t>Instituto de Seguridad y Servicios Sociales de los Trabajadores del Estado. 12 de septiembre de 2018. Por unanimidad. Comisionado Ponente Oscar Mauricio Guerra Ford.</w:t>
      </w:r>
    </w:p>
    <w:p w14:paraId="6B4EEBAC" w14:textId="77777777" w:rsidR="002D155E" w:rsidRPr="002D4E78" w:rsidRDefault="00DA084A" w:rsidP="002D155E">
      <w:pPr>
        <w:pStyle w:val="Citas"/>
        <w:rPr>
          <w:sz w:val="20"/>
        </w:rPr>
      </w:pPr>
      <w:hyperlink r:id="rId15" w:history="1">
        <w:r w:rsidR="002D155E" w:rsidRPr="002D4E78">
          <w:rPr>
            <w:rStyle w:val="Hipervnculo"/>
          </w:rPr>
          <w:t>http://consultas.ifai.org.mx/descargar.php?r=./pdf/resoluciones/2018/&amp;a=RRA%204548.pdf</w:t>
        </w:r>
      </w:hyperlink>
    </w:p>
    <w:p w14:paraId="4DB40D56" w14:textId="77777777" w:rsidR="002D155E" w:rsidRPr="002D4E78" w:rsidRDefault="002D155E" w:rsidP="002D155E">
      <w:pPr>
        <w:pStyle w:val="Citas"/>
        <w:rPr>
          <w:b/>
        </w:rPr>
      </w:pPr>
      <w:r w:rsidRPr="002D4E78">
        <w:rPr>
          <w:b/>
        </w:rPr>
        <w:lastRenderedPageBreak/>
        <w:t xml:space="preserve">RRA 5097/18. </w:t>
      </w:r>
      <w:r w:rsidRPr="002D4E78">
        <w:t>Secretaría de Hacienda y Crédito Público. 05 de septiembre de 2018. Por unanimidad. Comisionado Ponente Joel Salas Suárez.</w:t>
      </w:r>
    </w:p>
    <w:p w14:paraId="0F706CCB" w14:textId="77777777" w:rsidR="002D155E" w:rsidRPr="002D4E78" w:rsidRDefault="00DA084A" w:rsidP="002D155E">
      <w:pPr>
        <w:pStyle w:val="Citas"/>
        <w:rPr>
          <w:sz w:val="20"/>
        </w:rPr>
      </w:pPr>
      <w:hyperlink r:id="rId16" w:history="1">
        <w:r w:rsidR="002D155E" w:rsidRPr="002D4E78">
          <w:rPr>
            <w:rStyle w:val="Hipervnculo"/>
          </w:rPr>
          <w:t>http://consultas.ifai.org.mx/descargar.php?r=./pdf/resoluciones/2018/&amp;a=RRA%205097.pdf</w:t>
        </w:r>
      </w:hyperlink>
    </w:p>
    <w:p w14:paraId="670A6556" w14:textId="77777777" w:rsidR="002D155E" w:rsidRPr="002D4E78" w:rsidRDefault="002D155E" w:rsidP="002D155E">
      <w:pPr>
        <w:pStyle w:val="Citas"/>
        <w:rPr>
          <w:b/>
        </w:rPr>
      </w:pPr>
      <w:r w:rsidRPr="002D4E78">
        <w:rPr>
          <w:b/>
        </w:rPr>
        <w:t xml:space="preserve">RRA 14270/19. </w:t>
      </w:r>
      <w:r w:rsidRPr="002D4E78">
        <w:t>Registro Agrario Nacional. 22 de enero de 2020. Por unanimidad. Comisionado Ponente Francisco Javier Acuña Llamas.</w:t>
      </w:r>
    </w:p>
    <w:p w14:paraId="14DE79EC" w14:textId="77777777" w:rsidR="002D155E" w:rsidRPr="009754D6" w:rsidRDefault="00DA084A" w:rsidP="002D155E">
      <w:pPr>
        <w:pStyle w:val="Citas"/>
        <w:rPr>
          <w:rStyle w:val="Hipervnculo"/>
          <w:b/>
          <w:bCs/>
          <w:color w:val="auto"/>
          <w:sz w:val="24"/>
          <w:szCs w:val="24"/>
          <w:u w:val="none"/>
          <w:lang w:val="en-US"/>
        </w:rPr>
      </w:pPr>
      <w:hyperlink r:id="rId17" w:history="1">
        <w:r w:rsidR="002D155E" w:rsidRPr="002D4E78">
          <w:rPr>
            <w:rStyle w:val="Hipervnculo"/>
            <w:lang w:val="en-US"/>
          </w:rPr>
          <w:t>http://consultas.ifai.org.mx/descargar.php?r=./pdf/resoluciones/2019/&amp;a=RRA%2014270.pdf</w:t>
        </w:r>
      </w:hyperlink>
      <w:r w:rsidR="002D155E" w:rsidRPr="002D4E78">
        <w:rPr>
          <w:rStyle w:val="Hipervnculo"/>
          <w:sz w:val="20"/>
          <w:lang w:val="en-US"/>
        </w:rPr>
        <w:t xml:space="preserve">” </w:t>
      </w:r>
      <w:r w:rsidR="002D155E" w:rsidRPr="002D4E78">
        <w:rPr>
          <w:rStyle w:val="Hipervnculo"/>
          <w:i w:val="0"/>
          <w:iCs/>
          <w:sz w:val="24"/>
          <w:szCs w:val="24"/>
          <w:u w:val="none"/>
          <w:lang w:val="en-US"/>
        </w:rPr>
        <w:t xml:space="preserve"> </w:t>
      </w:r>
      <w:r w:rsidR="002D155E" w:rsidRPr="002D4E78">
        <w:rPr>
          <w:rStyle w:val="Hipervnculo"/>
          <w:b/>
          <w:bCs/>
          <w:color w:val="auto"/>
          <w:sz w:val="24"/>
          <w:szCs w:val="24"/>
          <w:u w:val="none"/>
          <w:lang w:val="en-US"/>
        </w:rPr>
        <w:t>[Sic]</w:t>
      </w:r>
      <w:r w:rsidR="002D155E" w:rsidRPr="009754D6">
        <w:rPr>
          <w:rStyle w:val="Hipervnculo"/>
          <w:b/>
          <w:bCs/>
          <w:color w:val="auto"/>
          <w:sz w:val="24"/>
          <w:szCs w:val="24"/>
          <w:u w:val="none"/>
          <w:lang w:val="en-US"/>
        </w:rPr>
        <w:t xml:space="preserve"> </w:t>
      </w:r>
    </w:p>
    <w:p w14:paraId="35F818DE" w14:textId="77777777" w:rsidR="002D155E" w:rsidRPr="0028616A" w:rsidRDefault="002D155E" w:rsidP="002D155E">
      <w:pPr>
        <w:spacing w:before="240" w:line="360" w:lineRule="auto"/>
        <w:jc w:val="both"/>
        <w:rPr>
          <w:rFonts w:ascii="Palatino Linotype" w:hAnsi="Palatino Linotype"/>
          <w:sz w:val="24"/>
          <w:szCs w:val="24"/>
          <w:lang w:val="en-US"/>
        </w:rPr>
      </w:pPr>
    </w:p>
    <w:p w14:paraId="09DED717" w14:textId="148DAB56" w:rsidR="002D155E" w:rsidRDefault="002D155E" w:rsidP="002D155E">
      <w:pPr>
        <w:pStyle w:val="infoemcitas"/>
        <w:tabs>
          <w:tab w:val="left" w:pos="7655"/>
        </w:tabs>
        <w:ind w:left="0" w:right="0"/>
        <w:rPr>
          <w:rFonts w:cs="Arial"/>
          <w:i w:val="0"/>
          <w:noProof/>
          <w:color w:val="000000"/>
          <w:sz w:val="24"/>
          <w:lang w:eastAsia="es-MX"/>
        </w:rPr>
      </w:pPr>
      <w:r>
        <w:rPr>
          <w:i w:val="0"/>
          <w:sz w:val="24"/>
          <w:szCs w:val="24"/>
        </w:rPr>
        <w:t xml:space="preserve">Así las cosas, hasta aquí lo expuesto, resulta inconcuso que </w:t>
      </w:r>
      <w:r>
        <w:rPr>
          <w:b/>
          <w:i w:val="0"/>
          <w:sz w:val="24"/>
          <w:szCs w:val="24"/>
        </w:rPr>
        <w:t>El Sujeto Obligado</w:t>
      </w:r>
      <w:r w:rsidRPr="00535EDD">
        <w:rPr>
          <w:b/>
          <w:i w:val="0"/>
          <w:sz w:val="24"/>
          <w:szCs w:val="24"/>
        </w:rPr>
        <w:t xml:space="preserve"> </w:t>
      </w:r>
      <w:r w:rsidRPr="00535EDD">
        <w:rPr>
          <w:rFonts w:cs="Arial"/>
          <w:i w:val="0"/>
          <w:noProof/>
          <w:color w:val="000000"/>
          <w:sz w:val="24"/>
          <w:lang w:eastAsia="es-MX"/>
        </w:rPr>
        <w:t xml:space="preserve">no satisfizo el derecho de acceso a la información pública ejercido por </w:t>
      </w:r>
      <w:r>
        <w:rPr>
          <w:rFonts w:cs="Arial"/>
          <w:b/>
          <w:i w:val="0"/>
          <w:noProof/>
          <w:color w:val="000000"/>
          <w:sz w:val="24"/>
          <w:lang w:eastAsia="es-MX"/>
        </w:rPr>
        <w:t xml:space="preserve">La </w:t>
      </w:r>
      <w:r w:rsidRPr="00535EDD">
        <w:rPr>
          <w:rFonts w:cs="Arial"/>
          <w:b/>
          <w:i w:val="0"/>
          <w:noProof/>
          <w:color w:val="000000"/>
          <w:sz w:val="24"/>
          <w:lang w:eastAsia="es-MX"/>
        </w:rPr>
        <w:t xml:space="preserve">Recurrente, </w:t>
      </w:r>
      <w:r w:rsidRPr="00535EDD">
        <w:rPr>
          <w:rFonts w:cs="Arial"/>
          <w:i w:val="0"/>
          <w:noProof/>
          <w:color w:val="000000"/>
          <w:sz w:val="24"/>
          <w:lang w:eastAsia="es-MX"/>
        </w:rPr>
        <w:t>al tenerse por actualizada</w:t>
      </w:r>
      <w:r>
        <w:rPr>
          <w:rFonts w:cs="Arial"/>
          <w:i w:val="0"/>
          <w:noProof/>
          <w:color w:val="000000"/>
          <w:sz w:val="24"/>
          <w:lang w:eastAsia="es-MX"/>
        </w:rPr>
        <w:t xml:space="preserve"> la hipotesis prevista en el artículo 179, fracción I de la Ley de Transparencia y Acceso a la Información Pública del Estado de México y Municipios, cuyo contenido literal es el siguiente:</w:t>
      </w:r>
    </w:p>
    <w:p w14:paraId="44EE4A0C" w14:textId="77777777" w:rsidR="002D155E" w:rsidRDefault="002D155E" w:rsidP="002D155E">
      <w:pPr>
        <w:pStyle w:val="Citas"/>
      </w:pPr>
      <w:r>
        <w:t>“Artículo 179. El recurso de revisión es un medio de protección que la Ley otorga a los particulares, para hacer valer su derecho de acceso a la información pública, y procederá en contra de las siguientes causas:</w:t>
      </w:r>
    </w:p>
    <w:p w14:paraId="049B8D26" w14:textId="77777777" w:rsidR="002D155E" w:rsidRDefault="002D155E" w:rsidP="002D155E">
      <w:pPr>
        <w:pStyle w:val="Citas"/>
      </w:pPr>
      <w:r>
        <w:t>I. La negativa a la información solicitada;</w:t>
      </w:r>
    </w:p>
    <w:p w14:paraId="6F5469FA" w14:textId="77777777" w:rsidR="002D155E" w:rsidRPr="005A12AE" w:rsidRDefault="002D155E" w:rsidP="002D155E">
      <w:pPr>
        <w:pStyle w:val="Citas"/>
        <w:rPr>
          <w:b/>
          <w:bCs/>
          <w:noProof/>
          <w:color w:val="000000"/>
          <w:sz w:val="24"/>
          <w:lang w:eastAsia="es-MX"/>
        </w:rPr>
      </w:pPr>
      <w:r>
        <w:rPr>
          <w:noProof/>
          <w:color w:val="000000"/>
          <w:sz w:val="24"/>
          <w:lang w:eastAsia="es-MX"/>
        </w:rPr>
        <w:t xml:space="preserve">(…)” </w:t>
      </w:r>
      <w:r>
        <w:rPr>
          <w:b/>
          <w:bCs/>
          <w:noProof/>
          <w:color w:val="000000"/>
          <w:sz w:val="24"/>
          <w:lang w:eastAsia="es-MX"/>
        </w:rPr>
        <w:t>[Sic]</w:t>
      </w:r>
    </w:p>
    <w:p w14:paraId="14728BB1" w14:textId="77777777" w:rsidR="002D155E" w:rsidRDefault="002D155E" w:rsidP="002D155E">
      <w:pPr>
        <w:autoSpaceDE w:val="0"/>
        <w:autoSpaceDN w:val="0"/>
        <w:adjustRightInd w:val="0"/>
        <w:spacing w:before="240" w:line="360" w:lineRule="auto"/>
        <w:jc w:val="both"/>
        <w:rPr>
          <w:rFonts w:ascii="Palatino Linotype" w:hAnsi="Palatino Linotype" w:cs="Arial"/>
          <w:bCs/>
          <w:sz w:val="24"/>
          <w:szCs w:val="24"/>
          <w:lang w:eastAsia="es-MX"/>
        </w:rPr>
      </w:pPr>
    </w:p>
    <w:p w14:paraId="0965C020" w14:textId="77777777" w:rsidR="002D155E" w:rsidRDefault="002D155E" w:rsidP="002D155E">
      <w:pPr>
        <w:pStyle w:val="Citas"/>
        <w:ind w:left="0" w:right="0"/>
        <w:rPr>
          <w:i w:val="0"/>
          <w:sz w:val="24"/>
          <w:szCs w:val="24"/>
        </w:rPr>
      </w:pPr>
      <w:r>
        <w:rPr>
          <w:i w:val="0"/>
          <w:sz w:val="24"/>
          <w:szCs w:val="24"/>
        </w:rPr>
        <w:lastRenderedPageBreak/>
        <w:t xml:space="preserve">Por otra parte, como fue referido en el antecedente sexto, </w:t>
      </w:r>
      <w:r>
        <w:rPr>
          <w:b/>
          <w:bCs/>
          <w:i w:val="0"/>
          <w:sz w:val="24"/>
          <w:szCs w:val="24"/>
        </w:rPr>
        <w:t xml:space="preserve">El Sujeto Obligado </w:t>
      </w:r>
      <w:r>
        <w:rPr>
          <w:i w:val="0"/>
          <w:sz w:val="24"/>
          <w:szCs w:val="24"/>
        </w:rPr>
        <w:t xml:space="preserve">rindió su informe justificado en los siguientes términos: </w:t>
      </w:r>
    </w:p>
    <w:p w14:paraId="1F882F4B" w14:textId="77777777" w:rsidR="002D155E" w:rsidRPr="00007DA3" w:rsidRDefault="002D155E" w:rsidP="00DA084A">
      <w:pPr>
        <w:pStyle w:val="Citas"/>
        <w:numPr>
          <w:ilvl w:val="0"/>
          <w:numId w:val="10"/>
        </w:numPr>
        <w:ind w:right="0"/>
        <w:rPr>
          <w:b/>
          <w:bCs/>
          <w:i w:val="0"/>
          <w:sz w:val="24"/>
          <w:szCs w:val="24"/>
        </w:rPr>
      </w:pPr>
      <w:r>
        <w:rPr>
          <w:b/>
          <w:bCs/>
          <w:i w:val="0"/>
          <w:sz w:val="24"/>
          <w:szCs w:val="24"/>
        </w:rPr>
        <w:t xml:space="preserve">“INFORME JUSTIFICADO 5370-INFOEM-IP-RR-2023.pdf”: </w:t>
      </w:r>
      <w:r>
        <w:rPr>
          <w:i w:val="0"/>
          <w:sz w:val="24"/>
          <w:szCs w:val="24"/>
        </w:rPr>
        <w:t>Compila lo siguiente:</w:t>
      </w:r>
    </w:p>
    <w:p w14:paraId="468B1568" w14:textId="77777777" w:rsidR="002D155E" w:rsidRPr="00007DA3" w:rsidRDefault="002D155E" w:rsidP="00DA084A">
      <w:pPr>
        <w:pStyle w:val="Citas"/>
        <w:numPr>
          <w:ilvl w:val="0"/>
          <w:numId w:val="11"/>
        </w:numPr>
        <w:ind w:right="0"/>
        <w:rPr>
          <w:b/>
          <w:bCs/>
          <w:i w:val="0"/>
          <w:sz w:val="24"/>
          <w:szCs w:val="24"/>
        </w:rPr>
      </w:pPr>
      <w:r>
        <w:rPr>
          <w:i w:val="0"/>
          <w:sz w:val="24"/>
          <w:szCs w:val="24"/>
        </w:rPr>
        <w:t xml:space="preserve">Oficio número </w:t>
      </w:r>
      <w:r>
        <w:rPr>
          <w:b/>
          <w:bCs/>
          <w:i w:val="0"/>
          <w:sz w:val="24"/>
          <w:szCs w:val="24"/>
        </w:rPr>
        <w:t xml:space="preserve">PM/CUT/1012/2023 </w:t>
      </w:r>
      <w:r>
        <w:rPr>
          <w:i w:val="0"/>
          <w:sz w:val="24"/>
          <w:szCs w:val="24"/>
        </w:rPr>
        <w:t xml:space="preserve">signado por la Coordinadora de transparencia y dirigido a la directora de desarrollo económico, de fecha siete de septiembre de dos mil veintitrés, en lo medular requiere rendir manifestaciones a efecto de integrar el informe justificado. </w:t>
      </w:r>
    </w:p>
    <w:p w14:paraId="60C1035B" w14:textId="77777777" w:rsidR="002D155E" w:rsidRPr="00007DA3" w:rsidRDefault="002D155E" w:rsidP="00DA084A">
      <w:pPr>
        <w:pStyle w:val="Citas"/>
        <w:numPr>
          <w:ilvl w:val="0"/>
          <w:numId w:val="11"/>
        </w:numPr>
        <w:ind w:right="0"/>
        <w:rPr>
          <w:b/>
          <w:bCs/>
          <w:i w:val="0"/>
          <w:sz w:val="24"/>
          <w:szCs w:val="24"/>
        </w:rPr>
      </w:pPr>
      <w:r>
        <w:rPr>
          <w:i w:val="0"/>
          <w:sz w:val="24"/>
          <w:szCs w:val="24"/>
        </w:rPr>
        <w:t xml:space="preserve">Oficio número </w:t>
      </w:r>
      <w:r>
        <w:rPr>
          <w:b/>
          <w:bCs/>
          <w:i w:val="0"/>
          <w:sz w:val="24"/>
          <w:szCs w:val="24"/>
        </w:rPr>
        <w:t>DDE/2051/2023</w:t>
      </w:r>
      <w:r>
        <w:rPr>
          <w:i w:val="0"/>
          <w:sz w:val="24"/>
          <w:szCs w:val="24"/>
        </w:rPr>
        <w:t xml:space="preserve"> signado por la titular de desarrollo económico y dirigido a la titular de la coordinación de transparencia, de fecha doce de septiembre de dos mil veintitrés, en lo medular resulta de nuestro interés el siguiente extracto:</w:t>
      </w:r>
    </w:p>
    <w:p w14:paraId="67AAAC52" w14:textId="77777777" w:rsidR="002D155E" w:rsidRDefault="002D155E" w:rsidP="002D155E">
      <w:pPr>
        <w:pStyle w:val="Citas"/>
        <w:ind w:left="1440" w:right="0"/>
        <w:rPr>
          <w:iCs/>
          <w:sz w:val="24"/>
          <w:szCs w:val="24"/>
        </w:rPr>
      </w:pPr>
      <w:r>
        <w:rPr>
          <w:iCs/>
          <w:sz w:val="24"/>
          <w:szCs w:val="24"/>
        </w:rPr>
        <w:t>“Dicha solicitud fue atendida de manera completa y correcta, enviando en forma digital el padrón de Tianguis con la información solicitado y correspondiente a lo encontrado, derivado de la búsqueda realizada en los archivos físicos y digitales, es decir:</w:t>
      </w:r>
    </w:p>
    <w:p w14:paraId="19A1C612" w14:textId="77777777" w:rsidR="002D155E" w:rsidRPr="00007DA3" w:rsidRDefault="002D155E" w:rsidP="00DA084A">
      <w:pPr>
        <w:pStyle w:val="Citas"/>
        <w:numPr>
          <w:ilvl w:val="0"/>
          <w:numId w:val="12"/>
        </w:numPr>
        <w:ind w:right="0"/>
        <w:rPr>
          <w:b/>
          <w:bCs/>
          <w:iCs/>
          <w:sz w:val="24"/>
          <w:szCs w:val="24"/>
        </w:rPr>
      </w:pPr>
      <w:r>
        <w:rPr>
          <w:iCs/>
          <w:sz w:val="24"/>
          <w:szCs w:val="24"/>
        </w:rPr>
        <w:t>Número de Tianguis o mercados</w:t>
      </w:r>
    </w:p>
    <w:p w14:paraId="6E3852D0" w14:textId="77777777" w:rsidR="002D155E" w:rsidRPr="00007DA3" w:rsidRDefault="002D155E" w:rsidP="00DA084A">
      <w:pPr>
        <w:pStyle w:val="Citas"/>
        <w:numPr>
          <w:ilvl w:val="0"/>
          <w:numId w:val="12"/>
        </w:numPr>
        <w:ind w:right="0"/>
        <w:rPr>
          <w:b/>
          <w:bCs/>
          <w:iCs/>
          <w:sz w:val="24"/>
          <w:szCs w:val="24"/>
        </w:rPr>
      </w:pPr>
      <w:r>
        <w:rPr>
          <w:iCs/>
          <w:sz w:val="24"/>
          <w:szCs w:val="24"/>
        </w:rPr>
        <w:t>Puestos que integran cada uno de ellos; y</w:t>
      </w:r>
    </w:p>
    <w:p w14:paraId="01CDF133" w14:textId="77777777" w:rsidR="002D155E" w:rsidRPr="00007DA3" w:rsidRDefault="002D155E" w:rsidP="00DA084A">
      <w:pPr>
        <w:pStyle w:val="Citas"/>
        <w:numPr>
          <w:ilvl w:val="0"/>
          <w:numId w:val="12"/>
        </w:numPr>
        <w:ind w:right="0"/>
        <w:rPr>
          <w:b/>
          <w:bCs/>
          <w:iCs/>
          <w:sz w:val="24"/>
          <w:szCs w:val="24"/>
        </w:rPr>
      </w:pPr>
      <w:r>
        <w:rPr>
          <w:iCs/>
          <w:sz w:val="24"/>
          <w:szCs w:val="24"/>
        </w:rPr>
        <w:t>La extensión que ocupan.</w:t>
      </w:r>
    </w:p>
    <w:p w14:paraId="54AAD9EA" w14:textId="77777777" w:rsidR="002D155E" w:rsidRDefault="002D155E" w:rsidP="002D155E">
      <w:pPr>
        <w:pStyle w:val="Citas"/>
        <w:ind w:left="1440" w:right="0"/>
        <w:rPr>
          <w:b/>
          <w:bCs/>
          <w:iCs/>
          <w:sz w:val="24"/>
          <w:szCs w:val="24"/>
        </w:rPr>
      </w:pPr>
      <w:r>
        <w:rPr>
          <w:iCs/>
          <w:sz w:val="24"/>
          <w:szCs w:val="24"/>
        </w:rPr>
        <w:lastRenderedPageBreak/>
        <w:t xml:space="preserve">En cuanto, al nombre, cargo, salario de la persona responsable de cobrar los puestos de cada tianguis o mercado, se manifiesta que es el Departamento de Ingresos Diversos, dependiente de la Tesorería Municipal, de Cuautitlán Izcalli, quien realiza los cobros a los puestos de tianguis y quien tiene la información solicitada” </w:t>
      </w:r>
      <w:r>
        <w:rPr>
          <w:b/>
          <w:bCs/>
          <w:iCs/>
          <w:sz w:val="24"/>
          <w:szCs w:val="24"/>
        </w:rPr>
        <w:t>(Sic)</w:t>
      </w:r>
    </w:p>
    <w:p w14:paraId="1B1DF6D9" w14:textId="77777777" w:rsidR="002D155E" w:rsidRPr="004638A9" w:rsidRDefault="002D155E" w:rsidP="00DA084A">
      <w:pPr>
        <w:pStyle w:val="Citas"/>
        <w:numPr>
          <w:ilvl w:val="0"/>
          <w:numId w:val="11"/>
        </w:numPr>
        <w:ind w:right="0"/>
        <w:rPr>
          <w:b/>
          <w:bCs/>
          <w:i w:val="0"/>
          <w:sz w:val="24"/>
          <w:szCs w:val="24"/>
        </w:rPr>
      </w:pPr>
      <w:r>
        <w:rPr>
          <w:i w:val="0"/>
          <w:sz w:val="24"/>
          <w:szCs w:val="24"/>
        </w:rPr>
        <w:t xml:space="preserve">Oficio </w:t>
      </w:r>
      <w:r>
        <w:rPr>
          <w:b/>
          <w:bCs/>
          <w:i w:val="0"/>
          <w:sz w:val="24"/>
          <w:szCs w:val="24"/>
        </w:rPr>
        <w:t xml:space="preserve">PM/CUT/1010/2023 </w:t>
      </w:r>
      <w:r>
        <w:rPr>
          <w:i w:val="0"/>
          <w:sz w:val="24"/>
          <w:szCs w:val="24"/>
        </w:rPr>
        <w:t>signado por la coordinación de transparencia y dirigido al tesorero municipal, en síntesis, solicita rendir manifestaciones a efecto de rendir el informe justificado.</w:t>
      </w:r>
    </w:p>
    <w:p w14:paraId="679396E8" w14:textId="77777777" w:rsidR="002D155E" w:rsidRPr="004638A9" w:rsidRDefault="002D155E" w:rsidP="00DA084A">
      <w:pPr>
        <w:pStyle w:val="Citas"/>
        <w:numPr>
          <w:ilvl w:val="0"/>
          <w:numId w:val="11"/>
        </w:numPr>
        <w:ind w:right="0"/>
        <w:rPr>
          <w:b/>
          <w:bCs/>
          <w:i w:val="0"/>
          <w:sz w:val="24"/>
          <w:szCs w:val="24"/>
        </w:rPr>
      </w:pPr>
      <w:r>
        <w:rPr>
          <w:i w:val="0"/>
          <w:sz w:val="24"/>
          <w:szCs w:val="24"/>
        </w:rPr>
        <w:t xml:space="preserve">Oficio número </w:t>
      </w:r>
      <w:r>
        <w:rPr>
          <w:b/>
          <w:bCs/>
          <w:i w:val="0"/>
          <w:sz w:val="24"/>
          <w:szCs w:val="24"/>
        </w:rPr>
        <w:t xml:space="preserve">TM/3193/2023 </w:t>
      </w:r>
      <w:r>
        <w:rPr>
          <w:i w:val="0"/>
          <w:sz w:val="24"/>
          <w:szCs w:val="24"/>
        </w:rPr>
        <w:t xml:space="preserve">signado por el tesorero municipal y dirigido a la coordinadora de transparencia, de fecha trece de septiembre de dos mil veintitrés, en términos generales refiere que remitió la información tal y como contablemente la registra, genera y resguarda, ya que el estado comparativo presupuestal de ingresos, es el documento en que se registran los ingresos recibidos por cada concepto de acuerdo con el Código Financiero del Estado de México. </w:t>
      </w:r>
    </w:p>
    <w:p w14:paraId="24112557" w14:textId="77777777" w:rsidR="002D155E" w:rsidRPr="004638A9" w:rsidRDefault="002D155E" w:rsidP="00DA084A">
      <w:pPr>
        <w:pStyle w:val="Citas"/>
        <w:numPr>
          <w:ilvl w:val="0"/>
          <w:numId w:val="11"/>
        </w:numPr>
        <w:ind w:right="0"/>
        <w:rPr>
          <w:b/>
          <w:bCs/>
          <w:i w:val="0"/>
          <w:sz w:val="24"/>
          <w:szCs w:val="24"/>
        </w:rPr>
      </w:pPr>
      <w:r>
        <w:rPr>
          <w:i w:val="0"/>
          <w:sz w:val="24"/>
          <w:szCs w:val="24"/>
        </w:rPr>
        <w:t>Estado comparativo presupuestal de ingresos, del 1 de enero al 30 de junio de 2023, su contenido resulta parcialmente ilegible</w:t>
      </w:r>
    </w:p>
    <w:p w14:paraId="40D23307" w14:textId="77777777" w:rsidR="002D155E" w:rsidRPr="00007DA3" w:rsidRDefault="002D155E" w:rsidP="00DA084A">
      <w:pPr>
        <w:pStyle w:val="Citas"/>
        <w:numPr>
          <w:ilvl w:val="0"/>
          <w:numId w:val="11"/>
        </w:numPr>
        <w:ind w:right="0"/>
        <w:rPr>
          <w:b/>
          <w:bCs/>
          <w:i w:val="0"/>
          <w:sz w:val="24"/>
          <w:szCs w:val="24"/>
        </w:rPr>
      </w:pPr>
      <w:r>
        <w:rPr>
          <w:i w:val="0"/>
          <w:sz w:val="24"/>
          <w:szCs w:val="24"/>
        </w:rPr>
        <w:t xml:space="preserve">Estado comparativo presupuestal de ingresos, del 1 de enero al 31 de diciembre de 2022, cuyo contenido fue descrito con antelación. </w:t>
      </w:r>
    </w:p>
    <w:p w14:paraId="77410875" w14:textId="77777777" w:rsidR="002D155E" w:rsidRPr="002D155E" w:rsidRDefault="002D155E" w:rsidP="0035341B">
      <w:pPr>
        <w:spacing w:after="0" w:line="360" w:lineRule="auto"/>
        <w:jc w:val="both"/>
        <w:rPr>
          <w:rFonts w:ascii="Palatino Linotype" w:hAnsi="Palatino Linotype" w:cs="Arial"/>
          <w:noProof/>
          <w:color w:val="000000"/>
          <w:sz w:val="24"/>
          <w:szCs w:val="24"/>
          <w:lang w:eastAsia="es-MX"/>
        </w:rPr>
      </w:pPr>
    </w:p>
    <w:p w14:paraId="7F42E6A8" w14:textId="5D56F8D6" w:rsidR="002D155E" w:rsidRDefault="002D155E" w:rsidP="002D155E">
      <w:pPr>
        <w:autoSpaceDE w:val="0"/>
        <w:autoSpaceDN w:val="0"/>
        <w:adjustRightInd w:val="0"/>
        <w:spacing w:before="240" w:line="360" w:lineRule="auto"/>
        <w:jc w:val="both"/>
        <w:rPr>
          <w:rFonts w:ascii="Palatino Linotype" w:hAnsi="Palatino Linotype" w:cs="Arial"/>
          <w:bCs/>
          <w:sz w:val="24"/>
          <w:szCs w:val="24"/>
          <w:lang w:val="es-ES_tradnl" w:eastAsia="es-MX"/>
        </w:rPr>
      </w:pPr>
      <w:r>
        <w:rPr>
          <w:rFonts w:ascii="Palatino Linotype" w:hAnsi="Palatino Linotype" w:cs="Arial"/>
          <w:bCs/>
          <w:sz w:val="24"/>
          <w:szCs w:val="24"/>
          <w:lang w:val="es-ES_tradnl" w:eastAsia="es-MX"/>
        </w:rPr>
        <w:t>Hasta aquí lo expuesto, se arriba a las siguientes premisas argumentativas:</w:t>
      </w:r>
    </w:p>
    <w:p w14:paraId="2BA03DD6" w14:textId="2ADA01C7" w:rsidR="002D155E" w:rsidRDefault="002D155E" w:rsidP="00DA084A">
      <w:pPr>
        <w:pStyle w:val="Prrafodelista"/>
        <w:numPr>
          <w:ilvl w:val="0"/>
          <w:numId w:val="14"/>
        </w:numPr>
        <w:autoSpaceDE w:val="0"/>
        <w:autoSpaceDN w:val="0"/>
        <w:adjustRightInd w:val="0"/>
        <w:spacing w:before="240" w:line="360" w:lineRule="auto"/>
        <w:jc w:val="both"/>
        <w:rPr>
          <w:rFonts w:ascii="Palatino Linotype" w:hAnsi="Palatino Linotype" w:cs="Arial"/>
          <w:bCs/>
          <w:lang w:val="es-ES_tradnl" w:eastAsia="es-MX"/>
        </w:rPr>
      </w:pPr>
      <w:r>
        <w:rPr>
          <w:rFonts w:ascii="Palatino Linotype" w:hAnsi="Palatino Linotype" w:cs="Arial"/>
          <w:bCs/>
          <w:lang w:val="es-ES_tradnl" w:eastAsia="es-MX"/>
        </w:rPr>
        <w:lastRenderedPageBreak/>
        <w:t xml:space="preserve">Los requerimientos </w:t>
      </w:r>
      <w:r>
        <w:rPr>
          <w:rFonts w:ascii="Palatino Linotype" w:hAnsi="Palatino Linotype" w:cs="Arial"/>
          <w:b/>
          <w:lang w:val="es-ES_tradnl" w:eastAsia="es-MX"/>
        </w:rPr>
        <w:t xml:space="preserve">1 -uno-, 2 -dos- y 3 -tres- </w:t>
      </w:r>
      <w:r>
        <w:rPr>
          <w:rFonts w:ascii="Palatino Linotype" w:hAnsi="Palatino Linotype" w:cs="Arial"/>
          <w:bCs/>
          <w:lang w:val="es-ES_tradnl" w:eastAsia="es-MX"/>
        </w:rPr>
        <w:t xml:space="preserve">se tienen por atendidos al tomar en consideración que </w:t>
      </w:r>
      <w:r>
        <w:rPr>
          <w:rFonts w:ascii="Palatino Linotype" w:hAnsi="Palatino Linotype" w:cs="Arial"/>
          <w:b/>
          <w:lang w:val="es-ES_tradnl" w:eastAsia="es-MX"/>
        </w:rPr>
        <w:t xml:space="preserve">El Sujeto Obligado </w:t>
      </w:r>
      <w:r>
        <w:rPr>
          <w:rFonts w:ascii="Palatino Linotype" w:hAnsi="Palatino Linotype" w:cs="Arial"/>
          <w:bCs/>
          <w:lang w:val="es-ES_tradnl" w:eastAsia="es-MX"/>
        </w:rPr>
        <w:t xml:space="preserve">remitió un documento ad hoc susceptible de atender a la literalidad lo solicitado por el particular. </w:t>
      </w:r>
    </w:p>
    <w:p w14:paraId="4EBDE798" w14:textId="79652DA3" w:rsidR="002D155E" w:rsidRPr="00640B6D" w:rsidRDefault="002D155E" w:rsidP="002D155E">
      <w:pPr>
        <w:autoSpaceDE w:val="0"/>
        <w:autoSpaceDN w:val="0"/>
        <w:adjustRightInd w:val="0"/>
        <w:spacing w:before="240" w:line="360" w:lineRule="auto"/>
        <w:ind w:left="708"/>
        <w:jc w:val="both"/>
        <w:rPr>
          <w:rFonts w:ascii="Palatino Linotype" w:hAnsi="Palatino Linotype"/>
          <w:b/>
          <w:bCs/>
          <w:color w:val="000000"/>
          <w:sz w:val="24"/>
          <w:szCs w:val="24"/>
          <w:lang w:val="es-ES_tradnl"/>
        </w:rPr>
      </w:pPr>
      <w:r w:rsidRPr="00640B6D">
        <w:rPr>
          <w:rFonts w:ascii="Palatino Linotype" w:hAnsi="Palatino Linotype" w:cs="Arial"/>
          <w:bCs/>
          <w:sz w:val="24"/>
          <w:szCs w:val="24"/>
          <w:lang w:val="es-ES_tradnl" w:eastAsia="es-MX"/>
        </w:rPr>
        <w:t>Por otra parte, con relación al motivo de inconformidad “</w:t>
      </w:r>
      <w:r w:rsidRPr="00640B6D">
        <w:rPr>
          <w:rFonts w:ascii="Palatino Linotype" w:hAnsi="Palatino Linotype"/>
          <w:i/>
          <w:iCs/>
          <w:color w:val="000000"/>
          <w:sz w:val="24"/>
          <w:szCs w:val="24"/>
        </w:rPr>
        <w:t xml:space="preserve">EL PADRÓN QUE DICE POSEER DE TIANGUIS </w:t>
      </w:r>
      <w:r w:rsidRPr="00640B6D">
        <w:rPr>
          <w:rFonts w:ascii="Palatino Linotype" w:hAnsi="Palatino Linotype"/>
          <w:b/>
          <w:bCs/>
          <w:i/>
          <w:iCs/>
          <w:color w:val="000000"/>
          <w:sz w:val="24"/>
          <w:szCs w:val="24"/>
          <w:u w:val="single"/>
        </w:rPr>
        <w:t>HACIENDO IMPOSIBLE DE IDENTIFICAR CADA UNO DE LOS TIENGUIS EXISTENTES”,</w:t>
      </w:r>
      <w:r w:rsidRPr="00640B6D">
        <w:rPr>
          <w:rFonts w:ascii="Palatino Linotype" w:hAnsi="Palatino Linotype"/>
          <w:i/>
          <w:iCs/>
          <w:color w:val="000000"/>
          <w:sz w:val="24"/>
          <w:szCs w:val="24"/>
        </w:rPr>
        <w:t xml:space="preserve"> </w:t>
      </w:r>
      <w:r w:rsidRPr="00640B6D">
        <w:rPr>
          <w:rFonts w:ascii="Palatino Linotype" w:hAnsi="Palatino Linotype"/>
          <w:color w:val="000000"/>
          <w:sz w:val="24"/>
          <w:szCs w:val="24"/>
          <w:lang w:val="es-ES_tradnl"/>
        </w:rPr>
        <w:t xml:space="preserve">resulta claro que se añade un nuevo punto a su solicitud de información y se aleja de la materia que dio origen a la respuesta del </w:t>
      </w:r>
      <w:r w:rsidRPr="00640B6D">
        <w:rPr>
          <w:rFonts w:ascii="Palatino Linotype" w:hAnsi="Palatino Linotype"/>
          <w:b/>
          <w:bCs/>
          <w:color w:val="000000"/>
          <w:sz w:val="24"/>
          <w:szCs w:val="24"/>
          <w:lang w:val="es-ES_tradnl"/>
        </w:rPr>
        <w:t xml:space="preserve">Sujeto Obligado. </w:t>
      </w:r>
    </w:p>
    <w:p w14:paraId="239BF1DE" w14:textId="69C169D8" w:rsidR="002D155E" w:rsidRPr="00640B6D" w:rsidRDefault="002D155E" w:rsidP="00640B6D">
      <w:pPr>
        <w:spacing w:before="240" w:line="360" w:lineRule="auto"/>
        <w:ind w:left="708"/>
        <w:jc w:val="both"/>
        <w:rPr>
          <w:rFonts w:ascii="Palatino Linotype" w:hAnsi="Palatino Linotype" w:cs="Arial"/>
          <w:sz w:val="24"/>
          <w:szCs w:val="24"/>
        </w:rPr>
      </w:pPr>
      <w:r w:rsidRPr="00640B6D">
        <w:rPr>
          <w:rFonts w:ascii="Palatino Linotype" w:hAnsi="Palatino Linotype"/>
          <w:color w:val="000000"/>
          <w:sz w:val="24"/>
          <w:szCs w:val="24"/>
          <w:lang w:val="es-ES_tradnl"/>
        </w:rPr>
        <w:t xml:space="preserve">A mayor abundamiento, el nuevo punto de la solicitud </w:t>
      </w:r>
      <w:r w:rsidR="00640B6D" w:rsidRPr="00640B6D">
        <w:rPr>
          <w:rFonts w:ascii="Palatino Linotype" w:hAnsi="Palatino Linotype"/>
          <w:color w:val="000000"/>
          <w:sz w:val="24"/>
          <w:szCs w:val="24"/>
          <w:lang w:val="es-ES_tradnl"/>
        </w:rPr>
        <w:t xml:space="preserve">no es susceptible de ser valorado. </w:t>
      </w:r>
      <w:r w:rsidRPr="00640B6D">
        <w:rPr>
          <w:rFonts w:ascii="Palatino Linotype" w:hAnsi="Palatino Linotype" w:cs="Arial"/>
          <w:sz w:val="24"/>
          <w:szCs w:val="24"/>
        </w:rPr>
        <w:t xml:space="preserve">Viene a colación, el artículo 36 fracción II de la Ley de Transparencia y Acceso a la Información Pública del Estado de México y Municipios, por el cual este Instituto no está facultado para resolver con respecto a ampliaciones a solicitudes de información presentadas por medios distintos a los que señala el artículo 155 del multicitado ordenamiento, por lo que el recurso de revisión no constituye un medio válido para solicitar información adicional.  </w:t>
      </w:r>
    </w:p>
    <w:p w14:paraId="37772D4E" w14:textId="0B29728B" w:rsidR="002D155E" w:rsidRPr="00640B6D" w:rsidRDefault="002D155E" w:rsidP="00640B6D">
      <w:pPr>
        <w:tabs>
          <w:tab w:val="left" w:pos="7088"/>
        </w:tabs>
        <w:spacing w:before="240" w:line="360" w:lineRule="auto"/>
        <w:ind w:left="709"/>
        <w:jc w:val="both"/>
        <w:rPr>
          <w:rFonts w:ascii="Palatino Linotype" w:hAnsi="Palatino Linotype" w:cs="Arial"/>
          <w:b/>
          <w:bCs/>
          <w:i/>
          <w:lang w:eastAsia="es-MX"/>
        </w:rPr>
      </w:pPr>
      <w:r w:rsidRPr="00EA378A">
        <w:rPr>
          <w:rFonts w:ascii="Palatino Linotype" w:hAnsi="Palatino Linotype" w:cs="Arial"/>
          <w:bCs/>
          <w:sz w:val="24"/>
          <w:szCs w:val="24"/>
          <w:lang w:eastAsia="es-MX"/>
        </w:rPr>
        <w:t>Sirve de apoyo a lo anterior por analogía, la Jurisprudencia No. 29 visible a foja 19 del Apéndice al Semanario Judicial de la Federación 1917-1995, Tomo IV, Materia Común, Primera Parte, Tesis de la Suprema Corte de Justicia, que señala</w:t>
      </w:r>
      <w:r w:rsidR="00640B6D">
        <w:rPr>
          <w:rFonts w:ascii="Palatino Linotype" w:hAnsi="Palatino Linotype" w:cs="Arial"/>
          <w:bCs/>
          <w:sz w:val="24"/>
          <w:szCs w:val="24"/>
          <w:lang w:eastAsia="es-MX"/>
        </w:rPr>
        <w:t xml:space="preserve"> en su rubro </w:t>
      </w:r>
      <w:r w:rsidRPr="00EA378A">
        <w:rPr>
          <w:rFonts w:ascii="Palatino Linotype" w:hAnsi="Palatino Linotype" w:cs="Arial"/>
          <w:b/>
          <w:bCs/>
          <w:i/>
          <w:lang w:eastAsia="es-MX"/>
        </w:rPr>
        <w:t>“AGRAVIOS EN LA REVISIÓN. DEBEN ESTAR EN RELACIÓN DIRECTA CON LOS FUNDAMENTOS Y CONSIDERACIONES DE LA SENTENCIA</w:t>
      </w:r>
    </w:p>
    <w:p w14:paraId="7211DD41" w14:textId="6EE8D148" w:rsidR="002D155E" w:rsidRPr="00EA378A" w:rsidRDefault="002D155E" w:rsidP="00640B6D">
      <w:pPr>
        <w:pStyle w:val="Sinespaciado"/>
        <w:spacing w:line="360" w:lineRule="auto"/>
        <w:ind w:left="708" w:right="141"/>
        <w:jc w:val="both"/>
        <w:rPr>
          <w:rFonts w:ascii="Palatino Linotype" w:hAnsi="Palatino Linotype"/>
          <w:bCs/>
        </w:rPr>
      </w:pPr>
      <w:r w:rsidRPr="00EA378A">
        <w:rPr>
          <w:rFonts w:ascii="Palatino Linotype" w:hAnsi="Palatino Linotype"/>
          <w:bCs/>
        </w:rPr>
        <w:t xml:space="preserve">En consecuencia, </w:t>
      </w:r>
      <w:r w:rsidRPr="00EA378A">
        <w:rPr>
          <w:rFonts w:ascii="Palatino Linotype" w:hAnsi="Palatino Linotype"/>
          <w:b/>
          <w:bCs/>
        </w:rPr>
        <w:t>El Sujeto Obligado</w:t>
      </w:r>
      <w:r w:rsidRPr="00EA378A">
        <w:rPr>
          <w:rFonts w:ascii="Palatino Linotype" w:hAnsi="Palatino Linotype"/>
          <w:bCs/>
        </w:rPr>
        <w:t xml:space="preserve"> no se encontraba en condiciones de proporcionar la información antes señalada consistente en </w:t>
      </w:r>
      <w:r w:rsidR="00640B6D" w:rsidRPr="00640B6D">
        <w:rPr>
          <w:rFonts w:ascii="Palatino Linotype" w:hAnsi="Palatino Linotype"/>
          <w:i/>
          <w:iCs/>
          <w:color w:val="000000"/>
        </w:rPr>
        <w:t xml:space="preserve">EL PADRÓN QUE </w:t>
      </w:r>
      <w:r w:rsidR="00640B6D" w:rsidRPr="00640B6D">
        <w:rPr>
          <w:rFonts w:ascii="Palatino Linotype" w:hAnsi="Palatino Linotype"/>
          <w:i/>
          <w:iCs/>
          <w:color w:val="000000"/>
        </w:rPr>
        <w:lastRenderedPageBreak/>
        <w:t xml:space="preserve">DICE POSEER DE TIANGUIS </w:t>
      </w:r>
      <w:r w:rsidR="00640B6D" w:rsidRPr="00640B6D">
        <w:rPr>
          <w:rFonts w:ascii="Palatino Linotype" w:hAnsi="Palatino Linotype"/>
          <w:b/>
          <w:bCs/>
          <w:i/>
          <w:iCs/>
          <w:color w:val="000000"/>
          <w:u w:val="single"/>
        </w:rPr>
        <w:t>HACIENDO IMPOSIBLE DE IDENTIFICAR CADA UNO DE LOS TIENGUIS EXISTENTES”</w:t>
      </w:r>
      <w:r w:rsidR="00640B6D">
        <w:rPr>
          <w:rFonts w:ascii="Palatino Linotype" w:hAnsi="Palatino Linotype"/>
          <w:b/>
          <w:bCs/>
          <w:i/>
          <w:iCs/>
          <w:color w:val="000000"/>
          <w:u w:val="single"/>
        </w:rPr>
        <w:t xml:space="preserve">; </w:t>
      </w:r>
      <w:r w:rsidRPr="00EA378A">
        <w:rPr>
          <w:rFonts w:ascii="Palatino Linotype" w:hAnsi="Palatino Linotype"/>
          <w:color w:val="000000"/>
          <w:lang w:val="es-ES_tradnl"/>
        </w:rPr>
        <w:t xml:space="preserve">en razón de que dicha información solicitada en los motivos de inconformidad, no fue requerida en la solicitud de información primigenia, resultando injustificado examinar tales argumentos pues </w:t>
      </w:r>
      <w:r w:rsidRPr="00EA378A">
        <w:rPr>
          <w:rFonts w:ascii="Palatino Linotype" w:hAnsi="Palatino Linotype"/>
          <w:bCs/>
        </w:rPr>
        <w:t xml:space="preserve">éstos no fueron del conocimiento del </w:t>
      </w:r>
      <w:r w:rsidRPr="00EA378A">
        <w:rPr>
          <w:rFonts w:ascii="Palatino Linotype" w:hAnsi="Palatino Linotype"/>
          <w:b/>
          <w:bCs/>
        </w:rPr>
        <w:t>Sujeto Obligado</w:t>
      </w:r>
      <w:r w:rsidRPr="00EA378A">
        <w:rPr>
          <w:rFonts w:ascii="Palatino Linotype" w:hAnsi="Palatino Linotype"/>
          <w:bCs/>
        </w:rPr>
        <w:t xml:space="preserve"> inicialmente, por lo que este no tuvo la oportunidad legal de analizarla ni de pronunciarse sobre la misma. </w:t>
      </w:r>
    </w:p>
    <w:p w14:paraId="14139814" w14:textId="77777777" w:rsidR="002D155E" w:rsidRPr="002D155E" w:rsidRDefault="002D155E" w:rsidP="002D155E">
      <w:pPr>
        <w:autoSpaceDE w:val="0"/>
        <w:autoSpaceDN w:val="0"/>
        <w:adjustRightInd w:val="0"/>
        <w:spacing w:before="240" w:line="360" w:lineRule="auto"/>
        <w:ind w:left="708"/>
        <w:jc w:val="both"/>
        <w:rPr>
          <w:rFonts w:ascii="Palatino Linotype" w:hAnsi="Palatino Linotype" w:cs="Arial"/>
          <w:bCs/>
          <w:i/>
          <w:iCs/>
          <w:lang w:val="es-ES_tradnl" w:eastAsia="es-MX"/>
        </w:rPr>
      </w:pPr>
    </w:p>
    <w:p w14:paraId="2A8BD4FA" w14:textId="02A67733" w:rsidR="00DF4892" w:rsidRPr="00640B6D" w:rsidRDefault="00640B6D" w:rsidP="00DA084A">
      <w:pPr>
        <w:pStyle w:val="Prrafodelista"/>
        <w:numPr>
          <w:ilvl w:val="0"/>
          <w:numId w:val="14"/>
        </w:numPr>
        <w:autoSpaceDE w:val="0"/>
        <w:autoSpaceDN w:val="0"/>
        <w:adjustRightInd w:val="0"/>
        <w:spacing w:before="240" w:line="360" w:lineRule="auto"/>
        <w:jc w:val="both"/>
        <w:rPr>
          <w:rFonts w:ascii="Palatino Linotype" w:hAnsi="Palatino Linotype" w:cs="Arial"/>
          <w:bCs/>
          <w:lang w:val="es-ES_tradnl" w:eastAsia="es-MX"/>
        </w:rPr>
      </w:pPr>
      <w:r w:rsidRPr="00640B6D">
        <w:rPr>
          <w:rFonts w:ascii="Palatino Linotype" w:hAnsi="Palatino Linotype" w:cs="Arial"/>
          <w:bCs/>
          <w:lang w:val="es-ES_tradnl" w:eastAsia="es-MX"/>
        </w:rPr>
        <w:t xml:space="preserve">Que el requerimiento </w:t>
      </w:r>
      <w:r w:rsidRPr="00640B6D">
        <w:rPr>
          <w:rFonts w:ascii="Palatino Linotype" w:hAnsi="Palatino Linotype" w:cs="Arial"/>
          <w:b/>
          <w:lang w:val="es-ES_tradnl" w:eastAsia="es-MX"/>
        </w:rPr>
        <w:t xml:space="preserve">4 -cuatro-, </w:t>
      </w:r>
      <w:r w:rsidRPr="00640B6D">
        <w:rPr>
          <w:rFonts w:ascii="Palatino Linotype" w:hAnsi="Palatino Linotype" w:cs="Arial"/>
          <w:bCs/>
          <w:lang w:val="es-ES_tradnl" w:eastAsia="es-MX"/>
        </w:rPr>
        <w:t xml:space="preserve">es susceptible de ser colmado en términos parciales, al tomar en consideración que </w:t>
      </w:r>
      <w:r w:rsidRPr="00640B6D">
        <w:rPr>
          <w:rFonts w:ascii="Palatino Linotype" w:hAnsi="Palatino Linotype" w:cs="Arial"/>
          <w:b/>
          <w:lang w:val="es-ES_tradnl" w:eastAsia="es-MX"/>
        </w:rPr>
        <w:t xml:space="preserve">El Sujeto Obligado </w:t>
      </w:r>
      <w:r w:rsidRPr="00640B6D">
        <w:rPr>
          <w:rFonts w:ascii="Palatino Linotype" w:hAnsi="Palatino Linotype" w:cs="Arial"/>
          <w:bCs/>
          <w:lang w:val="es-ES_tradnl" w:eastAsia="es-MX"/>
        </w:rPr>
        <w:t xml:space="preserve">remitió el </w:t>
      </w:r>
      <w:r w:rsidRPr="00640B6D">
        <w:rPr>
          <w:rFonts w:ascii="Palatino Linotype" w:hAnsi="Palatino Linotype" w:cs="Arial"/>
          <w:b/>
          <w:bCs/>
          <w:noProof/>
          <w:color w:val="000000"/>
          <w:lang w:val="es-ES_tradnl" w:eastAsia="es-MX"/>
        </w:rPr>
        <w:t xml:space="preserve">PbRM 09b </w:t>
      </w:r>
      <w:r w:rsidRPr="00640B6D">
        <w:rPr>
          <w:rFonts w:ascii="Palatino Linotype" w:hAnsi="Palatino Linotype" w:cs="Arial"/>
          <w:noProof/>
          <w:color w:val="000000"/>
          <w:lang w:val="es-ES_tradnl" w:eastAsia="es-MX"/>
        </w:rPr>
        <w:t>“Estado comparativo presupuestal de ingresos” correspondientes a las temporalidades “1 de enero al 31 de diciembre de 2022” y “1 de enero al 30 de junio de 2023”.</w:t>
      </w:r>
      <w:r>
        <w:rPr>
          <w:rFonts w:ascii="Palatino Linotype" w:hAnsi="Palatino Linotype" w:cs="Arial"/>
          <w:noProof/>
          <w:color w:val="000000"/>
          <w:lang w:val="es-ES_tradnl" w:eastAsia="es-MX"/>
        </w:rPr>
        <w:t xml:space="preserve"> </w:t>
      </w:r>
    </w:p>
    <w:p w14:paraId="5FEF0881" w14:textId="6124618A" w:rsidR="00640B6D" w:rsidRDefault="00640B6D" w:rsidP="00640B6D">
      <w:pPr>
        <w:pStyle w:val="Prrafodelista"/>
        <w:autoSpaceDE w:val="0"/>
        <w:autoSpaceDN w:val="0"/>
        <w:adjustRightInd w:val="0"/>
        <w:spacing w:before="240" w:line="360" w:lineRule="auto"/>
        <w:ind w:left="720"/>
        <w:jc w:val="both"/>
        <w:rPr>
          <w:rFonts w:ascii="Palatino Linotype" w:hAnsi="Palatino Linotype" w:cs="Arial"/>
          <w:noProof/>
          <w:color w:val="000000"/>
          <w:lang w:val="es-ES_tradnl" w:eastAsia="es-MX"/>
        </w:rPr>
      </w:pPr>
      <w:r>
        <w:rPr>
          <w:rFonts w:ascii="Palatino Linotype" w:hAnsi="Palatino Linotype" w:cs="Arial"/>
          <w:noProof/>
          <w:color w:val="000000"/>
          <w:lang w:val="es-ES_tradnl" w:eastAsia="es-MX"/>
        </w:rPr>
        <w:t xml:space="preserve">Insistiendo en que el </w:t>
      </w:r>
      <w:r w:rsidRPr="00640B6D">
        <w:rPr>
          <w:rFonts w:ascii="Palatino Linotype" w:hAnsi="Palatino Linotype" w:cs="Arial"/>
          <w:b/>
          <w:bCs/>
          <w:noProof/>
          <w:color w:val="000000"/>
          <w:lang w:val="es-ES_tradnl" w:eastAsia="es-MX"/>
        </w:rPr>
        <w:t>PbRM 09b</w:t>
      </w:r>
      <w:r>
        <w:rPr>
          <w:rFonts w:ascii="Palatino Linotype" w:hAnsi="Palatino Linotype" w:cs="Arial"/>
          <w:noProof/>
          <w:color w:val="000000"/>
          <w:lang w:val="es-ES_tradnl" w:eastAsia="es-MX"/>
        </w:rPr>
        <w:t xml:space="preserve"> “Estado comparativo presupuestal de ingresos” correspondiente a la temporalidad “1 de enero al 30 de junio de 2023” no se tiene por colmado al tratarse de un documento ilegible, que en consecuencia, no es susceptible de generar certeza jurídica al particular. </w:t>
      </w:r>
    </w:p>
    <w:p w14:paraId="33CB486D" w14:textId="77777777" w:rsidR="00640B6D" w:rsidRPr="00640B6D" w:rsidRDefault="00640B6D" w:rsidP="00640B6D">
      <w:pPr>
        <w:pStyle w:val="Prrafodelista"/>
        <w:autoSpaceDE w:val="0"/>
        <w:autoSpaceDN w:val="0"/>
        <w:adjustRightInd w:val="0"/>
        <w:spacing w:before="240" w:line="360" w:lineRule="auto"/>
        <w:ind w:left="720"/>
        <w:jc w:val="both"/>
        <w:rPr>
          <w:rFonts w:ascii="Palatino Linotype" w:hAnsi="Palatino Linotype" w:cs="Arial"/>
          <w:bCs/>
          <w:lang w:val="es-ES_tradnl" w:eastAsia="es-MX"/>
        </w:rPr>
      </w:pPr>
    </w:p>
    <w:p w14:paraId="3A9F1892" w14:textId="0882D680" w:rsidR="00640B6D" w:rsidRPr="00640B6D" w:rsidRDefault="00640B6D" w:rsidP="00DA084A">
      <w:pPr>
        <w:pStyle w:val="Prrafodelista"/>
        <w:numPr>
          <w:ilvl w:val="0"/>
          <w:numId w:val="14"/>
        </w:numPr>
        <w:autoSpaceDE w:val="0"/>
        <w:autoSpaceDN w:val="0"/>
        <w:adjustRightInd w:val="0"/>
        <w:spacing w:before="240" w:line="360" w:lineRule="auto"/>
        <w:jc w:val="both"/>
        <w:rPr>
          <w:rFonts w:ascii="Palatino Linotype" w:hAnsi="Palatino Linotype" w:cs="Arial"/>
          <w:bCs/>
          <w:lang w:val="es-ES_tradnl" w:eastAsia="es-MX"/>
        </w:rPr>
      </w:pPr>
      <w:r>
        <w:rPr>
          <w:rFonts w:ascii="Palatino Linotype" w:hAnsi="Palatino Linotype" w:cs="Arial"/>
          <w:noProof/>
          <w:color w:val="000000"/>
          <w:lang w:val="es-ES_tradnl" w:eastAsia="es-MX"/>
        </w:rPr>
        <w:t xml:space="preserve">Finalmente, respecto de los requerimientos </w:t>
      </w:r>
      <w:r>
        <w:rPr>
          <w:rFonts w:ascii="Palatino Linotype" w:hAnsi="Palatino Linotype" w:cs="Arial"/>
          <w:b/>
          <w:bCs/>
          <w:noProof/>
          <w:color w:val="000000"/>
          <w:lang w:val="es-ES_tradnl" w:eastAsia="es-MX"/>
        </w:rPr>
        <w:t>5 -cinco-, 6 -seis- y 7 -siete-</w:t>
      </w:r>
      <w:r>
        <w:rPr>
          <w:rFonts w:ascii="Palatino Linotype" w:hAnsi="Palatino Linotype" w:cs="Arial"/>
          <w:noProof/>
          <w:color w:val="000000"/>
          <w:lang w:val="es-ES_tradnl" w:eastAsia="es-MX"/>
        </w:rPr>
        <w:t xml:space="preserve"> se destaca en que la respuesta o el informe justificado no son susceptibles de atenderlos. Sin embargo, se tienen por colmados bajo la optica de actos </w:t>
      </w:r>
      <w:r>
        <w:rPr>
          <w:rFonts w:ascii="Palatino Linotype" w:hAnsi="Palatino Linotype" w:cs="Arial"/>
          <w:noProof/>
          <w:color w:val="000000"/>
          <w:lang w:val="es-ES_tradnl" w:eastAsia="es-MX"/>
        </w:rPr>
        <w:lastRenderedPageBreak/>
        <w:t>consentidos</w:t>
      </w:r>
      <w:r w:rsidR="00A2781C">
        <w:rPr>
          <w:rFonts w:ascii="Palatino Linotype" w:hAnsi="Palatino Linotype" w:cs="Arial"/>
          <w:noProof/>
          <w:color w:val="000000"/>
          <w:lang w:val="es-ES_tradnl" w:eastAsia="es-MX"/>
        </w:rPr>
        <w:t xml:space="preserve"> conforme a la corriente doctrinal y jurisprudencial expuesta con antelación. </w:t>
      </w:r>
    </w:p>
    <w:p w14:paraId="22BF81AA" w14:textId="77777777" w:rsidR="00A2781C" w:rsidRDefault="00A2781C" w:rsidP="004A7C3E">
      <w:pPr>
        <w:spacing w:before="240" w:line="360" w:lineRule="auto"/>
        <w:jc w:val="both"/>
        <w:rPr>
          <w:rFonts w:ascii="Palatino Linotype" w:hAnsi="Palatino Linotype" w:cs="Arial"/>
          <w:bCs/>
          <w:sz w:val="24"/>
          <w:szCs w:val="24"/>
          <w:lang w:val="es-ES_tradnl" w:eastAsia="es-MX"/>
        </w:rPr>
      </w:pPr>
    </w:p>
    <w:p w14:paraId="260D72DB" w14:textId="1E6BA5AC" w:rsidR="004A7C3E" w:rsidRDefault="00640B6D" w:rsidP="004A7C3E">
      <w:pPr>
        <w:spacing w:before="240" w:line="360" w:lineRule="auto"/>
        <w:jc w:val="both"/>
        <w:rPr>
          <w:rFonts w:ascii="Palatino Linotype" w:hAnsi="Palatino Linotype" w:cs="Arial"/>
          <w:bCs/>
          <w:sz w:val="24"/>
          <w:szCs w:val="24"/>
          <w:lang w:val="es-ES_tradnl" w:eastAsia="es-MX"/>
        </w:rPr>
      </w:pPr>
      <w:r>
        <w:rPr>
          <w:rFonts w:ascii="Palatino Linotype" w:hAnsi="Palatino Linotype" w:cs="Arial"/>
          <w:bCs/>
          <w:sz w:val="24"/>
          <w:szCs w:val="24"/>
          <w:lang w:val="es-ES_tradnl" w:eastAsia="es-MX"/>
        </w:rPr>
        <w:t>Con base en lo anteriormente expuesto, resulta procedente ordenar la entrega de la siguiente información:</w:t>
      </w:r>
    </w:p>
    <w:p w14:paraId="3DD47522" w14:textId="53292026" w:rsidR="0070449C" w:rsidRPr="00640B6D" w:rsidRDefault="00640B6D" w:rsidP="00DA084A">
      <w:pPr>
        <w:pStyle w:val="Prrafodelista"/>
        <w:numPr>
          <w:ilvl w:val="0"/>
          <w:numId w:val="15"/>
        </w:numPr>
        <w:spacing w:before="240" w:line="360" w:lineRule="auto"/>
        <w:jc w:val="both"/>
        <w:rPr>
          <w:rFonts w:ascii="Palatino Linotype" w:hAnsi="Palatino Linotype"/>
        </w:rPr>
      </w:pPr>
      <w:r w:rsidRPr="00640B6D">
        <w:rPr>
          <w:rFonts w:ascii="Palatino Linotype" w:hAnsi="Palatino Linotype" w:cs="Arial"/>
          <w:b/>
          <w:bCs/>
          <w:noProof/>
          <w:color w:val="000000"/>
          <w:lang w:val="es-ES_tradnl" w:eastAsia="es-MX"/>
        </w:rPr>
        <w:t>PbRM 09b</w:t>
      </w:r>
      <w:r w:rsidRPr="00640B6D">
        <w:rPr>
          <w:rFonts w:ascii="Palatino Linotype" w:hAnsi="Palatino Linotype" w:cs="Arial"/>
          <w:noProof/>
          <w:color w:val="000000"/>
          <w:lang w:val="es-ES_tradnl" w:eastAsia="es-MX"/>
        </w:rPr>
        <w:t xml:space="preserve"> “Estado comparativo presupuestal de ingresos” correspondiente a la temporalidad “1 de enero al 30 de junio de 2023”</w:t>
      </w:r>
      <w:r>
        <w:rPr>
          <w:rFonts w:ascii="Palatino Linotype" w:hAnsi="Palatino Linotype" w:cs="Arial"/>
          <w:noProof/>
          <w:color w:val="000000"/>
          <w:lang w:val="es-ES_tradnl" w:eastAsia="es-MX"/>
        </w:rPr>
        <w:t xml:space="preserve">, en formato legible. </w:t>
      </w:r>
    </w:p>
    <w:p w14:paraId="7FF4F701" w14:textId="77777777" w:rsidR="00640B6D" w:rsidRDefault="00640B6D" w:rsidP="00BF0D34">
      <w:pPr>
        <w:tabs>
          <w:tab w:val="left" w:pos="709"/>
        </w:tabs>
        <w:spacing w:before="240" w:line="360" w:lineRule="auto"/>
        <w:ind w:right="51"/>
        <w:jc w:val="both"/>
        <w:rPr>
          <w:rFonts w:ascii="Palatino Linotype" w:hAnsi="Palatino Linotype"/>
          <w:iCs/>
          <w:sz w:val="24"/>
          <w:szCs w:val="24"/>
        </w:rPr>
      </w:pPr>
    </w:p>
    <w:p w14:paraId="180DF1D9" w14:textId="73680BE8" w:rsidR="00BF0D34" w:rsidRPr="00D5257A" w:rsidRDefault="00BF0D34" w:rsidP="00BF0D34">
      <w:pPr>
        <w:tabs>
          <w:tab w:val="left" w:pos="709"/>
        </w:tabs>
        <w:spacing w:before="240" w:line="360" w:lineRule="auto"/>
        <w:ind w:right="51"/>
        <w:jc w:val="both"/>
        <w:rPr>
          <w:rFonts w:ascii="Palatino Linotype" w:hAnsi="Palatino Linotype"/>
          <w:sz w:val="24"/>
          <w:szCs w:val="24"/>
        </w:rPr>
      </w:pPr>
      <w:r w:rsidRPr="00D5257A">
        <w:rPr>
          <w:rFonts w:ascii="Palatino Linotype" w:hAnsi="Palatino Linotype"/>
          <w:iCs/>
          <w:sz w:val="24"/>
          <w:szCs w:val="24"/>
        </w:rPr>
        <w:t xml:space="preserve">En mérito de lo expuesto </w:t>
      </w:r>
      <w:r w:rsidRPr="00D5257A">
        <w:rPr>
          <w:rFonts w:ascii="Palatino Linotype" w:hAnsi="Palatino Linotype"/>
          <w:sz w:val="24"/>
          <w:szCs w:val="24"/>
        </w:rPr>
        <w:t xml:space="preserve">en líneas anteriores, resultan parcialmente fundados los motivos de inconformidad vertidos por </w:t>
      </w:r>
      <w:r>
        <w:rPr>
          <w:rFonts w:ascii="Palatino Linotype" w:hAnsi="Palatino Linotype"/>
          <w:b/>
          <w:sz w:val="24"/>
          <w:szCs w:val="24"/>
        </w:rPr>
        <w:t>El</w:t>
      </w:r>
      <w:r w:rsidRPr="00D5257A">
        <w:rPr>
          <w:rFonts w:ascii="Palatino Linotype" w:hAnsi="Palatino Linotype"/>
          <w:b/>
          <w:sz w:val="24"/>
          <w:szCs w:val="24"/>
        </w:rPr>
        <w:t xml:space="preserve"> Recurrente, </w:t>
      </w:r>
      <w:r w:rsidRPr="00D5257A">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D5257A">
        <w:rPr>
          <w:rFonts w:ascii="Palatino Linotype" w:hAnsi="Palatino Linotype"/>
          <w:b/>
          <w:sz w:val="24"/>
          <w:szCs w:val="24"/>
        </w:rPr>
        <w:t xml:space="preserve">MODIFICA </w:t>
      </w:r>
      <w:r w:rsidRPr="00D5257A">
        <w:rPr>
          <w:rFonts w:ascii="Palatino Linotype" w:hAnsi="Palatino Linotype"/>
          <w:sz w:val="24"/>
          <w:szCs w:val="24"/>
        </w:rPr>
        <w:t xml:space="preserve">la respuesta a la solicitud de información </w:t>
      </w:r>
      <w:r w:rsidR="00173EE8">
        <w:rPr>
          <w:rFonts w:ascii="Palatino Linotype" w:hAnsi="Palatino Linotype"/>
          <w:b/>
          <w:sz w:val="24"/>
          <w:szCs w:val="24"/>
        </w:rPr>
        <w:t>00463/CUAUTIZC/IP/2023</w:t>
      </w:r>
      <w:r w:rsidRPr="00D5257A">
        <w:rPr>
          <w:rFonts w:ascii="Palatino Linotype" w:hAnsi="Palatino Linotype"/>
          <w:b/>
          <w:sz w:val="24"/>
          <w:szCs w:val="24"/>
        </w:rPr>
        <w:t xml:space="preserve">, </w:t>
      </w:r>
      <w:r w:rsidRPr="00D5257A">
        <w:rPr>
          <w:rFonts w:ascii="Palatino Linotype" w:hAnsi="Palatino Linotype"/>
          <w:sz w:val="24"/>
          <w:szCs w:val="24"/>
        </w:rPr>
        <w:t xml:space="preserve">que ha sido materia del presente fallo. </w:t>
      </w:r>
    </w:p>
    <w:p w14:paraId="6A03C5FB" w14:textId="77777777" w:rsidR="00BF0D34" w:rsidRDefault="00BF0D34" w:rsidP="00BF0D34">
      <w:pPr>
        <w:pStyle w:val="Prrafodelista"/>
        <w:spacing w:before="240" w:after="240" w:line="360" w:lineRule="auto"/>
        <w:ind w:left="0"/>
        <w:jc w:val="both"/>
        <w:rPr>
          <w:rFonts w:ascii="Palatino Linotype" w:hAnsi="Palatino Linotype"/>
        </w:rPr>
      </w:pPr>
      <w:r w:rsidRPr="00D5257A">
        <w:rPr>
          <w:rFonts w:ascii="Palatino Linotype" w:hAnsi="Palatino Linotype"/>
        </w:rPr>
        <w:t>Por lo antes expuesto y fundado es de resolverse y,</w:t>
      </w:r>
      <w:r w:rsidRPr="00F458CF">
        <w:rPr>
          <w:rFonts w:ascii="Palatino Linotype" w:hAnsi="Palatino Linotype"/>
        </w:rPr>
        <w:t xml:space="preserve"> </w:t>
      </w:r>
    </w:p>
    <w:p w14:paraId="47D955F1" w14:textId="77777777" w:rsidR="001E20F2" w:rsidRDefault="001E20F2" w:rsidP="00BF0D34">
      <w:pPr>
        <w:spacing w:before="240" w:line="360" w:lineRule="auto"/>
        <w:jc w:val="center"/>
        <w:rPr>
          <w:rFonts w:ascii="Palatino Linotype" w:eastAsia="Times New Roman" w:hAnsi="Palatino Linotype"/>
          <w:b/>
          <w:bCs/>
          <w:spacing w:val="60"/>
          <w:sz w:val="24"/>
          <w:szCs w:val="24"/>
          <w:lang w:val="es-ES_tradnl"/>
        </w:rPr>
      </w:pPr>
    </w:p>
    <w:p w14:paraId="7CE083EA" w14:textId="59666263" w:rsidR="00BF0D34" w:rsidRPr="00D05C83" w:rsidRDefault="00BF0D34" w:rsidP="00BF0D34">
      <w:pPr>
        <w:spacing w:before="240" w:line="360" w:lineRule="auto"/>
        <w:jc w:val="center"/>
        <w:rPr>
          <w:rFonts w:ascii="Palatino Linotype" w:eastAsia="Times New Roman" w:hAnsi="Palatino Linotype"/>
          <w:b/>
          <w:bCs/>
          <w:spacing w:val="60"/>
          <w:sz w:val="24"/>
          <w:szCs w:val="24"/>
          <w:lang w:val="es-ES_tradnl"/>
        </w:rPr>
      </w:pPr>
      <w:r w:rsidRPr="00D05C83">
        <w:rPr>
          <w:rFonts w:ascii="Palatino Linotype" w:eastAsia="Times New Roman" w:hAnsi="Palatino Linotype"/>
          <w:b/>
          <w:bCs/>
          <w:spacing w:val="60"/>
          <w:sz w:val="24"/>
          <w:szCs w:val="24"/>
          <w:lang w:val="es-ES_tradnl"/>
        </w:rPr>
        <w:t>SE    RESUELVE</w:t>
      </w:r>
    </w:p>
    <w:p w14:paraId="4C319FF8" w14:textId="3A3CD3BB" w:rsidR="00BF0D34" w:rsidRDefault="00BF0D34" w:rsidP="00BF0D34">
      <w:pPr>
        <w:spacing w:before="240" w:line="360" w:lineRule="auto"/>
        <w:jc w:val="both"/>
        <w:rPr>
          <w:rFonts w:ascii="Palatino Linotype" w:hAnsi="Palatino Linotype" w:cs="Arial"/>
          <w:sz w:val="24"/>
        </w:rPr>
      </w:pPr>
      <w:r w:rsidRPr="00D05C83">
        <w:rPr>
          <w:rFonts w:ascii="Palatino Linotype" w:hAnsi="Palatino Linotype" w:cs="Arial"/>
          <w:b/>
          <w:sz w:val="24"/>
          <w:szCs w:val="24"/>
          <w:lang w:val="es-ES_tradnl"/>
        </w:rPr>
        <w:t>PRIMERO.</w:t>
      </w:r>
      <w:r w:rsidRPr="00D05C83">
        <w:rPr>
          <w:rFonts w:ascii="Palatino Linotype" w:hAnsi="Palatino Linotype" w:cs="Arial"/>
          <w:sz w:val="24"/>
          <w:szCs w:val="24"/>
          <w:lang w:val="es-ES_tradnl"/>
        </w:rPr>
        <w:t xml:space="preserve"> </w:t>
      </w:r>
      <w:r w:rsidRPr="00A05065">
        <w:rPr>
          <w:rFonts w:ascii="Palatino Linotype" w:hAnsi="Palatino Linotype" w:cs="Arial"/>
          <w:sz w:val="24"/>
          <w:szCs w:val="24"/>
        </w:rPr>
        <w:t xml:space="preserve">Se </w:t>
      </w:r>
      <w:r>
        <w:rPr>
          <w:rFonts w:ascii="Palatino Linotype" w:hAnsi="Palatino Linotype" w:cs="Arial"/>
          <w:b/>
          <w:sz w:val="24"/>
          <w:szCs w:val="24"/>
        </w:rPr>
        <w:t xml:space="preserve">MODIFICA </w:t>
      </w:r>
      <w:r>
        <w:rPr>
          <w:rFonts w:ascii="Palatino Linotype" w:hAnsi="Palatino Linotype" w:cs="Arial"/>
          <w:sz w:val="24"/>
          <w:szCs w:val="24"/>
        </w:rPr>
        <w:t xml:space="preserve">la respuesta entregada por </w:t>
      </w:r>
      <w:r>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número </w:t>
      </w:r>
      <w:r w:rsidR="00173EE8">
        <w:rPr>
          <w:rFonts w:ascii="Palatino Linotype" w:hAnsi="Palatino Linotype"/>
          <w:b/>
          <w:sz w:val="24"/>
          <w:szCs w:val="24"/>
        </w:rPr>
        <w:t>00463/CUAUTIZC/IP/2023</w:t>
      </w:r>
      <w:r>
        <w:rPr>
          <w:rFonts w:ascii="Palatino Linotype" w:hAnsi="Palatino Linotype" w:cs="Arial"/>
          <w:b/>
          <w:sz w:val="24"/>
        </w:rPr>
        <w:t xml:space="preserve">, </w:t>
      </w:r>
      <w:r>
        <w:rPr>
          <w:rFonts w:ascii="Palatino Linotype" w:hAnsi="Palatino Linotype" w:cs="Arial"/>
          <w:sz w:val="24"/>
        </w:rPr>
        <w:t xml:space="preserve">por resultar parcialmente fundados los motivos de inconformidad que arguye </w:t>
      </w:r>
      <w:r>
        <w:rPr>
          <w:rFonts w:ascii="Palatino Linotype" w:hAnsi="Palatino Linotype" w:cs="Arial"/>
          <w:b/>
          <w:sz w:val="24"/>
        </w:rPr>
        <w:t xml:space="preserve">EL RECURRENTE, </w:t>
      </w:r>
      <w:r>
        <w:rPr>
          <w:rFonts w:ascii="Palatino Linotype" w:hAnsi="Palatino Linotype" w:cs="Arial"/>
          <w:sz w:val="24"/>
        </w:rPr>
        <w:t xml:space="preserve">en términos del </w:t>
      </w:r>
      <w:r w:rsidRPr="0012305B">
        <w:rPr>
          <w:rFonts w:ascii="Palatino Linotype" w:hAnsi="Palatino Linotype" w:cs="Arial"/>
          <w:b/>
          <w:sz w:val="24"/>
        </w:rPr>
        <w:t xml:space="preserve">Considerando </w:t>
      </w:r>
      <w:r>
        <w:rPr>
          <w:rFonts w:ascii="Palatino Linotype" w:hAnsi="Palatino Linotype" w:cs="Arial"/>
          <w:b/>
          <w:sz w:val="24"/>
        </w:rPr>
        <w:t xml:space="preserve">CUARTO </w:t>
      </w:r>
      <w:r>
        <w:rPr>
          <w:rFonts w:ascii="Palatino Linotype" w:hAnsi="Palatino Linotype" w:cs="Arial"/>
          <w:sz w:val="24"/>
        </w:rPr>
        <w:t xml:space="preserve">de la presente resolución. </w:t>
      </w:r>
    </w:p>
    <w:p w14:paraId="5476A0DB" w14:textId="6483D0DD" w:rsidR="00D92434" w:rsidRPr="00074A76" w:rsidRDefault="00D92434" w:rsidP="00D92434">
      <w:pPr>
        <w:autoSpaceDE w:val="0"/>
        <w:autoSpaceDN w:val="0"/>
        <w:adjustRightInd w:val="0"/>
        <w:spacing w:before="240" w:line="360" w:lineRule="auto"/>
        <w:ind w:right="49"/>
        <w:jc w:val="both"/>
        <w:rPr>
          <w:rFonts w:ascii="Palatino Linotype" w:hAnsi="Palatino Linotype" w:cs="Arial"/>
          <w:sz w:val="24"/>
          <w:szCs w:val="24"/>
        </w:rPr>
      </w:pPr>
      <w:r>
        <w:rPr>
          <w:rFonts w:ascii="Palatino Linotype" w:hAnsi="Palatino Linotype" w:cs="Arial"/>
          <w:b/>
          <w:sz w:val="28"/>
          <w:szCs w:val="28"/>
          <w:lang w:val="es-ES_tradnl"/>
        </w:rPr>
        <w:lastRenderedPageBreak/>
        <w:t>SEGUNDO</w:t>
      </w:r>
      <w:r w:rsidRPr="001829F0">
        <w:rPr>
          <w:rFonts w:ascii="Palatino Linotype" w:hAnsi="Palatino Linotype" w:cs="Arial"/>
          <w:b/>
          <w:sz w:val="28"/>
          <w:szCs w:val="28"/>
          <w:lang w:val="es-ES_tradnl"/>
        </w:rPr>
        <w:t>.</w:t>
      </w:r>
      <w:r w:rsidRPr="006633BF">
        <w:rPr>
          <w:rFonts w:ascii="Palatino Linotype" w:hAnsi="Palatino Linotype" w:cs="Arial"/>
          <w:sz w:val="24"/>
          <w:szCs w:val="24"/>
        </w:rPr>
        <w:t xml:space="preserve"> Se </w:t>
      </w:r>
      <w:r w:rsidRPr="006633BF">
        <w:rPr>
          <w:rFonts w:ascii="Palatino Linotype" w:hAnsi="Palatino Linotype" w:cs="Arial"/>
          <w:b/>
          <w:sz w:val="24"/>
          <w:szCs w:val="24"/>
        </w:rPr>
        <w:t>ORDENA</w:t>
      </w:r>
      <w:r w:rsidRPr="006633BF">
        <w:rPr>
          <w:rFonts w:ascii="Palatino Linotype" w:hAnsi="Palatino Linotype" w:cs="Arial"/>
          <w:sz w:val="24"/>
          <w:szCs w:val="24"/>
        </w:rPr>
        <w:t xml:space="preserve"> al </w:t>
      </w:r>
      <w:r w:rsidRPr="006633BF">
        <w:rPr>
          <w:rFonts w:ascii="Palatino Linotype" w:hAnsi="Palatino Linotype" w:cs="Arial"/>
          <w:b/>
          <w:sz w:val="24"/>
          <w:szCs w:val="24"/>
        </w:rPr>
        <w:t>SUJETO OBLIGADO</w:t>
      </w:r>
      <w:r w:rsidRPr="006633BF">
        <w:rPr>
          <w:rFonts w:ascii="Palatino Linotype" w:hAnsi="Palatino Linotype" w:cs="Arial"/>
          <w:sz w:val="24"/>
          <w:szCs w:val="24"/>
        </w:rPr>
        <w:t xml:space="preserve"> </w:t>
      </w:r>
      <w:r w:rsidR="00173EE8">
        <w:rPr>
          <w:rFonts w:ascii="Palatino Linotype" w:hAnsi="Palatino Linotype" w:cs="Arial"/>
          <w:sz w:val="24"/>
          <w:szCs w:val="24"/>
        </w:rPr>
        <w:t>haga entrega</w:t>
      </w:r>
      <w:r>
        <w:rPr>
          <w:rFonts w:ascii="Palatino Linotype" w:hAnsi="Palatino Linotype" w:cs="Arial"/>
          <w:sz w:val="24"/>
          <w:szCs w:val="24"/>
        </w:rPr>
        <w:t xml:space="preserve"> al </w:t>
      </w:r>
      <w:r>
        <w:rPr>
          <w:rFonts w:ascii="Palatino Linotype" w:hAnsi="Palatino Linotype" w:cs="Arial"/>
          <w:b/>
          <w:bCs/>
          <w:sz w:val="24"/>
          <w:szCs w:val="24"/>
        </w:rPr>
        <w:t xml:space="preserve">RECURRENTE, </w:t>
      </w:r>
      <w:r w:rsidRPr="006633BF">
        <w:rPr>
          <w:rFonts w:ascii="Palatino Linotype" w:hAnsi="Palatino Linotype" w:cs="Arial"/>
          <w:sz w:val="24"/>
          <w:szCs w:val="24"/>
        </w:rPr>
        <w:t xml:space="preserve">en términos del Considerando </w:t>
      </w:r>
      <w:r w:rsidRPr="006633BF">
        <w:rPr>
          <w:rFonts w:ascii="Palatino Linotype" w:hAnsi="Palatino Linotype" w:cs="Arial"/>
          <w:b/>
          <w:sz w:val="24"/>
          <w:szCs w:val="24"/>
        </w:rPr>
        <w:t xml:space="preserve">CUARTO </w:t>
      </w:r>
      <w:r w:rsidRPr="006633BF">
        <w:rPr>
          <w:rFonts w:ascii="Palatino Linotype" w:hAnsi="Palatino Linotype" w:cs="Arial"/>
          <w:sz w:val="24"/>
          <w:szCs w:val="24"/>
        </w:rPr>
        <w:t>de esta resolución</w:t>
      </w:r>
      <w:r w:rsidRPr="00074A76">
        <w:rPr>
          <w:rFonts w:ascii="Palatino Linotype" w:hAnsi="Palatino Linotype" w:cs="Arial"/>
          <w:b/>
          <w:sz w:val="24"/>
          <w:szCs w:val="24"/>
        </w:rPr>
        <w:t xml:space="preserve">, </w:t>
      </w:r>
      <w:r w:rsidRPr="00074A76">
        <w:rPr>
          <w:rFonts w:ascii="Palatino Linotype" w:hAnsi="Palatino Linotype" w:cs="Arial"/>
          <w:sz w:val="24"/>
          <w:szCs w:val="24"/>
        </w:rPr>
        <w:t xml:space="preserve">a través del Sistema de Acceso a la Información Mexiquense </w:t>
      </w:r>
      <w:r w:rsidRPr="00074A76">
        <w:rPr>
          <w:rFonts w:ascii="Palatino Linotype" w:hAnsi="Palatino Linotype" w:cs="Arial"/>
          <w:b/>
          <w:sz w:val="24"/>
          <w:szCs w:val="24"/>
        </w:rPr>
        <w:t xml:space="preserve">(SAIMEX), </w:t>
      </w:r>
      <w:r w:rsidRPr="00074A76">
        <w:rPr>
          <w:rFonts w:ascii="Palatino Linotype" w:hAnsi="Palatino Linotype" w:cs="Arial"/>
          <w:sz w:val="24"/>
          <w:szCs w:val="24"/>
        </w:rPr>
        <w:t xml:space="preserve">de lo siguiente: </w:t>
      </w:r>
    </w:p>
    <w:p w14:paraId="3573F51C" w14:textId="77777777" w:rsidR="00173EE8" w:rsidRPr="00640B6D" w:rsidRDefault="00173EE8" w:rsidP="00DA084A">
      <w:pPr>
        <w:pStyle w:val="Prrafodelista"/>
        <w:numPr>
          <w:ilvl w:val="0"/>
          <w:numId w:val="1"/>
        </w:numPr>
        <w:spacing w:before="240" w:line="360" w:lineRule="auto"/>
        <w:jc w:val="both"/>
        <w:rPr>
          <w:rFonts w:ascii="Palatino Linotype" w:hAnsi="Palatino Linotype"/>
        </w:rPr>
      </w:pPr>
      <w:r w:rsidRPr="00640B6D">
        <w:rPr>
          <w:rFonts w:ascii="Palatino Linotype" w:hAnsi="Palatino Linotype" w:cs="Arial"/>
          <w:b/>
          <w:bCs/>
          <w:noProof/>
          <w:color w:val="000000"/>
          <w:lang w:val="es-ES_tradnl" w:eastAsia="es-MX"/>
        </w:rPr>
        <w:t>PbRM 09b</w:t>
      </w:r>
      <w:r w:rsidRPr="00640B6D">
        <w:rPr>
          <w:rFonts w:ascii="Palatino Linotype" w:hAnsi="Palatino Linotype" w:cs="Arial"/>
          <w:noProof/>
          <w:color w:val="000000"/>
          <w:lang w:val="es-ES_tradnl" w:eastAsia="es-MX"/>
        </w:rPr>
        <w:t xml:space="preserve"> “Estado comparativo presupuestal de ingresos” correspondiente a la temporalidad “1 de enero al 30 de junio de 2023”</w:t>
      </w:r>
      <w:r>
        <w:rPr>
          <w:rFonts w:ascii="Palatino Linotype" w:hAnsi="Palatino Linotype" w:cs="Arial"/>
          <w:noProof/>
          <w:color w:val="000000"/>
          <w:lang w:val="es-ES_tradnl" w:eastAsia="es-MX"/>
        </w:rPr>
        <w:t xml:space="preserve">, en formato legible. </w:t>
      </w:r>
    </w:p>
    <w:p w14:paraId="1A983F64" w14:textId="77777777" w:rsidR="0070449C" w:rsidRDefault="0070449C" w:rsidP="006A4785">
      <w:pPr>
        <w:spacing w:after="0" w:line="360" w:lineRule="auto"/>
        <w:jc w:val="both"/>
        <w:rPr>
          <w:rFonts w:ascii="Palatino Linotype" w:eastAsia="Times New Roman" w:hAnsi="Palatino Linotype" w:cs="Arial"/>
          <w:b/>
          <w:sz w:val="28"/>
          <w:szCs w:val="24"/>
          <w:lang w:eastAsia="es-ES"/>
        </w:rPr>
      </w:pPr>
    </w:p>
    <w:p w14:paraId="640FF64D" w14:textId="663BAE3D" w:rsidR="006A4785" w:rsidRPr="006F36F4" w:rsidRDefault="006A4785" w:rsidP="006A4785">
      <w:pPr>
        <w:spacing w:after="0" w:line="360" w:lineRule="auto"/>
        <w:jc w:val="both"/>
        <w:rPr>
          <w:rFonts w:ascii="Palatino Linotype" w:eastAsia="Times New Roman" w:hAnsi="Palatino Linotype" w:cs="Tahoma"/>
          <w:sz w:val="24"/>
          <w:szCs w:val="24"/>
          <w:lang w:eastAsia="es-ES"/>
        </w:rPr>
      </w:pPr>
      <w:r w:rsidRPr="00593F5D">
        <w:rPr>
          <w:rFonts w:ascii="Palatino Linotype" w:eastAsia="Times New Roman" w:hAnsi="Palatino Linotype" w:cs="Arial"/>
          <w:b/>
          <w:sz w:val="28"/>
          <w:szCs w:val="24"/>
          <w:lang w:eastAsia="es-ES"/>
        </w:rPr>
        <w:t>TERCERO</w:t>
      </w:r>
      <w:r w:rsidRPr="00593F5D">
        <w:rPr>
          <w:rFonts w:ascii="Palatino Linotype" w:eastAsia="Times New Roman" w:hAnsi="Palatino Linotype" w:cs="Arial"/>
          <w:b/>
          <w:sz w:val="24"/>
          <w:szCs w:val="24"/>
          <w:lang w:eastAsia="es-ES"/>
        </w:rPr>
        <w:t>.</w:t>
      </w:r>
      <w:r w:rsidRPr="00593F5D">
        <w:rPr>
          <w:rFonts w:ascii="Palatino Linotype" w:eastAsia="Times New Roman" w:hAnsi="Palatino Linotype" w:cs="Arial"/>
          <w:sz w:val="24"/>
          <w:szCs w:val="24"/>
          <w:lang w:eastAsia="es-ES"/>
        </w:rPr>
        <w:t xml:space="preserve"> </w:t>
      </w:r>
      <w:r w:rsidRPr="006F36F4">
        <w:rPr>
          <w:rFonts w:ascii="Palatino Linotype" w:hAnsi="Palatino Linotype" w:cstheme="minorHAnsi"/>
          <w:b/>
          <w:sz w:val="24"/>
          <w:szCs w:val="24"/>
        </w:rPr>
        <w:t>NOTIFÍQUESE</w:t>
      </w:r>
      <w:r w:rsidRPr="006F36F4">
        <w:rPr>
          <w:rFonts w:ascii="Palatino Linotype" w:hAnsi="Palatino Linotype" w:cstheme="minorHAnsi"/>
          <w:i/>
          <w:sz w:val="24"/>
          <w:szCs w:val="24"/>
        </w:rPr>
        <w:t xml:space="preserve"> </w:t>
      </w:r>
      <w:r w:rsidRPr="006F36F4">
        <w:rPr>
          <w:rFonts w:ascii="Palatino Linotype" w:hAnsi="Palatino Linotype" w:cstheme="minorHAnsi"/>
          <w:sz w:val="24"/>
          <w:szCs w:val="24"/>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368E4BA" w14:textId="77777777" w:rsidR="006A4785" w:rsidRPr="00593F5D" w:rsidRDefault="006A4785" w:rsidP="006A4785">
      <w:pPr>
        <w:spacing w:after="0" w:line="360" w:lineRule="auto"/>
        <w:jc w:val="both"/>
        <w:rPr>
          <w:rFonts w:ascii="Palatino Linotype" w:eastAsia="Times New Roman" w:hAnsi="Palatino Linotype" w:cs="Tahoma"/>
          <w:bCs/>
          <w:sz w:val="24"/>
          <w:szCs w:val="24"/>
          <w:lang w:eastAsia="es-ES"/>
        </w:rPr>
      </w:pPr>
    </w:p>
    <w:p w14:paraId="7A1B9DF7" w14:textId="77777777" w:rsidR="006A4785" w:rsidRDefault="006A4785" w:rsidP="006A4785">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593F5D">
        <w:rPr>
          <w:rFonts w:ascii="Palatino Linotype" w:eastAsia="Times New Roman" w:hAnsi="Palatino Linotype" w:cs="Arial"/>
          <w:b/>
          <w:sz w:val="28"/>
          <w:szCs w:val="28"/>
          <w:lang w:val="es-ES" w:eastAsia="es-ES"/>
        </w:rPr>
        <w:t>CUARTO.</w:t>
      </w:r>
      <w:r w:rsidRPr="00593F5D">
        <w:rPr>
          <w:rFonts w:ascii="Palatino Linotype" w:eastAsia="Times New Roman" w:hAnsi="Palatino Linotype" w:cs="Arial"/>
          <w:b/>
          <w:sz w:val="24"/>
          <w:szCs w:val="24"/>
          <w:lang w:val="es-ES" w:eastAsia="es-ES"/>
        </w:rPr>
        <w:t xml:space="preserve"> </w:t>
      </w:r>
      <w:r w:rsidRPr="00593F5D">
        <w:rPr>
          <w:rFonts w:ascii="Palatino Linotype" w:eastAsia="Times New Roman" w:hAnsi="Palatino Linotype" w:cs="Arial"/>
          <w:sz w:val="24"/>
          <w:szCs w:val="24"/>
          <w:lang w:val="es-ES" w:eastAsia="es-ES"/>
        </w:rPr>
        <w:t xml:space="preserve">De conformidad con el artículo 198 de la Ley de Transparencia y Acceso a la Información Pública del Estado de México y Municipios, de considerarlo procedente, el </w:t>
      </w:r>
      <w:r w:rsidRPr="00593F5D">
        <w:rPr>
          <w:rFonts w:ascii="Palatino Linotype" w:eastAsia="Times New Roman" w:hAnsi="Palatino Linotype" w:cs="Arial"/>
          <w:b/>
          <w:sz w:val="24"/>
          <w:szCs w:val="24"/>
          <w:lang w:val="es-ES" w:eastAsia="es-ES"/>
        </w:rPr>
        <w:t>Sujeto Obligado</w:t>
      </w:r>
      <w:r w:rsidRPr="00593F5D">
        <w:rPr>
          <w:rFonts w:ascii="Palatino Linotype" w:eastAsia="Times New Roman" w:hAnsi="Palatino Linotype" w:cs="Arial"/>
          <w:sz w:val="24"/>
          <w:szCs w:val="24"/>
          <w:lang w:val="es-ES" w:eastAsia="es-ES"/>
        </w:rPr>
        <w:t xml:space="preserve"> de manera fundada y motivada, podrá solicitar una ampliación de plazo para el cumplimiento de la presente resolución.</w:t>
      </w:r>
    </w:p>
    <w:p w14:paraId="10880A3D" w14:textId="77777777" w:rsidR="006A4785" w:rsidRPr="00593F5D" w:rsidRDefault="006A4785" w:rsidP="006A4785">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4DFD833A" w14:textId="77777777" w:rsidR="006A4785" w:rsidRDefault="006A4785" w:rsidP="006A4785">
      <w:pPr>
        <w:spacing w:after="0" w:line="360" w:lineRule="auto"/>
        <w:jc w:val="both"/>
        <w:rPr>
          <w:rFonts w:ascii="Palatino Linotype" w:eastAsia="Times New Roman" w:hAnsi="Palatino Linotype" w:cs="Times New Roman"/>
          <w:color w:val="222222"/>
          <w:sz w:val="24"/>
          <w:szCs w:val="24"/>
          <w:shd w:val="clear" w:color="auto" w:fill="FFFFFF"/>
          <w:lang w:eastAsia="es-ES"/>
        </w:rPr>
      </w:pPr>
      <w:r w:rsidRPr="00DB757B">
        <w:rPr>
          <w:rFonts w:ascii="Palatino Linotype" w:eastAsia="Times New Roman" w:hAnsi="Palatino Linotype" w:cs="Arial"/>
          <w:b/>
          <w:sz w:val="24"/>
          <w:szCs w:val="24"/>
          <w:lang w:eastAsia="es-ES"/>
        </w:rPr>
        <w:lastRenderedPageBreak/>
        <w:t xml:space="preserve">QUINTO. NOTIFÍQUESE </w:t>
      </w:r>
      <w:r>
        <w:rPr>
          <w:rFonts w:ascii="Palatino Linotype" w:eastAsia="Times New Roman" w:hAnsi="Palatino Linotype" w:cs="Arial"/>
          <w:sz w:val="24"/>
          <w:szCs w:val="24"/>
          <w:lang w:eastAsia="es-ES"/>
        </w:rPr>
        <w:t>la presente resolución al</w:t>
      </w:r>
      <w:r w:rsidRPr="00DB757B">
        <w:rPr>
          <w:rFonts w:ascii="Palatino Linotype" w:eastAsia="Times New Roman" w:hAnsi="Palatino Linotype" w:cs="Arial"/>
          <w:sz w:val="24"/>
          <w:szCs w:val="24"/>
          <w:lang w:eastAsia="es-ES"/>
        </w:rPr>
        <w:t xml:space="preserve"> </w:t>
      </w:r>
      <w:r w:rsidRPr="00DB757B">
        <w:rPr>
          <w:rFonts w:ascii="Palatino Linotype" w:eastAsia="Times New Roman" w:hAnsi="Palatino Linotype" w:cs="Arial"/>
          <w:b/>
          <w:sz w:val="24"/>
          <w:szCs w:val="24"/>
          <w:lang w:eastAsia="es-ES"/>
        </w:rPr>
        <w:t xml:space="preserve">RECURRENTE vía </w:t>
      </w:r>
      <w:r>
        <w:rPr>
          <w:rFonts w:ascii="Palatino Linotype" w:hAnsi="Palatino Linotype" w:cs="Arial"/>
          <w:sz w:val="24"/>
          <w:szCs w:val="24"/>
        </w:rPr>
        <w:t xml:space="preserve">Sistema de Acceso a la Información Mexiquense </w:t>
      </w:r>
      <w:r>
        <w:rPr>
          <w:rFonts w:ascii="Palatino Linotype" w:hAnsi="Palatino Linotype" w:cs="Arial"/>
          <w:b/>
          <w:sz w:val="24"/>
          <w:szCs w:val="24"/>
        </w:rPr>
        <w:t xml:space="preserve">(SAIMEX) </w:t>
      </w:r>
      <w:r w:rsidRPr="00DB757B">
        <w:rPr>
          <w:rFonts w:ascii="Palatino Linotype" w:eastAsia="Times New Roman" w:hAnsi="Palatino Linotype" w:cs="Arial"/>
          <w:sz w:val="24"/>
          <w:szCs w:val="24"/>
          <w:lang w:eastAsia="es-ES"/>
        </w:rPr>
        <w:t xml:space="preserve">y hágase de su conocimiento que, </w:t>
      </w:r>
      <w:r w:rsidRPr="00DB757B">
        <w:rPr>
          <w:rFonts w:ascii="Palatino Linotype" w:eastAsia="Times New Roman" w:hAnsi="Palatino Linotype" w:cs="Times New Roman"/>
          <w:color w:val="222222"/>
          <w:sz w:val="24"/>
          <w:szCs w:val="24"/>
          <w:shd w:val="clear" w:color="auto" w:fill="FFFFFF"/>
          <w:lang w:eastAsia="es-ES"/>
        </w:rPr>
        <w:t xml:space="preserve">de conformidad con lo </w:t>
      </w:r>
      <w:r w:rsidRPr="00AA3F48">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Pr="00DB757B">
        <w:rPr>
          <w:rFonts w:ascii="Palatino Linotype" w:eastAsia="Times New Roman" w:hAnsi="Palatino Linotype" w:cs="Times New Roman"/>
          <w:color w:val="222222"/>
          <w:sz w:val="24"/>
          <w:szCs w:val="24"/>
          <w:shd w:val="clear" w:color="auto" w:fill="FFFFFF"/>
          <w:lang w:eastAsia="es-ES"/>
        </w:rPr>
        <w:t>leyes aplicables.</w:t>
      </w:r>
    </w:p>
    <w:p w14:paraId="65B00740" w14:textId="77777777" w:rsidR="008D0938" w:rsidRDefault="008D0938" w:rsidP="00C45135">
      <w:pPr>
        <w:pStyle w:val="Prrafodelista"/>
        <w:autoSpaceDE w:val="0"/>
        <w:autoSpaceDN w:val="0"/>
        <w:adjustRightInd w:val="0"/>
        <w:spacing w:before="240" w:after="160" w:line="360" w:lineRule="auto"/>
        <w:ind w:left="0"/>
        <w:jc w:val="both"/>
        <w:rPr>
          <w:rFonts w:ascii="Palatino Linotype" w:hAnsi="Palatino Linotype" w:cs="Arial"/>
          <w:sz w:val="20"/>
          <w:szCs w:val="20"/>
        </w:rPr>
      </w:pPr>
    </w:p>
    <w:p w14:paraId="5A9BAE25" w14:textId="62E4EB0A" w:rsidR="00C45135" w:rsidRPr="00C27903" w:rsidRDefault="00C45135" w:rsidP="00C45135">
      <w:pPr>
        <w:pStyle w:val="Prrafodelista"/>
        <w:autoSpaceDE w:val="0"/>
        <w:autoSpaceDN w:val="0"/>
        <w:adjustRightInd w:val="0"/>
        <w:spacing w:before="240" w:after="160" w:line="360" w:lineRule="auto"/>
        <w:ind w:left="0"/>
        <w:jc w:val="both"/>
        <w:rPr>
          <w:rFonts w:ascii="Palatino Linotype" w:hAnsi="Palatino Linotype" w:cs="Arial"/>
        </w:rPr>
      </w:pPr>
      <w:r w:rsidRPr="00C27903">
        <w:rPr>
          <w:rFonts w:ascii="Palatino Linotype" w:hAnsi="Palatino Linotype" w:cs="Arial"/>
        </w:rPr>
        <w:t>ASÍ LO ACORDÓ, POR UNANIMIDAD DE VOTOS, EL PLENO DEL</w:t>
      </w:r>
      <w:r w:rsidRPr="00C27903">
        <w:rPr>
          <w:rFonts w:ascii="Palatino Linotype" w:eastAsia="Arial Unicode MS" w:hAnsi="Palatino Linotype" w:cs="Arial"/>
        </w:rPr>
        <w:t xml:space="preserve"> INSTITUTO DE TRANSPARENCIA, ACCESO A LA INFORMACIÓN PÚBLICA Y PROTECCIÓN DE DATOS PERSONALES DEL ESTADO DE MÉXICO Y </w:t>
      </w:r>
      <w:r w:rsidR="003C3A96" w:rsidRPr="00C27903">
        <w:rPr>
          <w:rFonts w:ascii="Palatino Linotype" w:eastAsia="Arial Unicode MS" w:hAnsi="Palatino Linotype" w:cs="Arial"/>
        </w:rPr>
        <w:t>MUNICIPIOS</w:t>
      </w:r>
      <w:r w:rsidR="003C3A96" w:rsidRPr="00C27903">
        <w:rPr>
          <w:rFonts w:ascii="Palatino Linotype" w:hAnsi="Palatino Linotype" w:cs="Arial"/>
        </w:rPr>
        <w:t xml:space="preserve">, CONFORMADO POR LOS COMISIONADOS JOSÉ MARTÍNEZ VILCHIS, MARÍA DEL ROSARIO MEJÍA AYALA, SHARON CRISTINA MORALES MARTÍNEZ, LUIS GUSTAVO PARRA NORIEGA Y GUADALUPE RAMÍREZ PEÑA EN LA </w:t>
      </w:r>
      <w:r w:rsidR="003C3A96">
        <w:rPr>
          <w:rFonts w:ascii="Palatino Linotype" w:hAnsi="Palatino Linotype" w:cs="Arial"/>
        </w:rPr>
        <w:t xml:space="preserve">PRIMERA SESIÓN ORDINARIA CELEBRADA EL DIECISIETE DE ENERO DE DOS MIL VEINTICUATRO, </w:t>
      </w:r>
      <w:r w:rsidRPr="00C27903">
        <w:rPr>
          <w:rFonts w:ascii="Palatino Linotype" w:hAnsi="Palatino Linotype" w:cs="Arial"/>
        </w:rPr>
        <w:t xml:space="preserve">ANTE EL SECRETARIO TÉCNICO DEL PLENO, ALEXIS TAPIA RAMÍREZ. </w:t>
      </w:r>
    </w:p>
    <w:p w14:paraId="42ABFF17" w14:textId="2174A95E" w:rsidR="003F50F0" w:rsidRPr="008D0938" w:rsidRDefault="00C45135" w:rsidP="00C45135">
      <w:pPr>
        <w:pStyle w:val="Prrafodelista"/>
        <w:autoSpaceDE w:val="0"/>
        <w:autoSpaceDN w:val="0"/>
        <w:adjustRightInd w:val="0"/>
        <w:spacing w:before="240" w:after="160" w:line="360" w:lineRule="auto"/>
        <w:ind w:left="0"/>
        <w:jc w:val="both"/>
        <w:rPr>
          <w:rFonts w:ascii="Palatino Linotype" w:hAnsi="Palatino Linotype"/>
          <w:bCs/>
          <w:sz w:val="16"/>
          <w:szCs w:val="16"/>
        </w:rPr>
      </w:pPr>
      <w:r w:rsidRPr="008D0938">
        <w:rPr>
          <w:rFonts w:ascii="Palatino Linotype" w:hAnsi="Palatino Linotype"/>
          <w:bCs/>
          <w:sz w:val="16"/>
          <w:szCs w:val="16"/>
        </w:rPr>
        <w:t>CCR/JCMA</w:t>
      </w:r>
    </w:p>
    <w:p w14:paraId="700F08E9" w14:textId="1E79D72F" w:rsidR="003F50F0" w:rsidRDefault="003F50F0" w:rsidP="009A7DBA">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53D3E33" w14:textId="77777777" w:rsidR="003F50F0" w:rsidRDefault="003F50F0" w:rsidP="009A7DBA">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E25A979" w14:textId="77777777" w:rsidR="003F50F0" w:rsidRDefault="003F50F0" w:rsidP="009A7DBA">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E7E29DC" w14:textId="77777777" w:rsidR="003F50F0" w:rsidRDefault="003F50F0" w:rsidP="009A7DBA">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461A5EE" w14:textId="77777777" w:rsidR="003F50F0" w:rsidRDefault="003F50F0" w:rsidP="009A7DBA">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4B206977" w14:textId="77777777" w:rsidR="003F50F0" w:rsidRDefault="003F50F0" w:rsidP="009A7DBA">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42FB95A9" w14:textId="77777777" w:rsidR="003F50F0" w:rsidRDefault="003F50F0" w:rsidP="009A7DBA">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316DADE" w14:textId="77777777" w:rsidR="003F50F0" w:rsidRDefault="003F50F0" w:rsidP="009A7DBA">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0805366" w14:textId="77777777" w:rsidR="003F50F0" w:rsidRDefault="003F50F0" w:rsidP="009A7DBA">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116E0E2" w14:textId="77777777" w:rsidR="003F50F0" w:rsidRDefault="003F50F0" w:rsidP="009A7DBA">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3FD8005" w14:textId="77777777" w:rsidR="003F50F0" w:rsidRDefault="003F50F0" w:rsidP="009A7DBA">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138A6F6" w14:textId="77777777" w:rsidR="003F50F0" w:rsidRDefault="003F50F0" w:rsidP="009A7DBA">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88E620B" w14:textId="77777777" w:rsidR="003F50F0" w:rsidRDefault="003F50F0" w:rsidP="009A7DBA">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3F2832B" w14:textId="77777777" w:rsidR="003F50F0" w:rsidRPr="00280B8B" w:rsidRDefault="003F50F0" w:rsidP="009A7DBA">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0CBDD3D" w14:textId="417AC11D" w:rsidR="009A7DBA" w:rsidRDefault="009A7DBA" w:rsidP="00866F25">
      <w:pPr>
        <w:pStyle w:val="Prrafodelista"/>
        <w:tabs>
          <w:tab w:val="left" w:pos="1800"/>
        </w:tabs>
        <w:autoSpaceDE w:val="0"/>
        <w:autoSpaceDN w:val="0"/>
        <w:adjustRightInd w:val="0"/>
        <w:spacing w:before="240" w:after="160" w:line="360" w:lineRule="auto"/>
        <w:ind w:left="0"/>
        <w:jc w:val="both"/>
        <w:rPr>
          <w:rFonts w:ascii="Palatino Linotype" w:hAnsi="Palatino Linotype"/>
          <w:bCs/>
        </w:rPr>
      </w:pPr>
    </w:p>
    <w:p w14:paraId="07AF086E" w14:textId="77777777" w:rsidR="008B3A59" w:rsidRDefault="008B3A59" w:rsidP="008B3A59">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56EAE9D" w14:textId="77777777" w:rsidR="006329AB" w:rsidRDefault="006329AB" w:rsidP="00787D06">
      <w:pPr>
        <w:spacing w:line="360" w:lineRule="auto"/>
        <w:contextualSpacing/>
        <w:jc w:val="both"/>
        <w:rPr>
          <w:rFonts w:ascii="Palatino Linotype" w:eastAsia="MS Mincho" w:hAnsi="Palatino Linotype"/>
        </w:rPr>
      </w:pPr>
    </w:p>
    <w:p w14:paraId="622DBD2A" w14:textId="77777777" w:rsidR="006329AB" w:rsidRDefault="006329AB" w:rsidP="00787D06">
      <w:pPr>
        <w:spacing w:line="360" w:lineRule="auto"/>
        <w:contextualSpacing/>
        <w:jc w:val="both"/>
        <w:rPr>
          <w:rFonts w:ascii="Palatino Linotype" w:eastAsia="MS Mincho" w:hAnsi="Palatino Linotype"/>
        </w:rPr>
      </w:pPr>
    </w:p>
    <w:sectPr w:rsidR="006329AB" w:rsidSect="00FB4AAD">
      <w:headerReference w:type="default" r:id="rId18"/>
      <w:footerReference w:type="default" r:id="rId19"/>
      <w:headerReference w:type="first" r:id="rId20"/>
      <w:footerReference w:type="first" r:id="rId21"/>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59E85B" w14:textId="77777777" w:rsidR="0096593A" w:rsidRDefault="0096593A" w:rsidP="006168E4">
      <w:pPr>
        <w:spacing w:after="0" w:line="240" w:lineRule="auto"/>
      </w:pPr>
      <w:r>
        <w:separator/>
      </w:r>
    </w:p>
  </w:endnote>
  <w:endnote w:type="continuationSeparator" w:id="0">
    <w:p w14:paraId="513BB518" w14:textId="77777777" w:rsidR="0096593A" w:rsidRDefault="0096593A"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62E2BC" w14:textId="77777777" w:rsidR="00D338F0" w:rsidRPr="000B69FA" w:rsidRDefault="00D338F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A084A">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A084A">
      <w:rPr>
        <w:rFonts w:ascii="Palatino Linotype" w:hAnsi="Palatino Linotype"/>
        <w:bCs/>
        <w:noProof/>
        <w:sz w:val="20"/>
      </w:rPr>
      <w:t>53</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D5FBE9" w14:textId="77777777" w:rsidR="00D338F0" w:rsidRPr="000B69FA" w:rsidRDefault="00D338F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A084A">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A084A">
      <w:rPr>
        <w:rFonts w:ascii="Palatino Linotype" w:hAnsi="Palatino Linotype"/>
        <w:bCs/>
        <w:noProof/>
        <w:sz w:val="20"/>
      </w:rPr>
      <w:t>53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47EA06" w14:textId="77777777" w:rsidR="0096593A" w:rsidRDefault="0096593A" w:rsidP="006168E4">
      <w:pPr>
        <w:spacing w:after="0" w:line="240" w:lineRule="auto"/>
      </w:pPr>
      <w:r>
        <w:separator/>
      </w:r>
    </w:p>
  </w:footnote>
  <w:footnote w:type="continuationSeparator" w:id="0">
    <w:p w14:paraId="32239034" w14:textId="77777777" w:rsidR="0096593A" w:rsidRDefault="0096593A" w:rsidP="006168E4">
      <w:pPr>
        <w:spacing w:after="0" w:line="240" w:lineRule="auto"/>
      </w:pPr>
      <w:r>
        <w:continuationSeparator/>
      </w:r>
    </w:p>
  </w:footnote>
  <w:footnote w:id="1">
    <w:p w14:paraId="5840AC8D" w14:textId="77777777" w:rsidR="002D560C" w:rsidRPr="005552A8" w:rsidRDefault="002D560C" w:rsidP="002D560C">
      <w:pPr>
        <w:jc w:val="both"/>
        <w:rPr>
          <w:rFonts w:ascii="Palatino Linotype" w:eastAsia="Times New Roman" w:hAnsi="Palatino Linotype"/>
          <w:b/>
          <w:bCs/>
          <w:i/>
          <w:sz w:val="16"/>
          <w:szCs w:val="16"/>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44289016" w14:textId="77777777" w:rsidR="002D560C" w:rsidRPr="005552A8" w:rsidRDefault="002D560C" w:rsidP="002D560C">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88AE9" w14:textId="2523050D" w:rsidR="00D338F0" w:rsidRDefault="00D338F0">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B20C00A" wp14:editId="1CC8AE94">
          <wp:simplePos x="0" y="0"/>
          <wp:positionH relativeFrom="page">
            <wp:posOffset>635</wp:posOffset>
          </wp:positionH>
          <wp:positionV relativeFrom="page">
            <wp:posOffset>48260</wp:posOffset>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D338F0" w14:paraId="46A8AAF9" w14:textId="77777777" w:rsidTr="0065263E">
      <w:trPr>
        <w:trHeight w:val="227"/>
      </w:trPr>
      <w:tc>
        <w:tcPr>
          <w:tcW w:w="5529" w:type="dxa"/>
          <w:hideMark/>
        </w:tcPr>
        <w:p w14:paraId="26B5EE34" w14:textId="3BF445B5" w:rsidR="00D338F0" w:rsidRDefault="00D338F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C800766" w14:textId="42BFA06C" w:rsidR="00D338F0" w:rsidRPr="00B4142F" w:rsidRDefault="00BE673B"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956C26">
            <w:rPr>
              <w:rFonts w:ascii="Palatino Linotype" w:hAnsi="Palatino Linotype" w:cs="Arial"/>
              <w:bCs/>
              <w:sz w:val="24"/>
              <w:lang w:eastAsia="es-MX"/>
            </w:rPr>
            <w:t>5370</w:t>
          </w:r>
          <w:r w:rsidR="00D338F0">
            <w:rPr>
              <w:rFonts w:ascii="Palatino Linotype" w:hAnsi="Palatino Linotype" w:cs="Arial"/>
              <w:bCs/>
              <w:sz w:val="24"/>
              <w:lang w:eastAsia="es-MX"/>
            </w:rPr>
            <w:t>/INFOEM/IP/RR/202</w:t>
          </w:r>
          <w:r w:rsidR="00E36029">
            <w:rPr>
              <w:rFonts w:ascii="Palatino Linotype" w:hAnsi="Palatino Linotype" w:cs="Arial"/>
              <w:bCs/>
              <w:sz w:val="24"/>
              <w:lang w:eastAsia="es-MX"/>
            </w:rPr>
            <w:t>3</w:t>
          </w:r>
        </w:p>
      </w:tc>
    </w:tr>
    <w:tr w:rsidR="00D338F0" w14:paraId="0E72512B" w14:textId="77777777" w:rsidTr="0065263E">
      <w:trPr>
        <w:trHeight w:val="242"/>
      </w:trPr>
      <w:tc>
        <w:tcPr>
          <w:tcW w:w="5529" w:type="dxa"/>
          <w:hideMark/>
        </w:tcPr>
        <w:p w14:paraId="4FB3E0E8" w14:textId="77777777" w:rsidR="00D338F0" w:rsidRDefault="00D338F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2C804F0" w14:textId="42B5E038" w:rsidR="00D338F0" w:rsidRPr="00F06FED" w:rsidRDefault="00ED0EA7" w:rsidP="00F4623D">
          <w:pPr>
            <w:spacing w:after="120" w:line="256" w:lineRule="auto"/>
            <w:ind w:left="639" w:right="214"/>
            <w:jc w:val="both"/>
            <w:rPr>
              <w:rFonts w:ascii="Palatino Linotype" w:hAnsi="Palatino Linotype" w:cs="Arial"/>
            </w:rPr>
          </w:pPr>
          <w:r>
            <w:rPr>
              <w:rFonts w:ascii="Palatino Linotype" w:hAnsi="Palatino Linotype" w:cs="Arial"/>
              <w:szCs w:val="20"/>
            </w:rPr>
            <w:t xml:space="preserve">Ayuntamiento de </w:t>
          </w:r>
          <w:r w:rsidR="00956C26">
            <w:rPr>
              <w:rFonts w:ascii="Palatino Linotype" w:hAnsi="Palatino Linotype" w:cs="Arial"/>
              <w:szCs w:val="20"/>
            </w:rPr>
            <w:t>Cuautitlán Izcalli</w:t>
          </w:r>
        </w:p>
      </w:tc>
    </w:tr>
    <w:tr w:rsidR="00D338F0" w14:paraId="3365CD96" w14:textId="77777777" w:rsidTr="0065263E">
      <w:trPr>
        <w:trHeight w:val="342"/>
      </w:trPr>
      <w:tc>
        <w:tcPr>
          <w:tcW w:w="5529" w:type="dxa"/>
          <w:hideMark/>
        </w:tcPr>
        <w:p w14:paraId="52A09A43" w14:textId="77777777" w:rsidR="00D338F0" w:rsidRDefault="00D338F0"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64AECA8" w14:textId="70DC65D6" w:rsidR="00D338F0" w:rsidRDefault="00D338F0"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638CC457" w14:textId="77777777" w:rsidR="00D338F0" w:rsidRDefault="00D338F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D338F0" w14:paraId="02D9F2E3" w14:textId="77777777" w:rsidTr="0065263E">
      <w:trPr>
        <w:trHeight w:val="227"/>
      </w:trPr>
      <w:tc>
        <w:tcPr>
          <w:tcW w:w="5529" w:type="dxa"/>
          <w:hideMark/>
        </w:tcPr>
        <w:p w14:paraId="3EA02FD0" w14:textId="3139CF90" w:rsidR="00D338F0" w:rsidRDefault="00D338F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2571C00" w14:textId="1F66B4E4" w:rsidR="00D338F0" w:rsidRPr="00B4142F" w:rsidRDefault="00BE673B"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956C26">
            <w:rPr>
              <w:rFonts w:ascii="Palatino Linotype" w:hAnsi="Palatino Linotype" w:cs="Arial"/>
              <w:bCs/>
              <w:sz w:val="24"/>
              <w:lang w:eastAsia="es-MX"/>
            </w:rPr>
            <w:t>5370</w:t>
          </w:r>
          <w:r w:rsidR="00D338F0">
            <w:rPr>
              <w:rFonts w:ascii="Palatino Linotype" w:hAnsi="Palatino Linotype" w:cs="Arial"/>
              <w:bCs/>
              <w:sz w:val="24"/>
              <w:lang w:eastAsia="es-MX"/>
            </w:rPr>
            <w:t>/INFOEM/IP/RR/202</w:t>
          </w:r>
          <w:r>
            <w:rPr>
              <w:rFonts w:ascii="Palatino Linotype" w:hAnsi="Palatino Linotype" w:cs="Arial"/>
              <w:bCs/>
              <w:sz w:val="24"/>
              <w:lang w:eastAsia="es-MX"/>
            </w:rPr>
            <w:t>3</w:t>
          </w:r>
        </w:p>
      </w:tc>
    </w:tr>
    <w:tr w:rsidR="00D338F0" w14:paraId="5AC92493" w14:textId="77777777" w:rsidTr="0065263E">
      <w:trPr>
        <w:trHeight w:val="196"/>
      </w:trPr>
      <w:tc>
        <w:tcPr>
          <w:tcW w:w="5529" w:type="dxa"/>
          <w:hideMark/>
        </w:tcPr>
        <w:p w14:paraId="7E479B7E" w14:textId="77777777" w:rsidR="00D338F0" w:rsidRDefault="00D338F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C253759" w14:textId="6CA7A261" w:rsidR="00D338F0" w:rsidRPr="00F06FED" w:rsidRDefault="00DA084A" w:rsidP="00DA084A">
          <w:pPr>
            <w:spacing w:after="120" w:line="256" w:lineRule="auto"/>
            <w:ind w:left="639" w:right="214"/>
            <w:jc w:val="both"/>
            <w:rPr>
              <w:rFonts w:ascii="Palatino Linotype" w:hAnsi="Palatino Linotype" w:cs="Arial"/>
            </w:rPr>
          </w:pPr>
          <w:r>
            <w:rPr>
              <w:rFonts w:ascii="Palatino Linotype" w:hAnsi="Palatino Linotype" w:cs="Arial"/>
            </w:rPr>
            <w:t>XXXXXXXXXXXXXXXXXX</w:t>
          </w:r>
          <w:r w:rsidR="00956C26">
            <w:rPr>
              <w:rFonts w:ascii="Palatino Linotype" w:hAnsi="Palatino Linotype" w:cs="Arial"/>
            </w:rPr>
            <w:t xml:space="preserve"> </w:t>
          </w:r>
          <w:r>
            <w:rPr>
              <w:rFonts w:ascii="Palatino Linotype" w:hAnsi="Palatino Linotype" w:cs="Arial"/>
            </w:rPr>
            <w:t>XXXXXXXX</w:t>
          </w:r>
        </w:p>
      </w:tc>
    </w:tr>
    <w:tr w:rsidR="00D338F0" w14:paraId="48DDE1B1" w14:textId="77777777" w:rsidTr="0065263E">
      <w:trPr>
        <w:trHeight w:val="242"/>
      </w:trPr>
      <w:tc>
        <w:tcPr>
          <w:tcW w:w="5529" w:type="dxa"/>
          <w:hideMark/>
        </w:tcPr>
        <w:p w14:paraId="718D1409" w14:textId="77777777" w:rsidR="00D338F0" w:rsidRDefault="00D338F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C46880B" w14:textId="4983CDAE" w:rsidR="00D338F0" w:rsidRDefault="00ED0EA7" w:rsidP="00F4623D">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w:t>
          </w:r>
          <w:r w:rsidR="00956C26">
            <w:rPr>
              <w:rFonts w:ascii="Palatino Linotype" w:hAnsi="Palatino Linotype" w:cs="Arial"/>
              <w:szCs w:val="20"/>
            </w:rPr>
            <w:t>Cuautitlán Izcalli</w:t>
          </w:r>
        </w:p>
      </w:tc>
    </w:tr>
    <w:tr w:rsidR="00D338F0" w14:paraId="2E924228" w14:textId="77777777" w:rsidTr="0065263E">
      <w:trPr>
        <w:trHeight w:val="342"/>
      </w:trPr>
      <w:tc>
        <w:tcPr>
          <w:tcW w:w="5529" w:type="dxa"/>
          <w:hideMark/>
        </w:tcPr>
        <w:p w14:paraId="03281906" w14:textId="77777777" w:rsidR="00D338F0" w:rsidRDefault="00D338F0"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3454A6DD" w14:textId="2B5A7C0F" w:rsidR="00D338F0" w:rsidRDefault="00D338F0"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3C00C928" w14:textId="0FC045F3" w:rsidR="00D338F0" w:rsidRDefault="00D338F0">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14759219" wp14:editId="17B9B680">
          <wp:simplePos x="0" y="0"/>
          <wp:positionH relativeFrom="page">
            <wp:posOffset>19685</wp:posOffset>
          </wp:positionH>
          <wp:positionV relativeFrom="page">
            <wp:posOffset>25400</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440040"/>
    <w:multiLevelType w:val="hybridMultilevel"/>
    <w:tmpl w:val="7242A8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AF44903"/>
    <w:multiLevelType w:val="hybridMultilevel"/>
    <w:tmpl w:val="75AEFD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
    <w:nsid w:val="1F827D83"/>
    <w:multiLevelType w:val="hybridMultilevel"/>
    <w:tmpl w:val="DE6EAC1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nsid w:val="2E9A7326"/>
    <w:multiLevelType w:val="hybridMultilevel"/>
    <w:tmpl w:val="2726540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FA04D5D"/>
    <w:multiLevelType w:val="hybridMultilevel"/>
    <w:tmpl w:val="7EE6A9C4"/>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438169F5"/>
    <w:multiLevelType w:val="hybridMultilevel"/>
    <w:tmpl w:val="32147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AA31074"/>
    <w:multiLevelType w:val="hybridMultilevel"/>
    <w:tmpl w:val="3A46EBA4"/>
    <w:lvl w:ilvl="0" w:tplc="D5966042">
      <w:start w:val="1"/>
      <w:numFmt w:val="bullet"/>
      <w:lvlText w:val="-"/>
      <w:lvlJc w:val="left"/>
      <w:pPr>
        <w:ind w:left="1800" w:hanging="360"/>
      </w:pPr>
      <w:rPr>
        <w:rFonts w:ascii="Palatino Linotype" w:eastAsiaTheme="minorHAnsi" w:hAnsi="Palatino Linotype" w:cs="Arial" w:hint="default"/>
        <w:b w:val="0"/>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8">
    <w:nsid w:val="58533E98"/>
    <w:multiLevelType w:val="hybridMultilevel"/>
    <w:tmpl w:val="404E3E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650F4BE2"/>
    <w:multiLevelType w:val="hybridMultilevel"/>
    <w:tmpl w:val="0F14E1AA"/>
    <w:lvl w:ilvl="0" w:tplc="080A000F">
      <w:start w:val="1"/>
      <w:numFmt w:val="decimal"/>
      <w:lvlText w:val="%1."/>
      <w:lvlJc w:val="left"/>
      <w:pPr>
        <w:ind w:left="782" w:hanging="360"/>
      </w:pPr>
    </w:lvl>
    <w:lvl w:ilvl="1" w:tplc="080A0019" w:tentative="1">
      <w:start w:val="1"/>
      <w:numFmt w:val="lowerLetter"/>
      <w:lvlText w:val="%2."/>
      <w:lvlJc w:val="left"/>
      <w:pPr>
        <w:ind w:left="1502" w:hanging="360"/>
      </w:pPr>
    </w:lvl>
    <w:lvl w:ilvl="2" w:tplc="080A001B" w:tentative="1">
      <w:start w:val="1"/>
      <w:numFmt w:val="lowerRoman"/>
      <w:lvlText w:val="%3."/>
      <w:lvlJc w:val="right"/>
      <w:pPr>
        <w:ind w:left="2222" w:hanging="180"/>
      </w:pPr>
    </w:lvl>
    <w:lvl w:ilvl="3" w:tplc="080A000F" w:tentative="1">
      <w:start w:val="1"/>
      <w:numFmt w:val="decimal"/>
      <w:lvlText w:val="%4."/>
      <w:lvlJc w:val="left"/>
      <w:pPr>
        <w:ind w:left="2942" w:hanging="360"/>
      </w:pPr>
    </w:lvl>
    <w:lvl w:ilvl="4" w:tplc="080A0019" w:tentative="1">
      <w:start w:val="1"/>
      <w:numFmt w:val="lowerLetter"/>
      <w:lvlText w:val="%5."/>
      <w:lvlJc w:val="left"/>
      <w:pPr>
        <w:ind w:left="3662" w:hanging="360"/>
      </w:pPr>
    </w:lvl>
    <w:lvl w:ilvl="5" w:tplc="080A001B" w:tentative="1">
      <w:start w:val="1"/>
      <w:numFmt w:val="lowerRoman"/>
      <w:lvlText w:val="%6."/>
      <w:lvlJc w:val="right"/>
      <w:pPr>
        <w:ind w:left="4382" w:hanging="180"/>
      </w:pPr>
    </w:lvl>
    <w:lvl w:ilvl="6" w:tplc="080A000F" w:tentative="1">
      <w:start w:val="1"/>
      <w:numFmt w:val="decimal"/>
      <w:lvlText w:val="%7."/>
      <w:lvlJc w:val="left"/>
      <w:pPr>
        <w:ind w:left="5102" w:hanging="360"/>
      </w:pPr>
    </w:lvl>
    <w:lvl w:ilvl="7" w:tplc="080A0019" w:tentative="1">
      <w:start w:val="1"/>
      <w:numFmt w:val="lowerLetter"/>
      <w:lvlText w:val="%8."/>
      <w:lvlJc w:val="left"/>
      <w:pPr>
        <w:ind w:left="5822" w:hanging="360"/>
      </w:pPr>
    </w:lvl>
    <w:lvl w:ilvl="8" w:tplc="080A001B" w:tentative="1">
      <w:start w:val="1"/>
      <w:numFmt w:val="lowerRoman"/>
      <w:lvlText w:val="%9."/>
      <w:lvlJc w:val="right"/>
      <w:pPr>
        <w:ind w:left="6542" w:hanging="180"/>
      </w:pPr>
    </w:lvl>
  </w:abstractNum>
  <w:abstractNum w:abstractNumId="10">
    <w:nsid w:val="6511199F"/>
    <w:multiLevelType w:val="hybridMultilevel"/>
    <w:tmpl w:val="4CF2790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nsid w:val="6A410C6F"/>
    <w:multiLevelType w:val="hybridMultilevel"/>
    <w:tmpl w:val="618A40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2">
    <w:nsid w:val="6AFA5381"/>
    <w:multiLevelType w:val="hybridMultilevel"/>
    <w:tmpl w:val="6420802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nsid w:val="70761D2B"/>
    <w:multiLevelType w:val="hybridMultilevel"/>
    <w:tmpl w:val="60E239D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6"/>
  </w:num>
  <w:num w:numId="4">
    <w:abstractNumId w:val="12"/>
  </w:num>
  <w:num w:numId="5">
    <w:abstractNumId w:val="1"/>
  </w:num>
  <w:num w:numId="6">
    <w:abstractNumId w:val="14"/>
  </w:num>
  <w:num w:numId="7">
    <w:abstractNumId w:val="2"/>
  </w:num>
  <w:num w:numId="8">
    <w:abstractNumId w:val="4"/>
  </w:num>
  <w:num w:numId="9">
    <w:abstractNumId w:val="3"/>
  </w:num>
  <w:num w:numId="10">
    <w:abstractNumId w:val="13"/>
  </w:num>
  <w:num w:numId="11">
    <w:abstractNumId w:val="10"/>
  </w:num>
  <w:num w:numId="12">
    <w:abstractNumId w:val="7"/>
  </w:num>
  <w:num w:numId="13">
    <w:abstractNumId w:val="8"/>
  </w:num>
  <w:num w:numId="14">
    <w:abstractNumId w:val="5"/>
  </w:num>
  <w:num w:numId="15">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1AB0"/>
    <w:rsid w:val="000026CF"/>
    <w:rsid w:val="00002B15"/>
    <w:rsid w:val="00003C82"/>
    <w:rsid w:val="00006FB9"/>
    <w:rsid w:val="00007DA3"/>
    <w:rsid w:val="000114DC"/>
    <w:rsid w:val="00012201"/>
    <w:rsid w:val="00012220"/>
    <w:rsid w:val="00014FD1"/>
    <w:rsid w:val="00015D83"/>
    <w:rsid w:val="000213BA"/>
    <w:rsid w:val="00022EAF"/>
    <w:rsid w:val="00023875"/>
    <w:rsid w:val="00026199"/>
    <w:rsid w:val="000306A7"/>
    <w:rsid w:val="00031605"/>
    <w:rsid w:val="00032CE7"/>
    <w:rsid w:val="0004190A"/>
    <w:rsid w:val="00041F04"/>
    <w:rsid w:val="000426E3"/>
    <w:rsid w:val="00045379"/>
    <w:rsid w:val="00045B3C"/>
    <w:rsid w:val="0004682D"/>
    <w:rsid w:val="00046F52"/>
    <w:rsid w:val="00047EAF"/>
    <w:rsid w:val="00050C8A"/>
    <w:rsid w:val="00055224"/>
    <w:rsid w:val="00061821"/>
    <w:rsid w:val="000623F9"/>
    <w:rsid w:val="00063A10"/>
    <w:rsid w:val="00063AE3"/>
    <w:rsid w:val="000655A3"/>
    <w:rsid w:val="000662F8"/>
    <w:rsid w:val="00066B01"/>
    <w:rsid w:val="00071571"/>
    <w:rsid w:val="00073CC6"/>
    <w:rsid w:val="00073E78"/>
    <w:rsid w:val="000833B0"/>
    <w:rsid w:val="00090745"/>
    <w:rsid w:val="00091552"/>
    <w:rsid w:val="00091C3A"/>
    <w:rsid w:val="00092586"/>
    <w:rsid w:val="00094155"/>
    <w:rsid w:val="00094C05"/>
    <w:rsid w:val="00096CA4"/>
    <w:rsid w:val="000A03E0"/>
    <w:rsid w:val="000A04D9"/>
    <w:rsid w:val="000A3486"/>
    <w:rsid w:val="000A378C"/>
    <w:rsid w:val="000A79DA"/>
    <w:rsid w:val="000B3E98"/>
    <w:rsid w:val="000B426F"/>
    <w:rsid w:val="000B4B51"/>
    <w:rsid w:val="000B6D7D"/>
    <w:rsid w:val="000B7158"/>
    <w:rsid w:val="000B7D23"/>
    <w:rsid w:val="000C06C3"/>
    <w:rsid w:val="000C0F57"/>
    <w:rsid w:val="000C51A0"/>
    <w:rsid w:val="000C5B8B"/>
    <w:rsid w:val="000D1B34"/>
    <w:rsid w:val="000D1B55"/>
    <w:rsid w:val="000D3C75"/>
    <w:rsid w:val="000D63DF"/>
    <w:rsid w:val="000D6422"/>
    <w:rsid w:val="000E0F23"/>
    <w:rsid w:val="000E2252"/>
    <w:rsid w:val="000E365E"/>
    <w:rsid w:val="000E5F05"/>
    <w:rsid w:val="000E686B"/>
    <w:rsid w:val="000F1FAB"/>
    <w:rsid w:val="000F2554"/>
    <w:rsid w:val="000F4793"/>
    <w:rsid w:val="000F761E"/>
    <w:rsid w:val="00103325"/>
    <w:rsid w:val="0010372C"/>
    <w:rsid w:val="00105C41"/>
    <w:rsid w:val="00111DCD"/>
    <w:rsid w:val="00113D3E"/>
    <w:rsid w:val="00114CF9"/>
    <w:rsid w:val="00115F16"/>
    <w:rsid w:val="001164A1"/>
    <w:rsid w:val="001179DB"/>
    <w:rsid w:val="00121ED7"/>
    <w:rsid w:val="00122EC2"/>
    <w:rsid w:val="00124855"/>
    <w:rsid w:val="001249A0"/>
    <w:rsid w:val="001254F5"/>
    <w:rsid w:val="00132631"/>
    <w:rsid w:val="00136FAD"/>
    <w:rsid w:val="0014029B"/>
    <w:rsid w:val="00146C08"/>
    <w:rsid w:val="00146F0A"/>
    <w:rsid w:val="001523D1"/>
    <w:rsid w:val="00152C2B"/>
    <w:rsid w:val="0015319B"/>
    <w:rsid w:val="00156EC9"/>
    <w:rsid w:val="001611CC"/>
    <w:rsid w:val="001612E6"/>
    <w:rsid w:val="00161D54"/>
    <w:rsid w:val="00162A4D"/>
    <w:rsid w:val="001649A0"/>
    <w:rsid w:val="00166ECB"/>
    <w:rsid w:val="001678DF"/>
    <w:rsid w:val="00172C77"/>
    <w:rsid w:val="00172CEE"/>
    <w:rsid w:val="00173E45"/>
    <w:rsid w:val="00173EE8"/>
    <w:rsid w:val="00175897"/>
    <w:rsid w:val="00176157"/>
    <w:rsid w:val="00180B9F"/>
    <w:rsid w:val="00181CC5"/>
    <w:rsid w:val="00182911"/>
    <w:rsid w:val="0018726A"/>
    <w:rsid w:val="00193784"/>
    <w:rsid w:val="0019396C"/>
    <w:rsid w:val="001957D7"/>
    <w:rsid w:val="001A02EC"/>
    <w:rsid w:val="001A1D9B"/>
    <w:rsid w:val="001A1FF5"/>
    <w:rsid w:val="001A2E07"/>
    <w:rsid w:val="001A318E"/>
    <w:rsid w:val="001A577E"/>
    <w:rsid w:val="001A7C9B"/>
    <w:rsid w:val="001B05B9"/>
    <w:rsid w:val="001B48E2"/>
    <w:rsid w:val="001B7B88"/>
    <w:rsid w:val="001C01B7"/>
    <w:rsid w:val="001C1363"/>
    <w:rsid w:val="001C2D1E"/>
    <w:rsid w:val="001C3E7E"/>
    <w:rsid w:val="001C5B3C"/>
    <w:rsid w:val="001C7319"/>
    <w:rsid w:val="001C7D87"/>
    <w:rsid w:val="001D3DE9"/>
    <w:rsid w:val="001D3E87"/>
    <w:rsid w:val="001D4438"/>
    <w:rsid w:val="001D4669"/>
    <w:rsid w:val="001D7575"/>
    <w:rsid w:val="001E20F2"/>
    <w:rsid w:val="001E456C"/>
    <w:rsid w:val="001E524B"/>
    <w:rsid w:val="001F3F3C"/>
    <w:rsid w:val="001F4025"/>
    <w:rsid w:val="00202B9E"/>
    <w:rsid w:val="00207505"/>
    <w:rsid w:val="00211C66"/>
    <w:rsid w:val="0021296D"/>
    <w:rsid w:val="00212CB5"/>
    <w:rsid w:val="0021501E"/>
    <w:rsid w:val="00215A83"/>
    <w:rsid w:val="00216ABF"/>
    <w:rsid w:val="00217852"/>
    <w:rsid w:val="00220339"/>
    <w:rsid w:val="002205C0"/>
    <w:rsid w:val="00226760"/>
    <w:rsid w:val="002303A7"/>
    <w:rsid w:val="00231D77"/>
    <w:rsid w:val="002324F1"/>
    <w:rsid w:val="0023373D"/>
    <w:rsid w:val="0023423C"/>
    <w:rsid w:val="00236C82"/>
    <w:rsid w:val="0024638F"/>
    <w:rsid w:val="00246807"/>
    <w:rsid w:val="00247537"/>
    <w:rsid w:val="00247D10"/>
    <w:rsid w:val="00250470"/>
    <w:rsid w:val="00252985"/>
    <w:rsid w:val="002577FE"/>
    <w:rsid w:val="002578DC"/>
    <w:rsid w:val="00266E00"/>
    <w:rsid w:val="002674C9"/>
    <w:rsid w:val="00271EED"/>
    <w:rsid w:val="002725E3"/>
    <w:rsid w:val="00273D0E"/>
    <w:rsid w:val="0028788A"/>
    <w:rsid w:val="002915F2"/>
    <w:rsid w:val="00292885"/>
    <w:rsid w:val="002942AD"/>
    <w:rsid w:val="00297140"/>
    <w:rsid w:val="00297368"/>
    <w:rsid w:val="002A0104"/>
    <w:rsid w:val="002A2034"/>
    <w:rsid w:val="002A24F4"/>
    <w:rsid w:val="002A38BF"/>
    <w:rsid w:val="002A597E"/>
    <w:rsid w:val="002B1410"/>
    <w:rsid w:val="002B1C1D"/>
    <w:rsid w:val="002B4228"/>
    <w:rsid w:val="002B5069"/>
    <w:rsid w:val="002B5DBD"/>
    <w:rsid w:val="002B70DD"/>
    <w:rsid w:val="002C51F7"/>
    <w:rsid w:val="002C72D2"/>
    <w:rsid w:val="002D155E"/>
    <w:rsid w:val="002D29D7"/>
    <w:rsid w:val="002D4C5A"/>
    <w:rsid w:val="002D560C"/>
    <w:rsid w:val="002D64A8"/>
    <w:rsid w:val="002D662C"/>
    <w:rsid w:val="002E0A1A"/>
    <w:rsid w:val="002E1E52"/>
    <w:rsid w:val="002E2D7B"/>
    <w:rsid w:val="002E3488"/>
    <w:rsid w:val="002E4703"/>
    <w:rsid w:val="002E5721"/>
    <w:rsid w:val="002E5E6A"/>
    <w:rsid w:val="002F0D76"/>
    <w:rsid w:val="002F37BE"/>
    <w:rsid w:val="002F5A7C"/>
    <w:rsid w:val="002F5BA9"/>
    <w:rsid w:val="002F700B"/>
    <w:rsid w:val="00300D0B"/>
    <w:rsid w:val="0030471E"/>
    <w:rsid w:val="00306096"/>
    <w:rsid w:val="00306848"/>
    <w:rsid w:val="00311566"/>
    <w:rsid w:val="0031645D"/>
    <w:rsid w:val="0032070D"/>
    <w:rsid w:val="00320A67"/>
    <w:rsid w:val="0032220E"/>
    <w:rsid w:val="003266DA"/>
    <w:rsid w:val="003272FB"/>
    <w:rsid w:val="00330F3C"/>
    <w:rsid w:val="003349F3"/>
    <w:rsid w:val="003406C5"/>
    <w:rsid w:val="003410F2"/>
    <w:rsid w:val="003457EC"/>
    <w:rsid w:val="003507D3"/>
    <w:rsid w:val="00352642"/>
    <w:rsid w:val="0035341B"/>
    <w:rsid w:val="00353C25"/>
    <w:rsid w:val="00356483"/>
    <w:rsid w:val="00356E3E"/>
    <w:rsid w:val="00357457"/>
    <w:rsid w:val="00357975"/>
    <w:rsid w:val="00361B9C"/>
    <w:rsid w:val="0036339F"/>
    <w:rsid w:val="00364209"/>
    <w:rsid w:val="00365DA0"/>
    <w:rsid w:val="00367CC7"/>
    <w:rsid w:val="003733F5"/>
    <w:rsid w:val="003749D9"/>
    <w:rsid w:val="00375BBA"/>
    <w:rsid w:val="00376CEC"/>
    <w:rsid w:val="00380010"/>
    <w:rsid w:val="00380758"/>
    <w:rsid w:val="003812E0"/>
    <w:rsid w:val="003869DF"/>
    <w:rsid w:val="00387A7A"/>
    <w:rsid w:val="00394A1E"/>
    <w:rsid w:val="00397C0C"/>
    <w:rsid w:val="003A378D"/>
    <w:rsid w:val="003A61F9"/>
    <w:rsid w:val="003B1E88"/>
    <w:rsid w:val="003B4030"/>
    <w:rsid w:val="003B5229"/>
    <w:rsid w:val="003B5FD0"/>
    <w:rsid w:val="003C3A96"/>
    <w:rsid w:val="003C4F65"/>
    <w:rsid w:val="003C5DEB"/>
    <w:rsid w:val="003D08E9"/>
    <w:rsid w:val="003D2D99"/>
    <w:rsid w:val="003D78A3"/>
    <w:rsid w:val="003E05A5"/>
    <w:rsid w:val="003E128A"/>
    <w:rsid w:val="003E16E1"/>
    <w:rsid w:val="003E5144"/>
    <w:rsid w:val="003F3A54"/>
    <w:rsid w:val="003F50F0"/>
    <w:rsid w:val="004012CF"/>
    <w:rsid w:val="00402A46"/>
    <w:rsid w:val="00402FF3"/>
    <w:rsid w:val="00403A1E"/>
    <w:rsid w:val="004061EF"/>
    <w:rsid w:val="004069EB"/>
    <w:rsid w:val="004071A7"/>
    <w:rsid w:val="00412901"/>
    <w:rsid w:val="00417E4F"/>
    <w:rsid w:val="004209B6"/>
    <w:rsid w:val="00423213"/>
    <w:rsid w:val="00423ECD"/>
    <w:rsid w:val="0042416D"/>
    <w:rsid w:val="00424EEC"/>
    <w:rsid w:val="00426B98"/>
    <w:rsid w:val="0042798A"/>
    <w:rsid w:val="00433D7C"/>
    <w:rsid w:val="00433F2D"/>
    <w:rsid w:val="00442582"/>
    <w:rsid w:val="00442C1A"/>
    <w:rsid w:val="00446798"/>
    <w:rsid w:val="004469CB"/>
    <w:rsid w:val="004512DF"/>
    <w:rsid w:val="004516EB"/>
    <w:rsid w:val="004529B6"/>
    <w:rsid w:val="00453DBD"/>
    <w:rsid w:val="00454CE6"/>
    <w:rsid w:val="00455C30"/>
    <w:rsid w:val="00462881"/>
    <w:rsid w:val="004638A9"/>
    <w:rsid w:val="004639CF"/>
    <w:rsid w:val="004668C1"/>
    <w:rsid w:val="00472678"/>
    <w:rsid w:val="00473342"/>
    <w:rsid w:val="00475F48"/>
    <w:rsid w:val="00477CC2"/>
    <w:rsid w:val="00480B6A"/>
    <w:rsid w:val="0048180A"/>
    <w:rsid w:val="00481C7A"/>
    <w:rsid w:val="004855D1"/>
    <w:rsid w:val="004857CF"/>
    <w:rsid w:val="00486D61"/>
    <w:rsid w:val="0049054A"/>
    <w:rsid w:val="004906C8"/>
    <w:rsid w:val="004924B8"/>
    <w:rsid w:val="004967E2"/>
    <w:rsid w:val="00496BE7"/>
    <w:rsid w:val="004A0857"/>
    <w:rsid w:val="004A290F"/>
    <w:rsid w:val="004A5FFD"/>
    <w:rsid w:val="004A6DC2"/>
    <w:rsid w:val="004A7C3E"/>
    <w:rsid w:val="004A7CE2"/>
    <w:rsid w:val="004B15D1"/>
    <w:rsid w:val="004B38AC"/>
    <w:rsid w:val="004B7109"/>
    <w:rsid w:val="004D019D"/>
    <w:rsid w:val="004D08EB"/>
    <w:rsid w:val="004D0C64"/>
    <w:rsid w:val="004D2B23"/>
    <w:rsid w:val="004D2C8F"/>
    <w:rsid w:val="004D2D18"/>
    <w:rsid w:val="004E0136"/>
    <w:rsid w:val="004E1318"/>
    <w:rsid w:val="004E2371"/>
    <w:rsid w:val="004E6BE9"/>
    <w:rsid w:val="004F17FE"/>
    <w:rsid w:val="00503655"/>
    <w:rsid w:val="005037B3"/>
    <w:rsid w:val="005039A0"/>
    <w:rsid w:val="00504FB2"/>
    <w:rsid w:val="00506846"/>
    <w:rsid w:val="00512DA7"/>
    <w:rsid w:val="00515090"/>
    <w:rsid w:val="005202C4"/>
    <w:rsid w:val="00520D7E"/>
    <w:rsid w:val="005211D9"/>
    <w:rsid w:val="00521E57"/>
    <w:rsid w:val="00522FD2"/>
    <w:rsid w:val="005245A9"/>
    <w:rsid w:val="00524E8D"/>
    <w:rsid w:val="005305C0"/>
    <w:rsid w:val="005305EA"/>
    <w:rsid w:val="00530F74"/>
    <w:rsid w:val="00531170"/>
    <w:rsid w:val="00531E18"/>
    <w:rsid w:val="00535F50"/>
    <w:rsid w:val="005371E7"/>
    <w:rsid w:val="005404AB"/>
    <w:rsid w:val="00540538"/>
    <w:rsid w:val="00540ACB"/>
    <w:rsid w:val="00545E93"/>
    <w:rsid w:val="005472FB"/>
    <w:rsid w:val="0054773D"/>
    <w:rsid w:val="00547D93"/>
    <w:rsid w:val="005520FE"/>
    <w:rsid w:val="005523D5"/>
    <w:rsid w:val="00556513"/>
    <w:rsid w:val="005575CB"/>
    <w:rsid w:val="0056015B"/>
    <w:rsid w:val="0056134C"/>
    <w:rsid w:val="00562653"/>
    <w:rsid w:val="00567998"/>
    <w:rsid w:val="00572979"/>
    <w:rsid w:val="005733EB"/>
    <w:rsid w:val="00575651"/>
    <w:rsid w:val="005759BB"/>
    <w:rsid w:val="00576BCC"/>
    <w:rsid w:val="005803A1"/>
    <w:rsid w:val="00580802"/>
    <w:rsid w:val="00581A22"/>
    <w:rsid w:val="00582A33"/>
    <w:rsid w:val="0058671A"/>
    <w:rsid w:val="00587275"/>
    <w:rsid w:val="00591F2A"/>
    <w:rsid w:val="00593E91"/>
    <w:rsid w:val="00594DED"/>
    <w:rsid w:val="005A0B49"/>
    <w:rsid w:val="005A5930"/>
    <w:rsid w:val="005A6D57"/>
    <w:rsid w:val="005B36D5"/>
    <w:rsid w:val="005B5B70"/>
    <w:rsid w:val="005B5F05"/>
    <w:rsid w:val="005B60F0"/>
    <w:rsid w:val="005C04BB"/>
    <w:rsid w:val="005C123F"/>
    <w:rsid w:val="005C6605"/>
    <w:rsid w:val="005C6982"/>
    <w:rsid w:val="005D09CB"/>
    <w:rsid w:val="005D15A3"/>
    <w:rsid w:val="005D1602"/>
    <w:rsid w:val="005D2B59"/>
    <w:rsid w:val="005D362F"/>
    <w:rsid w:val="005D370F"/>
    <w:rsid w:val="005E2749"/>
    <w:rsid w:val="005E46D0"/>
    <w:rsid w:val="005E48E4"/>
    <w:rsid w:val="005E4D7C"/>
    <w:rsid w:val="005E5834"/>
    <w:rsid w:val="005E74B7"/>
    <w:rsid w:val="005F048E"/>
    <w:rsid w:val="005F4734"/>
    <w:rsid w:val="005F4A8C"/>
    <w:rsid w:val="005F57F0"/>
    <w:rsid w:val="005F7598"/>
    <w:rsid w:val="00600B92"/>
    <w:rsid w:val="00605861"/>
    <w:rsid w:val="00607168"/>
    <w:rsid w:val="0061042F"/>
    <w:rsid w:val="00610C37"/>
    <w:rsid w:val="006114BA"/>
    <w:rsid w:val="006168E4"/>
    <w:rsid w:val="00624EB5"/>
    <w:rsid w:val="00626A70"/>
    <w:rsid w:val="006323CA"/>
    <w:rsid w:val="006329AB"/>
    <w:rsid w:val="00633DE8"/>
    <w:rsid w:val="006360F3"/>
    <w:rsid w:val="00636327"/>
    <w:rsid w:val="006369B4"/>
    <w:rsid w:val="00637512"/>
    <w:rsid w:val="00640B6D"/>
    <w:rsid w:val="00640EE4"/>
    <w:rsid w:val="006466F5"/>
    <w:rsid w:val="0064761A"/>
    <w:rsid w:val="00650C5E"/>
    <w:rsid w:val="0065263E"/>
    <w:rsid w:val="00652A6B"/>
    <w:rsid w:val="00654718"/>
    <w:rsid w:val="00657DAD"/>
    <w:rsid w:val="00660C59"/>
    <w:rsid w:val="00661753"/>
    <w:rsid w:val="006620AC"/>
    <w:rsid w:val="00667DD9"/>
    <w:rsid w:val="00677379"/>
    <w:rsid w:val="006848B7"/>
    <w:rsid w:val="00686FD5"/>
    <w:rsid w:val="00690A08"/>
    <w:rsid w:val="00697278"/>
    <w:rsid w:val="006A04CA"/>
    <w:rsid w:val="006A2BEC"/>
    <w:rsid w:val="006A4785"/>
    <w:rsid w:val="006B10D7"/>
    <w:rsid w:val="006B1953"/>
    <w:rsid w:val="006B1BF1"/>
    <w:rsid w:val="006B26E3"/>
    <w:rsid w:val="006B34A6"/>
    <w:rsid w:val="006B4B63"/>
    <w:rsid w:val="006B5DDC"/>
    <w:rsid w:val="006B68FC"/>
    <w:rsid w:val="006B7294"/>
    <w:rsid w:val="006B7444"/>
    <w:rsid w:val="006C4A25"/>
    <w:rsid w:val="006C698B"/>
    <w:rsid w:val="006D17AB"/>
    <w:rsid w:val="006D1F6B"/>
    <w:rsid w:val="006D23FC"/>
    <w:rsid w:val="006D7FD9"/>
    <w:rsid w:val="006E0F12"/>
    <w:rsid w:val="006E135A"/>
    <w:rsid w:val="006E7563"/>
    <w:rsid w:val="006F3C14"/>
    <w:rsid w:val="006F53CB"/>
    <w:rsid w:val="006F5F55"/>
    <w:rsid w:val="00701033"/>
    <w:rsid w:val="00701B61"/>
    <w:rsid w:val="00702C82"/>
    <w:rsid w:val="00703614"/>
    <w:rsid w:val="0070449C"/>
    <w:rsid w:val="007164CD"/>
    <w:rsid w:val="007172F5"/>
    <w:rsid w:val="00717E41"/>
    <w:rsid w:val="0072689F"/>
    <w:rsid w:val="007316B6"/>
    <w:rsid w:val="00732104"/>
    <w:rsid w:val="00736D41"/>
    <w:rsid w:val="00741327"/>
    <w:rsid w:val="00742EAF"/>
    <w:rsid w:val="00744EEF"/>
    <w:rsid w:val="007456B7"/>
    <w:rsid w:val="00754CAE"/>
    <w:rsid w:val="007568AD"/>
    <w:rsid w:val="00763C1A"/>
    <w:rsid w:val="00770CD1"/>
    <w:rsid w:val="00770FCE"/>
    <w:rsid w:val="00771AC2"/>
    <w:rsid w:val="00772E31"/>
    <w:rsid w:val="007748C4"/>
    <w:rsid w:val="00774A9C"/>
    <w:rsid w:val="00777164"/>
    <w:rsid w:val="00777333"/>
    <w:rsid w:val="00780B57"/>
    <w:rsid w:val="00781530"/>
    <w:rsid w:val="007830E9"/>
    <w:rsid w:val="007835B9"/>
    <w:rsid w:val="00783A07"/>
    <w:rsid w:val="007851D5"/>
    <w:rsid w:val="00787D06"/>
    <w:rsid w:val="0079206E"/>
    <w:rsid w:val="0079486A"/>
    <w:rsid w:val="00794F80"/>
    <w:rsid w:val="0079735D"/>
    <w:rsid w:val="007A1C9E"/>
    <w:rsid w:val="007A3206"/>
    <w:rsid w:val="007A4692"/>
    <w:rsid w:val="007B0046"/>
    <w:rsid w:val="007B2303"/>
    <w:rsid w:val="007B2C77"/>
    <w:rsid w:val="007B3414"/>
    <w:rsid w:val="007B403C"/>
    <w:rsid w:val="007B68F7"/>
    <w:rsid w:val="007C4168"/>
    <w:rsid w:val="007C45D8"/>
    <w:rsid w:val="007D1A27"/>
    <w:rsid w:val="007D1B24"/>
    <w:rsid w:val="007D1F15"/>
    <w:rsid w:val="007D25B1"/>
    <w:rsid w:val="007D2878"/>
    <w:rsid w:val="007D3203"/>
    <w:rsid w:val="007D4303"/>
    <w:rsid w:val="007D6CF8"/>
    <w:rsid w:val="007E0EE4"/>
    <w:rsid w:val="007E6161"/>
    <w:rsid w:val="007E7BAB"/>
    <w:rsid w:val="007E7DCE"/>
    <w:rsid w:val="007F1441"/>
    <w:rsid w:val="007F20AC"/>
    <w:rsid w:val="007F53A0"/>
    <w:rsid w:val="007F7A92"/>
    <w:rsid w:val="0080158F"/>
    <w:rsid w:val="008024BA"/>
    <w:rsid w:val="00802C56"/>
    <w:rsid w:val="00807A3D"/>
    <w:rsid w:val="00811205"/>
    <w:rsid w:val="00812C48"/>
    <w:rsid w:val="008146F9"/>
    <w:rsid w:val="00817A08"/>
    <w:rsid w:val="00822215"/>
    <w:rsid w:val="00824DCD"/>
    <w:rsid w:val="00830560"/>
    <w:rsid w:val="00833011"/>
    <w:rsid w:val="00836B8D"/>
    <w:rsid w:val="008427E4"/>
    <w:rsid w:val="00843314"/>
    <w:rsid w:val="00844569"/>
    <w:rsid w:val="008466EC"/>
    <w:rsid w:val="008474E1"/>
    <w:rsid w:val="00847D23"/>
    <w:rsid w:val="0085196B"/>
    <w:rsid w:val="0085268C"/>
    <w:rsid w:val="00853BED"/>
    <w:rsid w:val="00863327"/>
    <w:rsid w:val="0086675B"/>
    <w:rsid w:val="00866F25"/>
    <w:rsid w:val="00870F44"/>
    <w:rsid w:val="00871DC1"/>
    <w:rsid w:val="008724F6"/>
    <w:rsid w:val="00884054"/>
    <w:rsid w:val="00886305"/>
    <w:rsid w:val="00887CDA"/>
    <w:rsid w:val="00891C7A"/>
    <w:rsid w:val="008936E7"/>
    <w:rsid w:val="00894792"/>
    <w:rsid w:val="00895089"/>
    <w:rsid w:val="008951ED"/>
    <w:rsid w:val="008963E2"/>
    <w:rsid w:val="008A0A23"/>
    <w:rsid w:val="008A16AD"/>
    <w:rsid w:val="008A3F42"/>
    <w:rsid w:val="008A68CA"/>
    <w:rsid w:val="008A75BE"/>
    <w:rsid w:val="008B02FB"/>
    <w:rsid w:val="008B0679"/>
    <w:rsid w:val="008B3A59"/>
    <w:rsid w:val="008B42B1"/>
    <w:rsid w:val="008B5224"/>
    <w:rsid w:val="008B6135"/>
    <w:rsid w:val="008B7382"/>
    <w:rsid w:val="008C0375"/>
    <w:rsid w:val="008C32A8"/>
    <w:rsid w:val="008C55A3"/>
    <w:rsid w:val="008C5A03"/>
    <w:rsid w:val="008C5E94"/>
    <w:rsid w:val="008D038F"/>
    <w:rsid w:val="008D0938"/>
    <w:rsid w:val="008D1D2A"/>
    <w:rsid w:val="008D4154"/>
    <w:rsid w:val="008D4EB7"/>
    <w:rsid w:val="008D6297"/>
    <w:rsid w:val="008D6D04"/>
    <w:rsid w:val="008E3791"/>
    <w:rsid w:val="008E6375"/>
    <w:rsid w:val="008F0117"/>
    <w:rsid w:val="008F4C65"/>
    <w:rsid w:val="00905422"/>
    <w:rsid w:val="00911139"/>
    <w:rsid w:val="00913133"/>
    <w:rsid w:val="00913221"/>
    <w:rsid w:val="00913F84"/>
    <w:rsid w:val="00920128"/>
    <w:rsid w:val="00921DB9"/>
    <w:rsid w:val="0092403D"/>
    <w:rsid w:val="009268BB"/>
    <w:rsid w:val="00926D4D"/>
    <w:rsid w:val="00933F50"/>
    <w:rsid w:val="00934A31"/>
    <w:rsid w:val="00935D2F"/>
    <w:rsid w:val="00936B04"/>
    <w:rsid w:val="00940116"/>
    <w:rsid w:val="009402DB"/>
    <w:rsid w:val="00942BC7"/>
    <w:rsid w:val="009449B8"/>
    <w:rsid w:val="00944DC9"/>
    <w:rsid w:val="00945479"/>
    <w:rsid w:val="00946380"/>
    <w:rsid w:val="009464B0"/>
    <w:rsid w:val="00947A9B"/>
    <w:rsid w:val="009502C8"/>
    <w:rsid w:val="009517DA"/>
    <w:rsid w:val="00956C26"/>
    <w:rsid w:val="0095731A"/>
    <w:rsid w:val="009611E0"/>
    <w:rsid w:val="00961369"/>
    <w:rsid w:val="00964DA7"/>
    <w:rsid w:val="0096593A"/>
    <w:rsid w:val="00965B02"/>
    <w:rsid w:val="00965FEE"/>
    <w:rsid w:val="0096643B"/>
    <w:rsid w:val="009706B5"/>
    <w:rsid w:val="00970CB5"/>
    <w:rsid w:val="00972BDF"/>
    <w:rsid w:val="0098182D"/>
    <w:rsid w:val="00990C92"/>
    <w:rsid w:val="00991F20"/>
    <w:rsid w:val="009923E0"/>
    <w:rsid w:val="00994FEC"/>
    <w:rsid w:val="009950AD"/>
    <w:rsid w:val="00997E87"/>
    <w:rsid w:val="009A0AF8"/>
    <w:rsid w:val="009A1139"/>
    <w:rsid w:val="009A3D4D"/>
    <w:rsid w:val="009A49FE"/>
    <w:rsid w:val="009A686F"/>
    <w:rsid w:val="009A77EC"/>
    <w:rsid w:val="009A7DBA"/>
    <w:rsid w:val="009B33A8"/>
    <w:rsid w:val="009B3487"/>
    <w:rsid w:val="009B5FB5"/>
    <w:rsid w:val="009B7C61"/>
    <w:rsid w:val="009C2422"/>
    <w:rsid w:val="009C2AE5"/>
    <w:rsid w:val="009C3793"/>
    <w:rsid w:val="009C5799"/>
    <w:rsid w:val="009C5DB9"/>
    <w:rsid w:val="009C7074"/>
    <w:rsid w:val="009D25FE"/>
    <w:rsid w:val="009D4624"/>
    <w:rsid w:val="009E0867"/>
    <w:rsid w:val="009E1411"/>
    <w:rsid w:val="009E45A0"/>
    <w:rsid w:val="009E49A3"/>
    <w:rsid w:val="009E52F2"/>
    <w:rsid w:val="009F0515"/>
    <w:rsid w:val="009F1A4C"/>
    <w:rsid w:val="009F3C1F"/>
    <w:rsid w:val="009F614E"/>
    <w:rsid w:val="009F6571"/>
    <w:rsid w:val="009F762B"/>
    <w:rsid w:val="00A00E96"/>
    <w:rsid w:val="00A02047"/>
    <w:rsid w:val="00A036BE"/>
    <w:rsid w:val="00A05F7D"/>
    <w:rsid w:val="00A06487"/>
    <w:rsid w:val="00A12205"/>
    <w:rsid w:val="00A155B9"/>
    <w:rsid w:val="00A214B4"/>
    <w:rsid w:val="00A2781C"/>
    <w:rsid w:val="00A32D63"/>
    <w:rsid w:val="00A345F6"/>
    <w:rsid w:val="00A348B5"/>
    <w:rsid w:val="00A34DDD"/>
    <w:rsid w:val="00A4436A"/>
    <w:rsid w:val="00A453DC"/>
    <w:rsid w:val="00A45721"/>
    <w:rsid w:val="00A457D1"/>
    <w:rsid w:val="00A47E87"/>
    <w:rsid w:val="00A516E8"/>
    <w:rsid w:val="00A520C9"/>
    <w:rsid w:val="00A525D9"/>
    <w:rsid w:val="00A52AAE"/>
    <w:rsid w:val="00A565E7"/>
    <w:rsid w:val="00A6185A"/>
    <w:rsid w:val="00A625E2"/>
    <w:rsid w:val="00A67B13"/>
    <w:rsid w:val="00A71080"/>
    <w:rsid w:val="00A72465"/>
    <w:rsid w:val="00A72DCB"/>
    <w:rsid w:val="00A75001"/>
    <w:rsid w:val="00A80C92"/>
    <w:rsid w:val="00A82461"/>
    <w:rsid w:val="00A83323"/>
    <w:rsid w:val="00A84C03"/>
    <w:rsid w:val="00A85006"/>
    <w:rsid w:val="00A851D8"/>
    <w:rsid w:val="00A86352"/>
    <w:rsid w:val="00A90295"/>
    <w:rsid w:val="00A9227B"/>
    <w:rsid w:val="00A93540"/>
    <w:rsid w:val="00A947F1"/>
    <w:rsid w:val="00A953BA"/>
    <w:rsid w:val="00AA1A2C"/>
    <w:rsid w:val="00AA207C"/>
    <w:rsid w:val="00AA225A"/>
    <w:rsid w:val="00AA5D62"/>
    <w:rsid w:val="00AB3710"/>
    <w:rsid w:val="00AB37EB"/>
    <w:rsid w:val="00AB4B0F"/>
    <w:rsid w:val="00AB535D"/>
    <w:rsid w:val="00AB6C3B"/>
    <w:rsid w:val="00AC1971"/>
    <w:rsid w:val="00AD15A7"/>
    <w:rsid w:val="00AD6BEE"/>
    <w:rsid w:val="00AE008F"/>
    <w:rsid w:val="00AE1EF2"/>
    <w:rsid w:val="00AE33FE"/>
    <w:rsid w:val="00AE403B"/>
    <w:rsid w:val="00AF1248"/>
    <w:rsid w:val="00AF55AC"/>
    <w:rsid w:val="00B07D6D"/>
    <w:rsid w:val="00B1003A"/>
    <w:rsid w:val="00B11E08"/>
    <w:rsid w:val="00B12E48"/>
    <w:rsid w:val="00B13C33"/>
    <w:rsid w:val="00B26C37"/>
    <w:rsid w:val="00B32CD3"/>
    <w:rsid w:val="00B34FF2"/>
    <w:rsid w:val="00B35A93"/>
    <w:rsid w:val="00B3635B"/>
    <w:rsid w:val="00B3672D"/>
    <w:rsid w:val="00B36D2B"/>
    <w:rsid w:val="00B373A2"/>
    <w:rsid w:val="00B47192"/>
    <w:rsid w:val="00B4745C"/>
    <w:rsid w:val="00B477AC"/>
    <w:rsid w:val="00B60699"/>
    <w:rsid w:val="00B61D75"/>
    <w:rsid w:val="00B62F0D"/>
    <w:rsid w:val="00B66DB3"/>
    <w:rsid w:val="00B7258D"/>
    <w:rsid w:val="00B72B0F"/>
    <w:rsid w:val="00B72D1B"/>
    <w:rsid w:val="00B741B2"/>
    <w:rsid w:val="00B75A86"/>
    <w:rsid w:val="00B80028"/>
    <w:rsid w:val="00B833EA"/>
    <w:rsid w:val="00B85271"/>
    <w:rsid w:val="00B85EF3"/>
    <w:rsid w:val="00B9223B"/>
    <w:rsid w:val="00B926B2"/>
    <w:rsid w:val="00B97604"/>
    <w:rsid w:val="00BA11EC"/>
    <w:rsid w:val="00BA4D1F"/>
    <w:rsid w:val="00BA7AD1"/>
    <w:rsid w:val="00BB04EC"/>
    <w:rsid w:val="00BB2250"/>
    <w:rsid w:val="00BB4A68"/>
    <w:rsid w:val="00BB739A"/>
    <w:rsid w:val="00BC0613"/>
    <w:rsid w:val="00BC0FDD"/>
    <w:rsid w:val="00BC14E6"/>
    <w:rsid w:val="00BC22E0"/>
    <w:rsid w:val="00BD30FE"/>
    <w:rsid w:val="00BD65B1"/>
    <w:rsid w:val="00BE0F79"/>
    <w:rsid w:val="00BE21EF"/>
    <w:rsid w:val="00BE28ED"/>
    <w:rsid w:val="00BE3E18"/>
    <w:rsid w:val="00BE673B"/>
    <w:rsid w:val="00BE688D"/>
    <w:rsid w:val="00BE7C9B"/>
    <w:rsid w:val="00BF01A7"/>
    <w:rsid w:val="00BF0A4C"/>
    <w:rsid w:val="00BF0D34"/>
    <w:rsid w:val="00BF1ECA"/>
    <w:rsid w:val="00BF3F7C"/>
    <w:rsid w:val="00C00463"/>
    <w:rsid w:val="00C0147E"/>
    <w:rsid w:val="00C03F20"/>
    <w:rsid w:val="00C04FE4"/>
    <w:rsid w:val="00C219E6"/>
    <w:rsid w:val="00C25084"/>
    <w:rsid w:val="00C27903"/>
    <w:rsid w:val="00C30A4F"/>
    <w:rsid w:val="00C31401"/>
    <w:rsid w:val="00C41665"/>
    <w:rsid w:val="00C41758"/>
    <w:rsid w:val="00C429E1"/>
    <w:rsid w:val="00C45135"/>
    <w:rsid w:val="00C462F8"/>
    <w:rsid w:val="00C653F2"/>
    <w:rsid w:val="00C70B66"/>
    <w:rsid w:val="00C71CD1"/>
    <w:rsid w:val="00C73143"/>
    <w:rsid w:val="00C77685"/>
    <w:rsid w:val="00C77815"/>
    <w:rsid w:val="00C80100"/>
    <w:rsid w:val="00C8239D"/>
    <w:rsid w:val="00C84901"/>
    <w:rsid w:val="00C8491D"/>
    <w:rsid w:val="00C85378"/>
    <w:rsid w:val="00C928F1"/>
    <w:rsid w:val="00C9297C"/>
    <w:rsid w:val="00C940B5"/>
    <w:rsid w:val="00C9700F"/>
    <w:rsid w:val="00CA201A"/>
    <w:rsid w:val="00CA621B"/>
    <w:rsid w:val="00CA6FDA"/>
    <w:rsid w:val="00CB0AFB"/>
    <w:rsid w:val="00CB266D"/>
    <w:rsid w:val="00CB3B6F"/>
    <w:rsid w:val="00CC0C5F"/>
    <w:rsid w:val="00CC14B6"/>
    <w:rsid w:val="00CC2F3D"/>
    <w:rsid w:val="00CC3508"/>
    <w:rsid w:val="00CC5144"/>
    <w:rsid w:val="00CC5FF3"/>
    <w:rsid w:val="00CD08E2"/>
    <w:rsid w:val="00CD422C"/>
    <w:rsid w:val="00CD783C"/>
    <w:rsid w:val="00CE2ADF"/>
    <w:rsid w:val="00CE3713"/>
    <w:rsid w:val="00CF0807"/>
    <w:rsid w:val="00CF1976"/>
    <w:rsid w:val="00CF1D7D"/>
    <w:rsid w:val="00CF45D3"/>
    <w:rsid w:val="00CF5787"/>
    <w:rsid w:val="00CF6B6C"/>
    <w:rsid w:val="00D01197"/>
    <w:rsid w:val="00D042BB"/>
    <w:rsid w:val="00D058B0"/>
    <w:rsid w:val="00D05C8E"/>
    <w:rsid w:val="00D06CA0"/>
    <w:rsid w:val="00D11F7D"/>
    <w:rsid w:val="00D11FC3"/>
    <w:rsid w:val="00D13098"/>
    <w:rsid w:val="00D17789"/>
    <w:rsid w:val="00D1789C"/>
    <w:rsid w:val="00D17B5C"/>
    <w:rsid w:val="00D17EDC"/>
    <w:rsid w:val="00D20AC2"/>
    <w:rsid w:val="00D21565"/>
    <w:rsid w:val="00D226BE"/>
    <w:rsid w:val="00D25860"/>
    <w:rsid w:val="00D2737E"/>
    <w:rsid w:val="00D274A9"/>
    <w:rsid w:val="00D304D6"/>
    <w:rsid w:val="00D314C2"/>
    <w:rsid w:val="00D32347"/>
    <w:rsid w:val="00D32644"/>
    <w:rsid w:val="00D33229"/>
    <w:rsid w:val="00D33619"/>
    <w:rsid w:val="00D338F0"/>
    <w:rsid w:val="00D40FD4"/>
    <w:rsid w:val="00D52AC7"/>
    <w:rsid w:val="00D53772"/>
    <w:rsid w:val="00D54CA9"/>
    <w:rsid w:val="00D556EC"/>
    <w:rsid w:val="00D56D67"/>
    <w:rsid w:val="00D61894"/>
    <w:rsid w:val="00D6340F"/>
    <w:rsid w:val="00D72D16"/>
    <w:rsid w:val="00D73E1C"/>
    <w:rsid w:val="00D74213"/>
    <w:rsid w:val="00D7792E"/>
    <w:rsid w:val="00D8049E"/>
    <w:rsid w:val="00D804D4"/>
    <w:rsid w:val="00D81032"/>
    <w:rsid w:val="00D81914"/>
    <w:rsid w:val="00D8195B"/>
    <w:rsid w:val="00D8561C"/>
    <w:rsid w:val="00D8619F"/>
    <w:rsid w:val="00D86764"/>
    <w:rsid w:val="00D86F8B"/>
    <w:rsid w:val="00D90DA7"/>
    <w:rsid w:val="00D92434"/>
    <w:rsid w:val="00D924C9"/>
    <w:rsid w:val="00D957E3"/>
    <w:rsid w:val="00D970E2"/>
    <w:rsid w:val="00DA084A"/>
    <w:rsid w:val="00DA5ABC"/>
    <w:rsid w:val="00DB0873"/>
    <w:rsid w:val="00DB235D"/>
    <w:rsid w:val="00DB2772"/>
    <w:rsid w:val="00DB5528"/>
    <w:rsid w:val="00DB55CC"/>
    <w:rsid w:val="00DB5C0A"/>
    <w:rsid w:val="00DB5E40"/>
    <w:rsid w:val="00DC0C93"/>
    <w:rsid w:val="00DC0E09"/>
    <w:rsid w:val="00DC168A"/>
    <w:rsid w:val="00DC68EB"/>
    <w:rsid w:val="00DD040D"/>
    <w:rsid w:val="00DD13E2"/>
    <w:rsid w:val="00DE153B"/>
    <w:rsid w:val="00DE3B70"/>
    <w:rsid w:val="00DF003C"/>
    <w:rsid w:val="00DF4501"/>
    <w:rsid w:val="00DF4892"/>
    <w:rsid w:val="00DF723C"/>
    <w:rsid w:val="00DF783E"/>
    <w:rsid w:val="00DF78AE"/>
    <w:rsid w:val="00E029A8"/>
    <w:rsid w:val="00E117EC"/>
    <w:rsid w:val="00E11E2E"/>
    <w:rsid w:val="00E24CF4"/>
    <w:rsid w:val="00E26A43"/>
    <w:rsid w:val="00E27279"/>
    <w:rsid w:val="00E31699"/>
    <w:rsid w:val="00E316D8"/>
    <w:rsid w:val="00E32707"/>
    <w:rsid w:val="00E348A5"/>
    <w:rsid w:val="00E36029"/>
    <w:rsid w:val="00E371EC"/>
    <w:rsid w:val="00E422D7"/>
    <w:rsid w:val="00E42EB6"/>
    <w:rsid w:val="00E52C4A"/>
    <w:rsid w:val="00E6063A"/>
    <w:rsid w:val="00E62A59"/>
    <w:rsid w:val="00E64A3C"/>
    <w:rsid w:val="00E65AC5"/>
    <w:rsid w:val="00E679CA"/>
    <w:rsid w:val="00E703E8"/>
    <w:rsid w:val="00E71E1C"/>
    <w:rsid w:val="00E72AE3"/>
    <w:rsid w:val="00E73B0B"/>
    <w:rsid w:val="00E73B51"/>
    <w:rsid w:val="00E743B7"/>
    <w:rsid w:val="00E75CF5"/>
    <w:rsid w:val="00E76D3D"/>
    <w:rsid w:val="00E81B17"/>
    <w:rsid w:val="00E8308B"/>
    <w:rsid w:val="00E83125"/>
    <w:rsid w:val="00E83F26"/>
    <w:rsid w:val="00E86A13"/>
    <w:rsid w:val="00E86CA7"/>
    <w:rsid w:val="00E903FD"/>
    <w:rsid w:val="00EA1F89"/>
    <w:rsid w:val="00EA5BCC"/>
    <w:rsid w:val="00EB117B"/>
    <w:rsid w:val="00EB15E0"/>
    <w:rsid w:val="00EB39C0"/>
    <w:rsid w:val="00EB40D6"/>
    <w:rsid w:val="00EB5F75"/>
    <w:rsid w:val="00EB79CD"/>
    <w:rsid w:val="00EB7F18"/>
    <w:rsid w:val="00EC305D"/>
    <w:rsid w:val="00EC3BF2"/>
    <w:rsid w:val="00EC3C36"/>
    <w:rsid w:val="00ED0EA7"/>
    <w:rsid w:val="00ED5253"/>
    <w:rsid w:val="00ED6131"/>
    <w:rsid w:val="00EE0578"/>
    <w:rsid w:val="00EE0F2E"/>
    <w:rsid w:val="00EE1454"/>
    <w:rsid w:val="00EE2A41"/>
    <w:rsid w:val="00EE2C8C"/>
    <w:rsid w:val="00EE3054"/>
    <w:rsid w:val="00EE3257"/>
    <w:rsid w:val="00EE575D"/>
    <w:rsid w:val="00EE5F8D"/>
    <w:rsid w:val="00EF09FB"/>
    <w:rsid w:val="00EF2004"/>
    <w:rsid w:val="00EF22EE"/>
    <w:rsid w:val="00EF5956"/>
    <w:rsid w:val="00F02923"/>
    <w:rsid w:val="00F02B2C"/>
    <w:rsid w:val="00F0351B"/>
    <w:rsid w:val="00F04E34"/>
    <w:rsid w:val="00F06472"/>
    <w:rsid w:val="00F06F04"/>
    <w:rsid w:val="00F0721E"/>
    <w:rsid w:val="00F0754E"/>
    <w:rsid w:val="00F110DB"/>
    <w:rsid w:val="00F13693"/>
    <w:rsid w:val="00F16026"/>
    <w:rsid w:val="00F22566"/>
    <w:rsid w:val="00F22963"/>
    <w:rsid w:val="00F25D50"/>
    <w:rsid w:val="00F2654F"/>
    <w:rsid w:val="00F37993"/>
    <w:rsid w:val="00F403EA"/>
    <w:rsid w:val="00F42753"/>
    <w:rsid w:val="00F4623D"/>
    <w:rsid w:val="00F47DEC"/>
    <w:rsid w:val="00F510DB"/>
    <w:rsid w:val="00F542DB"/>
    <w:rsid w:val="00F54525"/>
    <w:rsid w:val="00F56B30"/>
    <w:rsid w:val="00F64643"/>
    <w:rsid w:val="00F7260C"/>
    <w:rsid w:val="00F727B0"/>
    <w:rsid w:val="00F72B5D"/>
    <w:rsid w:val="00F750BE"/>
    <w:rsid w:val="00F84FFF"/>
    <w:rsid w:val="00F85EE7"/>
    <w:rsid w:val="00F90E93"/>
    <w:rsid w:val="00F91F36"/>
    <w:rsid w:val="00F946D3"/>
    <w:rsid w:val="00F94BD5"/>
    <w:rsid w:val="00F95A73"/>
    <w:rsid w:val="00F95FBD"/>
    <w:rsid w:val="00F97F52"/>
    <w:rsid w:val="00FA24CB"/>
    <w:rsid w:val="00FA2545"/>
    <w:rsid w:val="00FA5036"/>
    <w:rsid w:val="00FA5363"/>
    <w:rsid w:val="00FB1664"/>
    <w:rsid w:val="00FB2CFE"/>
    <w:rsid w:val="00FB4AAD"/>
    <w:rsid w:val="00FB4E3D"/>
    <w:rsid w:val="00FB5348"/>
    <w:rsid w:val="00FB5F2A"/>
    <w:rsid w:val="00FB6049"/>
    <w:rsid w:val="00FC02ED"/>
    <w:rsid w:val="00FC0941"/>
    <w:rsid w:val="00FC1036"/>
    <w:rsid w:val="00FC4E89"/>
    <w:rsid w:val="00FC4F9B"/>
    <w:rsid w:val="00FC59F0"/>
    <w:rsid w:val="00FC5E56"/>
    <w:rsid w:val="00FD2899"/>
    <w:rsid w:val="00FD4599"/>
    <w:rsid w:val="00FD4784"/>
    <w:rsid w:val="00FD5EBA"/>
    <w:rsid w:val="00FD65FE"/>
    <w:rsid w:val="00FD68C0"/>
    <w:rsid w:val="00FD6B1B"/>
    <w:rsid w:val="00FE3D5E"/>
    <w:rsid w:val="00FE46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057C1D"/>
  <w15:chartTrackingRefBased/>
  <w15:docId w15:val="{6391A97A-2FE7-4525-83FC-FAD562D86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770FCE"/>
    <w:rPr>
      <w:color w:val="605E5C"/>
      <w:shd w:val="clear" w:color="auto" w:fill="E1DFDD"/>
    </w:rPr>
  </w:style>
  <w:style w:type="character" w:styleId="Hipervnculovisitado">
    <w:name w:val="FollowedHyperlink"/>
    <w:basedOn w:val="Fuentedeprrafopredeter"/>
    <w:uiPriority w:val="99"/>
    <w:semiHidden/>
    <w:unhideWhenUsed/>
    <w:rsid w:val="00770FCE"/>
    <w:rPr>
      <w:color w:val="954F72" w:themeColor="followedHyperlink"/>
      <w:u w:val="single"/>
    </w:rPr>
  </w:style>
  <w:style w:type="paragraph" w:customStyle="1" w:styleId="INFOEM">
    <w:name w:val="INFOEM"/>
    <w:basedOn w:val="Normal"/>
    <w:qFormat/>
    <w:rsid w:val="00217852"/>
    <w:pPr>
      <w:spacing w:before="240" w:line="360" w:lineRule="auto"/>
      <w:ind w:left="851" w:right="851"/>
      <w:jc w:val="both"/>
    </w:pPr>
    <w:rPr>
      <w:rFonts w:ascii="Palatino Linotype" w:hAnsi="Palatino Linotype"/>
      <w:i/>
      <w:szCs w:val="14"/>
    </w:rPr>
  </w:style>
  <w:style w:type="character" w:customStyle="1" w:styleId="Mencinsinresolver2">
    <w:name w:val="Mención sin resolver2"/>
    <w:basedOn w:val="Fuentedeprrafopredeter"/>
    <w:uiPriority w:val="99"/>
    <w:semiHidden/>
    <w:unhideWhenUsed/>
    <w:rsid w:val="007B2303"/>
    <w:rPr>
      <w:color w:val="605E5C"/>
      <w:shd w:val="clear" w:color="auto" w:fill="E1DFDD"/>
    </w:rPr>
  </w:style>
  <w:style w:type="character" w:customStyle="1" w:styleId="highlight">
    <w:name w:val="highlight"/>
    <w:basedOn w:val="Fuentedeprrafopredeter"/>
    <w:rsid w:val="005E48E4"/>
  </w:style>
  <w:style w:type="table" w:styleId="Tablaconcuadrcula">
    <w:name w:val="Table Grid"/>
    <w:basedOn w:val="Tablanormal"/>
    <w:uiPriority w:val="39"/>
    <w:rsid w:val="00DB55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itas">
    <w:name w:val="Citas"/>
    <w:basedOn w:val="Normal"/>
    <w:qFormat/>
    <w:rsid w:val="00247D10"/>
    <w:pPr>
      <w:spacing w:before="240" w:line="360" w:lineRule="auto"/>
      <w:ind w:left="851" w:right="851"/>
      <w:jc w:val="both"/>
    </w:pPr>
    <w:rPr>
      <w:rFonts w:ascii="Palatino Linotype" w:hAnsi="Palatino Linotype" w:cs="Arial"/>
      <w:i/>
    </w:rPr>
  </w:style>
  <w:style w:type="character" w:styleId="Refdecomentario">
    <w:name w:val="annotation reference"/>
    <w:basedOn w:val="Fuentedeprrafopredeter"/>
    <w:uiPriority w:val="99"/>
    <w:semiHidden/>
    <w:unhideWhenUsed/>
    <w:rsid w:val="00C8239D"/>
    <w:rPr>
      <w:sz w:val="16"/>
      <w:szCs w:val="16"/>
    </w:rPr>
  </w:style>
  <w:style w:type="paragraph" w:styleId="Textocomentario">
    <w:name w:val="annotation text"/>
    <w:basedOn w:val="Normal"/>
    <w:link w:val="TextocomentarioCar"/>
    <w:uiPriority w:val="99"/>
    <w:semiHidden/>
    <w:unhideWhenUsed/>
    <w:rsid w:val="00C8239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8239D"/>
    <w:rPr>
      <w:sz w:val="20"/>
      <w:szCs w:val="20"/>
    </w:rPr>
  </w:style>
  <w:style w:type="paragraph" w:styleId="Asuntodelcomentario">
    <w:name w:val="annotation subject"/>
    <w:basedOn w:val="Textocomentario"/>
    <w:next w:val="Textocomentario"/>
    <w:link w:val="AsuntodelcomentarioCar"/>
    <w:uiPriority w:val="99"/>
    <w:semiHidden/>
    <w:unhideWhenUsed/>
    <w:rsid w:val="00C8239D"/>
    <w:rPr>
      <w:b/>
      <w:bCs/>
    </w:rPr>
  </w:style>
  <w:style w:type="character" w:customStyle="1" w:styleId="AsuntodelcomentarioCar">
    <w:name w:val="Asunto del comentario Car"/>
    <w:basedOn w:val="TextocomentarioCar"/>
    <w:link w:val="Asuntodelcomentario"/>
    <w:uiPriority w:val="99"/>
    <w:semiHidden/>
    <w:rsid w:val="00C8239D"/>
    <w:rPr>
      <w:b/>
      <w:bCs/>
      <w:sz w:val="20"/>
      <w:szCs w:val="20"/>
    </w:rPr>
  </w:style>
  <w:style w:type="character" w:styleId="nfasis">
    <w:name w:val="Emphasis"/>
    <w:basedOn w:val="Fuentedeprrafopredeter"/>
    <w:uiPriority w:val="20"/>
    <w:qFormat/>
    <w:rsid w:val="00E703E8"/>
    <w:rPr>
      <w:i/>
      <w:iCs/>
    </w:rPr>
  </w:style>
  <w:style w:type="paragraph" w:customStyle="1" w:styleId="infoem0">
    <w:name w:val="infoem"/>
    <w:basedOn w:val="Sinespaciado"/>
    <w:qFormat/>
    <w:rsid w:val="00EF22EE"/>
    <w:pPr>
      <w:spacing w:before="240" w:after="160" w:line="360" w:lineRule="auto"/>
      <w:ind w:left="851" w:right="851"/>
      <w:jc w:val="both"/>
    </w:pPr>
    <w:rPr>
      <w:rFonts w:ascii="Palatino Linotype" w:eastAsiaTheme="minorHAnsi" w:hAnsi="Palatino Linotype" w:cs="Arial"/>
      <w:i/>
      <w:sz w:val="22"/>
      <w:lang w:eastAsia="en-US"/>
    </w:rPr>
  </w:style>
  <w:style w:type="paragraph" w:styleId="NormalWeb">
    <w:name w:val="Normal (Web)"/>
    <w:basedOn w:val="Normal"/>
    <w:uiPriority w:val="99"/>
    <w:semiHidden/>
    <w:unhideWhenUsed/>
    <w:rsid w:val="00096CA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
    <w:name w:val="j"/>
    <w:basedOn w:val="Normal"/>
    <w:rsid w:val="005523D5"/>
    <w:pPr>
      <w:spacing w:before="100" w:beforeAutospacing="1" w:after="100" w:afterAutospacing="1" w:line="240" w:lineRule="auto"/>
    </w:pPr>
    <w:rPr>
      <w:rFonts w:ascii="Times New Roman" w:hAnsi="Times New Roman" w:cs="Times New Roman"/>
      <w:sz w:val="24"/>
      <w:szCs w:val="24"/>
      <w:lang w:val="es-ES_tradnl" w:eastAsia="es-ES_tradnl"/>
    </w:rPr>
  </w:style>
  <w:style w:type="character" w:customStyle="1" w:styleId="Mencinsinresolver3">
    <w:name w:val="Mención sin resolver3"/>
    <w:basedOn w:val="Fuentedeprrafopredeter"/>
    <w:uiPriority w:val="99"/>
    <w:semiHidden/>
    <w:unhideWhenUsed/>
    <w:rsid w:val="0056134C"/>
    <w:rPr>
      <w:color w:val="605E5C"/>
      <w:shd w:val="clear" w:color="auto" w:fill="E1DFDD"/>
    </w:rPr>
  </w:style>
  <w:style w:type="character" w:customStyle="1" w:styleId="markedcontent">
    <w:name w:val="markedcontent"/>
    <w:basedOn w:val="Fuentedeprrafopredeter"/>
    <w:rsid w:val="000F2554"/>
  </w:style>
  <w:style w:type="paragraph" w:customStyle="1" w:styleId="infoemcitas">
    <w:name w:val="infoem citas"/>
    <w:basedOn w:val="Normal"/>
    <w:qFormat/>
    <w:rsid w:val="00BE0F79"/>
    <w:pPr>
      <w:spacing w:before="240" w:line="360" w:lineRule="auto"/>
      <w:ind w:left="851" w:right="851"/>
      <w:jc w:val="both"/>
    </w:pPr>
    <w:rPr>
      <w:rFonts w:ascii="Palatino Linotype" w:hAnsi="Palatino Linotype"/>
      <w:i/>
    </w:rPr>
  </w:style>
  <w:style w:type="character" w:customStyle="1" w:styleId="apple-style-span">
    <w:name w:val="apple-style-span"/>
    <w:rsid w:val="001249A0"/>
  </w:style>
  <w:style w:type="character" w:customStyle="1" w:styleId="UnresolvedMention">
    <w:name w:val="Unresolved Mention"/>
    <w:basedOn w:val="Fuentedeprrafopredeter"/>
    <w:uiPriority w:val="99"/>
    <w:semiHidden/>
    <w:unhideWhenUsed/>
    <w:rsid w:val="00D73E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18141939">
      <w:bodyDiv w:val="1"/>
      <w:marLeft w:val="0"/>
      <w:marRight w:val="0"/>
      <w:marTop w:val="0"/>
      <w:marBottom w:val="0"/>
      <w:divBdr>
        <w:top w:val="none" w:sz="0" w:space="0" w:color="auto"/>
        <w:left w:val="none" w:sz="0" w:space="0" w:color="auto"/>
        <w:bottom w:val="none" w:sz="0" w:space="0" w:color="auto"/>
        <w:right w:val="none" w:sz="0" w:space="0" w:color="auto"/>
      </w:divBdr>
      <w:divsChild>
        <w:div w:id="526794637">
          <w:marLeft w:val="0"/>
          <w:marRight w:val="0"/>
          <w:marTop w:val="150"/>
          <w:marBottom w:val="0"/>
          <w:divBdr>
            <w:top w:val="none" w:sz="0" w:space="0" w:color="auto"/>
            <w:left w:val="none" w:sz="0" w:space="0" w:color="auto"/>
            <w:bottom w:val="none" w:sz="0" w:space="0" w:color="auto"/>
            <w:right w:val="none" w:sz="0" w:space="0" w:color="auto"/>
          </w:divBdr>
        </w:div>
      </w:divsChild>
    </w:div>
    <w:div w:id="435758327">
      <w:bodyDiv w:val="1"/>
      <w:marLeft w:val="0"/>
      <w:marRight w:val="0"/>
      <w:marTop w:val="0"/>
      <w:marBottom w:val="0"/>
      <w:divBdr>
        <w:top w:val="none" w:sz="0" w:space="0" w:color="auto"/>
        <w:left w:val="none" w:sz="0" w:space="0" w:color="auto"/>
        <w:bottom w:val="none" w:sz="0" w:space="0" w:color="auto"/>
        <w:right w:val="none" w:sz="0" w:space="0" w:color="auto"/>
      </w:divBdr>
    </w:div>
    <w:div w:id="483010731">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07137243">
      <w:bodyDiv w:val="1"/>
      <w:marLeft w:val="0"/>
      <w:marRight w:val="0"/>
      <w:marTop w:val="0"/>
      <w:marBottom w:val="0"/>
      <w:divBdr>
        <w:top w:val="none" w:sz="0" w:space="0" w:color="auto"/>
        <w:left w:val="none" w:sz="0" w:space="0" w:color="auto"/>
        <w:bottom w:val="none" w:sz="0" w:space="0" w:color="auto"/>
        <w:right w:val="none" w:sz="0" w:space="0" w:color="auto"/>
      </w:divBdr>
    </w:div>
    <w:div w:id="518932729">
      <w:bodyDiv w:val="1"/>
      <w:marLeft w:val="0"/>
      <w:marRight w:val="0"/>
      <w:marTop w:val="0"/>
      <w:marBottom w:val="0"/>
      <w:divBdr>
        <w:top w:val="none" w:sz="0" w:space="0" w:color="auto"/>
        <w:left w:val="none" w:sz="0" w:space="0" w:color="auto"/>
        <w:bottom w:val="none" w:sz="0" w:space="0" w:color="auto"/>
        <w:right w:val="none" w:sz="0" w:space="0" w:color="auto"/>
      </w:divBdr>
    </w:div>
    <w:div w:id="532428847">
      <w:bodyDiv w:val="1"/>
      <w:marLeft w:val="0"/>
      <w:marRight w:val="0"/>
      <w:marTop w:val="0"/>
      <w:marBottom w:val="0"/>
      <w:divBdr>
        <w:top w:val="none" w:sz="0" w:space="0" w:color="auto"/>
        <w:left w:val="none" w:sz="0" w:space="0" w:color="auto"/>
        <w:bottom w:val="none" w:sz="0" w:space="0" w:color="auto"/>
        <w:right w:val="none" w:sz="0" w:space="0" w:color="auto"/>
      </w:divBdr>
    </w:div>
    <w:div w:id="554245668">
      <w:bodyDiv w:val="1"/>
      <w:marLeft w:val="0"/>
      <w:marRight w:val="0"/>
      <w:marTop w:val="0"/>
      <w:marBottom w:val="0"/>
      <w:divBdr>
        <w:top w:val="none" w:sz="0" w:space="0" w:color="auto"/>
        <w:left w:val="none" w:sz="0" w:space="0" w:color="auto"/>
        <w:bottom w:val="none" w:sz="0" w:space="0" w:color="auto"/>
        <w:right w:val="none" w:sz="0" w:space="0" w:color="auto"/>
      </w:divBdr>
    </w:div>
    <w:div w:id="623273245">
      <w:bodyDiv w:val="1"/>
      <w:marLeft w:val="0"/>
      <w:marRight w:val="0"/>
      <w:marTop w:val="0"/>
      <w:marBottom w:val="0"/>
      <w:divBdr>
        <w:top w:val="none" w:sz="0" w:space="0" w:color="auto"/>
        <w:left w:val="none" w:sz="0" w:space="0" w:color="auto"/>
        <w:bottom w:val="none" w:sz="0" w:space="0" w:color="auto"/>
        <w:right w:val="none" w:sz="0" w:space="0" w:color="auto"/>
      </w:divBdr>
    </w:div>
    <w:div w:id="642465649">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4670175">
      <w:bodyDiv w:val="1"/>
      <w:marLeft w:val="0"/>
      <w:marRight w:val="0"/>
      <w:marTop w:val="0"/>
      <w:marBottom w:val="0"/>
      <w:divBdr>
        <w:top w:val="none" w:sz="0" w:space="0" w:color="auto"/>
        <w:left w:val="none" w:sz="0" w:space="0" w:color="auto"/>
        <w:bottom w:val="none" w:sz="0" w:space="0" w:color="auto"/>
        <w:right w:val="none" w:sz="0" w:space="0" w:color="auto"/>
      </w:divBdr>
    </w:div>
    <w:div w:id="755592802">
      <w:bodyDiv w:val="1"/>
      <w:marLeft w:val="0"/>
      <w:marRight w:val="0"/>
      <w:marTop w:val="0"/>
      <w:marBottom w:val="0"/>
      <w:divBdr>
        <w:top w:val="none" w:sz="0" w:space="0" w:color="auto"/>
        <w:left w:val="none" w:sz="0" w:space="0" w:color="auto"/>
        <w:bottom w:val="none" w:sz="0" w:space="0" w:color="auto"/>
        <w:right w:val="none" w:sz="0" w:space="0" w:color="auto"/>
      </w:divBdr>
    </w:div>
    <w:div w:id="780732998">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791435863">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11411869">
      <w:bodyDiv w:val="1"/>
      <w:marLeft w:val="0"/>
      <w:marRight w:val="0"/>
      <w:marTop w:val="0"/>
      <w:marBottom w:val="0"/>
      <w:divBdr>
        <w:top w:val="none" w:sz="0" w:space="0" w:color="auto"/>
        <w:left w:val="none" w:sz="0" w:space="0" w:color="auto"/>
        <w:bottom w:val="none" w:sz="0" w:space="0" w:color="auto"/>
        <w:right w:val="none" w:sz="0" w:space="0" w:color="auto"/>
      </w:divBdr>
    </w:div>
    <w:div w:id="833648718">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894006459">
      <w:bodyDiv w:val="1"/>
      <w:marLeft w:val="0"/>
      <w:marRight w:val="0"/>
      <w:marTop w:val="0"/>
      <w:marBottom w:val="0"/>
      <w:divBdr>
        <w:top w:val="none" w:sz="0" w:space="0" w:color="auto"/>
        <w:left w:val="none" w:sz="0" w:space="0" w:color="auto"/>
        <w:bottom w:val="none" w:sz="0" w:space="0" w:color="auto"/>
        <w:right w:val="none" w:sz="0" w:space="0" w:color="auto"/>
      </w:divBdr>
    </w:div>
    <w:div w:id="900870464">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02928978">
      <w:bodyDiv w:val="1"/>
      <w:marLeft w:val="0"/>
      <w:marRight w:val="0"/>
      <w:marTop w:val="0"/>
      <w:marBottom w:val="0"/>
      <w:divBdr>
        <w:top w:val="none" w:sz="0" w:space="0" w:color="auto"/>
        <w:left w:val="none" w:sz="0" w:space="0" w:color="auto"/>
        <w:bottom w:val="none" w:sz="0" w:space="0" w:color="auto"/>
        <w:right w:val="none" w:sz="0" w:space="0" w:color="auto"/>
      </w:divBdr>
    </w:div>
    <w:div w:id="1075128659">
      <w:bodyDiv w:val="1"/>
      <w:marLeft w:val="0"/>
      <w:marRight w:val="0"/>
      <w:marTop w:val="0"/>
      <w:marBottom w:val="0"/>
      <w:divBdr>
        <w:top w:val="none" w:sz="0" w:space="0" w:color="auto"/>
        <w:left w:val="none" w:sz="0" w:space="0" w:color="auto"/>
        <w:bottom w:val="none" w:sz="0" w:space="0" w:color="auto"/>
        <w:right w:val="none" w:sz="0" w:space="0" w:color="auto"/>
      </w:divBdr>
    </w:div>
    <w:div w:id="1107895878">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76841482">
      <w:bodyDiv w:val="1"/>
      <w:marLeft w:val="0"/>
      <w:marRight w:val="0"/>
      <w:marTop w:val="0"/>
      <w:marBottom w:val="0"/>
      <w:divBdr>
        <w:top w:val="none" w:sz="0" w:space="0" w:color="auto"/>
        <w:left w:val="none" w:sz="0" w:space="0" w:color="auto"/>
        <w:bottom w:val="none" w:sz="0" w:space="0" w:color="auto"/>
        <w:right w:val="none" w:sz="0" w:space="0" w:color="auto"/>
      </w:divBdr>
    </w:div>
    <w:div w:id="1212613041">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345286716">
      <w:bodyDiv w:val="1"/>
      <w:marLeft w:val="0"/>
      <w:marRight w:val="0"/>
      <w:marTop w:val="0"/>
      <w:marBottom w:val="0"/>
      <w:divBdr>
        <w:top w:val="none" w:sz="0" w:space="0" w:color="auto"/>
        <w:left w:val="none" w:sz="0" w:space="0" w:color="auto"/>
        <w:bottom w:val="none" w:sz="0" w:space="0" w:color="auto"/>
        <w:right w:val="none" w:sz="0" w:space="0" w:color="auto"/>
      </w:divBdr>
    </w:div>
    <w:div w:id="1426148782">
      <w:bodyDiv w:val="1"/>
      <w:marLeft w:val="0"/>
      <w:marRight w:val="0"/>
      <w:marTop w:val="0"/>
      <w:marBottom w:val="0"/>
      <w:divBdr>
        <w:top w:val="none" w:sz="0" w:space="0" w:color="auto"/>
        <w:left w:val="none" w:sz="0" w:space="0" w:color="auto"/>
        <w:bottom w:val="none" w:sz="0" w:space="0" w:color="auto"/>
        <w:right w:val="none" w:sz="0" w:space="0" w:color="auto"/>
      </w:divBdr>
    </w:div>
    <w:div w:id="1483280349">
      <w:bodyDiv w:val="1"/>
      <w:marLeft w:val="0"/>
      <w:marRight w:val="0"/>
      <w:marTop w:val="0"/>
      <w:marBottom w:val="0"/>
      <w:divBdr>
        <w:top w:val="none" w:sz="0" w:space="0" w:color="auto"/>
        <w:left w:val="none" w:sz="0" w:space="0" w:color="auto"/>
        <w:bottom w:val="none" w:sz="0" w:space="0" w:color="auto"/>
        <w:right w:val="none" w:sz="0" w:space="0" w:color="auto"/>
      </w:divBdr>
    </w:div>
    <w:div w:id="1486050785">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897793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3112882">
      <w:bodyDiv w:val="1"/>
      <w:marLeft w:val="0"/>
      <w:marRight w:val="0"/>
      <w:marTop w:val="0"/>
      <w:marBottom w:val="0"/>
      <w:divBdr>
        <w:top w:val="none" w:sz="0" w:space="0" w:color="auto"/>
        <w:left w:val="none" w:sz="0" w:space="0" w:color="auto"/>
        <w:bottom w:val="none" w:sz="0" w:space="0" w:color="auto"/>
        <w:right w:val="none" w:sz="0" w:space="0" w:color="auto"/>
      </w:divBdr>
    </w:div>
    <w:div w:id="188640827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28870846">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79593076">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sultas.ifai.org.mx/descargar.php?r=./pdf/resoluciones/2017/&amp;a=RRA%2022.pdf"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consultas.ifai.org.mx/descargar.php?r=./pdf/resoluciones/2019/&amp;a=RRA%2014270.pdf" TargetMode="External"/><Relationship Id="rId2" Type="http://schemas.openxmlformats.org/officeDocument/2006/relationships/numbering" Target="numbering.xml"/><Relationship Id="rId16" Type="http://schemas.openxmlformats.org/officeDocument/2006/relationships/hyperlink" Target="http://consultas.ifai.org.mx/descargar.php?r=./pdf/resoluciones/2018/&amp;a=RRA%205097.pdf"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consultas.ifai.org.mx/descargar.php?r=./pdf/resoluciones/2018/&amp;a=RRA%204548.pdf" TargetMode="External"/><Relationship Id="rId23" Type="http://schemas.openxmlformats.org/officeDocument/2006/relationships/theme" Target="theme/theme1.xml"/><Relationship Id="rId10" Type="http://schemas.openxmlformats.org/officeDocument/2006/relationships/hyperlink" Target="http://consultas.ifai.org.mx/descargar.php?r=./pdf/resoluciones/2017/&amp;a=RRA%203482.pdf"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onsultas.ifai.org.mx/descargar.php?r=./pdf/resoluciones/2017/&amp;a=RRA%202536.pdf" TargetMode="External"/><Relationship Id="rId14" Type="http://schemas.openxmlformats.org/officeDocument/2006/relationships/image" Target="media/image4.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B2F489-BDF4-4A77-8AEB-4DCC78C2F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470</TotalTime>
  <Pages>53</Pages>
  <Words>10659</Words>
  <Characters>58627</Characters>
  <Application>Microsoft Office Word</Application>
  <DocSecurity>0</DocSecurity>
  <Lines>488</Lines>
  <Paragraphs>138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69148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INFOEM492</cp:lastModifiedBy>
  <cp:revision>20</cp:revision>
  <cp:lastPrinted>2020-01-30T23:10:00Z</cp:lastPrinted>
  <dcterms:created xsi:type="dcterms:W3CDTF">2023-12-11T16:54:00Z</dcterms:created>
  <dcterms:modified xsi:type="dcterms:W3CDTF">2024-01-25T00:10:00Z</dcterms:modified>
</cp:coreProperties>
</file>