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6A" w:rsidRPr="0024200F" w:rsidRDefault="00945D6A" w:rsidP="00945D6A">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F27278">
        <w:rPr>
          <w:rFonts w:ascii="Palatino Linotype" w:hAnsi="Palatino Linotype"/>
        </w:rPr>
        <w:t>a</w:t>
      </w:r>
      <w:r w:rsidRPr="0024200F">
        <w:rPr>
          <w:rFonts w:ascii="Palatino Linotype" w:hAnsi="Palatino Linotype"/>
        </w:rPr>
        <w:t xml:space="preserve"> </w:t>
      </w:r>
      <w:r>
        <w:rPr>
          <w:rFonts w:ascii="Palatino Linotype" w:hAnsi="Palatino Linotype"/>
        </w:rPr>
        <w:t xml:space="preserve">once de </w:t>
      </w:r>
      <w:r w:rsidR="00D6230D">
        <w:rPr>
          <w:rFonts w:ascii="Palatino Linotype" w:hAnsi="Palatino Linotype"/>
        </w:rPr>
        <w:t>dic</w:t>
      </w:r>
      <w:r>
        <w:rPr>
          <w:rFonts w:ascii="Palatino Linotype" w:hAnsi="Palatino Linotype"/>
        </w:rPr>
        <w:t>iembre de dos mil veinticuatro.</w:t>
      </w:r>
    </w:p>
    <w:p w:rsidR="00945D6A" w:rsidRPr="0024200F" w:rsidRDefault="00945D6A" w:rsidP="00945D6A">
      <w:pPr>
        <w:spacing w:line="360" w:lineRule="auto"/>
        <w:jc w:val="both"/>
        <w:rPr>
          <w:rFonts w:ascii="Palatino Linotype" w:hAnsi="Palatino Linotype"/>
        </w:rPr>
      </w:pPr>
    </w:p>
    <w:p w:rsidR="00945D6A" w:rsidRPr="002C3EC8" w:rsidRDefault="00945D6A" w:rsidP="00945D6A">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C62252">
        <w:rPr>
          <w:rFonts w:ascii="Palatino Linotype" w:hAnsi="Palatino Linotype" w:cs="Arial"/>
          <w:b/>
        </w:rPr>
        <w:t>0</w:t>
      </w:r>
      <w:r w:rsidR="00541FFA">
        <w:rPr>
          <w:rFonts w:ascii="Palatino Linotype" w:hAnsi="Palatino Linotype" w:cs="Arial"/>
          <w:b/>
          <w:bCs/>
          <w:lang w:eastAsia="es-MX"/>
        </w:rPr>
        <w:t>7090</w:t>
      </w:r>
      <w:r>
        <w:rPr>
          <w:rFonts w:ascii="Palatino Linotype" w:hAnsi="Palatino Linotype" w:cs="Arial"/>
          <w:b/>
          <w:bCs/>
          <w:lang w:eastAsia="es-MX"/>
        </w:rPr>
        <w:t>/INFOEM/IP/RR/2024</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D6230D" w:rsidRPr="00D6230D">
        <w:rPr>
          <w:rFonts w:ascii="Palatino Linotype" w:hAnsi="Palatino Linotype"/>
          <w:b/>
        </w:rPr>
        <w:t>Universidad Autónoma del Estado de México</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945D6A" w:rsidRPr="002C3EC8" w:rsidRDefault="00945D6A" w:rsidP="00945D6A">
      <w:pPr>
        <w:tabs>
          <w:tab w:val="left" w:pos="1701"/>
        </w:tabs>
        <w:spacing w:before="240" w:line="360" w:lineRule="auto"/>
        <w:jc w:val="both"/>
        <w:rPr>
          <w:rFonts w:ascii="Palatino Linotype" w:hAnsi="Palatino Linotype" w:cs="Arial"/>
          <w:b/>
        </w:rPr>
      </w:pPr>
    </w:p>
    <w:p w:rsidR="00945D6A" w:rsidRDefault="00945D6A" w:rsidP="00945D6A">
      <w:pPr>
        <w:pStyle w:val="infoemcitas"/>
        <w:jc w:val="center"/>
        <w:rPr>
          <w:b/>
          <w:bCs/>
          <w:i w:val="0"/>
          <w:iCs/>
          <w:sz w:val="28"/>
          <w:szCs w:val="28"/>
        </w:rPr>
      </w:pPr>
      <w:r w:rsidRPr="002C3EC8">
        <w:rPr>
          <w:b/>
          <w:bCs/>
          <w:i w:val="0"/>
          <w:iCs/>
          <w:sz w:val="28"/>
          <w:szCs w:val="28"/>
        </w:rPr>
        <w:t>A N T E C E D E N T E S   D E L   A S U N T O</w:t>
      </w:r>
    </w:p>
    <w:p w:rsidR="00945D6A" w:rsidRPr="002C3EC8" w:rsidRDefault="00945D6A" w:rsidP="00945D6A">
      <w:pPr>
        <w:pStyle w:val="infoemcitas"/>
        <w:jc w:val="center"/>
        <w:rPr>
          <w:b/>
          <w:bCs/>
          <w:i w:val="0"/>
          <w:iCs/>
          <w:sz w:val="28"/>
          <w:szCs w:val="28"/>
        </w:rPr>
      </w:pPr>
    </w:p>
    <w:p w:rsidR="00945D6A" w:rsidRPr="002C3EC8" w:rsidRDefault="00945D6A" w:rsidP="00945D6A">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945D6A" w:rsidRPr="00D705FF" w:rsidRDefault="00945D6A" w:rsidP="00945D6A">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D6230D">
        <w:rPr>
          <w:rFonts w:ascii="Palatino Linotype" w:hAnsi="Palatino Linotype" w:cs="Arial"/>
        </w:rPr>
        <w:t>once de octubre</w:t>
      </w:r>
      <w:r>
        <w:rPr>
          <w:rFonts w:ascii="Palatino Linotype" w:hAnsi="Palatino Linotype" w:cs="Arial"/>
        </w:rPr>
        <w:t xml:space="preserve">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 xml:space="preserve">presentó a través </w:t>
      </w:r>
      <w:r w:rsidR="009A3812">
        <w:rPr>
          <w:rFonts w:ascii="Palatino Linotype" w:hAnsi="Palatino Linotype" w:cs="Arial"/>
        </w:rPr>
        <w:t xml:space="preserve">de la Plataforma Nacional de Transparencia </w:t>
      </w:r>
      <w:r w:rsidR="009A3812">
        <w:rPr>
          <w:rFonts w:ascii="Palatino Linotype" w:hAnsi="Palatino Linotype" w:cs="Arial"/>
          <w:b/>
        </w:rPr>
        <w:t>(PNT)</w:t>
      </w:r>
      <w:r w:rsidR="009A3812">
        <w:rPr>
          <w:rFonts w:ascii="Palatino Linotype" w:hAnsi="Palatino Linotype" w:cs="Arial"/>
        </w:rPr>
        <w:t>, misma que se encuentra vinculada a</w:t>
      </w:r>
      <w:r w:rsidRPr="00D705FF">
        <w:rPr>
          <w:rFonts w:ascii="Palatino Linotype" w:hAnsi="Palatino Linotype" w:cs="Arial"/>
        </w:rPr>
        <w:t>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D6230D">
        <w:rPr>
          <w:rFonts w:ascii="Palatino Linotype" w:hAnsi="Palatino Linotype" w:cs="Arial"/>
          <w:b/>
        </w:rPr>
        <w:t>01062/UAEM/IP/2024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945D6A" w:rsidRPr="001C7F6F" w:rsidRDefault="00945D6A" w:rsidP="00945D6A">
      <w:pPr>
        <w:pStyle w:val="INFOEM"/>
        <w:rPr>
          <w:lang w:val="es-ES_tradnl" w:eastAsia="es-ES"/>
        </w:rPr>
      </w:pPr>
      <w:r w:rsidRPr="00D705FF">
        <w:rPr>
          <w:lang w:val="es-ES_tradnl" w:eastAsia="es-ES"/>
        </w:rPr>
        <w:lastRenderedPageBreak/>
        <w:t>“</w:t>
      </w:r>
      <w:r w:rsidR="00D6230D" w:rsidRPr="00D6230D">
        <w:rPr>
          <w:lang w:val="es-ES" w:eastAsia="es-ES"/>
        </w:rPr>
        <w:t>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Solicito la relación de los descuentos generados por concepto de retardo, retardos acumulados y faltas según el reporte de Registro de asistencia del personal administrativo a Recursos Humanos del 15 de junio del 2023 al 15 de agosto del 2024 de los siguientes empleados: 00022, 00050, 00104, 01064, 03243, 03715, 05498, 05672, 06965, 06982, 11005, 11410, 13333, 13349, 13449, 15428, 15456, 15456, 15775, 16062, 16483, 16730, 16736, 16743, 17933, 19739, 20748, 21097, 22010, 24044, 24585, 25457, 25563, 25571, 25582, 25881, 25922, 26416, 26481, 26482, 26593, 26623, 27064, 27937, 28659, 28874, 35925, 37461, 37792, 40494, 42041.</w:t>
      </w:r>
      <w:r w:rsidRPr="00D705FF">
        <w:rPr>
          <w:lang w:val="es-ES_tradnl" w:eastAsia="es-ES"/>
        </w:rPr>
        <w:t>” (Sic)</w:t>
      </w:r>
    </w:p>
    <w:p w:rsidR="00945D6A" w:rsidRPr="002C3EC8" w:rsidRDefault="00945D6A" w:rsidP="00945D6A">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r w:rsidR="009A3812" w:rsidRPr="009A3812">
        <w:rPr>
          <w:rFonts w:ascii="Palatino Linotype" w:eastAsia="Palatino Linotype" w:hAnsi="Palatino Linotype" w:cs="Palatino Linotype"/>
          <w:b/>
          <w:sz w:val="22"/>
          <w:szCs w:val="22"/>
          <w:lang w:eastAsia="es-MX"/>
        </w:rPr>
        <w:t xml:space="preserve"> </w:t>
      </w:r>
      <w:r w:rsidR="009A3812" w:rsidRPr="009A3812">
        <w:rPr>
          <w:rFonts w:ascii="Palatino Linotype" w:hAnsi="Palatino Linotype"/>
          <w:b/>
        </w:rPr>
        <w:t>y el Sistema Electrónico de la PNT</w:t>
      </w:r>
      <w:r w:rsidR="009A3812">
        <w:rPr>
          <w:rFonts w:ascii="Palatino Linotype" w:hAnsi="Palatino Linotype"/>
          <w:b/>
        </w:rPr>
        <w:t>.</w:t>
      </w:r>
    </w:p>
    <w:p w:rsidR="00945D6A" w:rsidRDefault="00945D6A" w:rsidP="00945D6A">
      <w:pPr>
        <w:spacing w:before="240" w:line="360" w:lineRule="auto"/>
        <w:jc w:val="both"/>
        <w:rPr>
          <w:rFonts w:ascii="Palatino Linotype" w:hAnsi="Palatino Linotype" w:cs="Arial"/>
          <w:b/>
          <w:sz w:val="28"/>
        </w:rPr>
      </w:pPr>
    </w:p>
    <w:p w:rsidR="00945D6A" w:rsidRDefault="00945D6A" w:rsidP="00945D6A">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 xml:space="preserve">De la </w:t>
      </w:r>
      <w:r w:rsidR="00D6230D">
        <w:rPr>
          <w:rFonts w:ascii="Palatino Linotype" w:hAnsi="Palatino Linotype" w:cs="Arial"/>
          <w:b/>
          <w:sz w:val="28"/>
          <w:szCs w:val="20"/>
        </w:rPr>
        <w:t>respuesta o entrega de la información</w:t>
      </w:r>
      <w:r w:rsidRPr="00165D6E">
        <w:rPr>
          <w:rFonts w:ascii="Palatino Linotype" w:hAnsi="Palatino Linotype" w:cs="Arial"/>
          <w:b/>
          <w:sz w:val="28"/>
          <w:szCs w:val="20"/>
        </w:rPr>
        <w:t>.</w:t>
      </w:r>
    </w:p>
    <w:p w:rsidR="00945D6A" w:rsidRPr="009062B2" w:rsidRDefault="00945D6A" w:rsidP="00945D6A">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9A3812">
        <w:rPr>
          <w:rFonts w:ascii="Palatino Linotype" w:hAnsi="Palatino Linotype" w:cs="Arial"/>
          <w:b/>
          <w:sz w:val="24"/>
        </w:rPr>
        <w:t>cuatro de noviembre</w:t>
      </w:r>
      <w:r>
        <w:rPr>
          <w:rFonts w:ascii="Palatino Linotype" w:hAnsi="Palatino Linotype" w:cs="Arial"/>
          <w:b/>
          <w:sz w:val="24"/>
        </w:rPr>
        <w:t xml:space="preserv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945D6A" w:rsidRPr="00E818A5" w:rsidRDefault="00945D6A" w:rsidP="00945D6A">
      <w:pPr>
        <w:spacing w:line="360" w:lineRule="auto"/>
        <w:jc w:val="both"/>
        <w:rPr>
          <w:rFonts w:ascii="Palatino Linotype" w:hAnsi="Palatino Linotype" w:cs="Arial"/>
        </w:rPr>
      </w:pPr>
    </w:p>
    <w:p w:rsidR="00945D6A" w:rsidRDefault="00945D6A" w:rsidP="007B22EB">
      <w:pPr>
        <w:ind w:left="567" w:right="567"/>
        <w:jc w:val="both"/>
        <w:rPr>
          <w:rFonts w:ascii="Palatino Linotype" w:hAnsi="Palatino Linotype" w:cs="Arial"/>
          <w:i/>
        </w:rPr>
      </w:pPr>
      <w:r>
        <w:rPr>
          <w:rFonts w:ascii="Palatino Linotype" w:hAnsi="Palatino Linotype" w:cs="Arial"/>
          <w:i/>
        </w:rPr>
        <w:lastRenderedPageBreak/>
        <w:t>“</w:t>
      </w:r>
      <w:r w:rsidR="009A3812" w:rsidRPr="009A3812">
        <w:rPr>
          <w:rFonts w:ascii="Palatino Linotype" w:hAnsi="Palatino Linotype" w:cs="Arial"/>
          <w:i/>
        </w:rPr>
        <w:t xml:space="preserve">En respuesta a la solicitud de acceso a la información pública con número de folio 01062/UAEM/IP/2024,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009A3812" w:rsidRPr="009A3812">
        <w:rPr>
          <w:rFonts w:ascii="Palatino Linotype" w:hAnsi="Palatino Linotype" w:cs="Arial"/>
          <w:b/>
          <w:i/>
          <w:u w:val="single"/>
        </w:rPr>
        <w:t>hacemos de su conocimiento con base en la información proporcionada por la Dirección de Recursos Humanos que, la información relativa al “reporte de Registro de asistencia del personal administrativo” no es competencia de la Dirección de Recursos Humanos, por tanto no es posible atender a su solicitud de información en los términos requeridos.</w:t>
      </w:r>
      <w:r w:rsidR="009A3812" w:rsidRPr="009A3812">
        <w:rPr>
          <w:rFonts w:ascii="Palatino Linotype" w:hAnsi="Palatino Linotype" w:cs="Arial"/>
          <w:i/>
        </w:rPr>
        <w:t xml:space="preserve">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w:t>
      </w:r>
      <w:r w:rsidRPr="00667998">
        <w:rPr>
          <w:rFonts w:ascii="Palatino Linotype" w:hAnsi="Palatino Linotype" w:cs="Arial"/>
          <w:i/>
        </w:rPr>
        <w:t>“(Sic).</w:t>
      </w:r>
    </w:p>
    <w:p w:rsidR="00945D6A" w:rsidRDefault="00945D6A" w:rsidP="00945D6A">
      <w:pPr>
        <w:spacing w:line="360" w:lineRule="auto"/>
        <w:ind w:right="567"/>
        <w:jc w:val="both"/>
        <w:rPr>
          <w:rFonts w:ascii="Palatino Linotype" w:hAnsi="Palatino Linotype" w:cs="Arial"/>
        </w:rPr>
      </w:pPr>
    </w:p>
    <w:p w:rsidR="009A3812" w:rsidRDefault="009A3812" w:rsidP="009A3812">
      <w:pPr>
        <w:spacing w:line="360" w:lineRule="auto"/>
        <w:jc w:val="both"/>
        <w:rPr>
          <w:rFonts w:ascii="Palatino Linotype" w:hAnsi="Palatino Linotype" w:cs="Arial"/>
        </w:rPr>
      </w:pPr>
      <w:r>
        <w:rPr>
          <w:rFonts w:ascii="Palatino Linotype" w:hAnsi="Palatino Linotype" w:cs="Arial"/>
        </w:rPr>
        <w:t xml:space="preserve"> </w:t>
      </w:r>
    </w:p>
    <w:p w:rsidR="00945D6A" w:rsidRPr="002C3EC8" w:rsidRDefault="00945D6A" w:rsidP="009A3812">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945D6A" w:rsidRDefault="00945D6A" w:rsidP="00945D6A">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9A3812">
        <w:rPr>
          <w:rFonts w:ascii="Palatino Linotype" w:hAnsi="Palatino Linotype" w:cs="Arial"/>
          <w:b/>
        </w:rPr>
        <w:t>seis de noviembre</w:t>
      </w:r>
      <w:r>
        <w:rPr>
          <w:rFonts w:ascii="Palatino Linotype" w:hAnsi="Palatino Linotype" w:cs="Arial"/>
          <w:b/>
        </w:rPr>
        <w:t xml:space="preserv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C62252">
        <w:rPr>
          <w:rFonts w:ascii="Palatino Linotype" w:hAnsi="Palatino Linotype" w:cs="Arial"/>
          <w:b/>
        </w:rPr>
        <w:t>0</w:t>
      </w:r>
      <w:r w:rsidR="00541FFA">
        <w:rPr>
          <w:rFonts w:ascii="Palatino Linotype" w:hAnsi="Palatino Linotype" w:cs="Arial"/>
          <w:b/>
        </w:rPr>
        <w:t>7090</w:t>
      </w:r>
      <w:r>
        <w:rPr>
          <w:rFonts w:ascii="Palatino Linotype" w:hAnsi="Palatino Linotype" w:cs="Arial"/>
          <w:b/>
        </w:rPr>
        <w:t>/INFOEM/IP/RR/2024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945D6A" w:rsidRDefault="00945D6A" w:rsidP="00945D6A">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945D6A" w:rsidRPr="007E4713" w:rsidRDefault="00945D6A" w:rsidP="00945D6A">
      <w:pPr>
        <w:pStyle w:val="INFOEM"/>
      </w:pPr>
      <w:r w:rsidRPr="007E4713">
        <w:lastRenderedPageBreak/>
        <w:t>“</w:t>
      </w:r>
      <w:r w:rsidR="009A3812" w:rsidRPr="009A3812">
        <w:t>impugno formalmente el acto de omisión y negativa por parte del Departamento de Recursos Humanos de la Universidad Autónoma del Estado de México (</w:t>
      </w:r>
      <w:proofErr w:type="spellStart"/>
      <w:r w:rsidR="009A3812" w:rsidRPr="009A3812">
        <w:t>UAEMex</w:t>
      </w:r>
      <w:proofErr w:type="spellEnd"/>
      <w:r w:rsidR="009A3812" w:rsidRPr="009A3812">
        <w:t>) de proporcionar la información que he solicitado. Dicha información corresponde a "la relación de los descuentos generados por concepto de retardo, retardos acumulados y faltas según el reporte de Registro de asistencia del personal administrativo a Recursos Humanos del 15 de junio del 2023 al 15 de agosto del 2024 de los siguientes empleados: 00022, 00050, 00104, 01064, 03243, 03715, 05498, 05672, 06965, 06982, 11005, 11410, 13333, 13349, 13449, 15428, 15456, 15456, 15775, 16062, 16483, 16730, 16736, 16743, 17933, 19739, 20748, 21097, 22010, 24044, 24585, 25457, 25563, 25571, 25582, 25881, 25922, 26416, 26481, 26482, 26593, 26623, 27064, 27937, 28659, 28874, 35925, 37461, 37792, 40494, 42041.". La negativa a entregar dicha información, argumentando que "la información relativa al reporte de registro de asistencia del personal administrativo no es competencia de Recursos Humanos", constituye una clara violación a mi derecho de acceso a la información, así como un incumplimiento de las obligaciones de transparencia y rendición de cuentas que deben regir a esta institución pública. Por lo anterior, solicito que se revoque dicho acto de omisión y negativa, y se proceda a la entrega inmediata de la información solicitada. De no hacerlo, me veré en la necesidad de interponer los recursos y acciones legales correspondientes para la defensa de mis derechos.</w:t>
      </w:r>
      <w:r>
        <w:t>” (</w:t>
      </w:r>
      <w:proofErr w:type="gramStart"/>
      <w:r>
        <w:t>sic</w:t>
      </w:r>
      <w:proofErr w:type="gramEnd"/>
      <w:r>
        <w:t>)</w:t>
      </w:r>
    </w:p>
    <w:p w:rsidR="00945D6A" w:rsidRPr="0033050B" w:rsidRDefault="00945D6A" w:rsidP="00945D6A">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945D6A" w:rsidRPr="009068C9" w:rsidRDefault="00945D6A" w:rsidP="00945D6A">
      <w:pPr>
        <w:pStyle w:val="INFOEM"/>
      </w:pPr>
      <w:r>
        <w:t>“</w:t>
      </w:r>
      <w:r w:rsidR="009A3812" w:rsidRPr="009A3812">
        <w:t>Por la presente, impugno formalmente el acto de omisión y negativa por parte del Departamento de Recursos Humanos de la Universidad Autónoma del Estado de México (</w:t>
      </w:r>
      <w:proofErr w:type="spellStart"/>
      <w:r w:rsidR="009A3812" w:rsidRPr="009A3812">
        <w:t>UAEMex</w:t>
      </w:r>
      <w:proofErr w:type="spellEnd"/>
      <w:r w:rsidR="009A3812" w:rsidRPr="009A3812">
        <w:t xml:space="preserve">) de proporcionar la información que he solicitado. Dicha información corresponde al "reporte quincenal y/o reporte de asistencia del Sistema </w:t>
      </w:r>
      <w:r w:rsidR="009A3812" w:rsidRPr="009A3812">
        <w:lastRenderedPageBreak/>
        <w:t xml:space="preserve">Integral para el Control de Asistencia de la </w:t>
      </w:r>
      <w:proofErr w:type="spellStart"/>
      <w:r w:rsidR="009A3812" w:rsidRPr="009A3812">
        <w:t>UAEMex</w:t>
      </w:r>
      <w:proofErr w:type="spellEnd"/>
      <w:r w:rsidR="009A3812" w:rsidRPr="009A3812">
        <w:t xml:space="preserve">, conocido como SICA, correspondiente al periodo del 15 de junio del 2023 al 15 de agosto de 2024". El argumento esgrimido para negar la entrega de esta información, es que "Recursos Humanos de la </w:t>
      </w:r>
      <w:proofErr w:type="spellStart"/>
      <w:r w:rsidR="009A3812" w:rsidRPr="009A3812">
        <w:t>UAEMex</w:t>
      </w:r>
      <w:proofErr w:type="spellEnd"/>
      <w:r w:rsidR="009A3812" w:rsidRPr="009A3812">
        <w:t xml:space="preserve"> no es el encargado de manejar la información solicitada del SICA", ya que este sistema es operado por el SIIA. Sin embargo, este es un argumento carente de fundamento, pues aunque el SICA sea operado por el SIIA, los reportes de asistencia generados por dicho sistema sí son manejados y utilizados por el Departamento de Recursos Humanos. En efecto, los reportes de asistencia del SICA son la base para realizar los descuentos quincenales a los que se hacen acreedores los empleados por concepto de faltas y retardos. Por lo tanto, el Departamento de Recursos Humanos sí tiene competencia y responsabilidad sobre esta información, y su negativa a proporcionarla constituye una grave omisión que vulnera mi derecho de acceso a la información. Ante esta situación, solicito que se revoque dicho acto de omisión y negativa, y se proceda a la entrega inmediata de la información solicitada. Adjunto evidencia de información en página oficial para </w:t>
      </w:r>
      <w:proofErr w:type="spellStart"/>
      <w:r w:rsidR="009A3812" w:rsidRPr="009A3812">
        <w:t>registr</w:t>
      </w:r>
      <w:proofErr w:type="spellEnd"/>
      <w:r w:rsidR="009A3812" w:rsidRPr="009A3812">
        <w:t xml:space="preserve"> de asistencia, datos de </w:t>
      </w:r>
      <w:proofErr w:type="spellStart"/>
      <w:r w:rsidR="009A3812" w:rsidRPr="009A3812">
        <w:t>contact</w:t>
      </w:r>
      <w:proofErr w:type="spellEnd"/>
      <w:r w:rsidR="009A3812" w:rsidRPr="009A3812">
        <w:t>, personal de la Dirección de Recursos Humanos.</w:t>
      </w:r>
      <w:r>
        <w:t>” (</w:t>
      </w:r>
      <w:proofErr w:type="gramStart"/>
      <w:r>
        <w:t>sic</w:t>
      </w:r>
      <w:proofErr w:type="gramEnd"/>
      <w:r>
        <w:t>)</w:t>
      </w:r>
    </w:p>
    <w:p w:rsidR="00945D6A" w:rsidRDefault="00945D6A" w:rsidP="00945D6A">
      <w:pPr>
        <w:spacing w:line="360" w:lineRule="auto"/>
        <w:jc w:val="both"/>
        <w:rPr>
          <w:rFonts w:ascii="Palatino Linotype" w:hAnsi="Palatino Linotype" w:cs="Arial"/>
        </w:rPr>
      </w:pPr>
    </w:p>
    <w:p w:rsidR="00945D6A" w:rsidRPr="002C3EC8" w:rsidRDefault="00945D6A" w:rsidP="00945D6A">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945D6A" w:rsidRDefault="00945D6A" w:rsidP="00945D6A">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9A3812">
        <w:rPr>
          <w:rFonts w:ascii="Palatino Linotype" w:hAnsi="Palatino Linotype"/>
          <w:b/>
        </w:rPr>
        <w:t>ocho de noviembre</w:t>
      </w:r>
      <w:r>
        <w:rPr>
          <w:rFonts w:ascii="Palatino Linotype" w:hAnsi="Palatino Linotype"/>
          <w:b/>
        </w:rPr>
        <w:t xml:space="preserve"> de dos mil veinticuatro</w:t>
      </w:r>
      <w:r w:rsidRPr="002C3EC8">
        <w:rPr>
          <w:rFonts w:ascii="Palatino Linotype" w:hAnsi="Palatino Linotype"/>
        </w:rPr>
        <w:t xml:space="preserve">, determinándose en ellos, un plazo de siete días </w:t>
      </w:r>
      <w:r w:rsidRPr="002C3EC8">
        <w:rPr>
          <w:rFonts w:ascii="Palatino Linotype" w:hAnsi="Palatino Linotype"/>
        </w:rPr>
        <w:lastRenderedPageBreak/>
        <w:t>para que las partes manifestaran lo que a su derecho corresponda en términos del numeral ya citado.</w:t>
      </w:r>
    </w:p>
    <w:p w:rsidR="00945D6A" w:rsidRPr="004C20B7" w:rsidRDefault="00945D6A" w:rsidP="00945D6A">
      <w:pPr>
        <w:spacing w:before="240" w:line="360" w:lineRule="auto"/>
        <w:jc w:val="both"/>
        <w:rPr>
          <w:rFonts w:ascii="Palatino Linotype" w:hAnsi="Palatino Linotype" w:cs="Arial"/>
          <w:sz w:val="28"/>
        </w:rPr>
      </w:pPr>
    </w:p>
    <w:p w:rsidR="00945D6A" w:rsidRPr="00E52C83" w:rsidRDefault="00945D6A" w:rsidP="00945D6A">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9A3812" w:rsidRPr="00D32665" w:rsidRDefault="009A3812" w:rsidP="009A3812">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veinte de noviembre de dos mil veinticuatro</w:t>
      </w:r>
      <w:r w:rsidRPr="00D32665">
        <w:rPr>
          <w:rFonts w:ascii="Palatino Linotype" w:hAnsi="Palatino Linotype" w:cs="Arial"/>
        </w:rPr>
        <w:t>, por medio del archivo electrónico “</w:t>
      </w:r>
      <w:r w:rsidRPr="009A3812">
        <w:rPr>
          <w:rFonts w:ascii="Palatino Linotype" w:hAnsi="Palatino Linotype" w:cs="Arial"/>
          <w:b/>
          <w:i/>
        </w:rPr>
        <w:t>rr7090-24_20-11-2024-165235.pdf</w:t>
      </w:r>
      <w:r w:rsidRPr="00D32665">
        <w:rPr>
          <w:rFonts w:ascii="Palatino Linotype" w:hAnsi="Palatino Linotype" w:cs="Arial"/>
          <w:b/>
          <w:i/>
        </w:rPr>
        <w:t>”</w:t>
      </w:r>
      <w:r w:rsidRPr="00D32665">
        <w:rPr>
          <w:rFonts w:ascii="Palatino Linotype" w:hAnsi="Palatino Linotype" w:cs="Arial"/>
        </w:rPr>
        <w:t xml:space="preserve">, el cual fue puesto a la vista en fecha </w:t>
      </w:r>
      <w:r>
        <w:rPr>
          <w:rFonts w:ascii="Palatino Linotype" w:hAnsi="Palatino Linotype" w:cs="Arial"/>
        </w:rPr>
        <w:t>dos de diciembre</w:t>
      </w:r>
      <w:r w:rsidRPr="00D32665">
        <w:rPr>
          <w:rFonts w:ascii="Palatino Linotype" w:hAnsi="Palatino Linotype" w:cs="Arial"/>
        </w:rPr>
        <w:t xml:space="preserve"> del mismo año</w:t>
      </w:r>
      <w:r w:rsidRPr="00D32665">
        <w:rPr>
          <w:rFonts w:ascii="Palatino Linotype" w:hAnsi="Palatino Linotype" w:cs="Arial"/>
          <w:b/>
          <w:i/>
        </w:rPr>
        <w:t>.</w:t>
      </w:r>
    </w:p>
    <w:p w:rsidR="009A3812" w:rsidRPr="00D32665" w:rsidRDefault="009A3812" w:rsidP="009A3812">
      <w:pPr>
        <w:spacing w:line="360" w:lineRule="auto"/>
        <w:jc w:val="both"/>
        <w:rPr>
          <w:rFonts w:ascii="Palatino Linotype" w:hAnsi="Palatino Linotype"/>
        </w:rPr>
      </w:pPr>
    </w:p>
    <w:p w:rsidR="009A3812" w:rsidRPr="00D32665" w:rsidRDefault="009A3812" w:rsidP="009A3812">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9A3812" w:rsidRDefault="009A3812" w:rsidP="009A3812">
      <w:pPr>
        <w:spacing w:line="360" w:lineRule="auto"/>
        <w:jc w:val="both"/>
        <w:rPr>
          <w:rFonts w:ascii="Palatino Linotype" w:hAnsi="Palatino Linotype" w:cs="Arial"/>
          <w:b/>
          <w:sz w:val="28"/>
          <w:szCs w:val="28"/>
        </w:rPr>
      </w:pPr>
    </w:p>
    <w:p w:rsidR="00945D6A" w:rsidRDefault="00945D6A" w:rsidP="00945D6A">
      <w:pPr>
        <w:spacing w:line="360" w:lineRule="auto"/>
        <w:jc w:val="both"/>
        <w:rPr>
          <w:rFonts w:ascii="Palatino Linotype" w:hAnsi="Palatino Linotype" w:cs="Arial"/>
          <w:b/>
          <w:sz w:val="28"/>
          <w:szCs w:val="28"/>
        </w:rPr>
      </w:pPr>
    </w:p>
    <w:p w:rsidR="00945D6A" w:rsidRPr="002C3EC8" w:rsidRDefault="00945D6A" w:rsidP="00945D6A">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945D6A" w:rsidRDefault="00945D6A" w:rsidP="00945D6A">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500AAF">
        <w:rPr>
          <w:rFonts w:ascii="Palatino Linotype" w:hAnsi="Palatino Linotype" w:cs="Arial"/>
          <w:b/>
        </w:rPr>
        <w:t>once</w:t>
      </w:r>
      <w:r w:rsidR="009A3812">
        <w:rPr>
          <w:rFonts w:ascii="Palatino Linotype" w:hAnsi="Palatino Linotype" w:cs="Arial"/>
          <w:b/>
        </w:rPr>
        <w:t xml:space="preserve"> de diciembre</w:t>
      </w:r>
      <w:r>
        <w:rPr>
          <w:rFonts w:ascii="Palatino Linotype" w:hAnsi="Palatino Linotype" w:cs="Arial"/>
          <w:b/>
        </w:rPr>
        <w:t xml:space="preserv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w:t>
      </w:r>
      <w:r w:rsidR="009A3812">
        <w:rPr>
          <w:rFonts w:ascii="Palatino Linotype" w:hAnsi="Palatino Linotype" w:cs="Arial"/>
        </w:rPr>
        <w:t>solución que en derecho proceda.</w:t>
      </w:r>
    </w:p>
    <w:p w:rsidR="009A3812" w:rsidRPr="009A3812" w:rsidRDefault="009A3812" w:rsidP="00945D6A">
      <w:pPr>
        <w:spacing w:line="360" w:lineRule="auto"/>
        <w:jc w:val="both"/>
        <w:rPr>
          <w:rFonts w:ascii="Palatino Linotype" w:hAnsi="Palatino Linotype" w:cs="Arial"/>
        </w:rPr>
      </w:pPr>
    </w:p>
    <w:p w:rsidR="00945D6A" w:rsidRPr="0024200F" w:rsidRDefault="00945D6A" w:rsidP="00945D6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945D6A" w:rsidRPr="00825F67" w:rsidRDefault="00945D6A" w:rsidP="00945D6A">
      <w:pPr>
        <w:spacing w:line="360" w:lineRule="auto"/>
        <w:ind w:right="49"/>
        <w:jc w:val="both"/>
        <w:rPr>
          <w:rFonts w:ascii="Palatino Linotype" w:hAnsi="Palatino Linotype"/>
          <w:szCs w:val="28"/>
        </w:rPr>
      </w:pPr>
    </w:p>
    <w:p w:rsidR="00945D6A" w:rsidRPr="002C3EC8" w:rsidRDefault="00945D6A" w:rsidP="00945D6A">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E53228" w:rsidRPr="007C6AB6" w:rsidRDefault="00E53228" w:rsidP="00E53228">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945D6A" w:rsidRPr="002C3EC8" w:rsidRDefault="00945D6A" w:rsidP="00945D6A">
      <w:pPr>
        <w:spacing w:before="240" w:line="360" w:lineRule="auto"/>
        <w:jc w:val="both"/>
        <w:rPr>
          <w:rFonts w:ascii="Palatino Linotype" w:eastAsia="Calibri" w:hAnsi="Palatino Linotype"/>
          <w:b/>
          <w:color w:val="000000" w:themeColor="text1"/>
        </w:rPr>
      </w:pPr>
    </w:p>
    <w:p w:rsidR="00945D6A" w:rsidRPr="002C3EC8" w:rsidRDefault="00945D6A" w:rsidP="00945D6A">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945D6A" w:rsidRDefault="00945D6A" w:rsidP="00945D6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2C3EC8">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rsidR="00945D6A" w:rsidRPr="00821CCD" w:rsidRDefault="00945D6A" w:rsidP="00945D6A">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945D6A" w:rsidRPr="00821CCD" w:rsidRDefault="00945D6A" w:rsidP="00945D6A">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945D6A" w:rsidRPr="00821CCD" w:rsidRDefault="00945D6A" w:rsidP="00945D6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945D6A" w:rsidRPr="00821CCD" w:rsidRDefault="00945D6A" w:rsidP="00945D6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945D6A" w:rsidRPr="00821CCD" w:rsidRDefault="00945D6A" w:rsidP="00945D6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945D6A" w:rsidRPr="00821CCD" w:rsidRDefault="00945D6A" w:rsidP="00945D6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945D6A" w:rsidRPr="00821CCD" w:rsidRDefault="00945D6A" w:rsidP="00945D6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945D6A" w:rsidRPr="00821CCD" w:rsidRDefault="00945D6A" w:rsidP="00945D6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945D6A" w:rsidRPr="00821CCD" w:rsidRDefault="00945D6A" w:rsidP="00945D6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945D6A" w:rsidRPr="00821CCD" w:rsidRDefault="00945D6A" w:rsidP="00945D6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945D6A" w:rsidRPr="00821CCD" w:rsidRDefault="00945D6A" w:rsidP="00945D6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945D6A" w:rsidRPr="00821CCD" w:rsidRDefault="00945D6A" w:rsidP="00945D6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945D6A" w:rsidRPr="00821CCD" w:rsidRDefault="00945D6A" w:rsidP="00945D6A">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rsidR="00945D6A" w:rsidRPr="00821CCD" w:rsidRDefault="00945D6A" w:rsidP="00945D6A">
      <w:pPr>
        <w:autoSpaceDE w:val="0"/>
        <w:autoSpaceDN w:val="0"/>
        <w:adjustRightInd w:val="0"/>
        <w:spacing w:before="240" w:line="360" w:lineRule="auto"/>
        <w:jc w:val="both"/>
        <w:rPr>
          <w:rFonts w:ascii="Palatino Linotype" w:hAnsi="Palatino Linotype"/>
        </w:rPr>
      </w:pPr>
    </w:p>
    <w:p w:rsidR="00945D6A" w:rsidRPr="00821CCD" w:rsidRDefault="00945D6A" w:rsidP="00945D6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945D6A" w:rsidRPr="00821CCD" w:rsidTr="00E53228">
        <w:trPr>
          <w:trHeight w:val="1360"/>
        </w:trPr>
        <w:tc>
          <w:tcPr>
            <w:tcW w:w="7982" w:type="dxa"/>
          </w:tcPr>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945D6A" w:rsidRPr="00821CCD" w:rsidRDefault="00945D6A" w:rsidP="00945D6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945D6A" w:rsidRPr="00821CCD" w:rsidTr="00E53228">
        <w:trPr>
          <w:jc w:val="center"/>
        </w:trPr>
        <w:tc>
          <w:tcPr>
            <w:tcW w:w="8075" w:type="dxa"/>
          </w:tcPr>
          <w:p w:rsidR="00945D6A" w:rsidRPr="00821CCD" w:rsidRDefault="00945D6A" w:rsidP="00E53228">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sidRPr="00821CCD">
              <w:rPr>
                <w:rFonts w:ascii="Palatino Linotype" w:hAnsi="Palatino Linotype"/>
                <w:i/>
              </w:rPr>
              <w:lastRenderedPageBreak/>
              <w:t xml:space="preserve">derecho de réplica será ejercido en los términos dispuestos por la ley. El derecho a la información será garantizado por el Estado. </w:t>
            </w:r>
          </w:p>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945D6A" w:rsidRPr="00821CCD" w:rsidRDefault="00945D6A" w:rsidP="00E5322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945D6A" w:rsidRPr="00821CCD" w:rsidRDefault="00945D6A" w:rsidP="00E5322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945D6A" w:rsidRPr="00821CCD" w:rsidRDefault="00945D6A" w:rsidP="00E53228">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945D6A" w:rsidRPr="00821CCD" w:rsidRDefault="00945D6A" w:rsidP="00E5322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945D6A" w:rsidRPr="00821CCD" w:rsidRDefault="00945D6A" w:rsidP="00E5322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945D6A" w:rsidRPr="00821CCD" w:rsidRDefault="00945D6A" w:rsidP="00E5322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945D6A" w:rsidRPr="00821CCD" w:rsidRDefault="00945D6A" w:rsidP="00945D6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945D6A" w:rsidRPr="00821CCD" w:rsidRDefault="00945D6A" w:rsidP="00945D6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945D6A" w:rsidRPr="00FF46DA" w:rsidRDefault="00945D6A" w:rsidP="00945D6A">
      <w:pPr>
        <w:pStyle w:val="Prrafodelista"/>
        <w:autoSpaceDE w:val="0"/>
        <w:autoSpaceDN w:val="0"/>
        <w:adjustRightInd w:val="0"/>
        <w:spacing w:before="240" w:after="160" w:line="360" w:lineRule="auto"/>
        <w:ind w:left="0"/>
        <w:jc w:val="both"/>
        <w:rPr>
          <w:rFonts w:ascii="Palatino Linotype" w:hAnsi="Palatino Linotype" w:cs="Arial"/>
        </w:rPr>
      </w:pPr>
    </w:p>
    <w:p w:rsidR="00945D6A" w:rsidRPr="002C3EC8" w:rsidRDefault="00945D6A" w:rsidP="00945D6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945D6A" w:rsidRPr="002C3EC8" w:rsidRDefault="00945D6A" w:rsidP="00945D6A">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945D6A" w:rsidRPr="002C3EC8" w:rsidRDefault="00945D6A" w:rsidP="00945D6A">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945D6A" w:rsidRDefault="00945D6A" w:rsidP="00945D6A">
      <w:pPr>
        <w:tabs>
          <w:tab w:val="left" w:pos="709"/>
        </w:tabs>
        <w:spacing w:before="240" w:line="360" w:lineRule="auto"/>
        <w:ind w:right="51"/>
        <w:jc w:val="both"/>
        <w:rPr>
          <w:rFonts w:ascii="Palatino Linotype" w:hAnsi="Palatino Linotype"/>
          <w:b/>
          <w:sz w:val="28"/>
          <w:szCs w:val="28"/>
        </w:rPr>
      </w:pPr>
    </w:p>
    <w:p w:rsidR="00945D6A" w:rsidRPr="002C3EC8" w:rsidRDefault="00945D6A" w:rsidP="00945D6A">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945D6A" w:rsidRPr="007379EE" w:rsidRDefault="00945D6A" w:rsidP="00945D6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A5BB2" w:rsidRDefault="00AA5BB2" w:rsidP="00AA5BB2">
      <w:pPr>
        <w:autoSpaceDE w:val="0"/>
        <w:autoSpaceDN w:val="0"/>
        <w:adjustRightInd w:val="0"/>
        <w:ind w:right="567"/>
        <w:rPr>
          <w:rFonts w:ascii="Palatino Linotype" w:eastAsia="Calibri" w:hAnsi="Palatino Linotype" w:cs="Arial"/>
        </w:rPr>
      </w:pPr>
    </w:p>
    <w:p w:rsidR="00AA5BB2" w:rsidRDefault="00AA5BB2" w:rsidP="00AA5BB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AA5BB2" w:rsidRDefault="00AA5BB2" w:rsidP="00AA5BB2">
      <w:pPr>
        <w:pStyle w:val="Citas"/>
      </w:pPr>
      <w:r w:rsidRPr="002E7A81">
        <w:t xml:space="preserve">Artículo 179. El recurso de revisión es un medio de protección que la Ley otorga a los particulares, para hacer valer su derecho de acceso a la información pública, y procederá en contra de las siguientes causas: </w:t>
      </w:r>
    </w:p>
    <w:p w:rsidR="00AA5BB2" w:rsidRDefault="00AA5BB2" w:rsidP="00AA5BB2">
      <w:pPr>
        <w:pStyle w:val="Citas"/>
        <w:numPr>
          <w:ilvl w:val="0"/>
          <w:numId w:val="20"/>
        </w:numPr>
        <w:spacing w:line="240" w:lineRule="auto"/>
      </w:pPr>
      <w:r w:rsidRPr="002E7A81">
        <w:lastRenderedPageBreak/>
        <w:t xml:space="preserve">La negativa a la información solicitada; </w:t>
      </w:r>
    </w:p>
    <w:p w:rsidR="00AA5BB2" w:rsidRDefault="00AA5BB2" w:rsidP="00AA5BB2">
      <w:pPr>
        <w:pStyle w:val="Citas"/>
        <w:numPr>
          <w:ilvl w:val="0"/>
          <w:numId w:val="20"/>
        </w:numPr>
        <w:spacing w:line="240" w:lineRule="auto"/>
      </w:pPr>
      <w:r w:rsidRPr="002E7A81">
        <w:t xml:space="preserve">La clasificación de la información; </w:t>
      </w:r>
    </w:p>
    <w:p w:rsidR="00AA5BB2" w:rsidRDefault="00AA5BB2" w:rsidP="00AA5BB2">
      <w:pPr>
        <w:pStyle w:val="Citas"/>
        <w:numPr>
          <w:ilvl w:val="0"/>
          <w:numId w:val="20"/>
        </w:numPr>
        <w:spacing w:line="240" w:lineRule="auto"/>
      </w:pPr>
      <w:r w:rsidRPr="002E7A81">
        <w:t xml:space="preserve">La declaración de inexistencia de la información; </w:t>
      </w:r>
    </w:p>
    <w:p w:rsidR="00AA5BB2" w:rsidRDefault="00AA5BB2" w:rsidP="00AA5BB2">
      <w:pPr>
        <w:pStyle w:val="Citas"/>
        <w:numPr>
          <w:ilvl w:val="0"/>
          <w:numId w:val="20"/>
        </w:numPr>
        <w:spacing w:line="240" w:lineRule="auto"/>
      </w:pPr>
      <w:r w:rsidRPr="002E7A81">
        <w:t xml:space="preserve">La declaración de incompetencia por el sujeto obligado; </w:t>
      </w:r>
    </w:p>
    <w:p w:rsidR="00AA5BB2" w:rsidRDefault="00AA5BB2" w:rsidP="00AA5BB2">
      <w:pPr>
        <w:pStyle w:val="Citas"/>
        <w:numPr>
          <w:ilvl w:val="0"/>
          <w:numId w:val="20"/>
        </w:numPr>
        <w:spacing w:line="240" w:lineRule="auto"/>
      </w:pPr>
      <w:r w:rsidRPr="002E7A81">
        <w:t xml:space="preserve">La entrega de información incompleta; </w:t>
      </w:r>
    </w:p>
    <w:p w:rsidR="00AA5BB2" w:rsidRDefault="00AA5BB2" w:rsidP="00AA5BB2">
      <w:pPr>
        <w:pStyle w:val="Citas"/>
        <w:numPr>
          <w:ilvl w:val="0"/>
          <w:numId w:val="20"/>
        </w:numPr>
        <w:spacing w:line="240" w:lineRule="auto"/>
      </w:pPr>
      <w:r w:rsidRPr="002E7A81">
        <w:t xml:space="preserve">La entrega de información que no corresponda con lo solicitado; </w:t>
      </w:r>
    </w:p>
    <w:p w:rsidR="00AA5BB2" w:rsidRDefault="00AA5BB2" w:rsidP="00AA5BB2">
      <w:pPr>
        <w:pStyle w:val="Citas"/>
        <w:numPr>
          <w:ilvl w:val="0"/>
          <w:numId w:val="20"/>
        </w:numPr>
        <w:spacing w:line="240" w:lineRule="auto"/>
      </w:pPr>
      <w:r w:rsidRPr="002E7A81">
        <w:t xml:space="preserve">La falta de respuesta a una solicitud de acceso a la información; </w:t>
      </w:r>
    </w:p>
    <w:p w:rsidR="00AA5BB2" w:rsidRDefault="00AA5BB2" w:rsidP="00AA5BB2">
      <w:pPr>
        <w:pStyle w:val="Citas"/>
        <w:numPr>
          <w:ilvl w:val="0"/>
          <w:numId w:val="20"/>
        </w:numPr>
        <w:spacing w:line="240" w:lineRule="auto"/>
      </w:pPr>
      <w:r w:rsidRPr="002E7A81">
        <w:t xml:space="preserve">La notificación, entrega o puesta a disposición de información en una modalidad o formato distinto al solicitado; </w:t>
      </w:r>
    </w:p>
    <w:p w:rsidR="00AA5BB2" w:rsidRDefault="00AA5BB2" w:rsidP="00AA5BB2">
      <w:pPr>
        <w:pStyle w:val="Citas"/>
        <w:numPr>
          <w:ilvl w:val="0"/>
          <w:numId w:val="20"/>
        </w:numPr>
        <w:spacing w:line="240" w:lineRule="auto"/>
      </w:pPr>
      <w:r w:rsidRPr="002E7A81">
        <w:t xml:space="preserve">La entrega o puesta a disposición de información en un formato incomprensible y/o no accesible para el solicitante; </w:t>
      </w:r>
    </w:p>
    <w:p w:rsidR="00AA5BB2" w:rsidRDefault="00AA5BB2" w:rsidP="00AA5BB2">
      <w:pPr>
        <w:pStyle w:val="Citas"/>
        <w:numPr>
          <w:ilvl w:val="0"/>
          <w:numId w:val="20"/>
        </w:numPr>
        <w:spacing w:line="240" w:lineRule="auto"/>
      </w:pPr>
      <w:r w:rsidRPr="002E7A81">
        <w:t xml:space="preserve">Los costos o tiempos de entrega de la información; </w:t>
      </w:r>
    </w:p>
    <w:p w:rsidR="00AA5BB2" w:rsidRDefault="00AA5BB2" w:rsidP="00AA5BB2">
      <w:pPr>
        <w:pStyle w:val="Citas"/>
        <w:numPr>
          <w:ilvl w:val="0"/>
          <w:numId w:val="20"/>
        </w:numPr>
        <w:spacing w:line="240" w:lineRule="auto"/>
      </w:pPr>
      <w:r w:rsidRPr="002E7A81">
        <w:t xml:space="preserve">La falta de trámite a una solicitud; </w:t>
      </w:r>
    </w:p>
    <w:p w:rsidR="00AA5BB2" w:rsidRDefault="00AA5BB2" w:rsidP="00AA5BB2">
      <w:pPr>
        <w:pStyle w:val="Citas"/>
        <w:numPr>
          <w:ilvl w:val="0"/>
          <w:numId w:val="20"/>
        </w:numPr>
        <w:spacing w:line="240" w:lineRule="auto"/>
      </w:pPr>
      <w:r w:rsidRPr="002E7A81">
        <w:t xml:space="preserve">La negativa a permitir la consulta directa de la información; </w:t>
      </w:r>
    </w:p>
    <w:p w:rsidR="00AA5BB2" w:rsidRDefault="00AA5BB2" w:rsidP="00AA5BB2">
      <w:pPr>
        <w:pStyle w:val="Citas"/>
        <w:numPr>
          <w:ilvl w:val="0"/>
          <w:numId w:val="20"/>
        </w:numPr>
        <w:spacing w:line="240" w:lineRule="auto"/>
      </w:pPr>
      <w:r w:rsidRPr="002E7A81">
        <w:t xml:space="preserve">La falta, deficiencia o insuficiencia de la fundamentación y/o motivación en la respuesta; y </w:t>
      </w:r>
    </w:p>
    <w:p w:rsidR="00AA5BB2" w:rsidRDefault="00AA5BB2" w:rsidP="00AA5BB2">
      <w:pPr>
        <w:pStyle w:val="Citas"/>
        <w:numPr>
          <w:ilvl w:val="0"/>
          <w:numId w:val="20"/>
        </w:numPr>
        <w:spacing w:line="240" w:lineRule="auto"/>
      </w:pPr>
      <w:r w:rsidRPr="002E7A81">
        <w:t xml:space="preserve">La orientación a un trámite específico. </w:t>
      </w:r>
    </w:p>
    <w:p w:rsidR="00AA5BB2" w:rsidRPr="007379EE" w:rsidRDefault="00AA5BB2" w:rsidP="00AA5BB2">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AA5BB2" w:rsidRDefault="00AA5BB2" w:rsidP="00AA5BB2">
      <w:pPr>
        <w:autoSpaceDE w:val="0"/>
        <w:autoSpaceDN w:val="0"/>
        <w:adjustRightInd w:val="0"/>
        <w:ind w:right="567"/>
        <w:rPr>
          <w:rFonts w:ascii="Palatino Linotype" w:eastAsia="Calibri" w:hAnsi="Palatino Linotype" w:cs="Arial"/>
        </w:rPr>
      </w:pPr>
    </w:p>
    <w:p w:rsidR="00945D6A" w:rsidRDefault="00945D6A" w:rsidP="00945D6A">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945D6A" w:rsidRPr="009A3812" w:rsidRDefault="00945D6A" w:rsidP="009A3812">
      <w:pPr>
        <w:tabs>
          <w:tab w:val="left" w:pos="1828"/>
        </w:tabs>
        <w:spacing w:line="360" w:lineRule="auto"/>
        <w:jc w:val="both"/>
        <w:rPr>
          <w:rFonts w:ascii="Palatino Linotype" w:hAnsi="Palatino Linotype" w:cs="Tahoma"/>
          <w:bCs/>
        </w:rPr>
      </w:pPr>
    </w:p>
    <w:p w:rsidR="00E53228" w:rsidRDefault="00CD225B" w:rsidP="009A3812">
      <w:pPr>
        <w:pStyle w:val="Prrafodelista"/>
        <w:numPr>
          <w:ilvl w:val="0"/>
          <w:numId w:val="4"/>
        </w:numPr>
        <w:tabs>
          <w:tab w:val="left" w:pos="1828"/>
        </w:tabs>
        <w:spacing w:line="360" w:lineRule="auto"/>
        <w:jc w:val="both"/>
        <w:rPr>
          <w:rFonts w:ascii="Palatino Linotype" w:hAnsi="Palatino Linotype" w:cs="Tahoma"/>
          <w:bCs/>
        </w:rPr>
      </w:pPr>
      <w:r>
        <w:rPr>
          <w:rFonts w:ascii="Palatino Linotype" w:hAnsi="Palatino Linotype" w:cs="Tahoma"/>
          <w:bCs/>
        </w:rPr>
        <w:lastRenderedPageBreak/>
        <w:t>R</w:t>
      </w:r>
      <w:r w:rsidR="009A3812" w:rsidRPr="009A3812">
        <w:rPr>
          <w:rFonts w:ascii="Palatino Linotype" w:hAnsi="Palatino Linotype" w:cs="Tahoma"/>
          <w:bCs/>
        </w:rPr>
        <w:t>elación de los</w:t>
      </w:r>
      <w:r w:rsidR="009A3812" w:rsidRPr="00444709">
        <w:rPr>
          <w:rFonts w:ascii="Palatino Linotype" w:hAnsi="Palatino Linotype" w:cs="Tahoma"/>
          <w:b/>
          <w:bCs/>
          <w:u w:val="single"/>
        </w:rPr>
        <w:t xml:space="preserve"> descuentos generados por concepto de retardo, retardos acumulados y faltas</w:t>
      </w:r>
      <w:r w:rsidR="009A3812" w:rsidRPr="009A3812">
        <w:rPr>
          <w:rFonts w:ascii="Palatino Linotype" w:hAnsi="Palatino Linotype" w:cs="Tahoma"/>
          <w:bCs/>
        </w:rPr>
        <w:t xml:space="preserve"> según el reporte de Registro de asistencia del personal administrativo a Recursos Humanos del 15 de junio del 2023 al 15 de agosto del 2024 de los siguientes empleados: 00022, 00050, 00104, 01064, 03243, 03715, 05498, 05672, 06965, 06982, 11005, 11410, 13333, 13349, 13449, 15428, 15456, 15456, 15775, 16062, 16483, 16730, 16736, 16743, 17933, 19739, 20748, 21097, 22010, 24044, 24585, 25457, 25563, 25571, 25582, 25881, 25922, 26416, 26481, 26482, 26593, 26623, 27064, 27937, 28659, 28874, 35925, 37461, 37792, 40494, 42041.</w:t>
      </w:r>
    </w:p>
    <w:p w:rsidR="00AA5BB2" w:rsidRDefault="00AA5BB2" w:rsidP="00945D6A">
      <w:pPr>
        <w:spacing w:before="240" w:line="360" w:lineRule="auto"/>
        <w:jc w:val="both"/>
        <w:rPr>
          <w:rFonts w:ascii="Palatino Linotype" w:hAnsi="Palatino Linotype" w:cs="Arial"/>
        </w:rPr>
      </w:pPr>
    </w:p>
    <w:p w:rsidR="00945D6A" w:rsidRPr="001106D5" w:rsidRDefault="00945D6A" w:rsidP="00945D6A">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D6230D">
        <w:rPr>
          <w:rFonts w:ascii="Palatino Linotype" w:hAnsi="Palatino Linotype" w:cs="Arial"/>
          <w:b/>
        </w:rPr>
        <w:t>01062/UAEM/IP/2024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945D6A" w:rsidRDefault="00945D6A" w:rsidP="00945D6A">
      <w:pPr>
        <w:pStyle w:val="INFOEM"/>
      </w:pPr>
      <w:r>
        <w:t>“(…)</w:t>
      </w:r>
    </w:p>
    <w:p w:rsidR="00AA5BB2" w:rsidRDefault="00AA5BB2" w:rsidP="00945D6A">
      <w:pPr>
        <w:pStyle w:val="INFOEM"/>
        <w:rPr>
          <w:b/>
          <w:u w:val="single"/>
          <w:lang w:val="es-ES"/>
        </w:rPr>
      </w:pPr>
      <w:r w:rsidRPr="00AA5BB2">
        <w:rPr>
          <w:b/>
          <w:u w:val="single"/>
          <w:lang w:val="es-ES"/>
        </w:rPr>
        <w:t>La información relativa al “reporte de Registro de asistencia del personal administrativo” no es competencia de la Dirección de Recursos Humanos, por tanto no es posible atender a su solicitud de información en los términos requeridos. </w:t>
      </w:r>
    </w:p>
    <w:p w:rsidR="00945D6A" w:rsidRPr="00A2631F" w:rsidRDefault="00945D6A" w:rsidP="00945D6A">
      <w:pPr>
        <w:pStyle w:val="INFOEM"/>
        <w:rPr>
          <w:rFonts w:cs="Arial"/>
          <w:b/>
          <w:sz w:val="24"/>
        </w:rPr>
      </w:pPr>
      <w:r>
        <w:t xml:space="preserve"> (…)” (Sic)</w:t>
      </w:r>
    </w:p>
    <w:p w:rsidR="00945D6A" w:rsidRDefault="00AA5BB2" w:rsidP="00945D6A">
      <w:pPr>
        <w:spacing w:line="360" w:lineRule="auto"/>
        <w:jc w:val="both"/>
        <w:rPr>
          <w:rFonts w:ascii="Palatino Linotype" w:hAnsi="Palatino Linotype" w:cs="Arial"/>
          <w:bCs/>
        </w:rPr>
      </w:pPr>
      <w:r>
        <w:rPr>
          <w:rFonts w:ascii="Palatino Linotype" w:hAnsi="Palatino Linotype" w:cs="Arial"/>
          <w:bCs/>
        </w:rPr>
        <w:t>Adicionalmente, la parte Recurrente adjunto el archivo electrónico denominado:</w:t>
      </w:r>
    </w:p>
    <w:p w:rsidR="00AA5BB2" w:rsidRDefault="00AA5BB2" w:rsidP="00AA5BB2">
      <w:pPr>
        <w:pStyle w:val="Prrafodelista"/>
        <w:numPr>
          <w:ilvl w:val="0"/>
          <w:numId w:val="19"/>
        </w:numPr>
        <w:spacing w:line="360" w:lineRule="auto"/>
        <w:jc w:val="both"/>
        <w:rPr>
          <w:rFonts w:ascii="Palatino Linotype" w:hAnsi="Palatino Linotype" w:cs="Arial"/>
          <w:b/>
          <w:bCs/>
          <w:i/>
        </w:rPr>
      </w:pPr>
      <w:r w:rsidRPr="00AA5BB2">
        <w:rPr>
          <w:rFonts w:ascii="Palatino Linotype" w:hAnsi="Palatino Linotype" w:cs="Arial"/>
          <w:b/>
          <w:bCs/>
          <w:i/>
        </w:rPr>
        <w:t>datos1.pdf</w:t>
      </w:r>
      <w:r>
        <w:rPr>
          <w:rFonts w:ascii="Palatino Linotype" w:hAnsi="Palatino Linotype" w:cs="Arial"/>
          <w:b/>
          <w:bCs/>
          <w:i/>
        </w:rPr>
        <w:t>:</w:t>
      </w:r>
    </w:p>
    <w:p w:rsidR="00AA5BB2" w:rsidRDefault="00AA5BB2" w:rsidP="00AA5BB2">
      <w:pPr>
        <w:spacing w:line="360" w:lineRule="auto"/>
        <w:jc w:val="center"/>
        <w:rPr>
          <w:rFonts w:ascii="Palatino Linotype" w:hAnsi="Palatino Linotype" w:cs="Arial"/>
          <w:b/>
          <w:bCs/>
          <w:i/>
        </w:rPr>
      </w:pPr>
      <w:r>
        <w:rPr>
          <w:rFonts w:ascii="Palatino Linotype" w:hAnsi="Palatino Linotype" w:cs="Arial"/>
          <w:b/>
          <w:bCs/>
          <w:i/>
          <w:noProof/>
          <w:lang w:val="es-MX" w:eastAsia="es-MX"/>
        </w:rPr>
        <w:lastRenderedPageBreak/>
        <w:drawing>
          <wp:inline distT="0" distB="0" distL="0" distR="0">
            <wp:extent cx="2085975" cy="29806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01431.tmp"/>
                    <pic:cNvPicPr/>
                  </pic:nvPicPr>
                  <pic:blipFill>
                    <a:blip r:embed="rId7">
                      <a:extLst>
                        <a:ext uri="{28A0092B-C50C-407E-A947-70E740481C1C}">
                          <a14:useLocalDpi xmlns:a14="http://schemas.microsoft.com/office/drawing/2010/main" val="0"/>
                        </a:ext>
                      </a:extLst>
                    </a:blip>
                    <a:stretch>
                      <a:fillRect/>
                    </a:stretch>
                  </pic:blipFill>
                  <pic:spPr>
                    <a:xfrm>
                      <a:off x="0" y="0"/>
                      <a:ext cx="2103593" cy="3005834"/>
                    </a:xfrm>
                    <a:prstGeom prst="rect">
                      <a:avLst/>
                    </a:prstGeom>
                  </pic:spPr>
                </pic:pic>
              </a:graphicData>
            </a:graphic>
          </wp:inline>
        </w:drawing>
      </w:r>
      <w:r>
        <w:rPr>
          <w:rFonts w:ascii="Palatino Linotype" w:hAnsi="Palatino Linotype" w:cs="Arial"/>
          <w:b/>
          <w:bCs/>
          <w:i/>
          <w:noProof/>
          <w:lang w:val="es-MX" w:eastAsia="es-MX"/>
        </w:rPr>
        <w:drawing>
          <wp:inline distT="0" distB="0" distL="0" distR="0">
            <wp:extent cx="3199675" cy="245745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B0491D.tmp"/>
                    <pic:cNvPicPr/>
                  </pic:nvPicPr>
                  <pic:blipFill>
                    <a:blip r:embed="rId8">
                      <a:extLst>
                        <a:ext uri="{28A0092B-C50C-407E-A947-70E740481C1C}">
                          <a14:useLocalDpi xmlns:a14="http://schemas.microsoft.com/office/drawing/2010/main" val="0"/>
                        </a:ext>
                      </a:extLst>
                    </a:blip>
                    <a:stretch>
                      <a:fillRect/>
                    </a:stretch>
                  </pic:blipFill>
                  <pic:spPr>
                    <a:xfrm>
                      <a:off x="0" y="0"/>
                      <a:ext cx="3216075" cy="2470046"/>
                    </a:xfrm>
                    <a:prstGeom prst="rect">
                      <a:avLst/>
                    </a:prstGeom>
                  </pic:spPr>
                </pic:pic>
              </a:graphicData>
            </a:graphic>
          </wp:inline>
        </w:drawing>
      </w:r>
    </w:p>
    <w:p w:rsidR="00AA5BB2" w:rsidRDefault="00AA5BB2" w:rsidP="00AA5BB2">
      <w:pPr>
        <w:spacing w:line="360" w:lineRule="auto"/>
        <w:jc w:val="both"/>
        <w:rPr>
          <w:rFonts w:ascii="Palatino Linotype" w:hAnsi="Palatino Linotype" w:cs="Arial"/>
          <w:b/>
          <w:bCs/>
          <w:i/>
        </w:rPr>
      </w:pPr>
    </w:p>
    <w:p w:rsidR="00AA5BB2" w:rsidRPr="00AA5BB2" w:rsidRDefault="00AA5BB2" w:rsidP="00AA5BB2">
      <w:pPr>
        <w:spacing w:line="360" w:lineRule="auto"/>
        <w:jc w:val="both"/>
        <w:rPr>
          <w:rFonts w:ascii="Palatino Linotype" w:hAnsi="Palatino Linotype" w:cs="Arial"/>
          <w:b/>
          <w:bCs/>
          <w:i/>
        </w:rPr>
      </w:pPr>
    </w:p>
    <w:p w:rsidR="00945D6A" w:rsidRDefault="00945D6A" w:rsidP="00945D6A">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AA5BB2" w:rsidRPr="00AA5BB2">
        <w:rPr>
          <w:rFonts w:ascii="Palatino Linotype" w:hAnsi="Palatino Linotype"/>
          <w:i/>
        </w:rPr>
        <w:t>Por la presente, impugno formalmente el acto de omisión y negativa por parte del Departamento de Recursos Humanos de la Universidad Autónoma del Estado de México (</w:t>
      </w:r>
      <w:proofErr w:type="spellStart"/>
      <w:r w:rsidR="00AA5BB2" w:rsidRPr="00AA5BB2">
        <w:rPr>
          <w:rFonts w:ascii="Palatino Linotype" w:hAnsi="Palatino Linotype"/>
          <w:i/>
        </w:rPr>
        <w:t>UAEMex</w:t>
      </w:r>
      <w:proofErr w:type="spellEnd"/>
      <w:r w:rsidR="00AA5BB2" w:rsidRPr="00AA5BB2">
        <w:rPr>
          <w:rFonts w:ascii="Palatino Linotype" w:hAnsi="Palatino Linotype"/>
          <w:i/>
        </w:rPr>
        <w:t xml:space="preserve">) de proporcionar la información que he solicitado. Dicha información corresponde al "reporte quincenal y/o reporte de asistencia del Sistema Integral para el Control de Asistencia de la </w:t>
      </w:r>
      <w:proofErr w:type="spellStart"/>
      <w:r w:rsidR="00AA5BB2" w:rsidRPr="00AA5BB2">
        <w:rPr>
          <w:rFonts w:ascii="Palatino Linotype" w:hAnsi="Palatino Linotype"/>
          <w:i/>
        </w:rPr>
        <w:t>UAEMex</w:t>
      </w:r>
      <w:proofErr w:type="spellEnd"/>
      <w:r w:rsidR="00AA5BB2" w:rsidRPr="00AA5BB2">
        <w:rPr>
          <w:rFonts w:ascii="Palatino Linotype" w:hAnsi="Palatino Linotype"/>
          <w:i/>
        </w:rPr>
        <w:t xml:space="preserve">, conocido como SICA, correspondiente al periodo del 15 de junio del 2023 al 15 de agosto de 2024". El argumento esgrimido para negar la entrega de esta información, es que "Recursos Humanos de la </w:t>
      </w:r>
      <w:proofErr w:type="spellStart"/>
      <w:r w:rsidR="00AA5BB2" w:rsidRPr="00AA5BB2">
        <w:rPr>
          <w:rFonts w:ascii="Palatino Linotype" w:hAnsi="Palatino Linotype"/>
          <w:i/>
        </w:rPr>
        <w:t>UAEMex</w:t>
      </w:r>
      <w:proofErr w:type="spellEnd"/>
      <w:r w:rsidR="00AA5BB2" w:rsidRPr="00AA5BB2">
        <w:rPr>
          <w:rFonts w:ascii="Palatino Linotype" w:hAnsi="Palatino Linotype"/>
          <w:i/>
        </w:rPr>
        <w:t xml:space="preserve"> no es el encargado de manejar la información solicitada del SICA", ya que este sistema es operado por el SIIA. Sin embargo, este es un argumento carente de fundamento, pues aunque el SICA sea operado por el SIIA, los reportes de asistencia generados por dicho sistema sí son manejados y utilizados por el </w:t>
      </w:r>
      <w:r w:rsidR="00AA5BB2" w:rsidRPr="00AA5BB2">
        <w:rPr>
          <w:rFonts w:ascii="Palatino Linotype" w:hAnsi="Palatino Linotype"/>
          <w:i/>
        </w:rPr>
        <w:lastRenderedPageBreak/>
        <w:t xml:space="preserve">Departamento de Recursos Humanos. En efecto, los reportes de asistencia del SICA son la base para realizar los descuentos quincenales a los que se hacen acreedores los empleados por concepto de faltas y retardos. Por lo tanto, el Departamento de Recursos Humanos sí tiene competencia y responsabilidad sobre esta información, y su negativa a proporcionarla constituye una grave omisión que vulnera mi derecho de acceso a la información. Ante esta situación, solicito que se revoque dicho acto de omisión y negativa, y se proceda a la entrega inmediata de la información solicitada. Adjunto evidencia de información en página oficial para </w:t>
      </w:r>
      <w:proofErr w:type="spellStart"/>
      <w:r w:rsidR="00AA5BB2" w:rsidRPr="00AA5BB2">
        <w:rPr>
          <w:rFonts w:ascii="Palatino Linotype" w:hAnsi="Palatino Linotype"/>
          <w:i/>
        </w:rPr>
        <w:t>registr</w:t>
      </w:r>
      <w:proofErr w:type="spellEnd"/>
      <w:r w:rsidR="00AA5BB2" w:rsidRPr="00AA5BB2">
        <w:rPr>
          <w:rFonts w:ascii="Palatino Linotype" w:hAnsi="Palatino Linotype"/>
          <w:i/>
        </w:rPr>
        <w:t xml:space="preserve"> de asistencia, datos de </w:t>
      </w:r>
      <w:proofErr w:type="spellStart"/>
      <w:r w:rsidR="00AA5BB2" w:rsidRPr="00AA5BB2">
        <w:rPr>
          <w:rFonts w:ascii="Palatino Linotype" w:hAnsi="Palatino Linotype"/>
          <w:i/>
        </w:rPr>
        <w:t>contact</w:t>
      </w:r>
      <w:proofErr w:type="spellEnd"/>
      <w:r w:rsidR="00AA5BB2" w:rsidRPr="00AA5BB2">
        <w:rPr>
          <w:rFonts w:ascii="Palatino Linotype" w:hAnsi="Palatino Linotype"/>
          <w:i/>
        </w:rPr>
        <w:t>, personal de la Dirección de Recursos Humanos.</w:t>
      </w:r>
      <w:r>
        <w:rPr>
          <w:rFonts w:ascii="Palatino Linotype" w:hAnsi="Palatino Linotype"/>
          <w:i/>
        </w:rPr>
        <w:t>” (Sic).</w:t>
      </w:r>
    </w:p>
    <w:p w:rsidR="00945D6A" w:rsidRDefault="00945D6A" w:rsidP="00945D6A">
      <w:pPr>
        <w:spacing w:line="360" w:lineRule="auto"/>
        <w:jc w:val="both"/>
        <w:rPr>
          <w:rFonts w:ascii="Palatino Linotype" w:hAnsi="Palatino Linotype"/>
          <w:i/>
        </w:rPr>
      </w:pPr>
    </w:p>
    <w:p w:rsidR="00AA5BB2" w:rsidRDefault="00AA5BB2" w:rsidP="00AA5BB2">
      <w:pPr>
        <w:spacing w:line="360" w:lineRule="auto"/>
        <w:jc w:val="both"/>
        <w:rPr>
          <w:rFonts w:ascii="Palatino Linotype" w:hAnsi="Palatino Linotype"/>
          <w:i/>
        </w:rPr>
      </w:pPr>
    </w:p>
    <w:p w:rsidR="00AA5BB2" w:rsidRDefault="00AA5BB2" w:rsidP="00AA5BB2">
      <w:pPr>
        <w:spacing w:line="360" w:lineRule="auto"/>
        <w:jc w:val="both"/>
        <w:rPr>
          <w:rFonts w:ascii="Palatino Linotype" w:hAnsi="Palatino Linotype"/>
        </w:rPr>
      </w:pPr>
      <w:r w:rsidRPr="00255F60">
        <w:rPr>
          <w:rFonts w:ascii="Palatino Linotype" w:hAnsi="Palatino Linotype"/>
          <w:lang w:val="es-ES_tradnl"/>
        </w:rPr>
        <w:t xml:space="preserve">Asimismo, en la etapa de manifestaciones </w:t>
      </w:r>
      <w:r w:rsidRPr="00255F60">
        <w:rPr>
          <w:rFonts w:ascii="Palatino Linotype" w:hAnsi="Palatino Linotype"/>
        </w:rPr>
        <w:t xml:space="preserve">se advierte que el </w:t>
      </w:r>
      <w:r w:rsidRPr="00255F60">
        <w:rPr>
          <w:rFonts w:ascii="Palatino Linotype" w:hAnsi="Palatino Linotype"/>
          <w:b/>
        </w:rPr>
        <w:t>Sujeto Obligado</w:t>
      </w:r>
      <w:r w:rsidRPr="00255F60">
        <w:rPr>
          <w:rFonts w:ascii="Palatino Linotype" w:hAnsi="Palatino Linotype"/>
        </w:rPr>
        <w:t xml:space="preserve"> rindió su informe justificado mediante el archivo electrónico denominado “</w:t>
      </w:r>
      <w:r w:rsidRPr="00AA5BB2">
        <w:rPr>
          <w:rFonts w:ascii="Palatino Linotype" w:hAnsi="Palatino Linotype"/>
          <w:b/>
          <w:i/>
        </w:rPr>
        <w:t>rr7090-24_20-11-2024-165235.pdf</w:t>
      </w:r>
      <w:r w:rsidRPr="00255F60">
        <w:rPr>
          <w:rFonts w:ascii="Palatino Linotype" w:hAnsi="Palatino Linotype"/>
          <w:b/>
          <w:i/>
        </w:rPr>
        <w:t>”</w:t>
      </w:r>
      <w:r w:rsidRPr="00255F60">
        <w:rPr>
          <w:rFonts w:ascii="Palatino Linotype" w:hAnsi="Palatino Linotype"/>
        </w:rPr>
        <w:t xml:space="preserve">, en </w:t>
      </w:r>
      <w:r>
        <w:rPr>
          <w:rFonts w:ascii="Palatino Linotype" w:hAnsi="Palatino Linotype"/>
        </w:rPr>
        <w:t xml:space="preserve">el </w:t>
      </w:r>
      <w:r w:rsidRPr="00255F60">
        <w:rPr>
          <w:rFonts w:ascii="Palatino Linotype" w:hAnsi="Palatino Linotype"/>
        </w:rPr>
        <w:t>que sustancialmente ratifica su respuesta</w:t>
      </w:r>
      <w:r w:rsidR="00444709">
        <w:rPr>
          <w:rFonts w:ascii="Palatino Linotype" w:hAnsi="Palatino Linotype"/>
        </w:rPr>
        <w:t xml:space="preserve"> y refiere que el Recurrente duda de la veracidad de la información.</w:t>
      </w:r>
    </w:p>
    <w:p w:rsidR="00945D6A" w:rsidRDefault="00945D6A" w:rsidP="00945D6A">
      <w:pPr>
        <w:rPr>
          <w:rFonts w:ascii="Palatino Linotype" w:eastAsia="Calibri" w:hAnsi="Palatino Linotype" w:cs="Calibri"/>
          <w:lang w:val="es-ES_tradnl" w:eastAsia="es-MX"/>
        </w:rPr>
      </w:pPr>
    </w:p>
    <w:p w:rsidR="00945D6A" w:rsidRDefault="00EA53AB" w:rsidP="00945D6A">
      <w:pPr>
        <w:spacing w:line="360" w:lineRule="auto"/>
        <w:ind w:right="214"/>
        <w:jc w:val="both"/>
        <w:rPr>
          <w:rFonts w:ascii="Palatino Linotype" w:hAnsi="Palatino Linotype"/>
        </w:rPr>
      </w:pPr>
      <w:r>
        <w:rPr>
          <w:rFonts w:ascii="Palatino Linotype" w:hAnsi="Palatino Linotype"/>
        </w:rPr>
        <w:t>Ahora bien, para delimitar esferas competenciales es necesario traer a colación el Manual de Organización de la Dirección de Recursos Humanos</w:t>
      </w:r>
      <w:r w:rsidR="00945D6A" w:rsidRPr="00112C93">
        <w:rPr>
          <w:rFonts w:ascii="Palatino Linotype" w:hAnsi="Palatino Linotype"/>
        </w:rPr>
        <w:t xml:space="preserve">, </w:t>
      </w:r>
      <w:r>
        <w:rPr>
          <w:rFonts w:ascii="Palatino Linotype" w:hAnsi="Palatino Linotype"/>
        </w:rPr>
        <w:t xml:space="preserve">mismos que establece las atribuciones de la Dirección de Recursos </w:t>
      </w:r>
      <w:r w:rsidR="00D155FD">
        <w:rPr>
          <w:rFonts w:ascii="Palatino Linotype" w:hAnsi="Palatino Linotype"/>
        </w:rPr>
        <w:t>Humanos, así como los departamentos y unidades con las que cuenta, tal como se ilustra</w:t>
      </w:r>
      <w:r w:rsidR="00945D6A" w:rsidRPr="00112C93">
        <w:rPr>
          <w:rFonts w:ascii="Palatino Linotype" w:hAnsi="Palatino Linotype"/>
        </w:rPr>
        <w:t>:</w:t>
      </w:r>
    </w:p>
    <w:p w:rsidR="00D155FD" w:rsidRPr="00112C93" w:rsidRDefault="00D155FD" w:rsidP="00D155FD">
      <w:pPr>
        <w:spacing w:line="360" w:lineRule="auto"/>
        <w:ind w:right="214"/>
        <w:jc w:val="center"/>
        <w:rPr>
          <w:rFonts w:ascii="Palatino Linotype" w:hAnsi="Palatino Linotype"/>
        </w:rPr>
      </w:pPr>
      <w:r w:rsidRPr="00D155FD">
        <w:rPr>
          <w:rFonts w:ascii="Palatino Linotype" w:hAnsi="Palatino Linotype"/>
          <w:noProof/>
          <w:lang w:val="es-MX" w:eastAsia="es-MX"/>
        </w:rPr>
        <w:lastRenderedPageBreak/>
        <w:drawing>
          <wp:inline distT="0" distB="0" distL="0" distR="0" wp14:anchorId="0605223A" wp14:editId="19301AF6">
            <wp:extent cx="4859899" cy="3390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2893" cy="3406944"/>
                    </a:xfrm>
                    <a:prstGeom prst="rect">
                      <a:avLst/>
                    </a:prstGeom>
                  </pic:spPr>
                </pic:pic>
              </a:graphicData>
            </a:graphic>
          </wp:inline>
        </w:drawing>
      </w:r>
    </w:p>
    <w:p w:rsidR="00D155FD" w:rsidRDefault="00D155FD" w:rsidP="00EA53AB">
      <w:pPr>
        <w:spacing w:before="240" w:after="240" w:line="276" w:lineRule="auto"/>
        <w:ind w:left="567" w:right="900"/>
        <w:jc w:val="both"/>
        <w:rPr>
          <w:rFonts w:ascii="Palatino Linotype" w:eastAsia="Palatino Linotype" w:hAnsi="Palatino Linotype" w:cs="Palatino Linotype"/>
          <w:i/>
          <w:sz w:val="22"/>
          <w:szCs w:val="22"/>
        </w:rPr>
      </w:pPr>
    </w:p>
    <w:p w:rsidR="00EA53AB" w:rsidRPr="009D05F4" w:rsidRDefault="00EA53AB" w:rsidP="00EA53AB">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9D05F4">
        <w:rPr>
          <w:rFonts w:ascii="Palatino Linotype" w:eastAsia="Palatino Linotype" w:hAnsi="Palatino Linotype" w:cs="Palatino Linotype"/>
          <w:i/>
          <w:sz w:val="22"/>
          <w:szCs w:val="22"/>
        </w:rPr>
        <w:t xml:space="preserve">Objetivo: </w:t>
      </w:r>
    </w:p>
    <w:p w:rsidR="00EA53AB" w:rsidRPr="009D05F4" w:rsidRDefault="00EA53AB" w:rsidP="00EA53AB">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b/>
          <w:i/>
          <w:sz w:val="22"/>
          <w:szCs w:val="22"/>
        </w:rPr>
        <w:t>Modernizar la administración de los recursos humanos de la Institución</w:t>
      </w:r>
      <w:r w:rsidRPr="009D05F4">
        <w:rPr>
          <w:rFonts w:ascii="Palatino Linotype" w:eastAsia="Palatino Linotype" w:hAnsi="Palatino Linotype" w:cs="Palatino Linotype"/>
          <w:i/>
          <w:sz w:val="22"/>
          <w:szCs w:val="22"/>
        </w:rPr>
        <w:t xml:space="preserve"> para apoyar </w:t>
      </w:r>
      <w:r w:rsidR="00444709" w:rsidRPr="009D05F4">
        <w:rPr>
          <w:rFonts w:ascii="Palatino Linotype" w:eastAsia="Palatino Linotype" w:hAnsi="Palatino Linotype" w:cs="Palatino Linotype"/>
          <w:i/>
          <w:sz w:val="22"/>
          <w:szCs w:val="22"/>
        </w:rPr>
        <w:t>el cumplimiento</w:t>
      </w:r>
      <w:r w:rsidRPr="009D05F4">
        <w:rPr>
          <w:rFonts w:ascii="Palatino Linotype" w:eastAsia="Palatino Linotype" w:hAnsi="Palatino Linotype" w:cs="Palatino Linotype"/>
          <w:i/>
          <w:sz w:val="22"/>
          <w:szCs w:val="22"/>
        </w:rPr>
        <w:t xml:space="preserve"> de sus objetivos y metas, mediante la aplicación de lo establecido en </w:t>
      </w:r>
      <w:r w:rsidR="00444709" w:rsidRPr="009D05F4">
        <w:rPr>
          <w:rFonts w:ascii="Palatino Linotype" w:eastAsia="Palatino Linotype" w:hAnsi="Palatino Linotype" w:cs="Palatino Linotype"/>
          <w:i/>
          <w:sz w:val="22"/>
          <w:szCs w:val="22"/>
        </w:rPr>
        <w:t>la normatividad</w:t>
      </w:r>
      <w:r w:rsidRPr="009D05F4">
        <w:rPr>
          <w:rFonts w:ascii="Palatino Linotype" w:eastAsia="Palatino Linotype" w:hAnsi="Palatino Linotype" w:cs="Palatino Linotype"/>
          <w:i/>
          <w:sz w:val="22"/>
          <w:szCs w:val="22"/>
        </w:rPr>
        <w:t xml:space="preserve">, la cultura de transparencia, acceso a la información y rendición de cuentas. </w:t>
      </w:r>
    </w:p>
    <w:p w:rsidR="00EA53AB" w:rsidRDefault="00EA53AB" w:rsidP="00EA53AB">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Funciones:</w:t>
      </w:r>
    </w:p>
    <w:p w:rsidR="00EA53AB" w:rsidRDefault="00EA53AB" w:rsidP="00EA53AB">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EA53AB" w:rsidRDefault="00EA53AB" w:rsidP="00EA53AB">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b/>
          <w:i/>
          <w:sz w:val="22"/>
          <w:szCs w:val="22"/>
        </w:rPr>
        <w:t>6. Supervisar la aplicación de los movimientos de percepciones y deducciones</w:t>
      </w:r>
      <w:r>
        <w:rPr>
          <w:rFonts w:ascii="Palatino Linotype" w:eastAsia="Palatino Linotype" w:hAnsi="Palatino Linotype" w:cs="Palatino Linotype"/>
          <w:i/>
          <w:sz w:val="22"/>
          <w:szCs w:val="22"/>
        </w:rPr>
        <w:t xml:space="preserve">, </w:t>
      </w:r>
      <w:r w:rsidRPr="00444709">
        <w:rPr>
          <w:rFonts w:ascii="Palatino Linotype" w:eastAsia="Palatino Linotype" w:hAnsi="Palatino Linotype" w:cs="Palatino Linotype"/>
          <w:b/>
          <w:i/>
          <w:sz w:val="22"/>
          <w:szCs w:val="22"/>
        </w:rPr>
        <w:t xml:space="preserve">a efecto de garantizar el pago oportuno de sueldos y prestaciones de los trabajadores universitarios en </w:t>
      </w:r>
      <w:r w:rsidR="00444709" w:rsidRPr="00444709">
        <w:rPr>
          <w:rFonts w:ascii="Palatino Linotype" w:eastAsia="Palatino Linotype" w:hAnsi="Palatino Linotype" w:cs="Palatino Linotype"/>
          <w:b/>
          <w:i/>
          <w:sz w:val="22"/>
          <w:szCs w:val="22"/>
        </w:rPr>
        <w:t>el Sistema</w:t>
      </w:r>
      <w:r w:rsidRPr="00444709">
        <w:rPr>
          <w:rFonts w:ascii="Palatino Linotype" w:eastAsia="Palatino Linotype" w:hAnsi="Palatino Linotype" w:cs="Palatino Linotype"/>
          <w:b/>
          <w:i/>
          <w:sz w:val="22"/>
          <w:szCs w:val="22"/>
        </w:rPr>
        <w:t xml:space="preserve"> dispuesto para la Administración de Recursos Humanos,</w:t>
      </w:r>
      <w:r>
        <w:rPr>
          <w:rFonts w:ascii="Palatino Linotype" w:eastAsia="Palatino Linotype" w:hAnsi="Palatino Linotype" w:cs="Palatino Linotype"/>
          <w:i/>
          <w:sz w:val="22"/>
          <w:szCs w:val="22"/>
        </w:rPr>
        <w:t xml:space="preserve"> así como </w:t>
      </w:r>
      <w:r w:rsidR="00444709">
        <w:rPr>
          <w:rFonts w:ascii="Palatino Linotype" w:eastAsia="Palatino Linotype" w:hAnsi="Palatino Linotype" w:cs="Palatino Linotype"/>
          <w:i/>
          <w:sz w:val="22"/>
          <w:szCs w:val="22"/>
        </w:rPr>
        <w:t>del aprovechamiento</w:t>
      </w:r>
      <w:r w:rsidRPr="009D05F4">
        <w:rPr>
          <w:rFonts w:ascii="Palatino Linotype" w:eastAsia="Palatino Linotype" w:hAnsi="Palatino Linotype" w:cs="Palatino Linotype"/>
          <w:i/>
          <w:sz w:val="22"/>
          <w:szCs w:val="22"/>
        </w:rPr>
        <w:t xml:space="preserve"> de las tecnologías de la información dis</w:t>
      </w:r>
      <w:r>
        <w:rPr>
          <w:rFonts w:ascii="Palatino Linotype" w:eastAsia="Palatino Linotype" w:hAnsi="Palatino Linotype" w:cs="Palatino Linotype"/>
          <w:i/>
          <w:sz w:val="22"/>
          <w:szCs w:val="22"/>
        </w:rPr>
        <w:t xml:space="preserve">ponibles en cumplimiento de </w:t>
      </w:r>
      <w:r w:rsidR="00444709">
        <w:rPr>
          <w:rFonts w:ascii="Palatino Linotype" w:eastAsia="Palatino Linotype" w:hAnsi="Palatino Linotype" w:cs="Palatino Linotype"/>
          <w:i/>
          <w:sz w:val="22"/>
          <w:szCs w:val="22"/>
        </w:rPr>
        <w:t>la normatividad</w:t>
      </w:r>
      <w:r w:rsidRPr="009D05F4">
        <w:rPr>
          <w:rFonts w:ascii="Palatino Linotype" w:eastAsia="Palatino Linotype" w:hAnsi="Palatino Linotype" w:cs="Palatino Linotype"/>
          <w:i/>
          <w:sz w:val="22"/>
          <w:szCs w:val="22"/>
        </w:rPr>
        <w:t xml:space="preserve"> aplicable, Ley Federal de Trabajo, Contratos Co</w:t>
      </w:r>
      <w:r>
        <w:rPr>
          <w:rFonts w:ascii="Palatino Linotype" w:eastAsia="Palatino Linotype" w:hAnsi="Palatino Linotype" w:cs="Palatino Linotype"/>
          <w:i/>
          <w:sz w:val="22"/>
          <w:szCs w:val="22"/>
        </w:rPr>
        <w:t xml:space="preserve">lectivos de Trabajo, ISR y Ley  </w:t>
      </w:r>
      <w:proofErr w:type="spellStart"/>
      <w:r w:rsidRPr="009D05F4">
        <w:rPr>
          <w:rFonts w:ascii="Palatino Linotype" w:eastAsia="Palatino Linotype" w:hAnsi="Palatino Linotype" w:cs="Palatino Linotype"/>
          <w:i/>
          <w:sz w:val="22"/>
          <w:szCs w:val="22"/>
        </w:rPr>
        <w:t>ISSEMyM</w:t>
      </w:r>
      <w:proofErr w:type="spellEnd"/>
      <w:r>
        <w:rPr>
          <w:rFonts w:ascii="Palatino Linotype" w:eastAsia="Palatino Linotype" w:hAnsi="Palatino Linotype" w:cs="Palatino Linotype"/>
          <w:i/>
          <w:sz w:val="22"/>
          <w:szCs w:val="22"/>
        </w:rPr>
        <w:t xml:space="preserve">” </w:t>
      </w:r>
    </w:p>
    <w:p w:rsidR="00444709" w:rsidRDefault="00444709" w:rsidP="00EA53AB">
      <w:pPr>
        <w:spacing w:before="240" w:after="240" w:line="360" w:lineRule="auto"/>
        <w:ind w:right="49"/>
        <w:jc w:val="both"/>
        <w:rPr>
          <w:rFonts w:ascii="Palatino Linotype" w:eastAsia="Palatino Linotype" w:hAnsi="Palatino Linotype" w:cs="Palatino Linotype"/>
          <w:szCs w:val="22"/>
        </w:rPr>
      </w:pPr>
    </w:p>
    <w:p w:rsidR="00EA53AB" w:rsidRPr="00444709" w:rsidRDefault="00444709" w:rsidP="00EA53AB">
      <w:pPr>
        <w:spacing w:before="240" w:after="240" w:line="360" w:lineRule="auto"/>
        <w:ind w:right="49"/>
        <w:jc w:val="both"/>
        <w:rPr>
          <w:rFonts w:ascii="Palatino Linotype" w:eastAsia="Palatino Linotype" w:hAnsi="Palatino Linotype" w:cs="Palatino Linotype"/>
          <w:szCs w:val="22"/>
        </w:rPr>
      </w:pPr>
      <w:r>
        <w:rPr>
          <w:rFonts w:ascii="Palatino Linotype" w:eastAsia="Palatino Linotype" w:hAnsi="Palatino Linotype" w:cs="Palatino Linotype"/>
          <w:szCs w:val="22"/>
        </w:rPr>
        <w:t>D</w:t>
      </w:r>
      <w:r w:rsidR="00EA53AB" w:rsidRPr="00444709">
        <w:rPr>
          <w:rFonts w:ascii="Palatino Linotype" w:eastAsia="Palatino Linotype" w:hAnsi="Palatino Linotype" w:cs="Palatino Linotype"/>
          <w:szCs w:val="22"/>
        </w:rPr>
        <w:t>e conformidad con el Manual en referencia, esta Dirección cuenta a su vez con un Departamento de Control de Personal</w:t>
      </w:r>
      <w:r w:rsidR="00D155FD">
        <w:rPr>
          <w:rFonts w:ascii="Palatino Linotype" w:eastAsia="Palatino Linotype" w:hAnsi="Palatino Linotype" w:cs="Palatino Linotype"/>
          <w:szCs w:val="22"/>
        </w:rPr>
        <w:t xml:space="preserve"> y el Departamento de Nóminas</w:t>
      </w:r>
      <w:r w:rsidR="00EA53AB" w:rsidRPr="00444709">
        <w:rPr>
          <w:rFonts w:ascii="Palatino Linotype" w:eastAsia="Palatino Linotype" w:hAnsi="Palatino Linotype" w:cs="Palatino Linotype"/>
          <w:szCs w:val="22"/>
        </w:rPr>
        <w:t xml:space="preserve">, </w:t>
      </w:r>
      <w:r w:rsidR="00D155FD">
        <w:rPr>
          <w:rFonts w:ascii="Palatino Linotype" w:eastAsia="Palatino Linotype" w:hAnsi="Palatino Linotype" w:cs="Palatino Linotype"/>
          <w:szCs w:val="22"/>
        </w:rPr>
        <w:t>mismos que</w:t>
      </w:r>
      <w:r w:rsidR="00EA53AB" w:rsidRPr="00444709">
        <w:rPr>
          <w:rFonts w:ascii="Palatino Linotype" w:eastAsia="Palatino Linotype" w:hAnsi="Palatino Linotype" w:cs="Palatino Linotype"/>
          <w:szCs w:val="22"/>
        </w:rPr>
        <w:t xml:space="preserve"> </w:t>
      </w:r>
      <w:r w:rsidR="00D155FD">
        <w:rPr>
          <w:rFonts w:ascii="Palatino Linotype" w:eastAsia="Palatino Linotype" w:hAnsi="Palatino Linotype" w:cs="Palatino Linotype"/>
          <w:szCs w:val="22"/>
        </w:rPr>
        <w:t>tienen</w:t>
      </w:r>
      <w:r w:rsidR="00EA53AB" w:rsidRPr="00444709">
        <w:rPr>
          <w:rFonts w:ascii="Palatino Linotype" w:eastAsia="Palatino Linotype" w:hAnsi="Palatino Linotype" w:cs="Palatino Linotype"/>
          <w:szCs w:val="22"/>
        </w:rPr>
        <w:t xml:space="preserve"> las siguientes atribuciones:</w:t>
      </w:r>
    </w:p>
    <w:p w:rsidR="00D155FD" w:rsidRPr="00D155FD" w:rsidRDefault="00EA53AB" w:rsidP="00D155FD">
      <w:pPr>
        <w:spacing w:before="240" w:after="240" w:line="276" w:lineRule="auto"/>
        <w:ind w:left="567" w:right="900"/>
        <w:jc w:val="center"/>
        <w:rPr>
          <w:rFonts w:ascii="Palatino Linotype" w:eastAsia="Palatino Linotype" w:hAnsi="Palatino Linotype" w:cs="Palatino Linotype"/>
          <w:b/>
          <w:bCs/>
          <w:i/>
          <w:sz w:val="22"/>
          <w:szCs w:val="22"/>
          <w:lang w:val="es-MX"/>
        </w:rPr>
      </w:pPr>
      <w:r>
        <w:rPr>
          <w:rFonts w:ascii="Palatino Linotype" w:eastAsia="Palatino Linotype" w:hAnsi="Palatino Linotype" w:cs="Palatino Linotype"/>
          <w:i/>
          <w:sz w:val="22"/>
          <w:szCs w:val="22"/>
        </w:rPr>
        <w:t>“</w:t>
      </w:r>
      <w:r w:rsidR="00D155FD" w:rsidRPr="00D155FD">
        <w:rPr>
          <w:rFonts w:ascii="Palatino Linotype" w:eastAsia="Palatino Linotype" w:hAnsi="Palatino Linotype" w:cs="Palatino Linotype"/>
          <w:b/>
          <w:bCs/>
          <w:i/>
          <w:sz w:val="22"/>
          <w:szCs w:val="22"/>
          <w:lang w:val="es-MX"/>
        </w:rPr>
        <w:t>Departamento de Nóminas</w:t>
      </w:r>
    </w:p>
    <w:p w:rsidR="00D155FD" w:rsidRPr="00D155FD" w:rsidRDefault="00D155FD" w:rsidP="00D155FD">
      <w:pPr>
        <w:spacing w:before="240" w:after="240" w:line="276" w:lineRule="auto"/>
        <w:ind w:left="567" w:right="900"/>
        <w:jc w:val="both"/>
        <w:rPr>
          <w:rFonts w:ascii="Palatino Linotype" w:eastAsia="Palatino Linotype" w:hAnsi="Palatino Linotype" w:cs="Palatino Linotype"/>
          <w:b/>
          <w:bCs/>
          <w:i/>
          <w:sz w:val="22"/>
          <w:szCs w:val="22"/>
          <w:lang w:val="es-MX"/>
        </w:rPr>
      </w:pPr>
      <w:r w:rsidRPr="00D155FD">
        <w:rPr>
          <w:rFonts w:ascii="Palatino Linotype" w:eastAsia="Palatino Linotype" w:hAnsi="Palatino Linotype" w:cs="Palatino Linotype"/>
          <w:b/>
          <w:bCs/>
          <w:i/>
          <w:sz w:val="22"/>
          <w:szCs w:val="22"/>
          <w:lang w:val="es-MX"/>
        </w:rPr>
        <w:t>Objetivo:</w:t>
      </w:r>
    </w:p>
    <w:p w:rsidR="00D155FD" w:rsidRPr="00D155FD" w:rsidRDefault="00D155FD" w:rsidP="00D155FD">
      <w:pPr>
        <w:spacing w:before="240" w:after="240" w:line="276" w:lineRule="auto"/>
        <w:ind w:left="567" w:right="900"/>
        <w:jc w:val="both"/>
        <w:rPr>
          <w:rFonts w:ascii="Palatino Linotype" w:eastAsia="Palatino Linotype" w:hAnsi="Palatino Linotype" w:cs="Palatino Linotype"/>
          <w:i/>
          <w:sz w:val="22"/>
          <w:szCs w:val="22"/>
          <w:lang w:val="es-MX"/>
        </w:rPr>
      </w:pPr>
      <w:r w:rsidRPr="00D155FD">
        <w:rPr>
          <w:rFonts w:ascii="Palatino Linotype" w:eastAsia="Palatino Linotype" w:hAnsi="Palatino Linotype" w:cs="Palatino Linotype"/>
          <w:i/>
          <w:sz w:val="22"/>
          <w:szCs w:val="22"/>
          <w:lang w:val="es-MX"/>
        </w:rPr>
        <w:t>Analizar y aplicar los movimientos relacionados con las percepciones y deducciones de los trabajadores universitarios conforme a la normatividad laboral aplicable.</w:t>
      </w:r>
    </w:p>
    <w:p w:rsidR="00D155FD" w:rsidRDefault="00D155FD" w:rsidP="00D155FD">
      <w:pPr>
        <w:spacing w:before="240" w:after="240" w:line="276" w:lineRule="auto"/>
        <w:ind w:left="567" w:right="900"/>
        <w:jc w:val="both"/>
        <w:rPr>
          <w:rFonts w:ascii="Palatino Linotype" w:eastAsia="Palatino Linotype" w:hAnsi="Palatino Linotype" w:cs="Palatino Linotype"/>
          <w:b/>
          <w:bCs/>
          <w:i/>
          <w:sz w:val="22"/>
          <w:szCs w:val="22"/>
          <w:lang w:val="es-MX"/>
        </w:rPr>
      </w:pPr>
      <w:r w:rsidRPr="00D155FD">
        <w:rPr>
          <w:rFonts w:ascii="Palatino Linotype" w:eastAsia="Palatino Linotype" w:hAnsi="Palatino Linotype" w:cs="Palatino Linotype"/>
          <w:b/>
          <w:bCs/>
          <w:i/>
          <w:sz w:val="22"/>
          <w:szCs w:val="22"/>
          <w:lang w:val="es-MX"/>
        </w:rPr>
        <w:t>Funciones:</w:t>
      </w:r>
    </w:p>
    <w:p w:rsidR="002849D5" w:rsidRPr="00D155FD" w:rsidRDefault="002849D5" w:rsidP="00D155FD">
      <w:pPr>
        <w:spacing w:before="240" w:after="240" w:line="276" w:lineRule="auto"/>
        <w:ind w:left="567" w:right="900"/>
        <w:jc w:val="both"/>
        <w:rPr>
          <w:rFonts w:ascii="Palatino Linotype" w:eastAsia="Palatino Linotype" w:hAnsi="Palatino Linotype" w:cs="Palatino Linotype"/>
          <w:b/>
          <w:bCs/>
          <w:i/>
          <w:sz w:val="22"/>
          <w:szCs w:val="22"/>
          <w:lang w:val="es-MX"/>
        </w:rPr>
      </w:pPr>
      <w:r>
        <w:rPr>
          <w:rFonts w:ascii="Palatino Linotype" w:eastAsia="Palatino Linotype" w:hAnsi="Palatino Linotype" w:cs="Palatino Linotype"/>
          <w:b/>
          <w:bCs/>
          <w:i/>
          <w:sz w:val="22"/>
          <w:szCs w:val="22"/>
          <w:lang w:val="es-MX"/>
        </w:rPr>
        <w:t>…</w:t>
      </w:r>
    </w:p>
    <w:p w:rsidR="00D155FD" w:rsidRPr="00D155FD" w:rsidRDefault="00D155FD" w:rsidP="00D155FD">
      <w:pPr>
        <w:spacing w:before="240" w:after="240" w:line="276" w:lineRule="auto"/>
        <w:ind w:left="360" w:right="900"/>
        <w:jc w:val="both"/>
        <w:rPr>
          <w:rFonts w:ascii="Palatino Linotype" w:eastAsia="Palatino Linotype" w:hAnsi="Palatino Linotype" w:cs="Palatino Linotype"/>
          <w:i/>
          <w:sz w:val="22"/>
          <w:szCs w:val="22"/>
          <w:lang w:val="es-MX"/>
        </w:rPr>
      </w:pPr>
      <w:r>
        <w:rPr>
          <w:rFonts w:ascii="Palatino Linotype" w:eastAsia="Palatino Linotype" w:hAnsi="Palatino Linotype" w:cs="Palatino Linotype"/>
          <w:i/>
          <w:sz w:val="22"/>
          <w:szCs w:val="22"/>
          <w:lang w:val="es-MX"/>
        </w:rPr>
        <w:t xml:space="preserve">6. </w:t>
      </w:r>
      <w:r w:rsidRPr="00D155FD">
        <w:rPr>
          <w:rFonts w:ascii="Palatino Linotype" w:eastAsia="Palatino Linotype" w:hAnsi="Palatino Linotype" w:cs="Palatino Linotype"/>
          <w:i/>
          <w:sz w:val="22"/>
          <w:szCs w:val="22"/>
          <w:lang w:val="es-MX"/>
        </w:rPr>
        <w:t>Analizar la correcta aplicación en el Sistema dispuesto para la Administración de Recursos Humanos, el pago por concepto de prestaciones correspondientes a los trabajadores universitarios.</w:t>
      </w:r>
    </w:p>
    <w:p w:rsidR="00D155FD" w:rsidRDefault="00D155FD" w:rsidP="00D155FD">
      <w:pPr>
        <w:spacing w:before="240" w:after="240" w:line="276" w:lineRule="auto"/>
        <w:ind w:left="360" w:right="900"/>
        <w:jc w:val="both"/>
        <w:rPr>
          <w:rFonts w:ascii="Palatino Linotype" w:eastAsia="Palatino Linotype" w:hAnsi="Palatino Linotype" w:cs="Palatino Linotype"/>
          <w:i/>
          <w:sz w:val="22"/>
          <w:szCs w:val="22"/>
          <w:lang w:val="es-MX"/>
        </w:rPr>
      </w:pPr>
      <w:r>
        <w:rPr>
          <w:rFonts w:ascii="Palatino Linotype" w:eastAsia="Palatino Linotype" w:hAnsi="Palatino Linotype" w:cs="Palatino Linotype"/>
          <w:i/>
          <w:sz w:val="22"/>
          <w:szCs w:val="22"/>
          <w:lang w:val="es-MX"/>
        </w:rPr>
        <w:t xml:space="preserve">7. </w:t>
      </w:r>
      <w:r w:rsidRPr="00D155FD">
        <w:rPr>
          <w:rFonts w:ascii="Palatino Linotype" w:eastAsia="Palatino Linotype" w:hAnsi="Palatino Linotype" w:cs="Palatino Linotype"/>
          <w:i/>
          <w:sz w:val="22"/>
          <w:szCs w:val="22"/>
          <w:lang w:val="es-MX"/>
        </w:rPr>
        <w:t>Recibir y verificar los controles asistenciales del personal académico, a efecto de evaluar y aplicar en el Sistema dispuesto para la Administración de Recursos Humanos el pago semestral del estímulo a la puntualidad y asistencia, contenido en la cláusula 88 del Contrato Colectivo de Trabajo de FAAPAUAEM.</w:t>
      </w:r>
    </w:p>
    <w:p w:rsidR="00D155FD" w:rsidRPr="002849D5" w:rsidRDefault="00D155FD" w:rsidP="00D155FD">
      <w:pPr>
        <w:spacing w:before="240" w:after="240" w:line="276" w:lineRule="auto"/>
        <w:ind w:left="360" w:right="900"/>
        <w:jc w:val="both"/>
        <w:rPr>
          <w:rFonts w:ascii="Palatino Linotype" w:eastAsia="Palatino Linotype" w:hAnsi="Palatino Linotype" w:cs="Palatino Linotype"/>
          <w:b/>
          <w:i/>
          <w:sz w:val="22"/>
          <w:szCs w:val="22"/>
          <w:u w:val="single"/>
          <w:lang w:val="es-MX"/>
        </w:rPr>
      </w:pPr>
      <w:r w:rsidRPr="002849D5">
        <w:rPr>
          <w:rFonts w:ascii="Palatino Linotype" w:eastAsia="Palatino Linotype" w:hAnsi="Palatino Linotype" w:cs="Palatino Linotype"/>
          <w:i/>
          <w:sz w:val="22"/>
          <w:szCs w:val="22"/>
          <w:u w:val="single"/>
          <w:lang w:val="es-MX"/>
        </w:rPr>
        <w:t xml:space="preserve">8. </w:t>
      </w:r>
      <w:r w:rsidRPr="002849D5">
        <w:rPr>
          <w:rFonts w:ascii="Palatino Linotype" w:eastAsia="Palatino Linotype" w:hAnsi="Palatino Linotype" w:cs="Palatino Linotype"/>
          <w:b/>
          <w:i/>
          <w:sz w:val="22"/>
          <w:szCs w:val="22"/>
          <w:u w:val="single"/>
          <w:lang w:val="es-MX"/>
        </w:rPr>
        <w:t>Recibir y evaluar los controles asistenciales para la aplicación de pagos por días de productividad académica conforme a lo establecido en la cláusula 34 del Contrato Colectivo de Trabajo UAEM-FAAPAUAEM.</w:t>
      </w:r>
    </w:p>
    <w:p w:rsidR="002849D5" w:rsidRPr="00D155FD" w:rsidRDefault="002849D5" w:rsidP="00D155FD">
      <w:pPr>
        <w:spacing w:before="240" w:after="240" w:line="276" w:lineRule="auto"/>
        <w:ind w:left="360" w:right="900"/>
        <w:jc w:val="both"/>
        <w:rPr>
          <w:rFonts w:ascii="Palatino Linotype" w:eastAsia="Palatino Linotype" w:hAnsi="Palatino Linotype" w:cs="Palatino Linotype"/>
          <w:i/>
          <w:sz w:val="22"/>
          <w:szCs w:val="22"/>
          <w:lang w:val="es-MX"/>
        </w:rPr>
      </w:pPr>
      <w:r>
        <w:rPr>
          <w:rFonts w:ascii="Palatino Linotype" w:eastAsia="Palatino Linotype" w:hAnsi="Palatino Linotype" w:cs="Palatino Linotype"/>
          <w:i/>
          <w:sz w:val="22"/>
          <w:szCs w:val="22"/>
          <w:lang w:val="es-MX"/>
        </w:rPr>
        <w:t>…</w:t>
      </w:r>
    </w:p>
    <w:p w:rsidR="002849D5" w:rsidRPr="00D155FD" w:rsidRDefault="002849D5" w:rsidP="002849D5">
      <w:pPr>
        <w:spacing w:before="240" w:after="240" w:line="276" w:lineRule="auto"/>
        <w:ind w:left="567" w:right="900"/>
        <w:jc w:val="center"/>
        <w:rPr>
          <w:rFonts w:ascii="Palatino Linotype" w:eastAsia="Palatino Linotype" w:hAnsi="Palatino Linotype" w:cs="Palatino Linotype"/>
          <w:b/>
          <w:i/>
          <w:sz w:val="22"/>
          <w:szCs w:val="22"/>
        </w:rPr>
      </w:pPr>
      <w:r w:rsidRPr="00D155FD">
        <w:rPr>
          <w:rFonts w:ascii="Palatino Linotype" w:eastAsia="Palatino Linotype" w:hAnsi="Palatino Linotype" w:cs="Palatino Linotype"/>
          <w:b/>
          <w:i/>
          <w:sz w:val="22"/>
          <w:szCs w:val="22"/>
        </w:rPr>
        <w:t>Departamento de Control de Personal</w:t>
      </w:r>
    </w:p>
    <w:p w:rsidR="002849D5" w:rsidRPr="009D05F4" w:rsidRDefault="002849D5" w:rsidP="002849D5">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 xml:space="preserve">Objetivo: </w:t>
      </w:r>
    </w:p>
    <w:p w:rsidR="002849D5" w:rsidRPr="009D05F4" w:rsidRDefault="002849D5" w:rsidP="002849D5">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lastRenderedPageBreak/>
        <w:t xml:space="preserve">Gestionar, licencias, permisos y trayectoria de los trabajadores en la institución, a través de mecanismos administrativos dispuestos en el SPARH para dicho fin. </w:t>
      </w:r>
    </w:p>
    <w:p w:rsidR="002849D5" w:rsidRPr="009D05F4" w:rsidRDefault="002849D5" w:rsidP="002849D5">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Funciones:</w:t>
      </w:r>
    </w:p>
    <w:p w:rsidR="002849D5" w:rsidRPr="009D05F4" w:rsidRDefault="002849D5" w:rsidP="002849D5">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w:t>
      </w:r>
    </w:p>
    <w:p w:rsidR="002849D5" w:rsidRDefault="002849D5" w:rsidP="002849D5">
      <w:pPr>
        <w:spacing w:before="240" w:after="240" w:line="276" w:lineRule="auto"/>
        <w:ind w:left="567" w:right="900"/>
        <w:jc w:val="both"/>
        <w:rPr>
          <w:rFonts w:ascii="Palatino Linotype" w:eastAsia="Palatino Linotype" w:hAnsi="Palatino Linotype" w:cs="Palatino Linotype"/>
          <w:i/>
          <w:sz w:val="22"/>
          <w:szCs w:val="22"/>
        </w:rPr>
      </w:pPr>
      <w:r w:rsidRPr="009D05F4">
        <w:rPr>
          <w:rFonts w:ascii="Palatino Linotype" w:eastAsia="Palatino Linotype" w:hAnsi="Palatino Linotype" w:cs="Palatino Linotype"/>
          <w:i/>
          <w:sz w:val="22"/>
          <w:szCs w:val="22"/>
        </w:rPr>
        <w:t xml:space="preserve">5. </w:t>
      </w:r>
      <w:r w:rsidRPr="002849D5">
        <w:rPr>
          <w:rFonts w:ascii="Palatino Linotype" w:eastAsia="Palatino Linotype" w:hAnsi="Palatino Linotype" w:cs="Palatino Linotype"/>
          <w:i/>
          <w:sz w:val="22"/>
          <w:szCs w:val="22"/>
        </w:rPr>
        <w:t>Evaluar la puntualidad y asistencia de los trabajadores administrativos sindicalizados de la UAEM, con el propósito de aplicar en el Sistema dispuesto para la Administración de Recursos Humanos el pago del estímulo trimestral.”</w:t>
      </w:r>
    </w:p>
    <w:p w:rsidR="00D155FD" w:rsidRPr="00D155FD" w:rsidRDefault="00D155FD" w:rsidP="00D155FD">
      <w:pPr>
        <w:spacing w:before="240" w:after="240" w:line="276" w:lineRule="auto"/>
        <w:ind w:left="360" w:right="900"/>
        <w:jc w:val="both"/>
        <w:rPr>
          <w:rFonts w:ascii="Palatino Linotype" w:eastAsia="Palatino Linotype" w:hAnsi="Palatino Linotype" w:cs="Palatino Linotype"/>
          <w:i/>
          <w:sz w:val="22"/>
          <w:szCs w:val="22"/>
          <w:lang w:val="es-MX"/>
        </w:rPr>
      </w:pPr>
    </w:p>
    <w:p w:rsidR="00444709" w:rsidRDefault="00444709" w:rsidP="00EA53AB">
      <w:pPr>
        <w:spacing w:before="240" w:after="240" w:line="360" w:lineRule="auto"/>
        <w:ind w:right="49"/>
        <w:jc w:val="both"/>
        <w:rPr>
          <w:rFonts w:ascii="Palatino Linotype" w:eastAsia="Palatino Linotype" w:hAnsi="Palatino Linotype" w:cs="Palatino Linotype"/>
          <w:szCs w:val="22"/>
        </w:rPr>
      </w:pPr>
    </w:p>
    <w:p w:rsidR="00EA53AB" w:rsidRDefault="00EA53AB" w:rsidP="00EA53AB">
      <w:pPr>
        <w:spacing w:before="240" w:after="240" w:line="360" w:lineRule="auto"/>
        <w:ind w:right="49"/>
        <w:jc w:val="both"/>
        <w:rPr>
          <w:rFonts w:ascii="Palatino Linotype" w:eastAsia="Palatino Linotype" w:hAnsi="Palatino Linotype" w:cs="Palatino Linotype"/>
          <w:szCs w:val="22"/>
        </w:rPr>
      </w:pPr>
      <w:r w:rsidRPr="00444709">
        <w:rPr>
          <w:rFonts w:ascii="Palatino Linotype" w:eastAsia="Palatino Linotype" w:hAnsi="Palatino Linotype" w:cs="Palatino Linotype"/>
          <w:szCs w:val="22"/>
        </w:rPr>
        <w:t xml:space="preserve">Como se observa en la cita realizada, la Dirección de Control de Personal, la cual pertenece a la Dirección de Recursos Humanos, se encarga de evaluar la puntualidad y asistencia de los servidores públicos administrativos sindicalizados, por consiguiente, se desvirtúa la manifestación realizada por el </w:t>
      </w:r>
      <w:r w:rsidRPr="00444709">
        <w:rPr>
          <w:rFonts w:ascii="Palatino Linotype" w:eastAsia="Palatino Linotype" w:hAnsi="Palatino Linotype" w:cs="Palatino Linotype"/>
          <w:b/>
          <w:szCs w:val="22"/>
        </w:rPr>
        <w:t>Sujeto Obligado</w:t>
      </w:r>
      <w:r w:rsidRPr="00444709">
        <w:rPr>
          <w:rFonts w:ascii="Palatino Linotype" w:eastAsia="Palatino Linotype" w:hAnsi="Palatino Linotype" w:cs="Palatino Linotype"/>
          <w:szCs w:val="22"/>
        </w:rPr>
        <w:t xml:space="preserve"> en el sentido de que lo requerido no es de su competencia.</w:t>
      </w:r>
    </w:p>
    <w:p w:rsidR="002849D5" w:rsidRDefault="002849D5" w:rsidP="00EA53AB">
      <w:pPr>
        <w:spacing w:before="240" w:after="240" w:line="360" w:lineRule="auto"/>
        <w:ind w:right="49"/>
        <w:jc w:val="both"/>
        <w:rPr>
          <w:rFonts w:ascii="Palatino Linotype" w:eastAsia="Palatino Linotype" w:hAnsi="Palatino Linotype" w:cs="Palatino Linotype"/>
          <w:szCs w:val="22"/>
        </w:rPr>
      </w:pPr>
      <w:r>
        <w:rPr>
          <w:rFonts w:ascii="Palatino Linotype" w:eastAsia="Palatino Linotype" w:hAnsi="Palatino Linotype" w:cs="Palatino Linotype"/>
          <w:szCs w:val="22"/>
        </w:rPr>
        <w:t xml:space="preserve">Por otro lado, se tiene que el Departamento de Nóminas es el área responsable de recibir y evaluar los controles asistenciales para la aplicación de pagos por días de productividad académica.  </w:t>
      </w:r>
    </w:p>
    <w:p w:rsidR="002849D5" w:rsidRPr="00444709" w:rsidRDefault="002849D5" w:rsidP="00EA53AB">
      <w:pPr>
        <w:spacing w:before="240" w:after="240" w:line="360" w:lineRule="auto"/>
        <w:ind w:right="49"/>
        <w:jc w:val="both"/>
        <w:rPr>
          <w:rFonts w:ascii="Palatino Linotype" w:eastAsia="Palatino Linotype" w:hAnsi="Palatino Linotype" w:cs="Palatino Linotype"/>
          <w:szCs w:val="22"/>
        </w:rPr>
      </w:pPr>
    </w:p>
    <w:p w:rsidR="00EA53AB" w:rsidRPr="002849D5" w:rsidRDefault="00EA53AB" w:rsidP="00EA53AB">
      <w:pPr>
        <w:spacing w:before="240" w:after="240" w:line="360" w:lineRule="auto"/>
        <w:ind w:right="49"/>
        <w:jc w:val="both"/>
        <w:rPr>
          <w:rFonts w:ascii="Palatino Linotype" w:eastAsia="Palatino Linotype" w:hAnsi="Palatino Linotype" w:cs="Palatino Linotype"/>
          <w:szCs w:val="22"/>
        </w:rPr>
      </w:pPr>
      <w:r w:rsidRPr="002849D5">
        <w:rPr>
          <w:rFonts w:ascii="Palatino Linotype" w:eastAsia="Palatino Linotype" w:hAnsi="Palatino Linotype" w:cs="Palatino Linotype"/>
          <w:szCs w:val="22"/>
        </w:rPr>
        <w:t>Refuerza esta premisa, el contrato colectivo de trabajo del Sindicato Único de Trabajadores y Empleados al Servicio de la UAEM (SUTESUAEM) 2019-2020, similar al 2023-2024, el cual estipula lo siguiente sobre la asistencia:</w:t>
      </w:r>
    </w:p>
    <w:p w:rsidR="00EA53AB" w:rsidRDefault="00EA53AB" w:rsidP="00EA53AB">
      <w:pPr>
        <w:spacing w:before="240" w:after="240" w:line="360" w:lineRule="auto"/>
        <w:ind w:right="49"/>
        <w:jc w:val="center"/>
        <w:rPr>
          <w:rFonts w:ascii="Palatino Linotype" w:eastAsia="Palatino Linotype" w:hAnsi="Palatino Linotype" w:cs="Palatino Linotype"/>
          <w:sz w:val="22"/>
          <w:szCs w:val="22"/>
        </w:rPr>
      </w:pPr>
      <w:r w:rsidRPr="00721172">
        <w:rPr>
          <w:rFonts w:ascii="Palatino Linotype" w:eastAsia="Palatino Linotype" w:hAnsi="Palatino Linotype" w:cs="Palatino Linotype"/>
          <w:noProof/>
          <w:sz w:val="22"/>
          <w:szCs w:val="22"/>
          <w:lang w:val="es-MX" w:eastAsia="es-MX"/>
        </w:rPr>
        <w:lastRenderedPageBreak/>
        <w:drawing>
          <wp:inline distT="0" distB="0" distL="0" distR="0" wp14:anchorId="05019E92" wp14:editId="2A2CF486">
            <wp:extent cx="4324954" cy="4477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4954" cy="447737"/>
                    </a:xfrm>
                    <a:prstGeom prst="rect">
                      <a:avLst/>
                    </a:prstGeom>
                  </pic:spPr>
                </pic:pic>
              </a:graphicData>
            </a:graphic>
          </wp:inline>
        </w:drawing>
      </w:r>
    </w:p>
    <w:p w:rsidR="00EA53AB" w:rsidRDefault="00EA53AB" w:rsidP="00EA53AB">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EA53AB" w:rsidRPr="00A118C5" w:rsidRDefault="00EA53AB" w:rsidP="00EA53AB">
      <w:pPr>
        <w:spacing w:before="240" w:after="240" w:line="360" w:lineRule="auto"/>
        <w:ind w:right="49"/>
        <w:jc w:val="center"/>
        <w:rPr>
          <w:rFonts w:ascii="Palatino Linotype" w:eastAsia="Palatino Linotype" w:hAnsi="Palatino Linotype" w:cs="Palatino Linotype"/>
          <w:sz w:val="22"/>
          <w:szCs w:val="22"/>
        </w:rPr>
      </w:pPr>
      <w:r w:rsidRPr="00721172">
        <w:rPr>
          <w:rFonts w:ascii="Palatino Linotype" w:eastAsia="Palatino Linotype" w:hAnsi="Palatino Linotype" w:cs="Palatino Linotype"/>
          <w:noProof/>
          <w:sz w:val="22"/>
          <w:szCs w:val="22"/>
          <w:lang w:val="es-MX" w:eastAsia="es-MX"/>
        </w:rPr>
        <w:drawing>
          <wp:inline distT="0" distB="0" distL="0" distR="0" wp14:anchorId="19AD75F9" wp14:editId="2E939B43">
            <wp:extent cx="4010025" cy="45628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4248" cy="465866"/>
                    </a:xfrm>
                    <a:prstGeom prst="rect">
                      <a:avLst/>
                    </a:prstGeom>
                  </pic:spPr>
                </pic:pic>
              </a:graphicData>
            </a:graphic>
          </wp:inline>
        </w:drawing>
      </w:r>
    </w:p>
    <w:p w:rsidR="00EA53AB" w:rsidRDefault="00EA53AB" w:rsidP="00EA53AB">
      <w:pPr>
        <w:spacing w:before="240" w:after="240" w:line="360" w:lineRule="auto"/>
        <w:jc w:val="center"/>
        <w:rPr>
          <w:rFonts w:ascii="Palatino Linotype" w:eastAsia="Palatino Linotype" w:hAnsi="Palatino Linotype" w:cs="Palatino Linotype"/>
          <w:color w:val="000000"/>
          <w:sz w:val="22"/>
          <w:szCs w:val="22"/>
        </w:rPr>
      </w:pPr>
      <w:r w:rsidRPr="00721172">
        <w:rPr>
          <w:rFonts w:ascii="Palatino Linotype" w:eastAsia="Palatino Linotype" w:hAnsi="Palatino Linotype" w:cs="Palatino Linotype"/>
          <w:noProof/>
          <w:color w:val="000000"/>
          <w:sz w:val="22"/>
          <w:szCs w:val="22"/>
          <w:lang w:val="es-MX" w:eastAsia="es-MX"/>
        </w:rPr>
        <w:drawing>
          <wp:inline distT="0" distB="0" distL="0" distR="0" wp14:anchorId="6FB82FF4" wp14:editId="0814A2F3">
            <wp:extent cx="4267796" cy="7049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67796" cy="704948"/>
                    </a:xfrm>
                    <a:prstGeom prst="rect">
                      <a:avLst/>
                    </a:prstGeom>
                  </pic:spPr>
                </pic:pic>
              </a:graphicData>
            </a:graphic>
          </wp:inline>
        </w:drawing>
      </w:r>
    </w:p>
    <w:p w:rsidR="00EA53AB" w:rsidRDefault="00EA53AB" w:rsidP="00EA53AB">
      <w:pPr>
        <w:spacing w:before="240" w:after="240"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EA53AB" w:rsidRDefault="00EA53AB" w:rsidP="00EA53AB">
      <w:pPr>
        <w:spacing w:before="240" w:after="240" w:line="360" w:lineRule="auto"/>
        <w:jc w:val="center"/>
        <w:rPr>
          <w:rFonts w:ascii="Palatino Linotype" w:eastAsia="Palatino Linotype" w:hAnsi="Palatino Linotype" w:cs="Palatino Linotype"/>
          <w:color w:val="000000"/>
          <w:sz w:val="22"/>
          <w:szCs w:val="22"/>
        </w:rPr>
      </w:pPr>
      <w:r w:rsidRPr="00721172">
        <w:rPr>
          <w:rFonts w:ascii="Palatino Linotype" w:eastAsia="Palatino Linotype" w:hAnsi="Palatino Linotype" w:cs="Palatino Linotype"/>
          <w:noProof/>
          <w:color w:val="000000"/>
          <w:sz w:val="22"/>
          <w:szCs w:val="22"/>
          <w:lang w:val="es-MX" w:eastAsia="es-MX"/>
        </w:rPr>
        <w:drawing>
          <wp:inline distT="0" distB="0" distL="0" distR="0" wp14:anchorId="1ABBE8C5" wp14:editId="35DD92A7">
            <wp:extent cx="3010320" cy="333422"/>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0320" cy="333422"/>
                    </a:xfrm>
                    <a:prstGeom prst="rect">
                      <a:avLst/>
                    </a:prstGeom>
                  </pic:spPr>
                </pic:pic>
              </a:graphicData>
            </a:graphic>
          </wp:inline>
        </w:drawing>
      </w:r>
    </w:p>
    <w:p w:rsidR="00EA53AB" w:rsidRPr="002849D5" w:rsidRDefault="00EA53AB" w:rsidP="00EA53AB">
      <w:pPr>
        <w:spacing w:before="240" w:after="240" w:line="360" w:lineRule="auto"/>
        <w:jc w:val="both"/>
        <w:rPr>
          <w:rFonts w:ascii="Palatino Linotype" w:eastAsia="Palatino Linotype" w:hAnsi="Palatino Linotype" w:cs="Palatino Linotype"/>
          <w:b/>
          <w:color w:val="000000"/>
          <w:szCs w:val="22"/>
        </w:rPr>
      </w:pPr>
      <w:r w:rsidRPr="002849D5">
        <w:rPr>
          <w:rFonts w:ascii="Palatino Linotype" w:eastAsia="Palatino Linotype" w:hAnsi="Palatino Linotype" w:cs="Palatino Linotype"/>
          <w:color w:val="000000"/>
          <w:szCs w:val="22"/>
        </w:rPr>
        <w:t xml:space="preserve">Como se puede visualizar, el </w:t>
      </w:r>
      <w:r w:rsidRPr="002849D5">
        <w:rPr>
          <w:rFonts w:ascii="Palatino Linotype" w:eastAsia="Palatino Linotype" w:hAnsi="Palatino Linotype" w:cs="Palatino Linotype"/>
          <w:b/>
          <w:color w:val="000000"/>
          <w:szCs w:val="22"/>
        </w:rPr>
        <w:t>Sujeto Obligado</w:t>
      </w:r>
      <w:r w:rsidRPr="002849D5">
        <w:rPr>
          <w:rFonts w:ascii="Palatino Linotype" w:eastAsia="Palatino Linotype" w:hAnsi="Palatino Linotype" w:cs="Palatino Linotype"/>
          <w:color w:val="000000"/>
          <w:szCs w:val="22"/>
        </w:rPr>
        <w:t xml:space="preserve"> si se encuentra constreñido a llevar un registro de la asistencia de los trabajadores administrativos pues derivado de ello, aplica en el Sistema para la Administración de Recursos Humanos, el pago de un estímulo trimestral y también de incurrir en tres inasistencias, puede actualizarse una causa de rescisión de la relación de trabajo o en caso de que exista una inasistencia injustificada, se realizará el descuento correspondiente, por consiguiente, no es posible validar la respuesta del </w:t>
      </w:r>
      <w:r w:rsidRPr="002849D5">
        <w:rPr>
          <w:rFonts w:ascii="Palatino Linotype" w:eastAsia="Palatino Linotype" w:hAnsi="Palatino Linotype" w:cs="Palatino Linotype"/>
          <w:b/>
          <w:color w:val="000000"/>
          <w:szCs w:val="22"/>
        </w:rPr>
        <w:t>Sujeto Obligado</w:t>
      </w:r>
      <w:r w:rsidR="002849D5">
        <w:rPr>
          <w:rFonts w:ascii="Palatino Linotype" w:eastAsia="Palatino Linotype" w:hAnsi="Palatino Linotype" w:cs="Palatino Linotype"/>
          <w:color w:val="000000"/>
          <w:szCs w:val="22"/>
        </w:rPr>
        <w:t xml:space="preserve">, derivado de que la Dirección de Recursos Humanos </w:t>
      </w:r>
      <w:r w:rsidRPr="002849D5">
        <w:rPr>
          <w:rFonts w:ascii="Palatino Linotype" w:eastAsia="Palatino Linotype" w:hAnsi="Palatino Linotype" w:cs="Palatino Linotype"/>
          <w:color w:val="000000"/>
          <w:szCs w:val="22"/>
        </w:rPr>
        <w:t>efectúa un control de la asistencia de los trabajadores universitarios</w:t>
      </w:r>
      <w:r w:rsidR="002849D5">
        <w:rPr>
          <w:rFonts w:ascii="Palatino Linotype" w:eastAsia="Palatino Linotype" w:hAnsi="Palatino Linotype" w:cs="Palatino Linotype"/>
          <w:color w:val="000000"/>
          <w:szCs w:val="22"/>
        </w:rPr>
        <w:t xml:space="preserve"> así como el pago de por días de productividad académica</w:t>
      </w:r>
      <w:r w:rsidRPr="002849D5">
        <w:rPr>
          <w:rFonts w:ascii="Palatino Linotype" w:eastAsia="Palatino Linotype" w:hAnsi="Palatino Linotype" w:cs="Palatino Linotype"/>
          <w:color w:val="000000"/>
          <w:szCs w:val="22"/>
        </w:rPr>
        <w:t>, en este caso, de trabajadores administrativos</w:t>
      </w:r>
      <w:r w:rsidRPr="002849D5">
        <w:rPr>
          <w:rFonts w:ascii="Palatino Linotype" w:eastAsia="Palatino Linotype" w:hAnsi="Palatino Linotype" w:cs="Palatino Linotype"/>
          <w:b/>
          <w:color w:val="000000"/>
          <w:szCs w:val="22"/>
        </w:rPr>
        <w:t>.</w:t>
      </w:r>
    </w:p>
    <w:p w:rsidR="00EA53AB" w:rsidRDefault="002849D5" w:rsidP="00EA53AB">
      <w:pPr>
        <w:spacing w:before="240" w:after="240"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EA53AB" w:rsidRPr="002849D5" w:rsidRDefault="00EA53AB" w:rsidP="00EA53AB">
      <w:pPr>
        <w:spacing w:before="240" w:after="240" w:line="360" w:lineRule="auto"/>
        <w:jc w:val="both"/>
        <w:rPr>
          <w:rFonts w:ascii="Palatino Linotype" w:eastAsia="Palatino Linotype" w:hAnsi="Palatino Linotype" w:cs="Palatino Linotype"/>
          <w:color w:val="000000"/>
          <w:szCs w:val="22"/>
        </w:rPr>
      </w:pPr>
      <w:r w:rsidRPr="002849D5">
        <w:rPr>
          <w:rFonts w:ascii="Palatino Linotype" w:eastAsia="Palatino Linotype" w:hAnsi="Palatino Linotype" w:cs="Palatino Linotype"/>
          <w:color w:val="000000"/>
          <w:szCs w:val="22"/>
        </w:rPr>
        <w:lastRenderedPageBreak/>
        <w:t xml:space="preserve">En consecuencia, existe fuente obligacional para que se generen las listas de asistencia; asimismo, </w:t>
      </w:r>
      <w:r w:rsidRPr="002849D5">
        <w:rPr>
          <w:rFonts w:ascii="Palatino Linotype" w:eastAsia="Palatino Linotype" w:hAnsi="Palatino Linotype" w:cs="Palatino Linotype"/>
          <w:szCs w:val="22"/>
          <w:lang w:val="es-MX"/>
        </w:rPr>
        <w:t xml:space="preserve">no obsta mencionar que la justificación de la publicidad de la información requerida descansa en 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49.-</w:t>
      </w:r>
      <w:r w:rsidRPr="00721172">
        <w:rPr>
          <w:rFonts w:ascii="Palatino Linotype" w:eastAsia="Palatino Linotype" w:hAnsi="Palatino Linotype" w:cs="Palatino Linotype"/>
          <w:i/>
          <w:sz w:val="22"/>
          <w:szCs w:val="22"/>
          <w:lang w:val="es-MX"/>
        </w:rPr>
        <w:t xml:space="preserve"> </w:t>
      </w:r>
      <w:r w:rsidRPr="00721172">
        <w:rPr>
          <w:rFonts w:ascii="Palatino Linotype" w:eastAsia="Palatino Linotype" w:hAnsi="Palatino Linotype" w:cs="Palatino Linotype"/>
          <w:b/>
          <w:i/>
          <w:sz w:val="22"/>
          <w:szCs w:val="22"/>
          <w:lang w:val="es-MX"/>
        </w:rPr>
        <w:t>Los nombramientos, contratos o formato único de Movimientos de Personal</w:t>
      </w:r>
      <w:r w:rsidRPr="00721172">
        <w:rPr>
          <w:rFonts w:ascii="Palatino Linotype" w:eastAsia="Palatino Linotype" w:hAnsi="Palatino Linotype" w:cs="Palatino Linotype"/>
          <w:i/>
          <w:sz w:val="22"/>
          <w:szCs w:val="22"/>
          <w:lang w:val="es-MX"/>
        </w:rPr>
        <w:t xml:space="preserve"> de los servidores públicos deberán contener:</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 xml:space="preserve">I. </w:t>
      </w:r>
      <w:r w:rsidRPr="00721172">
        <w:rPr>
          <w:rFonts w:ascii="Palatino Linotype" w:eastAsia="Palatino Linotype" w:hAnsi="Palatino Linotype" w:cs="Palatino Linotype"/>
          <w:i/>
          <w:sz w:val="22"/>
          <w:szCs w:val="22"/>
          <w:lang w:val="es-MX"/>
        </w:rPr>
        <w:t xml:space="preserve">Nombre completo del servidor público;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w:t>
      </w:r>
      <w:r w:rsidRPr="00721172">
        <w:rPr>
          <w:rFonts w:ascii="Palatino Linotype" w:eastAsia="Palatino Linotype" w:hAnsi="Palatino Linotype" w:cs="Palatino Linotype"/>
          <w:i/>
          <w:sz w:val="22"/>
          <w:szCs w:val="22"/>
          <w:lang w:val="es-MX"/>
        </w:rPr>
        <w:t xml:space="preserve">. Cargo para el que es designado, fecha de inicio de sus servicios y lugar de adscripción;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Carácter del nombramiento, ya sea de servidores públicos generales o de confianza, así como la temporalidad del mismo;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IV</w:t>
      </w:r>
      <w:r w:rsidRPr="00721172">
        <w:rPr>
          <w:rFonts w:ascii="Palatino Linotype" w:eastAsia="Palatino Linotype" w:hAnsi="Palatino Linotype" w:cs="Palatino Linotype"/>
          <w:i/>
          <w:sz w:val="22"/>
          <w:szCs w:val="22"/>
          <w:lang w:val="es-MX"/>
        </w:rPr>
        <w:t xml:space="preserve">. Remuneración correspondiente al puesto;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b/>
          <w:i/>
          <w:sz w:val="22"/>
          <w:szCs w:val="22"/>
          <w:lang w:val="es-MX"/>
        </w:rPr>
      </w:pPr>
      <w:r w:rsidRPr="00721172">
        <w:rPr>
          <w:rFonts w:ascii="Palatino Linotype" w:eastAsia="Palatino Linotype" w:hAnsi="Palatino Linotype" w:cs="Palatino Linotype"/>
          <w:b/>
          <w:i/>
          <w:sz w:val="22"/>
          <w:szCs w:val="22"/>
          <w:lang w:val="es-MX"/>
        </w:rPr>
        <w:t xml:space="preserve">V. Jornada de trabajo;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VI.</w:t>
      </w:r>
      <w:r w:rsidRPr="00721172">
        <w:rPr>
          <w:rFonts w:ascii="Palatino Linotype" w:eastAsia="Palatino Linotype" w:hAnsi="Palatino Linotype" w:cs="Palatino Linotype"/>
          <w:i/>
          <w:sz w:val="22"/>
          <w:szCs w:val="22"/>
          <w:lang w:val="es-MX"/>
        </w:rPr>
        <w:t xml:space="preserve"> Derogada; </w:t>
      </w:r>
    </w:p>
    <w:p w:rsidR="00EA53AB"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VII.</w:t>
      </w:r>
      <w:r w:rsidRPr="00721172">
        <w:rPr>
          <w:rFonts w:ascii="Palatino Linotype" w:eastAsia="Palatino Linotype" w:hAnsi="Palatino Linotype" w:cs="Palatino Linotype"/>
          <w:i/>
          <w:sz w:val="22"/>
          <w:szCs w:val="22"/>
          <w:lang w:val="es-MX"/>
        </w:rPr>
        <w:t xml:space="preserve"> Firma del servidor público autorizado para emitir el nombramiento, contrato o formato único de Movimientos de Personal, así como el fundamento legal de esa atribución.”</w:t>
      </w:r>
    </w:p>
    <w:p w:rsidR="002849D5" w:rsidRPr="00721172" w:rsidRDefault="002849D5" w:rsidP="00EA53AB">
      <w:pPr>
        <w:spacing w:before="120" w:after="120" w:line="276" w:lineRule="auto"/>
        <w:ind w:left="567" w:right="902"/>
        <w:jc w:val="both"/>
        <w:rPr>
          <w:rFonts w:ascii="Palatino Linotype" w:eastAsia="Palatino Linotype" w:hAnsi="Palatino Linotype" w:cs="Palatino Linotype"/>
          <w:i/>
          <w:sz w:val="22"/>
          <w:szCs w:val="22"/>
          <w:lang w:val="es-MX"/>
        </w:rPr>
      </w:pPr>
    </w:p>
    <w:p w:rsidR="00EA53AB" w:rsidRPr="002849D5" w:rsidRDefault="00EA53AB" w:rsidP="00EA53AB">
      <w:pPr>
        <w:spacing w:line="360" w:lineRule="auto"/>
        <w:jc w:val="both"/>
        <w:rPr>
          <w:rFonts w:ascii="Palatino Linotype" w:eastAsia="Palatino Linotype" w:hAnsi="Palatino Linotype" w:cs="Palatino Linotype"/>
          <w:szCs w:val="22"/>
          <w:lang w:val="es-MX"/>
        </w:rPr>
      </w:pPr>
      <w:r w:rsidRPr="002849D5">
        <w:rPr>
          <w:rFonts w:ascii="Palatino Linotype" w:eastAsia="Palatino Linotype" w:hAnsi="Palatino Linotype" w:cs="Palatino Linotype"/>
          <w:szCs w:val="22"/>
          <w:lang w:val="es-MX"/>
        </w:rPr>
        <w:t xml:space="preserve">Del citado ordenamiento legal, se advierte que, en los nombramientos, contratos o formatos únicos de movimientos de personal, deben contener, entre otros requisitos, la jornada de trabajo; </w:t>
      </w:r>
      <w:r w:rsidRPr="002849D5">
        <w:rPr>
          <w:rFonts w:ascii="Palatino Linotype" w:eastAsia="Palatino Linotype" w:hAnsi="Palatino Linotype" w:cs="Palatino Linotype"/>
          <w:b/>
          <w:szCs w:val="22"/>
          <w:lang w:val="es-MX"/>
        </w:rPr>
        <w:t>es decir el periodo o espacio de tiempo por el cual el servidor público prestará su servicio al ente público del que se trate</w:t>
      </w:r>
      <w:r w:rsidRPr="002849D5">
        <w:rPr>
          <w:rFonts w:ascii="Palatino Linotype" w:eastAsia="Palatino Linotype" w:hAnsi="Palatino Linotype" w:cs="Palatino Linotype"/>
          <w:szCs w:val="22"/>
          <w:lang w:val="es-MX"/>
        </w:rPr>
        <w:t xml:space="preserve">, lo que se robustece con lo establecido en los artículos 56 y 59 del mismo ordenamiento legal, que dispone lo siguiente: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lastRenderedPageBreak/>
        <w:t>“</w:t>
      </w:r>
      <w:r w:rsidRPr="00721172">
        <w:rPr>
          <w:rFonts w:ascii="Palatino Linotype" w:eastAsia="Palatino Linotype" w:hAnsi="Palatino Linotype" w:cs="Palatino Linotype"/>
          <w:b/>
          <w:i/>
          <w:sz w:val="22"/>
          <w:szCs w:val="22"/>
          <w:lang w:val="es-MX"/>
        </w:rPr>
        <w:t>ARTÍCULO 56</w:t>
      </w:r>
      <w:r w:rsidRPr="00721172">
        <w:rPr>
          <w:rFonts w:ascii="Palatino Linotype" w:eastAsia="Palatino Linotype" w:hAnsi="Palatino Linotype" w:cs="Palatino Linotype"/>
          <w:i/>
          <w:sz w:val="22"/>
          <w:szCs w:val="22"/>
          <w:lang w:val="es-MX"/>
        </w:rPr>
        <w:t>. Las condiciones generales de trabajo, establecerán como mínimo:</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w:t>
      </w:r>
      <w:r w:rsidRPr="00721172">
        <w:rPr>
          <w:rFonts w:ascii="Palatino Linotype" w:eastAsia="Palatino Linotype" w:hAnsi="Palatino Linotype" w:cs="Palatino Linotype"/>
          <w:i/>
          <w:sz w:val="22"/>
          <w:szCs w:val="22"/>
          <w:lang w:val="es-MX"/>
        </w:rPr>
        <w:t xml:space="preserve"> Duración de la jornada de trabajo;</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 xml:space="preserve">… </w:t>
      </w:r>
    </w:p>
    <w:p w:rsidR="00EA53AB"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59.</w:t>
      </w:r>
      <w:r w:rsidRPr="00721172">
        <w:rPr>
          <w:rFonts w:ascii="Palatino Linotype" w:eastAsia="Palatino Linotype" w:hAnsi="Palatino Linotype" w:cs="Palatino Linotype"/>
          <w:i/>
          <w:sz w:val="22"/>
          <w:szCs w:val="22"/>
          <w:lang w:val="es-MX"/>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rsidR="002849D5" w:rsidRPr="00721172" w:rsidRDefault="002849D5" w:rsidP="00EA53AB">
      <w:pPr>
        <w:spacing w:before="120" w:after="120" w:line="276" w:lineRule="auto"/>
        <w:ind w:left="567" w:right="902"/>
        <w:jc w:val="both"/>
        <w:rPr>
          <w:rFonts w:ascii="Palatino Linotype" w:eastAsia="Palatino Linotype" w:hAnsi="Palatino Linotype" w:cs="Palatino Linotype"/>
          <w:i/>
          <w:sz w:val="22"/>
          <w:szCs w:val="22"/>
          <w:lang w:val="es-MX"/>
        </w:rPr>
      </w:pPr>
    </w:p>
    <w:p w:rsidR="00EA53AB" w:rsidRDefault="00EA53AB" w:rsidP="00EA53AB">
      <w:pPr>
        <w:spacing w:before="240" w:after="240" w:line="360" w:lineRule="auto"/>
        <w:ind w:right="51"/>
        <w:jc w:val="both"/>
        <w:rPr>
          <w:rFonts w:ascii="Palatino Linotype" w:eastAsia="Palatino Linotype" w:hAnsi="Palatino Linotype" w:cs="Palatino Linotype"/>
          <w:szCs w:val="22"/>
          <w:lang w:val="es-MX"/>
        </w:rPr>
      </w:pPr>
      <w:r w:rsidRPr="002849D5">
        <w:rPr>
          <w:rFonts w:ascii="Palatino Linotype" w:eastAsia="Palatino Linotype" w:hAnsi="Palatino Linotype" w:cs="Palatino Linotype"/>
          <w:szCs w:val="22"/>
          <w:lang w:val="es-MX"/>
        </w:rPr>
        <w:t xml:space="preserve">En ese contexto, la duración de la jornada de trabajo puede ser de varias maneras, las cuales se encuentran establecidas en el artículo 60, 61, 62 y 63 de la mencionada Ley de Trabajo que literalmente señalan lo siguiente: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60</w:t>
      </w:r>
      <w:r w:rsidRPr="00721172">
        <w:rPr>
          <w:rFonts w:ascii="Palatino Linotype" w:eastAsia="Palatino Linotype" w:hAnsi="Palatino Linotype" w:cs="Palatino Linotype"/>
          <w:i/>
          <w:sz w:val="22"/>
          <w:szCs w:val="22"/>
          <w:lang w:val="es-MX"/>
        </w:rPr>
        <w:t xml:space="preserve">. La jornada de trabajo puede ser diurna, nocturna o mixta, conforme a lo siguiente: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w:t>
      </w:r>
      <w:r w:rsidRPr="00721172">
        <w:rPr>
          <w:rFonts w:ascii="Palatino Linotype" w:eastAsia="Palatino Linotype" w:hAnsi="Palatino Linotype" w:cs="Palatino Linotype"/>
          <w:i/>
          <w:sz w:val="22"/>
          <w:szCs w:val="22"/>
          <w:lang w:val="es-MX"/>
        </w:rPr>
        <w:t xml:space="preserve"> Diurna, la comprendida entre las seis y las veinte horas; </w:t>
      </w:r>
    </w:p>
    <w:p w:rsidR="00EA53AB" w:rsidRPr="00721172" w:rsidRDefault="00EA53AB" w:rsidP="00EA53AB">
      <w:pPr>
        <w:spacing w:before="120" w:after="120" w:line="276" w:lineRule="auto"/>
        <w:ind w:left="567" w:right="902"/>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w:t>
      </w:r>
      <w:r w:rsidRPr="00721172">
        <w:rPr>
          <w:rFonts w:ascii="Palatino Linotype" w:eastAsia="Palatino Linotype" w:hAnsi="Palatino Linotype" w:cs="Palatino Linotype"/>
          <w:i/>
          <w:sz w:val="22"/>
          <w:szCs w:val="22"/>
          <w:lang w:val="es-MX"/>
        </w:rPr>
        <w:t xml:space="preserve"> Nocturna, la comprendida entre las veinte y las seis horas; y </w:t>
      </w:r>
    </w:p>
    <w:p w:rsidR="00EA53AB" w:rsidRPr="00721172" w:rsidRDefault="00EA53AB" w:rsidP="00EA53AB">
      <w:pPr>
        <w:spacing w:before="120" w:after="120" w:line="276" w:lineRule="auto"/>
        <w:ind w:left="567" w:right="902"/>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Mixta, la que comprenda períodos de tiempo de las jornadas diurna y nocturna, siempre que el período nocturno sea menor de tres horas y media, pues en caso contrario, se considerará como jornada nocturna.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61.</w:t>
      </w:r>
      <w:r w:rsidRPr="00721172">
        <w:rPr>
          <w:rFonts w:ascii="Palatino Linotype" w:eastAsia="Palatino Linotype" w:hAnsi="Palatino Linotype" w:cs="Palatino Linotype"/>
          <w:i/>
          <w:sz w:val="22"/>
          <w:szCs w:val="22"/>
          <w:lang w:val="es-MX"/>
        </w:rPr>
        <w:t xml:space="preserve"> Cuando la naturaleza del trabajo así lo exija, la jornada se reducirá teniendo en cuenta el número de horas que pueda trabajar un individuo normal sin sufrir quebranto en su salud.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62.</w:t>
      </w:r>
      <w:r w:rsidRPr="00721172">
        <w:rPr>
          <w:rFonts w:ascii="Palatino Linotype" w:eastAsia="Palatino Linotype" w:hAnsi="Palatino Linotype" w:cs="Palatino Linotype"/>
          <w:i/>
          <w:sz w:val="22"/>
          <w:szCs w:val="22"/>
          <w:lang w:val="es-MX"/>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rsidR="00EA53AB"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63.</w:t>
      </w:r>
      <w:r w:rsidRPr="00721172">
        <w:rPr>
          <w:rFonts w:ascii="Palatino Linotype" w:eastAsia="Palatino Linotype" w:hAnsi="Palatino Linotype" w:cs="Palatino Linotype"/>
          <w:i/>
          <w:sz w:val="22"/>
          <w:szCs w:val="22"/>
          <w:lang w:val="es-MX"/>
        </w:rPr>
        <w:t xml:space="preserve"> El servidor público tendrá derecho a un descanso de media hora cuando trabaje horario continuo de más de siete horas y cuando menos de una hora, en </w:t>
      </w:r>
      <w:r w:rsidRPr="00721172">
        <w:rPr>
          <w:rFonts w:ascii="Palatino Linotype" w:eastAsia="Palatino Linotype" w:hAnsi="Palatino Linotype" w:cs="Palatino Linotype"/>
          <w:i/>
          <w:sz w:val="22"/>
          <w:szCs w:val="22"/>
          <w:lang w:val="es-MX"/>
        </w:rPr>
        <w:lastRenderedPageBreak/>
        <w:t>horario discontinuo. Cuando el servidor público no pueda salir del lugar donde presta sus servicios durante la hora de descanso o de comidas, el tiempo correspondiente le será considerado como tiempo efectivo de trabajo.”</w:t>
      </w:r>
    </w:p>
    <w:p w:rsidR="002849D5" w:rsidRPr="00721172" w:rsidRDefault="002849D5" w:rsidP="00EA53AB">
      <w:pPr>
        <w:spacing w:before="120" w:after="120" w:line="276" w:lineRule="auto"/>
        <w:ind w:left="567" w:right="902"/>
        <w:jc w:val="both"/>
        <w:rPr>
          <w:rFonts w:ascii="Palatino Linotype" w:eastAsia="Palatino Linotype" w:hAnsi="Palatino Linotype" w:cs="Palatino Linotype"/>
          <w:i/>
          <w:sz w:val="22"/>
          <w:szCs w:val="22"/>
          <w:lang w:val="es-MX"/>
        </w:rPr>
      </w:pPr>
    </w:p>
    <w:p w:rsidR="00EA53AB" w:rsidRPr="002849D5" w:rsidRDefault="00EA53AB" w:rsidP="00EA53AB">
      <w:pPr>
        <w:spacing w:before="240" w:after="240" w:line="360" w:lineRule="auto"/>
        <w:jc w:val="both"/>
        <w:rPr>
          <w:rFonts w:ascii="Palatino Linotype" w:eastAsia="Palatino Linotype" w:hAnsi="Palatino Linotype" w:cs="Palatino Linotype"/>
          <w:szCs w:val="22"/>
          <w:lang w:val="es-MX"/>
        </w:rPr>
      </w:pPr>
      <w:r w:rsidRPr="002849D5">
        <w:rPr>
          <w:rFonts w:ascii="Palatino Linotype" w:eastAsia="Palatino Linotype" w:hAnsi="Palatino Linotype" w:cs="Palatino Linotype"/>
          <w:szCs w:val="22"/>
          <w:lang w:val="es-MX"/>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88.</w:t>
      </w:r>
      <w:r w:rsidRPr="00721172">
        <w:rPr>
          <w:rFonts w:ascii="Palatino Linotype" w:eastAsia="Palatino Linotype" w:hAnsi="Palatino Linotype" w:cs="Palatino Linotype"/>
          <w:i/>
          <w:sz w:val="22"/>
          <w:szCs w:val="22"/>
          <w:lang w:val="es-MX"/>
        </w:rPr>
        <w:t xml:space="preserve"> Son obligaciones de los servidores públicos: </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III.</w:t>
      </w:r>
      <w:r w:rsidRPr="00721172">
        <w:rPr>
          <w:rFonts w:ascii="Palatino Linotype" w:eastAsia="Palatino Linotype" w:hAnsi="Palatino Linotype" w:cs="Palatino Linotype"/>
          <w:i/>
          <w:sz w:val="22"/>
          <w:szCs w:val="22"/>
          <w:lang w:val="es-MX"/>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VI.</w:t>
      </w:r>
      <w:r w:rsidRPr="00721172">
        <w:rPr>
          <w:rFonts w:ascii="Palatino Linotype" w:eastAsia="Palatino Linotype" w:hAnsi="Palatino Linotype" w:cs="Palatino Linotype"/>
          <w:i/>
          <w:sz w:val="22"/>
          <w:szCs w:val="22"/>
          <w:lang w:val="es-MX"/>
        </w:rPr>
        <w:t xml:space="preserve"> Cumplir con las obligaciones que señalan las condiciones generales de trabajo;”</w:t>
      </w:r>
    </w:p>
    <w:p w:rsidR="002849D5" w:rsidRDefault="002849D5" w:rsidP="00EA53AB">
      <w:pPr>
        <w:spacing w:before="240" w:after="240" w:line="360" w:lineRule="auto"/>
        <w:jc w:val="both"/>
        <w:rPr>
          <w:rFonts w:ascii="Palatino Linotype" w:eastAsia="Palatino Linotype" w:hAnsi="Palatino Linotype" w:cs="Palatino Linotype"/>
          <w:sz w:val="22"/>
          <w:szCs w:val="22"/>
          <w:lang w:val="es-MX"/>
        </w:rPr>
      </w:pPr>
    </w:p>
    <w:p w:rsidR="00EA53AB" w:rsidRPr="002849D5" w:rsidRDefault="00EA53AB" w:rsidP="00EA53AB">
      <w:pPr>
        <w:spacing w:before="240" w:after="240" w:line="360" w:lineRule="auto"/>
        <w:jc w:val="both"/>
        <w:rPr>
          <w:rFonts w:ascii="Palatino Linotype" w:eastAsia="Palatino Linotype" w:hAnsi="Palatino Linotype" w:cs="Palatino Linotype"/>
          <w:szCs w:val="22"/>
          <w:lang w:val="es-MX"/>
        </w:rPr>
      </w:pPr>
      <w:r w:rsidRPr="002849D5">
        <w:rPr>
          <w:rFonts w:ascii="Palatino Linotype" w:eastAsia="Palatino Linotype" w:hAnsi="Palatino Linotype" w:cs="Palatino Linotype"/>
          <w:szCs w:val="22"/>
          <w:lang w:val="es-MX"/>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93.</w:t>
      </w:r>
      <w:r w:rsidRPr="00721172">
        <w:rPr>
          <w:rFonts w:ascii="Palatino Linotype" w:eastAsia="Palatino Linotype" w:hAnsi="Palatino Linotype" w:cs="Palatino Linotype"/>
          <w:i/>
          <w:sz w:val="22"/>
          <w:szCs w:val="22"/>
          <w:lang w:val="es-MX"/>
        </w:rPr>
        <w:t xml:space="preserve"> Son causas de rescisión de la relación laboral, sin responsabilidad para las instituciones públicas:</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lastRenderedPageBreak/>
        <w:t>…</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w:t>
      </w:r>
      <w:r w:rsidRPr="00721172">
        <w:rPr>
          <w:rFonts w:ascii="Palatino Linotype" w:eastAsia="Palatino Linotype" w:hAnsi="Palatino Linotype" w:cs="Palatino Linotype"/>
          <w:i/>
          <w:sz w:val="22"/>
          <w:szCs w:val="22"/>
          <w:lang w:val="es-MX"/>
        </w:rPr>
        <w:t xml:space="preserve"> Incurrir en cuatro o más faltas de asistencia a sus labores sin causa justificada, dentro de un lapso de treinta días;</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V</w:t>
      </w:r>
      <w:r w:rsidRPr="00721172">
        <w:rPr>
          <w:rFonts w:ascii="Palatino Linotype" w:eastAsia="Palatino Linotype" w:hAnsi="Palatino Linotype" w:cs="Palatino Linotype"/>
          <w:i/>
          <w:sz w:val="22"/>
          <w:szCs w:val="22"/>
          <w:lang w:val="es-MX"/>
        </w:rPr>
        <w:t>. Abandonar las labores sin autorización previa o razón plenamente justificada, en contravención a lo establecido en las condiciones generales de trabajo;</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i/>
          <w:sz w:val="22"/>
          <w:szCs w:val="22"/>
          <w:lang w:val="es-MX"/>
        </w:rPr>
        <w:t>…</w:t>
      </w:r>
    </w:p>
    <w:p w:rsidR="00EA53AB" w:rsidRPr="00721172" w:rsidRDefault="00EA53AB" w:rsidP="00EA53AB">
      <w:pPr>
        <w:spacing w:before="120" w:after="120"/>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XVII</w:t>
      </w:r>
      <w:r w:rsidRPr="00721172">
        <w:rPr>
          <w:rFonts w:ascii="Palatino Linotype" w:eastAsia="Palatino Linotype" w:hAnsi="Palatino Linotype" w:cs="Palatino Linotype"/>
          <w:i/>
          <w:sz w:val="22"/>
          <w:szCs w:val="22"/>
          <w:lang w:val="es-MX"/>
        </w:rPr>
        <w:t>.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rsidR="002849D5" w:rsidRDefault="002849D5" w:rsidP="00EA53AB">
      <w:pPr>
        <w:spacing w:before="240" w:after="240" w:line="360" w:lineRule="auto"/>
        <w:jc w:val="both"/>
        <w:rPr>
          <w:rFonts w:ascii="Palatino Linotype" w:eastAsia="Palatino Linotype" w:hAnsi="Palatino Linotype" w:cs="Palatino Linotype"/>
          <w:szCs w:val="22"/>
          <w:lang w:val="es-MX"/>
        </w:rPr>
      </w:pPr>
    </w:p>
    <w:p w:rsidR="00EA53AB" w:rsidRPr="002849D5" w:rsidRDefault="00EA53AB" w:rsidP="00EA53AB">
      <w:pPr>
        <w:spacing w:before="240" w:after="240" w:line="360" w:lineRule="auto"/>
        <w:jc w:val="both"/>
        <w:rPr>
          <w:rFonts w:ascii="Palatino Linotype" w:eastAsia="Palatino Linotype" w:hAnsi="Palatino Linotype" w:cs="Palatino Linotype"/>
          <w:szCs w:val="22"/>
          <w:lang w:val="es-MX"/>
        </w:rPr>
      </w:pPr>
      <w:r w:rsidRPr="002849D5">
        <w:rPr>
          <w:rFonts w:ascii="Palatino Linotype" w:eastAsia="Palatino Linotype" w:hAnsi="Palatino Linotype" w:cs="Palatino Linotype"/>
          <w:szCs w:val="22"/>
          <w:lang w:val="es-MX"/>
        </w:rPr>
        <w:t xml:space="preserve">Ahora bien, para comprobar el cumplimiento de la jornada de trabajo del Servidor Público, de conformidad con lo que establecen la fracción III y el penúltimo párrafo del artículo 220-K de la Ley en cita, precisa que: </w:t>
      </w:r>
    </w:p>
    <w:p w:rsidR="00EA53AB" w:rsidRPr="00721172" w:rsidRDefault="00EA53AB" w:rsidP="00EA53AB">
      <w:pPr>
        <w:spacing w:before="120" w:after="120" w:line="276" w:lineRule="auto"/>
        <w:ind w:left="567" w:right="902"/>
        <w:jc w:val="both"/>
        <w:rPr>
          <w:rFonts w:ascii="Palatino Linotype" w:eastAsia="Palatino Linotype" w:hAnsi="Palatino Linotype" w:cs="Palatino Linotype"/>
          <w:i/>
          <w:sz w:val="22"/>
          <w:szCs w:val="22"/>
          <w:lang w:val="es-MX"/>
        </w:rPr>
      </w:pPr>
      <w:r w:rsidRPr="00721172">
        <w:rPr>
          <w:rFonts w:ascii="Palatino Linotype" w:eastAsia="Palatino Linotype" w:hAnsi="Palatino Linotype" w:cs="Palatino Linotype"/>
          <w:b/>
          <w:i/>
          <w:sz w:val="22"/>
          <w:szCs w:val="22"/>
          <w:lang w:val="es-MX"/>
        </w:rPr>
        <w:t>“ARTÍCULO 220 K.-</w:t>
      </w:r>
      <w:r w:rsidRPr="00721172">
        <w:rPr>
          <w:rFonts w:ascii="Palatino Linotype" w:eastAsia="Palatino Linotype" w:hAnsi="Palatino Linotype" w:cs="Palatino Linotype"/>
          <w:i/>
          <w:sz w:val="22"/>
          <w:szCs w:val="22"/>
          <w:lang w:val="es-MX"/>
        </w:rPr>
        <w:t xml:space="preserve"> La institución o dependencia pública tiene la obligación de conservar y exhibir en el proceso los documentos que a continuación se precisan: </w:t>
      </w:r>
    </w:p>
    <w:p w:rsidR="002849D5" w:rsidRPr="002849D5" w:rsidRDefault="002849D5" w:rsidP="002849D5">
      <w:pPr>
        <w:pStyle w:val="Prrafodelista"/>
        <w:numPr>
          <w:ilvl w:val="0"/>
          <w:numId w:val="22"/>
        </w:numPr>
        <w:spacing w:before="120" w:after="120" w:line="276" w:lineRule="auto"/>
        <w:ind w:right="902"/>
        <w:jc w:val="both"/>
        <w:rPr>
          <w:rFonts w:ascii="Palatino Linotype" w:eastAsia="Palatino Linotype" w:hAnsi="Palatino Linotype" w:cs="Palatino Linotype"/>
          <w:i/>
          <w:sz w:val="22"/>
          <w:szCs w:val="22"/>
        </w:rPr>
      </w:pPr>
      <w:r w:rsidRPr="002849D5">
        <w:rPr>
          <w:rFonts w:ascii="Palatino Linotype" w:eastAsia="Palatino Linotype" w:hAnsi="Palatino Linotype" w:cs="Palatino Linotype"/>
          <w:i/>
          <w:sz w:val="22"/>
          <w:szCs w:val="22"/>
        </w:rPr>
        <w:t xml:space="preserve">Contratos, Nombramientos o Formato Único de Movimientos de Personal, cuando no exista Convenio de condiciones generales de trabajo aplicable; </w:t>
      </w:r>
    </w:p>
    <w:p w:rsidR="002849D5" w:rsidRPr="002849D5" w:rsidRDefault="002849D5" w:rsidP="002849D5">
      <w:pPr>
        <w:pStyle w:val="Prrafodelista"/>
        <w:numPr>
          <w:ilvl w:val="0"/>
          <w:numId w:val="22"/>
        </w:numPr>
        <w:spacing w:before="120" w:after="120" w:line="276" w:lineRule="auto"/>
        <w:ind w:right="902"/>
        <w:jc w:val="both"/>
        <w:rPr>
          <w:rFonts w:ascii="Palatino Linotype" w:eastAsia="Palatino Linotype" w:hAnsi="Palatino Linotype" w:cs="Palatino Linotype"/>
          <w:i/>
          <w:sz w:val="22"/>
          <w:szCs w:val="22"/>
          <w:lang w:val="es-MX"/>
        </w:rPr>
      </w:pPr>
      <w:r w:rsidRPr="002849D5">
        <w:rPr>
          <w:rFonts w:ascii="Palatino Linotype" w:eastAsia="Palatino Linotype" w:hAnsi="Palatino Linotype" w:cs="Palatino Linotype"/>
          <w:i/>
          <w:sz w:val="22"/>
          <w:szCs w:val="22"/>
        </w:rPr>
        <w:t>Recibos de pagos de salarios o las constancias documentales del pago de salario cuando sea por depósito o mediante información electrónica;</w:t>
      </w:r>
    </w:p>
    <w:p w:rsidR="002849D5" w:rsidRPr="002849D5" w:rsidRDefault="002849D5" w:rsidP="002849D5">
      <w:pPr>
        <w:pStyle w:val="Prrafodelista"/>
        <w:numPr>
          <w:ilvl w:val="0"/>
          <w:numId w:val="22"/>
        </w:numPr>
        <w:spacing w:before="120" w:after="120" w:line="276" w:lineRule="auto"/>
        <w:ind w:right="902"/>
        <w:jc w:val="both"/>
        <w:rPr>
          <w:rFonts w:ascii="Palatino Linotype" w:eastAsia="Palatino Linotype" w:hAnsi="Palatino Linotype" w:cs="Palatino Linotype"/>
          <w:i/>
          <w:sz w:val="22"/>
          <w:szCs w:val="22"/>
          <w:lang w:val="es-MX"/>
        </w:rPr>
      </w:pPr>
      <w:r w:rsidRPr="002849D5">
        <w:rPr>
          <w:rFonts w:ascii="Palatino Linotype" w:eastAsia="Palatino Linotype" w:hAnsi="Palatino Linotype" w:cs="Palatino Linotype"/>
          <w:i/>
          <w:sz w:val="22"/>
          <w:szCs w:val="22"/>
        </w:rPr>
        <w:t>Controles de asistencia o la información magnética o electrónica de asistencia de los servidores públicos;</w:t>
      </w:r>
    </w:p>
    <w:p w:rsidR="00CD225B" w:rsidRPr="00CD225B" w:rsidRDefault="002849D5" w:rsidP="00CD225B">
      <w:pPr>
        <w:pStyle w:val="Prrafodelista"/>
        <w:numPr>
          <w:ilvl w:val="0"/>
          <w:numId w:val="22"/>
        </w:numPr>
        <w:spacing w:before="120" w:after="120" w:line="276" w:lineRule="auto"/>
        <w:ind w:right="902"/>
        <w:jc w:val="both"/>
        <w:rPr>
          <w:rFonts w:ascii="Palatino Linotype" w:eastAsia="Palatino Linotype" w:hAnsi="Palatino Linotype" w:cs="Palatino Linotype"/>
          <w:i/>
          <w:sz w:val="22"/>
          <w:szCs w:val="22"/>
          <w:lang w:val="es-MX"/>
        </w:rPr>
      </w:pPr>
      <w:r w:rsidRPr="002849D5">
        <w:rPr>
          <w:rFonts w:ascii="Palatino Linotype" w:eastAsia="Palatino Linotype" w:hAnsi="Palatino Linotype" w:cs="Palatino Linotype"/>
          <w:i/>
          <w:sz w:val="22"/>
          <w:szCs w:val="22"/>
        </w:rPr>
        <w:t xml:space="preserve">Recibos o las constancias de </w:t>
      </w:r>
      <w:r w:rsidR="00CD225B" w:rsidRPr="002849D5">
        <w:rPr>
          <w:rFonts w:ascii="Palatino Linotype" w:eastAsia="Palatino Linotype" w:hAnsi="Palatino Linotype" w:cs="Palatino Linotype"/>
          <w:i/>
          <w:sz w:val="22"/>
          <w:szCs w:val="22"/>
        </w:rPr>
        <w:t>depósito</w:t>
      </w:r>
      <w:r w:rsidRPr="002849D5">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y</w:t>
      </w:r>
    </w:p>
    <w:p w:rsidR="00CD225B" w:rsidRPr="00CD225B" w:rsidRDefault="00CD225B" w:rsidP="00CD225B">
      <w:pPr>
        <w:pStyle w:val="Prrafodelista"/>
        <w:spacing w:before="120" w:after="120" w:line="276" w:lineRule="auto"/>
        <w:ind w:left="1287" w:right="902"/>
        <w:jc w:val="both"/>
        <w:rPr>
          <w:rFonts w:ascii="Palatino Linotype" w:eastAsia="Palatino Linotype" w:hAnsi="Palatino Linotype" w:cs="Palatino Linotype"/>
          <w:i/>
          <w:sz w:val="22"/>
          <w:szCs w:val="22"/>
          <w:lang w:val="es-MX"/>
        </w:rPr>
      </w:pPr>
      <w:r>
        <w:rPr>
          <w:rFonts w:ascii="Palatino Linotype" w:eastAsia="Palatino Linotype" w:hAnsi="Palatino Linotype" w:cs="Palatino Linotype"/>
          <w:i/>
          <w:sz w:val="22"/>
          <w:szCs w:val="22"/>
        </w:rPr>
        <w:t>…</w:t>
      </w:r>
    </w:p>
    <w:p w:rsidR="00CD225B" w:rsidRDefault="00CD225B" w:rsidP="00CD225B">
      <w:pPr>
        <w:spacing w:before="120" w:after="120" w:line="276" w:lineRule="auto"/>
        <w:ind w:left="567" w:right="902"/>
        <w:jc w:val="both"/>
        <w:rPr>
          <w:rFonts w:ascii="Palatino Linotype" w:eastAsia="Palatino Linotype" w:hAnsi="Palatino Linotype" w:cs="Palatino Linotype"/>
          <w:i/>
          <w:sz w:val="22"/>
          <w:szCs w:val="22"/>
          <w:lang w:val="es-MX"/>
        </w:rPr>
      </w:pPr>
    </w:p>
    <w:p w:rsidR="00EA53AB" w:rsidRPr="00CD225B" w:rsidRDefault="00EA53AB" w:rsidP="00CD225B">
      <w:pPr>
        <w:spacing w:before="120" w:after="120" w:line="276" w:lineRule="auto"/>
        <w:ind w:left="567" w:right="902"/>
        <w:jc w:val="both"/>
        <w:rPr>
          <w:rFonts w:ascii="Palatino Linotype" w:eastAsia="Palatino Linotype" w:hAnsi="Palatino Linotype" w:cs="Palatino Linotype"/>
          <w:i/>
          <w:sz w:val="22"/>
          <w:szCs w:val="22"/>
          <w:lang w:val="es-MX"/>
        </w:rPr>
      </w:pPr>
      <w:r w:rsidRPr="00CD225B">
        <w:rPr>
          <w:rFonts w:ascii="Palatino Linotype" w:eastAsia="Palatino Linotype" w:hAnsi="Palatino Linotype" w:cs="Palatino Linotype"/>
          <w:i/>
          <w:sz w:val="22"/>
          <w:szCs w:val="22"/>
          <w:lang w:val="es-MX"/>
        </w:rPr>
        <w:lastRenderedPageBreak/>
        <w:t xml:space="preserve">Los documentos señalados en la fracción I de este artículo, deberán conservarse mientras dure la relación laboral y hasta un año después; </w:t>
      </w:r>
      <w:r w:rsidRPr="00CD225B">
        <w:rPr>
          <w:rFonts w:ascii="Palatino Linotype" w:eastAsia="Palatino Linotype" w:hAnsi="Palatino Linotype" w:cs="Palatino Linotype"/>
          <w:b/>
          <w:i/>
          <w:sz w:val="22"/>
          <w:szCs w:val="22"/>
          <w:lang w:val="es-MX"/>
        </w:rPr>
        <w:t xml:space="preserve">los señalados por las </w:t>
      </w:r>
      <w:r w:rsidRPr="00CD225B">
        <w:rPr>
          <w:rFonts w:ascii="Palatino Linotype" w:eastAsia="Palatino Linotype" w:hAnsi="Palatino Linotype" w:cs="Palatino Linotype"/>
          <w:i/>
          <w:sz w:val="22"/>
          <w:szCs w:val="22"/>
          <w:lang w:val="es-MX"/>
        </w:rPr>
        <w:t xml:space="preserve">fracciones II, </w:t>
      </w:r>
      <w:r w:rsidRPr="00CD225B">
        <w:rPr>
          <w:rFonts w:ascii="Palatino Linotype" w:eastAsia="Palatino Linotype" w:hAnsi="Palatino Linotype" w:cs="Palatino Linotype"/>
          <w:b/>
          <w:i/>
          <w:sz w:val="22"/>
          <w:szCs w:val="22"/>
          <w:lang w:val="es-MX"/>
        </w:rPr>
        <w:t>III,</w:t>
      </w:r>
      <w:r w:rsidRPr="00CD225B">
        <w:rPr>
          <w:rFonts w:ascii="Palatino Linotype" w:eastAsia="Palatino Linotype" w:hAnsi="Palatino Linotype" w:cs="Palatino Linotype"/>
          <w:i/>
          <w:sz w:val="22"/>
          <w:szCs w:val="22"/>
          <w:lang w:val="es-MX"/>
        </w:rPr>
        <w:t xml:space="preserve"> </w:t>
      </w:r>
      <w:r w:rsidRPr="00CD225B">
        <w:rPr>
          <w:rFonts w:ascii="Palatino Linotype" w:eastAsia="Palatino Linotype" w:hAnsi="Palatino Linotype" w:cs="Palatino Linotype"/>
          <w:b/>
          <w:i/>
          <w:sz w:val="22"/>
          <w:szCs w:val="22"/>
          <w:lang w:val="es-MX"/>
        </w:rPr>
        <w:t>IV durante el último año y un año después de que se extinga la relación laboral</w:t>
      </w:r>
      <w:r w:rsidRPr="00CD225B">
        <w:rPr>
          <w:rFonts w:ascii="Palatino Linotype" w:eastAsia="Palatino Linotype" w:hAnsi="Palatino Linotype" w:cs="Palatino Linotype"/>
          <w:i/>
          <w:sz w:val="22"/>
          <w:szCs w:val="22"/>
          <w:lang w:val="es-MX"/>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CD225B" w:rsidRDefault="00CD225B" w:rsidP="00D06F2B">
      <w:pPr>
        <w:spacing w:before="240" w:after="240" w:line="360" w:lineRule="auto"/>
        <w:jc w:val="both"/>
        <w:rPr>
          <w:rFonts w:ascii="Palatino Linotype" w:eastAsia="Palatino Linotype" w:hAnsi="Palatino Linotype" w:cs="Palatino Linotype"/>
          <w:szCs w:val="22"/>
          <w:lang w:val="es-MX"/>
        </w:rPr>
      </w:pPr>
    </w:p>
    <w:p w:rsidR="00EA53AB" w:rsidRPr="00CD225B" w:rsidRDefault="00D06F2B" w:rsidP="00D06F2B">
      <w:pPr>
        <w:spacing w:before="240" w:after="240" w:line="360" w:lineRule="auto"/>
        <w:jc w:val="both"/>
        <w:rPr>
          <w:rFonts w:ascii="Palatino Linotype" w:eastAsia="Palatino Linotype" w:hAnsi="Palatino Linotype" w:cs="Palatino Linotype"/>
          <w:szCs w:val="22"/>
          <w:lang w:val="es-MX"/>
        </w:rPr>
      </w:pPr>
      <w:r w:rsidRPr="00CD225B">
        <w:rPr>
          <w:rFonts w:ascii="Palatino Linotype" w:eastAsia="Palatino Linotype" w:hAnsi="Palatino Linotype" w:cs="Palatino Linotype"/>
          <w:szCs w:val="22"/>
          <w:lang w:val="es-MX"/>
        </w:rPr>
        <w:t xml:space="preserve">Es decir, que los documentos que den cuenta de la asistencia de los servidores </w:t>
      </w:r>
      <w:r w:rsidR="00CD225B" w:rsidRPr="00CD225B">
        <w:rPr>
          <w:rFonts w:ascii="Palatino Linotype" w:eastAsia="Palatino Linotype" w:hAnsi="Palatino Linotype" w:cs="Palatino Linotype"/>
          <w:szCs w:val="22"/>
          <w:lang w:val="es-MX"/>
        </w:rPr>
        <w:t>públicos,</w:t>
      </w:r>
      <w:r w:rsidRPr="00CD225B">
        <w:rPr>
          <w:rFonts w:ascii="Palatino Linotype" w:eastAsia="Palatino Linotype" w:hAnsi="Palatino Linotype" w:cs="Palatino Linotype"/>
          <w:szCs w:val="22"/>
          <w:lang w:val="es-MX"/>
        </w:rPr>
        <w:t xml:space="preserve"> </w:t>
      </w:r>
      <w:r w:rsidR="00CD225B">
        <w:rPr>
          <w:rFonts w:ascii="Palatino Linotype" w:eastAsia="Palatino Linotype" w:hAnsi="Palatino Linotype" w:cs="Palatino Linotype"/>
          <w:szCs w:val="22"/>
          <w:lang w:val="es-MX"/>
        </w:rPr>
        <w:t xml:space="preserve">así como los recibos de pago de salarios </w:t>
      </w:r>
      <w:r w:rsidRPr="00CD225B">
        <w:rPr>
          <w:rFonts w:ascii="Palatino Linotype" w:eastAsia="Palatino Linotype" w:hAnsi="Palatino Linotype" w:cs="Palatino Linotype"/>
          <w:szCs w:val="22"/>
          <w:lang w:val="es-MX"/>
        </w:rPr>
        <w:t>deben ser conservados durante el último año y un año después de que se extinga la relación laboral</w:t>
      </w:r>
      <w:r w:rsidR="00CD225B">
        <w:rPr>
          <w:rFonts w:ascii="Palatino Linotype" w:eastAsia="Palatino Linotype" w:hAnsi="Palatino Linotype" w:cs="Palatino Linotype"/>
          <w:szCs w:val="22"/>
          <w:lang w:val="es-MX"/>
        </w:rPr>
        <w:t>.</w:t>
      </w:r>
    </w:p>
    <w:p w:rsidR="00CD225B" w:rsidRDefault="00CD225B" w:rsidP="00945D6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highlight w:val="yellow"/>
          <w:lang w:val="es-ES_tradnl" w:eastAsia="es-MX"/>
        </w:rPr>
      </w:pPr>
    </w:p>
    <w:p w:rsidR="00945D6A" w:rsidRPr="00177253" w:rsidRDefault="00945D6A" w:rsidP="00945D6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945D6A" w:rsidRDefault="00945D6A" w:rsidP="00945D6A">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945D6A" w:rsidTr="00CD225B">
        <w:trPr>
          <w:trHeight w:val="828"/>
        </w:trPr>
        <w:tc>
          <w:tcPr>
            <w:tcW w:w="3014" w:type="dxa"/>
            <w:shd w:val="clear" w:color="auto" w:fill="E7E6E6" w:themeFill="background2"/>
          </w:tcPr>
          <w:p w:rsidR="00945D6A" w:rsidRPr="00B94808" w:rsidRDefault="00945D6A" w:rsidP="00E53228">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rsidR="00945D6A" w:rsidRPr="00B94808" w:rsidRDefault="00945D6A" w:rsidP="00E53228">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945D6A" w:rsidRPr="00B94808" w:rsidRDefault="00945D6A" w:rsidP="00E53228">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945D6A" w:rsidRPr="00C73DD1" w:rsidTr="00CD225B">
        <w:trPr>
          <w:trHeight w:val="1044"/>
        </w:trPr>
        <w:tc>
          <w:tcPr>
            <w:tcW w:w="3014" w:type="dxa"/>
          </w:tcPr>
          <w:p w:rsidR="00945D6A" w:rsidRPr="00CD225B" w:rsidRDefault="00CD225B" w:rsidP="00CD225B">
            <w:pPr>
              <w:jc w:val="both"/>
              <w:rPr>
                <w:rFonts w:ascii="Palatino Linotype" w:hAnsi="Palatino Linotype" w:cs="Tahoma"/>
                <w:i/>
                <w:sz w:val="22"/>
              </w:rPr>
            </w:pPr>
            <w:r w:rsidRPr="00CD225B">
              <w:rPr>
                <w:rFonts w:ascii="Palatino Linotype" w:hAnsi="Palatino Linotype" w:cs="Tahoma"/>
                <w:bCs/>
                <w:sz w:val="22"/>
              </w:rPr>
              <w:t>Relación de los</w:t>
            </w:r>
            <w:r w:rsidRPr="00CD225B">
              <w:rPr>
                <w:rFonts w:ascii="Palatino Linotype" w:hAnsi="Palatino Linotype" w:cs="Tahoma"/>
                <w:b/>
                <w:bCs/>
                <w:sz w:val="22"/>
                <w:u w:val="single"/>
              </w:rPr>
              <w:t xml:space="preserve"> descuentos generados por concepto de retardo, retardos acumulados y faltas</w:t>
            </w:r>
            <w:r w:rsidRPr="00CD225B">
              <w:rPr>
                <w:rFonts w:ascii="Palatino Linotype" w:hAnsi="Palatino Linotype" w:cs="Tahoma"/>
                <w:bCs/>
                <w:sz w:val="22"/>
              </w:rPr>
              <w:t xml:space="preserve"> según el reporte de Registro de asistencia del personal administrativo a Recursos Humanos del 15 de junio del </w:t>
            </w:r>
            <w:r w:rsidRPr="00CD225B">
              <w:rPr>
                <w:rFonts w:ascii="Palatino Linotype" w:hAnsi="Palatino Linotype" w:cs="Tahoma"/>
                <w:bCs/>
                <w:sz w:val="22"/>
              </w:rPr>
              <w:lastRenderedPageBreak/>
              <w:t>2023 al 15 de agosto del 2024 de los siguientes empleados:</w:t>
            </w:r>
          </w:p>
        </w:tc>
        <w:tc>
          <w:tcPr>
            <w:tcW w:w="4201" w:type="dxa"/>
          </w:tcPr>
          <w:p w:rsidR="00945D6A" w:rsidRPr="00CD225B" w:rsidRDefault="00CD225B" w:rsidP="00CD225B">
            <w:pPr>
              <w:pStyle w:val="INFOEM"/>
              <w:ind w:left="0" w:right="0"/>
              <w:rPr>
                <w:lang w:val="es-ES"/>
              </w:rPr>
            </w:pPr>
            <w:r w:rsidRPr="00CD225B">
              <w:rPr>
                <w:lang w:val="es-ES"/>
              </w:rPr>
              <w:lastRenderedPageBreak/>
              <w:t xml:space="preserve">La información relativa al “reporte de Registro de asistencia del personal administrativo” no es competencia de la Dirección de Recursos Humanos, por tanto, </w:t>
            </w:r>
            <w:r w:rsidRPr="00CD225B">
              <w:rPr>
                <w:lang w:val="es-ES"/>
              </w:rPr>
              <w:lastRenderedPageBreak/>
              <w:t>no es posible atender a su solicitud de información en los términos requeridos. </w:t>
            </w:r>
          </w:p>
        </w:tc>
        <w:tc>
          <w:tcPr>
            <w:tcW w:w="1829" w:type="dxa"/>
          </w:tcPr>
          <w:p w:rsidR="00945D6A" w:rsidRPr="00CD225B" w:rsidRDefault="00CD225B" w:rsidP="00E53228">
            <w:pPr>
              <w:jc w:val="center"/>
              <w:rPr>
                <w:rFonts w:ascii="Palatino Linotype" w:hAnsi="Palatino Linotype"/>
                <w:b/>
                <w:i/>
                <w:color w:val="000000"/>
              </w:rPr>
            </w:pPr>
            <w:r w:rsidRPr="00CD225B">
              <w:rPr>
                <w:rFonts w:ascii="Palatino Linotype" w:hAnsi="Palatino Linotype"/>
                <w:b/>
                <w:i/>
                <w:color w:val="000000"/>
              </w:rPr>
              <w:lastRenderedPageBreak/>
              <w:t>No</w:t>
            </w:r>
          </w:p>
        </w:tc>
      </w:tr>
    </w:tbl>
    <w:p w:rsidR="00945D6A" w:rsidRDefault="00945D6A" w:rsidP="00945D6A">
      <w:pPr>
        <w:spacing w:line="360" w:lineRule="auto"/>
        <w:jc w:val="both"/>
        <w:rPr>
          <w:rFonts w:ascii="Palatino Linotype" w:hAnsi="Palatino Linotype" w:cs="Arial"/>
        </w:rPr>
      </w:pPr>
    </w:p>
    <w:p w:rsidR="00945D6A" w:rsidRDefault="00945D6A" w:rsidP="00945D6A">
      <w:pPr>
        <w:spacing w:line="360" w:lineRule="auto"/>
        <w:ind w:right="142"/>
        <w:jc w:val="both"/>
        <w:rPr>
          <w:rFonts w:ascii="Palatino Linotype" w:hAnsi="Palatino Linotype"/>
        </w:rPr>
      </w:pPr>
    </w:p>
    <w:p w:rsidR="00945D6A" w:rsidRPr="009E63DA" w:rsidRDefault="00945D6A" w:rsidP="00945D6A">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945D6A" w:rsidRPr="009E63DA" w:rsidRDefault="00945D6A" w:rsidP="00945D6A">
      <w:pPr>
        <w:ind w:left="567" w:right="567"/>
        <w:jc w:val="both"/>
        <w:rPr>
          <w:rFonts w:ascii="Palatino Linotype" w:hAnsi="Palatino Linotype"/>
        </w:rPr>
      </w:pPr>
    </w:p>
    <w:p w:rsidR="00945D6A" w:rsidRPr="009E63DA" w:rsidRDefault="00945D6A" w:rsidP="00CD225B">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945D6A" w:rsidRPr="009E63DA" w:rsidRDefault="00945D6A" w:rsidP="00CD225B">
      <w:pPr>
        <w:ind w:left="851" w:right="851"/>
        <w:jc w:val="both"/>
        <w:rPr>
          <w:rFonts w:ascii="Palatino Linotype" w:hAnsi="Palatino Linotype"/>
          <w:i/>
        </w:rPr>
      </w:pPr>
      <w:r w:rsidRPr="009E63DA">
        <w:rPr>
          <w:rFonts w:ascii="Palatino Linotype" w:hAnsi="Palatino Linotype"/>
          <w:i/>
        </w:rPr>
        <w:t>…</w:t>
      </w:r>
    </w:p>
    <w:p w:rsidR="00945D6A" w:rsidRPr="009E63DA" w:rsidRDefault="00945D6A" w:rsidP="00CD225B">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945D6A" w:rsidRPr="009E63DA" w:rsidRDefault="00945D6A" w:rsidP="00CD225B">
      <w:pPr>
        <w:ind w:left="851" w:right="851"/>
        <w:jc w:val="both"/>
        <w:rPr>
          <w:rFonts w:ascii="Palatino Linotype" w:hAnsi="Palatino Linotype"/>
          <w:i/>
        </w:rPr>
      </w:pPr>
    </w:p>
    <w:p w:rsidR="00945D6A" w:rsidRPr="009E63DA" w:rsidRDefault="00945D6A" w:rsidP="00CD225B">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945D6A" w:rsidRPr="009E63DA" w:rsidRDefault="00945D6A" w:rsidP="00CD225B">
      <w:pPr>
        <w:ind w:left="851" w:right="851"/>
        <w:jc w:val="both"/>
        <w:rPr>
          <w:rFonts w:ascii="Palatino Linotype" w:hAnsi="Palatino Linotype"/>
          <w:bCs/>
          <w:i/>
        </w:rPr>
      </w:pPr>
    </w:p>
    <w:p w:rsidR="00945D6A" w:rsidRPr="009E63DA" w:rsidRDefault="00945D6A" w:rsidP="00CD225B">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9E63DA">
        <w:rPr>
          <w:rFonts w:ascii="Palatino Linotype" w:hAnsi="Palatino Linotype"/>
          <w:bCs/>
          <w:i/>
        </w:rPr>
        <w:lastRenderedPageBreak/>
        <w:t>temporalmente por razones de interés público, en los términos de las causas legítimas y estrictamente necesarias previstas por esta Ley.</w:t>
      </w:r>
    </w:p>
    <w:p w:rsidR="00945D6A" w:rsidRPr="009E63DA" w:rsidRDefault="00945D6A" w:rsidP="00CD225B">
      <w:pPr>
        <w:ind w:left="851" w:right="851"/>
        <w:jc w:val="both"/>
        <w:rPr>
          <w:rFonts w:ascii="Palatino Linotype" w:hAnsi="Palatino Linotype"/>
          <w:bCs/>
          <w:i/>
        </w:rPr>
      </w:pPr>
    </w:p>
    <w:p w:rsidR="00945D6A" w:rsidRPr="009E63DA" w:rsidRDefault="00945D6A" w:rsidP="00CD225B">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945D6A" w:rsidRPr="009E63DA" w:rsidRDefault="00945D6A" w:rsidP="00CD225B">
      <w:pPr>
        <w:ind w:left="851" w:right="851"/>
        <w:jc w:val="both"/>
        <w:rPr>
          <w:rFonts w:ascii="Palatino Linotype" w:hAnsi="Palatino Linotype"/>
          <w:i/>
        </w:rPr>
      </w:pPr>
    </w:p>
    <w:p w:rsidR="00945D6A" w:rsidRPr="009E63DA" w:rsidRDefault="00945D6A" w:rsidP="00CD225B">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945D6A" w:rsidRPr="009E63DA" w:rsidRDefault="00945D6A" w:rsidP="00CD225B">
      <w:pPr>
        <w:ind w:left="851" w:right="851"/>
        <w:jc w:val="both"/>
        <w:rPr>
          <w:rFonts w:ascii="Palatino Linotype" w:hAnsi="Palatino Linotype"/>
          <w:i/>
        </w:rPr>
      </w:pPr>
    </w:p>
    <w:p w:rsidR="00945D6A" w:rsidRPr="009E63DA" w:rsidRDefault="00945D6A" w:rsidP="00CD225B">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945D6A" w:rsidRPr="009E63DA" w:rsidRDefault="00945D6A" w:rsidP="00CD225B">
      <w:pPr>
        <w:jc w:val="both"/>
        <w:rPr>
          <w:rFonts w:ascii="Palatino Linotype" w:hAnsi="Palatino Linotype"/>
        </w:rPr>
      </w:pPr>
    </w:p>
    <w:p w:rsidR="00945D6A" w:rsidRDefault="00945D6A" w:rsidP="00945D6A">
      <w:pPr>
        <w:spacing w:line="360" w:lineRule="auto"/>
        <w:jc w:val="both"/>
        <w:rPr>
          <w:rFonts w:ascii="Palatino Linotype" w:eastAsia="Calibri" w:hAnsi="Palatino Linotype" w:cs="Arial"/>
          <w:color w:val="000000"/>
          <w:lang w:val="es-ES_tradnl" w:eastAsia="es-MX"/>
        </w:rPr>
      </w:pPr>
    </w:p>
    <w:p w:rsidR="00945D6A" w:rsidRDefault="00945D6A" w:rsidP="00945D6A">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rsidR="00945D6A" w:rsidRDefault="00945D6A" w:rsidP="00945D6A">
      <w:pPr>
        <w:tabs>
          <w:tab w:val="left" w:pos="2130"/>
        </w:tabs>
        <w:spacing w:line="360" w:lineRule="auto"/>
        <w:jc w:val="both"/>
        <w:rPr>
          <w:rFonts w:ascii="Palatino Linotype" w:eastAsia="Calibri" w:hAnsi="Palatino Linotype" w:cs="Tahoma"/>
          <w:bCs/>
        </w:rPr>
      </w:pPr>
    </w:p>
    <w:p w:rsidR="00945D6A" w:rsidRPr="007C7D03" w:rsidRDefault="00945D6A" w:rsidP="00945D6A">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945D6A" w:rsidRPr="00F54FF7" w:rsidRDefault="00945D6A" w:rsidP="00945D6A">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 xml:space="preserve">No pasa desapercibido que la información podría contener información susceptible de clasificar, por lo cual, dicha información debe ser clasificada para no vulnerar un </w:t>
      </w:r>
      <w:r w:rsidRPr="00F54FF7">
        <w:rPr>
          <w:rFonts w:ascii="Palatino Linotype" w:eastAsia="Arial Unicode MS" w:hAnsi="Palatino Linotype" w:cs="Arial"/>
          <w:lang w:val="es-ES_tradnl" w:eastAsia="es-MX"/>
        </w:rPr>
        <w:lastRenderedPageBreak/>
        <w:t>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945D6A" w:rsidRPr="00F54FF7" w:rsidRDefault="00945D6A" w:rsidP="00945D6A">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945D6A" w:rsidRPr="00F54FF7" w:rsidRDefault="00945D6A" w:rsidP="00945D6A">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945D6A" w:rsidRPr="00F54FF7" w:rsidRDefault="00945D6A" w:rsidP="00945D6A">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945D6A" w:rsidRPr="00F54FF7" w:rsidRDefault="00945D6A" w:rsidP="00945D6A">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lastRenderedPageBreak/>
        <w:t>Artículo 132. La clasificación de la información se llevará a cabo en el momento en que:</w:t>
      </w:r>
    </w:p>
    <w:p w:rsidR="00945D6A" w:rsidRPr="00F54FF7" w:rsidRDefault="00945D6A" w:rsidP="00945D6A">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945D6A" w:rsidRPr="00F54FF7" w:rsidRDefault="00945D6A" w:rsidP="00945D6A">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945D6A" w:rsidRPr="00F54FF7" w:rsidRDefault="00945D6A" w:rsidP="00945D6A">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945D6A" w:rsidRPr="00F54FF7" w:rsidRDefault="00945D6A" w:rsidP="00945D6A">
      <w:pPr>
        <w:spacing w:line="360" w:lineRule="auto"/>
        <w:ind w:right="51"/>
        <w:jc w:val="both"/>
        <w:rPr>
          <w:rFonts w:ascii="Palatino Linotype" w:eastAsia="Arial Unicode MS" w:hAnsi="Palatino Linotype" w:cs="Arial"/>
          <w:lang w:val="es-ES_tradnl" w:eastAsia="es-MX"/>
        </w:rPr>
      </w:pPr>
    </w:p>
    <w:p w:rsidR="00945D6A" w:rsidRPr="00CD225B" w:rsidRDefault="00945D6A" w:rsidP="00945D6A">
      <w:pPr>
        <w:spacing w:line="360" w:lineRule="auto"/>
        <w:ind w:right="51"/>
        <w:jc w:val="both"/>
        <w:rPr>
          <w:rFonts w:ascii="Palatino Linotype" w:eastAsia="Calibri" w:hAnsi="Palatino Linotype" w:cs="Arial"/>
          <w:lang w:val="es-ES_tradnl" w:eastAsia="es-MX"/>
        </w:rPr>
      </w:pPr>
      <w:r w:rsidRPr="00CD225B">
        <w:rPr>
          <w:rFonts w:ascii="Palatino Linotype" w:eastAsia="Arial Unicode MS" w:hAnsi="Palatino Linotype" w:cs="Arial"/>
          <w:lang w:val="es-ES_tradnl" w:eastAsia="es-MX"/>
        </w:rPr>
        <w:t xml:space="preserve">Verbigracia, previo a poner a disposición la información correspondiente debe considerarse que tiene carácter de confidencial </w:t>
      </w:r>
      <w:r w:rsidRPr="00CD225B">
        <w:rPr>
          <w:rFonts w:ascii="Palatino Linotype" w:eastAsia="Calibri" w:hAnsi="Palatino Linotype" w:cs="Arial"/>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945D6A" w:rsidRPr="00CD225B" w:rsidRDefault="00945D6A" w:rsidP="00945D6A">
      <w:pPr>
        <w:autoSpaceDE w:val="0"/>
        <w:autoSpaceDN w:val="0"/>
        <w:adjustRightInd w:val="0"/>
        <w:spacing w:before="240" w:after="240" w:line="360" w:lineRule="auto"/>
        <w:ind w:right="-91"/>
        <w:jc w:val="both"/>
        <w:rPr>
          <w:rFonts w:ascii="Palatino Linotype" w:hAnsi="Palatino Linotype" w:cs="Arial"/>
          <w:lang w:val="es-ES_tradnl" w:eastAsia="es-MX"/>
        </w:rPr>
      </w:pPr>
      <w:r w:rsidRPr="00CD225B">
        <w:rPr>
          <w:rFonts w:ascii="Palatino Linotype" w:hAnsi="Palatino Linotype" w:cs="Arial"/>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945D6A" w:rsidRPr="00CD225B" w:rsidRDefault="00945D6A" w:rsidP="00945D6A">
      <w:pPr>
        <w:spacing w:before="240" w:after="240" w:line="360" w:lineRule="auto"/>
        <w:ind w:right="-91"/>
        <w:jc w:val="both"/>
        <w:rPr>
          <w:rFonts w:ascii="Palatino Linotype" w:hAnsi="Palatino Linotype" w:cs="Arial"/>
          <w:lang w:val="es-ES_tradnl" w:eastAsia="es-MX"/>
        </w:rPr>
      </w:pPr>
      <w:r w:rsidRPr="00CD225B">
        <w:rPr>
          <w:rFonts w:ascii="Palatino Linotype" w:hAnsi="Palatino Linotype" w:cs="Arial"/>
          <w:lang w:val="es-ES_tradnl" w:eastAsia="es-MX"/>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945D6A" w:rsidRPr="00CD225B" w:rsidRDefault="00945D6A" w:rsidP="00945D6A">
      <w:pPr>
        <w:spacing w:before="240" w:after="240" w:line="360" w:lineRule="auto"/>
        <w:ind w:right="-91"/>
        <w:jc w:val="both"/>
        <w:rPr>
          <w:rFonts w:ascii="Palatino Linotype" w:hAnsi="Palatino Linotype" w:cs="Arial"/>
          <w:lang w:val="es-ES_tradnl" w:eastAsia="es-MX"/>
        </w:rPr>
      </w:pPr>
      <w:r w:rsidRPr="00CD225B">
        <w:rPr>
          <w:rFonts w:ascii="Palatino Linotype" w:hAnsi="Palatino Linotype" w:cs="Arial"/>
          <w:lang w:val="es-ES_tradnl" w:eastAsia="es-MX"/>
        </w:rPr>
        <w:t xml:space="preserve">Lo anterior es compartido por el ahora </w:t>
      </w:r>
      <w:r w:rsidRPr="00CD225B">
        <w:rPr>
          <w:rFonts w:ascii="Palatino Linotype" w:hAnsi="Palatino Linotype" w:cs="Arial"/>
          <w:b/>
          <w:bCs/>
          <w:lang w:val="es-ES_tradnl" w:eastAsia="es-MX"/>
        </w:rPr>
        <w:t>Instituto Nacional de Transparencia, Acceso a la Información y Protección de Datos Personales</w:t>
      </w:r>
      <w:r w:rsidRPr="00CD225B">
        <w:rPr>
          <w:rFonts w:ascii="Palatino Linotype" w:hAnsi="Palatino Linotype" w:cs="Arial"/>
          <w:lang w:val="es-ES_tradnl" w:eastAsia="es-MX"/>
        </w:rPr>
        <w:t xml:space="preserve"> (INAI), conforme al criterio </w:t>
      </w:r>
      <w:r w:rsidRPr="00CD225B">
        <w:rPr>
          <w:rFonts w:ascii="Palatino Linotype" w:hAnsi="Palatino Linotype" w:cs="Arial"/>
          <w:b/>
          <w:lang w:val="es-ES_tradnl" w:eastAsia="es-MX"/>
        </w:rPr>
        <w:t>19/17,</w:t>
      </w:r>
      <w:r w:rsidRPr="00CD225B">
        <w:rPr>
          <w:rFonts w:ascii="Palatino Linotype" w:hAnsi="Palatino Linotype" w:cs="Arial"/>
          <w:lang w:val="es-ES_tradnl" w:eastAsia="es-MX"/>
        </w:rPr>
        <w:t xml:space="preserve"> el cual es del tenor literal siguiente:</w:t>
      </w:r>
    </w:p>
    <w:p w:rsidR="00945D6A" w:rsidRPr="00CD225B" w:rsidRDefault="00945D6A" w:rsidP="00945D6A">
      <w:pPr>
        <w:autoSpaceDE w:val="0"/>
        <w:autoSpaceDN w:val="0"/>
        <w:adjustRightInd w:val="0"/>
        <w:spacing w:before="240" w:line="360" w:lineRule="auto"/>
        <w:ind w:left="851" w:right="851"/>
        <w:jc w:val="center"/>
        <w:rPr>
          <w:rFonts w:ascii="Palatino Linotype" w:hAnsi="Palatino Linotype" w:cs="Arial"/>
          <w:b/>
          <w:bCs/>
          <w:i/>
          <w:lang w:val="es-ES_tradnl" w:eastAsia="es-MX"/>
        </w:rPr>
      </w:pPr>
      <w:r w:rsidRPr="00CD225B">
        <w:rPr>
          <w:rFonts w:ascii="Palatino Linotype" w:hAnsi="Palatino Linotype" w:cs="Arial"/>
          <w:bCs/>
          <w:i/>
          <w:lang w:val="es-ES_tradnl" w:eastAsia="es-MX"/>
        </w:rPr>
        <w:t>“</w:t>
      </w:r>
      <w:r w:rsidRPr="00CD225B">
        <w:rPr>
          <w:rFonts w:ascii="Palatino Linotype" w:hAnsi="Palatino Linotype" w:cs="Arial"/>
          <w:b/>
          <w:bCs/>
          <w:i/>
          <w:lang w:val="es-ES_tradnl" w:eastAsia="es-MX"/>
        </w:rPr>
        <w:t>REGISTRO FEDERAL DE CONTRIBUYENTES (RFC) DE PERSONAS FÍSICAS.</w:t>
      </w:r>
    </w:p>
    <w:p w:rsidR="00945D6A" w:rsidRPr="00CD225B" w:rsidRDefault="00945D6A" w:rsidP="00945D6A">
      <w:pPr>
        <w:autoSpaceDE w:val="0"/>
        <w:autoSpaceDN w:val="0"/>
        <w:adjustRightInd w:val="0"/>
        <w:spacing w:before="240" w:line="360" w:lineRule="auto"/>
        <w:ind w:left="851" w:right="851"/>
        <w:jc w:val="both"/>
        <w:rPr>
          <w:rFonts w:ascii="Palatino Linotype" w:hAnsi="Palatino Linotype" w:cs="Arial"/>
          <w:bCs/>
          <w:i/>
          <w:lang w:val="es-ES_tradnl" w:eastAsia="es-MX"/>
        </w:rPr>
      </w:pPr>
      <w:r w:rsidRPr="00CD225B">
        <w:rPr>
          <w:rFonts w:ascii="Palatino Linotype" w:hAnsi="Palatino Linotype" w:cs="Arial"/>
          <w:bCs/>
          <w:i/>
          <w:lang w:val="es-ES_tradnl" w:eastAsia="es-MX"/>
        </w:rPr>
        <w:t xml:space="preserve">El RFC es una clave de carácter fiscal, </w:t>
      </w:r>
      <w:proofErr w:type="gramStart"/>
      <w:r w:rsidRPr="00CD225B">
        <w:rPr>
          <w:rFonts w:ascii="Palatino Linotype" w:hAnsi="Palatino Linotype" w:cs="Arial"/>
          <w:bCs/>
          <w:i/>
          <w:lang w:val="es-ES_tradnl" w:eastAsia="es-MX"/>
        </w:rPr>
        <w:t>única</w:t>
      </w:r>
      <w:proofErr w:type="gramEnd"/>
      <w:r w:rsidRPr="00CD225B">
        <w:rPr>
          <w:rFonts w:ascii="Palatino Linotype" w:hAnsi="Palatino Linotype" w:cs="Arial"/>
          <w:bCs/>
          <w:i/>
          <w:lang w:val="es-ES_tradnl" w:eastAsia="es-MX"/>
        </w:rPr>
        <w:t xml:space="preserve"> e irrepetible, que permite identificar al titular, su edad y fecha de nacimiento, por lo que es un dato personal de carácter confidencial.</w:t>
      </w:r>
    </w:p>
    <w:p w:rsidR="00945D6A" w:rsidRPr="00CD225B" w:rsidRDefault="00945D6A" w:rsidP="00945D6A">
      <w:pPr>
        <w:autoSpaceDE w:val="0"/>
        <w:autoSpaceDN w:val="0"/>
        <w:adjustRightInd w:val="0"/>
        <w:spacing w:before="240" w:line="360" w:lineRule="auto"/>
        <w:ind w:left="851" w:right="851"/>
        <w:jc w:val="both"/>
        <w:rPr>
          <w:rFonts w:ascii="Palatino Linotype" w:hAnsi="Palatino Linotype" w:cs="Arial"/>
          <w:b/>
          <w:i/>
          <w:lang w:val="es-ES_tradnl" w:eastAsia="es-MX"/>
        </w:rPr>
      </w:pPr>
      <w:r w:rsidRPr="00CD225B">
        <w:rPr>
          <w:rFonts w:ascii="Palatino Linotype" w:hAnsi="Palatino Linotype" w:cs="Arial"/>
          <w:b/>
          <w:i/>
          <w:lang w:val="es-ES_tradnl" w:eastAsia="es-MX"/>
        </w:rPr>
        <w:t>Resoluciones:</w:t>
      </w:r>
    </w:p>
    <w:p w:rsidR="00945D6A" w:rsidRPr="00CD225B" w:rsidRDefault="00945D6A" w:rsidP="00945D6A">
      <w:pPr>
        <w:autoSpaceDE w:val="0"/>
        <w:autoSpaceDN w:val="0"/>
        <w:adjustRightInd w:val="0"/>
        <w:spacing w:before="240" w:line="360" w:lineRule="auto"/>
        <w:ind w:left="851" w:right="851"/>
        <w:jc w:val="both"/>
        <w:rPr>
          <w:rFonts w:ascii="Palatino Linotype" w:hAnsi="Palatino Linotype" w:cs="Arial"/>
          <w:i/>
          <w:lang w:eastAsia="es-MX"/>
        </w:rPr>
      </w:pPr>
      <w:r w:rsidRPr="00CD225B">
        <w:rPr>
          <w:rFonts w:ascii="Palatino Linotype" w:hAnsi="Palatino Linotype" w:cs="Arial"/>
          <w:b/>
          <w:i/>
          <w:lang w:val="es-ES_tradnl" w:eastAsia="es-MX"/>
        </w:rPr>
        <w:t xml:space="preserve">RRA </w:t>
      </w:r>
      <w:r w:rsidRPr="00CD225B">
        <w:rPr>
          <w:rFonts w:ascii="Palatino Linotype" w:hAnsi="Palatino Linotype" w:cs="Arial"/>
          <w:b/>
          <w:i/>
          <w:lang w:eastAsia="es-MX"/>
        </w:rPr>
        <w:t xml:space="preserve">0189/17. </w:t>
      </w:r>
      <w:r w:rsidRPr="00CD225B">
        <w:rPr>
          <w:rFonts w:ascii="Palatino Linotype" w:hAnsi="Palatino Linotype" w:cs="Arial"/>
          <w:i/>
          <w:lang w:eastAsia="es-MX"/>
        </w:rPr>
        <w:t xml:space="preserve">Morena. 08 de febrero de 2017. Por unanimidad. Comisionado Ponente </w:t>
      </w:r>
      <w:r w:rsidRPr="00CD225B">
        <w:rPr>
          <w:rFonts w:ascii="Palatino Linotype" w:hAnsi="Palatino Linotype" w:cs="Arial"/>
          <w:i/>
          <w:lang w:val="es-ES_tradnl" w:eastAsia="es-MX"/>
        </w:rPr>
        <w:t>Joel Salas Suárez.</w:t>
      </w:r>
    </w:p>
    <w:p w:rsidR="00945D6A" w:rsidRPr="00CD225B" w:rsidRDefault="00945D6A" w:rsidP="00945D6A">
      <w:pPr>
        <w:autoSpaceDE w:val="0"/>
        <w:autoSpaceDN w:val="0"/>
        <w:adjustRightInd w:val="0"/>
        <w:spacing w:before="240" w:line="360" w:lineRule="auto"/>
        <w:ind w:left="851" w:right="851"/>
        <w:jc w:val="both"/>
        <w:rPr>
          <w:rFonts w:ascii="Palatino Linotype" w:hAnsi="Palatino Linotype" w:cs="Arial"/>
          <w:i/>
          <w:lang w:eastAsia="es-MX"/>
        </w:rPr>
      </w:pPr>
      <w:r w:rsidRPr="00CD225B">
        <w:rPr>
          <w:rFonts w:ascii="Palatino Linotype" w:hAnsi="Palatino Linotype" w:cs="Arial"/>
          <w:b/>
          <w:i/>
          <w:lang w:val="es-ES_tradnl" w:eastAsia="es-MX"/>
        </w:rPr>
        <w:t xml:space="preserve">RRA </w:t>
      </w:r>
      <w:r w:rsidRPr="00CD225B">
        <w:rPr>
          <w:rFonts w:ascii="Palatino Linotype" w:hAnsi="Palatino Linotype" w:cs="Arial"/>
          <w:b/>
          <w:bCs/>
          <w:i/>
          <w:lang w:val="es-ES_tradnl" w:eastAsia="es-MX"/>
        </w:rPr>
        <w:t>0677</w:t>
      </w:r>
      <w:r w:rsidRPr="00CD225B">
        <w:rPr>
          <w:rFonts w:ascii="Palatino Linotype" w:hAnsi="Palatino Linotype" w:cs="Arial"/>
          <w:b/>
          <w:i/>
          <w:lang w:val="es-ES_tradnl" w:eastAsia="es-MX"/>
        </w:rPr>
        <w:t xml:space="preserve">/17. </w:t>
      </w:r>
      <w:r w:rsidRPr="00CD225B">
        <w:rPr>
          <w:rFonts w:ascii="Palatino Linotype" w:hAnsi="Palatino Linotype" w:cs="Arial"/>
          <w:i/>
          <w:lang w:eastAsia="es-MX"/>
        </w:rPr>
        <w:t xml:space="preserve">Universidad Nacional Autónoma de México. 08 de marzo de 2017. Por unanimidad. Comisionado Ponente </w:t>
      </w:r>
      <w:proofErr w:type="spellStart"/>
      <w:r w:rsidRPr="00CD225B">
        <w:rPr>
          <w:rFonts w:ascii="Palatino Linotype" w:hAnsi="Palatino Linotype" w:cs="Arial"/>
          <w:i/>
          <w:lang w:eastAsia="es-MX"/>
        </w:rPr>
        <w:t>Rosendoevgueni</w:t>
      </w:r>
      <w:proofErr w:type="spellEnd"/>
      <w:r w:rsidRPr="00CD225B">
        <w:rPr>
          <w:rFonts w:ascii="Palatino Linotype" w:hAnsi="Palatino Linotype" w:cs="Arial"/>
          <w:i/>
          <w:lang w:eastAsia="es-MX"/>
        </w:rPr>
        <w:t xml:space="preserve"> Monterrey </w:t>
      </w:r>
      <w:proofErr w:type="spellStart"/>
      <w:r w:rsidRPr="00CD225B">
        <w:rPr>
          <w:rFonts w:ascii="Palatino Linotype" w:hAnsi="Palatino Linotype" w:cs="Arial"/>
          <w:i/>
          <w:lang w:eastAsia="es-MX"/>
        </w:rPr>
        <w:t>Chepov</w:t>
      </w:r>
      <w:proofErr w:type="spellEnd"/>
      <w:r w:rsidRPr="00CD225B">
        <w:rPr>
          <w:rFonts w:ascii="Palatino Linotype" w:hAnsi="Palatino Linotype" w:cs="Arial"/>
          <w:i/>
          <w:lang w:val="es-ES_tradnl" w:eastAsia="es-MX"/>
        </w:rPr>
        <w:t>.</w:t>
      </w:r>
      <w:r w:rsidRPr="00CD225B">
        <w:rPr>
          <w:rFonts w:ascii="Palatino Linotype" w:hAnsi="Palatino Linotype" w:cs="Arial"/>
          <w:b/>
          <w:i/>
          <w:lang w:val="es-ES_tradnl" w:eastAsia="es-MX"/>
        </w:rPr>
        <w:t xml:space="preserve"> </w:t>
      </w:r>
    </w:p>
    <w:p w:rsidR="00945D6A" w:rsidRPr="00CD225B" w:rsidRDefault="00945D6A" w:rsidP="00945D6A">
      <w:pPr>
        <w:autoSpaceDE w:val="0"/>
        <w:autoSpaceDN w:val="0"/>
        <w:adjustRightInd w:val="0"/>
        <w:spacing w:before="240" w:line="360" w:lineRule="auto"/>
        <w:ind w:left="851" w:right="851"/>
        <w:jc w:val="both"/>
        <w:rPr>
          <w:rFonts w:ascii="Palatino Linotype" w:hAnsi="Palatino Linotype" w:cs="Arial"/>
          <w:b/>
          <w:i/>
          <w:lang w:eastAsia="es-MX"/>
        </w:rPr>
      </w:pPr>
      <w:r w:rsidRPr="00CD225B">
        <w:rPr>
          <w:rFonts w:ascii="Palatino Linotype" w:hAnsi="Palatino Linotype" w:cs="Arial"/>
          <w:b/>
          <w:i/>
          <w:lang w:val="es-ES_tradnl" w:eastAsia="es-MX"/>
        </w:rPr>
        <w:t>RRA</w:t>
      </w:r>
      <w:r w:rsidRPr="00CD225B">
        <w:rPr>
          <w:rFonts w:ascii="Palatino Linotype" w:hAnsi="Palatino Linotype" w:cs="Arial"/>
          <w:i/>
          <w:lang w:eastAsia="es-MX"/>
        </w:rPr>
        <w:t xml:space="preserve"> </w:t>
      </w:r>
      <w:r w:rsidRPr="00CD225B">
        <w:rPr>
          <w:rFonts w:ascii="Palatino Linotype" w:hAnsi="Palatino Linotype" w:cs="Arial"/>
          <w:b/>
          <w:i/>
          <w:lang w:val="es-ES_tradnl" w:eastAsia="es-MX"/>
        </w:rPr>
        <w:t xml:space="preserve">1564/17. </w:t>
      </w:r>
      <w:r w:rsidRPr="00CD225B">
        <w:rPr>
          <w:rFonts w:ascii="Palatino Linotype" w:hAnsi="Palatino Linotype" w:cs="Arial"/>
          <w:i/>
          <w:lang w:eastAsia="es-MX"/>
        </w:rPr>
        <w:t>Tribunal Electoral del Poder Judicial de la Federación</w:t>
      </w:r>
      <w:r w:rsidRPr="00CD225B">
        <w:rPr>
          <w:rFonts w:ascii="Palatino Linotype" w:hAnsi="Palatino Linotype" w:cs="Arial"/>
          <w:i/>
          <w:lang w:val="es-ES_tradnl" w:eastAsia="es-MX"/>
        </w:rPr>
        <w:t xml:space="preserve">. 26 de abril de 2017. Por unanimidad. Comisionado Ponente Oscar Mauricio Guerra Ford.” </w:t>
      </w:r>
      <w:r w:rsidRPr="00CD225B">
        <w:rPr>
          <w:rFonts w:ascii="Palatino Linotype" w:hAnsi="Palatino Linotype" w:cs="Arial"/>
          <w:b/>
          <w:i/>
          <w:lang w:val="es-ES_tradnl" w:eastAsia="es-MX"/>
        </w:rPr>
        <w:t>[Sic]</w:t>
      </w:r>
    </w:p>
    <w:p w:rsidR="00945D6A" w:rsidRPr="00CD225B" w:rsidRDefault="00945D6A" w:rsidP="00945D6A">
      <w:pPr>
        <w:spacing w:before="240" w:after="240" w:line="360" w:lineRule="auto"/>
        <w:jc w:val="both"/>
        <w:rPr>
          <w:rFonts w:ascii="Palatino Linotype" w:eastAsia="Calibri" w:hAnsi="Palatino Linotype" w:cs="Arial"/>
          <w:lang w:val="es-ES_tradnl" w:eastAsia="es-MX"/>
        </w:rPr>
      </w:pPr>
      <w:r w:rsidRPr="00CD225B">
        <w:rPr>
          <w:rFonts w:ascii="Palatino Linotype" w:eastAsia="Calibri" w:hAnsi="Palatino Linotype" w:cs="Arial"/>
          <w:lang w:val="es-ES_tradnl" w:eastAsia="es-MX"/>
        </w:rPr>
        <w:lastRenderedPageBreak/>
        <w:t xml:space="preserve">Así, el RFC se vincula al nombre de su titular, permite identificar la edad de la persona, su fecha de nacimiento, así como su </w:t>
      </w:r>
      <w:proofErr w:type="spellStart"/>
      <w:r w:rsidRPr="00CD225B">
        <w:rPr>
          <w:rFonts w:ascii="Palatino Linotype" w:eastAsia="Calibri" w:hAnsi="Palatino Linotype" w:cs="Arial"/>
          <w:lang w:val="es-ES_tradnl" w:eastAsia="es-MX"/>
        </w:rPr>
        <w:t>homoclave</w:t>
      </w:r>
      <w:proofErr w:type="spellEnd"/>
      <w:r w:rsidRPr="00CD225B">
        <w:rPr>
          <w:rFonts w:ascii="Palatino Linotype" w:eastAsia="Calibri" w:hAnsi="Palatino Linotype" w:cs="Arial"/>
          <w:lang w:val="es-ES_tradnl" w:eastAsia="es-MX"/>
        </w:rPr>
        <w:t>, la cual es única e irrepetible y determina justamente la identificación de dicha persona para efectos fiscales, por lo éste constituye un dato personal que concierne a una persona física identificada e identificable.</w:t>
      </w:r>
    </w:p>
    <w:p w:rsidR="00945D6A" w:rsidRPr="00CD225B" w:rsidRDefault="00945D6A" w:rsidP="00945D6A">
      <w:pPr>
        <w:spacing w:before="240" w:after="240" w:line="360" w:lineRule="auto"/>
        <w:jc w:val="both"/>
        <w:rPr>
          <w:rFonts w:ascii="Palatino Linotype" w:eastAsia="Calibri" w:hAnsi="Palatino Linotype" w:cs="Arial"/>
          <w:lang w:val="es-ES_tradnl" w:eastAsia="es-MX"/>
        </w:rPr>
      </w:pPr>
      <w:r w:rsidRPr="00CD225B">
        <w:rPr>
          <w:rFonts w:ascii="Palatino Linotype" w:eastAsia="Calibri" w:hAnsi="Palatino Linotype" w:cs="Arial"/>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945D6A" w:rsidRPr="00CD225B" w:rsidRDefault="00945D6A" w:rsidP="00945D6A">
      <w:pPr>
        <w:spacing w:before="240" w:after="240" w:line="360" w:lineRule="auto"/>
        <w:ind w:right="-91"/>
        <w:jc w:val="both"/>
        <w:rPr>
          <w:rFonts w:ascii="Palatino Linotype" w:eastAsia="Calibri" w:hAnsi="Palatino Linotype" w:cs="Arial"/>
          <w:lang w:val="es-ES_tradnl" w:eastAsia="es-MX"/>
        </w:rPr>
      </w:pPr>
      <w:r w:rsidRPr="00CD225B">
        <w:rPr>
          <w:rFonts w:ascii="Palatino Linotype" w:eastAsia="Calibri" w:hAnsi="Palatino Linotype" w:cs="Arial"/>
          <w:lang w:val="es-ES_tradnl" w:eastAsia="es-MX"/>
        </w:rPr>
        <w:t xml:space="preserve">Argumento que es compartido por el </w:t>
      </w:r>
      <w:r w:rsidRPr="00CD225B">
        <w:rPr>
          <w:rFonts w:ascii="Palatino Linotype" w:eastAsia="Calibri" w:hAnsi="Palatino Linotype" w:cs="Arial"/>
          <w:b/>
          <w:bCs/>
          <w:lang w:val="es-ES_tradnl" w:eastAsia="es-MX"/>
        </w:rPr>
        <w:t xml:space="preserve">Instituto Nacional de Transparencia, Acceso a la Información y Protección de Datos Personales, conforme al </w:t>
      </w:r>
      <w:r w:rsidRPr="00CD225B">
        <w:rPr>
          <w:rFonts w:ascii="Palatino Linotype" w:eastAsia="Calibri" w:hAnsi="Palatino Linotype" w:cs="Arial"/>
          <w:lang w:val="es-ES_tradnl" w:eastAsia="es-MX"/>
        </w:rPr>
        <w:t xml:space="preserve">criterio número 18/17 el cual refiere: </w:t>
      </w:r>
    </w:p>
    <w:p w:rsidR="00945D6A" w:rsidRPr="00CD225B" w:rsidRDefault="00945D6A" w:rsidP="00945D6A">
      <w:pPr>
        <w:autoSpaceDE w:val="0"/>
        <w:autoSpaceDN w:val="0"/>
        <w:adjustRightInd w:val="0"/>
        <w:spacing w:before="240" w:line="360" w:lineRule="auto"/>
        <w:ind w:left="851" w:right="851"/>
        <w:jc w:val="center"/>
        <w:rPr>
          <w:rFonts w:ascii="Palatino Linotype" w:eastAsia="Calibri" w:hAnsi="Palatino Linotype" w:cs="Arial"/>
          <w:b/>
          <w:bCs/>
          <w:i/>
          <w:lang w:val="es-ES_tradnl" w:eastAsia="es-MX"/>
        </w:rPr>
      </w:pPr>
      <w:r w:rsidRPr="00CD225B">
        <w:rPr>
          <w:rFonts w:ascii="Palatino Linotype" w:eastAsia="Calibri" w:hAnsi="Palatino Linotype" w:cs="Arial"/>
          <w:bCs/>
          <w:i/>
          <w:lang w:val="es-ES_tradnl" w:eastAsia="es-MX"/>
        </w:rPr>
        <w:t>“</w:t>
      </w:r>
      <w:r w:rsidRPr="00CD225B">
        <w:rPr>
          <w:rFonts w:ascii="Palatino Linotype" w:eastAsia="Calibri" w:hAnsi="Palatino Linotype" w:cs="Arial"/>
          <w:b/>
          <w:bCs/>
          <w:i/>
          <w:lang w:val="es-ES_tradnl" w:eastAsia="es-MX"/>
        </w:rPr>
        <w:t>CLAVE ÚNICA DE REGISTRO DE POBLACIÓN (CURP).</w:t>
      </w:r>
    </w:p>
    <w:p w:rsidR="00945D6A" w:rsidRPr="00CD225B" w:rsidRDefault="00945D6A" w:rsidP="00945D6A">
      <w:pPr>
        <w:autoSpaceDE w:val="0"/>
        <w:autoSpaceDN w:val="0"/>
        <w:adjustRightInd w:val="0"/>
        <w:spacing w:before="240" w:line="360" w:lineRule="auto"/>
        <w:ind w:left="851" w:right="851"/>
        <w:jc w:val="both"/>
        <w:rPr>
          <w:rFonts w:ascii="Palatino Linotype" w:eastAsia="Calibri" w:hAnsi="Palatino Linotype" w:cs="Arial"/>
          <w:b/>
          <w:bCs/>
          <w:i/>
          <w:lang w:val="es-ES_tradnl" w:eastAsia="es-MX"/>
        </w:rPr>
      </w:pPr>
      <w:r w:rsidRPr="00CD225B">
        <w:rPr>
          <w:rFonts w:ascii="Palatino Linotype" w:eastAsia="Calibri" w:hAnsi="Palatino Linotype" w:cs="Arial"/>
          <w:bCs/>
          <w:i/>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945D6A" w:rsidRPr="00CD225B" w:rsidRDefault="00945D6A" w:rsidP="00945D6A">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CD225B">
        <w:rPr>
          <w:rFonts w:ascii="Palatino Linotype" w:eastAsia="Calibri" w:hAnsi="Palatino Linotype" w:cs="Arial"/>
          <w:i/>
          <w:lang w:val="es-ES_tradnl" w:eastAsia="es-MX"/>
        </w:rPr>
        <w:t xml:space="preserve"> </w:t>
      </w:r>
      <w:r w:rsidRPr="00CD225B">
        <w:rPr>
          <w:rFonts w:ascii="Palatino Linotype" w:eastAsia="Calibri" w:hAnsi="Palatino Linotype" w:cs="Arial"/>
          <w:b/>
          <w:i/>
          <w:lang w:val="es-ES_tradnl" w:eastAsia="es-MX"/>
        </w:rPr>
        <w:t>Resoluciones:</w:t>
      </w:r>
    </w:p>
    <w:p w:rsidR="00945D6A" w:rsidRPr="00CD225B" w:rsidRDefault="00945D6A" w:rsidP="00945D6A">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CD225B">
        <w:rPr>
          <w:rFonts w:ascii="Palatino Linotype" w:eastAsia="Calibri" w:hAnsi="Palatino Linotype" w:cs="Arial"/>
          <w:b/>
          <w:i/>
          <w:lang w:val="es-ES_tradnl" w:eastAsia="es-MX"/>
        </w:rPr>
        <w:lastRenderedPageBreak/>
        <w:t xml:space="preserve">RRA 3995/16. </w:t>
      </w:r>
      <w:r w:rsidRPr="00CD225B">
        <w:rPr>
          <w:rFonts w:ascii="Palatino Linotype" w:eastAsia="Calibri" w:hAnsi="Palatino Linotype" w:cs="Arial"/>
          <w:i/>
          <w:lang w:val="es-ES_tradnl" w:eastAsia="es-MX"/>
        </w:rPr>
        <w:t xml:space="preserve">Secretaría de la Defensa Nacional. 1 de febrero de 2017. Por unanimidad. Comisionado Ponente </w:t>
      </w:r>
      <w:proofErr w:type="spellStart"/>
      <w:r w:rsidRPr="00CD225B">
        <w:rPr>
          <w:rFonts w:ascii="Palatino Linotype" w:eastAsia="Calibri" w:hAnsi="Palatino Linotype" w:cs="Arial"/>
          <w:i/>
          <w:lang w:val="es-ES_tradnl" w:eastAsia="es-MX"/>
        </w:rPr>
        <w:t>Rosendoevgueni</w:t>
      </w:r>
      <w:proofErr w:type="spellEnd"/>
      <w:r w:rsidRPr="00CD225B">
        <w:rPr>
          <w:rFonts w:ascii="Palatino Linotype" w:eastAsia="Calibri" w:hAnsi="Palatino Linotype" w:cs="Arial"/>
          <w:i/>
          <w:lang w:val="es-ES_tradnl" w:eastAsia="es-MX"/>
        </w:rPr>
        <w:t xml:space="preserve"> Monterrey </w:t>
      </w:r>
      <w:proofErr w:type="spellStart"/>
      <w:r w:rsidRPr="00CD225B">
        <w:rPr>
          <w:rFonts w:ascii="Palatino Linotype" w:eastAsia="Calibri" w:hAnsi="Palatino Linotype" w:cs="Arial"/>
          <w:i/>
          <w:lang w:val="es-ES_tradnl" w:eastAsia="es-MX"/>
        </w:rPr>
        <w:t>Chepov</w:t>
      </w:r>
      <w:proofErr w:type="spellEnd"/>
      <w:r w:rsidRPr="00CD225B">
        <w:rPr>
          <w:rFonts w:ascii="Palatino Linotype" w:eastAsia="Calibri" w:hAnsi="Palatino Linotype" w:cs="Arial"/>
          <w:i/>
          <w:lang w:val="es-ES_tradnl" w:eastAsia="es-MX"/>
        </w:rPr>
        <w:t>.</w:t>
      </w:r>
    </w:p>
    <w:p w:rsidR="00945D6A" w:rsidRPr="00CD225B" w:rsidRDefault="00945D6A" w:rsidP="00945D6A">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CD225B">
        <w:rPr>
          <w:rFonts w:ascii="Palatino Linotype" w:eastAsia="Calibri" w:hAnsi="Palatino Linotype" w:cs="Arial"/>
          <w:b/>
          <w:i/>
          <w:lang w:val="es-ES_tradnl" w:eastAsia="es-MX"/>
        </w:rPr>
        <w:t xml:space="preserve">RRA </w:t>
      </w:r>
      <w:r w:rsidRPr="00CD225B">
        <w:rPr>
          <w:rFonts w:ascii="Palatino Linotype" w:eastAsia="Calibri" w:hAnsi="Palatino Linotype" w:cs="Arial"/>
          <w:b/>
          <w:bCs/>
          <w:i/>
          <w:lang w:val="es-ES_tradnl" w:eastAsia="es-MX"/>
        </w:rPr>
        <w:t xml:space="preserve">0937/17. </w:t>
      </w:r>
      <w:r w:rsidRPr="00CD225B">
        <w:rPr>
          <w:rFonts w:ascii="Palatino Linotype" w:eastAsia="Calibri" w:hAnsi="Palatino Linotype" w:cs="Arial"/>
          <w:bCs/>
          <w:i/>
          <w:lang w:val="es-ES_tradnl" w:eastAsia="es-MX"/>
        </w:rPr>
        <w:t xml:space="preserve">Senado de la República. 15 de marzo de 2017. Por unanimidad. Comisionada Ponente Ximena Puente de la Mora. </w:t>
      </w:r>
    </w:p>
    <w:p w:rsidR="00945D6A" w:rsidRPr="00F54FF7" w:rsidRDefault="00945D6A" w:rsidP="00945D6A">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CD225B">
        <w:rPr>
          <w:rFonts w:ascii="Palatino Linotype" w:eastAsia="Calibri" w:hAnsi="Palatino Linotype" w:cs="Arial"/>
          <w:b/>
          <w:i/>
          <w:lang w:val="es-ES_tradnl" w:eastAsia="es-MX"/>
        </w:rPr>
        <w:t xml:space="preserve">RRA 0478/17. </w:t>
      </w:r>
      <w:r w:rsidRPr="00CD225B">
        <w:rPr>
          <w:rFonts w:ascii="Palatino Linotype" w:eastAsia="Calibri" w:hAnsi="Palatino Linotype" w:cs="Arial"/>
          <w:i/>
          <w:lang w:val="es-ES_tradnl" w:eastAsia="es-MX"/>
        </w:rPr>
        <w:t xml:space="preserve">Secretaría de Relaciones Exteriores. 26 de abril de 2017. Por unanimidad. Comisionada Ponente Areli Cano Guadiana.” </w:t>
      </w:r>
      <w:r w:rsidRPr="00CD225B">
        <w:rPr>
          <w:rFonts w:ascii="Palatino Linotype" w:eastAsia="Calibri" w:hAnsi="Palatino Linotype" w:cs="Arial"/>
          <w:b/>
          <w:i/>
          <w:lang w:val="es-ES_tradnl" w:eastAsia="es-MX"/>
        </w:rPr>
        <w:t>[Sic]</w:t>
      </w:r>
    </w:p>
    <w:p w:rsidR="00945D6A" w:rsidRPr="00F54FF7" w:rsidRDefault="00945D6A" w:rsidP="00945D6A">
      <w:pPr>
        <w:spacing w:line="360" w:lineRule="auto"/>
        <w:ind w:right="51"/>
        <w:jc w:val="both"/>
        <w:rPr>
          <w:rFonts w:ascii="Palatino Linotype" w:eastAsia="Calibri" w:hAnsi="Palatino Linotype" w:cs="Arial"/>
          <w:lang w:val="es-ES_tradnl" w:eastAsia="es-MX"/>
        </w:rPr>
      </w:pPr>
    </w:p>
    <w:p w:rsidR="00945D6A" w:rsidRDefault="00945D6A" w:rsidP="00945D6A">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945D6A" w:rsidRPr="009A71E1" w:rsidRDefault="00945D6A" w:rsidP="00945D6A">
      <w:pPr>
        <w:spacing w:line="360" w:lineRule="auto"/>
        <w:jc w:val="both"/>
        <w:rPr>
          <w:rFonts w:ascii="Palatino Linotype" w:eastAsiaTheme="minorHAnsi" w:hAnsi="Palatino Linotype" w:cstheme="minorBidi"/>
          <w:lang w:val="es-MX" w:eastAsia="en-US"/>
        </w:rPr>
      </w:pPr>
    </w:p>
    <w:p w:rsidR="00945D6A" w:rsidRDefault="00945D6A" w:rsidP="00945D6A">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945D6A" w:rsidRDefault="00945D6A" w:rsidP="00945D6A">
      <w:pPr>
        <w:spacing w:line="360" w:lineRule="auto"/>
        <w:jc w:val="both"/>
        <w:rPr>
          <w:rFonts w:ascii="Palatino Linotype" w:hAnsi="Palatino Linotype"/>
          <w:lang w:val="es-MX"/>
        </w:rPr>
      </w:pPr>
    </w:p>
    <w:p w:rsidR="00945D6A" w:rsidRPr="009A71E1" w:rsidRDefault="00945D6A" w:rsidP="00945D6A">
      <w:pPr>
        <w:spacing w:line="360" w:lineRule="auto"/>
        <w:jc w:val="both"/>
        <w:rPr>
          <w:rFonts w:ascii="Palatino Linotype" w:hAnsi="Palatino Linotype"/>
          <w:lang w:val="es-MX"/>
        </w:rPr>
      </w:pPr>
    </w:p>
    <w:p w:rsidR="00945D6A" w:rsidRPr="009A71E1" w:rsidRDefault="00945D6A" w:rsidP="00945D6A">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945D6A" w:rsidRDefault="00945D6A" w:rsidP="00945D6A">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945D6A" w:rsidRPr="00165D42" w:rsidRDefault="00945D6A" w:rsidP="00945D6A">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D6230D">
        <w:rPr>
          <w:rFonts w:ascii="Palatino Linotype" w:hAnsi="Palatino Linotype"/>
          <w:b/>
          <w:bCs/>
        </w:rPr>
        <w:t>01062/UAEM/IP/2024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 xml:space="preserve">por </w:t>
      </w:r>
      <w:r w:rsidR="009F4661" w:rsidRPr="00165D42">
        <w:rPr>
          <w:rFonts w:ascii="Palatino Linotype" w:hAnsi="Palatino Linotype" w:cs="Arial"/>
        </w:rPr>
        <w:t>resultar</w:t>
      </w:r>
      <w:r w:rsidR="009F4661">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945D6A" w:rsidRPr="00165D42" w:rsidRDefault="00945D6A" w:rsidP="00945D6A">
      <w:pPr>
        <w:spacing w:line="360" w:lineRule="auto"/>
        <w:jc w:val="both"/>
        <w:rPr>
          <w:rFonts w:ascii="Palatino Linotype" w:hAnsi="Palatino Linotype" w:cs="Arial"/>
        </w:rPr>
      </w:pPr>
    </w:p>
    <w:p w:rsidR="00945D6A" w:rsidRDefault="00945D6A" w:rsidP="00945D6A">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sidR="000B374E">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945D6A" w:rsidRPr="008735FA" w:rsidRDefault="00945D6A" w:rsidP="00D06F2B">
      <w:pPr>
        <w:pStyle w:val="Prrafodelista"/>
        <w:tabs>
          <w:tab w:val="left" w:pos="1828"/>
        </w:tabs>
        <w:spacing w:line="360" w:lineRule="auto"/>
        <w:ind w:left="720"/>
        <w:jc w:val="both"/>
        <w:rPr>
          <w:rFonts w:ascii="Palatino Linotype" w:hAnsi="Palatino Linotype" w:cs="Tahoma"/>
          <w:bCs/>
        </w:rPr>
      </w:pPr>
    </w:p>
    <w:p w:rsidR="00945D6A" w:rsidRPr="001D1808" w:rsidRDefault="001D1808" w:rsidP="001D1808">
      <w:pPr>
        <w:pStyle w:val="INFOEM"/>
        <w:numPr>
          <w:ilvl w:val="0"/>
          <w:numId w:val="23"/>
        </w:numPr>
        <w:spacing w:before="0" w:after="0"/>
        <w:ind w:right="567"/>
        <w:rPr>
          <w:i w:val="0"/>
          <w:sz w:val="28"/>
          <w:szCs w:val="24"/>
        </w:rPr>
      </w:pPr>
      <w:r>
        <w:rPr>
          <w:rFonts w:cs="Tahoma"/>
          <w:bCs/>
          <w:i w:val="0"/>
          <w:sz w:val="24"/>
        </w:rPr>
        <w:t xml:space="preserve">Documentos donde consten los </w:t>
      </w:r>
      <w:r w:rsidRPr="001D1808">
        <w:rPr>
          <w:rFonts w:cs="Tahoma"/>
          <w:bCs/>
          <w:i w:val="0"/>
          <w:sz w:val="24"/>
        </w:rPr>
        <w:t xml:space="preserve">descuentos generados por concepto de retardo, retardos acumulados y faltas </w:t>
      </w:r>
      <w:r>
        <w:rPr>
          <w:rFonts w:cs="Tahoma"/>
          <w:bCs/>
          <w:i w:val="0"/>
          <w:sz w:val="24"/>
        </w:rPr>
        <w:t>conforme al</w:t>
      </w:r>
      <w:r w:rsidR="00DC0DE4">
        <w:rPr>
          <w:rFonts w:cs="Tahoma"/>
          <w:bCs/>
          <w:i w:val="0"/>
          <w:sz w:val="24"/>
        </w:rPr>
        <w:t xml:space="preserve"> registro de asistencia del </w:t>
      </w:r>
      <w:r>
        <w:rPr>
          <w:rFonts w:cs="Tahoma"/>
          <w:bCs/>
          <w:i w:val="0"/>
          <w:sz w:val="24"/>
        </w:rPr>
        <w:t xml:space="preserve"> </w:t>
      </w:r>
      <w:r w:rsidRPr="001D1808">
        <w:rPr>
          <w:rFonts w:eastAsia="Palatino Linotype"/>
          <w:i w:val="0"/>
          <w:sz w:val="24"/>
          <w:szCs w:val="22"/>
        </w:rPr>
        <w:t>Sistema Integral para el Control de Asistencia (SICA)</w:t>
      </w:r>
      <w:r>
        <w:rPr>
          <w:rFonts w:cs="Tahoma"/>
          <w:bCs/>
          <w:i w:val="0"/>
          <w:sz w:val="24"/>
        </w:rPr>
        <w:t>,</w:t>
      </w:r>
      <w:r w:rsidRPr="001D1808">
        <w:rPr>
          <w:rFonts w:cs="Tahoma"/>
          <w:bCs/>
          <w:i w:val="0"/>
          <w:sz w:val="24"/>
        </w:rPr>
        <w:t xml:space="preserve"> del </w:t>
      </w:r>
      <w:r>
        <w:rPr>
          <w:rFonts w:cs="Tahoma"/>
          <w:bCs/>
          <w:i w:val="0"/>
          <w:sz w:val="24"/>
        </w:rPr>
        <w:t xml:space="preserve">quince </w:t>
      </w:r>
      <w:r w:rsidRPr="001D1808">
        <w:rPr>
          <w:rFonts w:cs="Tahoma"/>
          <w:bCs/>
          <w:i w:val="0"/>
          <w:sz w:val="24"/>
        </w:rPr>
        <w:t>de ju</w:t>
      </w:r>
      <w:r>
        <w:rPr>
          <w:rFonts w:cs="Tahoma"/>
          <w:bCs/>
          <w:i w:val="0"/>
          <w:sz w:val="24"/>
        </w:rPr>
        <w:t>nio de dos mil veintitrés al quince de agosto de</w:t>
      </w:r>
      <w:r w:rsidRPr="001D1808">
        <w:rPr>
          <w:rFonts w:cs="Tahoma"/>
          <w:bCs/>
          <w:i w:val="0"/>
          <w:sz w:val="24"/>
        </w:rPr>
        <w:t xml:space="preserve"> </w:t>
      </w:r>
      <w:r>
        <w:rPr>
          <w:rFonts w:cs="Tahoma"/>
          <w:bCs/>
          <w:i w:val="0"/>
          <w:sz w:val="24"/>
        </w:rPr>
        <w:t xml:space="preserve">dos mil veinticuatro, de </w:t>
      </w:r>
      <w:r w:rsidR="0089606C">
        <w:rPr>
          <w:rFonts w:cs="Tahoma"/>
          <w:bCs/>
          <w:i w:val="0"/>
          <w:sz w:val="24"/>
        </w:rPr>
        <w:t xml:space="preserve">los </w:t>
      </w:r>
      <w:r w:rsidR="0089606C" w:rsidRPr="0089606C">
        <w:rPr>
          <w:rFonts w:cs="Tahoma"/>
          <w:bCs/>
          <w:i w:val="0"/>
          <w:sz w:val="24"/>
          <w:highlight w:val="yellow"/>
        </w:rPr>
        <w:t>números de empleados</w:t>
      </w:r>
      <w:r>
        <w:rPr>
          <w:rFonts w:cs="Tahoma"/>
          <w:bCs/>
          <w:i w:val="0"/>
          <w:sz w:val="24"/>
        </w:rPr>
        <w:t xml:space="preserve"> referidos en la solicitud.</w:t>
      </w:r>
    </w:p>
    <w:p w:rsidR="00D06F2B" w:rsidRDefault="00945D6A" w:rsidP="00D06F2B">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89606C" w:rsidRDefault="0089606C" w:rsidP="00D06F2B">
      <w:pPr>
        <w:pStyle w:val="Citas"/>
      </w:pPr>
      <w:r w:rsidRPr="0089606C">
        <w:rPr>
          <w:highlight w:val="yellow"/>
        </w:rPr>
        <w:lastRenderedPageBreak/>
        <w:t>En el supuesto de que no cuente con la información que se ordena en el punto 1 del resolutivo segundo, bastará con que el área competente lo manifieste de manera precisa y clara.</w:t>
      </w:r>
      <w:r>
        <w:t xml:space="preserve"> </w:t>
      </w:r>
    </w:p>
    <w:p w:rsidR="00945D6A" w:rsidRPr="00DC5E29" w:rsidRDefault="00945D6A" w:rsidP="00945D6A">
      <w:pPr>
        <w:spacing w:line="360" w:lineRule="auto"/>
        <w:jc w:val="both"/>
        <w:rPr>
          <w:rFonts w:ascii="Palatino Linotype" w:hAnsi="Palatino Linotype" w:cs="Arial"/>
        </w:rPr>
      </w:pPr>
    </w:p>
    <w:p w:rsidR="00945D6A" w:rsidRPr="00DC5E29" w:rsidRDefault="00945D6A" w:rsidP="00945D6A">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45D6A" w:rsidRPr="00DC5E29" w:rsidRDefault="00945D6A" w:rsidP="00945D6A">
      <w:pPr>
        <w:spacing w:line="360" w:lineRule="auto"/>
        <w:ind w:right="-595"/>
        <w:jc w:val="both"/>
        <w:rPr>
          <w:rFonts w:ascii="Palatino Linotype" w:hAnsi="Palatino Linotype" w:cs="Tahoma"/>
          <w:bCs/>
        </w:rPr>
      </w:pPr>
    </w:p>
    <w:p w:rsidR="00945D6A" w:rsidRDefault="00945D6A" w:rsidP="00945D6A">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945D6A" w:rsidRPr="00DC5E29" w:rsidRDefault="00945D6A" w:rsidP="00945D6A">
      <w:pPr>
        <w:autoSpaceDE w:val="0"/>
        <w:autoSpaceDN w:val="0"/>
        <w:adjustRightInd w:val="0"/>
        <w:spacing w:line="360" w:lineRule="auto"/>
        <w:jc w:val="both"/>
        <w:rPr>
          <w:rFonts w:ascii="Palatino Linotype" w:hAnsi="Palatino Linotype" w:cs="Arial"/>
        </w:rPr>
      </w:pPr>
    </w:p>
    <w:p w:rsidR="00945D6A" w:rsidRDefault="00945D6A" w:rsidP="00945D6A">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w:t>
      </w:r>
      <w:r w:rsidRPr="00DC5E29">
        <w:rPr>
          <w:rFonts w:ascii="Palatino Linotype" w:hAnsi="Palatino Linotype" w:cs="Arial"/>
        </w:rPr>
        <w:lastRenderedPageBreak/>
        <w:t>términos de las leyes aplicables, de acuerdo a lo estipulado por el artículo 196 de la Ley de Transparencia y Acceso a la Información Pública del Estado de México y Municipios.</w:t>
      </w:r>
    </w:p>
    <w:p w:rsidR="00945D6A" w:rsidRPr="007C3942" w:rsidRDefault="00945D6A" w:rsidP="00945D6A">
      <w:pPr>
        <w:spacing w:line="360" w:lineRule="auto"/>
        <w:jc w:val="both"/>
        <w:rPr>
          <w:rFonts w:ascii="Palatino Linotype" w:hAnsi="Palatino Linotype"/>
          <w:lang w:eastAsia="es-ES_tradnl"/>
        </w:rPr>
      </w:pPr>
    </w:p>
    <w:p w:rsidR="00500AAF" w:rsidRDefault="00945D6A" w:rsidP="00500AAF">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DC0DE4">
        <w:rPr>
          <w:rFonts w:ascii="Palatino Linotype" w:hAnsi="Palatino Linotype" w:cs="Arial"/>
        </w:rPr>
        <w:t>CUADRA</w:t>
      </w:r>
      <w:r>
        <w:rPr>
          <w:rFonts w:ascii="Palatino Linotype" w:hAnsi="Palatino Linotype" w:cs="Arial"/>
        </w:rPr>
        <w:t xml:space="preserve">GÉSIMA </w:t>
      </w:r>
      <w:r w:rsidR="00633D7B">
        <w:rPr>
          <w:rFonts w:ascii="Palatino Linotype" w:hAnsi="Palatino Linotype" w:cs="Arial"/>
        </w:rPr>
        <w:t>TERCERA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8735FA">
        <w:rPr>
          <w:rFonts w:ascii="Palatino Linotype" w:hAnsi="Palatino Linotype" w:cs="Arial"/>
        </w:rPr>
        <w:t xml:space="preserve">ONCE DE </w:t>
      </w:r>
      <w:r w:rsidR="00DC0DE4">
        <w:rPr>
          <w:rFonts w:ascii="Palatino Linotype" w:hAnsi="Palatino Linotype" w:cs="Arial"/>
        </w:rPr>
        <w:t>DICI</w:t>
      </w:r>
      <w:r w:rsidR="008735FA">
        <w:rPr>
          <w:rFonts w:ascii="Palatino Linotype" w:hAnsi="Palatino Linotype" w:cs="Arial"/>
        </w:rPr>
        <w:t>EMBRE</w:t>
      </w:r>
      <w:r>
        <w:rPr>
          <w:rFonts w:ascii="Palatino Linotype" w:hAnsi="Palatino Linotype" w:cs="Arial"/>
        </w:rPr>
        <w:t xml:space="preserv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C62252">
        <w:rPr>
          <w:rFonts w:ascii="Palatino Linotype" w:hAnsi="Palatino Linotype" w:cs="Arial"/>
        </w:rPr>
        <w:t>---------------------</w:t>
      </w:r>
    </w:p>
    <w:p w:rsidR="00945D6A" w:rsidRPr="00A151D0" w:rsidRDefault="00945D6A" w:rsidP="00945D6A">
      <w:pPr>
        <w:spacing w:line="360" w:lineRule="auto"/>
        <w:jc w:val="both"/>
        <w:rPr>
          <w:rFonts w:ascii="Palatino Linotype" w:hAnsi="Palatino Linotype" w:cs="Arial"/>
          <w:sz w:val="20"/>
        </w:rPr>
      </w:pPr>
      <w:r>
        <w:rPr>
          <w:rFonts w:ascii="Palatino Linotype" w:hAnsi="Palatino Linotype" w:cs="Arial"/>
        </w:rPr>
        <w:t>-</w:t>
      </w:r>
      <w:r w:rsidRPr="00692461">
        <w:rPr>
          <w:rFonts w:ascii="Palatino Linotype" w:hAnsi="Palatino Linotype" w:cs="Arial"/>
        </w:rPr>
        <w:t>--------------------------------------------------------------------------------------------------------------------------------------------------------------------------------------------------------------------------------------------------------------------------------------------------------------------------------------------------------------------------------------------------------------------------------------------</w:t>
      </w:r>
      <w:r>
        <w:rPr>
          <w:rFonts w:ascii="Palatino Linotype" w:hAnsi="Palatino Linotype" w:cs="Arial"/>
        </w:rPr>
        <w:t>---------------------------</w:t>
      </w:r>
    </w:p>
    <w:p w:rsidR="00945D6A" w:rsidRPr="00E23C8F" w:rsidRDefault="00DC0DE4" w:rsidP="00945D6A">
      <w:pPr>
        <w:spacing w:line="360" w:lineRule="auto"/>
        <w:jc w:val="both"/>
        <w:rPr>
          <w:rFonts w:ascii="Palatino Linotype" w:hAnsi="Palatino Linotype" w:cs="Arial"/>
          <w:sz w:val="16"/>
        </w:rPr>
      </w:pPr>
      <w:r>
        <w:rPr>
          <w:rFonts w:ascii="Palatino Linotype" w:hAnsi="Palatino Linotype" w:cs="Arial"/>
          <w:sz w:val="16"/>
        </w:rPr>
        <w:t>JMV/CCR/</w:t>
      </w:r>
      <w:r w:rsidR="00500AAF">
        <w:rPr>
          <w:rFonts w:ascii="Palatino Linotype" w:hAnsi="Palatino Linotype" w:cs="Arial"/>
          <w:sz w:val="16"/>
        </w:rPr>
        <w:t>LMST</w:t>
      </w:r>
    </w:p>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945D6A" w:rsidRDefault="00945D6A" w:rsidP="00945D6A"/>
    <w:p w:rsidR="00DE5601" w:rsidRDefault="00DE5601"/>
    <w:sectPr w:rsidR="00DE5601" w:rsidSect="00E53228">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09" w:rsidRDefault="00444709" w:rsidP="00945D6A">
      <w:r>
        <w:separator/>
      </w:r>
    </w:p>
  </w:endnote>
  <w:endnote w:type="continuationSeparator" w:id="0">
    <w:p w:rsidR="00444709" w:rsidRDefault="00444709" w:rsidP="0094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09" w:rsidRPr="00A2780F" w:rsidRDefault="00444709" w:rsidP="00E5322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F510E">
      <w:rPr>
        <w:rFonts w:ascii="Arial" w:hAnsi="Arial" w:cs="Arial"/>
        <w:b/>
        <w:bCs/>
        <w:noProof/>
        <w:sz w:val="20"/>
        <w:szCs w:val="20"/>
      </w:rPr>
      <w:t>35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F510E">
      <w:rPr>
        <w:rFonts w:ascii="Arial" w:hAnsi="Arial" w:cs="Arial"/>
        <w:b/>
        <w:bCs/>
        <w:noProof/>
        <w:sz w:val="20"/>
        <w:szCs w:val="20"/>
      </w:rPr>
      <w:t>38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09" w:rsidRPr="00070856" w:rsidRDefault="00444709" w:rsidP="00E5322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F510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F510E">
      <w:rPr>
        <w:rFonts w:ascii="Arial" w:hAnsi="Arial" w:cs="Arial"/>
        <w:b/>
        <w:bCs/>
        <w:noProof/>
        <w:sz w:val="20"/>
        <w:szCs w:val="20"/>
      </w:rPr>
      <w:t>38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09" w:rsidRDefault="00444709" w:rsidP="00945D6A">
      <w:r>
        <w:separator/>
      </w:r>
    </w:p>
  </w:footnote>
  <w:footnote w:type="continuationSeparator" w:id="0">
    <w:p w:rsidR="00444709" w:rsidRDefault="00444709" w:rsidP="00945D6A">
      <w:r>
        <w:continuationSeparator/>
      </w:r>
    </w:p>
  </w:footnote>
  <w:footnote w:id="1">
    <w:p w:rsidR="00444709" w:rsidRPr="005552A8" w:rsidRDefault="00444709" w:rsidP="00945D6A">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444709" w:rsidRPr="005552A8" w:rsidRDefault="00444709" w:rsidP="00945D6A">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44709" w:rsidRPr="008F2CCC" w:rsidTr="00E53228">
      <w:tc>
        <w:tcPr>
          <w:tcW w:w="3620" w:type="dxa"/>
          <w:shd w:val="clear" w:color="auto" w:fill="auto"/>
        </w:tcPr>
        <w:p w:rsidR="00444709" w:rsidRPr="007E5FC4" w:rsidRDefault="00444709" w:rsidP="00E5322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444709" w:rsidRPr="00664658" w:rsidRDefault="00C62252" w:rsidP="00E5322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44709">
            <w:rPr>
              <w:rFonts w:ascii="Palatino Linotype" w:hAnsi="Palatino Linotype"/>
              <w:b/>
              <w:sz w:val="22"/>
              <w:szCs w:val="22"/>
              <w:lang w:val="es-ES_tradnl"/>
            </w:rPr>
            <w:t>7090/INFOEM/IP/RR/2024</w:t>
          </w:r>
        </w:p>
      </w:tc>
    </w:tr>
    <w:tr w:rsidR="00444709" w:rsidRPr="008F2CCC" w:rsidTr="00E53228">
      <w:tc>
        <w:tcPr>
          <w:tcW w:w="3620" w:type="dxa"/>
          <w:shd w:val="clear" w:color="auto" w:fill="auto"/>
        </w:tcPr>
        <w:p w:rsidR="00444709" w:rsidRPr="007E5FC4" w:rsidRDefault="00444709" w:rsidP="00E5322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444709" w:rsidRPr="00664658" w:rsidRDefault="00444709" w:rsidP="00E53228">
          <w:pPr>
            <w:spacing w:line="276" w:lineRule="auto"/>
            <w:jc w:val="right"/>
            <w:rPr>
              <w:rFonts w:ascii="Palatino Linotype" w:hAnsi="Palatino Linotype"/>
              <w:b/>
              <w:sz w:val="22"/>
              <w:szCs w:val="22"/>
              <w:lang w:val="es-ES_tradnl"/>
            </w:rPr>
          </w:pPr>
          <w:r w:rsidRPr="00541FFA">
            <w:rPr>
              <w:rFonts w:ascii="Palatino Linotype" w:hAnsi="Palatino Linotype"/>
              <w:b/>
              <w:sz w:val="22"/>
              <w:szCs w:val="22"/>
            </w:rPr>
            <w:t>Universidad Autónoma del Estado de México</w:t>
          </w:r>
        </w:p>
      </w:tc>
    </w:tr>
    <w:tr w:rsidR="00444709" w:rsidRPr="008F2CCC" w:rsidTr="00E53228">
      <w:trPr>
        <w:trHeight w:val="228"/>
      </w:trPr>
      <w:tc>
        <w:tcPr>
          <w:tcW w:w="3620" w:type="dxa"/>
          <w:shd w:val="clear" w:color="auto" w:fill="auto"/>
        </w:tcPr>
        <w:p w:rsidR="00444709" w:rsidRPr="007E5FC4" w:rsidRDefault="00444709" w:rsidP="00E5322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444709" w:rsidRPr="00664658" w:rsidRDefault="00444709" w:rsidP="00E5322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44709" w:rsidRDefault="00444709" w:rsidP="00E53228">
    <w:pPr>
      <w:pStyle w:val="Encabezado"/>
      <w:tabs>
        <w:tab w:val="clear" w:pos="4252"/>
        <w:tab w:val="clear" w:pos="8504"/>
        <w:tab w:val="left" w:pos="2326"/>
      </w:tabs>
      <w:rPr>
        <w:rFonts w:ascii="Palatino Linotype" w:hAnsi="Palatino Linotype"/>
        <w:sz w:val="20"/>
      </w:rPr>
    </w:pPr>
  </w:p>
  <w:p w:rsidR="00444709" w:rsidRPr="001779E0" w:rsidRDefault="00444709" w:rsidP="00E5322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01E7ECD" wp14:editId="5CF36D3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44709" w:rsidRPr="008F2CCC" w:rsidTr="00E53228">
      <w:tc>
        <w:tcPr>
          <w:tcW w:w="2977" w:type="dxa"/>
          <w:shd w:val="clear" w:color="auto" w:fill="auto"/>
        </w:tcPr>
        <w:p w:rsidR="00444709" w:rsidRPr="007E5FC4" w:rsidRDefault="00444709" w:rsidP="00E5322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444709" w:rsidRPr="008F2CCC" w:rsidRDefault="00C62252" w:rsidP="00E5322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44709">
            <w:rPr>
              <w:rFonts w:ascii="Palatino Linotype" w:hAnsi="Palatino Linotype"/>
              <w:b/>
              <w:sz w:val="22"/>
              <w:szCs w:val="22"/>
              <w:lang w:val="es-ES_tradnl"/>
            </w:rPr>
            <w:t>7090/INFOEM/IP/RR/2024</w:t>
          </w:r>
        </w:p>
      </w:tc>
    </w:tr>
    <w:tr w:rsidR="00444709" w:rsidRPr="008F2CCC" w:rsidTr="00E53228">
      <w:tc>
        <w:tcPr>
          <w:tcW w:w="2977" w:type="dxa"/>
          <w:shd w:val="clear" w:color="auto" w:fill="auto"/>
          <w:vAlign w:val="center"/>
        </w:tcPr>
        <w:p w:rsidR="00444709" w:rsidRPr="007E5FC4" w:rsidRDefault="00444709" w:rsidP="00E5322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444709" w:rsidRPr="008F2CCC" w:rsidRDefault="005F510E" w:rsidP="00E5322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44709" w:rsidRPr="008F2CCC" w:rsidTr="00E53228">
      <w:trPr>
        <w:trHeight w:val="228"/>
      </w:trPr>
      <w:tc>
        <w:tcPr>
          <w:tcW w:w="2977" w:type="dxa"/>
          <w:shd w:val="clear" w:color="auto" w:fill="auto"/>
        </w:tcPr>
        <w:p w:rsidR="00444709" w:rsidRPr="007E5FC4" w:rsidRDefault="00444709" w:rsidP="00E5322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444709" w:rsidRPr="00DC41C8" w:rsidRDefault="00444709" w:rsidP="00E53228">
          <w:pPr>
            <w:spacing w:line="360" w:lineRule="auto"/>
            <w:jc w:val="right"/>
            <w:rPr>
              <w:rFonts w:ascii="Palatino Linotype" w:hAnsi="Palatino Linotype"/>
              <w:b/>
              <w:sz w:val="22"/>
              <w:szCs w:val="22"/>
            </w:rPr>
          </w:pPr>
          <w:r w:rsidRPr="00541FFA">
            <w:rPr>
              <w:rFonts w:ascii="Palatino Linotype" w:hAnsi="Palatino Linotype"/>
              <w:b/>
              <w:sz w:val="22"/>
              <w:szCs w:val="22"/>
            </w:rPr>
            <w:t>Universidad Autónoma del Estado de México</w:t>
          </w:r>
        </w:p>
      </w:tc>
    </w:tr>
    <w:tr w:rsidR="00444709" w:rsidRPr="008F2CCC" w:rsidTr="00E53228">
      <w:tc>
        <w:tcPr>
          <w:tcW w:w="2977" w:type="dxa"/>
          <w:shd w:val="clear" w:color="auto" w:fill="auto"/>
        </w:tcPr>
        <w:p w:rsidR="00444709" w:rsidRPr="007E5FC4" w:rsidRDefault="00444709" w:rsidP="00E5322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444709" w:rsidRPr="008F2CCC" w:rsidRDefault="00444709" w:rsidP="00E5322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444709" w:rsidRPr="009F1AB6" w:rsidRDefault="0044470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1B1C2CE" wp14:editId="1B8B1AE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7CF"/>
    <w:multiLevelType w:val="hybridMultilevel"/>
    <w:tmpl w:val="F93E593E"/>
    <w:lvl w:ilvl="0" w:tplc="7F72D2C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36F5EDB"/>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769F2"/>
    <w:multiLevelType w:val="hybridMultilevel"/>
    <w:tmpl w:val="604E0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B22D33"/>
    <w:multiLevelType w:val="hybridMultilevel"/>
    <w:tmpl w:val="22602F4A"/>
    <w:lvl w:ilvl="0" w:tplc="B61E3E2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E184389"/>
    <w:multiLevelType w:val="hybridMultilevel"/>
    <w:tmpl w:val="AB406652"/>
    <w:lvl w:ilvl="0" w:tplc="98022B5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90E41B2"/>
    <w:multiLevelType w:val="hybridMultilevel"/>
    <w:tmpl w:val="B6AA4F78"/>
    <w:lvl w:ilvl="0" w:tplc="82FECC14">
      <w:start w:val="1"/>
      <w:numFmt w:val="lowerLetter"/>
      <w:lvlText w:val="%1)"/>
      <w:lvlJc w:val="left"/>
      <w:pPr>
        <w:ind w:left="1931" w:hanging="36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0"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14F23"/>
    <w:multiLevelType w:val="hybridMultilevel"/>
    <w:tmpl w:val="672698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1AA0C59"/>
    <w:multiLevelType w:val="hybridMultilevel"/>
    <w:tmpl w:val="D57ED2B2"/>
    <w:lvl w:ilvl="0" w:tplc="46CECF4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F60F24"/>
    <w:multiLevelType w:val="hybridMultilevel"/>
    <w:tmpl w:val="F49A6FF8"/>
    <w:lvl w:ilvl="0" w:tplc="D8EEDBE6">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C27114F"/>
    <w:multiLevelType w:val="hybridMultilevel"/>
    <w:tmpl w:val="82046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20"/>
  </w:num>
  <w:num w:numId="4">
    <w:abstractNumId w:val="13"/>
  </w:num>
  <w:num w:numId="5">
    <w:abstractNumId w:val="1"/>
  </w:num>
  <w:num w:numId="6">
    <w:abstractNumId w:val="14"/>
  </w:num>
  <w:num w:numId="7">
    <w:abstractNumId w:val="2"/>
  </w:num>
  <w:num w:numId="8">
    <w:abstractNumId w:val="18"/>
  </w:num>
  <w:num w:numId="9">
    <w:abstractNumId w:val="3"/>
  </w:num>
  <w:num w:numId="10">
    <w:abstractNumId w:val="11"/>
  </w:num>
  <w:num w:numId="11">
    <w:abstractNumId w:val="21"/>
  </w:num>
  <w:num w:numId="12">
    <w:abstractNumId w:val="12"/>
  </w:num>
  <w:num w:numId="13">
    <w:abstractNumId w:val="9"/>
  </w:num>
  <w:num w:numId="14">
    <w:abstractNumId w:val="8"/>
  </w:num>
  <w:num w:numId="15">
    <w:abstractNumId w:val="6"/>
  </w:num>
  <w:num w:numId="16">
    <w:abstractNumId w:val="15"/>
  </w:num>
  <w:num w:numId="17">
    <w:abstractNumId w:val="16"/>
  </w:num>
  <w:num w:numId="18">
    <w:abstractNumId w:val="22"/>
  </w:num>
  <w:num w:numId="19">
    <w:abstractNumId w:val="5"/>
  </w:num>
  <w:num w:numId="20">
    <w:abstractNumId w:val="7"/>
  </w:num>
  <w:num w:numId="21">
    <w:abstractNumId w:val="17"/>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6A"/>
    <w:rsid w:val="0009414E"/>
    <w:rsid w:val="000B374E"/>
    <w:rsid w:val="001D1808"/>
    <w:rsid w:val="00237AB0"/>
    <w:rsid w:val="002849D5"/>
    <w:rsid w:val="002C1CCD"/>
    <w:rsid w:val="00444709"/>
    <w:rsid w:val="00500AAF"/>
    <w:rsid w:val="00541FFA"/>
    <w:rsid w:val="005F510E"/>
    <w:rsid w:val="00633D7B"/>
    <w:rsid w:val="007B22EB"/>
    <w:rsid w:val="008735FA"/>
    <w:rsid w:val="0089606C"/>
    <w:rsid w:val="00945D6A"/>
    <w:rsid w:val="009A3812"/>
    <w:rsid w:val="009F4661"/>
    <w:rsid w:val="00AA5BB2"/>
    <w:rsid w:val="00B14358"/>
    <w:rsid w:val="00B94808"/>
    <w:rsid w:val="00C62252"/>
    <w:rsid w:val="00CD225B"/>
    <w:rsid w:val="00D06F2B"/>
    <w:rsid w:val="00D155FD"/>
    <w:rsid w:val="00D6230D"/>
    <w:rsid w:val="00D92237"/>
    <w:rsid w:val="00DC0DE4"/>
    <w:rsid w:val="00DE5601"/>
    <w:rsid w:val="00E53228"/>
    <w:rsid w:val="00EA53AB"/>
    <w:rsid w:val="00F27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B84F2-2E3F-49E4-A93F-14E837E5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D6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945D6A"/>
    <w:rPr>
      <w:rFonts w:eastAsiaTheme="minorEastAsia"/>
      <w:sz w:val="24"/>
      <w:szCs w:val="24"/>
      <w:lang w:val="es-ES_tradnl" w:eastAsia="es-ES"/>
    </w:rPr>
  </w:style>
  <w:style w:type="paragraph" w:styleId="Piedepgina">
    <w:name w:val="footer"/>
    <w:basedOn w:val="Normal"/>
    <w:link w:val="PiedepginaCar"/>
    <w:uiPriority w:val="99"/>
    <w:unhideWhenUsed/>
    <w:rsid w:val="00945D6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945D6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5D6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5D6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945D6A"/>
    <w:pPr>
      <w:spacing w:after="0" w:line="240" w:lineRule="auto"/>
    </w:pPr>
  </w:style>
  <w:style w:type="character" w:customStyle="1" w:styleId="SinespaciadoCar">
    <w:name w:val="Sin espaciado Car"/>
    <w:aliases w:val="Francesa Car,INAI Car"/>
    <w:link w:val="Sinespaciado"/>
    <w:uiPriority w:val="1"/>
    <w:locked/>
    <w:rsid w:val="00945D6A"/>
  </w:style>
  <w:style w:type="character" w:styleId="Hipervnculo">
    <w:name w:val="Hyperlink"/>
    <w:aliases w:val="Hipervínculo1,Hipervínculo11,Hipervínculo12,Hipervínculo13,Hipervínculo14,Hipervínculo15"/>
    <w:basedOn w:val="Fuentedeprrafopredeter"/>
    <w:uiPriority w:val="99"/>
    <w:unhideWhenUsed/>
    <w:rsid w:val="00945D6A"/>
    <w:rPr>
      <w:color w:val="0563C1" w:themeColor="hyperlink"/>
      <w:u w:val="single"/>
    </w:rPr>
  </w:style>
  <w:style w:type="paragraph" w:customStyle="1" w:styleId="INFOEM">
    <w:name w:val="INFOEM"/>
    <w:basedOn w:val="Normal"/>
    <w:qFormat/>
    <w:rsid w:val="00945D6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945D6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5D6A"/>
    <w:rPr>
      <w:vertAlign w:val="superscript"/>
    </w:rPr>
  </w:style>
  <w:style w:type="paragraph" w:customStyle="1" w:styleId="infoemcitas">
    <w:name w:val="infoem citas"/>
    <w:basedOn w:val="Normal"/>
    <w:qFormat/>
    <w:rsid w:val="00945D6A"/>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94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4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945D6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NormalWeb">
    <w:name w:val="Normal (Web)"/>
    <w:basedOn w:val="Normal"/>
    <w:uiPriority w:val="99"/>
    <w:rsid w:val="00D06F2B"/>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73017">
      <w:bodyDiv w:val="1"/>
      <w:marLeft w:val="0"/>
      <w:marRight w:val="0"/>
      <w:marTop w:val="0"/>
      <w:marBottom w:val="0"/>
      <w:divBdr>
        <w:top w:val="none" w:sz="0" w:space="0" w:color="auto"/>
        <w:left w:val="none" w:sz="0" w:space="0" w:color="auto"/>
        <w:bottom w:val="none" w:sz="0" w:space="0" w:color="auto"/>
        <w:right w:val="none" w:sz="0" w:space="0" w:color="auto"/>
      </w:divBdr>
    </w:div>
    <w:div w:id="8992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38</Pages>
  <Words>7995</Words>
  <Characters>43976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10</cp:revision>
  <dcterms:created xsi:type="dcterms:W3CDTF">2024-11-29T19:30:00Z</dcterms:created>
  <dcterms:modified xsi:type="dcterms:W3CDTF">2024-12-19T17:13:00Z</dcterms:modified>
</cp:coreProperties>
</file>