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6BD24" w14:textId="77777777" w:rsidR="003832B4" w:rsidRPr="00952F3F" w:rsidRDefault="003832B4" w:rsidP="003832B4">
      <w:pPr>
        <w:spacing w:before="240" w:after="240" w:line="360" w:lineRule="auto"/>
        <w:jc w:val="both"/>
        <w:rPr>
          <w:sz w:val="22"/>
          <w:szCs w:val="22"/>
        </w:rPr>
      </w:pPr>
      <w:r w:rsidRPr="00952F3F">
        <w:rPr>
          <w:rFonts w:ascii="Palatino Linotype" w:hAnsi="Palatino Linotype"/>
          <w:sz w:val="22"/>
          <w:szCs w:val="22"/>
        </w:rPr>
        <w:t>Resolución del Pleno del Instituto de Transparencia, Acceso a la Información Pública y Protección de Datos Personales del Estado de México y Municipios, con domicilio en Metepec, Estado</w:t>
      </w:r>
      <w:r w:rsidR="001826E8">
        <w:rPr>
          <w:rFonts w:ascii="Palatino Linotype" w:hAnsi="Palatino Linotype"/>
          <w:sz w:val="22"/>
          <w:szCs w:val="22"/>
        </w:rPr>
        <w:t xml:space="preserve"> de México;  de veintiuno (21</w:t>
      </w:r>
      <w:r w:rsidRPr="00952F3F">
        <w:rPr>
          <w:rFonts w:ascii="Palatino Linotype" w:hAnsi="Palatino Linotype"/>
          <w:sz w:val="22"/>
          <w:szCs w:val="22"/>
        </w:rPr>
        <w:t xml:space="preserve">) de </w:t>
      </w:r>
      <w:r w:rsidR="00C004BE">
        <w:rPr>
          <w:rFonts w:ascii="Palatino Linotype" w:hAnsi="Palatino Linotype"/>
          <w:sz w:val="22"/>
          <w:szCs w:val="22"/>
        </w:rPr>
        <w:t>noviembre</w:t>
      </w:r>
      <w:r w:rsidRPr="00952F3F">
        <w:rPr>
          <w:rFonts w:ascii="Palatino Linotype" w:hAnsi="Palatino Linotype"/>
          <w:sz w:val="22"/>
          <w:szCs w:val="22"/>
        </w:rPr>
        <w:t xml:space="preserve"> de dos mil veinticuatro.</w:t>
      </w:r>
    </w:p>
    <w:p w14:paraId="6983067C" w14:textId="049E7EDC" w:rsidR="003832B4" w:rsidRPr="00952F3F" w:rsidRDefault="003832B4" w:rsidP="003832B4">
      <w:pPr>
        <w:spacing w:before="240" w:after="360" w:line="360" w:lineRule="auto"/>
        <w:jc w:val="both"/>
        <w:rPr>
          <w:rFonts w:ascii="Palatino Linotype" w:hAnsi="Palatino Linotype"/>
          <w:b/>
          <w:sz w:val="22"/>
          <w:szCs w:val="22"/>
        </w:rPr>
      </w:pPr>
      <w:r w:rsidRPr="00952F3F">
        <w:rPr>
          <w:rFonts w:ascii="Palatino Linotype" w:hAnsi="Palatino Linotype"/>
          <w:b/>
          <w:sz w:val="22"/>
          <w:szCs w:val="22"/>
        </w:rPr>
        <w:t>VISTO</w:t>
      </w:r>
      <w:r w:rsidRPr="00952F3F">
        <w:rPr>
          <w:rFonts w:ascii="Palatino Linotype" w:hAnsi="Palatino Linotype"/>
          <w:sz w:val="22"/>
          <w:szCs w:val="22"/>
        </w:rPr>
        <w:t xml:space="preserve"> el expediente electrónico formado con motivo del recurso de revisión </w:t>
      </w:r>
      <w:r w:rsidR="00316EB8">
        <w:rPr>
          <w:rFonts w:ascii="Palatino Linotype" w:hAnsi="Palatino Linotype"/>
          <w:b/>
          <w:sz w:val="22"/>
          <w:szCs w:val="22"/>
        </w:rPr>
        <w:t>06748</w:t>
      </w:r>
      <w:r w:rsidRPr="00952F3F">
        <w:rPr>
          <w:rFonts w:ascii="Palatino Linotype" w:hAnsi="Palatino Linotype"/>
          <w:b/>
          <w:sz w:val="22"/>
          <w:szCs w:val="22"/>
        </w:rPr>
        <w:t>/INFOEM/IP/RR/2024</w:t>
      </w:r>
      <w:r w:rsidRPr="00952F3F">
        <w:rPr>
          <w:rFonts w:ascii="Palatino Linotype" w:hAnsi="Palatino Linotype" w:cs="Arial"/>
          <w:b/>
          <w:bCs/>
          <w:sz w:val="22"/>
          <w:szCs w:val="22"/>
        </w:rPr>
        <w:t xml:space="preserve">; </w:t>
      </w:r>
      <w:r w:rsidRPr="00952F3F">
        <w:rPr>
          <w:rFonts w:ascii="Palatino Linotype" w:hAnsi="Palatino Linotype"/>
          <w:sz w:val="22"/>
          <w:szCs w:val="22"/>
        </w:rPr>
        <w:t>promovidos por</w:t>
      </w:r>
      <w:r w:rsidRPr="00952F3F">
        <w:rPr>
          <w:rFonts w:ascii="Palatino Linotype" w:hAnsi="Palatino Linotype"/>
          <w:b/>
          <w:sz w:val="22"/>
          <w:szCs w:val="22"/>
        </w:rPr>
        <w:t xml:space="preserve"> </w:t>
      </w:r>
      <w:r w:rsidR="00E0466E">
        <w:rPr>
          <w:rFonts w:ascii="Palatino Linotype" w:eastAsia="Calibri" w:hAnsi="Palatino Linotype" w:cs="Tahoma"/>
          <w:b/>
          <w:bCs/>
          <w:sz w:val="22"/>
          <w:szCs w:val="22"/>
          <w:lang w:eastAsia="en-US"/>
        </w:rPr>
        <w:t xml:space="preserve">XXX </w:t>
      </w:r>
      <w:proofErr w:type="spellStart"/>
      <w:r w:rsidR="00E0466E">
        <w:rPr>
          <w:rFonts w:ascii="Palatino Linotype" w:eastAsia="Calibri" w:hAnsi="Palatino Linotype" w:cs="Tahoma"/>
          <w:b/>
          <w:bCs/>
          <w:sz w:val="22"/>
          <w:szCs w:val="22"/>
          <w:lang w:eastAsia="en-US"/>
        </w:rPr>
        <w:t>XXX</w:t>
      </w:r>
      <w:proofErr w:type="spellEnd"/>
      <w:r w:rsidRPr="00952F3F">
        <w:rPr>
          <w:rFonts w:ascii="Palatino Linotype" w:hAnsi="Palatino Linotype"/>
          <w:b/>
          <w:sz w:val="22"/>
          <w:szCs w:val="22"/>
        </w:rPr>
        <w:t xml:space="preserve"> </w:t>
      </w:r>
      <w:r w:rsidRPr="00952F3F">
        <w:rPr>
          <w:rFonts w:ascii="Palatino Linotype" w:hAnsi="Palatino Linotype" w:cs="Arial"/>
          <w:sz w:val="22"/>
          <w:szCs w:val="22"/>
        </w:rPr>
        <w:t xml:space="preserve">en su calidad de </w:t>
      </w:r>
      <w:r w:rsidRPr="00952F3F">
        <w:rPr>
          <w:rFonts w:ascii="Palatino Linotype" w:hAnsi="Palatino Linotype" w:cs="Arial"/>
          <w:b/>
          <w:sz w:val="22"/>
          <w:szCs w:val="22"/>
        </w:rPr>
        <w:t>RECURRENTE</w:t>
      </w:r>
      <w:r w:rsidRPr="00952F3F">
        <w:rPr>
          <w:rFonts w:ascii="Palatino Linotype" w:hAnsi="Palatino Linotype" w:cs="Arial"/>
          <w:sz w:val="22"/>
          <w:szCs w:val="22"/>
        </w:rPr>
        <w:t xml:space="preserve">, en contra de la respuesta </w:t>
      </w:r>
      <w:r w:rsidR="00316EB8">
        <w:rPr>
          <w:rFonts w:ascii="Palatino Linotype" w:hAnsi="Palatino Linotype" w:cs="Arial"/>
          <w:sz w:val="22"/>
          <w:szCs w:val="22"/>
        </w:rPr>
        <w:t>del</w:t>
      </w:r>
      <w:r w:rsidRPr="00952F3F">
        <w:rPr>
          <w:rFonts w:ascii="Palatino Linotype" w:hAnsi="Palatino Linotype" w:cs="Arial"/>
          <w:sz w:val="22"/>
          <w:szCs w:val="22"/>
        </w:rPr>
        <w:t xml:space="preserve"> </w:t>
      </w:r>
      <w:r w:rsidR="00316EB8" w:rsidRPr="00316EB8">
        <w:rPr>
          <w:rFonts w:ascii="Palatino Linotype" w:eastAsia="Calibri" w:hAnsi="Palatino Linotype" w:cs="Tahoma"/>
          <w:b/>
          <w:bCs/>
          <w:sz w:val="22"/>
          <w:szCs w:val="22"/>
          <w:lang w:eastAsia="en-US"/>
        </w:rPr>
        <w:t>Tecnológico de Estudios Superiores de Jilotepec</w:t>
      </w:r>
      <w:r w:rsidRPr="00952F3F">
        <w:rPr>
          <w:rFonts w:ascii="Palatino Linotype" w:hAnsi="Palatino Linotype"/>
          <w:b/>
          <w:sz w:val="22"/>
          <w:szCs w:val="22"/>
        </w:rPr>
        <w:t xml:space="preserve">, </w:t>
      </w:r>
      <w:r w:rsidRPr="00952F3F">
        <w:rPr>
          <w:rFonts w:ascii="Palatino Linotype" w:hAnsi="Palatino Linotype"/>
          <w:sz w:val="22"/>
          <w:szCs w:val="22"/>
        </w:rPr>
        <w:t>en lo sucesivo el</w:t>
      </w:r>
      <w:r w:rsidRPr="00952F3F">
        <w:rPr>
          <w:rFonts w:ascii="Palatino Linotype" w:hAnsi="Palatino Linotype"/>
          <w:b/>
          <w:sz w:val="22"/>
          <w:szCs w:val="22"/>
        </w:rPr>
        <w:t xml:space="preserve"> SUJETO OBLIGADO, </w:t>
      </w:r>
      <w:r w:rsidRPr="00952F3F">
        <w:rPr>
          <w:rFonts w:ascii="Palatino Linotype" w:hAnsi="Palatino Linotype"/>
          <w:sz w:val="22"/>
          <w:szCs w:val="22"/>
        </w:rPr>
        <w:t>se procede a dictar la presente resolución, con base en los siguientes:</w:t>
      </w:r>
    </w:p>
    <w:p w14:paraId="629CBF47" w14:textId="77777777" w:rsidR="003832B4" w:rsidRPr="00952F3F" w:rsidRDefault="003832B4" w:rsidP="003832B4">
      <w:pPr>
        <w:pStyle w:val="Ttulo1"/>
        <w:spacing w:line="360" w:lineRule="auto"/>
        <w:jc w:val="center"/>
        <w:rPr>
          <w:b/>
          <w:color w:val="auto"/>
          <w:sz w:val="22"/>
          <w:szCs w:val="22"/>
        </w:rPr>
      </w:pPr>
      <w:bookmarkStart w:id="0" w:name="_Toc461555884"/>
      <w:bookmarkStart w:id="1" w:name="_Toc466371847"/>
      <w:bookmarkStart w:id="2" w:name="_Toc61470696"/>
      <w:r w:rsidRPr="00952F3F">
        <w:rPr>
          <w:b/>
          <w:color w:val="auto"/>
          <w:sz w:val="22"/>
          <w:szCs w:val="22"/>
        </w:rPr>
        <w:t>ANTECEDENTES</w:t>
      </w:r>
      <w:bookmarkEnd w:id="0"/>
      <w:bookmarkEnd w:id="1"/>
      <w:bookmarkEnd w:id="2"/>
    </w:p>
    <w:p w14:paraId="3262E6C7" w14:textId="77777777" w:rsidR="003832B4" w:rsidRPr="00952F3F" w:rsidRDefault="00662614" w:rsidP="003832B4">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Cs w:val="22"/>
          <w:lang w:val="es-ES"/>
        </w:rPr>
      </w:pPr>
      <w:r>
        <w:rPr>
          <w:rFonts w:ascii="Palatino Linotype" w:eastAsia="Calibri" w:hAnsi="Palatino Linotype" w:cs="Arial"/>
          <w:szCs w:val="22"/>
          <w:lang w:val="es-ES"/>
        </w:rPr>
        <w:t>El doce (12</w:t>
      </w:r>
      <w:r w:rsidR="003832B4" w:rsidRPr="00952F3F">
        <w:rPr>
          <w:rFonts w:ascii="Palatino Linotype" w:eastAsia="Calibri" w:hAnsi="Palatino Linotype" w:cs="Arial"/>
          <w:szCs w:val="22"/>
          <w:lang w:val="es-ES"/>
        </w:rPr>
        <w:t xml:space="preserve">) de </w:t>
      </w:r>
      <w:r>
        <w:rPr>
          <w:rFonts w:ascii="Palatino Linotype" w:eastAsia="Calibri" w:hAnsi="Palatino Linotype" w:cs="Arial"/>
          <w:szCs w:val="22"/>
          <w:lang w:val="es-ES"/>
        </w:rPr>
        <w:t>septiembre</w:t>
      </w:r>
      <w:r w:rsidR="003832B4" w:rsidRPr="00952F3F">
        <w:rPr>
          <w:rFonts w:ascii="Palatino Linotype" w:eastAsia="Calibri" w:hAnsi="Palatino Linotype" w:cs="Arial"/>
          <w:szCs w:val="22"/>
          <w:lang w:val="es-ES"/>
        </w:rPr>
        <w:t xml:space="preserve"> de dos mil veinticuatro</w:t>
      </w:r>
      <w:r w:rsidR="003832B4" w:rsidRPr="00952F3F">
        <w:rPr>
          <w:rFonts w:ascii="Palatino Linotype" w:hAnsi="Palatino Linotype"/>
          <w:b/>
          <w:szCs w:val="22"/>
        </w:rPr>
        <w:t xml:space="preserve">, </w:t>
      </w:r>
      <w:r w:rsidR="003832B4" w:rsidRPr="00952F3F">
        <w:rPr>
          <w:rFonts w:ascii="Palatino Linotype" w:eastAsia="Calibri" w:hAnsi="Palatino Linotype" w:cs="Arial"/>
          <w:szCs w:val="22"/>
          <w:lang w:val="es-ES"/>
        </w:rPr>
        <w:t xml:space="preserve">se presentó ante el </w:t>
      </w:r>
      <w:r w:rsidR="003832B4" w:rsidRPr="00952F3F">
        <w:rPr>
          <w:rFonts w:ascii="Palatino Linotype" w:eastAsia="Calibri" w:hAnsi="Palatino Linotype" w:cs="Arial"/>
          <w:b/>
          <w:szCs w:val="22"/>
          <w:lang w:val="es-ES"/>
        </w:rPr>
        <w:t>SUJETO OBLIGADO</w:t>
      </w:r>
      <w:r w:rsidR="003832B4" w:rsidRPr="00952F3F">
        <w:rPr>
          <w:rFonts w:ascii="Palatino Linotype" w:eastAsia="Calibri" w:hAnsi="Palatino Linotype" w:cs="Arial"/>
          <w:szCs w:val="22"/>
        </w:rPr>
        <w:t xml:space="preserve"> vía </w:t>
      </w:r>
      <w:r w:rsidR="003832B4" w:rsidRPr="00952F3F">
        <w:rPr>
          <w:rFonts w:ascii="Palatino Linotype" w:eastAsia="Calibri" w:hAnsi="Palatino Linotype" w:cs="Arial"/>
          <w:szCs w:val="22"/>
          <w:lang w:val="es-ES"/>
        </w:rPr>
        <w:t xml:space="preserve">Sistema de Acceso a la Información Mexiquense </w:t>
      </w:r>
      <w:r w:rsidR="003832B4" w:rsidRPr="00952F3F">
        <w:rPr>
          <w:rFonts w:ascii="Palatino Linotype" w:eastAsia="Calibri" w:hAnsi="Palatino Linotype" w:cs="Arial"/>
          <w:b/>
          <w:i/>
          <w:szCs w:val="22"/>
          <w:lang w:val="es-ES"/>
        </w:rPr>
        <w:t>SAIMEX</w:t>
      </w:r>
      <w:r w:rsidR="003832B4" w:rsidRPr="00952F3F">
        <w:rPr>
          <w:rFonts w:ascii="Palatino Linotype" w:eastAsia="Calibri" w:hAnsi="Palatino Linotype" w:cs="Arial"/>
          <w:szCs w:val="22"/>
          <w:lang w:val="es-ES"/>
        </w:rPr>
        <w:t xml:space="preserve">, la solicitud de información pública registrada con el número </w:t>
      </w:r>
      <w:r>
        <w:rPr>
          <w:rFonts w:ascii="Palatino Linotype" w:hAnsi="Palatino Linotype"/>
          <w:b/>
          <w:bCs/>
          <w:szCs w:val="22"/>
        </w:rPr>
        <w:t>00013/TESJILO</w:t>
      </w:r>
      <w:r w:rsidR="003832B4" w:rsidRPr="00952F3F">
        <w:rPr>
          <w:rFonts w:ascii="Palatino Linotype" w:hAnsi="Palatino Linotype"/>
          <w:b/>
          <w:bCs/>
          <w:szCs w:val="22"/>
        </w:rPr>
        <w:t xml:space="preserve">/IP/2024, </w:t>
      </w:r>
      <w:r w:rsidR="003832B4" w:rsidRPr="00952F3F">
        <w:rPr>
          <w:rFonts w:ascii="Palatino Linotype" w:eastAsia="Calibri" w:hAnsi="Palatino Linotype" w:cs="Arial"/>
          <w:szCs w:val="22"/>
          <w:lang w:val="es-ES"/>
        </w:rPr>
        <w:t>mediante la cual solicitó:</w:t>
      </w:r>
    </w:p>
    <w:p w14:paraId="173C2DEC" w14:textId="77777777" w:rsidR="003832B4" w:rsidRPr="00952F3F" w:rsidRDefault="003832B4" w:rsidP="003832B4">
      <w:pPr>
        <w:pStyle w:val="Prrafodelista"/>
        <w:tabs>
          <w:tab w:val="left" w:pos="284"/>
        </w:tabs>
        <w:spacing w:before="240" w:after="240" w:line="360" w:lineRule="auto"/>
        <w:ind w:left="0"/>
        <w:jc w:val="both"/>
        <w:rPr>
          <w:rFonts w:ascii="Palatino Linotype" w:eastAsia="Calibri" w:hAnsi="Palatino Linotype" w:cs="Arial"/>
          <w:szCs w:val="22"/>
          <w:lang w:val="es-ES"/>
        </w:rPr>
      </w:pPr>
    </w:p>
    <w:p w14:paraId="7ABA711A" w14:textId="77777777" w:rsidR="003832B4" w:rsidRPr="00662614" w:rsidRDefault="003832B4" w:rsidP="003832B4">
      <w:pPr>
        <w:pStyle w:val="Prrafodelista"/>
        <w:spacing w:line="360" w:lineRule="auto"/>
        <w:ind w:left="567" w:right="567"/>
        <w:jc w:val="both"/>
        <w:rPr>
          <w:rFonts w:ascii="Palatino Linotype" w:hAnsi="Palatino Linotype"/>
          <w:i/>
          <w:szCs w:val="22"/>
        </w:rPr>
      </w:pPr>
      <w:r w:rsidRPr="00662614">
        <w:rPr>
          <w:rFonts w:ascii="Palatino Linotype" w:hAnsi="Palatino Linotype"/>
          <w:i/>
          <w:szCs w:val="22"/>
        </w:rPr>
        <w:t>“</w:t>
      </w:r>
      <w:r w:rsidR="00662614" w:rsidRPr="00662614">
        <w:rPr>
          <w:rFonts w:ascii="Palatino Linotype" w:hAnsi="Palatino Linotype"/>
          <w:i/>
          <w:color w:val="000000"/>
          <w:szCs w:val="22"/>
        </w:rPr>
        <w:t>¿Cuál es la medida de los salones del edificio F del TESJI? ¿Cuántos alumnos hay por salón? ¿Quién es la autoridad responsable de armar los horarios y los grupos de la carrera de Ingeniería Mecatrónica?</w:t>
      </w:r>
      <w:r w:rsidRPr="00662614">
        <w:rPr>
          <w:rFonts w:ascii="Palatino Linotype" w:hAnsi="Palatino Linotype"/>
          <w:i/>
          <w:szCs w:val="22"/>
        </w:rPr>
        <w:t>” (Sic)</w:t>
      </w:r>
    </w:p>
    <w:p w14:paraId="5D91DF64" w14:textId="77777777" w:rsidR="003832B4" w:rsidRPr="00952F3F" w:rsidRDefault="003832B4" w:rsidP="003832B4">
      <w:pPr>
        <w:pStyle w:val="Prrafodelista"/>
        <w:spacing w:line="276" w:lineRule="auto"/>
        <w:ind w:left="567" w:right="567"/>
        <w:jc w:val="both"/>
        <w:rPr>
          <w:rFonts w:ascii="Palatino Linotype" w:hAnsi="Palatino Linotype"/>
          <w:szCs w:val="22"/>
        </w:rPr>
      </w:pPr>
    </w:p>
    <w:p w14:paraId="4033DD5D" w14:textId="77777777" w:rsidR="003832B4" w:rsidRPr="00952F3F" w:rsidRDefault="003832B4" w:rsidP="003832B4">
      <w:pPr>
        <w:pStyle w:val="Prrafodelista"/>
        <w:numPr>
          <w:ilvl w:val="0"/>
          <w:numId w:val="2"/>
        </w:numPr>
        <w:tabs>
          <w:tab w:val="left" w:pos="284"/>
        </w:tabs>
        <w:spacing w:before="240" w:after="240" w:line="360" w:lineRule="auto"/>
        <w:ind w:left="0" w:firstLine="0"/>
        <w:jc w:val="both"/>
        <w:rPr>
          <w:rFonts w:ascii="Palatino Linotype" w:eastAsia="MS Mincho" w:hAnsi="Palatino Linotype"/>
          <w:szCs w:val="22"/>
        </w:rPr>
      </w:pPr>
      <w:r w:rsidRPr="00952F3F">
        <w:rPr>
          <w:rFonts w:ascii="Palatino Linotype" w:eastAsia="Calibri" w:hAnsi="Palatino Linotype" w:cs="Arial"/>
          <w:szCs w:val="22"/>
          <w:lang w:val="es-AR"/>
        </w:rPr>
        <w:t xml:space="preserve">De las constancias </w:t>
      </w:r>
      <w:r w:rsidRPr="00952F3F">
        <w:rPr>
          <w:rFonts w:ascii="Palatino Linotype" w:hAnsi="Palatino Linotype" w:cs="Arial"/>
          <w:szCs w:val="22"/>
          <w:lang w:val="es-ES"/>
        </w:rPr>
        <w:t xml:space="preserve">que obran en el expediente, se aprecia que el entonces </w:t>
      </w:r>
      <w:r w:rsidRPr="00952F3F">
        <w:rPr>
          <w:rFonts w:ascii="Palatino Linotype" w:hAnsi="Palatino Linotype" w:cs="Arial"/>
          <w:b/>
          <w:szCs w:val="22"/>
          <w:lang w:val="es-ES"/>
        </w:rPr>
        <w:t>SOLICITANTE</w:t>
      </w:r>
      <w:r w:rsidRPr="00952F3F">
        <w:rPr>
          <w:rFonts w:ascii="Palatino Linotype" w:hAnsi="Palatino Linotype" w:cs="Arial"/>
          <w:szCs w:val="22"/>
          <w:lang w:val="es-ES"/>
        </w:rPr>
        <w:t xml:space="preserve"> señaló como modalidad de entrega de la información “</w:t>
      </w:r>
      <w:r w:rsidRPr="00952F3F">
        <w:rPr>
          <w:rFonts w:ascii="Palatino Linotype" w:hAnsi="Palatino Linotype"/>
          <w:szCs w:val="22"/>
        </w:rPr>
        <w:t xml:space="preserve">A través del </w:t>
      </w:r>
      <w:r w:rsidRPr="00952F3F">
        <w:rPr>
          <w:rFonts w:ascii="Palatino Linotype" w:hAnsi="Palatino Linotype"/>
          <w:b/>
          <w:szCs w:val="22"/>
        </w:rPr>
        <w:t>SAIMEX”</w:t>
      </w:r>
      <w:r w:rsidRPr="00952F3F">
        <w:rPr>
          <w:rFonts w:ascii="Palatino Linotype" w:hAnsi="Palatino Linotype"/>
          <w:szCs w:val="22"/>
        </w:rPr>
        <w:t>.</w:t>
      </w:r>
    </w:p>
    <w:p w14:paraId="20C0110E" w14:textId="77777777" w:rsidR="003832B4" w:rsidRPr="00952F3F" w:rsidRDefault="003832B4" w:rsidP="003832B4">
      <w:pPr>
        <w:pStyle w:val="Prrafodelista"/>
        <w:tabs>
          <w:tab w:val="left" w:pos="284"/>
        </w:tabs>
        <w:spacing w:before="240" w:after="240" w:line="360" w:lineRule="auto"/>
        <w:ind w:left="0"/>
        <w:jc w:val="both"/>
        <w:rPr>
          <w:rFonts w:ascii="Palatino Linotype" w:eastAsia="MS Mincho" w:hAnsi="Palatino Linotype"/>
          <w:szCs w:val="22"/>
        </w:rPr>
      </w:pPr>
    </w:p>
    <w:p w14:paraId="035AF884" w14:textId="77777777" w:rsidR="003832B4" w:rsidRPr="00952F3F" w:rsidRDefault="00662614" w:rsidP="003832B4">
      <w:pPr>
        <w:pStyle w:val="Prrafodelista"/>
        <w:numPr>
          <w:ilvl w:val="0"/>
          <w:numId w:val="2"/>
        </w:numPr>
        <w:tabs>
          <w:tab w:val="left" w:pos="284"/>
        </w:tabs>
        <w:spacing w:line="360" w:lineRule="auto"/>
        <w:ind w:left="0" w:right="34" w:firstLine="0"/>
        <w:jc w:val="both"/>
        <w:rPr>
          <w:rFonts w:ascii="Palatino Linotype" w:hAnsi="Palatino Linotype" w:cs="Arial"/>
          <w:i/>
          <w:szCs w:val="22"/>
        </w:rPr>
      </w:pPr>
      <w:r>
        <w:rPr>
          <w:rFonts w:ascii="Palatino Linotype" w:hAnsi="Palatino Linotype" w:cs="Arial"/>
          <w:szCs w:val="22"/>
        </w:rPr>
        <w:t>El veintisiete (2</w:t>
      </w:r>
      <w:r w:rsidR="003832B4" w:rsidRPr="00952F3F">
        <w:rPr>
          <w:rFonts w:ascii="Palatino Linotype" w:hAnsi="Palatino Linotype" w:cs="Arial"/>
          <w:szCs w:val="22"/>
        </w:rPr>
        <w:t xml:space="preserve">7) de </w:t>
      </w:r>
      <w:r>
        <w:rPr>
          <w:rFonts w:ascii="Palatino Linotype" w:hAnsi="Palatino Linotype" w:cs="Arial"/>
          <w:szCs w:val="22"/>
        </w:rPr>
        <w:t>septiembre</w:t>
      </w:r>
      <w:r w:rsidR="003832B4" w:rsidRPr="00952F3F">
        <w:rPr>
          <w:rFonts w:ascii="Palatino Linotype" w:hAnsi="Palatino Linotype" w:cs="Arial"/>
          <w:szCs w:val="22"/>
        </w:rPr>
        <w:t xml:space="preserve"> de dos</w:t>
      </w:r>
      <w:r>
        <w:rPr>
          <w:rFonts w:ascii="Palatino Linotype" w:hAnsi="Palatino Linotype" w:cs="Arial"/>
          <w:szCs w:val="22"/>
        </w:rPr>
        <w:t xml:space="preserve"> mil veinticuatro, se realizó el requerimiento a los</w:t>
      </w:r>
      <w:r w:rsidR="003832B4" w:rsidRPr="00952F3F">
        <w:rPr>
          <w:rFonts w:ascii="Palatino Linotype" w:hAnsi="Palatino Linotype" w:cs="Arial"/>
          <w:szCs w:val="22"/>
        </w:rPr>
        <w:t xml:space="preserve"> servidor</w:t>
      </w:r>
      <w:r>
        <w:rPr>
          <w:rFonts w:ascii="Palatino Linotype" w:hAnsi="Palatino Linotype" w:cs="Arial"/>
          <w:szCs w:val="22"/>
        </w:rPr>
        <w:t>es</w:t>
      </w:r>
      <w:r w:rsidR="003832B4" w:rsidRPr="00952F3F">
        <w:rPr>
          <w:rFonts w:ascii="Palatino Linotype" w:hAnsi="Palatino Linotype" w:cs="Arial"/>
          <w:szCs w:val="22"/>
        </w:rPr>
        <w:t xml:space="preserve"> público</w:t>
      </w:r>
      <w:r>
        <w:rPr>
          <w:rFonts w:ascii="Palatino Linotype" w:hAnsi="Palatino Linotype" w:cs="Arial"/>
          <w:szCs w:val="22"/>
        </w:rPr>
        <w:t>s</w:t>
      </w:r>
      <w:r w:rsidR="003832B4" w:rsidRPr="00952F3F">
        <w:rPr>
          <w:rFonts w:ascii="Palatino Linotype" w:hAnsi="Palatino Linotype" w:cs="Arial"/>
          <w:szCs w:val="22"/>
        </w:rPr>
        <w:t xml:space="preserve"> habilitado</w:t>
      </w:r>
      <w:r>
        <w:rPr>
          <w:rFonts w:ascii="Palatino Linotype" w:hAnsi="Palatino Linotype" w:cs="Arial"/>
          <w:szCs w:val="22"/>
        </w:rPr>
        <w:t>s</w:t>
      </w:r>
      <w:r w:rsidR="003832B4" w:rsidRPr="00952F3F">
        <w:rPr>
          <w:rFonts w:ascii="Palatino Linotype" w:hAnsi="Palatino Linotype" w:cs="Arial"/>
          <w:szCs w:val="22"/>
        </w:rPr>
        <w:t xml:space="preserve">. </w:t>
      </w:r>
    </w:p>
    <w:p w14:paraId="53FC9CCB" w14:textId="77777777" w:rsidR="003832B4" w:rsidRPr="00952F3F" w:rsidRDefault="003832B4" w:rsidP="003832B4">
      <w:pPr>
        <w:pStyle w:val="Prrafodelista"/>
        <w:rPr>
          <w:rFonts w:ascii="Palatino Linotype" w:eastAsia="Calibri" w:hAnsi="Palatino Linotype" w:cs="Arial"/>
          <w:szCs w:val="22"/>
          <w:lang w:val="es-AR"/>
        </w:rPr>
      </w:pPr>
    </w:p>
    <w:p w14:paraId="1D180478" w14:textId="77777777" w:rsidR="003832B4" w:rsidRPr="00952F3F" w:rsidRDefault="00662614" w:rsidP="003832B4">
      <w:pPr>
        <w:pStyle w:val="Prrafodelista"/>
        <w:numPr>
          <w:ilvl w:val="0"/>
          <w:numId w:val="2"/>
        </w:numPr>
        <w:tabs>
          <w:tab w:val="left" w:pos="284"/>
        </w:tabs>
        <w:spacing w:line="360" w:lineRule="auto"/>
        <w:ind w:left="0" w:right="34" w:firstLine="0"/>
        <w:jc w:val="both"/>
        <w:rPr>
          <w:rFonts w:ascii="Palatino Linotype" w:hAnsi="Palatino Linotype" w:cs="Arial"/>
          <w:i/>
          <w:szCs w:val="22"/>
        </w:rPr>
      </w:pPr>
      <w:r>
        <w:rPr>
          <w:rFonts w:ascii="Palatino Linotype" w:eastAsia="Calibri" w:hAnsi="Palatino Linotype" w:cs="Arial"/>
          <w:szCs w:val="22"/>
          <w:lang w:val="es-AR"/>
        </w:rPr>
        <w:t>El siete (07</w:t>
      </w:r>
      <w:r w:rsidR="003832B4" w:rsidRPr="00952F3F">
        <w:rPr>
          <w:rFonts w:ascii="Palatino Linotype" w:eastAsia="Calibri" w:hAnsi="Palatino Linotype" w:cs="Arial"/>
          <w:szCs w:val="22"/>
          <w:lang w:val="es-AR"/>
        </w:rPr>
        <w:t xml:space="preserve">) de </w:t>
      </w:r>
      <w:r>
        <w:rPr>
          <w:rFonts w:ascii="Palatino Linotype" w:eastAsia="Calibri" w:hAnsi="Palatino Linotype" w:cs="Arial"/>
          <w:szCs w:val="22"/>
          <w:lang w:val="es-AR"/>
        </w:rPr>
        <w:t>octubre</w:t>
      </w:r>
      <w:r w:rsidR="003832B4" w:rsidRPr="00952F3F">
        <w:rPr>
          <w:rFonts w:ascii="Palatino Linotype" w:eastAsia="Calibri" w:hAnsi="Palatino Linotype" w:cs="Arial"/>
          <w:szCs w:val="22"/>
          <w:lang w:val="es-AR"/>
        </w:rPr>
        <w:t xml:space="preserve"> de dos mil veinticuatro, el SUJETO OBLIGADO dio respuesta a la solicitud de información en el siguiente sentido:</w:t>
      </w:r>
    </w:p>
    <w:p w14:paraId="3D703893" w14:textId="77777777" w:rsidR="003832B4" w:rsidRPr="00952F3F" w:rsidRDefault="003832B4" w:rsidP="003832B4">
      <w:pPr>
        <w:pStyle w:val="Prrafodelista"/>
        <w:spacing w:line="360" w:lineRule="auto"/>
        <w:ind w:left="0" w:right="34"/>
        <w:jc w:val="both"/>
        <w:rPr>
          <w:rFonts w:ascii="Palatino Linotype" w:hAnsi="Palatino Linotype"/>
          <w:bCs/>
          <w:szCs w:val="22"/>
        </w:rPr>
      </w:pPr>
    </w:p>
    <w:tbl>
      <w:tblPr>
        <w:tblW w:w="7337" w:type="dxa"/>
        <w:jc w:val="center"/>
        <w:tblCellSpacing w:w="0" w:type="dxa"/>
        <w:tblCellMar>
          <w:left w:w="0" w:type="dxa"/>
          <w:right w:w="0" w:type="dxa"/>
        </w:tblCellMar>
        <w:tblLook w:val="04A0" w:firstRow="1" w:lastRow="0" w:firstColumn="1" w:lastColumn="0" w:noHBand="0" w:noVBand="1"/>
      </w:tblPr>
      <w:tblGrid>
        <w:gridCol w:w="7337"/>
      </w:tblGrid>
      <w:tr w:rsidR="00662614" w:rsidRPr="00952F3F" w14:paraId="022316A2" w14:textId="77777777" w:rsidTr="003832B4">
        <w:trPr>
          <w:trHeight w:val="275"/>
          <w:tblCellSpacing w:w="0" w:type="dxa"/>
          <w:jc w:val="center"/>
        </w:trPr>
        <w:tc>
          <w:tcPr>
            <w:tcW w:w="0" w:type="auto"/>
            <w:vAlign w:val="center"/>
            <w:hideMark/>
          </w:tcPr>
          <w:p w14:paraId="15373619" w14:textId="77777777" w:rsidR="00662614" w:rsidRPr="00EB5CBC" w:rsidRDefault="00662614" w:rsidP="00662614">
            <w:pPr>
              <w:jc w:val="right"/>
              <w:rPr>
                <w:rFonts w:ascii="Palatino Linotype" w:hAnsi="Palatino Linotype"/>
                <w:i/>
              </w:rPr>
            </w:pPr>
            <w:r w:rsidRPr="00EB5CBC">
              <w:rPr>
                <w:rFonts w:ascii="Palatino Linotype" w:hAnsi="Palatino Linotype"/>
                <w:i/>
                <w:sz w:val="18"/>
                <w:szCs w:val="18"/>
              </w:rPr>
              <w:t>Metepec, México a 07 de Octubre de 2024</w:t>
            </w:r>
          </w:p>
        </w:tc>
      </w:tr>
      <w:tr w:rsidR="00662614" w:rsidRPr="00952F3F" w14:paraId="708EA14B" w14:textId="77777777" w:rsidTr="003832B4">
        <w:trPr>
          <w:trHeight w:val="275"/>
          <w:tblCellSpacing w:w="0" w:type="dxa"/>
          <w:jc w:val="center"/>
        </w:trPr>
        <w:tc>
          <w:tcPr>
            <w:tcW w:w="0" w:type="auto"/>
            <w:vAlign w:val="center"/>
            <w:hideMark/>
          </w:tcPr>
          <w:p w14:paraId="1727E526" w14:textId="77777777" w:rsidR="00662614" w:rsidRPr="00EB5CBC" w:rsidRDefault="00662614" w:rsidP="00662614">
            <w:pPr>
              <w:jc w:val="right"/>
              <w:rPr>
                <w:rFonts w:ascii="Palatino Linotype" w:hAnsi="Palatino Linotype"/>
                <w:i/>
              </w:rPr>
            </w:pPr>
            <w:r w:rsidRPr="00EB5CBC">
              <w:rPr>
                <w:rFonts w:ascii="Palatino Linotype" w:hAnsi="Palatino Linotype"/>
                <w:i/>
                <w:sz w:val="18"/>
                <w:szCs w:val="18"/>
              </w:rPr>
              <w:t>Nombre del solicitante: C. Solicitante</w:t>
            </w:r>
          </w:p>
        </w:tc>
      </w:tr>
      <w:tr w:rsidR="00662614" w:rsidRPr="00952F3F" w14:paraId="5854F9A1" w14:textId="77777777" w:rsidTr="003832B4">
        <w:trPr>
          <w:trHeight w:val="275"/>
          <w:tblCellSpacing w:w="0" w:type="dxa"/>
          <w:jc w:val="center"/>
        </w:trPr>
        <w:tc>
          <w:tcPr>
            <w:tcW w:w="0" w:type="auto"/>
            <w:vAlign w:val="center"/>
            <w:hideMark/>
          </w:tcPr>
          <w:p w14:paraId="2ACEBDD2" w14:textId="77777777" w:rsidR="00662614" w:rsidRPr="00EB5CBC" w:rsidRDefault="00662614" w:rsidP="00662614">
            <w:pPr>
              <w:jc w:val="right"/>
              <w:rPr>
                <w:rFonts w:ascii="Palatino Linotype" w:hAnsi="Palatino Linotype"/>
                <w:i/>
              </w:rPr>
            </w:pPr>
            <w:r w:rsidRPr="00EB5CBC">
              <w:rPr>
                <w:rFonts w:ascii="Palatino Linotype" w:hAnsi="Palatino Linotype"/>
                <w:i/>
                <w:sz w:val="18"/>
                <w:szCs w:val="18"/>
              </w:rPr>
              <w:t>Folio de la solicitud: 00013/TESJILO/IP/2024</w:t>
            </w:r>
          </w:p>
        </w:tc>
      </w:tr>
      <w:tr w:rsidR="00662614" w:rsidRPr="00952F3F" w14:paraId="5313D0F8" w14:textId="77777777" w:rsidTr="003832B4">
        <w:trPr>
          <w:trHeight w:val="413"/>
          <w:tblCellSpacing w:w="0" w:type="dxa"/>
          <w:jc w:val="center"/>
        </w:trPr>
        <w:tc>
          <w:tcPr>
            <w:tcW w:w="0" w:type="auto"/>
            <w:vAlign w:val="center"/>
            <w:hideMark/>
          </w:tcPr>
          <w:p w14:paraId="4EF9753F" w14:textId="77777777" w:rsidR="00662614" w:rsidRPr="00EB5CBC" w:rsidRDefault="00662614" w:rsidP="00662614">
            <w:pPr>
              <w:jc w:val="right"/>
              <w:rPr>
                <w:rFonts w:ascii="Palatino Linotype" w:hAnsi="Palatino Linotype"/>
                <w:i/>
              </w:rPr>
            </w:pPr>
          </w:p>
        </w:tc>
      </w:tr>
      <w:tr w:rsidR="00662614" w:rsidRPr="00952F3F" w14:paraId="76CEC842" w14:textId="77777777" w:rsidTr="003832B4">
        <w:trPr>
          <w:trHeight w:val="137"/>
          <w:tblCellSpacing w:w="0" w:type="dxa"/>
          <w:jc w:val="center"/>
        </w:trPr>
        <w:tc>
          <w:tcPr>
            <w:tcW w:w="0" w:type="auto"/>
            <w:vAlign w:val="center"/>
            <w:hideMark/>
          </w:tcPr>
          <w:p w14:paraId="3A44A731" w14:textId="77777777" w:rsidR="00662614" w:rsidRPr="00EB5CBC" w:rsidRDefault="00662614" w:rsidP="00662614">
            <w:pPr>
              <w:rPr>
                <w:rFonts w:ascii="Palatino Linotype" w:hAnsi="Palatino Linotype"/>
                <w:i/>
              </w:rPr>
            </w:pPr>
            <w:r w:rsidRPr="00EB5CBC">
              <w:rPr>
                <w:rFonts w:ascii="Palatino Linotype" w:hAnsi="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662614" w:rsidRPr="00952F3F" w14:paraId="7EB05B87" w14:textId="77777777" w:rsidTr="003832B4">
        <w:trPr>
          <w:trHeight w:val="344"/>
          <w:tblCellSpacing w:w="0" w:type="dxa"/>
          <w:jc w:val="center"/>
        </w:trPr>
        <w:tc>
          <w:tcPr>
            <w:tcW w:w="0" w:type="auto"/>
            <w:vAlign w:val="center"/>
            <w:hideMark/>
          </w:tcPr>
          <w:p w14:paraId="75E5746C" w14:textId="77777777" w:rsidR="00662614" w:rsidRPr="00EB5CBC" w:rsidRDefault="00662614" w:rsidP="00662614">
            <w:pPr>
              <w:rPr>
                <w:rFonts w:ascii="Palatino Linotype" w:hAnsi="Palatino Linotype"/>
                <w:i/>
              </w:rPr>
            </w:pPr>
          </w:p>
        </w:tc>
      </w:tr>
      <w:tr w:rsidR="00662614" w:rsidRPr="00952F3F" w14:paraId="72274BF2" w14:textId="77777777" w:rsidTr="003832B4">
        <w:trPr>
          <w:trHeight w:val="137"/>
          <w:tblCellSpacing w:w="0" w:type="dxa"/>
          <w:jc w:val="center"/>
        </w:trPr>
        <w:tc>
          <w:tcPr>
            <w:tcW w:w="0" w:type="auto"/>
            <w:vAlign w:val="center"/>
            <w:hideMark/>
          </w:tcPr>
          <w:p w14:paraId="4EB43377" w14:textId="77777777" w:rsidR="00662614" w:rsidRPr="00EB5CBC" w:rsidRDefault="00662614" w:rsidP="00662614">
            <w:pPr>
              <w:rPr>
                <w:rFonts w:ascii="Palatino Linotype" w:hAnsi="Palatino Linotype"/>
                <w:i/>
              </w:rPr>
            </w:pPr>
            <w:r w:rsidRPr="00EB5CBC">
              <w:rPr>
                <w:rFonts w:ascii="Palatino Linotype" w:hAnsi="Palatino Linotype"/>
                <w:i/>
                <w:sz w:val="18"/>
                <w:szCs w:val="18"/>
              </w:rPr>
              <w:t>Jilotepec, Estado de México, 7 de octubre de 2024 Oficio No. TESJI/SPPYE-0140/2024 SOLICITANTE DE INFORMACIÓN PÚBLICA P R E S E N T E Con el gusto de saludarle, me permito remitirle la respuesta a su solicitud ingresada a través de la plataforma SAIMEX de folio 00013/TESJILO/IP/2024 de fecha 12 de septiembre de 2024, donde requiere: “¿Cuál es la medida de los salones del edificio F del TESJI? ¿Cuántos alumnos hay por salón? ¿Quién es la autoridad responsable de armar los horarios y los grupos de la carrera de Ingeniería Mecatrónica?” De acuerdo a lo anterior, se anexa el oficio número TESJI/DRMySG-097/2024 Y TESJI/DA-192/2024, dando respuesta a su solicitud. Sin más por el momento, quedo de Usted. A T E N T A M E N T E “Por la Excelencia en la Educación, la Cultura y la Ecología” Licenciada María Fernanda Carbajal Santana Subdirectora de Planeación, Programación y Evaluación y Titular de la Unidad de Transparencia del Tecnológico de Estudios Superiores de Jilotepec.</w:t>
            </w:r>
          </w:p>
        </w:tc>
      </w:tr>
      <w:tr w:rsidR="00662614" w:rsidRPr="00952F3F" w14:paraId="6348133A" w14:textId="77777777" w:rsidTr="003832B4">
        <w:trPr>
          <w:trHeight w:val="344"/>
          <w:tblCellSpacing w:w="0" w:type="dxa"/>
          <w:jc w:val="center"/>
        </w:trPr>
        <w:tc>
          <w:tcPr>
            <w:tcW w:w="0" w:type="auto"/>
            <w:vAlign w:val="center"/>
            <w:hideMark/>
          </w:tcPr>
          <w:p w14:paraId="68997C72" w14:textId="77777777" w:rsidR="00662614" w:rsidRPr="00EB5CBC" w:rsidRDefault="00662614" w:rsidP="00662614">
            <w:pPr>
              <w:rPr>
                <w:rFonts w:ascii="Palatino Linotype" w:hAnsi="Palatino Linotype"/>
                <w:i/>
              </w:rPr>
            </w:pPr>
          </w:p>
        </w:tc>
      </w:tr>
      <w:tr w:rsidR="00662614" w:rsidRPr="00952F3F" w14:paraId="005B2CED" w14:textId="77777777" w:rsidTr="003832B4">
        <w:trPr>
          <w:trHeight w:val="137"/>
          <w:tblCellSpacing w:w="0" w:type="dxa"/>
          <w:jc w:val="center"/>
        </w:trPr>
        <w:tc>
          <w:tcPr>
            <w:tcW w:w="0" w:type="auto"/>
            <w:vAlign w:val="center"/>
            <w:hideMark/>
          </w:tcPr>
          <w:p w14:paraId="5F1694E6" w14:textId="77777777" w:rsidR="00662614" w:rsidRPr="00EB5CBC" w:rsidRDefault="00662614" w:rsidP="00662614">
            <w:pPr>
              <w:jc w:val="center"/>
              <w:rPr>
                <w:rFonts w:ascii="Palatino Linotype" w:hAnsi="Palatino Linotype"/>
                <w:i/>
                <w:sz w:val="20"/>
                <w:szCs w:val="20"/>
              </w:rPr>
            </w:pPr>
          </w:p>
        </w:tc>
      </w:tr>
      <w:tr w:rsidR="00662614" w:rsidRPr="00952F3F" w14:paraId="0DDCCBD9" w14:textId="77777777" w:rsidTr="003832B4">
        <w:trPr>
          <w:trHeight w:val="137"/>
          <w:tblCellSpacing w:w="0" w:type="dxa"/>
          <w:jc w:val="center"/>
        </w:trPr>
        <w:tc>
          <w:tcPr>
            <w:tcW w:w="0" w:type="auto"/>
            <w:vAlign w:val="center"/>
            <w:hideMark/>
          </w:tcPr>
          <w:p w14:paraId="44D72CC1" w14:textId="77777777" w:rsidR="00662614" w:rsidRPr="00EB5CBC" w:rsidRDefault="00662614" w:rsidP="00662614">
            <w:pPr>
              <w:rPr>
                <w:rFonts w:ascii="Palatino Linotype" w:hAnsi="Palatino Linotype"/>
                <w:i/>
                <w:sz w:val="20"/>
                <w:szCs w:val="20"/>
              </w:rPr>
            </w:pPr>
          </w:p>
        </w:tc>
      </w:tr>
      <w:tr w:rsidR="00662614" w:rsidRPr="00952F3F" w14:paraId="0ADC7A31" w14:textId="77777777" w:rsidTr="003832B4">
        <w:trPr>
          <w:trHeight w:val="137"/>
          <w:tblCellSpacing w:w="0" w:type="dxa"/>
          <w:jc w:val="center"/>
        </w:trPr>
        <w:tc>
          <w:tcPr>
            <w:tcW w:w="0" w:type="auto"/>
            <w:vAlign w:val="center"/>
            <w:hideMark/>
          </w:tcPr>
          <w:p w14:paraId="6A84FCA0" w14:textId="77777777" w:rsidR="00662614" w:rsidRPr="00EB5CBC" w:rsidRDefault="00662614" w:rsidP="00662614">
            <w:pPr>
              <w:rPr>
                <w:rFonts w:ascii="Palatino Linotype" w:hAnsi="Palatino Linotype"/>
                <w:i/>
              </w:rPr>
            </w:pPr>
            <w:r w:rsidRPr="00EB5CBC">
              <w:rPr>
                <w:rFonts w:ascii="Palatino Linotype" w:hAnsi="Palatino Linotype"/>
                <w:i/>
                <w:sz w:val="18"/>
                <w:szCs w:val="18"/>
              </w:rPr>
              <w:t>ATENTAMENTE</w:t>
            </w:r>
          </w:p>
        </w:tc>
      </w:tr>
      <w:tr w:rsidR="00662614" w:rsidRPr="00952F3F" w14:paraId="4043068A" w14:textId="77777777" w:rsidTr="003832B4">
        <w:trPr>
          <w:trHeight w:val="206"/>
          <w:tblCellSpacing w:w="0" w:type="dxa"/>
          <w:jc w:val="center"/>
        </w:trPr>
        <w:tc>
          <w:tcPr>
            <w:tcW w:w="0" w:type="auto"/>
            <w:vAlign w:val="center"/>
            <w:hideMark/>
          </w:tcPr>
          <w:p w14:paraId="47486B23" w14:textId="77777777" w:rsidR="00662614" w:rsidRPr="00EB5CBC" w:rsidRDefault="00662614" w:rsidP="00662614">
            <w:pPr>
              <w:rPr>
                <w:rFonts w:ascii="Palatino Linotype" w:hAnsi="Palatino Linotype"/>
                <w:i/>
              </w:rPr>
            </w:pPr>
          </w:p>
        </w:tc>
      </w:tr>
      <w:tr w:rsidR="00662614" w:rsidRPr="00952F3F" w14:paraId="5B217B7F" w14:textId="77777777" w:rsidTr="003832B4">
        <w:trPr>
          <w:trHeight w:val="137"/>
          <w:tblCellSpacing w:w="0" w:type="dxa"/>
          <w:jc w:val="center"/>
        </w:trPr>
        <w:tc>
          <w:tcPr>
            <w:tcW w:w="0" w:type="auto"/>
            <w:vAlign w:val="center"/>
            <w:hideMark/>
          </w:tcPr>
          <w:p w14:paraId="665EBA64" w14:textId="77777777" w:rsidR="00662614" w:rsidRPr="00EB5CBC" w:rsidRDefault="00662614" w:rsidP="00662614">
            <w:pPr>
              <w:rPr>
                <w:rFonts w:ascii="Palatino Linotype" w:hAnsi="Palatino Linotype"/>
                <w:i/>
              </w:rPr>
            </w:pPr>
            <w:r w:rsidRPr="00EB5CBC">
              <w:rPr>
                <w:rFonts w:ascii="Palatino Linotype" w:hAnsi="Palatino Linotype"/>
                <w:i/>
                <w:sz w:val="18"/>
                <w:szCs w:val="18"/>
              </w:rPr>
              <w:t>LIC. ROSALBA CLOTILDE OROZCO HERNÁNDEZ</w:t>
            </w:r>
          </w:p>
        </w:tc>
      </w:tr>
    </w:tbl>
    <w:p w14:paraId="2E8BA9EE" w14:textId="77777777" w:rsidR="003832B4" w:rsidRPr="00952F3F" w:rsidRDefault="003832B4" w:rsidP="003832B4">
      <w:pPr>
        <w:pStyle w:val="Prrafodelista"/>
        <w:spacing w:line="360" w:lineRule="auto"/>
        <w:ind w:left="0" w:right="34"/>
        <w:jc w:val="both"/>
        <w:rPr>
          <w:rFonts w:ascii="Palatino Linotype" w:hAnsi="Palatino Linotype"/>
          <w:bCs/>
          <w:szCs w:val="22"/>
        </w:rPr>
      </w:pPr>
    </w:p>
    <w:p w14:paraId="3F02CD6D" w14:textId="77777777" w:rsidR="003832B4" w:rsidRPr="00952F3F" w:rsidRDefault="003832B4" w:rsidP="003832B4">
      <w:pPr>
        <w:pStyle w:val="Prrafodelista"/>
        <w:spacing w:line="360" w:lineRule="auto"/>
        <w:ind w:left="0" w:right="34"/>
        <w:jc w:val="both"/>
        <w:rPr>
          <w:rFonts w:ascii="Palatino Linotype" w:hAnsi="Palatino Linotype"/>
          <w:bCs/>
          <w:szCs w:val="22"/>
        </w:rPr>
      </w:pPr>
      <w:r w:rsidRPr="00952F3F">
        <w:rPr>
          <w:rFonts w:ascii="Palatino Linotype" w:hAnsi="Palatino Linotype"/>
          <w:bCs/>
          <w:szCs w:val="22"/>
        </w:rPr>
        <w:t>A la solicitud de información se adjuntaron los archivos que se describen enseguida:</w:t>
      </w:r>
    </w:p>
    <w:p w14:paraId="698FB0C0" w14:textId="77777777" w:rsidR="003832B4" w:rsidRPr="00952F3F" w:rsidRDefault="003832B4" w:rsidP="00837D0E">
      <w:pPr>
        <w:pStyle w:val="Prrafodelista"/>
        <w:spacing w:line="360" w:lineRule="auto"/>
        <w:ind w:left="0" w:right="34"/>
        <w:rPr>
          <w:rFonts w:ascii="Palatino Linotype" w:hAnsi="Palatino Linotype"/>
          <w:bCs/>
          <w:szCs w:val="22"/>
        </w:rPr>
      </w:pPr>
    </w:p>
    <w:p w14:paraId="487CB401" w14:textId="77777777" w:rsidR="003832B4" w:rsidRPr="00952F3F" w:rsidRDefault="00A76E5F" w:rsidP="00837D0E">
      <w:pPr>
        <w:pStyle w:val="Prrafodelista"/>
        <w:numPr>
          <w:ilvl w:val="0"/>
          <w:numId w:val="5"/>
        </w:numPr>
        <w:spacing w:line="360" w:lineRule="auto"/>
        <w:ind w:right="34"/>
        <w:rPr>
          <w:rFonts w:ascii="Palatino Linotype" w:hAnsi="Palatino Linotype" w:cs="Arial"/>
          <w:bCs/>
          <w:szCs w:val="22"/>
        </w:rPr>
      </w:pPr>
      <w:hyperlink r:id="rId7" w:tgtFrame="_blank" w:history="1">
        <w:r w:rsidR="00EB5CBC">
          <w:rPr>
            <w:rStyle w:val="Hipervnculo"/>
            <w:rFonts w:ascii="Palatino Linotype" w:eastAsiaTheme="majorEastAsia" w:hAnsi="Palatino Linotype" w:cs="Arial"/>
            <w:b/>
            <w:bCs/>
            <w:color w:val="auto"/>
            <w:szCs w:val="22"/>
          </w:rPr>
          <w:t>13</w:t>
        </w:r>
        <w:proofErr w:type="gramStart"/>
        <w:r w:rsidR="003832B4" w:rsidRPr="00952F3F">
          <w:rPr>
            <w:rStyle w:val="Hipervnculo"/>
            <w:rFonts w:ascii="Palatino Linotype" w:eastAsiaTheme="majorEastAsia" w:hAnsi="Palatino Linotype" w:cs="Arial"/>
            <w:b/>
            <w:bCs/>
            <w:color w:val="auto"/>
            <w:szCs w:val="22"/>
          </w:rPr>
          <w:t>.pdf</w:t>
        </w:r>
        <w:proofErr w:type="gramEnd"/>
      </w:hyperlink>
      <w:r w:rsidR="003832B4" w:rsidRPr="00952F3F">
        <w:rPr>
          <w:rFonts w:ascii="Palatino Linotype" w:hAnsi="Palatino Linotype" w:cs="Arial"/>
          <w:szCs w:val="22"/>
        </w:rPr>
        <w:t xml:space="preserve">: oficio </w:t>
      </w:r>
      <w:r w:rsidR="00EB5CBC">
        <w:rPr>
          <w:rFonts w:ascii="Palatino Linotype" w:hAnsi="Palatino Linotype" w:cs="Arial"/>
          <w:szCs w:val="22"/>
        </w:rPr>
        <w:t>TESJI/DRMysg-097/2024, del 03 de octubre de 2024, mediante el cual el Jefe del Departamento de Recursos Materiales y Servicios Generales remite las medidas de los salones del edifico F del TESJI.</w:t>
      </w:r>
      <w:r w:rsidR="003832B4" w:rsidRPr="00952F3F">
        <w:rPr>
          <w:rFonts w:ascii="Palatino Linotype" w:hAnsi="Palatino Linotype" w:cs="Arial"/>
          <w:b/>
          <w:bCs/>
          <w:szCs w:val="22"/>
        </w:rPr>
        <w:br/>
      </w:r>
    </w:p>
    <w:p w14:paraId="731266AC" w14:textId="77777777" w:rsidR="00866EFB" w:rsidRPr="00866EFB" w:rsidRDefault="00A76E5F" w:rsidP="00837D0E">
      <w:pPr>
        <w:pStyle w:val="Prrafodelista"/>
        <w:numPr>
          <w:ilvl w:val="0"/>
          <w:numId w:val="5"/>
        </w:numPr>
        <w:spacing w:line="360" w:lineRule="auto"/>
        <w:ind w:right="34"/>
        <w:rPr>
          <w:rFonts w:ascii="Palatino Linotype" w:hAnsi="Palatino Linotype" w:cs="Arial"/>
          <w:bCs/>
          <w:szCs w:val="22"/>
        </w:rPr>
      </w:pPr>
      <w:hyperlink r:id="rId8" w:tgtFrame="_blank" w:history="1">
        <w:r w:rsidR="00866EFB">
          <w:rPr>
            <w:rStyle w:val="Hipervnculo"/>
            <w:rFonts w:ascii="Palatino Linotype" w:eastAsiaTheme="majorEastAsia" w:hAnsi="Palatino Linotype" w:cs="Arial"/>
            <w:b/>
            <w:bCs/>
            <w:color w:val="auto"/>
            <w:szCs w:val="22"/>
          </w:rPr>
          <w:t>SAIMEX 00013 RF</w:t>
        </w:r>
        <w:r w:rsidR="003832B4" w:rsidRPr="00952F3F">
          <w:rPr>
            <w:rStyle w:val="Hipervnculo"/>
            <w:rFonts w:ascii="Palatino Linotype" w:eastAsiaTheme="majorEastAsia" w:hAnsi="Palatino Linotype" w:cs="Arial"/>
            <w:b/>
            <w:bCs/>
            <w:color w:val="auto"/>
            <w:szCs w:val="22"/>
          </w:rPr>
          <w:t>.pdf</w:t>
        </w:r>
      </w:hyperlink>
      <w:r w:rsidR="003832B4" w:rsidRPr="00952F3F">
        <w:rPr>
          <w:rFonts w:ascii="Palatino Linotype" w:hAnsi="Palatino Linotype" w:cs="Arial"/>
          <w:szCs w:val="22"/>
        </w:rPr>
        <w:t xml:space="preserve">: </w:t>
      </w:r>
      <w:r w:rsidR="00866EFB" w:rsidRPr="00952F3F">
        <w:rPr>
          <w:rFonts w:ascii="Palatino Linotype" w:hAnsi="Palatino Linotype" w:cs="Arial"/>
          <w:szCs w:val="22"/>
        </w:rPr>
        <w:t xml:space="preserve">oficio </w:t>
      </w:r>
      <w:r w:rsidR="00866EFB">
        <w:rPr>
          <w:rFonts w:ascii="Palatino Linotype" w:hAnsi="Palatino Linotype" w:cs="Arial"/>
          <w:szCs w:val="22"/>
        </w:rPr>
        <w:t xml:space="preserve">TESJI/SPPYE-0140/2024, del 07 de octubre de 2024, mediante el cual la Subdirectora de Planeación, Programación y Evaluación informa la respuesta a la solicitud de mérito, mediante los </w:t>
      </w:r>
      <w:r w:rsidR="00866EFB" w:rsidRPr="00B138ED">
        <w:rPr>
          <w:rFonts w:ascii="Palatino Linotype" w:hAnsi="Palatino Linotype" w:cs="Arial"/>
          <w:szCs w:val="22"/>
        </w:rPr>
        <w:t>oficios TESJI/DRMysg-097/2024 y</w:t>
      </w:r>
      <w:r w:rsidR="00866EFB">
        <w:rPr>
          <w:rFonts w:ascii="Palatino Linotype" w:hAnsi="Palatino Linotype" w:cs="Arial"/>
          <w:szCs w:val="22"/>
        </w:rPr>
        <w:t xml:space="preserve"> </w:t>
      </w:r>
    </w:p>
    <w:p w14:paraId="23F9CC4C" w14:textId="77777777" w:rsidR="003832B4" w:rsidRPr="00866EFB" w:rsidRDefault="00866EFB" w:rsidP="00866EFB">
      <w:pPr>
        <w:pStyle w:val="Prrafodelista"/>
        <w:numPr>
          <w:ilvl w:val="0"/>
          <w:numId w:val="5"/>
        </w:numPr>
        <w:spacing w:line="360" w:lineRule="auto"/>
        <w:ind w:right="34"/>
        <w:rPr>
          <w:rFonts w:ascii="Palatino Linotype" w:hAnsi="Palatino Linotype" w:cs="Arial"/>
          <w:bCs/>
          <w:szCs w:val="22"/>
        </w:rPr>
      </w:pPr>
      <w:r>
        <w:rPr>
          <w:rStyle w:val="Hipervnculo"/>
          <w:rFonts w:ascii="Palatino Linotype" w:eastAsiaTheme="majorEastAsia" w:hAnsi="Palatino Linotype" w:cs="Arial"/>
          <w:b/>
          <w:bCs/>
          <w:color w:val="auto"/>
          <w:szCs w:val="22"/>
        </w:rPr>
        <w:lastRenderedPageBreak/>
        <w:t>RESPUESTA SAIMEX</w:t>
      </w:r>
      <w:r w:rsidRPr="00952F3F">
        <w:rPr>
          <w:rFonts w:ascii="Palatino Linotype" w:hAnsi="Palatino Linotype" w:cs="Arial"/>
          <w:szCs w:val="22"/>
        </w:rPr>
        <w:t xml:space="preserve">: oficio </w:t>
      </w:r>
      <w:r>
        <w:rPr>
          <w:rFonts w:ascii="Palatino Linotype" w:hAnsi="Palatino Linotype" w:cs="Arial"/>
          <w:szCs w:val="22"/>
        </w:rPr>
        <w:t xml:space="preserve">TESJI/DA-192/2024, del 03 de octubre de 2024, mediante el cual el Director Académico del </w:t>
      </w:r>
      <w:r>
        <w:rPr>
          <w:rFonts w:ascii="Palatino Linotype" w:eastAsia="Calibri" w:hAnsi="Palatino Linotype" w:cs="Tahoma"/>
          <w:bCs/>
          <w:szCs w:val="22"/>
          <w:lang w:eastAsia="en-US"/>
        </w:rPr>
        <w:t xml:space="preserve">Tecnológico de Estudios Superiores de Jilotepec remite una tabla de reinscripciones, con datos estadísticos del número de matrículas por programa educativo. </w:t>
      </w:r>
    </w:p>
    <w:p w14:paraId="411F442B" w14:textId="77777777" w:rsidR="003832B4" w:rsidRPr="00952F3F" w:rsidRDefault="003832B4" w:rsidP="003832B4">
      <w:pPr>
        <w:pStyle w:val="Prrafodelista"/>
        <w:spacing w:line="360" w:lineRule="auto"/>
        <w:ind w:left="0" w:right="34"/>
        <w:jc w:val="both"/>
        <w:rPr>
          <w:rFonts w:ascii="Palatino Linotype" w:hAnsi="Palatino Linotype"/>
          <w:bCs/>
          <w:szCs w:val="22"/>
        </w:rPr>
      </w:pPr>
    </w:p>
    <w:p w14:paraId="6787072D" w14:textId="77777777" w:rsidR="003832B4" w:rsidRPr="00952F3F" w:rsidRDefault="003832B4" w:rsidP="003832B4">
      <w:pPr>
        <w:pStyle w:val="Prrafodelista"/>
        <w:numPr>
          <w:ilvl w:val="0"/>
          <w:numId w:val="2"/>
        </w:numPr>
        <w:tabs>
          <w:tab w:val="left" w:pos="284"/>
        </w:tabs>
        <w:spacing w:line="360" w:lineRule="auto"/>
        <w:ind w:left="0" w:firstLine="0"/>
        <w:jc w:val="both"/>
        <w:rPr>
          <w:rFonts w:ascii="Palatino Linotype" w:hAnsi="Palatino Linotype"/>
          <w:b/>
          <w:i/>
          <w:szCs w:val="22"/>
        </w:rPr>
      </w:pPr>
      <w:r w:rsidRPr="00952F3F">
        <w:rPr>
          <w:rFonts w:ascii="Palatino Linotype" w:hAnsi="Palatino Linotype" w:cs="Arial"/>
          <w:szCs w:val="22"/>
        </w:rPr>
        <w:t xml:space="preserve">Derivado de la respuesta, el </w:t>
      </w:r>
      <w:r w:rsidR="00866EFB">
        <w:rPr>
          <w:rFonts w:ascii="Palatino Linotype" w:hAnsi="Palatino Linotype" w:cs="Arial"/>
          <w:szCs w:val="22"/>
        </w:rPr>
        <w:t>veintiocho (28) de octubre</w:t>
      </w:r>
      <w:r w:rsidRPr="00952F3F">
        <w:rPr>
          <w:rFonts w:ascii="Palatino Linotype" w:hAnsi="Palatino Linotype" w:cs="Arial"/>
          <w:szCs w:val="22"/>
        </w:rPr>
        <w:t xml:space="preserve"> de dos mil veinticuatro</w:t>
      </w:r>
      <w:r w:rsidRPr="00952F3F">
        <w:rPr>
          <w:rFonts w:ascii="Palatino Linotype" w:hAnsi="Palatino Linotype" w:cs="Arial"/>
          <w:szCs w:val="22"/>
          <w:lang w:val="es-ES"/>
        </w:rPr>
        <w:t>, el particular interpuso  recurso de revisión señalando:</w:t>
      </w:r>
    </w:p>
    <w:p w14:paraId="422B3638" w14:textId="77777777" w:rsidR="003832B4" w:rsidRPr="00952F3F" w:rsidRDefault="003832B4" w:rsidP="003832B4">
      <w:pPr>
        <w:pStyle w:val="Prrafodelista"/>
        <w:tabs>
          <w:tab w:val="left" w:pos="284"/>
        </w:tabs>
        <w:spacing w:line="360" w:lineRule="auto"/>
        <w:ind w:left="0"/>
        <w:jc w:val="both"/>
        <w:rPr>
          <w:rFonts w:ascii="Palatino Linotype" w:hAnsi="Palatino Linotype" w:cs="Arial"/>
          <w:szCs w:val="22"/>
          <w:lang w:val="es-ES"/>
        </w:rPr>
      </w:pPr>
    </w:p>
    <w:p w14:paraId="0ECBD944" w14:textId="77777777" w:rsidR="003832B4" w:rsidRPr="00952F3F" w:rsidRDefault="003832B4" w:rsidP="003832B4">
      <w:pPr>
        <w:pStyle w:val="Prrafodelista"/>
        <w:tabs>
          <w:tab w:val="left" w:pos="284"/>
        </w:tabs>
        <w:spacing w:line="360" w:lineRule="auto"/>
        <w:ind w:left="0"/>
        <w:jc w:val="both"/>
        <w:rPr>
          <w:rFonts w:ascii="Palatino Linotype" w:hAnsi="Palatino Linotype"/>
          <w:b/>
          <w:i/>
          <w:szCs w:val="22"/>
        </w:rPr>
      </w:pPr>
    </w:p>
    <w:p w14:paraId="3D5AADCA" w14:textId="77777777" w:rsidR="003832B4" w:rsidRPr="00393CA4" w:rsidRDefault="003832B4" w:rsidP="00837D0E">
      <w:pPr>
        <w:pStyle w:val="Prrafodelista"/>
        <w:tabs>
          <w:tab w:val="left" w:pos="426"/>
          <w:tab w:val="left" w:pos="1004"/>
        </w:tabs>
        <w:spacing w:line="360" w:lineRule="auto"/>
        <w:ind w:left="1004" w:right="822"/>
        <w:jc w:val="both"/>
        <w:rPr>
          <w:rFonts w:ascii="Palatino Linotype" w:hAnsi="Palatino Linotype" w:cs="Arial"/>
          <w:szCs w:val="22"/>
          <w:lang w:val="es-ES"/>
        </w:rPr>
      </w:pPr>
      <w:r w:rsidRPr="00393CA4">
        <w:rPr>
          <w:rFonts w:ascii="Palatino Linotype" w:hAnsi="Palatino Linotype" w:cs="Arial"/>
          <w:b/>
          <w:szCs w:val="22"/>
          <w:lang w:val="es-ES"/>
        </w:rPr>
        <w:t>Acto impugnado:</w:t>
      </w:r>
      <w:r w:rsidRPr="00393CA4">
        <w:rPr>
          <w:rFonts w:ascii="Palatino Linotype" w:hAnsi="Palatino Linotype" w:cs="Arial"/>
          <w:szCs w:val="22"/>
          <w:lang w:val="es-ES"/>
        </w:rPr>
        <w:t xml:space="preserve"> </w:t>
      </w:r>
      <w:r w:rsidRPr="00393CA4">
        <w:rPr>
          <w:rFonts w:ascii="Palatino Linotype" w:hAnsi="Palatino Linotype" w:cs="Arial"/>
          <w:i/>
          <w:szCs w:val="22"/>
          <w:lang w:val="es-ES"/>
        </w:rPr>
        <w:t>“</w:t>
      </w:r>
      <w:r w:rsidR="00393CA4" w:rsidRPr="00393CA4">
        <w:rPr>
          <w:rFonts w:ascii="Palatino Linotype" w:hAnsi="Palatino Linotype"/>
          <w:i/>
          <w:color w:val="000000"/>
          <w:szCs w:val="22"/>
        </w:rPr>
        <w:t>El contenido de los oficios: - TESJI/SPPYE-0136/2024, elaborado y firmado por la Subdirectora de Planeación, Programación y Evaluación y Titular de la Unidad de Transparencia del Tecnológico de Estudios Superiores de Jilotepec, Licenciada María Fernanda Carbajal Santana - TESJI/DA-190/2024 elaborado y firmado por el Director Académico, Ingeniero Urbano Miranda Vega,</w:t>
      </w:r>
      <w:r w:rsidRPr="00393CA4">
        <w:rPr>
          <w:rFonts w:ascii="Palatino Linotype" w:hAnsi="Palatino Linotype" w:cs="Arial"/>
          <w:i/>
          <w:szCs w:val="22"/>
          <w:lang w:val="es-ES"/>
        </w:rPr>
        <w:t>” (Sic).</w:t>
      </w:r>
    </w:p>
    <w:p w14:paraId="5AC9FF0A" w14:textId="77777777" w:rsidR="003832B4" w:rsidRPr="00393CA4" w:rsidRDefault="003832B4" w:rsidP="00837D0E">
      <w:pPr>
        <w:pStyle w:val="Prrafodelista"/>
        <w:tabs>
          <w:tab w:val="left" w:pos="426"/>
          <w:tab w:val="left" w:pos="1004"/>
        </w:tabs>
        <w:spacing w:line="360" w:lineRule="auto"/>
        <w:ind w:left="567" w:right="822"/>
        <w:jc w:val="both"/>
        <w:rPr>
          <w:rFonts w:ascii="Palatino Linotype" w:hAnsi="Palatino Linotype" w:cs="Arial"/>
          <w:szCs w:val="22"/>
          <w:lang w:val="es-ES"/>
        </w:rPr>
      </w:pPr>
    </w:p>
    <w:p w14:paraId="124A089D" w14:textId="77777777" w:rsidR="003832B4" w:rsidRPr="00393CA4" w:rsidRDefault="003832B4" w:rsidP="00837D0E">
      <w:pPr>
        <w:pStyle w:val="Prrafodelista"/>
        <w:tabs>
          <w:tab w:val="left" w:pos="426"/>
          <w:tab w:val="left" w:pos="1004"/>
        </w:tabs>
        <w:spacing w:line="360" w:lineRule="auto"/>
        <w:ind w:left="1004" w:right="822"/>
        <w:jc w:val="both"/>
        <w:rPr>
          <w:rStyle w:val="Ttulo2Car"/>
          <w:rFonts w:ascii="Palatino Linotype" w:hAnsi="Palatino Linotype" w:cs="Arial"/>
          <w:color w:val="auto"/>
          <w:sz w:val="22"/>
          <w:szCs w:val="22"/>
          <w:lang w:val="es-ES" w:eastAsia="es-ES"/>
        </w:rPr>
      </w:pPr>
      <w:r w:rsidRPr="00393CA4">
        <w:rPr>
          <w:rFonts w:ascii="Palatino Linotype" w:hAnsi="Palatino Linotype" w:cs="Arial"/>
          <w:b/>
          <w:szCs w:val="22"/>
          <w:lang w:val="es-ES"/>
        </w:rPr>
        <w:t>Razones o motivos de inconformidad:</w:t>
      </w:r>
      <w:r w:rsidRPr="00393CA4">
        <w:rPr>
          <w:rFonts w:ascii="Palatino Linotype" w:hAnsi="Palatino Linotype" w:cs="Arial"/>
          <w:szCs w:val="22"/>
          <w:lang w:val="es-ES"/>
        </w:rPr>
        <w:t xml:space="preserve"> </w:t>
      </w:r>
      <w:r w:rsidRPr="00393CA4">
        <w:rPr>
          <w:rFonts w:ascii="Palatino Linotype" w:hAnsi="Palatino Linotype" w:cs="Arial"/>
          <w:i/>
          <w:szCs w:val="22"/>
          <w:lang w:val="es-ES"/>
        </w:rPr>
        <w:t>“</w:t>
      </w:r>
      <w:r w:rsidR="00393CA4" w:rsidRPr="00393CA4">
        <w:rPr>
          <w:rFonts w:ascii="Palatino Linotype" w:hAnsi="Palatino Linotype"/>
          <w:i/>
          <w:color w:val="000000"/>
          <w:szCs w:val="22"/>
        </w:rPr>
        <w:t xml:space="preserve">La Resolución aquí impugnada, es violatoria de los artículos 8 y 16 Constitucional párrafo primero; lo anterior porque NO existe dentro de dicha resolución la legalidad, la debida fundamentación y motivación que imperativamente establecen dichos artículos para que se considere dicha resolución aquí impugnada verdaderamente legal. Para una mejor ilustración de lo anterior, se transcriben a continuación los artículos violados, que a la letra dicen: ARTÍCULO 8o. Los funcionarios y empleados públicos respetarán el ejercicio del derecho de petición, siempre que ésta se formule por escrito, de manera pacífica y respetuosa; pero en materia política sólo podrán hacer uso de ese derecho los ciudadanos de la República. A toda petición deberá recaer un acuerdo </w:t>
      </w:r>
      <w:r w:rsidR="00393CA4" w:rsidRPr="00393CA4">
        <w:rPr>
          <w:rFonts w:ascii="Palatino Linotype" w:hAnsi="Palatino Linotype"/>
          <w:i/>
          <w:color w:val="000000"/>
          <w:szCs w:val="22"/>
        </w:rPr>
        <w:lastRenderedPageBreak/>
        <w:t xml:space="preserve">escrito de la autoridad a quien se haya dirigido, la cual tiene obligación de hacerlo conocer en breve término al peticionario. ARTÍCULO 16 “Nadie puede ser molestado en su persona, familia, domicilio, papeles o posesiones, sino en virtud de mandamiento escrito de la autoridad competente, que funde y motive la causa legal del procedimiento…” En dicha resolución si bien es cierto que la autoridad señala el artículo en el que se apoya para la elaboración de la respuesta, también lo es que, el mismo, NO SE ADECUA a lo solicitado por el suscrito, además que en dichos oficios la autoridad no menciona LOS MOTIVOS ADUCIDOS entre LA NORMA que señaló eran aplicables en el presente caso. Tal y como imperativamente lo ha establecido la corte en su criterio de jurisprudencia que se transcribe bajo el rubro: FUNDAMENTACION Y MOTIVACION, GARANTIA DE. De acuerdo con lo dispuesto por el artículo 16 de nuestra Ley Fundamental, todo acto de autoridad debe estar adecuada y suficientemente fundado y motivado, entendiéndose por lo primero que ha de expresarse, con precisión, el precepto aplicable al caso y, por lo segundo, que también deben señalarse, concretamente, las circunstancias especiales, razones particulares o causas inmediatas que se hayan tenido en consideración para la emisión del acto, siendo necesario, además, que exista adecuación entre los motivos aducidos y las normas aplicables al caso de que se trate. Amparo directo 4471/78. Primitivo Montiel Gutiérrez. 14 de octubre de 1981. Cinco votos. Ponente: Francisco H. Pavón Vasconcelos. Séptima Época Núm. de Registro: 234576 Instancia: Primera Sala Tesis Aislada Fuente: Semanario Judicial de la Federación Volumen 151-156, Segunda Parte Materia(s): Común Tesis: Página: 56 Efectivamente, en la respuesta aquí recurrida, la autoridad señala un solo artículo con el cual pretende apoyarse para tener por acreditadas sus consideraciones, sin embargo, en ningún momento señala concretamente, las circunstancias especiales, razones particulares o causas </w:t>
      </w:r>
      <w:r w:rsidR="00393CA4" w:rsidRPr="00393CA4">
        <w:rPr>
          <w:rFonts w:ascii="Palatino Linotype" w:hAnsi="Palatino Linotype"/>
          <w:i/>
          <w:color w:val="000000"/>
          <w:szCs w:val="22"/>
        </w:rPr>
        <w:lastRenderedPageBreak/>
        <w:t xml:space="preserve">inmediatas que se haya tenido en consideración para señalar, primeramente cual </w:t>
      </w:r>
      <w:proofErr w:type="spellStart"/>
      <w:r w:rsidR="00393CA4" w:rsidRPr="00393CA4">
        <w:rPr>
          <w:rFonts w:ascii="Palatino Linotype" w:hAnsi="Palatino Linotype"/>
          <w:i/>
          <w:color w:val="000000"/>
          <w:szCs w:val="22"/>
        </w:rPr>
        <w:t>el</w:t>
      </w:r>
      <w:proofErr w:type="spellEnd"/>
      <w:r w:rsidR="00393CA4" w:rsidRPr="00393CA4">
        <w:rPr>
          <w:rFonts w:ascii="Palatino Linotype" w:hAnsi="Palatino Linotype"/>
          <w:i/>
          <w:color w:val="000000"/>
          <w:szCs w:val="22"/>
        </w:rPr>
        <w:t xml:space="preserve"> es fundamento legal que acredite su competencia para emitir dicha resolución; en segundo lugar el articulo multicitado, nada tiene que ver con la solicitud realizada por el suscrito; mucho menos señala, como realizó la interpretación del artículo 2 fracción V para arribar a la conclusión dentro de su determinación, de esa manera la autoridad NO ADECUA dichos motivos entre las normas o dispositivos citados; es decir, no existe relación directa e inmediata entre las consideraciones con las que supuestamente se acredita la respuesta aquí recurrida, y la norma que cita para pretender fundarlo. Amén que además no basta citar el numeral del precepto, normas o disposiciones, como errónea e ilegalmente lo realizó la autoridad, sino que es necesario atento a los principios de fundamentación y motivación, el de transcribir literalmente dichos preceptos para que, de esta manera, el particular, que no es conocedor del derecho, pueda identificar en que norma, la autoridad emisora de dicho acto cita para apoyar su determinación. Es de suma importancia mencionar que en el presente caso por relacionarse con derechos sociales, la autoridad no solo debe emitir la respuesta a la solicitud realizada con cualquier fundamentación y motivación, sino que, debido a los derechos en juego, se requiere de una "FUNDAMENTACIÓN Y MOTIVACIÓN REFORZADA". Situación que en la especie no acontece, como se puede observar anteriormente, originando con ello que dicho acto sea ILEGAL afectado de nulidad, por no contener la debida fundamentación y motivación.</w:t>
      </w:r>
      <w:r w:rsidRPr="00393CA4">
        <w:rPr>
          <w:rFonts w:ascii="Palatino Linotype" w:hAnsi="Palatino Linotype" w:cs="Arial"/>
          <w:i/>
          <w:szCs w:val="22"/>
          <w:lang w:val="es-ES"/>
        </w:rPr>
        <w:t>” (Sic).</w:t>
      </w:r>
    </w:p>
    <w:p w14:paraId="3D392AAE" w14:textId="77777777" w:rsidR="003832B4" w:rsidRPr="00952F3F" w:rsidRDefault="003832B4" w:rsidP="003832B4">
      <w:pPr>
        <w:spacing w:line="276" w:lineRule="auto"/>
        <w:ind w:right="34"/>
        <w:jc w:val="both"/>
        <w:rPr>
          <w:rStyle w:val="Ttulo2Car"/>
          <w:rFonts w:ascii="Palatino Linotype" w:hAnsi="Palatino Linotype"/>
          <w:b/>
          <w:color w:val="auto"/>
          <w:sz w:val="22"/>
          <w:szCs w:val="22"/>
          <w:lang w:val="es-ES"/>
        </w:rPr>
      </w:pPr>
    </w:p>
    <w:p w14:paraId="55271F2A" w14:textId="77777777" w:rsidR="00837D0E" w:rsidRPr="00952F3F" w:rsidRDefault="003832B4" w:rsidP="00837D0E">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Cs w:val="22"/>
          <w:lang w:val="es-ES"/>
        </w:rPr>
      </w:pPr>
      <w:r w:rsidRPr="00952F3F">
        <w:rPr>
          <w:rFonts w:ascii="Palatino Linotype" w:eastAsia="Calibri" w:hAnsi="Palatino Linotype" w:cs="Arial"/>
          <w:szCs w:val="22"/>
          <w:lang w:val="es-ES"/>
        </w:rPr>
        <w:t xml:space="preserve">Se registró el recurso de revisión bajo el número de expediente al rubro indicado, asimismo, con fundamento en lo dispuesto por el artículo 185 fracción I de la </w:t>
      </w:r>
      <w:r w:rsidRPr="00952F3F">
        <w:rPr>
          <w:rFonts w:ascii="Palatino Linotype" w:eastAsia="Calibri" w:hAnsi="Palatino Linotype" w:cs="Arial"/>
          <w:b/>
          <w:szCs w:val="22"/>
          <w:lang w:val="es-ES"/>
        </w:rPr>
        <w:t>Ley de Transparencia y Acceso a la Información Pública del Estado de México y Municipios</w:t>
      </w:r>
      <w:r w:rsidRPr="00952F3F">
        <w:rPr>
          <w:rFonts w:ascii="Palatino Linotype" w:eastAsia="Calibri" w:hAnsi="Palatino Linotype" w:cs="Arial"/>
          <w:szCs w:val="22"/>
          <w:lang w:val="es-ES"/>
        </w:rPr>
        <w:t xml:space="preserve">, se turnó a la </w:t>
      </w:r>
      <w:r w:rsidRPr="00952F3F">
        <w:rPr>
          <w:rFonts w:ascii="Palatino Linotype" w:eastAsia="Calibri" w:hAnsi="Palatino Linotype" w:cs="Arial"/>
          <w:b/>
          <w:szCs w:val="22"/>
          <w:lang w:val="es-ES"/>
        </w:rPr>
        <w:t>Comisionada María del Rosario Mejía Ayala</w:t>
      </w:r>
      <w:r w:rsidRPr="00952F3F">
        <w:rPr>
          <w:rFonts w:ascii="Palatino Linotype" w:eastAsia="Calibri" w:hAnsi="Palatino Linotype" w:cs="Arial"/>
          <w:szCs w:val="22"/>
          <w:lang w:val="es-ES"/>
        </w:rPr>
        <w:t>, con el objeto de su análisis.</w:t>
      </w:r>
    </w:p>
    <w:p w14:paraId="58E372CF" w14:textId="77777777" w:rsidR="003832B4" w:rsidRPr="00952F3F" w:rsidRDefault="003832B4" w:rsidP="003832B4">
      <w:pPr>
        <w:pStyle w:val="Prrafodelista"/>
        <w:tabs>
          <w:tab w:val="left" w:pos="284"/>
        </w:tabs>
        <w:spacing w:before="240" w:after="240" w:line="360" w:lineRule="auto"/>
        <w:ind w:left="0"/>
        <w:jc w:val="both"/>
        <w:rPr>
          <w:rFonts w:ascii="Palatino Linotype" w:eastAsia="Calibri" w:hAnsi="Palatino Linotype" w:cs="Arial"/>
          <w:szCs w:val="22"/>
          <w:lang w:val="es-ES"/>
        </w:rPr>
      </w:pPr>
    </w:p>
    <w:p w14:paraId="28B86643" w14:textId="77777777" w:rsidR="003832B4" w:rsidRPr="00952F3F" w:rsidRDefault="003832B4" w:rsidP="003832B4">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Cs w:val="22"/>
          <w:lang w:val="es-ES"/>
        </w:rPr>
      </w:pPr>
      <w:r w:rsidRPr="00952F3F">
        <w:rPr>
          <w:rFonts w:ascii="Palatino Linotype" w:eastAsia="Calibri" w:hAnsi="Palatino Linotype" w:cs="Arial"/>
          <w:szCs w:val="22"/>
          <w:lang w:val="es-ES"/>
        </w:rPr>
        <w:t xml:space="preserve">La Comisionada Ponente, con fundamento en lo dispuesto por el artículo 185 fracción II de la ley de la materia, a través del acuerdo de admisión del </w:t>
      </w:r>
      <w:r w:rsidR="00393CA4">
        <w:rPr>
          <w:rFonts w:ascii="Palatino Linotype" w:eastAsia="Calibri" w:hAnsi="Palatino Linotype" w:cs="Arial"/>
          <w:szCs w:val="22"/>
          <w:lang w:val="es-ES"/>
        </w:rPr>
        <w:t>veintinueve (29</w:t>
      </w:r>
      <w:r w:rsidR="00837D0E" w:rsidRPr="00952F3F">
        <w:rPr>
          <w:rFonts w:ascii="Palatino Linotype" w:eastAsia="Calibri" w:hAnsi="Palatino Linotype" w:cs="Arial"/>
          <w:szCs w:val="22"/>
          <w:lang w:val="es-ES"/>
        </w:rPr>
        <w:t>)</w:t>
      </w:r>
      <w:r w:rsidRPr="00952F3F">
        <w:rPr>
          <w:rFonts w:ascii="Palatino Linotype" w:eastAsia="Calibri" w:hAnsi="Palatino Linotype" w:cs="Arial"/>
          <w:szCs w:val="22"/>
          <w:lang w:val="es-ES"/>
        </w:rPr>
        <w:t xml:space="preserve"> de </w:t>
      </w:r>
      <w:r w:rsidR="00393CA4">
        <w:rPr>
          <w:rFonts w:ascii="Palatino Linotype" w:eastAsia="Calibri" w:hAnsi="Palatino Linotype" w:cs="Arial"/>
          <w:szCs w:val="22"/>
          <w:lang w:val="es-ES"/>
        </w:rPr>
        <w:t>octubre</w:t>
      </w:r>
      <w:r w:rsidRPr="00952F3F">
        <w:rPr>
          <w:rFonts w:ascii="Palatino Linotype" w:eastAsia="Calibri" w:hAnsi="Palatino Linotype" w:cs="Arial"/>
          <w:szCs w:val="22"/>
          <w:lang w:val="es-ES"/>
        </w:rPr>
        <w:t xml:space="preserve"> de dos mil veinticuatro, puso a disposición de las partes el expediente electrónico </w:t>
      </w:r>
      <w:r w:rsidRPr="00952F3F">
        <w:rPr>
          <w:rFonts w:ascii="Palatino Linotype" w:eastAsia="Calibri" w:hAnsi="Palatino Linotype" w:cs="Arial"/>
          <w:szCs w:val="22"/>
        </w:rPr>
        <w:t xml:space="preserve">vía </w:t>
      </w:r>
      <w:r w:rsidRPr="00952F3F">
        <w:rPr>
          <w:rFonts w:ascii="Palatino Linotype" w:eastAsia="Calibri" w:hAnsi="Palatino Linotype" w:cs="Arial"/>
          <w:szCs w:val="22"/>
          <w:lang w:val="es-ES"/>
        </w:rPr>
        <w:t xml:space="preserve">Sistema de Acceso a la Información Mexiquense </w:t>
      </w:r>
      <w:r w:rsidRPr="00952F3F">
        <w:rPr>
          <w:rFonts w:ascii="Palatino Linotype" w:eastAsia="Calibri" w:hAnsi="Palatino Linotype" w:cs="Arial"/>
          <w:b/>
          <w:szCs w:val="22"/>
          <w:lang w:val="es-ES"/>
        </w:rPr>
        <w:t xml:space="preserve">SAIMEX </w:t>
      </w:r>
      <w:r w:rsidRPr="00952F3F">
        <w:rPr>
          <w:rFonts w:ascii="Palatino Linotype" w:eastAsia="Calibri" w:hAnsi="Palatino Linotype" w:cs="Arial"/>
          <w:szCs w:val="22"/>
          <w:lang w:val="es-ES"/>
        </w:rPr>
        <w:t xml:space="preserve">a efecto de que en un plazo máximo de siete días manifestaran lo que a su derecho conviniera, ofrecieran pruebas y alegatos según correspondiera a los casos concretos, de esta forma para que el </w:t>
      </w:r>
      <w:r w:rsidRPr="00952F3F">
        <w:rPr>
          <w:rFonts w:ascii="Palatino Linotype" w:eastAsia="Calibri" w:hAnsi="Palatino Linotype" w:cs="Arial"/>
          <w:b/>
          <w:szCs w:val="22"/>
          <w:lang w:val="es-ES"/>
        </w:rPr>
        <w:t>SUJETO OBLIGADO</w:t>
      </w:r>
      <w:r w:rsidRPr="00952F3F">
        <w:rPr>
          <w:rFonts w:ascii="Palatino Linotype" w:eastAsia="Calibri" w:hAnsi="Palatino Linotype" w:cs="Arial"/>
          <w:szCs w:val="22"/>
          <w:lang w:val="es-ES"/>
        </w:rPr>
        <w:t xml:space="preserve"> presentara el Informe Justificado procedente. </w:t>
      </w:r>
    </w:p>
    <w:p w14:paraId="4537E3DE" w14:textId="77777777" w:rsidR="003832B4" w:rsidRPr="00952F3F" w:rsidRDefault="003832B4" w:rsidP="003832B4">
      <w:pPr>
        <w:pStyle w:val="Prrafodelista"/>
        <w:tabs>
          <w:tab w:val="left" w:pos="284"/>
        </w:tabs>
        <w:spacing w:before="240" w:after="240" w:line="360" w:lineRule="auto"/>
        <w:ind w:left="0"/>
        <w:jc w:val="both"/>
        <w:rPr>
          <w:rFonts w:ascii="Palatino Linotype" w:eastAsia="Calibri" w:hAnsi="Palatino Linotype" w:cs="Arial"/>
          <w:szCs w:val="22"/>
          <w:lang w:val="es-ES"/>
        </w:rPr>
      </w:pPr>
    </w:p>
    <w:p w14:paraId="0C2D9916" w14:textId="77777777" w:rsidR="00030D99" w:rsidRPr="00393CA4" w:rsidRDefault="003832B4" w:rsidP="00030D99">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b/>
          <w:szCs w:val="22"/>
          <w:u w:val="single"/>
          <w:lang w:val="es-ES"/>
        </w:rPr>
      </w:pPr>
      <w:r w:rsidRPr="00952F3F">
        <w:rPr>
          <w:rFonts w:ascii="Palatino Linotype" w:eastAsia="Calibri" w:hAnsi="Palatino Linotype" w:cs="Arial"/>
          <w:szCs w:val="22"/>
          <w:lang w:val="es-ES"/>
        </w:rPr>
        <w:t>De las constancias del archivo electrónico SAIMEX, s</w:t>
      </w:r>
      <w:r w:rsidR="00837D0E" w:rsidRPr="00952F3F">
        <w:rPr>
          <w:rFonts w:ascii="Palatino Linotype" w:eastAsia="Calibri" w:hAnsi="Palatino Linotype" w:cs="Arial"/>
          <w:szCs w:val="22"/>
          <w:lang w:val="es-ES"/>
        </w:rPr>
        <w:t>e advierte que el Recurrente</w:t>
      </w:r>
      <w:r w:rsidR="00393CA4">
        <w:rPr>
          <w:rFonts w:ascii="Palatino Linotype" w:eastAsia="Calibri" w:hAnsi="Palatino Linotype" w:cs="Arial"/>
          <w:szCs w:val="22"/>
          <w:lang w:val="es-ES"/>
        </w:rPr>
        <w:t xml:space="preserve"> y el </w:t>
      </w:r>
      <w:r w:rsidR="00393CA4" w:rsidRPr="00952F3F">
        <w:rPr>
          <w:rFonts w:ascii="Palatino Linotype" w:eastAsia="Calibri" w:hAnsi="Palatino Linotype" w:cs="Arial"/>
          <w:b/>
          <w:szCs w:val="22"/>
          <w:lang w:val="es-ES"/>
        </w:rPr>
        <w:t>SUJETO OBLIGADO</w:t>
      </w:r>
      <w:r w:rsidR="00393CA4">
        <w:rPr>
          <w:rFonts w:ascii="Palatino Linotype" w:eastAsia="Calibri" w:hAnsi="Palatino Linotype" w:cs="Arial"/>
          <w:szCs w:val="22"/>
          <w:lang w:val="es-ES"/>
        </w:rPr>
        <w:t>, fueron omisos en realizar manifestaciones.</w:t>
      </w:r>
    </w:p>
    <w:p w14:paraId="4C56A7E0" w14:textId="77777777" w:rsidR="00030D99" w:rsidRDefault="00030D99" w:rsidP="00030D99">
      <w:pPr>
        <w:pStyle w:val="Prrafodelista"/>
        <w:tabs>
          <w:tab w:val="left" w:pos="284"/>
        </w:tabs>
        <w:spacing w:before="240" w:after="240" w:line="360" w:lineRule="auto"/>
        <w:ind w:left="0"/>
        <w:jc w:val="both"/>
        <w:rPr>
          <w:rFonts w:ascii="Palatino Linotype" w:eastAsia="Calibri" w:hAnsi="Palatino Linotype" w:cs="Arial"/>
          <w:szCs w:val="22"/>
          <w:lang w:val="es-ES"/>
        </w:rPr>
      </w:pPr>
    </w:p>
    <w:p w14:paraId="33730FC5" w14:textId="77777777" w:rsidR="003832B4" w:rsidRPr="00952F3F" w:rsidRDefault="003832B4" w:rsidP="003832B4">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Cs w:val="22"/>
          <w:lang w:val="es-ES"/>
        </w:rPr>
      </w:pPr>
      <w:r w:rsidRPr="00952F3F">
        <w:rPr>
          <w:rFonts w:ascii="Palatino Linotype" w:eastAsia="Calibri" w:hAnsi="Palatino Linotype" w:cs="Arial"/>
          <w:szCs w:val="22"/>
          <w:lang w:val="es-ES"/>
        </w:rPr>
        <w:t xml:space="preserve">El </w:t>
      </w:r>
      <w:r w:rsidR="00393CA4">
        <w:rPr>
          <w:rFonts w:ascii="Palatino Linotype" w:eastAsia="Calibri" w:hAnsi="Palatino Linotype" w:cs="Arial"/>
          <w:szCs w:val="22"/>
          <w:lang w:val="es-ES"/>
        </w:rPr>
        <w:t>doce (12</w:t>
      </w:r>
      <w:r w:rsidR="00030D99">
        <w:rPr>
          <w:rFonts w:ascii="Palatino Linotype" w:eastAsia="Calibri" w:hAnsi="Palatino Linotype" w:cs="Arial"/>
          <w:szCs w:val="22"/>
          <w:lang w:val="es-ES"/>
        </w:rPr>
        <w:t xml:space="preserve">) de </w:t>
      </w:r>
      <w:r w:rsidR="00393CA4">
        <w:rPr>
          <w:rFonts w:ascii="Palatino Linotype" w:eastAsia="Calibri" w:hAnsi="Palatino Linotype" w:cs="Arial"/>
          <w:szCs w:val="22"/>
          <w:lang w:val="es-ES"/>
        </w:rPr>
        <w:t>noviembre</w:t>
      </w:r>
      <w:r w:rsidRPr="00952F3F">
        <w:rPr>
          <w:rFonts w:ascii="Palatino Linotype" w:eastAsia="Calibri" w:hAnsi="Palatino Linotype" w:cs="Arial"/>
          <w:szCs w:val="22"/>
          <w:lang w:val="es-ES"/>
        </w:rPr>
        <w:t xml:space="preserve"> de dos mil veinticuatro, el Recurrente se desistió del recurso de revisión. </w:t>
      </w:r>
    </w:p>
    <w:p w14:paraId="6030D8C6" w14:textId="77777777" w:rsidR="003832B4" w:rsidRPr="00952F3F" w:rsidRDefault="003832B4" w:rsidP="003832B4">
      <w:pPr>
        <w:pStyle w:val="Prrafodelista"/>
        <w:tabs>
          <w:tab w:val="left" w:pos="426"/>
        </w:tabs>
        <w:spacing w:line="360" w:lineRule="auto"/>
        <w:ind w:left="0"/>
        <w:jc w:val="both"/>
        <w:rPr>
          <w:rFonts w:ascii="Palatino Linotype" w:hAnsi="Palatino Linotype"/>
          <w:szCs w:val="22"/>
        </w:rPr>
      </w:pPr>
      <w:bookmarkStart w:id="3" w:name="_Toc461555889"/>
      <w:bookmarkStart w:id="4" w:name="_Toc466371858"/>
    </w:p>
    <w:p w14:paraId="4CF90676" w14:textId="77777777" w:rsidR="003832B4" w:rsidRPr="00952F3F" w:rsidRDefault="003832B4" w:rsidP="003832B4">
      <w:pPr>
        <w:pStyle w:val="Prrafodelista"/>
        <w:numPr>
          <w:ilvl w:val="0"/>
          <w:numId w:val="2"/>
        </w:numPr>
        <w:tabs>
          <w:tab w:val="left" w:pos="426"/>
        </w:tabs>
        <w:spacing w:line="360" w:lineRule="auto"/>
        <w:ind w:left="0" w:firstLine="0"/>
        <w:jc w:val="both"/>
        <w:rPr>
          <w:rFonts w:ascii="Palatino Linotype" w:hAnsi="Palatino Linotype"/>
          <w:szCs w:val="22"/>
        </w:rPr>
      </w:pPr>
      <w:r w:rsidRPr="00952F3F">
        <w:rPr>
          <w:rFonts w:ascii="Palatino Linotype" w:eastAsia="Calibri" w:hAnsi="Palatino Linotype" w:cs="Arial"/>
          <w:szCs w:val="22"/>
        </w:rPr>
        <w:t>E</w:t>
      </w:r>
      <w:r w:rsidRPr="00952F3F">
        <w:rPr>
          <w:rFonts w:ascii="Palatino Linotype" w:eastAsia="Calibri" w:hAnsi="Palatino Linotype" w:cs="Arial"/>
          <w:szCs w:val="22"/>
          <w:lang w:val="es-ES"/>
        </w:rPr>
        <w:t>l</w:t>
      </w:r>
      <w:r w:rsidRPr="00952F3F">
        <w:rPr>
          <w:rFonts w:ascii="Palatino Linotype" w:hAnsi="Palatino Linotype"/>
          <w:szCs w:val="22"/>
        </w:rPr>
        <w:t xml:space="preserve"> Comisionado Ponente notificó el acuerdo de cierre de instrucción en fecha </w:t>
      </w:r>
      <w:r w:rsidR="00393CA4">
        <w:rPr>
          <w:rFonts w:ascii="Palatino Linotype" w:hAnsi="Palatino Linotype"/>
          <w:szCs w:val="22"/>
        </w:rPr>
        <w:t>catorce (14) de noviembre</w:t>
      </w:r>
      <w:r w:rsidRPr="00952F3F">
        <w:rPr>
          <w:rFonts w:ascii="Palatino Linotype" w:hAnsi="Palatino Linotype"/>
          <w:szCs w:val="22"/>
        </w:rPr>
        <w:t xml:space="preserve"> de dos mil veinticuatro. </w:t>
      </w:r>
    </w:p>
    <w:p w14:paraId="0879B13D" w14:textId="77777777" w:rsidR="003832B4" w:rsidRPr="00952F3F" w:rsidRDefault="003832B4" w:rsidP="003832B4">
      <w:pPr>
        <w:pStyle w:val="Prrafodelista"/>
        <w:spacing w:line="360" w:lineRule="auto"/>
        <w:ind w:left="0" w:right="113"/>
        <w:jc w:val="both"/>
        <w:rPr>
          <w:rFonts w:ascii="Palatino Linotype" w:hAnsi="Palatino Linotype"/>
          <w:szCs w:val="22"/>
        </w:rPr>
      </w:pPr>
    </w:p>
    <w:p w14:paraId="3F9138DE" w14:textId="77777777" w:rsidR="003832B4" w:rsidRPr="00952F3F" w:rsidRDefault="003832B4" w:rsidP="003832B4">
      <w:pPr>
        <w:pStyle w:val="Ttulo2"/>
        <w:jc w:val="center"/>
        <w:rPr>
          <w:rFonts w:ascii="Palatino Linotype" w:hAnsi="Palatino Linotype"/>
          <w:b/>
          <w:color w:val="auto"/>
          <w:sz w:val="22"/>
          <w:szCs w:val="22"/>
        </w:rPr>
      </w:pPr>
      <w:bookmarkStart w:id="5" w:name="_Toc61470697"/>
      <w:r w:rsidRPr="00952F3F">
        <w:rPr>
          <w:rFonts w:ascii="Palatino Linotype" w:hAnsi="Palatino Linotype"/>
          <w:b/>
          <w:color w:val="auto"/>
          <w:sz w:val="22"/>
          <w:szCs w:val="22"/>
        </w:rPr>
        <w:t>CONSIDERANDO</w:t>
      </w:r>
      <w:bookmarkEnd w:id="3"/>
      <w:bookmarkEnd w:id="4"/>
      <w:bookmarkEnd w:id="5"/>
    </w:p>
    <w:p w14:paraId="413F6FF8" w14:textId="77777777" w:rsidR="003832B4" w:rsidRPr="00952F3F" w:rsidRDefault="003832B4" w:rsidP="003832B4">
      <w:pPr>
        <w:rPr>
          <w:sz w:val="22"/>
          <w:szCs w:val="22"/>
          <w:lang w:eastAsia="en-US"/>
        </w:rPr>
      </w:pPr>
    </w:p>
    <w:p w14:paraId="39B75656" w14:textId="77777777" w:rsidR="003832B4" w:rsidRPr="00952F3F" w:rsidRDefault="003832B4" w:rsidP="003832B4">
      <w:pPr>
        <w:pStyle w:val="Ttulo2"/>
        <w:spacing w:line="360" w:lineRule="auto"/>
        <w:rPr>
          <w:rFonts w:ascii="Palatino Linotype" w:hAnsi="Palatino Linotype"/>
          <w:b/>
          <w:color w:val="auto"/>
          <w:sz w:val="22"/>
          <w:szCs w:val="22"/>
        </w:rPr>
      </w:pPr>
      <w:bookmarkStart w:id="6" w:name="_Toc461555890"/>
      <w:bookmarkStart w:id="7" w:name="_Toc466371859"/>
      <w:bookmarkStart w:id="8" w:name="_Toc61470698"/>
      <w:r w:rsidRPr="00952F3F">
        <w:rPr>
          <w:rFonts w:ascii="Palatino Linotype" w:hAnsi="Palatino Linotype"/>
          <w:b/>
          <w:color w:val="auto"/>
          <w:sz w:val="22"/>
          <w:szCs w:val="22"/>
        </w:rPr>
        <w:t>PRIMERO. De la competencia</w:t>
      </w:r>
      <w:bookmarkEnd w:id="6"/>
      <w:bookmarkEnd w:id="7"/>
      <w:bookmarkEnd w:id="8"/>
    </w:p>
    <w:p w14:paraId="4977E188" w14:textId="77777777" w:rsidR="003832B4" w:rsidRPr="00952F3F" w:rsidRDefault="003832B4" w:rsidP="003832B4">
      <w:pPr>
        <w:rPr>
          <w:sz w:val="22"/>
          <w:szCs w:val="22"/>
        </w:rPr>
      </w:pPr>
    </w:p>
    <w:p w14:paraId="1713F267" w14:textId="77777777" w:rsidR="003832B4" w:rsidRPr="00952F3F" w:rsidRDefault="003832B4" w:rsidP="003832B4">
      <w:pPr>
        <w:pStyle w:val="Prrafodelista"/>
        <w:numPr>
          <w:ilvl w:val="0"/>
          <w:numId w:val="2"/>
        </w:numPr>
        <w:spacing w:line="360" w:lineRule="auto"/>
        <w:ind w:left="0" w:firstLine="0"/>
        <w:jc w:val="both"/>
        <w:rPr>
          <w:rFonts w:ascii="Palatino Linotype" w:hAnsi="Palatino Linotype"/>
          <w:szCs w:val="22"/>
        </w:rPr>
      </w:pPr>
      <w:r w:rsidRPr="00952F3F">
        <w:rPr>
          <w:rFonts w:ascii="Palatino Linotype" w:hAnsi="Palatino Linotype"/>
          <w:szCs w:val="22"/>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w:t>
      </w:r>
      <w:r w:rsidRPr="00952F3F">
        <w:rPr>
          <w:rFonts w:ascii="Palatino Linotype" w:hAnsi="Palatino Linotype"/>
          <w:szCs w:val="22"/>
        </w:rPr>
        <w:lastRenderedPageBreak/>
        <w:t>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34724A5" w14:textId="77777777" w:rsidR="003832B4" w:rsidRPr="00952F3F" w:rsidRDefault="003832B4" w:rsidP="003832B4">
      <w:pPr>
        <w:pStyle w:val="Prrafodelista"/>
        <w:tabs>
          <w:tab w:val="left" w:pos="284"/>
          <w:tab w:val="left" w:pos="426"/>
        </w:tabs>
        <w:spacing w:line="360" w:lineRule="auto"/>
        <w:ind w:left="0"/>
        <w:jc w:val="both"/>
        <w:rPr>
          <w:rFonts w:ascii="Palatino Linotype" w:eastAsia="Calibri" w:hAnsi="Palatino Linotype"/>
          <w:b/>
          <w:szCs w:val="22"/>
          <w:lang w:val="es-ES"/>
        </w:rPr>
      </w:pPr>
    </w:p>
    <w:p w14:paraId="0B55B5DF" w14:textId="77777777" w:rsidR="003832B4" w:rsidRPr="00952F3F" w:rsidRDefault="003832B4" w:rsidP="003832B4">
      <w:pPr>
        <w:pStyle w:val="Ttulo2"/>
        <w:tabs>
          <w:tab w:val="left" w:pos="284"/>
          <w:tab w:val="left" w:pos="426"/>
        </w:tabs>
        <w:spacing w:line="360" w:lineRule="auto"/>
        <w:rPr>
          <w:rFonts w:ascii="Palatino Linotype" w:hAnsi="Palatino Linotype"/>
          <w:b/>
          <w:color w:val="auto"/>
          <w:sz w:val="22"/>
          <w:szCs w:val="22"/>
        </w:rPr>
      </w:pPr>
      <w:bookmarkStart w:id="9" w:name="_Toc461555891"/>
      <w:bookmarkStart w:id="10" w:name="_Toc466371860"/>
      <w:bookmarkStart w:id="11" w:name="_Toc61470699"/>
      <w:r w:rsidRPr="00952F3F">
        <w:rPr>
          <w:rFonts w:ascii="Palatino Linotype" w:hAnsi="Palatino Linotype"/>
          <w:b/>
          <w:color w:val="auto"/>
          <w:sz w:val="22"/>
          <w:szCs w:val="22"/>
        </w:rPr>
        <w:t>SEGUNDO. De la oportunidad y procedencia.</w:t>
      </w:r>
      <w:bookmarkEnd w:id="9"/>
      <w:bookmarkEnd w:id="10"/>
      <w:bookmarkEnd w:id="11"/>
    </w:p>
    <w:p w14:paraId="722EDD16" w14:textId="77777777" w:rsidR="003832B4" w:rsidRPr="00952F3F" w:rsidRDefault="003832B4" w:rsidP="003832B4">
      <w:pPr>
        <w:rPr>
          <w:sz w:val="22"/>
          <w:szCs w:val="22"/>
          <w:lang w:eastAsia="en-US"/>
        </w:rPr>
      </w:pPr>
    </w:p>
    <w:p w14:paraId="0AE49439" w14:textId="77777777" w:rsidR="003832B4" w:rsidRPr="00030D99" w:rsidRDefault="003832B4" w:rsidP="003832B4">
      <w:pPr>
        <w:numPr>
          <w:ilvl w:val="0"/>
          <w:numId w:val="2"/>
        </w:numPr>
        <w:spacing w:line="360" w:lineRule="auto"/>
        <w:ind w:left="0" w:right="49" w:firstLine="0"/>
        <w:contextualSpacing/>
        <w:jc w:val="both"/>
        <w:rPr>
          <w:rFonts w:ascii="Palatino Linotype" w:eastAsiaTheme="minorEastAsia" w:hAnsi="Palatino Linotype"/>
          <w:sz w:val="22"/>
          <w:szCs w:val="22"/>
          <w:lang w:val="es-ES_tradnl" w:eastAsia="es-ES"/>
        </w:rPr>
      </w:pPr>
      <w:r w:rsidRPr="00952F3F">
        <w:rPr>
          <w:rFonts w:ascii="Palatino Linotype" w:eastAsia="Calibri" w:hAnsi="Palatino Linotype" w:cs="Arial"/>
          <w:sz w:val="22"/>
          <w:szCs w:val="22"/>
          <w:lang w:val="es-ES_tradnl" w:eastAsia="es-ES"/>
        </w:rPr>
        <w:t xml:space="preserve">El medio de impugnación fue presentado a través del </w:t>
      </w:r>
      <w:r w:rsidRPr="00952F3F">
        <w:rPr>
          <w:rFonts w:ascii="Palatino Linotype" w:eastAsia="Calibri" w:hAnsi="Palatino Linotype" w:cs="Arial"/>
          <w:b/>
          <w:sz w:val="22"/>
          <w:szCs w:val="22"/>
          <w:lang w:val="es-ES_tradnl" w:eastAsia="es-ES"/>
        </w:rPr>
        <w:t>SAIMEX,</w:t>
      </w:r>
      <w:r w:rsidRPr="00952F3F">
        <w:rPr>
          <w:rFonts w:ascii="Palatino Linotype" w:eastAsia="Calibri" w:hAnsi="Palatino Linotype" w:cs="Arial"/>
          <w:sz w:val="22"/>
          <w:szCs w:val="22"/>
          <w:lang w:val="es-ES_tradnl" w:eastAsia="es-ES"/>
        </w:rPr>
        <w:t xml:space="preserve"> en el formato previamente aprobado para tal efecto y dentro del plazo legal de quince días hábiles otorgados; siendo así que el </w:t>
      </w:r>
      <w:r w:rsidRPr="00952F3F">
        <w:rPr>
          <w:rFonts w:ascii="Palatino Linotype" w:eastAsia="Calibri" w:hAnsi="Palatino Linotype" w:cs="Arial"/>
          <w:b/>
          <w:sz w:val="22"/>
          <w:szCs w:val="22"/>
          <w:lang w:val="es-ES_tradnl" w:eastAsia="es-ES"/>
        </w:rPr>
        <w:t>SUJETO OBLIGADO</w:t>
      </w:r>
      <w:r w:rsidRPr="00952F3F">
        <w:rPr>
          <w:rFonts w:ascii="Palatino Linotype" w:eastAsia="Calibri" w:hAnsi="Palatino Linotype" w:cs="Arial"/>
          <w:sz w:val="22"/>
          <w:szCs w:val="22"/>
          <w:lang w:val="es-ES_tradnl" w:eastAsia="es-ES"/>
        </w:rPr>
        <w:t xml:space="preserve"> entregó respuesta a la solicitud el día </w:t>
      </w:r>
      <w:r w:rsidR="000C4422">
        <w:rPr>
          <w:rFonts w:ascii="Palatino Linotype" w:eastAsia="Calibri" w:hAnsi="Palatino Linotype" w:cs="Arial"/>
          <w:sz w:val="22"/>
          <w:szCs w:val="22"/>
          <w:lang w:val="es-ES_tradnl" w:eastAsia="es-ES"/>
        </w:rPr>
        <w:t>siete (07</w:t>
      </w:r>
      <w:r w:rsidR="00030D99">
        <w:rPr>
          <w:rFonts w:ascii="Palatino Linotype" w:eastAsia="Calibri" w:hAnsi="Palatino Linotype" w:cs="Arial"/>
          <w:sz w:val="22"/>
          <w:szCs w:val="22"/>
          <w:lang w:val="es-ES_tradnl" w:eastAsia="es-ES"/>
        </w:rPr>
        <w:t xml:space="preserve">) de </w:t>
      </w:r>
      <w:r w:rsidR="000C4422">
        <w:rPr>
          <w:rFonts w:ascii="Palatino Linotype" w:eastAsia="Calibri" w:hAnsi="Palatino Linotype" w:cs="Arial"/>
          <w:sz w:val="22"/>
          <w:szCs w:val="22"/>
          <w:lang w:val="es-ES_tradnl" w:eastAsia="es-ES"/>
        </w:rPr>
        <w:t>octubre</w:t>
      </w:r>
      <w:r w:rsidRPr="00952F3F">
        <w:rPr>
          <w:rFonts w:ascii="Palatino Linotype" w:eastAsia="Calibri" w:hAnsi="Palatino Linotype" w:cs="Arial"/>
          <w:sz w:val="22"/>
          <w:szCs w:val="22"/>
          <w:lang w:val="es-ES_tradnl" w:eastAsia="es-ES"/>
        </w:rPr>
        <w:t xml:space="preserve"> de dos mil veinticuatro, </w:t>
      </w:r>
      <w:r w:rsidRPr="00952F3F">
        <w:rPr>
          <w:rFonts w:ascii="Palatino Linotype" w:eastAsiaTheme="minorEastAsia" w:hAnsi="Palatino Linotype" w:cs="Arial"/>
          <w:sz w:val="22"/>
          <w:szCs w:val="22"/>
          <w:lang w:val="es-ES_tradnl" w:eastAsia="es-ES"/>
        </w:rPr>
        <w:t xml:space="preserve">de tal forma que el plazo para interponer el recurso de revisión transcurrió del </w:t>
      </w:r>
      <w:r w:rsidR="000C4422">
        <w:rPr>
          <w:rFonts w:ascii="Palatino Linotype" w:eastAsiaTheme="minorEastAsia" w:hAnsi="Palatino Linotype" w:cs="Arial"/>
          <w:sz w:val="22"/>
          <w:szCs w:val="22"/>
          <w:lang w:val="es-ES_tradnl" w:eastAsia="es-ES"/>
        </w:rPr>
        <w:t>ocho (08</w:t>
      </w:r>
      <w:r w:rsidR="00030D99">
        <w:rPr>
          <w:rFonts w:ascii="Palatino Linotype" w:eastAsiaTheme="minorEastAsia" w:hAnsi="Palatino Linotype" w:cs="Arial"/>
          <w:sz w:val="22"/>
          <w:szCs w:val="22"/>
          <w:lang w:val="es-ES_tradnl" w:eastAsia="es-ES"/>
        </w:rPr>
        <w:t xml:space="preserve">) de </w:t>
      </w:r>
      <w:r w:rsidR="000C4422">
        <w:rPr>
          <w:rFonts w:ascii="Palatino Linotype" w:eastAsiaTheme="minorEastAsia" w:hAnsi="Palatino Linotype" w:cs="Arial"/>
          <w:sz w:val="22"/>
          <w:szCs w:val="22"/>
          <w:lang w:val="es-ES_tradnl" w:eastAsia="es-ES"/>
        </w:rPr>
        <w:t>octubre</w:t>
      </w:r>
      <w:r w:rsidR="00030D99">
        <w:rPr>
          <w:rFonts w:ascii="Palatino Linotype" w:eastAsiaTheme="minorEastAsia" w:hAnsi="Palatino Linotype" w:cs="Arial"/>
          <w:sz w:val="22"/>
          <w:szCs w:val="22"/>
          <w:lang w:val="es-ES_tradnl" w:eastAsia="es-ES"/>
        </w:rPr>
        <w:t xml:space="preserve"> al </w:t>
      </w:r>
      <w:r w:rsidR="000C4422">
        <w:rPr>
          <w:rFonts w:ascii="Palatino Linotype" w:eastAsiaTheme="minorEastAsia" w:hAnsi="Palatino Linotype" w:cs="Arial"/>
          <w:sz w:val="22"/>
          <w:szCs w:val="22"/>
          <w:lang w:val="es-ES_tradnl" w:eastAsia="es-ES"/>
        </w:rPr>
        <w:t>veintiocho (28</w:t>
      </w:r>
      <w:r w:rsidR="00030D99">
        <w:rPr>
          <w:rFonts w:ascii="Palatino Linotype" w:eastAsiaTheme="minorEastAsia" w:hAnsi="Palatino Linotype" w:cs="Arial"/>
          <w:sz w:val="22"/>
          <w:szCs w:val="22"/>
          <w:lang w:val="es-ES_tradnl" w:eastAsia="es-ES"/>
        </w:rPr>
        <w:t xml:space="preserve">) de </w:t>
      </w:r>
      <w:r w:rsidR="000C4422">
        <w:rPr>
          <w:rFonts w:ascii="Palatino Linotype" w:eastAsiaTheme="minorEastAsia" w:hAnsi="Palatino Linotype" w:cs="Arial"/>
          <w:sz w:val="22"/>
          <w:szCs w:val="22"/>
          <w:lang w:val="es-ES_tradnl" w:eastAsia="es-ES"/>
        </w:rPr>
        <w:t>octubre</w:t>
      </w:r>
      <w:r w:rsidRPr="00952F3F">
        <w:rPr>
          <w:rFonts w:ascii="Palatino Linotype" w:eastAsiaTheme="minorEastAsia" w:hAnsi="Palatino Linotype" w:cs="Arial"/>
          <w:sz w:val="22"/>
          <w:szCs w:val="22"/>
          <w:lang w:val="es-ES_tradnl" w:eastAsia="es-ES"/>
        </w:rPr>
        <w:t xml:space="preserve"> de dos mil veinticuatro; en consecuencia, presentó su inconformidad el </w:t>
      </w:r>
      <w:r w:rsidR="000C4422">
        <w:rPr>
          <w:rFonts w:ascii="Palatino Linotype" w:eastAsiaTheme="minorEastAsia" w:hAnsi="Palatino Linotype" w:cs="Arial"/>
          <w:sz w:val="22"/>
          <w:szCs w:val="22"/>
          <w:lang w:val="es-ES_tradnl" w:eastAsia="es-ES"/>
        </w:rPr>
        <w:t>veintiocho (28</w:t>
      </w:r>
      <w:r w:rsidR="00030D99">
        <w:rPr>
          <w:rFonts w:ascii="Palatino Linotype" w:eastAsiaTheme="minorEastAsia" w:hAnsi="Palatino Linotype" w:cs="Arial"/>
          <w:sz w:val="22"/>
          <w:szCs w:val="22"/>
          <w:lang w:val="es-ES_tradnl" w:eastAsia="es-ES"/>
        </w:rPr>
        <w:t xml:space="preserve">) de </w:t>
      </w:r>
      <w:r w:rsidR="000C4422">
        <w:rPr>
          <w:rFonts w:ascii="Palatino Linotype" w:eastAsiaTheme="minorEastAsia" w:hAnsi="Palatino Linotype" w:cs="Arial"/>
          <w:sz w:val="22"/>
          <w:szCs w:val="22"/>
          <w:lang w:val="es-ES_tradnl" w:eastAsia="es-ES"/>
        </w:rPr>
        <w:t>octubre</w:t>
      </w:r>
      <w:r w:rsidRPr="00952F3F">
        <w:rPr>
          <w:rFonts w:ascii="Palatino Linotype" w:eastAsiaTheme="minorEastAsia" w:hAnsi="Palatino Linotype" w:cs="Arial"/>
          <w:sz w:val="22"/>
          <w:szCs w:val="22"/>
          <w:lang w:val="es-ES_tradnl" w:eastAsia="es-ES"/>
        </w:rPr>
        <w:t xml:space="preserve"> de dos mil veinticuatro, por lo que se encuentra dentro de los márgenes temporales previstos en el artículo 178 de la </w:t>
      </w:r>
      <w:r w:rsidRPr="00952F3F">
        <w:rPr>
          <w:rFonts w:ascii="Palatino Linotype" w:eastAsiaTheme="minorEastAsia" w:hAnsi="Palatino Linotype" w:cs="Arial"/>
          <w:b/>
          <w:sz w:val="22"/>
          <w:szCs w:val="22"/>
          <w:lang w:val="es-ES_tradnl" w:eastAsia="es-ES"/>
        </w:rPr>
        <w:t xml:space="preserve">Ley de Transparencia y Acceso a la Información Pública del Estado de México y Municipios </w:t>
      </w:r>
      <w:r w:rsidRPr="00952F3F">
        <w:rPr>
          <w:rFonts w:ascii="Palatino Linotype" w:eastAsiaTheme="minorEastAsia" w:hAnsi="Palatino Linotype" w:cs="Arial"/>
          <w:sz w:val="22"/>
          <w:szCs w:val="22"/>
          <w:lang w:val="es-ES_tradnl" w:eastAsia="es-ES"/>
        </w:rPr>
        <w:t>vigente.</w:t>
      </w:r>
    </w:p>
    <w:p w14:paraId="7E1712AA" w14:textId="77777777" w:rsidR="003832B4" w:rsidRPr="00952F3F" w:rsidRDefault="003832B4" w:rsidP="003832B4">
      <w:pPr>
        <w:pStyle w:val="Prrafodelista"/>
        <w:numPr>
          <w:ilvl w:val="0"/>
          <w:numId w:val="2"/>
        </w:numPr>
        <w:tabs>
          <w:tab w:val="left" w:pos="284"/>
          <w:tab w:val="left" w:pos="426"/>
        </w:tabs>
        <w:spacing w:before="240" w:after="240" w:line="360" w:lineRule="auto"/>
        <w:ind w:left="0" w:right="49" w:firstLine="0"/>
        <w:jc w:val="both"/>
        <w:rPr>
          <w:rFonts w:ascii="Palatino Linotype" w:hAnsi="Palatino Linotype"/>
          <w:szCs w:val="22"/>
        </w:rPr>
      </w:pPr>
      <w:r w:rsidRPr="00952F3F">
        <w:rPr>
          <w:rFonts w:ascii="Palatino Linotype" w:hAnsi="Palatino Linotype" w:cs="Arial"/>
          <w:szCs w:val="22"/>
        </w:rPr>
        <w:t xml:space="preserve">Consecuencia </w:t>
      </w:r>
      <w:r w:rsidRPr="00952F3F">
        <w:rPr>
          <w:rFonts w:ascii="Palatino Linotype" w:eastAsia="Calibri" w:hAnsi="Palatino Linotype" w:cs="Arial"/>
          <w:szCs w:val="22"/>
        </w:rPr>
        <w:t>de lo anterior, esté Órgano Garante reconoce que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633FA4B" w14:textId="77777777" w:rsidR="003832B4" w:rsidRPr="00952F3F" w:rsidRDefault="003832B4" w:rsidP="003832B4">
      <w:pPr>
        <w:pStyle w:val="Prrafodelista"/>
        <w:tabs>
          <w:tab w:val="left" w:pos="284"/>
          <w:tab w:val="left" w:pos="426"/>
        </w:tabs>
        <w:ind w:left="0"/>
        <w:rPr>
          <w:rFonts w:ascii="Palatino Linotype" w:hAnsi="Palatino Linotype"/>
          <w:szCs w:val="22"/>
        </w:rPr>
      </w:pPr>
    </w:p>
    <w:p w14:paraId="2315F6E0" w14:textId="77777777" w:rsidR="003832B4" w:rsidRPr="00952F3F" w:rsidRDefault="003832B4" w:rsidP="003832B4">
      <w:pPr>
        <w:pStyle w:val="Ttulo1"/>
        <w:tabs>
          <w:tab w:val="left" w:pos="284"/>
          <w:tab w:val="left" w:pos="426"/>
        </w:tabs>
        <w:spacing w:line="360" w:lineRule="auto"/>
        <w:rPr>
          <w:rFonts w:ascii="Palatino Linotype" w:hAnsi="Palatino Linotype"/>
          <w:b/>
          <w:color w:val="auto"/>
          <w:sz w:val="22"/>
          <w:szCs w:val="22"/>
        </w:rPr>
      </w:pPr>
      <w:bookmarkStart w:id="12" w:name="_Toc500360400"/>
      <w:bookmarkStart w:id="13" w:name="_Toc61470700"/>
      <w:bookmarkStart w:id="14" w:name="_Toc459174366"/>
      <w:bookmarkStart w:id="15" w:name="_Toc459659884"/>
      <w:bookmarkStart w:id="16" w:name="_Toc461687280"/>
      <w:bookmarkStart w:id="17" w:name="_Toc462771051"/>
      <w:bookmarkStart w:id="18" w:name="_Toc464139201"/>
      <w:bookmarkStart w:id="19" w:name="_Toc495427545"/>
      <w:bookmarkStart w:id="20" w:name="_Toc499296549"/>
      <w:r w:rsidRPr="00952F3F">
        <w:rPr>
          <w:rFonts w:ascii="Palatino Linotype" w:hAnsi="Palatino Linotype"/>
          <w:b/>
          <w:color w:val="auto"/>
          <w:sz w:val="22"/>
          <w:szCs w:val="22"/>
        </w:rPr>
        <w:lastRenderedPageBreak/>
        <w:t>TERCERO. De las causales del sobreseimiento.</w:t>
      </w:r>
      <w:bookmarkEnd w:id="12"/>
      <w:bookmarkEnd w:id="13"/>
    </w:p>
    <w:p w14:paraId="1CACAADF" w14:textId="77777777" w:rsidR="003832B4" w:rsidRPr="00952F3F" w:rsidRDefault="003832B4" w:rsidP="003832B4">
      <w:pPr>
        <w:pStyle w:val="Prrafodelista"/>
        <w:numPr>
          <w:ilvl w:val="0"/>
          <w:numId w:val="2"/>
        </w:numPr>
        <w:tabs>
          <w:tab w:val="left" w:pos="284"/>
          <w:tab w:val="left" w:pos="426"/>
        </w:tabs>
        <w:spacing w:before="240" w:after="240" w:line="360" w:lineRule="auto"/>
        <w:ind w:left="0" w:right="49" w:firstLine="0"/>
        <w:jc w:val="both"/>
        <w:rPr>
          <w:rFonts w:ascii="Palatino Linotype" w:hAnsi="Palatino Linotype" w:cs="Arial"/>
          <w:szCs w:val="22"/>
        </w:rPr>
      </w:pPr>
      <w:bookmarkStart w:id="21" w:name="_Toc455991148"/>
      <w:bookmarkStart w:id="22" w:name="_Toc450120669"/>
      <w:bookmarkStart w:id="23" w:name="_Toc461555896"/>
      <w:bookmarkStart w:id="24" w:name="_Toc462154385"/>
      <w:bookmarkStart w:id="25" w:name="_Toc462660376"/>
      <w:bookmarkStart w:id="26" w:name="_Toc462660687"/>
      <w:bookmarkStart w:id="27" w:name="_Toc462660766"/>
      <w:bookmarkStart w:id="28" w:name="_Toc465264624"/>
      <w:bookmarkStart w:id="29" w:name="_Toc465264870"/>
      <w:bookmarkStart w:id="30" w:name="_Toc465266520"/>
      <w:bookmarkStart w:id="31" w:name="_Toc466302258"/>
      <w:bookmarkStart w:id="32" w:name="_Toc466371866"/>
      <w:bookmarkStart w:id="33" w:name="_Toc466371925"/>
      <w:bookmarkStart w:id="34" w:name="_Toc466377654"/>
      <w:bookmarkStart w:id="35" w:name="_Toc478549736"/>
      <w:bookmarkStart w:id="36" w:name="_Toc478572850"/>
      <w:bookmarkStart w:id="37" w:name="_Toc479238537"/>
      <w:bookmarkEnd w:id="14"/>
      <w:bookmarkEnd w:id="15"/>
      <w:bookmarkEnd w:id="16"/>
      <w:bookmarkEnd w:id="17"/>
      <w:bookmarkEnd w:id="18"/>
      <w:bookmarkEnd w:id="19"/>
      <w:bookmarkEnd w:id="20"/>
      <w:r w:rsidRPr="00952F3F">
        <w:rPr>
          <w:rFonts w:ascii="Palatino Linotype" w:hAnsi="Palatino Linotype" w:cs="Arial"/>
          <w:szCs w:val="22"/>
        </w:rPr>
        <w:t xml:space="preserve">El recurso revisión tiene como finalidad reparar cualquier posible afectación al Derecho de Acceso a la Información Pública en términos del Título Octavo de la Ley de </w:t>
      </w:r>
      <w:r w:rsidRPr="00952F3F">
        <w:rPr>
          <w:rFonts w:ascii="Palatino Linotype" w:eastAsia="Calibri" w:hAnsi="Palatino Linotype" w:cs="Arial"/>
          <w:szCs w:val="22"/>
        </w:rPr>
        <w:t>Transparencia, Acceso a la Información Pública del Estado de México y Municipios</w:t>
      </w:r>
      <w:r w:rsidRPr="00952F3F">
        <w:rPr>
          <w:rFonts w:ascii="Palatino Linotype" w:hAnsi="Palatino Linotype" w:cs="Arial"/>
          <w:szCs w:val="22"/>
        </w:rPr>
        <w:t xml:space="preserve">, y determinar la confirmación; revocación o modificación; </w:t>
      </w:r>
      <w:proofErr w:type="spellStart"/>
      <w:r w:rsidRPr="00952F3F">
        <w:rPr>
          <w:rFonts w:ascii="Palatino Linotype" w:hAnsi="Palatino Linotype" w:cs="Arial"/>
          <w:szCs w:val="22"/>
        </w:rPr>
        <w:t>desechamiento</w:t>
      </w:r>
      <w:proofErr w:type="spellEnd"/>
      <w:r w:rsidRPr="00952F3F">
        <w:rPr>
          <w:rFonts w:ascii="Palatino Linotype" w:hAnsi="Palatino Linotype" w:cs="Arial"/>
          <w:szCs w:val="22"/>
        </w:rPr>
        <w:t xml:space="preserve"> o </w:t>
      </w:r>
      <w:r w:rsidRPr="00952F3F">
        <w:rPr>
          <w:rFonts w:ascii="Palatino Linotype" w:hAnsi="Palatino Linotype" w:cs="Arial"/>
          <w:b/>
          <w:szCs w:val="22"/>
          <w:u w:val="single"/>
        </w:rPr>
        <w:t>sobreseimiento</w:t>
      </w:r>
      <w:r w:rsidRPr="00952F3F">
        <w:rPr>
          <w:rFonts w:ascii="Palatino Linotype" w:hAnsi="Palatino Linotype" w:cs="Arial"/>
          <w:szCs w:val="22"/>
        </w:rPr>
        <w:t xml:space="preserve">; y, en su caso, ordenar la entrega de la información respecto a la falta de respuesta por parte del </w:t>
      </w:r>
      <w:r w:rsidRPr="00952F3F">
        <w:rPr>
          <w:rFonts w:ascii="Palatino Linotype" w:hAnsi="Palatino Linotype" w:cs="Arial"/>
          <w:b/>
          <w:szCs w:val="22"/>
        </w:rPr>
        <w:t>SUJETO</w:t>
      </w:r>
      <w:r w:rsidRPr="00952F3F">
        <w:rPr>
          <w:rFonts w:ascii="Palatino Linotype" w:hAnsi="Palatino Linotype" w:cs="Arial"/>
          <w:szCs w:val="22"/>
        </w:rPr>
        <w:t xml:space="preserve"> </w:t>
      </w:r>
      <w:r w:rsidRPr="00952F3F">
        <w:rPr>
          <w:rFonts w:ascii="Palatino Linotype" w:hAnsi="Palatino Linotype" w:cs="Arial"/>
          <w:b/>
          <w:szCs w:val="22"/>
        </w:rPr>
        <w:t>OBLIGADO</w:t>
      </w:r>
      <w:r w:rsidRPr="00952F3F">
        <w:rPr>
          <w:rFonts w:ascii="Palatino Linotype" w:hAnsi="Palatino Linotype" w:cs="Arial"/>
          <w:szCs w:val="22"/>
        </w:rPr>
        <w:t>.</w:t>
      </w:r>
    </w:p>
    <w:p w14:paraId="2723E908" w14:textId="77777777" w:rsidR="003832B4" w:rsidRPr="00952F3F" w:rsidRDefault="003832B4" w:rsidP="003832B4">
      <w:pPr>
        <w:pStyle w:val="Prrafodelista"/>
        <w:tabs>
          <w:tab w:val="left" w:pos="284"/>
          <w:tab w:val="left" w:pos="426"/>
        </w:tabs>
        <w:ind w:left="0"/>
        <w:rPr>
          <w:rFonts w:ascii="Palatino Linotype" w:eastAsia="MS Mincho" w:hAnsi="Palatino Linotype"/>
          <w:szCs w:val="22"/>
        </w:rPr>
      </w:pPr>
    </w:p>
    <w:p w14:paraId="27AF9E57" w14:textId="77777777" w:rsidR="003832B4" w:rsidRDefault="003832B4" w:rsidP="003832B4">
      <w:pPr>
        <w:pStyle w:val="Prrafodelista"/>
        <w:numPr>
          <w:ilvl w:val="0"/>
          <w:numId w:val="1"/>
        </w:numPr>
        <w:tabs>
          <w:tab w:val="left" w:pos="284"/>
          <w:tab w:val="left" w:pos="426"/>
        </w:tabs>
        <w:spacing w:before="240" w:after="240" w:line="360" w:lineRule="auto"/>
        <w:ind w:left="0" w:right="49" w:firstLine="0"/>
        <w:jc w:val="both"/>
        <w:rPr>
          <w:rFonts w:ascii="Palatino Linotype" w:eastAsia="MS Mincho" w:hAnsi="Palatino Linotype"/>
          <w:szCs w:val="22"/>
        </w:rPr>
      </w:pPr>
      <w:r w:rsidRPr="00952F3F">
        <w:rPr>
          <w:rFonts w:ascii="Palatino Linotype" w:eastAsia="MS Mincho" w:hAnsi="Palatino Linotype"/>
          <w:szCs w:val="22"/>
        </w:rPr>
        <w:t xml:space="preserve">Cabe destacar que el motivo de inconformidad del RECURRENTE sobre </w:t>
      </w:r>
      <w:r w:rsidR="00DD5447">
        <w:rPr>
          <w:rFonts w:ascii="Palatino Linotype" w:eastAsia="MS Mincho" w:hAnsi="Palatino Linotype"/>
          <w:szCs w:val="22"/>
        </w:rPr>
        <w:t>falta, deficiencia o insuficiencia de fundamentación</w:t>
      </w:r>
      <w:r w:rsidRPr="00952F3F">
        <w:rPr>
          <w:rFonts w:ascii="Palatino Linotype" w:eastAsia="MS Mincho" w:hAnsi="Palatino Linotype"/>
          <w:szCs w:val="22"/>
        </w:rPr>
        <w:t xml:space="preserve">, actualiza la causal de improcedencia contenida en la fracción </w:t>
      </w:r>
      <w:r w:rsidR="00DD5447">
        <w:rPr>
          <w:rFonts w:ascii="Palatino Linotype" w:eastAsia="MS Mincho" w:hAnsi="Palatino Linotype"/>
          <w:szCs w:val="22"/>
        </w:rPr>
        <w:t>XIII,</w:t>
      </w:r>
      <w:r w:rsidRPr="00952F3F">
        <w:rPr>
          <w:rFonts w:ascii="Palatino Linotype" w:eastAsia="MS Mincho" w:hAnsi="Palatino Linotype"/>
          <w:szCs w:val="22"/>
        </w:rPr>
        <w:t xml:space="preserve"> del artículo 179</w:t>
      </w:r>
      <w:r w:rsidR="00DD5447">
        <w:rPr>
          <w:rFonts w:ascii="Palatino Linotype" w:eastAsia="MS Mincho" w:hAnsi="Palatino Linotype"/>
          <w:szCs w:val="22"/>
        </w:rPr>
        <w:t>,</w:t>
      </w:r>
      <w:r w:rsidRPr="00952F3F">
        <w:rPr>
          <w:rFonts w:ascii="Palatino Linotype" w:eastAsia="MS Mincho" w:hAnsi="Palatino Linotype"/>
          <w:szCs w:val="22"/>
        </w:rPr>
        <w:t xml:space="preserve"> de la Ley de Transparencia y Acceso a la Información Pública del Estado de México y Municipios, por lo que este Órgano Garante estaría en la posibilidad de analizar  el presente asunto; </w:t>
      </w:r>
      <w:bookmarkStart w:id="38" w:name="_Toc466371865"/>
      <w:bookmarkStart w:id="39" w:name="_Toc466377653"/>
      <w:bookmarkStart w:id="40" w:name="_Toc495427547"/>
      <w:bookmarkStart w:id="41" w:name="_Toc49790536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952F3F">
        <w:rPr>
          <w:rFonts w:ascii="Palatino Linotype" w:eastAsia="MS Mincho" w:hAnsi="Palatino Linotype"/>
          <w:szCs w:val="22"/>
        </w:rPr>
        <w:t xml:space="preserve">sin embargo, será inminentemente excusado el ingreso al estudio y análisis de la controversia en consecuencia de que, como quedara establecido, el particular, por propio derecho, </w:t>
      </w:r>
      <w:r w:rsidRPr="00952F3F">
        <w:rPr>
          <w:rFonts w:ascii="Palatino Linotype" w:eastAsia="MS Mincho" w:hAnsi="Palatino Linotype"/>
          <w:b/>
          <w:szCs w:val="22"/>
        </w:rPr>
        <w:t>se desistió del recurso de revisión</w:t>
      </w:r>
      <w:r w:rsidRPr="00952F3F">
        <w:rPr>
          <w:rFonts w:ascii="Palatino Linotype" w:eastAsia="MS Mincho" w:hAnsi="Palatino Linotype"/>
          <w:szCs w:val="22"/>
        </w:rPr>
        <w:t xml:space="preserve"> que nos ocupa, vía </w:t>
      </w:r>
      <w:r w:rsidRPr="00952F3F">
        <w:rPr>
          <w:rFonts w:ascii="Palatino Linotype" w:eastAsia="MS Mincho" w:hAnsi="Palatino Linotype"/>
          <w:i/>
          <w:szCs w:val="22"/>
        </w:rPr>
        <w:t>SAIMEX</w:t>
      </w:r>
      <w:r w:rsidRPr="00952F3F">
        <w:rPr>
          <w:rFonts w:ascii="Palatino Linotype" w:eastAsia="MS Mincho" w:hAnsi="Palatino Linotype"/>
          <w:szCs w:val="22"/>
        </w:rPr>
        <w:t xml:space="preserve">, el </w:t>
      </w:r>
      <w:r w:rsidR="00DD5447">
        <w:rPr>
          <w:rFonts w:ascii="Palatino Linotype" w:eastAsia="MS Mincho" w:hAnsi="Palatino Linotype"/>
          <w:szCs w:val="22"/>
        </w:rPr>
        <w:t>doce (12</w:t>
      </w:r>
      <w:r w:rsidR="00030D99">
        <w:rPr>
          <w:rFonts w:ascii="Palatino Linotype" w:eastAsia="MS Mincho" w:hAnsi="Palatino Linotype"/>
          <w:szCs w:val="22"/>
        </w:rPr>
        <w:t xml:space="preserve">) de </w:t>
      </w:r>
      <w:r w:rsidR="00DD5447">
        <w:rPr>
          <w:rFonts w:ascii="Palatino Linotype" w:eastAsia="MS Mincho" w:hAnsi="Palatino Linotype"/>
          <w:szCs w:val="22"/>
        </w:rPr>
        <w:t>noviembre</w:t>
      </w:r>
      <w:r w:rsidRPr="00952F3F">
        <w:rPr>
          <w:rFonts w:ascii="Palatino Linotype" w:eastAsia="MS Mincho" w:hAnsi="Palatino Linotype"/>
          <w:szCs w:val="22"/>
        </w:rPr>
        <w:t xml:space="preserve"> de dos mil veinticuatro, como se ilustra a continuación:</w:t>
      </w:r>
    </w:p>
    <w:p w14:paraId="175A3F8F" w14:textId="6C469FCC" w:rsidR="00DD5447" w:rsidRDefault="00DD5447" w:rsidP="00DD5447">
      <w:pPr>
        <w:pStyle w:val="Prrafodelista"/>
        <w:tabs>
          <w:tab w:val="left" w:pos="284"/>
          <w:tab w:val="left" w:pos="426"/>
        </w:tabs>
        <w:spacing w:before="240" w:after="240" w:line="360" w:lineRule="auto"/>
        <w:ind w:left="0" w:right="49"/>
        <w:jc w:val="both"/>
        <w:rPr>
          <w:noProof/>
        </w:rPr>
      </w:pPr>
      <w:r w:rsidRPr="00DD5447">
        <w:rPr>
          <w:noProof/>
        </w:rPr>
        <w:t xml:space="preserve"> </w:t>
      </w:r>
    </w:p>
    <w:p w14:paraId="7C44FD27" w14:textId="77777777" w:rsidR="003832B4" w:rsidRPr="00DD5447" w:rsidRDefault="003832B4" w:rsidP="00DD5447">
      <w:pPr>
        <w:pStyle w:val="Prrafodelista"/>
        <w:tabs>
          <w:tab w:val="left" w:pos="284"/>
          <w:tab w:val="left" w:pos="426"/>
        </w:tabs>
        <w:spacing w:before="240" w:after="240" w:line="360" w:lineRule="auto"/>
        <w:ind w:left="0" w:right="49"/>
        <w:jc w:val="both"/>
        <w:rPr>
          <w:rFonts w:ascii="Palatino Linotype" w:eastAsia="MS Mincho" w:hAnsi="Palatino Linotype"/>
          <w:szCs w:val="22"/>
        </w:rPr>
      </w:pPr>
      <w:r w:rsidRPr="00952F3F">
        <w:rPr>
          <w:noProof/>
          <w:szCs w:val="22"/>
          <w:lang w:val="es-ES" w:eastAsia="es-ES"/>
        </w:rPr>
        <w:t xml:space="preserve"> </w:t>
      </w:r>
    </w:p>
    <w:p w14:paraId="7DB0C7D0" w14:textId="77777777" w:rsidR="003832B4" w:rsidRPr="00952F3F" w:rsidRDefault="003832B4" w:rsidP="003832B4">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Cs w:val="22"/>
        </w:rPr>
      </w:pPr>
      <w:r w:rsidRPr="00952F3F">
        <w:rPr>
          <w:rFonts w:ascii="Palatino Linotype" w:eastAsia="MS Mincho" w:hAnsi="Palatino Linotype"/>
          <w:szCs w:val="22"/>
        </w:rPr>
        <w:t xml:space="preserve">De las imágenes, se advierte que efectivamente el particular hizo uso de la opción </w:t>
      </w:r>
      <w:r w:rsidRPr="00952F3F">
        <w:rPr>
          <w:rFonts w:ascii="Palatino Linotype" w:eastAsia="MS Mincho" w:hAnsi="Palatino Linotype"/>
          <w:b/>
          <w:i/>
          <w:szCs w:val="22"/>
        </w:rPr>
        <w:t>“Desistir”</w:t>
      </w:r>
      <w:r w:rsidRPr="00952F3F">
        <w:rPr>
          <w:rFonts w:ascii="Palatino Linotype" w:eastAsia="MS Mincho" w:hAnsi="Palatino Linotype"/>
          <w:szCs w:val="22"/>
        </w:rPr>
        <w:t xml:space="preserve"> al recurso de revisión en el propio </w:t>
      </w:r>
      <w:r w:rsidRPr="00952F3F">
        <w:rPr>
          <w:rFonts w:ascii="Palatino Linotype" w:eastAsia="MS Mincho" w:hAnsi="Palatino Linotype"/>
          <w:i/>
          <w:szCs w:val="22"/>
        </w:rPr>
        <w:t>SAIMEX</w:t>
      </w:r>
      <w:r w:rsidRPr="00952F3F">
        <w:rPr>
          <w:rFonts w:ascii="Palatino Linotype" w:eastAsia="MS Mincho" w:hAnsi="Palatino Linotype"/>
          <w:szCs w:val="22"/>
        </w:rPr>
        <w:t xml:space="preserve">, opción que </w:t>
      </w:r>
      <w:r w:rsidRPr="00952F3F">
        <w:rPr>
          <w:rFonts w:ascii="Palatino Linotype" w:eastAsia="MS Mincho" w:hAnsi="Palatino Linotype"/>
          <w:b/>
          <w:szCs w:val="22"/>
        </w:rPr>
        <w:t>únicamente</w:t>
      </w:r>
      <w:r w:rsidRPr="00952F3F">
        <w:rPr>
          <w:rFonts w:ascii="Palatino Linotype" w:eastAsia="MS Mincho" w:hAnsi="Palatino Linotype"/>
          <w:szCs w:val="22"/>
        </w:rPr>
        <w:t xml:space="preserve"> puede hacer uso el usuario dueño de la cuenta, previo ingreso de su nombre de usuario y contraseña; así las cosas, cabe resaltar de igual manera que, al seleccionar la opción de </w:t>
      </w:r>
      <w:r w:rsidRPr="00952F3F">
        <w:rPr>
          <w:rFonts w:ascii="Palatino Linotype" w:eastAsia="MS Mincho" w:hAnsi="Palatino Linotype"/>
          <w:b/>
          <w:szCs w:val="22"/>
        </w:rPr>
        <w:t>desistimiento</w:t>
      </w:r>
      <w:r w:rsidRPr="00952F3F">
        <w:rPr>
          <w:rFonts w:ascii="Palatino Linotype" w:eastAsia="MS Mincho" w:hAnsi="Palatino Linotype"/>
          <w:szCs w:val="22"/>
        </w:rPr>
        <w:t xml:space="preserve">, aparece al usuario una ventana de alerta con el objeto de que confirme que efectivamente es su deseo </w:t>
      </w:r>
      <w:r w:rsidRPr="00952F3F">
        <w:rPr>
          <w:rFonts w:ascii="Palatino Linotype" w:eastAsia="MS Mincho" w:hAnsi="Palatino Linotype"/>
          <w:b/>
          <w:szCs w:val="22"/>
        </w:rPr>
        <w:t>desistirse</w:t>
      </w:r>
      <w:r w:rsidRPr="00952F3F">
        <w:rPr>
          <w:rFonts w:ascii="Palatino Linotype" w:eastAsia="MS Mincho" w:hAnsi="Palatino Linotype"/>
          <w:szCs w:val="22"/>
        </w:rPr>
        <w:t xml:space="preserve"> del recurso; </w:t>
      </w:r>
      <w:r w:rsidRPr="00952F3F">
        <w:rPr>
          <w:rFonts w:ascii="Palatino Linotype" w:eastAsia="MS Mincho" w:hAnsi="Palatino Linotype"/>
          <w:b/>
          <w:szCs w:val="22"/>
        </w:rPr>
        <w:t>luego entonces no es hacedero suponer que fue por error involuntario, lo que se constituye como un desistimiento expreso</w:t>
      </w:r>
      <w:r w:rsidRPr="00952F3F">
        <w:rPr>
          <w:rFonts w:ascii="Palatino Linotype" w:eastAsia="MS Mincho" w:hAnsi="Palatino Linotype"/>
          <w:szCs w:val="22"/>
        </w:rPr>
        <w:t>.</w:t>
      </w:r>
    </w:p>
    <w:p w14:paraId="01EE6024" w14:textId="70B149F1" w:rsidR="003832B4" w:rsidRPr="00952F3F" w:rsidRDefault="00731EF5" w:rsidP="003832B4">
      <w:pPr>
        <w:pStyle w:val="Prrafodelista"/>
        <w:tabs>
          <w:tab w:val="left" w:pos="426"/>
        </w:tabs>
        <w:spacing w:before="240" w:after="240" w:line="360" w:lineRule="auto"/>
        <w:ind w:left="0" w:right="49"/>
        <w:jc w:val="both"/>
        <w:rPr>
          <w:rFonts w:ascii="Palatino Linotype" w:eastAsia="MS Mincho" w:hAnsi="Palatino Linotype"/>
          <w:szCs w:val="22"/>
        </w:rPr>
      </w:pPr>
      <w:r w:rsidRPr="00731EF5">
        <w:rPr>
          <w:rFonts w:ascii="Palatino Linotype" w:eastAsia="MS Mincho" w:hAnsi="Palatino Linotype"/>
          <w:szCs w:val="22"/>
        </w:rPr>
        <w:lastRenderedPageBreak/>
        <w:drawing>
          <wp:inline distT="0" distB="0" distL="0" distR="0" wp14:anchorId="5C6EA526" wp14:editId="422A1146">
            <wp:extent cx="5742940" cy="291147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2911475"/>
                    </a:xfrm>
                    <a:prstGeom prst="rect">
                      <a:avLst/>
                    </a:prstGeom>
                  </pic:spPr>
                </pic:pic>
              </a:graphicData>
            </a:graphic>
          </wp:inline>
        </w:drawing>
      </w:r>
      <w:bookmarkStart w:id="42" w:name="_GoBack"/>
      <w:bookmarkEnd w:id="42"/>
    </w:p>
    <w:p w14:paraId="30EAF602" w14:textId="77777777" w:rsidR="003832B4" w:rsidRPr="00952F3F" w:rsidRDefault="003832B4" w:rsidP="003832B4">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Cs w:val="22"/>
        </w:rPr>
      </w:pPr>
      <w:r w:rsidRPr="00952F3F">
        <w:rPr>
          <w:rFonts w:ascii="Palatino Linotype" w:eastAsia="MS Mincho" w:hAnsi="Palatino Linotype"/>
          <w:szCs w:val="22"/>
        </w:rPr>
        <w:t>En ese orden de ideas el articulo 192</w:t>
      </w:r>
      <w:r w:rsidRPr="00952F3F">
        <w:rPr>
          <w:szCs w:val="22"/>
        </w:rPr>
        <w:t xml:space="preserve"> </w:t>
      </w:r>
      <w:r w:rsidRPr="00952F3F">
        <w:rPr>
          <w:rFonts w:ascii="Palatino Linotype" w:eastAsia="MS Mincho" w:hAnsi="Palatino Linotype"/>
          <w:szCs w:val="22"/>
        </w:rPr>
        <w:t>Ley de Transparencia y Acceso a la Información Pública del Estado de México y Municipios, establece lo siguiente:</w:t>
      </w:r>
    </w:p>
    <w:p w14:paraId="40EC75A8" w14:textId="77777777" w:rsidR="003832B4" w:rsidRPr="00952F3F" w:rsidRDefault="003832B4" w:rsidP="003832B4">
      <w:pPr>
        <w:pStyle w:val="Prrafodelista"/>
        <w:rPr>
          <w:rFonts w:ascii="Palatino Linotype" w:eastAsia="MS Mincho" w:hAnsi="Palatino Linotype"/>
          <w:szCs w:val="22"/>
        </w:rPr>
      </w:pPr>
    </w:p>
    <w:p w14:paraId="4A6A9116" w14:textId="77777777" w:rsidR="003832B4" w:rsidRPr="00952F3F" w:rsidRDefault="003832B4" w:rsidP="003832B4">
      <w:pPr>
        <w:pStyle w:val="Prrafodelista"/>
        <w:spacing w:before="240" w:after="240" w:line="360" w:lineRule="auto"/>
        <w:ind w:left="851" w:right="822"/>
        <w:jc w:val="both"/>
        <w:rPr>
          <w:rFonts w:ascii="Palatino Linotype" w:eastAsia="MS Mincho" w:hAnsi="Palatino Linotype"/>
          <w:i/>
          <w:szCs w:val="22"/>
        </w:rPr>
      </w:pPr>
      <w:r w:rsidRPr="00952F3F">
        <w:rPr>
          <w:rFonts w:ascii="Palatino Linotype" w:eastAsia="MS Mincho" w:hAnsi="Palatino Linotype"/>
          <w:i/>
          <w:szCs w:val="22"/>
        </w:rPr>
        <w:t>“</w:t>
      </w:r>
      <w:r w:rsidRPr="00952F3F">
        <w:rPr>
          <w:rFonts w:ascii="Palatino Linotype" w:eastAsia="MS Mincho" w:hAnsi="Palatino Linotype"/>
          <w:b/>
          <w:i/>
          <w:szCs w:val="22"/>
        </w:rPr>
        <w:t>Artículo 192.</w:t>
      </w:r>
      <w:r w:rsidRPr="00952F3F">
        <w:rPr>
          <w:rFonts w:ascii="Palatino Linotype" w:eastAsia="MS Mincho" w:hAnsi="Palatino Linotype"/>
          <w:i/>
          <w:szCs w:val="22"/>
        </w:rPr>
        <w:t xml:space="preserve"> El recurso será sobreseído, en todo o en parte, cuando una vez admitido, se actualicen alguno de los siguientes supuestos:</w:t>
      </w:r>
    </w:p>
    <w:p w14:paraId="754CD7C6" w14:textId="77777777" w:rsidR="003832B4" w:rsidRPr="00952F3F" w:rsidRDefault="003832B4" w:rsidP="003832B4">
      <w:pPr>
        <w:pStyle w:val="Prrafodelista"/>
        <w:spacing w:before="240" w:after="240" w:line="360" w:lineRule="auto"/>
        <w:ind w:left="851" w:right="822"/>
        <w:jc w:val="both"/>
        <w:rPr>
          <w:rFonts w:ascii="Palatino Linotype" w:eastAsia="MS Mincho" w:hAnsi="Palatino Linotype"/>
          <w:i/>
          <w:szCs w:val="22"/>
        </w:rPr>
      </w:pPr>
      <w:r w:rsidRPr="00952F3F">
        <w:rPr>
          <w:rFonts w:ascii="Palatino Linotype" w:eastAsia="MS Mincho" w:hAnsi="Palatino Linotype"/>
          <w:b/>
          <w:i/>
          <w:szCs w:val="22"/>
        </w:rPr>
        <w:t>I.</w:t>
      </w:r>
      <w:r w:rsidRPr="00952F3F">
        <w:rPr>
          <w:rFonts w:ascii="Palatino Linotype" w:eastAsia="MS Mincho" w:hAnsi="Palatino Linotype"/>
          <w:i/>
          <w:szCs w:val="22"/>
        </w:rPr>
        <w:t xml:space="preserve"> El recurrente se desista expresamente del recurso;</w:t>
      </w:r>
    </w:p>
    <w:p w14:paraId="1FFEBE84" w14:textId="77777777" w:rsidR="003832B4" w:rsidRPr="00952F3F" w:rsidRDefault="003832B4" w:rsidP="003832B4">
      <w:pPr>
        <w:pStyle w:val="Prrafodelista"/>
        <w:spacing w:before="240" w:after="240" w:line="360" w:lineRule="auto"/>
        <w:ind w:left="851" w:right="822"/>
        <w:jc w:val="both"/>
        <w:rPr>
          <w:rFonts w:ascii="Palatino Linotype" w:eastAsia="MS Mincho" w:hAnsi="Palatino Linotype"/>
          <w:i/>
          <w:szCs w:val="22"/>
        </w:rPr>
      </w:pPr>
      <w:r w:rsidRPr="00952F3F">
        <w:rPr>
          <w:rFonts w:ascii="Palatino Linotype" w:eastAsia="MS Mincho" w:hAnsi="Palatino Linotype"/>
          <w:i/>
          <w:szCs w:val="22"/>
        </w:rPr>
        <w:t>(…)”</w:t>
      </w:r>
    </w:p>
    <w:p w14:paraId="0ADFA3E6" w14:textId="77777777" w:rsidR="003832B4" w:rsidRPr="00952F3F" w:rsidRDefault="003832B4" w:rsidP="003832B4">
      <w:pPr>
        <w:pStyle w:val="Prrafodelista"/>
        <w:spacing w:before="240" w:after="240" w:line="360" w:lineRule="auto"/>
        <w:ind w:left="426" w:right="49"/>
        <w:jc w:val="both"/>
        <w:rPr>
          <w:rFonts w:ascii="Palatino Linotype" w:eastAsia="MS Mincho" w:hAnsi="Palatino Linotype"/>
          <w:szCs w:val="22"/>
        </w:rPr>
      </w:pPr>
    </w:p>
    <w:p w14:paraId="409F6F25" w14:textId="77777777" w:rsidR="003832B4" w:rsidRPr="00952F3F" w:rsidRDefault="003832B4" w:rsidP="003832B4">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Cs w:val="22"/>
        </w:rPr>
      </w:pPr>
      <w:r w:rsidRPr="00952F3F">
        <w:rPr>
          <w:rFonts w:ascii="Palatino Linotype" w:eastAsia="MS Mincho" w:hAnsi="Palatino Linotype"/>
          <w:szCs w:val="22"/>
        </w:rPr>
        <w:t>Robustece lo anterior la tesis aislada I.15o.T.2 K (10a.), del Décimo Quinto Tribunal Colegiado en Materia de Trabajo del Primer Circuito, misma que se anexa a continuación:</w:t>
      </w:r>
    </w:p>
    <w:p w14:paraId="3F77A7F2" w14:textId="77777777" w:rsidR="003832B4" w:rsidRPr="00952F3F" w:rsidRDefault="003832B4" w:rsidP="00030D99">
      <w:pPr>
        <w:pStyle w:val="Sinespaciado"/>
        <w:spacing w:line="360" w:lineRule="auto"/>
        <w:ind w:left="567" w:right="567"/>
        <w:jc w:val="both"/>
        <w:rPr>
          <w:rFonts w:ascii="Palatino Linotype" w:hAnsi="Palatino Linotype"/>
          <w:i/>
          <w:sz w:val="22"/>
          <w:szCs w:val="22"/>
        </w:rPr>
      </w:pPr>
      <w:r w:rsidRPr="00952F3F">
        <w:rPr>
          <w:rFonts w:ascii="Palatino Linotype" w:hAnsi="Palatino Linotype"/>
          <w:b/>
          <w:i/>
          <w:sz w:val="22"/>
          <w:szCs w:val="22"/>
        </w:rPr>
        <w:t>DESISTIMIENTO DEL RECURSO DE REVISIÓN EN AMPARO INDIRECTO. ES INNECESARIO QUE SE RATIFIQUE EL ESCRITO CORRESPONDIENTE, CUANDO SU REQUERIMIENTO SE NOTIFICÓ PERSONALMENTE.</w:t>
      </w:r>
      <w:r w:rsidRPr="00952F3F">
        <w:rPr>
          <w:rFonts w:ascii="Palatino Linotype" w:hAnsi="Palatino Linotype"/>
          <w:i/>
          <w:sz w:val="22"/>
          <w:szCs w:val="22"/>
        </w:rPr>
        <w:t xml:space="preserve"> “Si el quejoso en un juicio de amparo indirecto interpone recurso de revisión contra la sentencia dictada por el Juez de Distrito y una vez que el asunto se encuentra radicado ante el </w:t>
      </w:r>
      <w:r w:rsidRPr="00952F3F">
        <w:rPr>
          <w:rFonts w:ascii="Palatino Linotype" w:hAnsi="Palatino Linotype"/>
          <w:i/>
          <w:sz w:val="22"/>
          <w:szCs w:val="22"/>
        </w:rPr>
        <w:lastRenderedPageBreak/>
        <w:t>Tribunal Colegiado de Circuito competente, se desiste de dicho medio de defensa, es innecesario que ratifique el escrito relativo ante el órgano revisor, siempre y cuando el requerimiento en que se solicitó su presencia a efecto de que lo ratifique, se haya notificado personalmente, pues con ello se cumplió el artículo 26, fracción I, inciso d), de la Ley de Amparo; por lo que si no acudió a ratificar el citado escrito, su voluntad de desistir del recurso interpuesto debe seguir prevaleciendo, pues sólo tiene como consecuencia la firmeza de la sentencia impugnada, máxime si se le apercibió con tenerlo por ratificado en caso de no acudir; además, esa circunstancia no soslaya el artículo 63, fracción I, de la citada ley, toda vez que esa disposición se refiere a la hipótesis en que el quejoso se desiste de la demanda de amparo, entendiéndose tal aspecto como el desistimiento de la acción que originó el juicio constitucional, lo cual conduce</w:t>
      </w:r>
      <w:r w:rsidR="00030D99">
        <w:rPr>
          <w:rFonts w:ascii="Palatino Linotype" w:hAnsi="Palatino Linotype"/>
          <w:i/>
          <w:sz w:val="22"/>
          <w:szCs w:val="22"/>
        </w:rPr>
        <w:t xml:space="preserve"> a decretar el sobreseimiento.”</w:t>
      </w:r>
    </w:p>
    <w:p w14:paraId="6C72D005" w14:textId="77777777" w:rsidR="003832B4" w:rsidRPr="00952F3F" w:rsidRDefault="003832B4" w:rsidP="003832B4">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Cs w:val="22"/>
        </w:rPr>
      </w:pPr>
      <w:r w:rsidRPr="00952F3F">
        <w:rPr>
          <w:rFonts w:ascii="Palatino Linotype" w:eastAsia="MS Mincho" w:hAnsi="Palatino Linotype"/>
          <w:szCs w:val="22"/>
        </w:rPr>
        <w:t xml:space="preserve">Por consiguiente, al existir un desistimiento expreso por parte del </w:t>
      </w:r>
      <w:r w:rsidRPr="00952F3F">
        <w:rPr>
          <w:rFonts w:ascii="Palatino Linotype" w:eastAsia="MS Mincho" w:hAnsi="Palatino Linotype"/>
          <w:b/>
          <w:szCs w:val="22"/>
        </w:rPr>
        <w:t>RECURRENTE</w:t>
      </w:r>
      <w:r w:rsidRPr="00952F3F">
        <w:rPr>
          <w:rFonts w:ascii="Palatino Linotype" w:eastAsia="MS Mincho" w:hAnsi="Palatino Linotype"/>
          <w:szCs w:val="22"/>
        </w:rPr>
        <w:t xml:space="preserve">, este Pleno determina el </w:t>
      </w:r>
      <w:r w:rsidRPr="00952F3F">
        <w:rPr>
          <w:rFonts w:ascii="Palatino Linotype" w:eastAsia="MS Mincho" w:hAnsi="Palatino Linotype"/>
          <w:b/>
          <w:szCs w:val="22"/>
        </w:rPr>
        <w:t>SOBRESEIMIENTO</w:t>
      </w:r>
      <w:r w:rsidRPr="00952F3F">
        <w:rPr>
          <w:rFonts w:ascii="Palatino Linotype" w:eastAsia="MS Mincho" w:hAnsi="Palatino Linotype"/>
          <w:szCs w:val="22"/>
        </w:rPr>
        <w:t xml:space="preserve"> del recurso de revisión.</w:t>
      </w:r>
    </w:p>
    <w:p w14:paraId="0BA3393E" w14:textId="77777777" w:rsidR="003832B4" w:rsidRPr="00952F3F" w:rsidRDefault="003832B4" w:rsidP="003832B4">
      <w:pPr>
        <w:pStyle w:val="Prrafodelista"/>
        <w:tabs>
          <w:tab w:val="left" w:pos="426"/>
        </w:tabs>
        <w:spacing w:before="240" w:after="240" w:line="360" w:lineRule="auto"/>
        <w:ind w:left="0" w:right="51"/>
        <w:jc w:val="both"/>
        <w:rPr>
          <w:rFonts w:ascii="Palatino Linotype" w:hAnsi="Palatino Linotype"/>
          <w:szCs w:val="22"/>
        </w:rPr>
      </w:pPr>
    </w:p>
    <w:p w14:paraId="0FD7C8E2" w14:textId="77777777" w:rsidR="003832B4" w:rsidRPr="00952F3F" w:rsidRDefault="003832B4" w:rsidP="003832B4">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Cs w:val="22"/>
        </w:rPr>
      </w:pPr>
      <w:r w:rsidRPr="00952F3F">
        <w:rPr>
          <w:rFonts w:ascii="Palatino Linotype" w:eastAsia="MS Mincho" w:hAnsi="Palatino Linotype"/>
          <w:szCs w:val="22"/>
        </w:rPr>
        <w:t xml:space="preserve">Bajo </w:t>
      </w:r>
      <w:r w:rsidRPr="00952F3F">
        <w:rPr>
          <w:rFonts w:ascii="Palatino Linotype" w:hAnsi="Palatino Linotype" w:cs="Arial"/>
          <w:szCs w:val="22"/>
          <w:lang w:val="es-CO"/>
        </w:rPr>
        <w:t xml:space="preserve">ese tenor y, en términos del artículo 186, fracción I, de la Ley de Transparencia y Acceso a la Información Pública del Estado de México y Municipios, este Pleno determina el </w:t>
      </w:r>
      <w:r w:rsidRPr="00952F3F">
        <w:rPr>
          <w:rFonts w:ascii="Palatino Linotype" w:hAnsi="Palatino Linotype" w:cs="Arial"/>
          <w:b/>
          <w:szCs w:val="22"/>
          <w:lang w:val="es-CO"/>
        </w:rPr>
        <w:t xml:space="preserve">SOBRESEIMIENTO </w:t>
      </w:r>
      <w:r w:rsidRPr="00952F3F">
        <w:rPr>
          <w:rFonts w:ascii="Palatino Linotype" w:hAnsi="Palatino Linotype" w:cs="Arial"/>
          <w:szCs w:val="22"/>
          <w:lang w:val="es-CO"/>
        </w:rPr>
        <w:t>del presente recurso de revisión, por resultar improcedente, en términos de la fracción I, del artículo 192, de la Ley de Transparencia y Acceso a la Información Pública Estatal.</w:t>
      </w:r>
    </w:p>
    <w:p w14:paraId="644232E8" w14:textId="77777777" w:rsidR="003832B4" w:rsidRPr="00952F3F" w:rsidRDefault="003832B4" w:rsidP="003832B4">
      <w:pPr>
        <w:pStyle w:val="Prrafodelista"/>
        <w:tabs>
          <w:tab w:val="left" w:pos="426"/>
        </w:tabs>
        <w:spacing w:before="240" w:after="240" w:line="360" w:lineRule="auto"/>
        <w:ind w:left="0" w:right="49"/>
        <w:jc w:val="both"/>
        <w:rPr>
          <w:rFonts w:ascii="Palatino Linotype" w:eastAsia="MS Mincho" w:hAnsi="Palatino Linotype"/>
          <w:szCs w:val="22"/>
        </w:rPr>
      </w:pPr>
    </w:p>
    <w:p w14:paraId="5AA7DFF2" w14:textId="77777777" w:rsidR="00030D99" w:rsidRDefault="003832B4" w:rsidP="003832B4">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Cs w:val="22"/>
        </w:rPr>
      </w:pPr>
      <w:r w:rsidRPr="00952F3F">
        <w:rPr>
          <w:rFonts w:ascii="Palatino Linotype" w:eastAsia="MS Mincho" w:hAnsi="Palatino Linotype"/>
          <w:szCs w:val="22"/>
        </w:rPr>
        <w:t>Por lo anteriormente expuesto, este Órgano G</w:t>
      </w:r>
      <w:r w:rsidR="00C004BE">
        <w:rPr>
          <w:rFonts w:ascii="Palatino Linotype" w:eastAsia="MS Mincho" w:hAnsi="Palatino Linotype"/>
          <w:szCs w:val="22"/>
        </w:rPr>
        <w:t xml:space="preserve">arante emite los siguientes: </w:t>
      </w:r>
    </w:p>
    <w:p w14:paraId="754735CE" w14:textId="77777777" w:rsidR="00C004BE" w:rsidRPr="00C004BE" w:rsidRDefault="00C004BE" w:rsidP="00C004BE">
      <w:pPr>
        <w:pStyle w:val="Prrafodelista"/>
        <w:rPr>
          <w:rFonts w:ascii="Palatino Linotype" w:eastAsia="MS Mincho" w:hAnsi="Palatino Linotype"/>
          <w:szCs w:val="22"/>
        </w:rPr>
      </w:pPr>
    </w:p>
    <w:p w14:paraId="47E81972" w14:textId="77777777" w:rsidR="00C004BE" w:rsidRPr="00C004BE" w:rsidRDefault="00C004BE" w:rsidP="00C004BE">
      <w:pPr>
        <w:pStyle w:val="Prrafodelista"/>
        <w:tabs>
          <w:tab w:val="left" w:pos="426"/>
        </w:tabs>
        <w:spacing w:before="240" w:after="240" w:line="360" w:lineRule="auto"/>
        <w:ind w:left="0" w:right="49"/>
        <w:jc w:val="both"/>
        <w:rPr>
          <w:rFonts w:ascii="Palatino Linotype" w:eastAsia="MS Mincho" w:hAnsi="Palatino Linotype"/>
          <w:szCs w:val="22"/>
        </w:rPr>
      </w:pPr>
    </w:p>
    <w:p w14:paraId="2E24FCC3" w14:textId="77777777" w:rsidR="003832B4" w:rsidRPr="00952F3F" w:rsidRDefault="003832B4" w:rsidP="003832B4">
      <w:pPr>
        <w:pStyle w:val="Ttulo1"/>
        <w:spacing w:line="360" w:lineRule="auto"/>
        <w:jc w:val="center"/>
        <w:rPr>
          <w:rFonts w:ascii="Palatino Linotype" w:hAnsi="Palatino Linotype"/>
          <w:b/>
          <w:color w:val="auto"/>
          <w:sz w:val="22"/>
          <w:szCs w:val="22"/>
        </w:rPr>
      </w:pPr>
      <w:bookmarkStart w:id="43" w:name="_Toc61470701"/>
      <w:r w:rsidRPr="00952F3F">
        <w:rPr>
          <w:rFonts w:ascii="Palatino Linotype" w:hAnsi="Palatino Linotype"/>
          <w:b/>
          <w:color w:val="auto"/>
          <w:sz w:val="22"/>
          <w:szCs w:val="22"/>
        </w:rPr>
        <w:t>R E S O L U T I V O S</w:t>
      </w:r>
      <w:bookmarkEnd w:id="38"/>
      <w:bookmarkEnd w:id="39"/>
      <w:bookmarkEnd w:id="40"/>
      <w:bookmarkEnd w:id="41"/>
      <w:bookmarkEnd w:id="43"/>
    </w:p>
    <w:p w14:paraId="5C019037" w14:textId="77777777" w:rsidR="003832B4" w:rsidRPr="00952F3F" w:rsidRDefault="003832B4" w:rsidP="003832B4">
      <w:pPr>
        <w:rPr>
          <w:sz w:val="22"/>
          <w:szCs w:val="22"/>
          <w:lang w:eastAsia="en-US"/>
        </w:rPr>
      </w:pPr>
    </w:p>
    <w:p w14:paraId="430683D8" w14:textId="77777777" w:rsidR="003832B4" w:rsidRPr="00952F3F" w:rsidRDefault="003832B4" w:rsidP="003832B4">
      <w:pPr>
        <w:spacing w:after="240" w:line="360" w:lineRule="auto"/>
        <w:jc w:val="both"/>
        <w:rPr>
          <w:rFonts w:ascii="Palatino Linotype" w:hAnsi="Palatino Linotype"/>
          <w:sz w:val="22"/>
          <w:szCs w:val="22"/>
        </w:rPr>
      </w:pPr>
      <w:r w:rsidRPr="00952F3F">
        <w:rPr>
          <w:rFonts w:ascii="Palatino Linotype" w:hAnsi="Palatino Linotype"/>
          <w:b/>
          <w:sz w:val="22"/>
          <w:szCs w:val="22"/>
        </w:rPr>
        <w:lastRenderedPageBreak/>
        <w:t>PRIMERO.</w:t>
      </w:r>
      <w:r w:rsidRPr="00952F3F">
        <w:rPr>
          <w:rFonts w:ascii="Palatino Linotype" w:hAnsi="Palatino Linotype"/>
          <w:sz w:val="22"/>
          <w:szCs w:val="22"/>
        </w:rPr>
        <w:t xml:space="preserve"> Se </w:t>
      </w:r>
      <w:r w:rsidRPr="00952F3F">
        <w:rPr>
          <w:rFonts w:ascii="Palatino Linotype" w:hAnsi="Palatino Linotype"/>
          <w:b/>
          <w:sz w:val="22"/>
          <w:szCs w:val="22"/>
        </w:rPr>
        <w:t>SOBRESEE</w:t>
      </w:r>
      <w:r w:rsidRPr="00952F3F">
        <w:rPr>
          <w:rFonts w:ascii="Palatino Linotype" w:hAnsi="Palatino Linotype"/>
          <w:sz w:val="22"/>
          <w:szCs w:val="22"/>
        </w:rPr>
        <w:t xml:space="preserve"> el recurso de revisión número </w:t>
      </w:r>
      <w:r w:rsidR="00DD5447">
        <w:rPr>
          <w:rFonts w:ascii="Palatino Linotype" w:hAnsi="Palatino Linotype"/>
          <w:b/>
          <w:sz w:val="22"/>
          <w:szCs w:val="22"/>
        </w:rPr>
        <w:t>06748</w:t>
      </w:r>
      <w:r w:rsidRPr="00952F3F">
        <w:rPr>
          <w:rFonts w:ascii="Palatino Linotype" w:hAnsi="Palatino Linotype"/>
          <w:b/>
          <w:sz w:val="22"/>
          <w:szCs w:val="22"/>
        </w:rPr>
        <w:t xml:space="preserve">/INFOEM/IP/RR/2024, </w:t>
      </w:r>
      <w:r w:rsidRPr="00952F3F">
        <w:rPr>
          <w:rFonts w:ascii="Palatino Linotype" w:hAnsi="Palatino Linotype"/>
          <w:sz w:val="22"/>
          <w:szCs w:val="22"/>
        </w:rPr>
        <w:t>en términos de lo establecido en el artículo 192</w:t>
      </w:r>
      <w:r w:rsidR="00C004BE">
        <w:rPr>
          <w:rFonts w:ascii="Palatino Linotype" w:hAnsi="Palatino Linotype"/>
          <w:sz w:val="22"/>
          <w:szCs w:val="22"/>
        </w:rPr>
        <w:t>,</w:t>
      </w:r>
      <w:r w:rsidRPr="00952F3F">
        <w:rPr>
          <w:rFonts w:ascii="Palatino Linotype" w:hAnsi="Palatino Linotype"/>
          <w:sz w:val="22"/>
          <w:szCs w:val="22"/>
        </w:rPr>
        <w:t xml:space="preserve"> fracción I</w:t>
      </w:r>
      <w:r w:rsidR="00C004BE">
        <w:rPr>
          <w:rFonts w:ascii="Palatino Linotype" w:hAnsi="Palatino Linotype"/>
          <w:sz w:val="22"/>
          <w:szCs w:val="22"/>
        </w:rPr>
        <w:t>,</w:t>
      </w:r>
      <w:r w:rsidRPr="00952F3F">
        <w:rPr>
          <w:rFonts w:ascii="Palatino Linotype" w:hAnsi="Palatino Linotype"/>
          <w:sz w:val="22"/>
          <w:szCs w:val="22"/>
        </w:rPr>
        <w:t xml:space="preserve"> de la Ley de Transparencia y Acceso a la Información Pública del Estado de México y Municipios, </w:t>
      </w:r>
      <w:r w:rsidRPr="00952F3F">
        <w:rPr>
          <w:rFonts w:ascii="Palatino Linotype" w:hAnsi="Palatino Linotype"/>
          <w:b/>
          <w:sz w:val="22"/>
          <w:szCs w:val="22"/>
        </w:rPr>
        <w:t>por haberse desistido expresamente el</w:t>
      </w:r>
      <w:r w:rsidRPr="00952F3F">
        <w:rPr>
          <w:rFonts w:ascii="Palatino Linotype" w:hAnsi="Palatino Linotype"/>
          <w:sz w:val="22"/>
          <w:szCs w:val="22"/>
        </w:rPr>
        <w:t xml:space="preserve"> </w:t>
      </w:r>
      <w:r w:rsidRPr="00952F3F">
        <w:rPr>
          <w:rFonts w:ascii="Palatino Linotype" w:hAnsi="Palatino Linotype"/>
          <w:b/>
          <w:sz w:val="22"/>
          <w:szCs w:val="22"/>
        </w:rPr>
        <w:t>RECURRENTE</w:t>
      </w:r>
      <w:r w:rsidRPr="00952F3F">
        <w:rPr>
          <w:rFonts w:ascii="Palatino Linotype" w:hAnsi="Palatino Linotype"/>
          <w:sz w:val="22"/>
          <w:szCs w:val="22"/>
        </w:rPr>
        <w:t xml:space="preserve">, en términos del </w:t>
      </w:r>
      <w:r w:rsidRPr="00952F3F">
        <w:rPr>
          <w:rFonts w:ascii="Palatino Linotype" w:hAnsi="Palatino Linotype"/>
          <w:b/>
          <w:sz w:val="22"/>
          <w:szCs w:val="22"/>
        </w:rPr>
        <w:t>Considerando TERCERO</w:t>
      </w:r>
      <w:r w:rsidRPr="00952F3F">
        <w:rPr>
          <w:rFonts w:ascii="Palatino Linotype" w:hAnsi="Palatino Linotype"/>
          <w:sz w:val="22"/>
          <w:szCs w:val="22"/>
        </w:rPr>
        <w:t xml:space="preserve"> de la presente resolución.</w:t>
      </w:r>
    </w:p>
    <w:p w14:paraId="6BFCC497" w14:textId="77777777" w:rsidR="003832B4" w:rsidRPr="00952F3F" w:rsidRDefault="003832B4" w:rsidP="003832B4">
      <w:pPr>
        <w:pStyle w:val="Sinespaciado"/>
        <w:spacing w:after="240" w:line="360" w:lineRule="auto"/>
        <w:jc w:val="both"/>
        <w:rPr>
          <w:rFonts w:ascii="Palatino Linotype" w:eastAsia="Calibri" w:hAnsi="Palatino Linotype" w:cs="Arial"/>
          <w:b/>
          <w:bCs/>
          <w:sz w:val="22"/>
          <w:szCs w:val="22"/>
          <w:lang w:val="es-ES"/>
        </w:rPr>
      </w:pPr>
      <w:r w:rsidRPr="00952F3F">
        <w:rPr>
          <w:rFonts w:ascii="Palatino Linotype" w:eastAsia="Calibri" w:hAnsi="Palatino Linotype" w:cs="Arial"/>
          <w:b/>
          <w:bCs/>
          <w:sz w:val="22"/>
          <w:szCs w:val="22"/>
          <w:lang w:val="es-ES"/>
        </w:rPr>
        <w:t xml:space="preserve">SEGUNDO. REMÍTASE </w:t>
      </w:r>
      <w:r w:rsidRPr="00952F3F">
        <w:rPr>
          <w:rFonts w:ascii="Palatino Linotype" w:eastAsia="Calibri" w:hAnsi="Palatino Linotype" w:cs="Arial"/>
          <w:bCs/>
          <w:sz w:val="22"/>
          <w:szCs w:val="22"/>
          <w:lang w:val="es-ES"/>
        </w:rPr>
        <w:t xml:space="preserve">a través del Sistema de Acceso a la Información Mexiquense </w:t>
      </w:r>
      <w:r w:rsidRPr="00952F3F">
        <w:rPr>
          <w:rFonts w:ascii="Palatino Linotype" w:eastAsia="Calibri" w:hAnsi="Palatino Linotype" w:cs="Arial"/>
          <w:b/>
          <w:bCs/>
          <w:sz w:val="22"/>
          <w:szCs w:val="22"/>
          <w:lang w:val="es-ES"/>
        </w:rPr>
        <w:t xml:space="preserve">(SAIMEX) </w:t>
      </w:r>
      <w:r w:rsidRPr="00952F3F">
        <w:rPr>
          <w:rFonts w:ascii="Palatino Linotype" w:eastAsia="Calibri" w:hAnsi="Palatino Linotype" w:cs="Arial"/>
          <w:bCs/>
          <w:sz w:val="22"/>
          <w:szCs w:val="22"/>
          <w:lang w:val="es-ES"/>
        </w:rPr>
        <w:t>la presente resolución al Titular de la Unidad de Transparencia del</w:t>
      </w:r>
      <w:r w:rsidRPr="00952F3F">
        <w:rPr>
          <w:rFonts w:ascii="Palatino Linotype" w:eastAsia="Calibri" w:hAnsi="Palatino Linotype" w:cs="Arial"/>
          <w:b/>
          <w:bCs/>
          <w:sz w:val="22"/>
          <w:szCs w:val="22"/>
          <w:lang w:val="es-ES"/>
        </w:rPr>
        <w:t xml:space="preserve"> SUJETO OBLIGADO. </w:t>
      </w:r>
    </w:p>
    <w:p w14:paraId="5B0ECDDD" w14:textId="77777777" w:rsidR="003832B4" w:rsidRPr="00952F3F" w:rsidRDefault="003832B4" w:rsidP="003832B4">
      <w:pPr>
        <w:pStyle w:val="Sinespaciado"/>
        <w:spacing w:after="240" w:line="360" w:lineRule="auto"/>
        <w:jc w:val="both"/>
        <w:rPr>
          <w:rFonts w:ascii="Palatino Linotype" w:eastAsia="Times New Roman" w:hAnsi="Palatino Linotype" w:cs="Times New Roman"/>
          <w:sz w:val="22"/>
          <w:szCs w:val="22"/>
          <w:lang w:val="es-ES" w:eastAsia="es-MX"/>
        </w:rPr>
      </w:pPr>
      <w:r w:rsidRPr="00952F3F">
        <w:rPr>
          <w:rFonts w:ascii="Palatino Linotype" w:eastAsia="Times New Roman" w:hAnsi="Palatino Linotype" w:cs="Arial"/>
          <w:b/>
          <w:sz w:val="22"/>
          <w:szCs w:val="22"/>
        </w:rPr>
        <w:t xml:space="preserve">TERCERO. </w:t>
      </w:r>
      <w:r w:rsidRPr="00952F3F">
        <w:rPr>
          <w:rFonts w:ascii="Palatino Linotype" w:eastAsia="Times New Roman" w:hAnsi="Palatino Linotype" w:cs="Times New Roman"/>
          <w:b/>
          <w:bCs/>
          <w:sz w:val="22"/>
          <w:szCs w:val="22"/>
          <w:lang w:val="es-ES"/>
        </w:rPr>
        <w:t>Notifíquese al RECURRENTE</w:t>
      </w:r>
      <w:r w:rsidRPr="00952F3F">
        <w:rPr>
          <w:rFonts w:ascii="Palatino Linotype" w:hAnsi="Palatino Linotype"/>
          <w:b/>
          <w:sz w:val="22"/>
          <w:szCs w:val="22"/>
        </w:rPr>
        <w:t xml:space="preserve"> </w:t>
      </w:r>
      <w:r w:rsidRPr="00952F3F">
        <w:rPr>
          <w:rFonts w:ascii="Palatino Linotype" w:eastAsia="Times New Roman" w:hAnsi="Palatino Linotype" w:cs="Times New Roman"/>
          <w:sz w:val="22"/>
          <w:szCs w:val="22"/>
          <w:lang w:val="es-ES" w:eastAsia="es-MX"/>
        </w:rPr>
        <w:t xml:space="preserve">la presente resolución vía </w:t>
      </w:r>
      <w:r w:rsidRPr="00030D99">
        <w:rPr>
          <w:rFonts w:ascii="Palatino Linotype" w:eastAsia="Times New Roman" w:hAnsi="Palatino Linotype" w:cs="Times New Roman"/>
          <w:sz w:val="22"/>
          <w:szCs w:val="22"/>
          <w:lang w:val="es-ES" w:eastAsia="es-MX"/>
        </w:rPr>
        <w:t>Sistema de Acceso a la Información Mexiquense (</w:t>
      </w:r>
      <w:r w:rsidRPr="00030D99">
        <w:rPr>
          <w:rFonts w:ascii="Palatino Linotype" w:eastAsia="Times New Roman" w:hAnsi="Palatino Linotype" w:cs="Times New Roman"/>
          <w:b/>
          <w:sz w:val="22"/>
          <w:szCs w:val="22"/>
          <w:lang w:val="es-ES" w:eastAsia="es-MX"/>
        </w:rPr>
        <w:t>SAIMEX).</w:t>
      </w:r>
    </w:p>
    <w:p w14:paraId="61FC7E9C" w14:textId="77777777" w:rsidR="003832B4" w:rsidRPr="00952F3F" w:rsidRDefault="003832B4" w:rsidP="003832B4">
      <w:pPr>
        <w:pStyle w:val="Prrafodelista"/>
        <w:spacing w:after="240" w:line="360" w:lineRule="auto"/>
        <w:ind w:left="0"/>
        <w:jc w:val="both"/>
        <w:rPr>
          <w:rFonts w:ascii="Palatino Linotype" w:eastAsia="MS Mincho" w:hAnsi="Palatino Linotype"/>
          <w:szCs w:val="22"/>
          <w:lang w:val="es-ES"/>
        </w:rPr>
      </w:pPr>
      <w:r w:rsidRPr="00952F3F">
        <w:rPr>
          <w:rFonts w:ascii="Palatino Linotype" w:eastAsia="MS Mincho" w:hAnsi="Palatino Linotype"/>
          <w:b/>
          <w:szCs w:val="22"/>
        </w:rPr>
        <w:t>CUARTO.</w:t>
      </w:r>
      <w:r w:rsidRPr="00952F3F">
        <w:rPr>
          <w:rFonts w:ascii="Palatino Linotype" w:eastAsia="MS Mincho" w:hAnsi="Palatino Linotype"/>
          <w:szCs w:val="22"/>
        </w:rPr>
        <w:t xml:space="preserve"> </w:t>
      </w:r>
      <w:r w:rsidRPr="00952F3F">
        <w:rPr>
          <w:rFonts w:ascii="Palatino Linotype" w:eastAsia="MS Mincho" w:hAnsi="Palatino Linotype"/>
          <w:szCs w:val="22"/>
          <w:lang w:val="es-ES"/>
        </w:rPr>
        <w:t xml:space="preserve">Se hace del conocimiento del </w:t>
      </w:r>
      <w:r w:rsidRPr="00952F3F">
        <w:rPr>
          <w:rFonts w:ascii="Palatino Linotype" w:hAnsi="Palatino Linotype"/>
          <w:b/>
          <w:szCs w:val="22"/>
        </w:rPr>
        <w:t xml:space="preserve">RECURRENTE </w:t>
      </w:r>
      <w:r w:rsidRPr="00952F3F">
        <w:rPr>
          <w:rFonts w:ascii="Palatino Linotype" w:eastAsia="MS Mincho" w:hAnsi="Palatino Linotype"/>
          <w:szCs w:val="22"/>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952F3F">
        <w:rPr>
          <w:rFonts w:ascii="Palatino Linotype" w:eastAsia="MS Mincho" w:hAnsi="Palatino Linotype"/>
          <w:bCs/>
          <w:szCs w:val="22"/>
          <w:lang w:val="es-ES"/>
        </w:rPr>
        <w:t xml:space="preserve">vía juicio de amparo </w:t>
      </w:r>
      <w:r w:rsidRPr="00952F3F">
        <w:rPr>
          <w:rFonts w:ascii="Palatino Linotype" w:eastAsia="MS Mincho" w:hAnsi="Palatino Linotype"/>
          <w:szCs w:val="22"/>
          <w:lang w:val="es-ES"/>
        </w:rPr>
        <w:t>en los términos de las leyes aplicables.</w:t>
      </w:r>
    </w:p>
    <w:p w14:paraId="2E921305" w14:textId="77777777" w:rsidR="003832B4" w:rsidRPr="00952F3F" w:rsidRDefault="003832B4" w:rsidP="003832B4">
      <w:pPr>
        <w:pStyle w:val="Prrafodelista"/>
        <w:spacing w:line="360" w:lineRule="auto"/>
        <w:ind w:left="0"/>
        <w:jc w:val="both"/>
        <w:rPr>
          <w:rFonts w:ascii="Palatino Linotype" w:hAnsi="Palatino Linotype"/>
          <w:szCs w:val="22"/>
        </w:rPr>
      </w:pPr>
    </w:p>
    <w:p w14:paraId="34F07352" w14:textId="77777777" w:rsidR="00B138ED" w:rsidRDefault="00DC1656" w:rsidP="00DC1656">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14:paraId="0784D5BA" w14:textId="77777777" w:rsidR="00B138ED" w:rsidRDefault="00B138ED">
      <w:pPr>
        <w:spacing w:after="160" w:line="259" w:lineRule="auto"/>
        <w:rPr>
          <w:rFonts w:ascii="Palatino Linotype" w:hAnsi="Palatino Linotype"/>
        </w:rPr>
      </w:pPr>
      <w:r>
        <w:rPr>
          <w:rFonts w:ascii="Palatino Linotype" w:hAnsi="Palatino Linotype"/>
        </w:rPr>
        <w:lastRenderedPageBreak/>
        <w:br w:type="page"/>
      </w:r>
    </w:p>
    <w:p w14:paraId="0E07F83F" w14:textId="77777777" w:rsidR="00DC1656" w:rsidRPr="003C7186" w:rsidRDefault="00DC1656" w:rsidP="00DC1656">
      <w:pPr>
        <w:spacing w:line="360" w:lineRule="auto"/>
        <w:ind w:left="-142" w:right="-234" w:firstLine="1"/>
        <w:jc w:val="both"/>
        <w:rPr>
          <w:rFonts w:ascii="Palatino Linotype" w:hAnsi="Palatino Linotype"/>
        </w:rPr>
      </w:pPr>
    </w:p>
    <w:p w14:paraId="62CB3ACA" w14:textId="77777777" w:rsidR="00A9062B" w:rsidRPr="00952F3F" w:rsidRDefault="00A9062B">
      <w:pPr>
        <w:rPr>
          <w:sz w:val="22"/>
          <w:szCs w:val="22"/>
        </w:rPr>
      </w:pPr>
    </w:p>
    <w:sectPr w:rsidR="00A9062B" w:rsidRPr="00952F3F" w:rsidSect="00837D0E">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99D3B" w14:textId="77777777" w:rsidR="00A76E5F" w:rsidRDefault="00A76E5F" w:rsidP="003832B4">
      <w:r>
        <w:separator/>
      </w:r>
    </w:p>
  </w:endnote>
  <w:endnote w:type="continuationSeparator" w:id="0">
    <w:p w14:paraId="60EF5007" w14:textId="77777777" w:rsidR="00A76E5F" w:rsidRDefault="00A76E5F" w:rsidP="0038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CC878" w14:textId="77777777" w:rsidR="00866EFB" w:rsidRDefault="00866EFB">
    <w:pPr>
      <w:pStyle w:val="Piedepgina"/>
      <w:jc w:val="right"/>
    </w:pPr>
    <w:r>
      <w:rPr>
        <w:lang w:val="es-ES"/>
      </w:rPr>
      <w:t xml:space="preserve">Página </w:t>
    </w:r>
    <w:r>
      <w:rPr>
        <w:b/>
        <w:bCs/>
      </w:rPr>
      <w:fldChar w:fldCharType="begin"/>
    </w:r>
    <w:r>
      <w:rPr>
        <w:b/>
        <w:bCs/>
      </w:rPr>
      <w:instrText>PAGE</w:instrText>
    </w:r>
    <w:r>
      <w:rPr>
        <w:b/>
        <w:bCs/>
      </w:rPr>
      <w:fldChar w:fldCharType="separate"/>
    </w:r>
    <w:r w:rsidR="00731EF5">
      <w:rPr>
        <w:b/>
        <w:bCs/>
        <w:noProof/>
      </w:rPr>
      <w:t>9</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31EF5">
      <w:rPr>
        <w:b/>
        <w:bCs/>
        <w:noProof/>
      </w:rPr>
      <w:t>13</w:t>
    </w:r>
    <w:r>
      <w:rPr>
        <w:b/>
        <w:bCs/>
      </w:rPr>
      <w:fldChar w:fldCharType="end"/>
    </w:r>
  </w:p>
  <w:p w14:paraId="539394F6" w14:textId="77777777" w:rsidR="00866EFB" w:rsidRDefault="00866E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8ADE9" w14:textId="77777777" w:rsidR="00866EFB" w:rsidRDefault="00866EFB">
    <w:pPr>
      <w:pStyle w:val="Piedepgina"/>
      <w:jc w:val="right"/>
    </w:pPr>
    <w:r>
      <w:rPr>
        <w:lang w:val="es-ES"/>
      </w:rPr>
      <w:t xml:space="preserve">Página </w:t>
    </w:r>
    <w:r>
      <w:rPr>
        <w:b/>
        <w:bCs/>
      </w:rPr>
      <w:fldChar w:fldCharType="begin"/>
    </w:r>
    <w:r>
      <w:rPr>
        <w:b/>
        <w:bCs/>
      </w:rPr>
      <w:instrText>PAGE</w:instrText>
    </w:r>
    <w:r>
      <w:rPr>
        <w:b/>
        <w:bCs/>
      </w:rPr>
      <w:fldChar w:fldCharType="separate"/>
    </w:r>
    <w:r w:rsidR="00731EF5">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31EF5">
      <w:rPr>
        <w:b/>
        <w:bCs/>
        <w:noProof/>
      </w:rPr>
      <w:t>13</w:t>
    </w:r>
    <w:r>
      <w:rPr>
        <w:b/>
        <w:bCs/>
      </w:rPr>
      <w:fldChar w:fldCharType="end"/>
    </w:r>
  </w:p>
  <w:p w14:paraId="0A24995E" w14:textId="77777777" w:rsidR="00866EFB" w:rsidRDefault="00866E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81F67" w14:textId="77777777" w:rsidR="00A76E5F" w:rsidRDefault="00A76E5F" w:rsidP="003832B4">
      <w:r>
        <w:separator/>
      </w:r>
    </w:p>
  </w:footnote>
  <w:footnote w:type="continuationSeparator" w:id="0">
    <w:p w14:paraId="21C23691" w14:textId="77777777" w:rsidR="00A76E5F" w:rsidRDefault="00A76E5F" w:rsidP="00383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5916D" w14:textId="77777777" w:rsidR="00866EFB" w:rsidRDefault="00A76E5F">
    <w:pPr>
      <w:pStyle w:val="Encabezado"/>
    </w:pPr>
    <w:r>
      <w:rPr>
        <w:noProof/>
      </w:rPr>
      <w:pict w14:anchorId="0BBBF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866EFB" w:rsidRPr="005C106F" w14:paraId="415041BB" w14:textId="77777777" w:rsidTr="00837D0E">
      <w:trPr>
        <w:trHeight w:val="1435"/>
      </w:trPr>
      <w:tc>
        <w:tcPr>
          <w:tcW w:w="2268" w:type="dxa"/>
          <w:shd w:val="clear" w:color="auto" w:fill="auto"/>
        </w:tcPr>
        <w:p w14:paraId="4BF019B0" w14:textId="77777777" w:rsidR="00866EFB" w:rsidRPr="005C106F" w:rsidRDefault="00866EFB" w:rsidP="00837D0E">
          <w:pPr>
            <w:tabs>
              <w:tab w:val="right" w:pos="4273"/>
            </w:tabs>
            <w:rPr>
              <w:rFonts w:ascii="Garamond" w:eastAsia="Calibri" w:hAnsi="Garamond"/>
              <w:sz w:val="16"/>
              <w:szCs w:val="16"/>
              <w:lang w:eastAsia="en-US"/>
            </w:rPr>
          </w:pPr>
        </w:p>
      </w:tc>
      <w:tc>
        <w:tcPr>
          <w:tcW w:w="6946" w:type="dxa"/>
          <w:shd w:val="clear" w:color="auto" w:fill="auto"/>
        </w:tcPr>
        <w:p w14:paraId="55164EDA" w14:textId="77777777" w:rsidR="00866EFB" w:rsidRDefault="00866EFB" w:rsidP="00837D0E"/>
        <w:tbl>
          <w:tblPr>
            <w:tblW w:w="6662" w:type="dxa"/>
            <w:tblInd w:w="40" w:type="dxa"/>
            <w:tblLayout w:type="fixed"/>
            <w:tblLook w:val="0420" w:firstRow="1" w:lastRow="0" w:firstColumn="0" w:lastColumn="0" w:noHBand="0" w:noVBand="1"/>
          </w:tblPr>
          <w:tblGrid>
            <w:gridCol w:w="2551"/>
            <w:gridCol w:w="4111"/>
          </w:tblGrid>
          <w:tr w:rsidR="00866EFB" w14:paraId="32798DB1" w14:textId="77777777" w:rsidTr="00837D0E">
            <w:trPr>
              <w:trHeight w:val="150"/>
            </w:trPr>
            <w:tc>
              <w:tcPr>
                <w:tcW w:w="2551" w:type="dxa"/>
                <w:shd w:val="clear" w:color="auto" w:fill="auto"/>
              </w:tcPr>
              <w:p w14:paraId="53DBD9D6" w14:textId="77777777" w:rsidR="00866EFB" w:rsidRPr="00020E73" w:rsidRDefault="00866EFB" w:rsidP="00837D0E">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3440BC03" w14:textId="77777777" w:rsidR="00866EFB" w:rsidRPr="00020E73" w:rsidRDefault="00866EFB" w:rsidP="00B138ED">
                <w:pPr>
                  <w:tabs>
                    <w:tab w:val="right" w:pos="8838"/>
                  </w:tabs>
                  <w:ind w:left="-113" w:right="-102"/>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06748/INFOEM/IP/RR/2024</w:t>
                </w:r>
              </w:p>
            </w:tc>
          </w:tr>
          <w:tr w:rsidR="00866EFB" w14:paraId="177A29E9" w14:textId="77777777" w:rsidTr="00837D0E">
            <w:trPr>
              <w:trHeight w:val="295"/>
            </w:trPr>
            <w:tc>
              <w:tcPr>
                <w:tcW w:w="2551" w:type="dxa"/>
                <w:shd w:val="clear" w:color="auto" w:fill="auto"/>
              </w:tcPr>
              <w:p w14:paraId="7C3D8787" w14:textId="77777777" w:rsidR="00866EFB" w:rsidRPr="00020E73" w:rsidRDefault="00866EFB" w:rsidP="00837D0E">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5F854A24" w14:textId="77777777" w:rsidR="00866EFB" w:rsidRPr="003832B4" w:rsidRDefault="00866EFB" w:rsidP="00837D0E">
                <w:pPr>
                  <w:tabs>
                    <w:tab w:val="left" w:pos="2834"/>
                    <w:tab w:val="right" w:pos="8838"/>
                  </w:tabs>
                  <w:ind w:left="-108" w:right="-102"/>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Tecnológico de Estudios Superiores de </w:t>
                </w:r>
                <w:r w:rsidR="00B138ED">
                  <w:rPr>
                    <w:rFonts w:ascii="Palatino Linotype" w:eastAsia="Calibri" w:hAnsi="Palatino Linotype" w:cs="Tahoma"/>
                    <w:bCs/>
                    <w:sz w:val="22"/>
                    <w:szCs w:val="22"/>
                    <w:lang w:eastAsia="en-US"/>
                  </w:rPr>
                  <w:t xml:space="preserve">       </w:t>
                </w:r>
                <w:r>
                  <w:rPr>
                    <w:rFonts w:ascii="Palatino Linotype" w:eastAsia="Calibri" w:hAnsi="Palatino Linotype" w:cs="Tahoma"/>
                    <w:bCs/>
                    <w:sz w:val="22"/>
                    <w:szCs w:val="22"/>
                    <w:lang w:eastAsia="en-US"/>
                  </w:rPr>
                  <w:t>Jilotepec</w:t>
                </w:r>
              </w:p>
            </w:tc>
          </w:tr>
          <w:tr w:rsidR="00866EFB" w14:paraId="248CAFD6" w14:textId="77777777" w:rsidTr="00837D0E">
            <w:trPr>
              <w:trHeight w:val="295"/>
            </w:trPr>
            <w:tc>
              <w:tcPr>
                <w:tcW w:w="2551" w:type="dxa"/>
                <w:shd w:val="clear" w:color="auto" w:fill="auto"/>
              </w:tcPr>
              <w:p w14:paraId="44A69986" w14:textId="77777777" w:rsidR="00866EFB" w:rsidRPr="00020E73" w:rsidRDefault="00866EFB" w:rsidP="00837D0E">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465C8744" w14:textId="77777777" w:rsidR="00866EFB" w:rsidRPr="00020E73" w:rsidRDefault="00866EFB" w:rsidP="00837D0E">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66BE1085" w14:textId="77777777" w:rsidR="00866EFB" w:rsidRPr="00020E73" w:rsidRDefault="00866EFB" w:rsidP="00837D0E">
                <w:pPr>
                  <w:tabs>
                    <w:tab w:val="right" w:pos="8838"/>
                  </w:tabs>
                  <w:ind w:left="-108" w:right="171"/>
                  <w:jc w:val="both"/>
                  <w:rPr>
                    <w:rFonts w:ascii="Palatino Linotype" w:eastAsia="Calibri" w:hAnsi="Palatino Linotype" w:cs="Tahoma"/>
                    <w:b/>
                    <w:sz w:val="22"/>
                    <w:szCs w:val="22"/>
                    <w:lang w:val="es-ES" w:eastAsia="en-US"/>
                  </w:rPr>
                </w:pPr>
              </w:p>
            </w:tc>
          </w:tr>
        </w:tbl>
        <w:p w14:paraId="44425F56" w14:textId="77777777" w:rsidR="00866EFB" w:rsidRPr="005C106F" w:rsidRDefault="00866EFB" w:rsidP="00837D0E">
          <w:pPr>
            <w:tabs>
              <w:tab w:val="right" w:pos="8838"/>
            </w:tabs>
            <w:ind w:left="-28"/>
            <w:jc w:val="both"/>
            <w:rPr>
              <w:rFonts w:ascii="Arial" w:eastAsia="Calibri" w:hAnsi="Arial" w:cs="Arial"/>
              <w:b/>
              <w:sz w:val="22"/>
              <w:szCs w:val="22"/>
              <w:lang w:eastAsia="en-US"/>
            </w:rPr>
          </w:pPr>
        </w:p>
      </w:tc>
    </w:tr>
  </w:tbl>
  <w:p w14:paraId="3EF67475" w14:textId="77777777" w:rsidR="00866EFB" w:rsidRPr="00443C6B" w:rsidRDefault="00A76E5F" w:rsidP="00837D0E">
    <w:pPr>
      <w:pStyle w:val="Encabezado"/>
      <w:rPr>
        <w:sz w:val="14"/>
      </w:rPr>
    </w:pPr>
    <w:r>
      <w:rPr>
        <w:noProof/>
        <w:sz w:val="14"/>
      </w:rPr>
      <w:pict w14:anchorId="44877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866EFB" w:rsidRPr="00330DA7" w14:paraId="07251AE3" w14:textId="77777777" w:rsidTr="00837D0E">
      <w:trPr>
        <w:trHeight w:val="1435"/>
      </w:trPr>
      <w:tc>
        <w:tcPr>
          <w:tcW w:w="2268" w:type="dxa"/>
          <w:shd w:val="clear" w:color="auto" w:fill="auto"/>
        </w:tcPr>
        <w:p w14:paraId="5B6BDDB1" w14:textId="77777777" w:rsidR="00866EFB" w:rsidRPr="00330DA7" w:rsidRDefault="00866EFB" w:rsidP="00837D0E">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866EFB" w:rsidRPr="00330DA7" w14:paraId="4AE4A963" w14:textId="77777777" w:rsidTr="00837D0E">
            <w:trPr>
              <w:trHeight w:val="144"/>
            </w:trPr>
            <w:tc>
              <w:tcPr>
                <w:tcW w:w="2444" w:type="dxa"/>
                <w:shd w:val="clear" w:color="auto" w:fill="auto"/>
              </w:tcPr>
              <w:p w14:paraId="5424C670" w14:textId="77777777" w:rsidR="00866EFB" w:rsidRPr="00020E73" w:rsidRDefault="00866EFB" w:rsidP="00837D0E">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21DD8930" w14:textId="77777777" w:rsidR="00866EFB" w:rsidRPr="00020E73" w:rsidRDefault="00866EFB" w:rsidP="00837D0E">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06748/INFOEM/IP/RR/2024</w:t>
                </w:r>
              </w:p>
            </w:tc>
          </w:tr>
          <w:tr w:rsidR="00866EFB" w:rsidRPr="00330DA7" w14:paraId="5E2B2BC0" w14:textId="77777777" w:rsidTr="00837D0E">
            <w:trPr>
              <w:trHeight w:val="144"/>
            </w:trPr>
            <w:tc>
              <w:tcPr>
                <w:tcW w:w="2444" w:type="dxa"/>
                <w:shd w:val="clear" w:color="auto" w:fill="auto"/>
              </w:tcPr>
              <w:p w14:paraId="41432896" w14:textId="77777777" w:rsidR="00866EFB" w:rsidRPr="00020E73" w:rsidRDefault="00866EFB" w:rsidP="00837D0E">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4878D25E" w14:textId="7735976C" w:rsidR="00866EFB" w:rsidRPr="003832B4" w:rsidRDefault="00E0466E" w:rsidP="00837D0E">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XXX </w:t>
                </w:r>
                <w:proofErr w:type="spellStart"/>
                <w:r>
                  <w:rPr>
                    <w:rFonts w:ascii="Palatino Linotype" w:eastAsia="Calibri" w:hAnsi="Palatino Linotype" w:cs="Tahoma"/>
                    <w:bCs/>
                    <w:sz w:val="22"/>
                    <w:szCs w:val="22"/>
                    <w:lang w:eastAsia="en-US"/>
                  </w:rPr>
                  <w:t>XXX</w:t>
                </w:r>
                <w:proofErr w:type="spellEnd"/>
              </w:p>
            </w:tc>
          </w:tr>
          <w:tr w:rsidR="00866EFB" w:rsidRPr="00330DA7" w14:paraId="27367F05" w14:textId="77777777" w:rsidTr="00837D0E">
            <w:trPr>
              <w:trHeight w:val="283"/>
            </w:trPr>
            <w:tc>
              <w:tcPr>
                <w:tcW w:w="2444" w:type="dxa"/>
                <w:shd w:val="clear" w:color="auto" w:fill="auto"/>
              </w:tcPr>
              <w:p w14:paraId="393A4928" w14:textId="77777777" w:rsidR="00866EFB" w:rsidRPr="00020E73" w:rsidRDefault="00866EFB" w:rsidP="00837D0E">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0C15464C" w14:textId="77777777" w:rsidR="00866EFB" w:rsidRPr="003832B4" w:rsidRDefault="00866EFB" w:rsidP="00837D0E">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Tecnológico de Estudios Superiores </w:t>
                </w:r>
                <w:r w:rsidR="00B138ED">
                  <w:rPr>
                    <w:rFonts w:ascii="Palatino Linotype" w:eastAsia="Calibri" w:hAnsi="Palatino Linotype" w:cs="Tahoma"/>
                    <w:bCs/>
                    <w:sz w:val="22"/>
                    <w:szCs w:val="22"/>
                    <w:lang w:eastAsia="en-US"/>
                  </w:rPr>
                  <w:br/>
                </w:r>
                <w:r>
                  <w:rPr>
                    <w:rFonts w:ascii="Palatino Linotype" w:eastAsia="Calibri" w:hAnsi="Palatino Linotype" w:cs="Tahoma"/>
                    <w:bCs/>
                    <w:sz w:val="22"/>
                    <w:szCs w:val="22"/>
                    <w:lang w:eastAsia="en-US"/>
                  </w:rPr>
                  <w:t>de Jilotepec</w:t>
                </w:r>
              </w:p>
            </w:tc>
          </w:tr>
          <w:tr w:rsidR="00866EFB" w:rsidRPr="00330DA7" w14:paraId="383EAAC5" w14:textId="77777777" w:rsidTr="00837D0E">
            <w:trPr>
              <w:trHeight w:val="283"/>
            </w:trPr>
            <w:tc>
              <w:tcPr>
                <w:tcW w:w="2444" w:type="dxa"/>
                <w:shd w:val="clear" w:color="auto" w:fill="auto"/>
              </w:tcPr>
              <w:p w14:paraId="70B39923" w14:textId="77777777" w:rsidR="00866EFB" w:rsidRPr="00020E73" w:rsidRDefault="00866EFB" w:rsidP="00837D0E">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3506C801" w14:textId="77777777" w:rsidR="00866EFB" w:rsidRPr="00020E73" w:rsidRDefault="00866EFB" w:rsidP="00837D0E">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6033A49B" w14:textId="77777777" w:rsidR="00866EFB" w:rsidRPr="00020E73" w:rsidRDefault="00866EFB" w:rsidP="00837D0E">
                <w:pPr>
                  <w:tabs>
                    <w:tab w:val="right" w:pos="8838"/>
                  </w:tabs>
                  <w:ind w:left="-74" w:right="-105"/>
                  <w:jc w:val="both"/>
                  <w:rPr>
                    <w:rFonts w:ascii="Palatino Linotype" w:eastAsia="Calibri" w:hAnsi="Palatino Linotype" w:cs="Tahoma"/>
                    <w:b/>
                    <w:sz w:val="22"/>
                    <w:szCs w:val="22"/>
                    <w:lang w:val="es-ES" w:eastAsia="en-US"/>
                  </w:rPr>
                </w:pPr>
              </w:p>
            </w:tc>
          </w:tr>
        </w:tbl>
        <w:p w14:paraId="572A26F3" w14:textId="77777777" w:rsidR="00866EFB" w:rsidRPr="00330DA7" w:rsidRDefault="00866EFB" w:rsidP="00837D0E">
          <w:pPr>
            <w:tabs>
              <w:tab w:val="right" w:pos="8838"/>
            </w:tabs>
            <w:ind w:left="-28"/>
            <w:jc w:val="both"/>
            <w:rPr>
              <w:rFonts w:ascii="Arial" w:eastAsia="Calibri" w:hAnsi="Arial" w:cs="Arial"/>
              <w:b/>
              <w:sz w:val="22"/>
              <w:szCs w:val="22"/>
              <w:lang w:eastAsia="en-US"/>
            </w:rPr>
          </w:pPr>
        </w:p>
      </w:tc>
    </w:tr>
  </w:tbl>
  <w:p w14:paraId="35852B71" w14:textId="77777777" w:rsidR="00866EFB" w:rsidRPr="00827FA0" w:rsidRDefault="00A76E5F" w:rsidP="00837D0E">
    <w:pPr>
      <w:pStyle w:val="Encabezado"/>
      <w:rPr>
        <w:sz w:val="2"/>
        <w:szCs w:val="22"/>
      </w:rPr>
    </w:pPr>
    <w:r>
      <w:rPr>
        <w:noProof/>
        <w:sz w:val="2"/>
        <w:szCs w:val="22"/>
      </w:rPr>
      <w:pict w14:anchorId="1D387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6FD7"/>
    <w:multiLevelType w:val="hybridMultilevel"/>
    <w:tmpl w:val="9F864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21043B"/>
    <w:multiLevelType w:val="multilevel"/>
    <w:tmpl w:val="D620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17490"/>
    <w:multiLevelType w:val="hybridMultilevel"/>
    <w:tmpl w:val="91A6FBFE"/>
    <w:lvl w:ilvl="0" w:tplc="E36EB920">
      <w:start w:val="1"/>
      <w:numFmt w:val="decimal"/>
      <w:lvlText w:val="%1."/>
      <w:lvlJc w:val="left"/>
      <w:pPr>
        <w:ind w:left="2204" w:hanging="360"/>
      </w:pPr>
      <w:rPr>
        <w:rFonts w:ascii="Palatino Linotype" w:hAnsi="Palatino Linotype" w:hint="default"/>
        <w:b/>
        <w:i w:val="0"/>
        <w:color w:val="auto"/>
        <w:sz w:val="24"/>
      </w:rPr>
    </w:lvl>
    <w:lvl w:ilvl="1" w:tplc="080A000B">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402D0B"/>
    <w:multiLevelType w:val="multilevel"/>
    <w:tmpl w:val="C99A92C2"/>
    <w:lvl w:ilvl="0">
      <w:start w:val="13"/>
      <w:numFmt w:val="decimal"/>
      <w:lvlText w:val="%1."/>
      <w:lvlJc w:val="left"/>
      <w:pPr>
        <w:ind w:left="36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F86B4B"/>
    <w:multiLevelType w:val="hybridMultilevel"/>
    <w:tmpl w:val="D54EA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AB688D"/>
    <w:multiLevelType w:val="hybridMultilevel"/>
    <w:tmpl w:val="5DFAD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367BE7"/>
    <w:multiLevelType w:val="multilevel"/>
    <w:tmpl w:val="63EC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1"/>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B4"/>
    <w:rsid w:val="00030D99"/>
    <w:rsid w:val="000C4422"/>
    <w:rsid w:val="001826E8"/>
    <w:rsid w:val="001C1636"/>
    <w:rsid w:val="00316EB8"/>
    <w:rsid w:val="003832B4"/>
    <w:rsid w:val="00393CA4"/>
    <w:rsid w:val="00662614"/>
    <w:rsid w:val="00731EF5"/>
    <w:rsid w:val="007A7550"/>
    <w:rsid w:val="00837D0E"/>
    <w:rsid w:val="00866EFB"/>
    <w:rsid w:val="008934CD"/>
    <w:rsid w:val="00911D27"/>
    <w:rsid w:val="00952F3F"/>
    <w:rsid w:val="00A56C29"/>
    <w:rsid w:val="00A76E5F"/>
    <w:rsid w:val="00A9062B"/>
    <w:rsid w:val="00AF40EE"/>
    <w:rsid w:val="00B138ED"/>
    <w:rsid w:val="00B633DE"/>
    <w:rsid w:val="00C004BE"/>
    <w:rsid w:val="00CF7C7D"/>
    <w:rsid w:val="00DC1656"/>
    <w:rsid w:val="00DD5447"/>
    <w:rsid w:val="00E0466E"/>
    <w:rsid w:val="00EB5CBC"/>
    <w:rsid w:val="00F91E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2C35CE"/>
  <w15:chartTrackingRefBased/>
  <w15:docId w15:val="{8CA94508-002A-43CE-9162-61A3965D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2B4"/>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3832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832B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32B4"/>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3832B4"/>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3832B4"/>
    <w:pPr>
      <w:tabs>
        <w:tab w:val="center" w:pos="4419"/>
        <w:tab w:val="right" w:pos="8838"/>
      </w:tabs>
    </w:pPr>
  </w:style>
  <w:style w:type="character" w:customStyle="1" w:styleId="EncabezadoCar">
    <w:name w:val="Encabezado Car"/>
    <w:basedOn w:val="Fuentedeprrafopredeter"/>
    <w:link w:val="Encabezado"/>
    <w:uiPriority w:val="99"/>
    <w:rsid w:val="003832B4"/>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3832B4"/>
    <w:pPr>
      <w:tabs>
        <w:tab w:val="center" w:pos="4419"/>
        <w:tab w:val="right" w:pos="8838"/>
      </w:tabs>
    </w:pPr>
  </w:style>
  <w:style w:type="character" w:customStyle="1" w:styleId="PiedepginaCar">
    <w:name w:val="Pie de página Car"/>
    <w:basedOn w:val="Fuentedeprrafopredeter"/>
    <w:link w:val="Piedepgina"/>
    <w:uiPriority w:val="99"/>
    <w:rsid w:val="003832B4"/>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832B4"/>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3832B4"/>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3832B4"/>
    <w:rPr>
      <w:color w:val="0563C1"/>
      <w:u w:val="single"/>
    </w:rPr>
  </w:style>
  <w:style w:type="paragraph" w:styleId="Sinespaciado">
    <w:name w:val="No Spacing"/>
    <w:aliases w:val="Francesa"/>
    <w:link w:val="SinespaciadoCar"/>
    <w:uiPriority w:val="1"/>
    <w:qFormat/>
    <w:rsid w:val="003832B4"/>
    <w:pPr>
      <w:spacing w:after="0" w:line="240" w:lineRule="auto"/>
    </w:pPr>
    <w:rPr>
      <w:rFonts w:eastAsiaTheme="minorEastAsia"/>
      <w:sz w:val="24"/>
      <w:szCs w:val="24"/>
      <w:lang w:val="es-ES_tradnl" w:eastAsia="es-ES"/>
    </w:rPr>
  </w:style>
  <w:style w:type="character" w:customStyle="1" w:styleId="SinespaciadoCar">
    <w:name w:val="Sin espaciado Car"/>
    <w:aliases w:val="Francesa Car"/>
    <w:link w:val="Sinespaciado"/>
    <w:uiPriority w:val="1"/>
    <w:locked/>
    <w:rsid w:val="003832B4"/>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60937">
      <w:bodyDiv w:val="1"/>
      <w:marLeft w:val="0"/>
      <w:marRight w:val="0"/>
      <w:marTop w:val="0"/>
      <w:marBottom w:val="0"/>
      <w:divBdr>
        <w:top w:val="none" w:sz="0" w:space="0" w:color="auto"/>
        <w:left w:val="none" w:sz="0" w:space="0" w:color="auto"/>
        <w:bottom w:val="none" w:sz="0" w:space="0" w:color="auto"/>
        <w:right w:val="none" w:sz="0" w:space="0" w:color="auto"/>
      </w:divBdr>
    </w:div>
    <w:div w:id="408583311">
      <w:bodyDiv w:val="1"/>
      <w:marLeft w:val="0"/>
      <w:marRight w:val="0"/>
      <w:marTop w:val="0"/>
      <w:marBottom w:val="0"/>
      <w:divBdr>
        <w:top w:val="none" w:sz="0" w:space="0" w:color="auto"/>
        <w:left w:val="none" w:sz="0" w:space="0" w:color="auto"/>
        <w:bottom w:val="none" w:sz="0" w:space="0" w:color="auto"/>
        <w:right w:val="none" w:sz="0" w:space="0" w:color="auto"/>
      </w:divBdr>
    </w:div>
    <w:div w:id="122468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49565.pag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aimex.org.mx/saimex/solicitud/downloadAttach/2149558.pag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13</Pages>
  <Words>2787</Words>
  <Characters>15330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INFOEM403</cp:lastModifiedBy>
  <cp:revision>19</cp:revision>
  <cp:lastPrinted>2024-11-25T20:11:00Z</cp:lastPrinted>
  <dcterms:created xsi:type="dcterms:W3CDTF">2024-10-15T23:21:00Z</dcterms:created>
  <dcterms:modified xsi:type="dcterms:W3CDTF">2025-01-28T21:32:00Z</dcterms:modified>
</cp:coreProperties>
</file>