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562C0"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once de septiembre de dos mil veinticuatro. </w:t>
      </w:r>
    </w:p>
    <w:p w14:paraId="645A3F35"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7537BDD3" w14:textId="77777777" w:rsidR="002663A5" w:rsidRPr="005F5FD8" w:rsidRDefault="007B6DC2">
      <w:pPr>
        <w:spacing w:line="360" w:lineRule="auto"/>
        <w:jc w:val="both"/>
        <w:rPr>
          <w:rFonts w:ascii="Palatino Linotype" w:eastAsia="Palatino Linotype" w:hAnsi="Palatino Linotype" w:cs="Palatino Linotype"/>
          <w:b/>
          <w:sz w:val="22"/>
          <w:szCs w:val="22"/>
        </w:rPr>
      </w:pPr>
      <w:r w:rsidRPr="005F5FD8">
        <w:rPr>
          <w:rFonts w:ascii="Palatino Linotype" w:eastAsia="Palatino Linotype" w:hAnsi="Palatino Linotype" w:cs="Palatino Linotype"/>
          <w:b/>
          <w:sz w:val="22"/>
          <w:szCs w:val="22"/>
        </w:rPr>
        <w:t>Visto</w:t>
      </w:r>
      <w:r w:rsidRPr="005F5FD8">
        <w:rPr>
          <w:rFonts w:ascii="Palatino Linotype" w:eastAsia="Palatino Linotype" w:hAnsi="Palatino Linotype" w:cs="Palatino Linotype"/>
          <w:sz w:val="22"/>
          <w:szCs w:val="22"/>
        </w:rPr>
        <w:t xml:space="preserve"> el expediente relativo al recurso de revisión </w:t>
      </w:r>
      <w:r w:rsidRPr="005F5FD8">
        <w:rPr>
          <w:rFonts w:ascii="Palatino Linotype" w:eastAsia="Palatino Linotype" w:hAnsi="Palatino Linotype" w:cs="Palatino Linotype"/>
          <w:b/>
          <w:sz w:val="22"/>
          <w:szCs w:val="22"/>
        </w:rPr>
        <w:t>04079/INFOEM/IP/RR/2024</w:t>
      </w:r>
      <w:r w:rsidRPr="005F5FD8">
        <w:rPr>
          <w:rFonts w:ascii="Palatino Linotype" w:eastAsia="Palatino Linotype" w:hAnsi="Palatino Linotype" w:cs="Palatino Linotype"/>
          <w:sz w:val="22"/>
          <w:szCs w:val="22"/>
        </w:rPr>
        <w:t>, interpuesto por</w:t>
      </w:r>
      <w:r w:rsidRPr="005F5FD8">
        <w:rPr>
          <w:rFonts w:ascii="Palatino Linotype" w:eastAsia="Palatino Linotype" w:hAnsi="Palatino Linotype" w:cs="Palatino Linotype"/>
          <w:b/>
          <w:sz w:val="22"/>
          <w:szCs w:val="22"/>
        </w:rPr>
        <w:t xml:space="preserve"> un particular que no proporcionó nombre o seudónimo, </w:t>
      </w:r>
      <w:r w:rsidRPr="005F5FD8">
        <w:rPr>
          <w:rFonts w:ascii="Palatino Linotype" w:eastAsia="Palatino Linotype" w:hAnsi="Palatino Linotype" w:cs="Palatino Linotype"/>
          <w:sz w:val="22"/>
          <w:szCs w:val="22"/>
        </w:rPr>
        <w:t>en lo sucesivo se le denominará la parte</w:t>
      </w:r>
      <w:r w:rsidRPr="005F5FD8">
        <w:rPr>
          <w:rFonts w:ascii="Palatino Linotype" w:eastAsia="Palatino Linotype" w:hAnsi="Palatino Linotype" w:cs="Palatino Linotype"/>
          <w:b/>
          <w:sz w:val="22"/>
          <w:szCs w:val="22"/>
        </w:rPr>
        <w:t xml:space="preserve"> Recurrente</w:t>
      </w:r>
      <w:r w:rsidRPr="005F5FD8">
        <w:rPr>
          <w:rFonts w:ascii="Palatino Linotype" w:eastAsia="Palatino Linotype" w:hAnsi="Palatino Linotype" w:cs="Palatino Linotype"/>
          <w:sz w:val="22"/>
          <w:szCs w:val="22"/>
        </w:rPr>
        <w:t>, en contra de la respuesta a su solicitud de información con número de folio</w:t>
      </w:r>
      <w:r w:rsidRPr="005F5FD8">
        <w:rPr>
          <w:rFonts w:ascii="Palatino Linotype" w:eastAsia="Palatino Linotype" w:hAnsi="Palatino Linotype" w:cs="Palatino Linotype"/>
          <w:b/>
          <w:sz w:val="22"/>
          <w:szCs w:val="22"/>
        </w:rPr>
        <w:t xml:space="preserve"> 00890/ECATEPEC/IP/2024</w:t>
      </w:r>
      <w:r w:rsidRPr="005F5FD8">
        <w:rPr>
          <w:rFonts w:ascii="Palatino Linotype" w:eastAsia="Palatino Linotype" w:hAnsi="Palatino Linotype" w:cs="Palatino Linotype"/>
          <w:sz w:val="22"/>
          <w:szCs w:val="22"/>
        </w:rPr>
        <w:t xml:space="preserve">, por parte de </w:t>
      </w:r>
      <w:r w:rsidRPr="005F5FD8">
        <w:rPr>
          <w:rFonts w:ascii="Palatino Linotype" w:eastAsia="Palatino Linotype" w:hAnsi="Palatino Linotype" w:cs="Palatino Linotype"/>
          <w:b/>
          <w:sz w:val="22"/>
          <w:szCs w:val="22"/>
        </w:rPr>
        <w:t xml:space="preserve">Ayuntamiento de Ecatepec de Morelos </w:t>
      </w:r>
      <w:r w:rsidRPr="005F5FD8">
        <w:rPr>
          <w:rFonts w:ascii="Palatino Linotype" w:eastAsia="Palatino Linotype" w:hAnsi="Palatino Linotype" w:cs="Palatino Linotype"/>
          <w:sz w:val="22"/>
          <w:szCs w:val="22"/>
        </w:rPr>
        <w:t xml:space="preserve">en lo sucesivo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w:t>
      </w:r>
      <w:r w:rsidRPr="005F5FD8">
        <w:rPr>
          <w:rFonts w:ascii="Palatino Linotype" w:eastAsia="Palatino Linotype" w:hAnsi="Palatino Linotype" w:cs="Palatino Linotype"/>
          <w:b/>
          <w:sz w:val="22"/>
          <w:szCs w:val="22"/>
        </w:rPr>
        <w:t xml:space="preserve"> </w:t>
      </w:r>
      <w:r w:rsidRPr="005F5FD8">
        <w:rPr>
          <w:rFonts w:ascii="Palatino Linotype" w:eastAsia="Palatino Linotype" w:hAnsi="Palatino Linotype" w:cs="Palatino Linotype"/>
          <w:sz w:val="22"/>
          <w:szCs w:val="22"/>
        </w:rPr>
        <w:t>se procede a dictar la presente resolución, con base en los siguientes:</w:t>
      </w:r>
    </w:p>
    <w:p w14:paraId="767A453B" w14:textId="77777777" w:rsidR="002663A5" w:rsidRPr="005F5FD8" w:rsidRDefault="007B6DC2">
      <w:pPr>
        <w:numPr>
          <w:ilvl w:val="0"/>
          <w:numId w:val="1"/>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sz w:val="22"/>
          <w:szCs w:val="22"/>
        </w:rPr>
      </w:pPr>
      <w:r w:rsidRPr="005F5FD8">
        <w:rPr>
          <w:rFonts w:ascii="Palatino Linotype" w:eastAsia="Palatino Linotype" w:hAnsi="Palatino Linotype" w:cs="Palatino Linotype"/>
          <w:b/>
          <w:sz w:val="22"/>
          <w:szCs w:val="22"/>
        </w:rPr>
        <w:t>A N T E C E D E N T E S:</w:t>
      </w:r>
    </w:p>
    <w:p w14:paraId="4BBED2C2" w14:textId="77777777" w:rsidR="002663A5" w:rsidRPr="005F5FD8" w:rsidRDefault="002663A5">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72A82CB9" w14:textId="77777777" w:rsidR="002663A5" w:rsidRPr="005F5FD8" w:rsidRDefault="007B6DC2">
      <w:pPr>
        <w:numPr>
          <w:ilvl w:val="1"/>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b/>
          <w:sz w:val="22"/>
          <w:szCs w:val="22"/>
        </w:rPr>
      </w:pPr>
      <w:r w:rsidRPr="005F5FD8">
        <w:rPr>
          <w:rFonts w:ascii="Palatino Linotype" w:eastAsia="Palatino Linotype" w:hAnsi="Palatino Linotype" w:cs="Palatino Linotype"/>
          <w:b/>
          <w:sz w:val="22"/>
          <w:szCs w:val="22"/>
        </w:rPr>
        <w:t xml:space="preserve">Solicitud de acceso a la información. </w:t>
      </w:r>
      <w:r w:rsidRPr="005F5FD8">
        <w:rPr>
          <w:rFonts w:ascii="Palatino Linotype" w:eastAsia="Palatino Linotype" w:hAnsi="Palatino Linotype" w:cs="Palatino Linotype"/>
          <w:sz w:val="22"/>
          <w:szCs w:val="22"/>
        </w:rPr>
        <w:t xml:space="preserve">Con fecha </w:t>
      </w:r>
      <w:r w:rsidRPr="005F5FD8">
        <w:rPr>
          <w:rFonts w:ascii="Palatino Linotype" w:eastAsia="Palatino Linotype" w:hAnsi="Palatino Linotype" w:cs="Palatino Linotype"/>
          <w:b/>
          <w:sz w:val="22"/>
          <w:szCs w:val="22"/>
        </w:rPr>
        <w:t>veinticinco de junio de dos mil veinticuatro</w:t>
      </w:r>
      <w:r w:rsidRPr="005F5FD8">
        <w:rPr>
          <w:rFonts w:ascii="Palatino Linotype" w:eastAsia="Palatino Linotype" w:hAnsi="Palatino Linotype" w:cs="Palatino Linotype"/>
          <w:sz w:val="22"/>
          <w:szCs w:val="22"/>
        </w:rPr>
        <w:t xml:space="preserve">, la parte </w:t>
      </w:r>
      <w:r w:rsidRPr="005F5FD8">
        <w:rPr>
          <w:rFonts w:ascii="Palatino Linotype" w:eastAsia="Palatino Linotype" w:hAnsi="Palatino Linotype" w:cs="Palatino Linotype"/>
          <w:b/>
          <w:sz w:val="22"/>
          <w:szCs w:val="22"/>
        </w:rPr>
        <w:t>Recurrente</w:t>
      </w:r>
      <w:r w:rsidRPr="005F5FD8">
        <w:rPr>
          <w:rFonts w:ascii="Palatino Linotype" w:eastAsia="Palatino Linotype" w:hAnsi="Palatino Linotype" w:cs="Palatino Linotype"/>
          <w:sz w:val="22"/>
          <w:szCs w:val="22"/>
        </w:rPr>
        <w:t xml:space="preserve"> formuló solicitud de acceso a información pública al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a través del Sistema de Acceso a la Información Mexiquense, en adelante </w:t>
      </w:r>
      <w:r w:rsidRPr="005F5FD8">
        <w:rPr>
          <w:rFonts w:ascii="Palatino Linotype" w:eastAsia="Palatino Linotype" w:hAnsi="Palatino Linotype" w:cs="Palatino Linotype"/>
          <w:b/>
          <w:sz w:val="22"/>
          <w:szCs w:val="22"/>
        </w:rPr>
        <w:t>SAIMEX</w:t>
      </w:r>
      <w:r w:rsidRPr="005F5FD8">
        <w:rPr>
          <w:rFonts w:ascii="Palatino Linotype" w:eastAsia="Palatino Linotype" w:hAnsi="Palatino Linotype" w:cs="Palatino Linotype"/>
          <w:sz w:val="22"/>
          <w:szCs w:val="22"/>
        </w:rPr>
        <w:t>, requiriéndole lo siguiente:</w:t>
      </w:r>
    </w:p>
    <w:p w14:paraId="38C8A3A7" w14:textId="77777777" w:rsidR="002663A5" w:rsidRPr="005F5FD8" w:rsidRDefault="002663A5">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043B0D78"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“En relación con el Comité Municipal de Riesgos Sanitarios, previsto en el Bando Municipal del Ayuntamiento de Ecatepec de Morelos 2018, solicito la siguiente información del periodo del 1 enero al 31 de diciembre de 2018: 1.- Productos elaborados por el Comité Municipal de Riesgos Sanitarios (por ejemplo, propuestas, programas, recomendaciones, opiniones, posicionamientos, observaciones, denuncias) 2.- Informes de actividades y/o resultados elaborados por el Comité Municipal de Riesgos Sanitarios”</w:t>
      </w:r>
    </w:p>
    <w:p w14:paraId="6880793A" w14:textId="77777777" w:rsidR="002663A5" w:rsidRPr="005F5FD8" w:rsidRDefault="002663A5">
      <w:pPr>
        <w:spacing w:line="360" w:lineRule="auto"/>
        <w:ind w:left="709" w:right="900"/>
        <w:jc w:val="both"/>
        <w:rPr>
          <w:rFonts w:ascii="Palatino Linotype" w:eastAsia="Palatino Linotype" w:hAnsi="Palatino Linotype" w:cs="Palatino Linotype"/>
          <w:b/>
          <w:i/>
          <w:sz w:val="22"/>
          <w:szCs w:val="22"/>
        </w:rPr>
      </w:pPr>
    </w:p>
    <w:p w14:paraId="23B78E99"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Modalidad elegida para la entrega de la información: </w:t>
      </w:r>
      <w:r w:rsidRPr="005F5FD8">
        <w:rPr>
          <w:rFonts w:ascii="Palatino Linotype" w:eastAsia="Palatino Linotype" w:hAnsi="Palatino Linotype" w:cs="Palatino Linotype"/>
          <w:sz w:val="22"/>
          <w:szCs w:val="22"/>
        </w:rPr>
        <w:t xml:space="preserve">a través del Sistema de Acceso a la Información Mexiquense. </w:t>
      </w:r>
    </w:p>
    <w:p w14:paraId="53E645F8" w14:textId="77777777" w:rsidR="002663A5" w:rsidRPr="005F5FD8" w:rsidRDefault="002663A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4171263" w14:textId="77777777" w:rsidR="002663A5" w:rsidRPr="005F5FD8" w:rsidRDefault="007B6DC2">
      <w:pPr>
        <w:numPr>
          <w:ilvl w:val="0"/>
          <w:numId w:val="8"/>
        </w:numPr>
        <w:pBdr>
          <w:top w:val="nil"/>
          <w:left w:val="nil"/>
          <w:bottom w:val="nil"/>
          <w:right w:val="nil"/>
          <w:between w:val="nil"/>
        </w:pBdr>
        <w:spacing w:line="360" w:lineRule="auto"/>
        <w:ind w:left="0" w:firstLine="0"/>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Respuesta. </w:t>
      </w:r>
      <w:r w:rsidRPr="005F5FD8">
        <w:rPr>
          <w:rFonts w:ascii="Palatino Linotype" w:eastAsia="Palatino Linotype" w:hAnsi="Palatino Linotype" w:cs="Palatino Linotype"/>
          <w:sz w:val="22"/>
          <w:szCs w:val="22"/>
        </w:rPr>
        <w:t xml:space="preserve">Con fecha </w:t>
      </w:r>
      <w:r w:rsidRPr="005F5FD8">
        <w:rPr>
          <w:rFonts w:ascii="Palatino Linotype" w:eastAsia="Palatino Linotype" w:hAnsi="Palatino Linotype" w:cs="Palatino Linotype"/>
          <w:b/>
          <w:sz w:val="22"/>
          <w:szCs w:val="22"/>
        </w:rPr>
        <w:t>veintisiete de junio de dos mil veinticuatro</w:t>
      </w:r>
      <w:r w:rsidRPr="005F5FD8">
        <w:rPr>
          <w:rFonts w:ascii="Palatino Linotype" w:eastAsia="Palatino Linotype" w:hAnsi="Palatino Linotype" w:cs="Palatino Linotype"/>
          <w:sz w:val="22"/>
          <w:szCs w:val="22"/>
        </w:rPr>
        <w:t xml:space="preserve">,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envió su respuesta a la solicitud de acceso a la información a través del </w:t>
      </w:r>
      <w:r w:rsidRPr="005F5FD8">
        <w:rPr>
          <w:rFonts w:ascii="Palatino Linotype" w:eastAsia="Palatino Linotype" w:hAnsi="Palatino Linotype" w:cs="Palatino Linotype"/>
          <w:b/>
          <w:sz w:val="22"/>
          <w:szCs w:val="22"/>
        </w:rPr>
        <w:t>SAIMEX</w:t>
      </w:r>
      <w:r w:rsidRPr="005F5FD8">
        <w:rPr>
          <w:rFonts w:ascii="Palatino Linotype" w:eastAsia="Palatino Linotype" w:hAnsi="Palatino Linotype" w:cs="Palatino Linotype"/>
          <w:sz w:val="22"/>
          <w:szCs w:val="22"/>
        </w:rPr>
        <w:t xml:space="preserve">, la cual versa como sigue: </w:t>
      </w:r>
    </w:p>
    <w:p w14:paraId="44292AE5" w14:textId="77777777" w:rsidR="002663A5" w:rsidRPr="005F5FD8" w:rsidRDefault="002663A5">
      <w:pPr>
        <w:tabs>
          <w:tab w:val="left" w:pos="7371"/>
        </w:tabs>
        <w:spacing w:line="360" w:lineRule="auto"/>
        <w:ind w:left="567" w:right="616"/>
        <w:jc w:val="both"/>
        <w:rPr>
          <w:rFonts w:ascii="Palatino Linotype" w:eastAsia="Palatino Linotype" w:hAnsi="Palatino Linotype" w:cs="Palatino Linotype"/>
          <w:i/>
          <w:sz w:val="22"/>
          <w:szCs w:val="22"/>
        </w:rPr>
      </w:pPr>
      <w:bookmarkStart w:id="0" w:name="_heading=h.3znysh7" w:colFirst="0" w:colLast="0"/>
      <w:bookmarkEnd w:id="0"/>
    </w:p>
    <w:p w14:paraId="7A5F5F3E" w14:textId="77777777" w:rsidR="002663A5" w:rsidRPr="005F5FD8" w:rsidRDefault="007B6DC2">
      <w:pPr>
        <w:tabs>
          <w:tab w:val="left" w:pos="7371"/>
        </w:tabs>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“EL H. AYUNTAMIENTO CONSTITUCIONAL DE ECATEPEC DE MORELOS NO ES SUJETO OBLIGADO PARA DAR ATENCIÓN A SU REQUERIMIENTO, YA QUE ES RESPONSABILIDAD DEL SISTEMA PARA EL DESARROLLO INTEGRAL DE LA FAMILIA DE ECATEPEC DE MORELOS (DIF).</w:t>
      </w:r>
    </w:p>
    <w:p w14:paraId="37D5B560" w14:textId="77777777" w:rsidR="002663A5" w:rsidRPr="005F5FD8" w:rsidRDefault="007B6DC2">
      <w:pPr>
        <w:tabs>
          <w:tab w:val="left" w:pos="7371"/>
        </w:tabs>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ATENTAMENTE</w:t>
      </w:r>
    </w:p>
    <w:p w14:paraId="1C9BF447" w14:textId="77777777" w:rsidR="002663A5" w:rsidRPr="005F5FD8" w:rsidRDefault="007B6DC2">
      <w:pPr>
        <w:tabs>
          <w:tab w:val="left" w:pos="7371"/>
        </w:tabs>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C. Lizbeth Patricia Morales Tapia” (Sic)</w:t>
      </w:r>
    </w:p>
    <w:p w14:paraId="25F6F773" w14:textId="77777777" w:rsidR="002663A5" w:rsidRPr="005F5FD8" w:rsidRDefault="002663A5">
      <w:pPr>
        <w:spacing w:line="360" w:lineRule="auto"/>
        <w:ind w:right="49"/>
        <w:jc w:val="both"/>
        <w:rPr>
          <w:rFonts w:ascii="Palatino Linotype" w:eastAsia="Palatino Linotype" w:hAnsi="Palatino Linotype" w:cs="Palatino Linotype"/>
          <w:sz w:val="22"/>
          <w:szCs w:val="22"/>
        </w:rPr>
      </w:pPr>
    </w:p>
    <w:p w14:paraId="0E7FBE56" w14:textId="77777777" w:rsidR="002663A5" w:rsidRPr="005F5FD8" w:rsidRDefault="007B6DC2">
      <w:pPr>
        <w:spacing w:line="360" w:lineRule="auto"/>
        <w:ind w:right="49"/>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Del mismo modo,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adjuntó a su respuesta el archivo electrónico denominado “</w:t>
      </w:r>
      <w:r w:rsidRPr="005F5FD8">
        <w:rPr>
          <w:rFonts w:ascii="Palatino Linotype" w:eastAsia="Palatino Linotype" w:hAnsi="Palatino Linotype" w:cs="Palatino Linotype"/>
          <w:b/>
          <w:i/>
          <w:sz w:val="22"/>
          <w:szCs w:val="22"/>
        </w:rPr>
        <w:t>890.pdf</w:t>
      </w:r>
      <w:r w:rsidRPr="005F5FD8">
        <w:rPr>
          <w:rFonts w:ascii="Palatino Linotype" w:eastAsia="Palatino Linotype" w:hAnsi="Palatino Linotype" w:cs="Palatino Linotype"/>
          <w:sz w:val="22"/>
          <w:szCs w:val="22"/>
        </w:rPr>
        <w:t xml:space="preserve">”, el cual contiene el documento de fecha veintiséis de junio de dos mil veinticuatro, signado por la Titular de la Unidad de Transparencia, mediante el cual informa al particular que el H. Ayuntamiento Constitucional de Ecatepec de Morelos, no es Sujeto Obligado para dar atención a su requerimiento, por lo que le sugiere ingresar nuevamente su solicitud, en el apartado “El Sujeto Obligado del cual requiere la información”, deberá seleccionar la opción de Municipios y del listado que el Sistema despliega con las dependencias, seleccionar al Sistema para el Desarrollo Integral de la Familia de Ecatepec de Morelos. </w:t>
      </w:r>
    </w:p>
    <w:p w14:paraId="55B5AEA0" w14:textId="77777777" w:rsidR="002663A5" w:rsidRPr="005F5FD8" w:rsidRDefault="007B6DC2">
      <w:pPr>
        <w:spacing w:line="360" w:lineRule="auto"/>
        <w:ind w:right="49"/>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Toda vez que la antes mencionada es la dependencia encargada de brindarle atención a su requerimiento.</w:t>
      </w:r>
    </w:p>
    <w:p w14:paraId="35F9119C" w14:textId="77777777" w:rsidR="002663A5" w:rsidRPr="005F5FD8" w:rsidRDefault="002663A5">
      <w:pPr>
        <w:spacing w:line="360" w:lineRule="auto"/>
        <w:ind w:right="49"/>
        <w:jc w:val="both"/>
        <w:rPr>
          <w:rFonts w:ascii="Palatino Linotype" w:eastAsia="Palatino Linotype" w:hAnsi="Palatino Linotype" w:cs="Palatino Linotype"/>
          <w:sz w:val="22"/>
          <w:szCs w:val="22"/>
        </w:rPr>
      </w:pPr>
    </w:p>
    <w:p w14:paraId="2F254D36" w14:textId="77777777" w:rsidR="002663A5" w:rsidRPr="005F5FD8" w:rsidRDefault="007B6DC2">
      <w:pPr>
        <w:numPr>
          <w:ilvl w:val="0"/>
          <w:numId w:val="8"/>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Interposición del recurso de revisión. </w:t>
      </w:r>
      <w:r w:rsidRPr="005F5FD8">
        <w:rPr>
          <w:rFonts w:ascii="Palatino Linotype" w:eastAsia="Palatino Linotype" w:hAnsi="Palatino Linotype" w:cs="Palatino Linotype"/>
          <w:sz w:val="22"/>
          <w:szCs w:val="22"/>
        </w:rPr>
        <w:t xml:space="preserve">Inconforme con la respuesta del </w:t>
      </w:r>
      <w:r w:rsidRPr="005F5FD8">
        <w:rPr>
          <w:rFonts w:ascii="Palatino Linotype" w:eastAsia="Palatino Linotype" w:hAnsi="Palatino Linotype" w:cs="Palatino Linotype"/>
          <w:b/>
          <w:sz w:val="22"/>
          <w:szCs w:val="22"/>
        </w:rPr>
        <w:t xml:space="preserve">Sujeto Obligado, </w:t>
      </w:r>
      <w:r w:rsidRPr="005F5FD8">
        <w:rPr>
          <w:rFonts w:ascii="Palatino Linotype" w:eastAsia="Palatino Linotype" w:hAnsi="Palatino Linotype" w:cs="Palatino Linotype"/>
          <w:sz w:val="22"/>
          <w:szCs w:val="22"/>
        </w:rPr>
        <w:t>la parte</w:t>
      </w:r>
      <w:r w:rsidRPr="005F5FD8">
        <w:rPr>
          <w:rFonts w:ascii="Palatino Linotype" w:eastAsia="Palatino Linotype" w:hAnsi="Palatino Linotype" w:cs="Palatino Linotype"/>
          <w:b/>
          <w:sz w:val="22"/>
          <w:szCs w:val="22"/>
        </w:rPr>
        <w:t xml:space="preserve"> Recurrente</w:t>
      </w:r>
      <w:r w:rsidRPr="005F5FD8">
        <w:rPr>
          <w:rFonts w:ascii="Palatino Linotype" w:eastAsia="Palatino Linotype" w:hAnsi="Palatino Linotype" w:cs="Palatino Linotype"/>
          <w:sz w:val="22"/>
          <w:szCs w:val="22"/>
        </w:rPr>
        <w:t xml:space="preserve"> interpuso recurso de revisión a través del SAIMEX en fecha </w:t>
      </w:r>
      <w:r w:rsidRPr="005F5FD8">
        <w:rPr>
          <w:rFonts w:ascii="Palatino Linotype" w:eastAsia="Palatino Linotype" w:hAnsi="Palatino Linotype" w:cs="Palatino Linotype"/>
          <w:b/>
          <w:sz w:val="22"/>
          <w:szCs w:val="22"/>
        </w:rPr>
        <w:t>tres de julio de dos mil veinticuatro</w:t>
      </w:r>
      <w:r w:rsidRPr="005F5FD8">
        <w:rPr>
          <w:rFonts w:ascii="Palatino Linotype" w:eastAsia="Palatino Linotype" w:hAnsi="Palatino Linotype" w:cs="Palatino Linotype"/>
          <w:sz w:val="22"/>
          <w:szCs w:val="22"/>
        </w:rPr>
        <w:t>, a través del cual expresó lo siguiente:</w:t>
      </w:r>
    </w:p>
    <w:p w14:paraId="450FEBA8" w14:textId="77777777" w:rsidR="002663A5" w:rsidRPr="005F5FD8" w:rsidRDefault="002663A5">
      <w:pPr>
        <w:pBdr>
          <w:top w:val="nil"/>
          <w:left w:val="nil"/>
          <w:bottom w:val="nil"/>
          <w:right w:val="nil"/>
          <w:between w:val="nil"/>
        </w:pBdr>
        <w:tabs>
          <w:tab w:val="left" w:pos="426"/>
        </w:tabs>
        <w:spacing w:line="360" w:lineRule="auto"/>
        <w:ind w:right="49"/>
        <w:jc w:val="both"/>
        <w:rPr>
          <w:rFonts w:ascii="Palatino Linotype" w:eastAsia="Palatino Linotype" w:hAnsi="Palatino Linotype" w:cs="Palatino Linotype"/>
          <w:sz w:val="22"/>
          <w:szCs w:val="22"/>
        </w:rPr>
      </w:pPr>
    </w:p>
    <w:p w14:paraId="0ED05A1C" w14:textId="77777777" w:rsidR="002663A5" w:rsidRPr="005F5FD8" w:rsidRDefault="007B6DC2">
      <w:pPr>
        <w:spacing w:line="360" w:lineRule="auto"/>
        <w:ind w:left="851" w:right="758"/>
        <w:jc w:val="both"/>
        <w:rPr>
          <w:rFonts w:ascii="Palatino Linotype" w:eastAsia="Palatino Linotype" w:hAnsi="Palatino Linotype" w:cs="Palatino Linotype"/>
          <w:b/>
          <w:sz w:val="22"/>
          <w:szCs w:val="22"/>
        </w:rPr>
      </w:pPr>
      <w:r w:rsidRPr="005F5FD8">
        <w:rPr>
          <w:rFonts w:ascii="Palatino Linotype" w:eastAsia="Palatino Linotype" w:hAnsi="Palatino Linotype" w:cs="Palatino Linotype"/>
          <w:b/>
          <w:sz w:val="22"/>
          <w:szCs w:val="22"/>
        </w:rPr>
        <w:t xml:space="preserve">Acto impugnado. </w:t>
      </w:r>
    </w:p>
    <w:p w14:paraId="6A1DA1FC" w14:textId="77777777" w:rsidR="002663A5" w:rsidRPr="005F5FD8" w:rsidRDefault="007B6DC2">
      <w:pPr>
        <w:spacing w:line="360" w:lineRule="auto"/>
        <w:ind w:left="851" w:right="758"/>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 xml:space="preserve">“No dan la declaratoria de incompetencia” </w:t>
      </w:r>
    </w:p>
    <w:p w14:paraId="0DDC3B22" w14:textId="77777777" w:rsidR="002663A5" w:rsidRPr="005F5FD8" w:rsidRDefault="002663A5">
      <w:pPr>
        <w:spacing w:line="360" w:lineRule="auto"/>
        <w:ind w:left="851" w:right="758"/>
        <w:rPr>
          <w:rFonts w:ascii="Palatino Linotype" w:eastAsia="Palatino Linotype" w:hAnsi="Palatino Linotype" w:cs="Palatino Linotype"/>
          <w:sz w:val="22"/>
          <w:szCs w:val="22"/>
        </w:rPr>
      </w:pPr>
    </w:p>
    <w:p w14:paraId="54D5411F" w14:textId="77777777" w:rsidR="002663A5" w:rsidRPr="005F5FD8" w:rsidRDefault="007B6DC2">
      <w:pPr>
        <w:pBdr>
          <w:top w:val="nil"/>
          <w:left w:val="nil"/>
          <w:bottom w:val="nil"/>
          <w:right w:val="nil"/>
          <w:between w:val="nil"/>
        </w:pBdr>
        <w:spacing w:line="360" w:lineRule="auto"/>
        <w:ind w:left="851" w:right="758"/>
        <w:jc w:val="both"/>
        <w:rPr>
          <w:rFonts w:ascii="Palatino Linotype" w:eastAsia="Palatino Linotype" w:hAnsi="Palatino Linotype" w:cs="Palatino Linotype"/>
          <w:b/>
          <w:sz w:val="22"/>
          <w:szCs w:val="22"/>
        </w:rPr>
      </w:pPr>
      <w:r w:rsidRPr="005F5FD8">
        <w:rPr>
          <w:rFonts w:ascii="Palatino Linotype" w:eastAsia="Palatino Linotype" w:hAnsi="Palatino Linotype" w:cs="Palatino Linotype"/>
          <w:b/>
          <w:sz w:val="22"/>
          <w:szCs w:val="22"/>
        </w:rPr>
        <w:t xml:space="preserve">Motivos de inconformidad. </w:t>
      </w:r>
    </w:p>
    <w:p w14:paraId="14301DD4" w14:textId="77777777" w:rsidR="002663A5" w:rsidRPr="005F5FD8" w:rsidRDefault="007B6DC2">
      <w:pPr>
        <w:pBdr>
          <w:top w:val="nil"/>
          <w:left w:val="nil"/>
          <w:bottom w:val="nil"/>
          <w:right w:val="nil"/>
          <w:between w:val="nil"/>
        </w:pBdr>
        <w:spacing w:line="360" w:lineRule="auto"/>
        <w:ind w:left="851" w:right="758"/>
        <w:jc w:val="both"/>
        <w:rPr>
          <w:rFonts w:ascii="Palatino Linotype" w:eastAsia="Palatino Linotype" w:hAnsi="Palatino Linotype" w:cs="Palatino Linotype"/>
          <w:b/>
          <w:i/>
          <w:sz w:val="22"/>
          <w:szCs w:val="22"/>
          <w:u w:val="single"/>
        </w:rPr>
      </w:pPr>
      <w:r w:rsidRPr="005F5FD8">
        <w:rPr>
          <w:rFonts w:ascii="Palatino Linotype" w:eastAsia="Palatino Linotype" w:hAnsi="Palatino Linotype" w:cs="Palatino Linotype"/>
          <w:sz w:val="22"/>
          <w:szCs w:val="22"/>
        </w:rPr>
        <w:t>“</w:t>
      </w:r>
      <w:r w:rsidRPr="005F5FD8">
        <w:rPr>
          <w:rFonts w:ascii="Palatino Linotype" w:eastAsia="Palatino Linotype" w:hAnsi="Palatino Linotype" w:cs="Palatino Linotype"/>
          <w:i/>
          <w:sz w:val="22"/>
          <w:szCs w:val="22"/>
        </w:rPr>
        <w:t>No dan la declaratoria de incompetencia”</w:t>
      </w:r>
    </w:p>
    <w:p w14:paraId="14F50025" w14:textId="77777777" w:rsidR="002663A5" w:rsidRPr="005F5FD8" w:rsidRDefault="002663A5">
      <w:pPr>
        <w:pBdr>
          <w:top w:val="nil"/>
          <w:left w:val="nil"/>
          <w:bottom w:val="nil"/>
          <w:right w:val="nil"/>
          <w:between w:val="nil"/>
        </w:pBdr>
        <w:spacing w:line="360" w:lineRule="auto"/>
        <w:ind w:left="567"/>
        <w:jc w:val="both"/>
        <w:rPr>
          <w:rFonts w:ascii="Palatino Linotype" w:eastAsia="Palatino Linotype" w:hAnsi="Palatino Linotype" w:cs="Palatino Linotype"/>
          <w:i/>
          <w:sz w:val="22"/>
          <w:szCs w:val="22"/>
        </w:rPr>
      </w:pPr>
    </w:p>
    <w:p w14:paraId="161352C7" w14:textId="77777777" w:rsidR="002663A5" w:rsidRPr="005F5FD8" w:rsidRDefault="007B6DC2">
      <w:pPr>
        <w:numPr>
          <w:ilvl w:val="0"/>
          <w:numId w:val="8"/>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Turno. </w:t>
      </w:r>
      <w:r w:rsidRPr="005F5FD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Pr="005F5FD8">
        <w:rPr>
          <w:rFonts w:ascii="Palatino Linotype" w:eastAsia="Palatino Linotype" w:hAnsi="Palatino Linotype" w:cs="Palatino Linotype"/>
          <w:b/>
          <w:sz w:val="22"/>
          <w:szCs w:val="22"/>
        </w:rPr>
        <w:t>04079/INFOEM/IP/RR/2024</w:t>
      </w:r>
      <w:r w:rsidRPr="005F5FD8">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5F5FD8">
        <w:rPr>
          <w:rFonts w:ascii="Palatino Linotype" w:eastAsia="Palatino Linotype" w:hAnsi="Palatino Linotype" w:cs="Palatino Linotype"/>
          <w:b/>
          <w:sz w:val="22"/>
          <w:szCs w:val="22"/>
        </w:rPr>
        <w:t>Guadalupe Ramírez Peña</w:t>
      </w:r>
      <w:r w:rsidRPr="005F5FD8">
        <w:rPr>
          <w:rFonts w:ascii="Palatino Linotype" w:eastAsia="Palatino Linotype" w:hAnsi="Palatino Linotype" w:cs="Palatino Linotype"/>
          <w:sz w:val="22"/>
          <w:szCs w:val="22"/>
        </w:rPr>
        <w:t>, para su análisis, estudio, elaboración del proyecto y presentación ante el Pleno de este Instituto.</w:t>
      </w:r>
    </w:p>
    <w:p w14:paraId="7E5B4CC5" w14:textId="77777777" w:rsidR="002663A5" w:rsidRPr="005F5FD8" w:rsidRDefault="002663A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0F9D0F6A" w14:textId="77777777" w:rsidR="002663A5" w:rsidRPr="005F5FD8" w:rsidRDefault="007B6DC2">
      <w:pPr>
        <w:numPr>
          <w:ilvl w:val="0"/>
          <w:numId w:val="8"/>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bookmarkStart w:id="1" w:name="_heading=h.gjdgxs" w:colFirst="0" w:colLast="0"/>
      <w:bookmarkEnd w:id="1"/>
      <w:r w:rsidRPr="005F5FD8">
        <w:rPr>
          <w:rFonts w:ascii="Palatino Linotype" w:eastAsia="Palatino Linotype" w:hAnsi="Palatino Linotype" w:cs="Palatino Linotype"/>
          <w:b/>
          <w:sz w:val="22"/>
          <w:szCs w:val="22"/>
        </w:rPr>
        <w:t xml:space="preserve">Admisión del recurso de revisión: </w:t>
      </w:r>
      <w:r w:rsidRPr="005F5FD8">
        <w:rPr>
          <w:rFonts w:ascii="Palatino Linotype" w:eastAsia="Palatino Linotype" w:hAnsi="Palatino Linotype" w:cs="Palatino Linotype"/>
          <w:sz w:val="22"/>
          <w:szCs w:val="22"/>
        </w:rPr>
        <w:t xml:space="preserve">En fecha </w:t>
      </w:r>
      <w:r w:rsidRPr="005F5FD8">
        <w:rPr>
          <w:rFonts w:ascii="Palatino Linotype" w:eastAsia="Palatino Linotype" w:hAnsi="Palatino Linotype" w:cs="Palatino Linotype"/>
          <w:b/>
          <w:sz w:val="22"/>
          <w:szCs w:val="22"/>
        </w:rPr>
        <w:t>ocho de julio de dos mil veinticuatro</w:t>
      </w:r>
      <w:r w:rsidRPr="005F5FD8">
        <w:rPr>
          <w:rFonts w:ascii="Palatino Linotype" w:eastAsia="Palatino Linotype" w:hAnsi="Palatino Linotype" w:cs="Palatino Linotype"/>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presentara su informe justificado.</w:t>
      </w:r>
    </w:p>
    <w:p w14:paraId="176513ED" w14:textId="77777777" w:rsidR="002663A5" w:rsidRPr="005F5FD8" w:rsidRDefault="002663A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1BBA2A57" w14:textId="77777777" w:rsidR="002663A5" w:rsidRPr="005F5FD8" w:rsidRDefault="007B6DC2">
      <w:pPr>
        <w:numPr>
          <w:ilvl w:val="0"/>
          <w:numId w:val="8"/>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Manifestaciones</w:t>
      </w:r>
      <w:r w:rsidRPr="005F5FD8">
        <w:rPr>
          <w:rFonts w:ascii="Palatino Linotype" w:eastAsia="Palatino Linotype" w:hAnsi="Palatino Linotype" w:cs="Palatino Linotype"/>
          <w:sz w:val="22"/>
          <w:szCs w:val="22"/>
        </w:rPr>
        <w:t xml:space="preserve">: De las constancias que obran en el expediente electrónico del </w:t>
      </w:r>
      <w:r w:rsidRPr="005F5FD8">
        <w:rPr>
          <w:rFonts w:ascii="Palatino Linotype" w:eastAsia="Palatino Linotype" w:hAnsi="Palatino Linotype" w:cs="Palatino Linotype"/>
          <w:b/>
          <w:sz w:val="22"/>
          <w:szCs w:val="22"/>
        </w:rPr>
        <w:t>SAIMEX</w:t>
      </w:r>
      <w:r w:rsidRPr="005F5FD8">
        <w:rPr>
          <w:rFonts w:ascii="Palatino Linotype" w:eastAsia="Palatino Linotype" w:hAnsi="Palatino Linotype" w:cs="Palatino Linotype"/>
          <w:sz w:val="22"/>
          <w:szCs w:val="22"/>
        </w:rPr>
        <w:t xml:space="preserve"> se desprende que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no rindió su informe justificado, del mismo modo la parte </w:t>
      </w:r>
      <w:r w:rsidRPr="005F5FD8">
        <w:rPr>
          <w:rFonts w:ascii="Palatino Linotype" w:eastAsia="Palatino Linotype" w:hAnsi="Palatino Linotype" w:cs="Palatino Linotype"/>
          <w:b/>
          <w:sz w:val="22"/>
          <w:szCs w:val="22"/>
        </w:rPr>
        <w:t>Recurrente</w:t>
      </w:r>
      <w:r w:rsidRPr="005F5FD8">
        <w:rPr>
          <w:rFonts w:ascii="Palatino Linotype" w:eastAsia="Palatino Linotype" w:hAnsi="Palatino Linotype" w:cs="Palatino Linotype"/>
          <w:sz w:val="22"/>
          <w:szCs w:val="22"/>
        </w:rPr>
        <w:t xml:space="preserve"> omitió realizar manifestaciones, como se observa a continuación:</w:t>
      </w:r>
    </w:p>
    <w:p w14:paraId="4FF70AC5" w14:textId="77777777" w:rsidR="002663A5" w:rsidRPr="005F5FD8" w:rsidRDefault="002663A5">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3650620" w14:textId="77777777" w:rsidR="002663A5" w:rsidRPr="005F5FD8" w:rsidRDefault="002663A5">
      <w:pPr>
        <w:pBdr>
          <w:top w:val="nil"/>
          <w:left w:val="nil"/>
          <w:bottom w:val="nil"/>
          <w:right w:val="nil"/>
          <w:between w:val="nil"/>
        </w:pBdr>
        <w:ind w:left="708"/>
        <w:rPr>
          <w:rFonts w:ascii="Palatino Linotype" w:eastAsia="Palatino Linotype" w:hAnsi="Palatino Linotype" w:cs="Palatino Linotype"/>
          <w:sz w:val="22"/>
          <w:szCs w:val="22"/>
        </w:rPr>
      </w:pPr>
    </w:p>
    <w:p w14:paraId="65A8DC4E" w14:textId="77777777" w:rsidR="002663A5" w:rsidRPr="005F5FD8" w:rsidRDefault="007B6DC2">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noProof/>
          <w:sz w:val="22"/>
          <w:szCs w:val="22"/>
          <w:lang w:val="es-MX" w:eastAsia="es-MX"/>
        </w:rPr>
        <w:lastRenderedPageBreak/>
        <w:drawing>
          <wp:inline distT="0" distB="0" distL="0" distR="0" wp14:anchorId="0845A1B4" wp14:editId="72591CFA">
            <wp:extent cx="5612130" cy="1291590"/>
            <wp:effectExtent l="0" t="0" r="0" b="0"/>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12130" cy="1291590"/>
                    </a:xfrm>
                    <a:prstGeom prst="rect">
                      <a:avLst/>
                    </a:prstGeom>
                    <a:ln/>
                  </pic:spPr>
                </pic:pic>
              </a:graphicData>
            </a:graphic>
          </wp:inline>
        </w:drawing>
      </w:r>
    </w:p>
    <w:p w14:paraId="1A187EA5" w14:textId="77777777" w:rsidR="002663A5" w:rsidRPr="005F5FD8" w:rsidRDefault="007B6DC2">
      <w:pPr>
        <w:numPr>
          <w:ilvl w:val="0"/>
          <w:numId w:val="8"/>
        </w:numPr>
        <w:pBdr>
          <w:top w:val="nil"/>
          <w:left w:val="nil"/>
          <w:bottom w:val="nil"/>
          <w:right w:val="nil"/>
          <w:between w:val="nil"/>
        </w:pBdr>
        <w:tabs>
          <w:tab w:val="left" w:pos="426"/>
        </w:tabs>
        <w:spacing w:before="240" w:after="240" w:line="360" w:lineRule="auto"/>
        <w:ind w:left="0" w:firstLine="0"/>
        <w:jc w:val="both"/>
        <w:rPr>
          <w:rFonts w:ascii="Palatino Linotype" w:eastAsia="Palatino Linotype" w:hAnsi="Palatino Linotype" w:cs="Palatino Linotype"/>
          <w:b/>
          <w:sz w:val="22"/>
          <w:szCs w:val="22"/>
        </w:rPr>
      </w:pPr>
      <w:r w:rsidRPr="005F5FD8">
        <w:rPr>
          <w:rFonts w:ascii="Palatino Linotype" w:eastAsia="Palatino Linotype" w:hAnsi="Palatino Linotype" w:cs="Palatino Linotype"/>
          <w:b/>
          <w:sz w:val="22"/>
          <w:szCs w:val="22"/>
        </w:rPr>
        <w:t>Ampliaciones del plazo para emitir resolución.</w:t>
      </w:r>
      <w:r w:rsidRPr="005F5FD8">
        <w:rPr>
          <w:rFonts w:ascii="Palatino Linotype" w:eastAsia="Palatino Linotype" w:hAnsi="Palatino Linotype" w:cs="Palatino Linotype"/>
          <w:sz w:val="22"/>
          <w:szCs w:val="22"/>
        </w:rPr>
        <w:t xml:space="preserve"> El </w:t>
      </w:r>
      <w:r w:rsidRPr="005F5FD8">
        <w:rPr>
          <w:rFonts w:ascii="Palatino Linotype" w:eastAsia="Palatino Linotype" w:hAnsi="Palatino Linotype" w:cs="Palatino Linotype"/>
          <w:b/>
          <w:sz w:val="22"/>
          <w:szCs w:val="22"/>
        </w:rPr>
        <w:t>dos de septiembre de dos mil veinticuatro</w:t>
      </w:r>
      <w:r w:rsidRPr="005F5FD8">
        <w:rPr>
          <w:rFonts w:ascii="Palatino Linotype" w:eastAsia="Palatino Linotype" w:hAnsi="Palatino Linotype" w:cs="Palatino Linotype"/>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38BF3F68" w14:textId="77777777" w:rsidR="002663A5" w:rsidRPr="005F5FD8" w:rsidRDefault="007B6DC2">
      <w:pPr>
        <w:numPr>
          <w:ilvl w:val="0"/>
          <w:numId w:val="8"/>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Cierre de instrucción. </w:t>
      </w:r>
      <w:r w:rsidRPr="005F5FD8">
        <w:rPr>
          <w:rFonts w:ascii="Palatino Linotype" w:eastAsia="Palatino Linotype" w:hAnsi="Palatino Linotype" w:cs="Palatino Linotype"/>
          <w:sz w:val="22"/>
          <w:szCs w:val="22"/>
        </w:rPr>
        <w:t xml:space="preserve">El </w:t>
      </w:r>
      <w:r w:rsidRPr="005F5FD8">
        <w:rPr>
          <w:rFonts w:ascii="Palatino Linotype" w:eastAsia="Palatino Linotype" w:hAnsi="Palatino Linotype" w:cs="Palatino Linotype"/>
          <w:b/>
          <w:sz w:val="22"/>
          <w:szCs w:val="22"/>
        </w:rPr>
        <w:t>dos de septiembre de dos mil veinticuatro</w:t>
      </w:r>
      <w:r w:rsidRPr="005F5FD8">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1BF04CDA" w14:textId="77777777" w:rsidR="002663A5" w:rsidRPr="005F5FD8" w:rsidRDefault="002663A5">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sz w:val="22"/>
          <w:szCs w:val="22"/>
        </w:rPr>
      </w:pPr>
    </w:p>
    <w:p w14:paraId="6CC11964"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6F7F522" w14:textId="77777777" w:rsidR="002663A5" w:rsidRPr="005F5FD8" w:rsidRDefault="007B6DC2">
      <w:pPr>
        <w:numPr>
          <w:ilvl w:val="0"/>
          <w:numId w:val="1"/>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2" w:name="_heading=h.30j0zll" w:colFirst="0" w:colLast="0"/>
      <w:bookmarkEnd w:id="2"/>
      <w:r w:rsidRPr="005F5FD8">
        <w:rPr>
          <w:rFonts w:ascii="Palatino Linotype" w:eastAsia="Palatino Linotype" w:hAnsi="Palatino Linotype" w:cs="Palatino Linotype"/>
          <w:b/>
          <w:sz w:val="22"/>
          <w:szCs w:val="22"/>
        </w:rPr>
        <w:t>C O N S I D E R A N D O:</w:t>
      </w:r>
    </w:p>
    <w:p w14:paraId="3183F118" w14:textId="77777777" w:rsidR="002663A5" w:rsidRPr="005F5FD8" w:rsidRDefault="002663A5">
      <w:pPr>
        <w:pBdr>
          <w:top w:val="nil"/>
          <w:left w:val="nil"/>
          <w:bottom w:val="nil"/>
          <w:right w:val="nil"/>
          <w:between w:val="nil"/>
        </w:pBdr>
        <w:spacing w:line="360" w:lineRule="auto"/>
        <w:ind w:left="1077"/>
        <w:jc w:val="center"/>
        <w:rPr>
          <w:rFonts w:ascii="Palatino Linotype" w:eastAsia="Palatino Linotype" w:hAnsi="Palatino Linotype" w:cs="Palatino Linotype"/>
          <w:b/>
          <w:sz w:val="22"/>
          <w:szCs w:val="22"/>
        </w:rPr>
      </w:pPr>
    </w:p>
    <w:p w14:paraId="2DC4F418"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Primero. Competencia. </w:t>
      </w:r>
      <w:r w:rsidRPr="005F5FD8">
        <w:rPr>
          <w:rFonts w:ascii="Palatino Linotype" w:eastAsia="Palatino Linotype" w:hAnsi="Palatino Linotype" w:cs="Palatino Linotype"/>
          <w:sz w:val="22"/>
          <w:szCs w:val="22"/>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w:t>
      </w:r>
      <w:r w:rsidRPr="005F5FD8">
        <w:rPr>
          <w:rFonts w:ascii="Palatino Linotype" w:eastAsia="Palatino Linotype" w:hAnsi="Palatino Linotype" w:cs="Palatino Linotype"/>
          <w:sz w:val="22"/>
          <w:szCs w:val="22"/>
        </w:rPr>
        <w:lastRenderedPageBreak/>
        <w:t>cuarto,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7D51668" w14:textId="77777777" w:rsidR="002663A5" w:rsidRPr="005F5FD8" w:rsidRDefault="002663A5">
      <w:pPr>
        <w:spacing w:line="360" w:lineRule="auto"/>
        <w:jc w:val="both"/>
        <w:rPr>
          <w:rFonts w:ascii="Palatino Linotype" w:eastAsia="Palatino Linotype" w:hAnsi="Palatino Linotype" w:cs="Palatino Linotype"/>
          <w:b/>
          <w:sz w:val="22"/>
          <w:szCs w:val="22"/>
        </w:rPr>
      </w:pPr>
    </w:p>
    <w:p w14:paraId="44C97DE1"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Segundo. Oportunidad y Procedibilidad del Recurso de Revisión</w:t>
      </w:r>
      <w:r w:rsidRPr="005F5FD8">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00EF0260"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6C3AC3FC" w14:textId="77777777" w:rsidR="002663A5" w:rsidRPr="005F5FD8" w:rsidRDefault="007B6DC2">
      <w:pPr>
        <w:spacing w:line="360" w:lineRule="auto"/>
        <w:ind w:right="49"/>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proporcionó su respuesta a la solicitud de información el </w:t>
      </w:r>
      <w:r w:rsidRPr="005F5FD8">
        <w:rPr>
          <w:rFonts w:ascii="Palatino Linotype" w:eastAsia="Palatino Linotype" w:hAnsi="Palatino Linotype" w:cs="Palatino Linotype"/>
          <w:b/>
          <w:sz w:val="22"/>
          <w:szCs w:val="22"/>
        </w:rPr>
        <w:t>veinti</w:t>
      </w:r>
      <w:r w:rsidR="006D6750" w:rsidRPr="005F5FD8">
        <w:rPr>
          <w:rFonts w:ascii="Palatino Linotype" w:eastAsia="Palatino Linotype" w:hAnsi="Palatino Linotype" w:cs="Palatino Linotype"/>
          <w:b/>
          <w:sz w:val="22"/>
          <w:szCs w:val="22"/>
        </w:rPr>
        <w:t xml:space="preserve">siete </w:t>
      </w:r>
      <w:r w:rsidRPr="005F5FD8">
        <w:rPr>
          <w:rFonts w:ascii="Palatino Linotype" w:eastAsia="Palatino Linotype" w:hAnsi="Palatino Linotype" w:cs="Palatino Linotype"/>
          <w:b/>
          <w:sz w:val="22"/>
          <w:szCs w:val="22"/>
        </w:rPr>
        <w:t>de junio de dos mil veinticuatro</w:t>
      </w:r>
      <w:r w:rsidRPr="005F5FD8">
        <w:rPr>
          <w:rFonts w:ascii="Palatino Linotype" w:eastAsia="Palatino Linotype" w:hAnsi="Palatino Linotype" w:cs="Palatino Linotype"/>
          <w:sz w:val="22"/>
          <w:szCs w:val="22"/>
        </w:rPr>
        <w:t xml:space="preserve">, y la parte </w:t>
      </w:r>
      <w:r w:rsidRPr="005F5FD8">
        <w:rPr>
          <w:rFonts w:ascii="Palatino Linotype" w:eastAsia="Palatino Linotype" w:hAnsi="Palatino Linotype" w:cs="Palatino Linotype"/>
          <w:b/>
          <w:sz w:val="22"/>
          <w:szCs w:val="22"/>
        </w:rPr>
        <w:t>Recurrente</w:t>
      </w:r>
      <w:r w:rsidRPr="005F5FD8">
        <w:rPr>
          <w:rFonts w:ascii="Palatino Linotype" w:eastAsia="Palatino Linotype" w:hAnsi="Palatino Linotype" w:cs="Palatino Linotype"/>
          <w:sz w:val="22"/>
          <w:szCs w:val="22"/>
        </w:rPr>
        <w:t xml:space="preserve"> presentó su recurso de revisión el </w:t>
      </w:r>
      <w:r w:rsidRPr="005F5FD8">
        <w:rPr>
          <w:rFonts w:ascii="Palatino Linotype" w:eastAsia="Palatino Linotype" w:hAnsi="Palatino Linotype" w:cs="Palatino Linotype"/>
          <w:b/>
          <w:sz w:val="22"/>
          <w:szCs w:val="22"/>
        </w:rPr>
        <w:t>tres de julio de dos mil veinticuatro</w:t>
      </w:r>
      <w:r w:rsidRPr="005F5FD8">
        <w:rPr>
          <w:rFonts w:ascii="Palatino Linotype" w:eastAsia="Palatino Linotype" w:hAnsi="Palatino Linotype" w:cs="Palatino Linotype"/>
          <w:sz w:val="22"/>
          <w:szCs w:val="22"/>
        </w:rPr>
        <w:t>;</w:t>
      </w:r>
      <w:r w:rsidRPr="005F5FD8">
        <w:rPr>
          <w:rFonts w:ascii="Palatino Linotype" w:eastAsia="Palatino Linotype" w:hAnsi="Palatino Linotype" w:cs="Palatino Linotype"/>
          <w:b/>
          <w:sz w:val="22"/>
          <w:szCs w:val="22"/>
        </w:rPr>
        <w:t xml:space="preserve"> </w:t>
      </w:r>
      <w:r w:rsidRPr="005F5FD8">
        <w:rPr>
          <w:rFonts w:ascii="Palatino Linotype" w:eastAsia="Palatino Linotype" w:hAnsi="Palatino Linotype" w:cs="Palatino Linotype"/>
          <w:sz w:val="22"/>
          <w:szCs w:val="22"/>
        </w:rPr>
        <w:t xml:space="preserve">esto es al cuarto día hábil siguiente en que tuvo conocimiento de la respuesta. </w:t>
      </w:r>
    </w:p>
    <w:p w14:paraId="257D93B6" w14:textId="77777777" w:rsidR="002663A5" w:rsidRPr="005F5FD8" w:rsidRDefault="002663A5">
      <w:pPr>
        <w:spacing w:line="360" w:lineRule="auto"/>
        <w:ind w:right="49"/>
        <w:jc w:val="both"/>
        <w:rPr>
          <w:rFonts w:ascii="Palatino Linotype" w:eastAsia="Palatino Linotype" w:hAnsi="Palatino Linotype" w:cs="Palatino Linotype"/>
          <w:b/>
          <w:sz w:val="22"/>
          <w:szCs w:val="22"/>
        </w:rPr>
      </w:pPr>
    </w:p>
    <w:p w14:paraId="5D98610B"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w:t>
      </w:r>
      <w:r w:rsidRPr="005F5FD8">
        <w:rPr>
          <w:rFonts w:ascii="Palatino Linotype" w:eastAsia="Palatino Linotype" w:hAnsi="Palatino Linotype" w:cs="Palatino Linotype"/>
          <w:b/>
          <w:sz w:val="22"/>
          <w:szCs w:val="22"/>
        </w:rPr>
        <w:t>SAIMEX</w:t>
      </w:r>
      <w:r w:rsidRPr="005F5FD8">
        <w:rPr>
          <w:rFonts w:ascii="Palatino Linotype" w:eastAsia="Palatino Linotype" w:hAnsi="Palatino Linotype" w:cs="Palatino Linotype"/>
          <w:sz w:val="22"/>
          <w:szCs w:val="22"/>
        </w:rPr>
        <w:t>.</w:t>
      </w:r>
    </w:p>
    <w:p w14:paraId="39CFB81E" w14:textId="77777777" w:rsidR="002663A5" w:rsidRPr="005F5FD8" w:rsidRDefault="007B6DC2">
      <w:pPr>
        <w:spacing w:before="240" w:after="240"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A efecto de sustentar lo anterior, es de suma importancia mencionar que, si bien la persona solicitante </w:t>
      </w:r>
      <w:r w:rsidRPr="005F5FD8">
        <w:rPr>
          <w:rFonts w:ascii="Palatino Linotype" w:eastAsia="Palatino Linotype" w:hAnsi="Palatino Linotype" w:cs="Palatino Linotype"/>
          <w:b/>
          <w:sz w:val="22"/>
          <w:szCs w:val="22"/>
        </w:rPr>
        <w:t>no proporcionó un nombre o seudónimo</w:t>
      </w:r>
      <w:r w:rsidRPr="005F5FD8">
        <w:rPr>
          <w:rFonts w:ascii="Palatino Linotype" w:eastAsia="Palatino Linotype" w:hAnsi="Palatino Linotype" w:cs="Palatino Linotype"/>
          <w:sz w:val="22"/>
          <w:szCs w:val="22"/>
        </w:rPr>
        <w:t xml:space="preserve"> para ser identificado, como se advierte en el detalle de seguimiento del SAIMEX, sin embargo, el no proporcionar un nombre no es </w:t>
      </w:r>
      <w:r w:rsidRPr="005F5FD8">
        <w:rPr>
          <w:rFonts w:ascii="Palatino Linotype" w:eastAsia="Palatino Linotype" w:hAnsi="Palatino Linotype" w:cs="Palatino Linotype"/>
          <w:sz w:val="22"/>
          <w:szCs w:val="22"/>
        </w:rPr>
        <w:lastRenderedPageBreak/>
        <w:t>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70D7178F" w14:textId="77777777" w:rsidR="002663A5" w:rsidRPr="005F5FD8" w:rsidRDefault="007B6DC2">
      <w:pPr>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w:t>
      </w:r>
      <w:r w:rsidRPr="005F5FD8">
        <w:rPr>
          <w:rFonts w:ascii="Palatino Linotype" w:eastAsia="Palatino Linotype" w:hAnsi="Palatino Linotype" w:cs="Palatino Linotype"/>
          <w:b/>
          <w:i/>
          <w:sz w:val="22"/>
          <w:szCs w:val="22"/>
        </w:rPr>
        <w:t>Las solicitudes anónimas</w:t>
      </w:r>
      <w:r w:rsidRPr="005F5FD8">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06AFBFCA"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1F5D5F02"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fracciones IV y IX de la ley de la materia, que a la letra dice:</w:t>
      </w:r>
    </w:p>
    <w:p w14:paraId="5C129329"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4FA47804"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w:t>
      </w:r>
      <w:r w:rsidRPr="005F5FD8">
        <w:rPr>
          <w:rFonts w:ascii="Palatino Linotype" w:eastAsia="Palatino Linotype" w:hAnsi="Palatino Linotype" w:cs="Palatino Linotype"/>
          <w:b/>
          <w:i/>
          <w:sz w:val="22"/>
          <w:szCs w:val="22"/>
        </w:rPr>
        <w:t xml:space="preserve">Artículo 179. </w:t>
      </w:r>
      <w:r w:rsidRPr="005F5FD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739D0F69"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w:t>
      </w:r>
    </w:p>
    <w:p w14:paraId="6B6526CD"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IV. La declaración de incompetencia por el sujeto obligado;</w:t>
      </w:r>
    </w:p>
    <w:p w14:paraId="228E89D3"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 xml:space="preserve">…” </w:t>
      </w:r>
    </w:p>
    <w:p w14:paraId="514A2729" w14:textId="77777777" w:rsidR="002663A5" w:rsidRPr="005F5FD8" w:rsidRDefault="002663A5">
      <w:pPr>
        <w:spacing w:line="360" w:lineRule="auto"/>
        <w:ind w:left="567" w:right="616"/>
        <w:jc w:val="both"/>
        <w:rPr>
          <w:rFonts w:ascii="Palatino Linotype" w:eastAsia="Palatino Linotype" w:hAnsi="Palatino Linotype" w:cs="Palatino Linotype"/>
          <w:i/>
          <w:sz w:val="22"/>
          <w:szCs w:val="22"/>
        </w:rPr>
      </w:pPr>
    </w:p>
    <w:p w14:paraId="24CD42FD"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Tercero. Materia de Revisión</w:t>
      </w:r>
      <w:r w:rsidRPr="005F5FD8">
        <w:rPr>
          <w:rFonts w:ascii="Palatino Linotype" w:eastAsia="Palatino Linotype" w:hAnsi="Palatino Linotype" w:cs="Palatino Linotype"/>
          <w:sz w:val="22"/>
          <w:szCs w:val="22"/>
        </w:rPr>
        <w:t xml:space="preserve">: De las constancias que integran el expediente electrónico se advierte que el tema sobre el que este Instituto se pronunciará será en determinar si se actualiza la fracciones IV y IX del artículo 179 de la Ley de Transparencia y Acceso a la Información Pública del Estado de México y Municipios.  </w:t>
      </w:r>
    </w:p>
    <w:p w14:paraId="718F9762"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2CAF82A3"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Cuarto. Estudio de fondo del asunto. </w:t>
      </w:r>
      <w:r w:rsidRPr="005F5FD8">
        <w:rPr>
          <w:rFonts w:ascii="Palatino Linotype" w:eastAsia="Palatino Linotype" w:hAnsi="Palatino Linotype" w:cs="Palatino Linotype"/>
          <w:sz w:val="22"/>
          <w:szCs w:val="22"/>
        </w:rPr>
        <w:t>Es conveniente analizar si la respuesta del Sujeto Obligado</w:t>
      </w:r>
      <w:r w:rsidRPr="005F5FD8">
        <w:rPr>
          <w:rFonts w:ascii="Palatino Linotype" w:eastAsia="Palatino Linotype" w:hAnsi="Palatino Linotype" w:cs="Palatino Linotype"/>
          <w:b/>
          <w:sz w:val="22"/>
          <w:szCs w:val="22"/>
        </w:rPr>
        <w:t xml:space="preserve"> </w:t>
      </w:r>
      <w:r w:rsidRPr="005F5FD8">
        <w:rPr>
          <w:rFonts w:ascii="Palatino Linotype" w:eastAsia="Palatino Linotype" w:hAnsi="Palatino Linotype" w:cs="Palatino Linotype"/>
          <w:sz w:val="22"/>
          <w:szCs w:val="22"/>
        </w:rPr>
        <w:t xml:space="preserve">cumple con los requisitos y procedimientos del derecho de acceso a la información pública, en atención a que en la Ley de Transparencia y Acceso a la Información Pública del </w:t>
      </w:r>
      <w:r w:rsidRPr="005F5FD8">
        <w:rPr>
          <w:rFonts w:ascii="Palatino Linotype" w:eastAsia="Palatino Linotype" w:hAnsi="Palatino Linotype" w:cs="Palatino Linotype"/>
          <w:sz w:val="22"/>
          <w:szCs w:val="22"/>
        </w:rPr>
        <w:lastRenderedPageBreak/>
        <w:t>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6433809A"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26D98889" w14:textId="77777777" w:rsidR="002663A5" w:rsidRPr="005F5FD8" w:rsidRDefault="007B6DC2">
      <w:pPr>
        <w:tabs>
          <w:tab w:val="left" w:pos="851"/>
        </w:tabs>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w:t>
      </w:r>
      <w:r w:rsidRPr="005F5FD8">
        <w:rPr>
          <w:rFonts w:ascii="Palatino Linotype" w:eastAsia="Palatino Linotype" w:hAnsi="Palatino Linotype" w:cs="Palatino Linotype"/>
          <w:b/>
          <w:i/>
          <w:sz w:val="22"/>
          <w:szCs w:val="22"/>
        </w:rPr>
        <w:t>Artículo 4</w:t>
      </w:r>
      <w:r w:rsidRPr="005F5FD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257BB87" w14:textId="77777777" w:rsidR="002663A5" w:rsidRPr="005F5FD8" w:rsidRDefault="007B6DC2">
      <w:pPr>
        <w:tabs>
          <w:tab w:val="left" w:pos="851"/>
        </w:tabs>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F5FD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AC1CFA7" w14:textId="77777777" w:rsidR="002663A5" w:rsidRPr="005F5FD8" w:rsidRDefault="007B6DC2">
      <w:pPr>
        <w:tabs>
          <w:tab w:val="left" w:pos="851"/>
        </w:tabs>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5F5FD8">
        <w:rPr>
          <w:rFonts w:ascii="Palatino Linotype" w:eastAsia="Palatino Linotype" w:hAnsi="Palatino Linotype" w:cs="Palatino Linotype"/>
          <w:i/>
          <w:sz w:val="22"/>
          <w:szCs w:val="22"/>
        </w:rPr>
        <w:t>.”(</w:t>
      </w:r>
      <w:proofErr w:type="gramEnd"/>
      <w:r w:rsidRPr="005F5FD8">
        <w:rPr>
          <w:rFonts w:ascii="Palatino Linotype" w:eastAsia="Palatino Linotype" w:hAnsi="Palatino Linotype" w:cs="Palatino Linotype"/>
          <w:i/>
          <w:sz w:val="22"/>
          <w:szCs w:val="22"/>
        </w:rPr>
        <w:t>Sic)</w:t>
      </w:r>
    </w:p>
    <w:p w14:paraId="784840EA"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06EF3C89"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Esto es, que los Sujetos Obligados tiene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2F1FA0F" w14:textId="77777777" w:rsidR="002663A5" w:rsidRPr="005F5FD8" w:rsidRDefault="002663A5">
      <w:pPr>
        <w:spacing w:line="276" w:lineRule="auto"/>
        <w:ind w:left="567" w:right="616"/>
        <w:jc w:val="both"/>
        <w:rPr>
          <w:rFonts w:ascii="Palatino Linotype" w:eastAsia="Palatino Linotype" w:hAnsi="Palatino Linotype" w:cs="Palatino Linotype"/>
          <w:sz w:val="22"/>
          <w:szCs w:val="22"/>
        </w:rPr>
      </w:pPr>
    </w:p>
    <w:p w14:paraId="3812E452"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lastRenderedPageBreak/>
        <w:t>“</w:t>
      </w:r>
      <w:r w:rsidRPr="005F5FD8">
        <w:rPr>
          <w:rFonts w:ascii="Palatino Linotype" w:eastAsia="Palatino Linotype" w:hAnsi="Palatino Linotype" w:cs="Palatino Linotype"/>
          <w:b/>
          <w:i/>
          <w:sz w:val="22"/>
          <w:szCs w:val="22"/>
        </w:rPr>
        <w:t>Artículo 12.-</w:t>
      </w:r>
      <w:r w:rsidRPr="005F5FD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47CDF395" w14:textId="77777777" w:rsidR="002663A5" w:rsidRPr="005F5FD8" w:rsidRDefault="002663A5">
      <w:pPr>
        <w:spacing w:line="276" w:lineRule="auto"/>
        <w:ind w:left="851" w:right="616"/>
        <w:jc w:val="both"/>
        <w:rPr>
          <w:rFonts w:ascii="Palatino Linotype" w:eastAsia="Palatino Linotype" w:hAnsi="Palatino Linotype" w:cs="Palatino Linotype"/>
          <w:i/>
          <w:sz w:val="22"/>
          <w:szCs w:val="22"/>
        </w:rPr>
      </w:pPr>
    </w:p>
    <w:p w14:paraId="43067425"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F5FD8">
        <w:rPr>
          <w:rFonts w:ascii="Palatino Linotype" w:eastAsia="Palatino Linotype" w:hAnsi="Palatino Linotype" w:cs="Palatino Linotype"/>
          <w:i/>
          <w:sz w:val="22"/>
          <w:szCs w:val="22"/>
        </w:rPr>
        <w:t xml:space="preserve">. </w:t>
      </w:r>
      <w:r w:rsidRPr="005F5FD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5F5FD8">
        <w:rPr>
          <w:rFonts w:ascii="Palatino Linotype" w:eastAsia="Palatino Linotype" w:hAnsi="Palatino Linotype" w:cs="Palatino Linotype"/>
          <w:i/>
          <w:sz w:val="22"/>
          <w:szCs w:val="22"/>
        </w:rPr>
        <w:t xml:space="preserve">.” </w:t>
      </w:r>
    </w:p>
    <w:p w14:paraId="69A28130" w14:textId="77777777" w:rsidR="002663A5" w:rsidRPr="005F5FD8" w:rsidRDefault="002663A5">
      <w:pPr>
        <w:spacing w:line="360" w:lineRule="auto"/>
        <w:ind w:right="-93"/>
        <w:jc w:val="both"/>
        <w:rPr>
          <w:rFonts w:ascii="Palatino Linotype" w:eastAsia="Palatino Linotype" w:hAnsi="Palatino Linotype" w:cs="Palatino Linotype"/>
          <w:sz w:val="22"/>
          <w:szCs w:val="22"/>
        </w:rPr>
      </w:pPr>
    </w:p>
    <w:p w14:paraId="1A42EECC" w14:textId="77777777" w:rsidR="002663A5" w:rsidRPr="005F5FD8" w:rsidRDefault="007B6DC2">
      <w:pPr>
        <w:spacing w:line="360" w:lineRule="auto"/>
        <w:ind w:right="-93"/>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14CFD237" w14:textId="77777777" w:rsidR="002663A5" w:rsidRPr="005F5FD8" w:rsidRDefault="002663A5">
      <w:pPr>
        <w:spacing w:line="360" w:lineRule="auto"/>
        <w:ind w:right="-93"/>
        <w:jc w:val="both"/>
        <w:rPr>
          <w:rFonts w:ascii="Palatino Linotype" w:eastAsia="Palatino Linotype" w:hAnsi="Palatino Linotype" w:cs="Palatino Linotype"/>
          <w:sz w:val="22"/>
          <w:szCs w:val="22"/>
        </w:rPr>
      </w:pPr>
    </w:p>
    <w:p w14:paraId="03C0541D" w14:textId="77777777" w:rsidR="002663A5" w:rsidRPr="005F5FD8" w:rsidRDefault="007B6DC2">
      <w:pPr>
        <w:spacing w:line="360" w:lineRule="auto"/>
        <w:jc w:val="both"/>
        <w:rPr>
          <w:rFonts w:ascii="Palatino Linotype" w:eastAsia="Palatino Linotype" w:hAnsi="Palatino Linotype" w:cs="Palatino Linotype"/>
          <w:b/>
          <w:sz w:val="22"/>
          <w:szCs w:val="22"/>
        </w:rPr>
      </w:pPr>
      <w:r w:rsidRPr="005F5FD8">
        <w:rPr>
          <w:rFonts w:ascii="Palatino Linotype" w:eastAsia="Palatino Linotype" w:hAnsi="Palatino Linotype" w:cs="Palatino Linotype"/>
          <w:sz w:val="22"/>
          <w:szCs w:val="22"/>
        </w:rPr>
        <w:t>Sirve de apoyo a lo anterior, el criterio 03-17, expuesto por el Instituto Nacional de Transparencia, Acceso a la Información y Protección de Datos Personales, que dice:</w:t>
      </w:r>
      <w:r w:rsidRPr="005F5FD8">
        <w:rPr>
          <w:rFonts w:ascii="Palatino Linotype" w:eastAsia="Palatino Linotype" w:hAnsi="Palatino Linotype" w:cs="Palatino Linotype"/>
          <w:b/>
          <w:sz w:val="22"/>
          <w:szCs w:val="22"/>
        </w:rPr>
        <w:t xml:space="preserve"> </w:t>
      </w:r>
    </w:p>
    <w:p w14:paraId="04677EA2" w14:textId="77777777" w:rsidR="002663A5" w:rsidRPr="005F5FD8" w:rsidRDefault="002663A5">
      <w:pPr>
        <w:spacing w:line="276" w:lineRule="auto"/>
        <w:ind w:left="851" w:right="850"/>
        <w:jc w:val="both"/>
        <w:rPr>
          <w:rFonts w:ascii="Palatino Linotype" w:eastAsia="Palatino Linotype" w:hAnsi="Palatino Linotype" w:cs="Palatino Linotype"/>
          <w:sz w:val="22"/>
          <w:szCs w:val="22"/>
        </w:rPr>
      </w:pPr>
    </w:p>
    <w:p w14:paraId="1171B2C5"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w:t>
      </w:r>
      <w:r w:rsidRPr="005F5FD8">
        <w:rPr>
          <w:rFonts w:ascii="Palatino Linotype" w:eastAsia="Palatino Linotype" w:hAnsi="Palatino Linotype" w:cs="Palatino Linotype"/>
          <w:b/>
          <w:i/>
          <w:sz w:val="22"/>
          <w:szCs w:val="22"/>
        </w:rPr>
        <w:t>No existe obligación de elaborar documentos ad hoc para atender las solicitudes de acceso a la información.</w:t>
      </w:r>
      <w:r w:rsidRPr="005F5FD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w:t>
      </w:r>
      <w:r w:rsidRPr="005F5FD8">
        <w:rPr>
          <w:rFonts w:ascii="Palatino Linotype" w:eastAsia="Palatino Linotype" w:hAnsi="Palatino Linotype" w:cs="Palatino Linotype"/>
          <w:i/>
          <w:sz w:val="22"/>
          <w:szCs w:val="22"/>
        </w:rPr>
        <w:lastRenderedPageBreak/>
        <w:t xml:space="preserve">acceso a la información del particular, proporcionando la información con la que cuentan en el formato en que la misma obre en sus archivos; sin necesidad de elaborar documentos ad hoc para atender las solicitudes de información”. </w:t>
      </w:r>
    </w:p>
    <w:p w14:paraId="51E3DF98" w14:textId="77777777" w:rsidR="002663A5" w:rsidRPr="005F5FD8" w:rsidRDefault="002663A5">
      <w:pPr>
        <w:spacing w:line="276" w:lineRule="auto"/>
        <w:ind w:left="567" w:right="616"/>
        <w:jc w:val="both"/>
        <w:rPr>
          <w:rFonts w:ascii="Palatino Linotype" w:eastAsia="Palatino Linotype" w:hAnsi="Palatino Linotype" w:cs="Palatino Linotype"/>
          <w:i/>
          <w:sz w:val="22"/>
          <w:szCs w:val="22"/>
        </w:rPr>
      </w:pPr>
    </w:p>
    <w:p w14:paraId="2E05B49E"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BEEE88B"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075BD97E"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69B364B4"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222B347E"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w:t>
      </w:r>
      <w:r w:rsidRPr="005F5FD8">
        <w:rPr>
          <w:rFonts w:ascii="Palatino Linotype" w:eastAsia="Palatino Linotype" w:hAnsi="Palatino Linotype" w:cs="Palatino Linotype"/>
          <w:b/>
          <w:i/>
          <w:sz w:val="22"/>
          <w:szCs w:val="22"/>
        </w:rPr>
        <w:t xml:space="preserve">Artículo 3. </w:t>
      </w:r>
      <w:r w:rsidRPr="005F5FD8">
        <w:rPr>
          <w:rFonts w:ascii="Palatino Linotype" w:eastAsia="Palatino Linotype" w:hAnsi="Palatino Linotype" w:cs="Palatino Linotype"/>
          <w:i/>
          <w:sz w:val="22"/>
          <w:szCs w:val="22"/>
        </w:rPr>
        <w:t>Para los efectos de la presente Ley se entenderá por:</w:t>
      </w:r>
    </w:p>
    <w:p w14:paraId="6E899D36"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w:t>
      </w:r>
    </w:p>
    <w:p w14:paraId="30611FD9"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XI. Documento:</w:t>
      </w:r>
      <w:r w:rsidRPr="005F5FD8">
        <w:rPr>
          <w:rFonts w:ascii="Palatino Linotype" w:eastAsia="Palatino Linotype" w:hAnsi="Palatino Linotype" w:cs="Palatino Linotype"/>
          <w:i/>
          <w:sz w:val="22"/>
          <w:szCs w:val="22"/>
        </w:rPr>
        <w:t xml:space="preserve"> Los expedientes, reportes, estudios, actas</w:t>
      </w:r>
      <w:r w:rsidRPr="005F5FD8">
        <w:rPr>
          <w:rFonts w:ascii="Palatino Linotype" w:eastAsia="Palatino Linotype" w:hAnsi="Palatino Linotype" w:cs="Palatino Linotype"/>
          <w:b/>
          <w:i/>
          <w:sz w:val="22"/>
          <w:szCs w:val="22"/>
        </w:rPr>
        <w:t>,</w:t>
      </w:r>
      <w:r w:rsidRPr="005F5FD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90F8BA5" w14:textId="77777777" w:rsidR="002663A5" w:rsidRPr="005F5FD8" w:rsidRDefault="002663A5">
      <w:pPr>
        <w:spacing w:line="360" w:lineRule="auto"/>
        <w:ind w:left="851" w:right="899"/>
        <w:jc w:val="both"/>
        <w:rPr>
          <w:rFonts w:ascii="Palatino Linotype" w:eastAsia="Palatino Linotype" w:hAnsi="Palatino Linotype" w:cs="Palatino Linotype"/>
          <w:sz w:val="22"/>
          <w:szCs w:val="22"/>
        </w:rPr>
      </w:pPr>
    </w:p>
    <w:p w14:paraId="046CFB2F"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lastRenderedPageBreak/>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3ECDD10" w14:textId="77777777" w:rsidR="002663A5" w:rsidRPr="005F5FD8" w:rsidRDefault="002663A5">
      <w:pPr>
        <w:spacing w:line="360" w:lineRule="auto"/>
        <w:ind w:left="851" w:right="899"/>
        <w:jc w:val="both"/>
        <w:rPr>
          <w:rFonts w:ascii="Palatino Linotype" w:eastAsia="Palatino Linotype" w:hAnsi="Palatino Linotype" w:cs="Palatino Linotype"/>
          <w:sz w:val="22"/>
          <w:szCs w:val="22"/>
        </w:rPr>
      </w:pPr>
    </w:p>
    <w:p w14:paraId="10E9A859" w14:textId="77777777" w:rsidR="002663A5" w:rsidRPr="005F5FD8" w:rsidRDefault="007B6DC2">
      <w:pPr>
        <w:spacing w:line="276" w:lineRule="auto"/>
        <w:ind w:left="851" w:right="616"/>
        <w:jc w:val="both"/>
        <w:rPr>
          <w:rFonts w:ascii="Palatino Linotype" w:eastAsia="Palatino Linotype" w:hAnsi="Palatino Linotype" w:cs="Palatino Linotype"/>
          <w:b/>
          <w:i/>
          <w:sz w:val="22"/>
          <w:szCs w:val="22"/>
        </w:rPr>
      </w:pPr>
      <w:r w:rsidRPr="005F5FD8">
        <w:rPr>
          <w:rFonts w:ascii="Palatino Linotype" w:eastAsia="Palatino Linotype" w:hAnsi="Palatino Linotype" w:cs="Palatino Linotype"/>
          <w:b/>
          <w:sz w:val="22"/>
          <w:szCs w:val="22"/>
        </w:rPr>
        <w:t>“</w:t>
      </w:r>
      <w:r w:rsidRPr="005F5FD8">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5F5FD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6EEC29A2"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 xml:space="preserve">En </w:t>
      </w:r>
      <w:proofErr w:type="gramStart"/>
      <w:r w:rsidRPr="005F5FD8">
        <w:rPr>
          <w:rFonts w:ascii="Palatino Linotype" w:eastAsia="Palatino Linotype" w:hAnsi="Palatino Linotype" w:cs="Palatino Linotype"/>
          <w:i/>
          <w:sz w:val="22"/>
          <w:szCs w:val="22"/>
        </w:rPr>
        <w:t>consecuencia</w:t>
      </w:r>
      <w:proofErr w:type="gramEnd"/>
      <w:r w:rsidRPr="005F5FD8">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75061ABE"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 xml:space="preserve">1) Que se trate de información registrada en cualquier soporte documental, </w:t>
      </w:r>
      <w:proofErr w:type="gramStart"/>
      <w:r w:rsidRPr="005F5FD8">
        <w:rPr>
          <w:rFonts w:ascii="Palatino Linotype" w:eastAsia="Palatino Linotype" w:hAnsi="Palatino Linotype" w:cs="Palatino Linotype"/>
          <w:i/>
          <w:sz w:val="22"/>
          <w:szCs w:val="22"/>
        </w:rPr>
        <w:t>que</w:t>
      </w:r>
      <w:proofErr w:type="gramEnd"/>
      <w:r w:rsidRPr="005F5FD8">
        <w:rPr>
          <w:rFonts w:ascii="Palatino Linotype" w:eastAsia="Palatino Linotype" w:hAnsi="Palatino Linotype" w:cs="Palatino Linotype"/>
          <w:i/>
          <w:sz w:val="22"/>
          <w:szCs w:val="22"/>
        </w:rPr>
        <w:t xml:space="preserve"> en ejercicio de las atribuciones conferidas, sea generada por los Sujetos Obligados;</w:t>
      </w:r>
    </w:p>
    <w:p w14:paraId="063CE4A3" w14:textId="77777777" w:rsidR="002663A5" w:rsidRPr="005F5FD8" w:rsidRDefault="007B6DC2">
      <w:pPr>
        <w:spacing w:line="276" w:lineRule="auto"/>
        <w:ind w:left="851" w:right="616"/>
        <w:jc w:val="both"/>
        <w:rPr>
          <w:rFonts w:ascii="Palatino Linotype" w:eastAsia="Palatino Linotype" w:hAnsi="Palatino Linotype" w:cs="Palatino Linotype"/>
          <w:b/>
          <w:i/>
          <w:sz w:val="22"/>
          <w:szCs w:val="22"/>
        </w:rPr>
      </w:pPr>
      <w:r w:rsidRPr="005F5FD8">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5F5FD8">
        <w:rPr>
          <w:rFonts w:ascii="Palatino Linotype" w:eastAsia="Palatino Linotype" w:hAnsi="Palatino Linotype" w:cs="Palatino Linotype"/>
          <w:b/>
          <w:i/>
          <w:sz w:val="22"/>
          <w:szCs w:val="22"/>
        </w:rPr>
        <w:t>que</w:t>
      </w:r>
      <w:proofErr w:type="gramEnd"/>
      <w:r w:rsidRPr="005F5FD8">
        <w:rPr>
          <w:rFonts w:ascii="Palatino Linotype" w:eastAsia="Palatino Linotype" w:hAnsi="Palatino Linotype" w:cs="Palatino Linotype"/>
          <w:b/>
          <w:i/>
          <w:sz w:val="22"/>
          <w:szCs w:val="22"/>
        </w:rPr>
        <w:t xml:space="preserve"> en ejercicio de las atribuciones conferidas, sea administrada por los Sujetos Obligados, y</w:t>
      </w:r>
    </w:p>
    <w:p w14:paraId="691BED32" w14:textId="77777777" w:rsidR="002663A5" w:rsidRPr="005F5FD8" w:rsidRDefault="007B6DC2">
      <w:pPr>
        <w:spacing w:line="276" w:lineRule="auto"/>
        <w:ind w:left="851" w:right="616"/>
        <w:jc w:val="both"/>
        <w:rPr>
          <w:rFonts w:ascii="Palatino Linotype" w:eastAsia="Palatino Linotype" w:hAnsi="Palatino Linotype" w:cs="Palatino Linotype"/>
          <w:b/>
          <w:i/>
          <w:sz w:val="22"/>
          <w:szCs w:val="22"/>
        </w:rPr>
      </w:pPr>
      <w:r w:rsidRPr="005F5FD8">
        <w:rPr>
          <w:rFonts w:ascii="Palatino Linotype" w:eastAsia="Palatino Linotype" w:hAnsi="Palatino Linotype" w:cs="Palatino Linotype"/>
          <w:b/>
          <w:i/>
          <w:sz w:val="22"/>
          <w:szCs w:val="22"/>
        </w:rPr>
        <w:t xml:space="preserve">3) Que se trate de información registrada en cualquier soporte documental, </w:t>
      </w:r>
      <w:proofErr w:type="gramStart"/>
      <w:r w:rsidRPr="005F5FD8">
        <w:rPr>
          <w:rFonts w:ascii="Palatino Linotype" w:eastAsia="Palatino Linotype" w:hAnsi="Palatino Linotype" w:cs="Palatino Linotype"/>
          <w:b/>
          <w:i/>
          <w:sz w:val="22"/>
          <w:szCs w:val="22"/>
        </w:rPr>
        <w:t>que</w:t>
      </w:r>
      <w:proofErr w:type="gramEnd"/>
      <w:r w:rsidRPr="005F5FD8">
        <w:rPr>
          <w:rFonts w:ascii="Palatino Linotype" w:eastAsia="Palatino Linotype" w:hAnsi="Palatino Linotype" w:cs="Palatino Linotype"/>
          <w:b/>
          <w:i/>
          <w:sz w:val="22"/>
          <w:szCs w:val="22"/>
        </w:rPr>
        <w:t xml:space="preserve"> en ejercicio de las atribuciones conferidas, se encuentre en posesión de los Sujetos Obligados.” (Sic)</w:t>
      </w:r>
    </w:p>
    <w:p w14:paraId="6F6788E7"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71FBFBC7" w14:textId="77777777" w:rsidR="002663A5" w:rsidRPr="005F5FD8" w:rsidRDefault="007B6DC2">
      <w:pPr>
        <w:spacing w:line="360" w:lineRule="auto"/>
        <w:ind w:right="49"/>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w:t>
      </w:r>
      <w:r w:rsidRPr="005F5FD8">
        <w:rPr>
          <w:rFonts w:ascii="Palatino Linotype" w:eastAsia="Palatino Linotype" w:hAnsi="Palatino Linotype" w:cs="Palatino Linotype"/>
          <w:sz w:val="22"/>
          <w:szCs w:val="22"/>
        </w:rPr>
        <w:lastRenderedPageBreak/>
        <w:t>pública que emita el servidor público habilitado de cada Sujeto Obligado; como así se establece en la Ley de Transparencia y Acceso a la Información Pública del Estado de México y Municipios.</w:t>
      </w:r>
    </w:p>
    <w:p w14:paraId="6AF6F6DA"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1F690940"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1B94A010" w14:textId="77777777" w:rsidR="002663A5" w:rsidRPr="005F5FD8" w:rsidRDefault="007B6DC2">
      <w:pPr>
        <w:spacing w:before="240" w:after="240" w:line="360" w:lineRule="auto"/>
        <w:ind w:right="51"/>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Ahora bien, del análisis a la solicitud de información, motivo del recurso de revisión que ahora se resuelve, se advierte que la parte </w:t>
      </w:r>
      <w:r w:rsidRPr="005F5FD8">
        <w:rPr>
          <w:rFonts w:ascii="Palatino Linotype" w:eastAsia="Palatino Linotype" w:hAnsi="Palatino Linotype" w:cs="Palatino Linotype"/>
          <w:b/>
          <w:sz w:val="22"/>
          <w:szCs w:val="22"/>
        </w:rPr>
        <w:t>Recurrente</w:t>
      </w:r>
      <w:r w:rsidRPr="005F5FD8">
        <w:rPr>
          <w:rFonts w:ascii="Palatino Linotype" w:eastAsia="Palatino Linotype" w:hAnsi="Palatino Linotype" w:cs="Palatino Linotype"/>
          <w:sz w:val="22"/>
          <w:szCs w:val="22"/>
        </w:rPr>
        <w:t xml:space="preserve"> requirió al </w:t>
      </w:r>
      <w:r w:rsidRPr="005F5FD8">
        <w:rPr>
          <w:rFonts w:ascii="Palatino Linotype" w:eastAsia="Palatino Linotype" w:hAnsi="Palatino Linotype" w:cs="Palatino Linotype"/>
          <w:b/>
          <w:sz w:val="22"/>
          <w:szCs w:val="22"/>
        </w:rPr>
        <w:t xml:space="preserve">Sujeto Obligado, </w:t>
      </w:r>
      <w:r w:rsidRPr="005F5FD8">
        <w:rPr>
          <w:rFonts w:ascii="Palatino Linotype" w:eastAsia="Palatino Linotype" w:hAnsi="Palatino Linotype" w:cs="Palatino Linotype"/>
          <w:sz w:val="22"/>
          <w:szCs w:val="22"/>
        </w:rPr>
        <w:t xml:space="preserve">del primero de enero al treinta y uno de diciembre de dos mil dieciocho: </w:t>
      </w:r>
    </w:p>
    <w:p w14:paraId="2FCD480D" w14:textId="77777777" w:rsidR="002663A5" w:rsidRPr="005F5FD8" w:rsidRDefault="007B6DC2">
      <w:pPr>
        <w:numPr>
          <w:ilvl w:val="0"/>
          <w:numId w:val="5"/>
        </w:numPr>
        <w:pBdr>
          <w:top w:val="nil"/>
          <w:left w:val="nil"/>
          <w:bottom w:val="nil"/>
          <w:right w:val="nil"/>
          <w:between w:val="nil"/>
        </w:pBdr>
        <w:spacing w:before="240" w:after="240" w:line="360" w:lineRule="auto"/>
        <w:ind w:right="51"/>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Del Comité Municipal de Riesgos Sanitarios, previsto en el Bando Municipal del Ayuntamiento de Ecatepec de Morelos 2018: </w:t>
      </w:r>
    </w:p>
    <w:p w14:paraId="7151E413" w14:textId="77777777" w:rsidR="002663A5" w:rsidRPr="005F5FD8" w:rsidRDefault="007B6DC2">
      <w:pPr>
        <w:pBdr>
          <w:top w:val="nil"/>
          <w:left w:val="nil"/>
          <w:bottom w:val="nil"/>
          <w:right w:val="nil"/>
          <w:between w:val="nil"/>
        </w:pBdr>
        <w:spacing w:before="240" w:after="240" w:line="360" w:lineRule="auto"/>
        <w:ind w:left="720" w:right="51"/>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1.- Productos elaborados (por ejemplo, propuestas, programas, recomendaciones, opiniones, posicionamientos, observaciones, denuncias). </w:t>
      </w:r>
    </w:p>
    <w:p w14:paraId="6DA7A66F" w14:textId="77777777" w:rsidR="002663A5" w:rsidRPr="005F5FD8" w:rsidRDefault="007B6DC2">
      <w:pPr>
        <w:pBdr>
          <w:top w:val="nil"/>
          <w:left w:val="nil"/>
          <w:bottom w:val="nil"/>
          <w:right w:val="nil"/>
          <w:between w:val="nil"/>
        </w:pBdr>
        <w:spacing w:before="240" w:after="240" w:line="360" w:lineRule="auto"/>
        <w:ind w:left="720" w:right="51"/>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2.- Informes de actividades y/o resultados. </w:t>
      </w:r>
    </w:p>
    <w:p w14:paraId="53A8E1FD"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lastRenderedPageBreak/>
        <w:t xml:space="preserve">En respuesta,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a través de la Titular de la Unidad de Transparencia informó al particular que el H. Ayuntamiento Constitucional de Ecatepec de Morelos, no es Sujeto Obligado para dar atención a su requerimiento, por lo que le sugiere ingresar nuevamente su solicitud al Sistema para el Desarrollo Integral de la Familia de Ecatepec de Morelos; toda vez que es la dependencia encargada de brindar atención a sus requerimientos. </w:t>
      </w:r>
    </w:p>
    <w:p w14:paraId="10F295E2"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456CB2F4"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Una vez conocida la respuesta, la parte</w:t>
      </w:r>
      <w:r w:rsidRPr="005F5FD8">
        <w:rPr>
          <w:rFonts w:ascii="Palatino Linotype" w:eastAsia="Palatino Linotype" w:hAnsi="Palatino Linotype" w:cs="Palatino Linotype"/>
          <w:b/>
          <w:sz w:val="22"/>
          <w:szCs w:val="22"/>
        </w:rPr>
        <w:t xml:space="preserve"> Recurrente</w:t>
      </w:r>
      <w:r w:rsidRPr="005F5FD8">
        <w:rPr>
          <w:rFonts w:ascii="Palatino Linotype" w:eastAsia="Palatino Linotype" w:hAnsi="Palatino Linotype" w:cs="Palatino Linotype"/>
          <w:sz w:val="22"/>
          <w:szCs w:val="22"/>
        </w:rPr>
        <w:t xml:space="preserve"> interpuso el recurso de revisión que en este acto se resuelve, inconformándose por no dar la declaratoria de incompetencia. </w:t>
      </w:r>
    </w:p>
    <w:p w14:paraId="761A08CA"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5FD01887"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Posteriormente se decretó la admisión del medio de impugnación que nos ocupan y se integró el respectivo expediente, teniendo así que el </w:t>
      </w:r>
      <w:r w:rsidRPr="005F5FD8">
        <w:rPr>
          <w:rFonts w:ascii="Palatino Linotype" w:eastAsia="Palatino Linotype" w:hAnsi="Palatino Linotype" w:cs="Palatino Linotype"/>
          <w:b/>
          <w:sz w:val="22"/>
          <w:szCs w:val="22"/>
        </w:rPr>
        <w:t xml:space="preserve">Sujeto Obligado </w:t>
      </w:r>
      <w:r w:rsidRPr="005F5FD8">
        <w:rPr>
          <w:rFonts w:ascii="Palatino Linotype" w:eastAsia="Palatino Linotype" w:hAnsi="Palatino Linotype" w:cs="Palatino Linotype"/>
          <w:sz w:val="22"/>
          <w:szCs w:val="22"/>
        </w:rPr>
        <w:t xml:space="preserve">fue omiso en remitir su informe justificado. </w:t>
      </w:r>
    </w:p>
    <w:p w14:paraId="4D49E981" w14:textId="77777777" w:rsidR="002663A5" w:rsidRPr="005F5FD8" w:rsidRDefault="002663A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278FDA5F" w14:textId="77777777" w:rsidR="002663A5" w:rsidRPr="005F5FD8" w:rsidRDefault="007B6DC2">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r w:rsidRPr="005F5FD8">
        <w:rPr>
          <w:rFonts w:ascii="Palatino Linotype" w:eastAsia="Palatino Linotype" w:hAnsi="Palatino Linotype" w:cs="Palatino Linotype"/>
          <w:sz w:val="22"/>
          <w:szCs w:val="22"/>
        </w:rPr>
        <w:t xml:space="preserve">Expuesto lo anterior, y derivado de que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precisó que era incompetente para conocer de la solicitud de información, los artículos 49, fracción II, 53, fracción III y 167 de la Ley de Transparencia y Acceso a la Información Pública del Estado de México, señalan que las Unidades de Transparencia son responsables de orientar a los particulares respecto de la dependencia, entidad u órgano que pudiera tener la información requerida, </w:t>
      </w:r>
      <w:r w:rsidRPr="005F5FD8">
        <w:rPr>
          <w:rFonts w:ascii="Palatino Linotype" w:eastAsia="Palatino Linotype" w:hAnsi="Palatino Linotype" w:cs="Palatino Linotype"/>
          <w:b/>
          <w:sz w:val="22"/>
          <w:szCs w:val="22"/>
        </w:rPr>
        <w:t>cuando la misma no sea competencia del sujeto obligado ante el cual se formule la solicitud de acceso.</w:t>
      </w:r>
    </w:p>
    <w:p w14:paraId="54B9468D"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62D47978"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Asimismo, que los Comités de Transparencia tienen entre sus atribuciones confirmar, modificar o revocar la </w:t>
      </w:r>
      <w:r w:rsidRPr="005F5FD8">
        <w:rPr>
          <w:rFonts w:ascii="Palatino Linotype" w:eastAsia="Palatino Linotype" w:hAnsi="Palatino Linotype" w:cs="Palatino Linotype"/>
          <w:b/>
          <w:sz w:val="22"/>
          <w:szCs w:val="22"/>
        </w:rPr>
        <w:t>declaración de incompetencia</w:t>
      </w:r>
      <w:r w:rsidRPr="005F5FD8">
        <w:rPr>
          <w:rFonts w:ascii="Palatino Linotype" w:eastAsia="Palatino Linotype" w:hAnsi="Palatino Linotype" w:cs="Palatino Linotype"/>
          <w:sz w:val="22"/>
          <w:szCs w:val="22"/>
        </w:rPr>
        <w:t xml:space="preserve"> que realicen los titulares de las unidades administrativas.</w:t>
      </w:r>
    </w:p>
    <w:p w14:paraId="0C44E02A"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4958707E"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lastRenderedPageBreak/>
        <w:t xml:space="preserve">Por lo que, cuando las Unidades de Transparencia determinen </w:t>
      </w:r>
      <w:r w:rsidRPr="005F5FD8">
        <w:rPr>
          <w:rFonts w:ascii="Palatino Linotype" w:eastAsia="Palatino Linotype" w:hAnsi="Palatino Linotype" w:cs="Palatino Linotype"/>
          <w:b/>
          <w:sz w:val="22"/>
          <w:szCs w:val="22"/>
        </w:rPr>
        <w:t>la notoria incompetencia</w:t>
      </w:r>
      <w:r w:rsidRPr="005F5FD8">
        <w:rPr>
          <w:rFonts w:ascii="Palatino Linotype" w:eastAsia="Palatino Linotype" w:hAnsi="Palatino Linotype" w:cs="Palatino Linotype"/>
          <w:sz w:val="22"/>
          <w:szCs w:val="22"/>
        </w:rPr>
        <w:t xml:space="preserve"> por parte de los sujetos obligados deberán comunicar al solicitante la misma </w:t>
      </w:r>
      <w:r w:rsidRPr="005F5FD8">
        <w:rPr>
          <w:rFonts w:ascii="Palatino Linotype" w:eastAsia="Palatino Linotype" w:hAnsi="Palatino Linotype" w:cs="Palatino Linotype"/>
          <w:b/>
          <w:sz w:val="22"/>
          <w:szCs w:val="22"/>
        </w:rPr>
        <w:t>dentro de los tres días posteriores a la recepción de la solicitud.</w:t>
      </w:r>
    </w:p>
    <w:p w14:paraId="60E06551"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1B9BC293"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Como se logra observar, si bien la Ley de la materia, prevé el supuesto de incompetencia para que los sujetos obligados den atención a solitudes de información, también lo es, que no se precisa en que consiste dicho concepto; al respecto, Cabanellas, Guillermo (1993), en el “Diccionario Jurídico Elemental” (p. 32 y 161), precisó los siguientes conceptos:</w:t>
      </w:r>
    </w:p>
    <w:p w14:paraId="41843554"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07FEACA3" w14:textId="77777777" w:rsidR="002663A5" w:rsidRPr="005F5FD8" w:rsidRDefault="007B6DC2">
      <w:pPr>
        <w:numPr>
          <w:ilvl w:val="0"/>
          <w:numId w:val="3"/>
        </w:numPr>
        <w:spacing w:line="360" w:lineRule="auto"/>
        <w:ind w:left="851" w:right="616" w:firstLine="0"/>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Competencia: </w:t>
      </w:r>
      <w:r w:rsidRPr="005F5FD8">
        <w:rPr>
          <w:rFonts w:ascii="Palatino Linotype" w:eastAsia="Palatino Linotype" w:hAnsi="Palatino Linotype" w:cs="Palatino Linotype"/>
          <w:sz w:val="22"/>
          <w:szCs w:val="22"/>
        </w:rPr>
        <w:t>La capacidad de una autoridad para conocer sobre una materia o asunto.</w:t>
      </w:r>
    </w:p>
    <w:p w14:paraId="5031A9E1" w14:textId="77777777" w:rsidR="002663A5" w:rsidRPr="005F5FD8" w:rsidRDefault="002663A5">
      <w:pPr>
        <w:spacing w:line="360" w:lineRule="auto"/>
        <w:ind w:left="851" w:right="616"/>
        <w:jc w:val="both"/>
        <w:rPr>
          <w:rFonts w:ascii="Palatino Linotype" w:eastAsia="Palatino Linotype" w:hAnsi="Palatino Linotype" w:cs="Palatino Linotype"/>
          <w:sz w:val="22"/>
          <w:szCs w:val="22"/>
        </w:rPr>
      </w:pPr>
    </w:p>
    <w:p w14:paraId="1C4EED37" w14:textId="77777777" w:rsidR="002663A5" w:rsidRPr="005F5FD8" w:rsidRDefault="007B6DC2">
      <w:pPr>
        <w:numPr>
          <w:ilvl w:val="0"/>
          <w:numId w:val="3"/>
        </w:numPr>
        <w:spacing w:line="360" w:lineRule="auto"/>
        <w:ind w:left="851" w:right="616" w:firstLine="0"/>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Incompetencia:</w:t>
      </w:r>
      <w:r w:rsidRPr="005F5FD8">
        <w:rPr>
          <w:rFonts w:ascii="Palatino Linotype" w:eastAsia="Palatino Linotype" w:hAnsi="Palatino Linotype" w:cs="Palatino Linotype"/>
          <w:sz w:val="22"/>
          <w:szCs w:val="22"/>
        </w:rPr>
        <w:t xml:space="preserve"> Falta de Competencia.</w:t>
      </w:r>
    </w:p>
    <w:p w14:paraId="1AEF0D9B"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5FE9B6BE"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Por lo que, </w:t>
      </w:r>
      <w:r w:rsidRPr="005F5FD8">
        <w:rPr>
          <w:rFonts w:ascii="Palatino Linotype" w:eastAsia="Palatino Linotype" w:hAnsi="Palatino Linotype" w:cs="Palatino Linotype"/>
          <w:b/>
          <w:sz w:val="22"/>
          <w:szCs w:val="22"/>
        </w:rPr>
        <w:t>la incompetencia</w:t>
      </w:r>
      <w:r w:rsidRPr="005F5FD8">
        <w:rPr>
          <w:rFonts w:ascii="Palatino Linotype" w:eastAsia="Palatino Linotype" w:hAnsi="Palatino Linotype" w:cs="Palatino Linotype"/>
          <w:sz w:val="22"/>
          <w:szCs w:val="22"/>
        </w:rPr>
        <w:t xml:space="preserve">, radica en la incapacidad de una autoridad para conocer de un tema o asunto; en el mismo sentido, conviene traer a cuenta tesis aislada número III.2o.P.11 K, publicada en el Semanario Judicial de la Federación y su Gaceta, Novena Época, Tomo XV, </w:t>
      </w:r>
      <w:proofErr w:type="gramStart"/>
      <w:r w:rsidRPr="005F5FD8">
        <w:rPr>
          <w:rFonts w:ascii="Palatino Linotype" w:eastAsia="Palatino Linotype" w:hAnsi="Palatino Linotype" w:cs="Palatino Linotype"/>
          <w:sz w:val="22"/>
          <w:szCs w:val="22"/>
        </w:rPr>
        <w:t>Mayo</w:t>
      </w:r>
      <w:proofErr w:type="gramEnd"/>
      <w:r w:rsidRPr="005F5FD8">
        <w:rPr>
          <w:rFonts w:ascii="Palatino Linotype" w:eastAsia="Palatino Linotype" w:hAnsi="Palatino Linotype" w:cs="Palatino Linotype"/>
          <w:sz w:val="22"/>
          <w:szCs w:val="22"/>
        </w:rPr>
        <w:t xml:space="preserve"> de 2002, Pág. 1243, ya que precisa lo siguiente: </w:t>
      </w:r>
    </w:p>
    <w:p w14:paraId="24148326"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41F80067" w14:textId="77777777" w:rsidR="002663A5" w:rsidRPr="005F5FD8" w:rsidRDefault="007B6DC2">
      <w:pPr>
        <w:spacing w:line="276" w:lineRule="auto"/>
        <w:ind w:left="851" w:right="567"/>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 xml:space="preserve">“LEGITIMACIÓN DE FUNCIONARIOS PÚBLICOS. LOS TRIBUNALES DE AMPARO, POR ESTAR VINCULADOS CON EL CONCEPTO DE COMPETENCIA A QUE SE REFIERE EL ARTÍCULO 16 CONSTITUCIONAL, NO PUEDEN CONOCER DE AQUÉLLA. </w:t>
      </w:r>
      <w:r w:rsidRPr="005F5FD8">
        <w:rPr>
          <w:rFonts w:ascii="Palatino Linotype" w:eastAsia="Palatino Linotype" w:hAnsi="Palatino Linotype" w:cs="Palatino Linotype"/>
          <w:i/>
          <w:sz w:val="22"/>
          <w:szCs w:val="22"/>
        </w:rPr>
        <w:t xml:space="preserve">El artículo 16 constitucional se refiere a la competencia que tienen las autoridades para conocer de determinadas conductas en particular, caso que corresponde a la esfera de atribuciones de las autoridades cuya competencia constituye el análisis del Poder Judicial de la Federación, mas no la forma en que una autoridad fue elegida o integrada, circunstancia que le compete estudiar a la autoridad individual o colegiada </w:t>
      </w:r>
      <w:r w:rsidRPr="005F5FD8">
        <w:rPr>
          <w:rFonts w:ascii="Palatino Linotype" w:eastAsia="Palatino Linotype" w:hAnsi="Palatino Linotype" w:cs="Palatino Linotype"/>
          <w:i/>
          <w:sz w:val="22"/>
          <w:szCs w:val="22"/>
        </w:rPr>
        <w:lastRenderedPageBreak/>
        <w:t>que otorgó el nombramiento o, en todo caso, el régimen establecido para ello, porque el precitado artículo constitucional no se refiere a la legitimación de un funcionario, ni a la manera como se incorpora a la función pública, sino a los límites fijados para la actuación del órgano frente a los particulares, ya que consagra una garantía individual y no un control interno de la organización administrativa.”</w:t>
      </w:r>
    </w:p>
    <w:p w14:paraId="623440B7"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09A38965" w14:textId="77777777" w:rsidR="002663A5" w:rsidRPr="005F5FD8" w:rsidRDefault="007B6DC2">
      <w:pPr>
        <w:widowControl w:val="0"/>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De la misma manera, resulta necesario traer a colación, el Criterio de Interpretación, de la Segunda Época, con número de registro SO/013/2017, emitido por el Instituto Nacional de Transparencia, Acceso a la Información y Protección de Datos Personales, que dispone lo siguiente:</w:t>
      </w:r>
    </w:p>
    <w:p w14:paraId="61DAA428" w14:textId="77777777" w:rsidR="002663A5" w:rsidRPr="005F5FD8" w:rsidRDefault="002663A5">
      <w:pPr>
        <w:widowControl w:val="0"/>
        <w:spacing w:line="360" w:lineRule="auto"/>
        <w:jc w:val="both"/>
        <w:rPr>
          <w:rFonts w:ascii="Palatino Linotype" w:eastAsia="Palatino Linotype" w:hAnsi="Palatino Linotype" w:cs="Palatino Linotype"/>
          <w:sz w:val="22"/>
          <w:szCs w:val="22"/>
        </w:rPr>
      </w:pPr>
    </w:p>
    <w:p w14:paraId="1BD882C7" w14:textId="77777777" w:rsidR="002663A5" w:rsidRPr="005F5FD8" w:rsidRDefault="007B6DC2">
      <w:pPr>
        <w:spacing w:line="276" w:lineRule="auto"/>
        <w:ind w:left="851" w:right="567"/>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w:t>
      </w:r>
      <w:r w:rsidRPr="005F5FD8">
        <w:rPr>
          <w:rFonts w:ascii="Palatino Linotype" w:eastAsia="Palatino Linotype" w:hAnsi="Palatino Linotype" w:cs="Palatino Linotype"/>
          <w:b/>
          <w:i/>
          <w:sz w:val="22"/>
          <w:szCs w:val="22"/>
        </w:rPr>
        <w:t xml:space="preserve">Incompetencia. </w:t>
      </w:r>
      <w:r w:rsidRPr="005F5FD8">
        <w:rPr>
          <w:rFonts w:ascii="Palatino Linotype" w:eastAsia="Palatino Linotype" w:hAnsi="Palatino Linotype" w:cs="Palatino Linotype"/>
          <w:i/>
          <w:sz w:val="22"/>
          <w:szCs w:val="22"/>
        </w:rPr>
        <w:t>La incompetencia implica la ausencia de atribuciones del sujeto obligado para poseer la información solicitada; es decir, se trata de una cuestión de derecho, en tanto que no existan facultades para contar con lo requerido; por lo que la incompetencia es una cualidad atribuida al sujeto obligado que la declara.”</w:t>
      </w:r>
    </w:p>
    <w:p w14:paraId="5C1DC384"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7CE273C5"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En tal virtud, la </w:t>
      </w:r>
      <w:r w:rsidRPr="005F5FD8">
        <w:rPr>
          <w:rFonts w:ascii="Palatino Linotype" w:eastAsia="Palatino Linotype" w:hAnsi="Palatino Linotype" w:cs="Palatino Linotype"/>
          <w:b/>
          <w:sz w:val="22"/>
          <w:szCs w:val="22"/>
        </w:rPr>
        <w:t xml:space="preserve">incompetencia </w:t>
      </w:r>
      <w:r w:rsidRPr="005F5FD8">
        <w:rPr>
          <w:rFonts w:ascii="Palatino Linotype" w:eastAsia="Palatino Linotype" w:hAnsi="Palatino Linotype" w:cs="Palatino Linotype"/>
          <w:sz w:val="22"/>
          <w:szCs w:val="22"/>
        </w:rPr>
        <w:t>implica que, de conformidad con las atribuciones conferidas al Sujeto Obligado, no habría razón por la cual éste deba contar con la información solicitada, en cuyo caso, tendría que orientar al particular para que acuda a la instancia competente. En otro orden de ideas, dicho concepto refiere a la ausencia de atribuciones por parte de los Entes sujetos a las Leyes de Transparencia, para contar con la información que se requiere, es decir, se trata de una situación que se dilucida a partir de las facultades atribuidas a éste.</w:t>
      </w:r>
    </w:p>
    <w:p w14:paraId="16803E16"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50DA8CA9"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Por tanto, a continuación, se analiza si en la especie, el Ente Recurrido cuenta con atribuciones para conocer sobre la información requerida, por lo cual, es oportuno traer a colación el artículo 35 del Bando Municipal de Ecatepec de Morelos dos mil dieciocho, el cual precisa que los organismos públicos descentralizados como el Sistema Municipal para </w:t>
      </w:r>
      <w:r w:rsidRPr="005F5FD8">
        <w:rPr>
          <w:rFonts w:ascii="Palatino Linotype" w:eastAsia="Palatino Linotype" w:hAnsi="Palatino Linotype" w:cs="Palatino Linotype"/>
          <w:sz w:val="22"/>
          <w:szCs w:val="22"/>
        </w:rPr>
        <w:lastRenderedPageBreak/>
        <w:t xml:space="preserve">el Desarrollo Integral de la Familia, coadyuvará con el Ayuntamiento en el ejercicio de las funciones, desarrollo de actividades y prestación de servicios. </w:t>
      </w:r>
    </w:p>
    <w:p w14:paraId="6B5311D9"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6CE0A598"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Asimismo, señalan que para el eficaz desempeño de las funciones públicas, el Ayuntamiento podrá auxiliarse por </w:t>
      </w:r>
      <w:r w:rsidRPr="005F5FD8">
        <w:rPr>
          <w:rFonts w:ascii="Palatino Linotype" w:eastAsia="Palatino Linotype" w:hAnsi="Palatino Linotype" w:cs="Palatino Linotype"/>
          <w:b/>
          <w:sz w:val="22"/>
          <w:szCs w:val="22"/>
        </w:rPr>
        <w:t>Comités</w:t>
      </w:r>
      <w:r w:rsidRPr="005F5FD8">
        <w:rPr>
          <w:rFonts w:ascii="Palatino Linotype" w:eastAsia="Palatino Linotype" w:hAnsi="Palatino Linotype" w:cs="Palatino Linotype"/>
          <w:sz w:val="22"/>
          <w:szCs w:val="22"/>
        </w:rPr>
        <w:t xml:space="preserve">, Comisiones y Consejos, de conformidad con el artículo 36 del Bando Municipal, tal y como se muestra a </w:t>
      </w:r>
      <w:proofErr w:type="gramStart"/>
      <w:r w:rsidRPr="005F5FD8">
        <w:rPr>
          <w:rFonts w:ascii="Palatino Linotype" w:eastAsia="Palatino Linotype" w:hAnsi="Palatino Linotype" w:cs="Palatino Linotype"/>
          <w:sz w:val="22"/>
          <w:szCs w:val="22"/>
        </w:rPr>
        <w:t>continuación :</w:t>
      </w:r>
      <w:proofErr w:type="gramEnd"/>
      <w:r w:rsidRPr="005F5FD8">
        <w:rPr>
          <w:rFonts w:ascii="Palatino Linotype" w:eastAsia="Palatino Linotype" w:hAnsi="Palatino Linotype" w:cs="Palatino Linotype"/>
          <w:sz w:val="22"/>
          <w:szCs w:val="22"/>
        </w:rPr>
        <w:t xml:space="preserve"> </w:t>
      </w:r>
    </w:p>
    <w:p w14:paraId="013DAA7D" w14:textId="77777777" w:rsidR="002663A5" w:rsidRPr="005F5FD8" w:rsidRDefault="002663A5">
      <w:pPr>
        <w:spacing w:line="360" w:lineRule="auto"/>
        <w:ind w:right="49"/>
        <w:jc w:val="both"/>
        <w:rPr>
          <w:rFonts w:ascii="Palatino Linotype" w:eastAsia="Palatino Linotype" w:hAnsi="Palatino Linotype" w:cs="Palatino Linotype"/>
          <w:sz w:val="22"/>
          <w:szCs w:val="22"/>
        </w:rPr>
      </w:pPr>
    </w:p>
    <w:p w14:paraId="35C23109"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w:t>
      </w:r>
      <w:r w:rsidRPr="005F5FD8">
        <w:rPr>
          <w:rFonts w:ascii="Palatino Linotype" w:eastAsia="Palatino Linotype" w:hAnsi="Palatino Linotype" w:cs="Palatino Linotype"/>
          <w:b/>
          <w:i/>
          <w:sz w:val="22"/>
          <w:szCs w:val="22"/>
        </w:rPr>
        <w:t>Artículo 36</w:t>
      </w:r>
      <w:r w:rsidRPr="005F5FD8">
        <w:rPr>
          <w:rFonts w:ascii="Palatino Linotype" w:eastAsia="Palatino Linotype" w:hAnsi="Palatino Linotype" w:cs="Palatino Linotype"/>
          <w:i/>
          <w:sz w:val="22"/>
          <w:szCs w:val="22"/>
        </w:rPr>
        <w:t>. El H. Ayuntamiento, para el eficaz desempeño de sus funciones públicas, podrá auxiliarse por:</w:t>
      </w:r>
    </w:p>
    <w:p w14:paraId="75E005E0"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I. Las Comisiones del H. Ayuntamiento;</w:t>
      </w:r>
    </w:p>
    <w:p w14:paraId="2E4E655A"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II. La Comisión de Planeación para el Desarrollo Municipal;</w:t>
      </w:r>
    </w:p>
    <w:p w14:paraId="1092F4A8"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III. Delegaciones, Subdelegaciones y Consejos de Participación Ciudadana;</w:t>
      </w:r>
    </w:p>
    <w:p w14:paraId="70C08507"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r w:rsidRPr="005F5FD8">
        <w:rPr>
          <w:rFonts w:ascii="Palatino Linotype" w:eastAsia="Palatino Linotype" w:hAnsi="Palatino Linotype" w:cs="Palatino Linotype"/>
          <w:b/>
          <w:i/>
          <w:sz w:val="22"/>
          <w:szCs w:val="22"/>
          <w:u w:val="single"/>
        </w:rPr>
        <w:t>IV. Los Comités, Comisiones y Consejos que determine el H. Ayuntamiento para el mejor desempeño del servicio público, entre los que destacan:</w:t>
      </w:r>
    </w:p>
    <w:p w14:paraId="24BC5FFF"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a. Consejo Municipal de Protección Civil;</w:t>
      </w:r>
    </w:p>
    <w:p w14:paraId="69BB7640"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b. Consejo Municipal de Seguridad Pública;</w:t>
      </w:r>
    </w:p>
    <w:p w14:paraId="57B4736E"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c. Consejo Municipal de Población en Ecatepec;</w:t>
      </w:r>
    </w:p>
    <w:p w14:paraId="40BD184E"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d. Consejo Municipal de Prevención y Control del Crecimiento Urbano;</w:t>
      </w:r>
    </w:p>
    <w:p w14:paraId="315A3DE8"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e. Comité de Planeación para el Desarrollo Municipal;</w:t>
      </w:r>
    </w:p>
    <w:p w14:paraId="6E05B163"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f. Comisión Municipal para el Bienestar y la Inco</w:t>
      </w:r>
      <w:r w:rsidR="006D6750" w:rsidRPr="005F5FD8">
        <w:rPr>
          <w:rFonts w:ascii="Palatino Linotype" w:eastAsia="Palatino Linotype" w:hAnsi="Palatino Linotype" w:cs="Palatino Linotype"/>
          <w:i/>
          <w:sz w:val="22"/>
          <w:szCs w:val="22"/>
        </w:rPr>
        <w:t xml:space="preserve">rporación al Desarrollo de las </w:t>
      </w:r>
      <w:r w:rsidRPr="005F5FD8">
        <w:rPr>
          <w:rFonts w:ascii="Palatino Linotype" w:eastAsia="Palatino Linotype" w:hAnsi="Palatino Linotype" w:cs="Palatino Linotype"/>
          <w:i/>
          <w:sz w:val="22"/>
          <w:szCs w:val="22"/>
        </w:rPr>
        <w:t>Personas con Discapacidad;</w:t>
      </w:r>
    </w:p>
    <w:p w14:paraId="6B732770"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g. Comité de Información;</w:t>
      </w:r>
    </w:p>
    <w:p w14:paraId="3BBCD2EC"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h. Consejo Municipal de Protección al Ambiente;</w:t>
      </w:r>
    </w:p>
    <w:p w14:paraId="55F47C7A"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i. Consejo Municipal de Lucha Contra las Drogas y la Delincuencia;</w:t>
      </w:r>
    </w:p>
    <w:p w14:paraId="1F583EDF"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j. Consejo Municipal de Protección a la Biodiversidad y Desarrollo Sustentable;</w:t>
      </w:r>
    </w:p>
    <w:p w14:paraId="1770AFBB"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k. Consejo Municipal de Salud;</w:t>
      </w:r>
    </w:p>
    <w:p w14:paraId="59124DAF"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l. Consejo Municipal de Equidad y Género;</w:t>
      </w:r>
    </w:p>
    <w:p w14:paraId="2E3B079F"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u w:val="single"/>
        </w:rPr>
      </w:pPr>
      <w:r w:rsidRPr="005F5FD8">
        <w:rPr>
          <w:rFonts w:ascii="Palatino Linotype" w:eastAsia="Palatino Linotype" w:hAnsi="Palatino Linotype" w:cs="Palatino Linotype"/>
          <w:b/>
          <w:i/>
          <w:sz w:val="22"/>
          <w:szCs w:val="22"/>
          <w:u w:val="single"/>
        </w:rPr>
        <w:t>V. Los demás que apruebe el H. Ayuntamiento.</w:t>
      </w:r>
    </w:p>
    <w:p w14:paraId="29A01875"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b/>
          <w:i/>
          <w:sz w:val="22"/>
          <w:szCs w:val="22"/>
        </w:rPr>
      </w:pPr>
      <w:r w:rsidRPr="005F5FD8">
        <w:rPr>
          <w:rFonts w:ascii="Palatino Linotype" w:eastAsia="Palatino Linotype" w:hAnsi="Palatino Linotype" w:cs="Palatino Linotype"/>
          <w:b/>
          <w:i/>
          <w:sz w:val="22"/>
          <w:szCs w:val="22"/>
        </w:rPr>
        <w:t>Los consejos y comités conducirán sus actividades en forma programada, con base en las políticas y objetivos previstos.</w:t>
      </w:r>
    </w:p>
    <w:p w14:paraId="7DD71518"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 xml:space="preserve">Sus funciones deberán regirse por el reglamento municipal correspondiente y demás disposiciones legales aplicables; </w:t>
      </w:r>
      <w:r w:rsidRPr="005F5FD8">
        <w:rPr>
          <w:rFonts w:ascii="Palatino Linotype" w:eastAsia="Palatino Linotype" w:hAnsi="Palatino Linotype" w:cs="Palatino Linotype"/>
          <w:b/>
          <w:i/>
          <w:sz w:val="22"/>
          <w:szCs w:val="22"/>
        </w:rPr>
        <w:t xml:space="preserve">la cita de las comisiones, consejos y comités </w:t>
      </w:r>
      <w:r w:rsidRPr="005F5FD8">
        <w:rPr>
          <w:rFonts w:ascii="Palatino Linotype" w:eastAsia="Palatino Linotype" w:hAnsi="Palatino Linotype" w:cs="Palatino Linotype"/>
          <w:b/>
          <w:i/>
          <w:sz w:val="22"/>
          <w:szCs w:val="22"/>
        </w:rPr>
        <w:lastRenderedPageBreak/>
        <w:t>son de manera enunciativa y no limitativa, siempre y cuando exista el soporte legal para su creación</w:t>
      </w:r>
      <w:r w:rsidRPr="005F5FD8">
        <w:rPr>
          <w:rFonts w:ascii="Palatino Linotype" w:eastAsia="Palatino Linotype" w:hAnsi="Palatino Linotype" w:cs="Palatino Linotype"/>
          <w:sz w:val="22"/>
          <w:szCs w:val="22"/>
        </w:rPr>
        <w:t>.”</w:t>
      </w:r>
    </w:p>
    <w:p w14:paraId="3F513CB2" w14:textId="77777777" w:rsidR="002663A5" w:rsidRPr="005F5FD8" w:rsidRDefault="007B6DC2">
      <w:pPr>
        <w:pBdr>
          <w:top w:val="nil"/>
          <w:left w:val="nil"/>
          <w:bottom w:val="nil"/>
          <w:right w:val="nil"/>
          <w:between w:val="nil"/>
        </w:pBdr>
        <w:spacing w:line="276" w:lineRule="auto"/>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(Énfasis Añadido)</w:t>
      </w:r>
    </w:p>
    <w:p w14:paraId="2A923F9F" w14:textId="77777777" w:rsidR="002663A5" w:rsidRPr="005F5FD8" w:rsidRDefault="002663A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79F9120" w14:textId="77777777" w:rsidR="002663A5" w:rsidRPr="005F5FD8" w:rsidRDefault="007B6DC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De lo anterior, se advierte </w:t>
      </w:r>
      <w:proofErr w:type="gramStart"/>
      <w:r w:rsidRPr="005F5FD8">
        <w:rPr>
          <w:rFonts w:ascii="Palatino Linotype" w:eastAsia="Palatino Linotype" w:hAnsi="Palatino Linotype" w:cs="Palatino Linotype"/>
          <w:sz w:val="22"/>
          <w:szCs w:val="22"/>
        </w:rPr>
        <w:t>que</w:t>
      </w:r>
      <w:proofErr w:type="gramEnd"/>
      <w:r w:rsidRPr="005F5FD8">
        <w:rPr>
          <w:rFonts w:ascii="Palatino Linotype" w:eastAsia="Palatino Linotype" w:hAnsi="Palatino Linotype" w:cs="Palatino Linotype"/>
          <w:sz w:val="22"/>
          <w:szCs w:val="22"/>
        </w:rPr>
        <w:t xml:space="preserve"> si bien el Bando Municipal del ejercicio fiscal 2018 no contemplaba específicamente el Comité Municipal para la Protección contra Riesgos Sanitarios, lo cierto es que, establece que los Comités enunciados son de manera enunciativa y no limitativa, en razón de que el Ayuntamiento contaba con facultades para aprobar los Comités que determinara para el mejor desempeño del servicio público. </w:t>
      </w:r>
    </w:p>
    <w:p w14:paraId="4F8F54B6" w14:textId="77777777" w:rsidR="002663A5" w:rsidRPr="005F5FD8" w:rsidRDefault="002663A5">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8B1AD06"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En ese orden de ideas, este Instituto localizó el Plan de Desarrollo Municipal de Ecatepec de Morelos de la Administración 2016-2018, el cual establece en su Matriz de Indicadores para resultados por programa presupuestario y dependencia general que el Comité Municipal de Protección contra Riesgos Sanitarios, para el control y monitoreo de las acciones realizadas en materia de control de riesgos sanitarios, convoco de manera periódica a sesionar, situación que se advierte de las siguientes imágenes ilustrativa: </w:t>
      </w:r>
    </w:p>
    <w:p w14:paraId="63479007"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noProof/>
          <w:sz w:val="22"/>
          <w:szCs w:val="22"/>
          <w:lang w:val="es-MX" w:eastAsia="es-MX"/>
        </w:rPr>
        <w:drawing>
          <wp:inline distT="0" distB="0" distL="0" distR="0" wp14:anchorId="5FB99190" wp14:editId="6D122CFB">
            <wp:extent cx="5612130" cy="1650365"/>
            <wp:effectExtent l="0" t="0" r="0" b="0"/>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612130" cy="1650365"/>
                    </a:xfrm>
                    <a:prstGeom prst="rect">
                      <a:avLst/>
                    </a:prstGeom>
                    <a:ln/>
                  </pic:spPr>
                </pic:pic>
              </a:graphicData>
            </a:graphic>
          </wp:inline>
        </w:drawing>
      </w:r>
    </w:p>
    <w:p w14:paraId="4B6D3602"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noProof/>
          <w:sz w:val="22"/>
          <w:szCs w:val="22"/>
          <w:lang w:val="es-MX" w:eastAsia="es-MX"/>
        </w:rPr>
        <w:lastRenderedPageBreak/>
        <w:drawing>
          <wp:inline distT="0" distB="0" distL="0" distR="0" wp14:anchorId="6D549A0F" wp14:editId="61A71B79">
            <wp:extent cx="5612130" cy="1435735"/>
            <wp:effectExtent l="0" t="0" r="0" b="0"/>
            <wp:docPr id="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0"/>
                    <a:srcRect/>
                    <a:stretch>
                      <a:fillRect/>
                    </a:stretch>
                  </pic:blipFill>
                  <pic:spPr>
                    <a:xfrm>
                      <a:off x="0" y="0"/>
                      <a:ext cx="5612130" cy="1435735"/>
                    </a:xfrm>
                    <a:prstGeom prst="rect">
                      <a:avLst/>
                    </a:prstGeom>
                    <a:ln/>
                  </pic:spPr>
                </pic:pic>
              </a:graphicData>
            </a:graphic>
          </wp:inline>
        </w:drawing>
      </w:r>
      <w:r w:rsidRPr="005F5FD8">
        <w:rPr>
          <w:noProof/>
          <w:lang w:val="es-MX" w:eastAsia="es-MX"/>
        </w:rPr>
        <mc:AlternateContent>
          <mc:Choice Requires="wpg">
            <w:drawing>
              <wp:anchor distT="0" distB="0" distL="114300" distR="114300" simplePos="0" relativeHeight="251658240" behindDoc="0" locked="0" layoutInCell="1" hidden="0" allowOverlap="1" wp14:anchorId="62D5CBB2" wp14:editId="3EF4443B">
                <wp:simplePos x="0" y="0"/>
                <wp:positionH relativeFrom="column">
                  <wp:posOffset>1</wp:posOffset>
                </wp:positionH>
                <wp:positionV relativeFrom="paragraph">
                  <wp:posOffset>190500</wp:posOffset>
                </wp:positionV>
                <wp:extent cx="5623256" cy="265882"/>
                <wp:effectExtent l="0" t="0" r="0" b="0"/>
                <wp:wrapNone/>
                <wp:docPr id="33" name="Rectángulo 33"/>
                <wp:cNvGraphicFramePr/>
                <a:graphic xmlns:a="http://schemas.openxmlformats.org/drawingml/2006/main">
                  <a:graphicData uri="http://schemas.microsoft.com/office/word/2010/wordprocessingShape">
                    <wps:wsp>
                      <wps:cNvSpPr/>
                      <wps:spPr>
                        <a:xfrm>
                          <a:off x="2543897" y="3656584"/>
                          <a:ext cx="5604206" cy="246832"/>
                        </a:xfrm>
                        <a:prstGeom prst="rect">
                          <a:avLst/>
                        </a:prstGeom>
                        <a:noFill/>
                        <a:ln w="19050" cap="flat" cmpd="sng">
                          <a:solidFill>
                            <a:srgbClr val="FF0000"/>
                          </a:solidFill>
                          <a:prstDash val="solid"/>
                          <a:miter lim="800000"/>
                          <a:headEnd type="none" w="sm" len="sm"/>
                          <a:tailEnd type="none" w="sm" len="sm"/>
                        </a:ln>
                      </wps:spPr>
                      <wps:txbx>
                        <w:txbxContent>
                          <w:p w14:paraId="6E2BC170" w14:textId="77777777" w:rsidR="002663A5" w:rsidRDefault="002663A5">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du="http://schemas.microsoft.com/office/word/2023/wordml/word16du" xmlns:oel="http://schemas.microsoft.com/office/2019/extlst">
            <w:drawing>
              <wp:anchor allowOverlap="1" behindDoc="0" distB="0" distT="0" distL="114300" distR="114300" hidden="0" layoutInCell="1" locked="0" relativeHeight="0" simplePos="0">
                <wp:simplePos x="0" y="0"/>
                <wp:positionH relativeFrom="column">
                  <wp:posOffset>1</wp:posOffset>
                </wp:positionH>
                <wp:positionV relativeFrom="paragraph">
                  <wp:posOffset>190500</wp:posOffset>
                </wp:positionV>
                <wp:extent cx="5623256" cy="265882"/>
                <wp:effectExtent b="0" l="0" r="0" t="0"/>
                <wp:wrapNone/>
                <wp:docPr id="33" name="image8.png"/>
                <a:graphic>
                  <a:graphicData uri="http://schemas.openxmlformats.org/drawingml/2006/picture">
                    <pic:pic>
                      <pic:nvPicPr>
                        <pic:cNvPr id="0" name="image8.png"/>
                        <pic:cNvPicPr preferRelativeResize="0"/>
                      </pic:nvPicPr>
                      <pic:blipFill>
                        <a:blip r:embed="rId11"/>
                        <a:srcRect/>
                        <a:stretch>
                          <a:fillRect/>
                        </a:stretch>
                      </pic:blipFill>
                      <pic:spPr>
                        <a:xfrm>
                          <a:off x="0" y="0"/>
                          <a:ext cx="5623256" cy="265882"/>
                        </a:xfrm>
                        <a:prstGeom prst="rect"/>
                        <a:ln/>
                      </pic:spPr>
                    </pic:pic>
                  </a:graphicData>
                </a:graphic>
              </wp:anchor>
            </w:drawing>
          </mc:Fallback>
        </mc:AlternateContent>
      </w:r>
    </w:p>
    <w:p w14:paraId="37BDBFEC" w14:textId="77777777" w:rsidR="002663A5" w:rsidRPr="005F5FD8" w:rsidRDefault="002663A5">
      <w:pPr>
        <w:spacing w:line="360" w:lineRule="auto"/>
        <w:jc w:val="both"/>
        <w:rPr>
          <w:rFonts w:ascii="Palatino Linotype" w:eastAsia="Palatino Linotype" w:hAnsi="Palatino Linotype" w:cs="Palatino Linotype"/>
          <w:b/>
          <w:sz w:val="22"/>
          <w:szCs w:val="22"/>
        </w:rPr>
      </w:pPr>
    </w:p>
    <w:p w14:paraId="0578885F"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Aunado a ello, en el referido Plan Municipal se observa que para el Comité Municipal de Protección contra Riesgos Sanitarios, se emitió un Reglamento del Comité Municipal de Protección contra Riesgos Sanitarios, que regulaba la organización, actividad, funciones y atribuciones del Comité, como un órgano colegiado auxiliar del ayuntamiento, para lograr un mejor desempeño en la protección de la población ocasionada por la exposición de riesgos sanitarios: Alimentos, insumos para la salud, establecimientos de atención médica, otros productos y servicios de consumo, tabaco y alcohol, emergencias sanitarias, ambientales y laborales, tal y como se muestra a continuación:</w:t>
      </w:r>
    </w:p>
    <w:p w14:paraId="7C144A7F"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noProof/>
          <w:sz w:val="22"/>
          <w:szCs w:val="22"/>
          <w:lang w:val="es-MX" w:eastAsia="es-MX"/>
        </w:rPr>
        <w:drawing>
          <wp:inline distT="0" distB="0" distL="0" distR="0" wp14:anchorId="3BEA59BC" wp14:editId="28815405">
            <wp:extent cx="5612130" cy="1113155"/>
            <wp:effectExtent l="0" t="0" r="0" b="0"/>
            <wp:docPr id="4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5612130" cy="1113155"/>
                    </a:xfrm>
                    <a:prstGeom prst="rect">
                      <a:avLst/>
                    </a:prstGeom>
                    <a:ln/>
                  </pic:spPr>
                </pic:pic>
              </a:graphicData>
            </a:graphic>
          </wp:inline>
        </w:drawing>
      </w:r>
    </w:p>
    <w:p w14:paraId="317AEDDD"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5403F733"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De lo anterior, resulta evidente que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cuenta con atribuciones para genera, poseer y/ administrar la información solicitada, toda vez que de lo referido en líneas que anteceden, generó la información en ejercicio de sus funciones para el año dos mil dieciocho.</w:t>
      </w:r>
    </w:p>
    <w:p w14:paraId="372F370B"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295F80D5"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lastRenderedPageBreak/>
        <w:t>Robusteciendo lo anterior, este Organismo Garante encontró que para el año dos mil dieciséis, el Ayuntamiento de Ecatepec junto con la Secretaría de Salud Estatal, en coordinación con la Comisión para la Protección contra los Riesgos Sanitarios del Estado de México (</w:t>
      </w:r>
      <w:proofErr w:type="spellStart"/>
      <w:r w:rsidRPr="005F5FD8">
        <w:rPr>
          <w:rFonts w:ascii="Palatino Linotype" w:eastAsia="Palatino Linotype" w:hAnsi="Palatino Linotype" w:cs="Palatino Linotype"/>
          <w:sz w:val="22"/>
          <w:szCs w:val="22"/>
        </w:rPr>
        <w:t>Coprisem</w:t>
      </w:r>
      <w:proofErr w:type="spellEnd"/>
      <w:r w:rsidRPr="005F5FD8">
        <w:rPr>
          <w:rFonts w:ascii="Palatino Linotype" w:eastAsia="Palatino Linotype" w:hAnsi="Palatino Linotype" w:cs="Palatino Linotype"/>
          <w:sz w:val="22"/>
          <w:szCs w:val="22"/>
        </w:rPr>
        <w:t xml:space="preserve">), instaló un comité permanente para la Protección contra Riesgos Sanitarios; tal y como se muestra a continuación: </w:t>
      </w:r>
    </w:p>
    <w:p w14:paraId="4FDE2B11"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19271427" w14:textId="77777777" w:rsidR="002663A5" w:rsidRPr="005F5FD8" w:rsidRDefault="007B6DC2">
      <w:pPr>
        <w:spacing w:line="360" w:lineRule="auto"/>
        <w:jc w:val="center"/>
        <w:rPr>
          <w:rFonts w:ascii="Palatino Linotype" w:eastAsia="Palatino Linotype" w:hAnsi="Palatino Linotype" w:cs="Palatino Linotype"/>
          <w:sz w:val="22"/>
          <w:szCs w:val="22"/>
        </w:rPr>
      </w:pPr>
      <w:r w:rsidRPr="005F5FD8">
        <w:rPr>
          <w:rFonts w:ascii="Palatino Linotype" w:eastAsia="Palatino Linotype" w:hAnsi="Palatino Linotype" w:cs="Palatino Linotype"/>
          <w:noProof/>
          <w:sz w:val="22"/>
          <w:szCs w:val="22"/>
          <w:lang w:val="es-MX" w:eastAsia="es-MX"/>
        </w:rPr>
        <w:drawing>
          <wp:inline distT="0" distB="0" distL="0" distR="0" wp14:anchorId="04810BAD" wp14:editId="65A9A6BD">
            <wp:extent cx="3816228" cy="2637851"/>
            <wp:effectExtent l="0" t="0" r="0" b="0"/>
            <wp:docPr id="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srcRect/>
                    <a:stretch>
                      <a:fillRect/>
                    </a:stretch>
                  </pic:blipFill>
                  <pic:spPr>
                    <a:xfrm>
                      <a:off x="0" y="0"/>
                      <a:ext cx="3816228" cy="2637851"/>
                    </a:xfrm>
                    <a:prstGeom prst="rect">
                      <a:avLst/>
                    </a:prstGeom>
                    <a:ln/>
                  </pic:spPr>
                </pic:pic>
              </a:graphicData>
            </a:graphic>
          </wp:inline>
        </w:drawing>
      </w:r>
    </w:p>
    <w:p w14:paraId="0B3CE201" w14:textId="77777777" w:rsidR="002663A5" w:rsidRPr="005F5FD8" w:rsidRDefault="007B6DC2">
      <w:pPr>
        <w:spacing w:line="360" w:lineRule="auto"/>
        <w:jc w:val="center"/>
        <w:rPr>
          <w:rFonts w:ascii="Palatino Linotype" w:eastAsia="Palatino Linotype" w:hAnsi="Palatino Linotype" w:cs="Palatino Linotype"/>
          <w:sz w:val="22"/>
          <w:szCs w:val="22"/>
        </w:rPr>
      </w:pPr>
      <w:r w:rsidRPr="005F5FD8">
        <w:rPr>
          <w:rFonts w:ascii="Palatino Linotype" w:eastAsia="Palatino Linotype" w:hAnsi="Palatino Linotype" w:cs="Palatino Linotype"/>
          <w:noProof/>
          <w:sz w:val="22"/>
          <w:szCs w:val="22"/>
          <w:lang w:val="es-MX" w:eastAsia="es-MX"/>
        </w:rPr>
        <w:drawing>
          <wp:inline distT="0" distB="0" distL="0" distR="0" wp14:anchorId="386E9806" wp14:editId="05CADF39">
            <wp:extent cx="3679901" cy="1745850"/>
            <wp:effectExtent l="0" t="0" r="0" b="0"/>
            <wp:docPr id="4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3679901" cy="1745850"/>
                    </a:xfrm>
                    <a:prstGeom prst="rect">
                      <a:avLst/>
                    </a:prstGeom>
                    <a:ln/>
                  </pic:spPr>
                </pic:pic>
              </a:graphicData>
            </a:graphic>
          </wp:inline>
        </w:drawing>
      </w:r>
    </w:p>
    <w:p w14:paraId="39B6FEEE"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Con base a lo anterior, podemos concluir que existen indicios de que el Ayuntamiento de Ecatepec de Morelos, durante la administración 2016-2018, integró y mantuvo funcionando el Comité Municipal de Protección contra Riesgos Sanitarios, sirve de sustento a lo anterior las siguientes tesis jurisprudenciales:</w:t>
      </w:r>
    </w:p>
    <w:p w14:paraId="3C5EBDA3" w14:textId="77777777" w:rsidR="002663A5" w:rsidRPr="005F5FD8" w:rsidRDefault="002663A5">
      <w:pPr>
        <w:pBdr>
          <w:top w:val="nil"/>
          <w:left w:val="nil"/>
          <w:bottom w:val="nil"/>
          <w:right w:val="nil"/>
          <w:between w:val="nil"/>
        </w:pBdr>
        <w:spacing w:line="360" w:lineRule="auto"/>
        <w:ind w:left="851" w:firstLine="707"/>
        <w:jc w:val="both"/>
        <w:rPr>
          <w:rFonts w:ascii="Palatino Linotype" w:eastAsia="Palatino Linotype" w:hAnsi="Palatino Linotype" w:cs="Palatino Linotype"/>
          <w:sz w:val="22"/>
          <w:szCs w:val="22"/>
        </w:rPr>
      </w:pPr>
    </w:p>
    <w:p w14:paraId="199DF381" w14:textId="77777777" w:rsidR="002663A5" w:rsidRPr="005F5FD8" w:rsidRDefault="007B6DC2">
      <w:pPr>
        <w:ind w:left="851" w:right="616"/>
        <w:jc w:val="center"/>
        <w:rPr>
          <w:rFonts w:ascii="Palatino Linotype" w:eastAsia="Palatino Linotype" w:hAnsi="Palatino Linotype" w:cs="Palatino Linotype"/>
          <w:b/>
          <w:i/>
          <w:sz w:val="22"/>
          <w:szCs w:val="22"/>
        </w:rPr>
      </w:pPr>
      <w:r w:rsidRPr="005F5FD8">
        <w:rPr>
          <w:rFonts w:ascii="Palatino Linotype" w:eastAsia="Palatino Linotype" w:hAnsi="Palatino Linotype" w:cs="Palatino Linotype"/>
          <w:b/>
          <w:i/>
          <w:sz w:val="22"/>
          <w:szCs w:val="22"/>
        </w:rPr>
        <w:t>HECHOS NOTORIOS. CONCEPTOS GENERAL Y JURÍDICO</w:t>
      </w:r>
    </w:p>
    <w:p w14:paraId="5B9354CF" w14:textId="77777777" w:rsidR="002663A5" w:rsidRPr="005F5FD8" w:rsidRDefault="007B6DC2">
      <w:pPr>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 xml:space="preserve">Conforme al artículo </w:t>
      </w:r>
      <w:hyperlink r:id="rId15">
        <w:r w:rsidRPr="005F5FD8">
          <w:rPr>
            <w:rFonts w:ascii="Palatino Linotype" w:eastAsia="Palatino Linotype" w:hAnsi="Palatino Linotype" w:cs="Palatino Linotype"/>
            <w:b/>
            <w:i/>
            <w:sz w:val="22"/>
            <w:szCs w:val="22"/>
          </w:rPr>
          <w:t>88 del Código Federal de Procedimientos Civiles</w:t>
        </w:r>
      </w:hyperlink>
      <w:r w:rsidRPr="005F5FD8">
        <w:rPr>
          <w:rFonts w:ascii="Palatino Linotype" w:eastAsia="Palatino Linotype" w:hAnsi="Palatino Linotype" w:cs="Palatino Linotype"/>
          <w:b/>
          <w:i/>
          <w:sz w:val="22"/>
          <w:szCs w:val="22"/>
        </w:rPr>
        <w:t xml:space="preserve"> los tribunales pueden invocar hechos </w:t>
      </w:r>
      <w:proofErr w:type="gramStart"/>
      <w:r w:rsidRPr="005F5FD8">
        <w:rPr>
          <w:rFonts w:ascii="Palatino Linotype" w:eastAsia="Palatino Linotype" w:hAnsi="Palatino Linotype" w:cs="Palatino Linotype"/>
          <w:b/>
          <w:i/>
          <w:sz w:val="22"/>
          <w:szCs w:val="22"/>
        </w:rPr>
        <w:t>notorios</w:t>
      </w:r>
      <w:proofErr w:type="gramEnd"/>
      <w:r w:rsidRPr="005F5FD8">
        <w:rPr>
          <w:rFonts w:ascii="Palatino Linotype" w:eastAsia="Palatino Linotype" w:hAnsi="Palatino Linotype" w:cs="Palatino Linotype"/>
          <w:b/>
          <w:i/>
          <w:sz w:val="22"/>
          <w:szCs w:val="22"/>
        </w:rPr>
        <w:t xml:space="preserve"> aunque no hayan sido alegados ni probados por las partes.</w:t>
      </w:r>
      <w:r w:rsidRPr="005F5FD8">
        <w:rPr>
          <w:rFonts w:ascii="Palatino Linotype" w:eastAsia="Palatino Linotype" w:hAnsi="Palatino Linotype" w:cs="Palatino Linotype"/>
          <w:i/>
          <w:sz w:val="22"/>
          <w:szCs w:val="22"/>
        </w:rPr>
        <w:t xml:space="preserve"> Por hechos notorios deben entenderse, en general, aquellos que por el conocimiento humano se consideran ciertos e indiscutibles, ya sea que pertenezcan a la historia, a la ciencia, a la naturaleza</w:t>
      </w:r>
      <w:r w:rsidRPr="005F5FD8">
        <w:rPr>
          <w:rFonts w:ascii="Palatino Linotype" w:eastAsia="Palatino Linotype" w:hAnsi="Palatino Linotype" w:cs="Palatino Linotype"/>
          <w:b/>
          <w:i/>
          <w:sz w:val="22"/>
          <w:szCs w:val="22"/>
        </w:rPr>
        <w:t>, a las vicisitudes de la vida pública actual o a circunstancias comúnmente conocidas en un determinado lugar</w:t>
      </w:r>
      <w:r w:rsidRPr="005F5FD8">
        <w:rPr>
          <w:rFonts w:ascii="Palatino Linotype" w:eastAsia="Palatino Linotype" w:hAnsi="Palatino Linotype" w:cs="Palatino Linotype"/>
          <w:i/>
          <w:sz w:val="22"/>
          <w:szCs w:val="22"/>
        </w:rPr>
        <w:t xml:space="preserve">, </w:t>
      </w:r>
      <w:r w:rsidRPr="005F5FD8">
        <w:rPr>
          <w:rFonts w:ascii="Palatino Linotype" w:eastAsia="Palatino Linotype" w:hAnsi="Palatino Linotype" w:cs="Palatino Linotype"/>
          <w:b/>
          <w:i/>
          <w:sz w:val="22"/>
          <w:szCs w:val="22"/>
        </w:rPr>
        <w:t>de modo que toda persona de ese medio esté en condiciones de saberlo</w:t>
      </w:r>
      <w:r w:rsidRPr="005F5FD8">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3E2964D6" w14:textId="77777777" w:rsidR="002663A5" w:rsidRPr="005F5FD8" w:rsidRDefault="002663A5">
      <w:pPr>
        <w:ind w:left="851" w:right="616"/>
        <w:rPr>
          <w:rFonts w:ascii="Palatino Linotype" w:eastAsia="Palatino Linotype" w:hAnsi="Palatino Linotype" w:cs="Palatino Linotype"/>
          <w:i/>
          <w:sz w:val="22"/>
          <w:szCs w:val="22"/>
        </w:rPr>
      </w:pPr>
    </w:p>
    <w:p w14:paraId="550E4533" w14:textId="77777777" w:rsidR="002663A5" w:rsidRPr="005F5FD8" w:rsidRDefault="007B6DC2">
      <w:pPr>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1F819F1B" w14:textId="77777777" w:rsidR="002663A5" w:rsidRPr="005F5FD8" w:rsidRDefault="007B6DC2">
      <w:pPr>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4AC17FA9" w14:textId="77777777" w:rsidR="002663A5" w:rsidRPr="005F5FD8" w:rsidRDefault="007B6DC2">
      <w:pPr>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7C4B60B7" w14:textId="77777777" w:rsidR="002663A5" w:rsidRPr="005F5FD8" w:rsidRDefault="002663A5">
      <w:pPr>
        <w:ind w:left="851" w:right="616"/>
        <w:jc w:val="both"/>
        <w:rPr>
          <w:rFonts w:ascii="Palatino Linotype" w:eastAsia="Palatino Linotype" w:hAnsi="Palatino Linotype" w:cs="Palatino Linotype"/>
          <w:i/>
          <w:sz w:val="22"/>
          <w:szCs w:val="22"/>
        </w:rPr>
      </w:pPr>
    </w:p>
    <w:p w14:paraId="72CA4304" w14:textId="77777777" w:rsidR="002663A5" w:rsidRPr="005F5FD8" w:rsidRDefault="007B6DC2">
      <w:pPr>
        <w:widowControl w:val="0"/>
        <w:pBdr>
          <w:top w:val="nil"/>
          <w:left w:val="nil"/>
          <w:bottom w:val="nil"/>
          <w:right w:val="nil"/>
          <w:between w:val="nil"/>
        </w:pBdr>
        <w:shd w:val="clear" w:color="auto" w:fill="FFFFFF"/>
        <w:spacing w:after="120"/>
        <w:ind w:left="851" w:right="567"/>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5F5FD8">
        <w:rPr>
          <w:sz w:val="22"/>
          <w:szCs w:val="22"/>
        </w:rPr>
        <w:t xml:space="preserve"> </w:t>
      </w:r>
      <w:r w:rsidRPr="005F5FD8">
        <w:rPr>
          <w:rFonts w:ascii="Palatino Linotype" w:eastAsia="Palatino Linotype" w:hAnsi="Palatino Linotype" w:cs="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w:t>
      </w:r>
      <w:r w:rsidRPr="005F5FD8">
        <w:rPr>
          <w:rFonts w:ascii="Palatino Linotype" w:eastAsia="Palatino Linotype" w:hAnsi="Palatino Linotype" w:cs="Palatino Linotype"/>
          <w:i/>
          <w:sz w:val="22"/>
          <w:szCs w:val="22"/>
        </w:rPr>
        <w:lastRenderedPageBreak/>
        <w:t xml:space="preserve">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5F5FD8">
        <w:rPr>
          <w:rFonts w:ascii="Palatino Linotype" w:eastAsia="Palatino Linotype" w:hAnsi="Palatino Linotype" w:cs="Palatino Linotype"/>
          <w:i/>
          <w:sz w:val="22"/>
          <w:szCs w:val="22"/>
        </w:rPr>
        <w:t>Mardygras</w:t>
      </w:r>
      <w:proofErr w:type="spellEnd"/>
      <w:r w:rsidRPr="005F5FD8">
        <w:rPr>
          <w:rFonts w:ascii="Palatino Linotype" w:eastAsia="Palatino Linotype" w:hAnsi="Palatino Linotype" w:cs="Palatino Linotype"/>
          <w:i/>
          <w:sz w:val="22"/>
          <w:szCs w:val="22"/>
        </w:rPr>
        <w:t xml:space="preserve">, S.A. de C.V. 7 de diciembre de 2012. Unanimidad de 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w:t>
      </w:r>
      <w:proofErr w:type="gramStart"/>
      <w:r w:rsidRPr="005F5FD8">
        <w:rPr>
          <w:rFonts w:ascii="Palatino Linotype" w:eastAsia="Palatino Linotype" w:hAnsi="Palatino Linotype" w:cs="Palatino Linotype"/>
          <w:i/>
          <w:sz w:val="22"/>
          <w:szCs w:val="22"/>
        </w:rPr>
        <w:t>Enero</w:t>
      </w:r>
      <w:proofErr w:type="gramEnd"/>
      <w:r w:rsidRPr="005F5FD8">
        <w:rPr>
          <w:rFonts w:ascii="Palatino Linotype" w:eastAsia="Palatino Linotype" w:hAnsi="Palatino Linotype" w:cs="Palatino Linotype"/>
          <w:i/>
          <w:sz w:val="22"/>
          <w:szCs w:val="22"/>
        </w:rPr>
        <w:t xml:space="preserve"> de 2009 </w:t>
      </w:r>
      <w:proofErr w:type="spellStart"/>
      <w:r w:rsidRPr="005F5FD8">
        <w:rPr>
          <w:rFonts w:ascii="Palatino Linotype" w:eastAsia="Palatino Linotype" w:hAnsi="Palatino Linotype" w:cs="Palatino Linotype"/>
          <w:i/>
          <w:sz w:val="22"/>
          <w:szCs w:val="22"/>
        </w:rPr>
        <w:t>Pag.</w:t>
      </w:r>
      <w:proofErr w:type="spellEnd"/>
      <w:r w:rsidRPr="005F5FD8">
        <w:rPr>
          <w:rFonts w:ascii="Palatino Linotype" w:eastAsia="Palatino Linotype" w:hAnsi="Palatino Linotype" w:cs="Palatino Linotype"/>
          <w:i/>
          <w:sz w:val="22"/>
          <w:szCs w:val="22"/>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w:t>
      </w:r>
      <w:r w:rsidRPr="005F5FD8">
        <w:rPr>
          <w:rFonts w:ascii="Palatino Linotype" w:eastAsia="Palatino Linotype" w:hAnsi="Palatino Linotype" w:cs="Palatino Linotype"/>
          <w:i/>
          <w:sz w:val="22"/>
          <w:szCs w:val="22"/>
        </w:rPr>
        <w:lastRenderedPageBreak/>
        <w:t>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5479D7EE" w14:textId="77777777" w:rsidR="002663A5" w:rsidRPr="005F5FD8" w:rsidRDefault="007B6DC2">
      <w:pPr>
        <w:spacing w:before="240" w:after="240"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Bajo ese contexto,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tiene la obligación de documentar todo lo relacionado con sus atribuciones, en cualquier soporte documental, 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15D9974" w14:textId="77777777" w:rsidR="002663A5" w:rsidRPr="005F5FD8" w:rsidRDefault="002663A5">
      <w:pPr>
        <w:ind w:left="851" w:right="899"/>
        <w:jc w:val="both"/>
        <w:rPr>
          <w:rFonts w:ascii="Palatino Linotype" w:eastAsia="Palatino Linotype" w:hAnsi="Palatino Linotype" w:cs="Palatino Linotype"/>
          <w:sz w:val="22"/>
          <w:szCs w:val="22"/>
        </w:rPr>
      </w:pPr>
    </w:p>
    <w:p w14:paraId="5ED4E8BB" w14:textId="77777777" w:rsidR="002663A5" w:rsidRPr="005F5FD8" w:rsidRDefault="007B6DC2">
      <w:pPr>
        <w:ind w:left="851" w:right="899"/>
        <w:jc w:val="both"/>
        <w:rPr>
          <w:rFonts w:ascii="Palatino Linotype" w:eastAsia="Palatino Linotype" w:hAnsi="Palatino Linotype" w:cs="Palatino Linotype"/>
          <w:b/>
          <w:i/>
          <w:sz w:val="22"/>
          <w:szCs w:val="22"/>
        </w:rPr>
      </w:pPr>
      <w:r w:rsidRPr="005F5FD8">
        <w:rPr>
          <w:rFonts w:ascii="Palatino Linotype" w:eastAsia="Palatino Linotype" w:hAnsi="Palatino Linotype" w:cs="Palatino Linotype"/>
          <w:b/>
          <w:sz w:val="22"/>
          <w:szCs w:val="22"/>
        </w:rPr>
        <w:t>“</w:t>
      </w:r>
      <w:r w:rsidRPr="005F5FD8">
        <w:rPr>
          <w:rFonts w:ascii="Palatino Linotype" w:eastAsia="Palatino Linotype" w:hAnsi="Palatino Linotype" w:cs="Palatino Linotype"/>
          <w:b/>
          <w:i/>
          <w:sz w:val="22"/>
          <w:szCs w:val="22"/>
        </w:rPr>
        <w:t>CRITERIO 0002-11</w:t>
      </w:r>
    </w:p>
    <w:p w14:paraId="28F135DC" w14:textId="77777777" w:rsidR="002663A5" w:rsidRPr="005F5FD8" w:rsidRDefault="007B6DC2">
      <w:pPr>
        <w:ind w:left="851" w:right="899"/>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F5FD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8AC104A" w14:textId="77777777" w:rsidR="002663A5" w:rsidRPr="005F5FD8" w:rsidRDefault="007B6DC2">
      <w:pPr>
        <w:ind w:left="851" w:right="899"/>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 xml:space="preserve">En </w:t>
      </w:r>
      <w:proofErr w:type="gramStart"/>
      <w:r w:rsidRPr="005F5FD8">
        <w:rPr>
          <w:rFonts w:ascii="Palatino Linotype" w:eastAsia="Palatino Linotype" w:hAnsi="Palatino Linotype" w:cs="Palatino Linotype"/>
          <w:i/>
          <w:sz w:val="22"/>
          <w:szCs w:val="22"/>
        </w:rPr>
        <w:t>consecuencia</w:t>
      </w:r>
      <w:proofErr w:type="gramEnd"/>
      <w:r w:rsidRPr="005F5FD8">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0BF9B8C8" w14:textId="77777777" w:rsidR="002663A5" w:rsidRPr="005F5FD8" w:rsidRDefault="007B6DC2">
      <w:pPr>
        <w:ind w:left="851" w:right="899"/>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 xml:space="preserve">1) Que se trate de información registrada en cualquier soporte documental, </w:t>
      </w:r>
      <w:proofErr w:type="gramStart"/>
      <w:r w:rsidRPr="005F5FD8">
        <w:rPr>
          <w:rFonts w:ascii="Palatino Linotype" w:eastAsia="Palatino Linotype" w:hAnsi="Palatino Linotype" w:cs="Palatino Linotype"/>
          <w:i/>
          <w:sz w:val="22"/>
          <w:szCs w:val="22"/>
        </w:rPr>
        <w:t>que</w:t>
      </w:r>
      <w:proofErr w:type="gramEnd"/>
      <w:r w:rsidRPr="005F5FD8">
        <w:rPr>
          <w:rFonts w:ascii="Palatino Linotype" w:eastAsia="Palatino Linotype" w:hAnsi="Palatino Linotype" w:cs="Palatino Linotype"/>
          <w:i/>
          <w:sz w:val="22"/>
          <w:szCs w:val="22"/>
        </w:rPr>
        <w:t xml:space="preserve"> en ejercicio de las atribuciones conferidas, sea generada por los Sujetos Obligados;</w:t>
      </w:r>
    </w:p>
    <w:p w14:paraId="06329897" w14:textId="77777777" w:rsidR="002663A5" w:rsidRPr="005F5FD8" w:rsidRDefault="007B6DC2">
      <w:pPr>
        <w:ind w:left="851" w:right="899"/>
        <w:jc w:val="both"/>
        <w:rPr>
          <w:rFonts w:ascii="Palatino Linotype" w:eastAsia="Palatino Linotype" w:hAnsi="Palatino Linotype" w:cs="Palatino Linotype"/>
          <w:b/>
          <w:i/>
          <w:sz w:val="22"/>
          <w:szCs w:val="22"/>
        </w:rPr>
      </w:pPr>
      <w:r w:rsidRPr="005F5FD8">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5F5FD8">
        <w:rPr>
          <w:rFonts w:ascii="Palatino Linotype" w:eastAsia="Palatino Linotype" w:hAnsi="Palatino Linotype" w:cs="Palatino Linotype"/>
          <w:b/>
          <w:i/>
          <w:sz w:val="22"/>
          <w:szCs w:val="22"/>
        </w:rPr>
        <w:t>que</w:t>
      </w:r>
      <w:proofErr w:type="gramEnd"/>
      <w:r w:rsidRPr="005F5FD8">
        <w:rPr>
          <w:rFonts w:ascii="Palatino Linotype" w:eastAsia="Palatino Linotype" w:hAnsi="Palatino Linotype" w:cs="Palatino Linotype"/>
          <w:b/>
          <w:i/>
          <w:sz w:val="22"/>
          <w:szCs w:val="22"/>
        </w:rPr>
        <w:t xml:space="preserve"> en ejercicio de las atribuciones conferidas, sea administrada por los Sujetos Obligados, y</w:t>
      </w:r>
    </w:p>
    <w:p w14:paraId="5E149AB7" w14:textId="77777777" w:rsidR="002663A5" w:rsidRPr="005F5FD8" w:rsidRDefault="007B6DC2">
      <w:pPr>
        <w:ind w:left="851" w:right="899"/>
        <w:jc w:val="both"/>
        <w:rPr>
          <w:rFonts w:ascii="Palatino Linotype" w:eastAsia="Palatino Linotype" w:hAnsi="Palatino Linotype" w:cs="Palatino Linotype"/>
          <w:b/>
          <w:i/>
          <w:sz w:val="22"/>
          <w:szCs w:val="22"/>
        </w:rPr>
      </w:pPr>
      <w:r w:rsidRPr="005F5FD8">
        <w:rPr>
          <w:rFonts w:ascii="Palatino Linotype" w:eastAsia="Palatino Linotype" w:hAnsi="Palatino Linotype" w:cs="Palatino Linotype"/>
          <w:b/>
          <w:i/>
          <w:sz w:val="22"/>
          <w:szCs w:val="22"/>
        </w:rPr>
        <w:lastRenderedPageBreak/>
        <w:t>3) Que se trate de información registrada en cualquier soporte documental, que en ejercicio de las atribuciones conferidas, se encuentre en posesión de los Sujetos Obligados</w:t>
      </w:r>
      <w:proofErr w:type="gramStart"/>
      <w:r w:rsidRPr="005F5FD8">
        <w:rPr>
          <w:rFonts w:ascii="Palatino Linotype" w:eastAsia="Palatino Linotype" w:hAnsi="Palatino Linotype" w:cs="Palatino Linotype"/>
          <w:b/>
          <w:i/>
          <w:sz w:val="22"/>
          <w:szCs w:val="22"/>
        </w:rPr>
        <w:t>.”(</w:t>
      </w:r>
      <w:proofErr w:type="gramEnd"/>
      <w:r w:rsidRPr="005F5FD8">
        <w:rPr>
          <w:rFonts w:ascii="Palatino Linotype" w:eastAsia="Palatino Linotype" w:hAnsi="Palatino Linotype" w:cs="Palatino Linotype"/>
          <w:b/>
          <w:i/>
          <w:sz w:val="22"/>
          <w:szCs w:val="22"/>
        </w:rPr>
        <w:t>Sic)</w:t>
      </w:r>
    </w:p>
    <w:p w14:paraId="578051B8"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70CBE79E"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Por consiguiente, es responsabilidad del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de conservar todos los soportes documentales en el ejercicio de sus atribuciones, así como en cualquier otra que se administró.</w:t>
      </w:r>
    </w:p>
    <w:p w14:paraId="59818831"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595299F0"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Así, a efecto de determinar si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cumplió con el procedimiento de búsqueda de la información, se trae al estudio el Bando Municipal Ecatepec de Morelos dos mil dieciocho, del cual se advierte que en efecto contaba con una Dirección de Salud, que estaba encargada de promover y coadyuvar en la asistencia médica de las personas que así lo requieran, principalmente a los grupos vulnerables, mediante jornada médico asistenciales y programas integrales en la materia, y colaborando con las demás dependencias de la materia en los ámbitos de los tres órdenes de gobierno con las que se vinculan la asistencia social a través del Consejo Municipal de Salud, consultorios periféricos a cargo del Ayuntamiento y del Sistema Municipal para el Desarrollo Integral de la Familia.</w:t>
      </w:r>
    </w:p>
    <w:p w14:paraId="50E879BB"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0192EA35"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Conforme a lo anterior, se logra colegir que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no cumplió con el procedimiento de búsqueda de la Ley de Transparencia y Acceso a la Información Pública del Estado de México y Municipios, toda vez que la Unidad de Transparencia, únicamente se limitó a señalar una Incompetencia, sin que se turnara a las áreas que pudieran contar con la información. </w:t>
      </w:r>
    </w:p>
    <w:p w14:paraId="7C2F9C9C"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49981711"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En ese orden de ideas, es importante señalar </w:t>
      </w:r>
      <w:proofErr w:type="gramStart"/>
      <w:r w:rsidRPr="005F5FD8">
        <w:rPr>
          <w:rFonts w:ascii="Palatino Linotype" w:eastAsia="Palatino Linotype" w:hAnsi="Palatino Linotype" w:cs="Palatino Linotype"/>
          <w:sz w:val="22"/>
          <w:szCs w:val="22"/>
        </w:rPr>
        <w:t>que</w:t>
      </w:r>
      <w:proofErr w:type="gramEnd"/>
      <w:r w:rsidRPr="005F5FD8">
        <w:rPr>
          <w:rFonts w:ascii="Palatino Linotype" w:eastAsia="Palatino Linotype" w:hAnsi="Palatino Linotype" w:cs="Palatino Linotype"/>
          <w:sz w:val="22"/>
          <w:szCs w:val="22"/>
        </w:rPr>
        <w:t xml:space="preserve"> para la atención de las solicitudes de acceso a la información, debe privilegiarse el </w:t>
      </w:r>
      <w:r w:rsidRPr="005F5FD8">
        <w:rPr>
          <w:rFonts w:ascii="Palatino Linotype" w:eastAsia="Palatino Linotype" w:hAnsi="Palatino Linotype" w:cs="Palatino Linotype"/>
          <w:b/>
          <w:sz w:val="22"/>
          <w:szCs w:val="22"/>
        </w:rPr>
        <w:t>principio de máxima publicidad</w:t>
      </w:r>
      <w:r w:rsidRPr="005F5FD8">
        <w:rPr>
          <w:rFonts w:ascii="Palatino Linotype" w:eastAsia="Palatino Linotype" w:hAnsi="Palatino Linotype" w:cs="Palatino Linotype"/>
          <w:sz w:val="22"/>
          <w:szCs w:val="22"/>
        </w:rPr>
        <w:t xml:space="preserve"> el cual dispone que </w:t>
      </w:r>
      <w:r w:rsidRPr="005F5FD8">
        <w:rPr>
          <w:rFonts w:ascii="Palatino Linotype" w:eastAsia="Palatino Linotype" w:hAnsi="Palatino Linotype" w:cs="Palatino Linotype"/>
          <w:sz w:val="22"/>
          <w:szCs w:val="22"/>
        </w:rPr>
        <w:lastRenderedPageBreak/>
        <w:t>toda la información en posesión de los sujetos obligados será pública, completa, oportuna y accesible, sujeta a un claro régimen de excepciones que deberán estar definidas y ser legítimas y estrictamente necesarias en una sociedad democrática.</w:t>
      </w:r>
    </w:p>
    <w:p w14:paraId="6AB9B8EC"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71F81617"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Para lograr esto,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14:paraId="557460D2" w14:textId="77777777" w:rsidR="002663A5" w:rsidRPr="005F5FD8" w:rsidRDefault="002663A5">
      <w:pPr>
        <w:spacing w:line="360" w:lineRule="auto"/>
        <w:rPr>
          <w:rFonts w:ascii="Palatino Linotype" w:eastAsia="Palatino Linotype" w:hAnsi="Palatino Linotype" w:cs="Palatino Linotype"/>
          <w:sz w:val="22"/>
          <w:szCs w:val="22"/>
        </w:rPr>
      </w:pPr>
    </w:p>
    <w:p w14:paraId="6CB34ADA" w14:textId="77777777" w:rsidR="002663A5" w:rsidRPr="005F5FD8" w:rsidRDefault="007B6DC2">
      <w:pPr>
        <w:numPr>
          <w:ilvl w:val="0"/>
          <w:numId w:val="7"/>
        </w:num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354B82FC" w14:textId="77777777" w:rsidR="002663A5" w:rsidRPr="005F5FD8" w:rsidRDefault="007B6DC2">
      <w:pPr>
        <w:numPr>
          <w:ilvl w:val="0"/>
          <w:numId w:val="7"/>
        </w:num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14:paraId="2CECC5B4" w14:textId="77777777" w:rsidR="002663A5" w:rsidRPr="005F5FD8" w:rsidRDefault="007B6DC2">
      <w:pPr>
        <w:numPr>
          <w:ilvl w:val="0"/>
          <w:numId w:val="7"/>
        </w:num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Las respuestas a los requerimientos informativos deberán notificarse al interesado en el menor tiempo posible, que no podrá exceder </w:t>
      </w:r>
      <w:r w:rsidRPr="005F5FD8">
        <w:rPr>
          <w:rFonts w:ascii="Palatino Linotype" w:eastAsia="Palatino Linotype" w:hAnsi="Palatino Linotype" w:cs="Palatino Linotype"/>
          <w:b/>
          <w:sz w:val="22"/>
          <w:szCs w:val="22"/>
        </w:rPr>
        <w:t>quince días, contados a partir del día siguiente a la presentación de ésta.</w:t>
      </w:r>
      <w:r w:rsidRPr="005F5FD8">
        <w:rPr>
          <w:rFonts w:ascii="Palatino Linotype" w:eastAsia="Palatino Linotype" w:hAnsi="Palatino Linotype" w:cs="Palatino Linotype"/>
          <w:sz w:val="22"/>
          <w:szCs w:val="22"/>
        </w:rPr>
        <w:t xml:space="preserve"> Excepcionalmente, el plazo referido podrá ampliarse por siete días hábiles más, cuando existan razones fundadas y motivadas, a través del Comité de Transparencia;</w:t>
      </w:r>
    </w:p>
    <w:p w14:paraId="12696129" w14:textId="77777777" w:rsidR="002663A5" w:rsidRPr="005F5FD8" w:rsidRDefault="007B6DC2">
      <w:pPr>
        <w:numPr>
          <w:ilvl w:val="0"/>
          <w:numId w:val="7"/>
        </w:numPr>
        <w:spacing w:line="360" w:lineRule="auto"/>
        <w:jc w:val="both"/>
        <w:rPr>
          <w:rFonts w:ascii="Palatino Linotype" w:eastAsia="Palatino Linotype" w:hAnsi="Palatino Linotype" w:cs="Palatino Linotype"/>
          <w:b/>
          <w:sz w:val="22"/>
          <w:szCs w:val="22"/>
          <w:u w:val="single"/>
        </w:rPr>
      </w:pPr>
      <w:r w:rsidRPr="005F5FD8">
        <w:rPr>
          <w:rFonts w:ascii="Palatino Linotype" w:eastAsia="Palatino Linotype" w:hAnsi="Palatino Linotype" w:cs="Palatino Linotype"/>
          <w:b/>
          <w:sz w:val="22"/>
          <w:szCs w:val="22"/>
          <w:u w:val="single"/>
        </w:rPr>
        <w:t xml:space="preserve">Las Unidades de Transparencia garantizarán que las solicitudes se turnen a todas las áreas competentes que cuenten con la información o deban tenerla de acuerdo </w:t>
      </w:r>
      <w:r w:rsidRPr="005F5FD8">
        <w:rPr>
          <w:rFonts w:ascii="Palatino Linotype" w:eastAsia="Palatino Linotype" w:hAnsi="Palatino Linotype" w:cs="Palatino Linotype"/>
          <w:b/>
          <w:sz w:val="22"/>
          <w:szCs w:val="22"/>
          <w:u w:val="single"/>
        </w:rPr>
        <w:lastRenderedPageBreak/>
        <w:t>con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6FC12268" w14:textId="77777777" w:rsidR="002663A5" w:rsidRPr="005F5FD8" w:rsidRDefault="007B6DC2">
      <w:pPr>
        <w:numPr>
          <w:ilvl w:val="0"/>
          <w:numId w:val="7"/>
        </w:numPr>
        <w:spacing w:line="360" w:lineRule="auto"/>
        <w:jc w:val="both"/>
        <w:rPr>
          <w:rFonts w:ascii="Palatino Linotype" w:eastAsia="Palatino Linotype" w:hAnsi="Palatino Linotype" w:cs="Palatino Linotype"/>
          <w:b/>
          <w:sz w:val="22"/>
          <w:szCs w:val="22"/>
        </w:rPr>
      </w:pPr>
      <w:r w:rsidRPr="005F5FD8">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14:paraId="5F51D8AE" w14:textId="77777777" w:rsidR="002663A5" w:rsidRPr="005F5FD8" w:rsidRDefault="007B6DC2">
      <w:pPr>
        <w:numPr>
          <w:ilvl w:val="0"/>
          <w:numId w:val="7"/>
        </w:numPr>
        <w:spacing w:line="360" w:lineRule="auto"/>
        <w:jc w:val="both"/>
        <w:rPr>
          <w:rFonts w:ascii="Palatino Linotype" w:eastAsia="Palatino Linotype" w:hAnsi="Palatino Linotype" w:cs="Palatino Linotype"/>
          <w:b/>
          <w:sz w:val="22"/>
          <w:szCs w:val="22"/>
        </w:rPr>
      </w:pPr>
      <w:r w:rsidRPr="005F5FD8">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61F27070" w14:textId="77777777" w:rsidR="002663A5" w:rsidRPr="005F5FD8" w:rsidRDefault="002663A5">
      <w:pPr>
        <w:spacing w:line="360" w:lineRule="auto"/>
        <w:rPr>
          <w:rFonts w:ascii="Palatino Linotype" w:eastAsia="Palatino Linotype" w:hAnsi="Palatino Linotype" w:cs="Palatino Linotype"/>
          <w:sz w:val="22"/>
          <w:szCs w:val="22"/>
        </w:rPr>
      </w:pPr>
    </w:p>
    <w:p w14:paraId="2CD061BD" w14:textId="77777777" w:rsidR="002663A5" w:rsidRPr="005F5FD8" w:rsidRDefault="007B6DC2">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bookmarkStart w:id="3" w:name="_heading=h.1fob9te" w:colFirst="0" w:colLast="0"/>
      <w:bookmarkEnd w:id="3"/>
      <w:r w:rsidRPr="005F5FD8">
        <w:rPr>
          <w:rFonts w:ascii="Palatino Linotype" w:eastAsia="Palatino Linotype" w:hAnsi="Palatino Linotype" w:cs="Palatino Linotype"/>
          <w:sz w:val="22"/>
          <w:szCs w:val="22"/>
        </w:rPr>
        <w:t xml:space="preserve">De tal manera que, se reitera que la Unidad de Transparencia no siguió el procedimiento para atender la solicitud que ahora nos ocupa, esto es, </w:t>
      </w:r>
      <w:r w:rsidRPr="005F5FD8">
        <w:rPr>
          <w:rFonts w:ascii="Palatino Linotype" w:eastAsia="Palatino Linotype" w:hAnsi="Palatino Linotype" w:cs="Palatino Linotype"/>
          <w:b/>
          <w:sz w:val="22"/>
          <w:szCs w:val="22"/>
          <w:u w:val="single"/>
        </w:rPr>
        <w:t xml:space="preserve">no turnó la solicitud de información a la unidad administrativa competente que por sus atribuciones cuenta con la información solicitada; </w:t>
      </w:r>
      <w:r w:rsidRPr="005F5FD8">
        <w:rPr>
          <w:rFonts w:ascii="Palatino Linotype" w:eastAsia="Palatino Linotype" w:hAnsi="Palatino Linotype" w:cs="Palatino Linotype"/>
          <w:sz w:val="22"/>
          <w:szCs w:val="22"/>
        </w:rPr>
        <w:t xml:space="preserve">por lo que, para atender el requerimiento de información,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deberá realizar una búsqueda exhaustiva y razonable, en todos los archivos de la administración 2016-2018, a efecto de que proporcione respecto al Comité Municipal de Protección contra Riesgos Sanitarios, del primero de enero al treinta y uno de diciembre de dos mil dieciocho, de ser procedente en versión pública, los documentos que den cuenta de lo siguiente:</w:t>
      </w:r>
    </w:p>
    <w:p w14:paraId="51425C76" w14:textId="77777777" w:rsidR="002663A5" w:rsidRPr="005F5FD8" w:rsidRDefault="002663A5">
      <w:pPr>
        <w:widowControl w:val="0"/>
        <w:spacing w:line="360" w:lineRule="auto"/>
        <w:jc w:val="both"/>
        <w:rPr>
          <w:rFonts w:ascii="Palatino Linotype" w:eastAsia="Palatino Linotype" w:hAnsi="Palatino Linotype" w:cs="Palatino Linotype"/>
          <w:sz w:val="22"/>
          <w:szCs w:val="22"/>
        </w:rPr>
      </w:pPr>
    </w:p>
    <w:p w14:paraId="79E1FBAC" w14:textId="77777777" w:rsidR="002663A5" w:rsidRPr="005F5FD8" w:rsidRDefault="007B6DC2">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lastRenderedPageBreak/>
        <w:t xml:space="preserve">Productos elaborados (propuestas, programas, recomendaciones, opiniones, posicionamientos, observaciones, denuncias) </w:t>
      </w:r>
    </w:p>
    <w:p w14:paraId="6D80E965" w14:textId="77777777" w:rsidR="002663A5" w:rsidRPr="005F5FD8" w:rsidRDefault="007B6DC2">
      <w:pPr>
        <w:numPr>
          <w:ilvl w:val="0"/>
          <w:numId w:val="2"/>
        </w:numPr>
        <w:pBdr>
          <w:top w:val="nil"/>
          <w:left w:val="nil"/>
          <w:bottom w:val="nil"/>
          <w:right w:val="nil"/>
          <w:between w:val="nil"/>
        </w:pBdr>
        <w:spacing w:line="360" w:lineRule="auto"/>
        <w:ind w:left="851" w:right="616" w:firstLine="0"/>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Informes de actividades y/o resultados. </w:t>
      </w:r>
    </w:p>
    <w:p w14:paraId="0586C7E6"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1EAF6DF1" w14:textId="77777777" w:rsidR="002663A5" w:rsidRPr="005F5FD8" w:rsidRDefault="007B6DC2">
      <w:pPr>
        <w:spacing w:line="360" w:lineRule="auto"/>
        <w:ind w:right="-91"/>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Asimismo, no obsta mencionar que cabe la posibilidad de que dentro de la información que se ordena, pudieran encontrarse documentos que contengan información que actualice alguna de las causales de reserva establecidas en el artículo 140 de la Ley de Transparencia y Acceso a la Información Pública del Estado de México y Municipios, concretamente por lo que se refiere a las denuncias, que de haberse presentado y se encontraran en trámite a la fecha de la solicitud, actualizarían el supuesto establecido en la fracción VI, de precepto legal referido, en cuyo caso se deberá emitir un acuerdo que clasifique con tal carácter el documento, de conformidad con lo previsto en los artículos 49, fracciones II y VIII, 129, 132, 134, 141 y 142, de la misma Ley, así como en los Lineamientos Generales en materia de Clasificación y Desclasificación de la Información, así como para la elaboración de Versiones Públicas, para efectos de clasificar dicha información, hasta en tanto no se emita una resolución definitiva.</w:t>
      </w:r>
    </w:p>
    <w:p w14:paraId="4B19708C" w14:textId="77777777" w:rsidR="002663A5" w:rsidRPr="005F5FD8" w:rsidRDefault="002663A5">
      <w:pPr>
        <w:spacing w:line="360" w:lineRule="auto"/>
        <w:ind w:right="-91"/>
        <w:jc w:val="both"/>
        <w:rPr>
          <w:rFonts w:ascii="Palatino Linotype" w:eastAsia="Palatino Linotype" w:hAnsi="Palatino Linotype" w:cs="Palatino Linotype"/>
          <w:sz w:val="22"/>
          <w:szCs w:val="22"/>
        </w:rPr>
      </w:pPr>
    </w:p>
    <w:p w14:paraId="29FF74F7" w14:textId="77777777" w:rsidR="002663A5" w:rsidRPr="005F5FD8" w:rsidRDefault="007B6DC2">
      <w:pPr>
        <w:spacing w:line="360" w:lineRule="auto"/>
        <w:ind w:right="-91"/>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Sin embargo, para el caso de que no se llegara a localizar la información por no haberse generado, poseído y/o administrado, bastará con que así se haga del conocimiento de la persona solicitante para tener por colmado su derecho de acceso a la información, en términos de lo dispuesto por el artículo 19, párrafo segundo de la Ley de Transparencia y Acceso a la Información Pública del Estado de México y Municipios, a saber:</w:t>
      </w:r>
    </w:p>
    <w:p w14:paraId="4836F3DC"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w:t>
      </w:r>
      <w:r w:rsidRPr="005F5FD8">
        <w:rPr>
          <w:rFonts w:ascii="Palatino Linotype" w:eastAsia="Palatino Linotype" w:hAnsi="Palatino Linotype" w:cs="Palatino Linotype"/>
          <w:b/>
          <w:i/>
          <w:sz w:val="22"/>
          <w:szCs w:val="22"/>
        </w:rPr>
        <w:t>Artículo 19</w:t>
      </w:r>
      <w:r w:rsidRPr="005F5FD8">
        <w:rPr>
          <w:rFonts w:ascii="Palatino Linotype" w:eastAsia="Palatino Linotype" w:hAnsi="Palatino Linotype" w:cs="Palatino Linotype"/>
          <w:i/>
          <w:sz w:val="22"/>
          <w:szCs w:val="22"/>
        </w:rPr>
        <w:t>…</w:t>
      </w:r>
    </w:p>
    <w:p w14:paraId="7F360760" w14:textId="77777777" w:rsidR="002663A5" w:rsidRPr="005F5FD8" w:rsidRDefault="007B6DC2">
      <w:pPr>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En los casos en que ciertas facultades, competencias o funciones no se hayan ejercido, se debe motivar la respuesta en función de las causas que motiven tal circunstancia.”</w:t>
      </w:r>
    </w:p>
    <w:p w14:paraId="56C5E084" w14:textId="77777777" w:rsidR="002663A5" w:rsidRPr="005F5FD8" w:rsidRDefault="002663A5">
      <w:pPr>
        <w:ind w:left="851" w:right="616"/>
        <w:jc w:val="both"/>
        <w:rPr>
          <w:rFonts w:ascii="Palatino Linotype" w:eastAsia="Palatino Linotype" w:hAnsi="Palatino Linotype" w:cs="Palatino Linotype"/>
          <w:i/>
          <w:sz w:val="22"/>
          <w:szCs w:val="22"/>
        </w:rPr>
      </w:pPr>
    </w:p>
    <w:p w14:paraId="0042FE5A" w14:textId="77777777" w:rsidR="002663A5" w:rsidRPr="005F5FD8" w:rsidRDefault="007B6DC2">
      <w:pPr>
        <w:spacing w:line="360" w:lineRule="auto"/>
        <w:ind w:right="-91"/>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lastRenderedPageBreak/>
        <w:t>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14:paraId="2524605E" w14:textId="77777777" w:rsidR="002663A5" w:rsidRPr="005F5FD8" w:rsidRDefault="002663A5">
      <w:pPr>
        <w:spacing w:line="360" w:lineRule="auto"/>
        <w:ind w:right="-91"/>
        <w:jc w:val="both"/>
        <w:rPr>
          <w:rFonts w:ascii="Palatino Linotype" w:eastAsia="Palatino Linotype" w:hAnsi="Palatino Linotype" w:cs="Palatino Linotype"/>
          <w:sz w:val="22"/>
          <w:szCs w:val="22"/>
        </w:rPr>
      </w:pPr>
    </w:p>
    <w:p w14:paraId="7F91CD4A" w14:textId="77777777" w:rsidR="002663A5" w:rsidRPr="005F5FD8" w:rsidRDefault="007B6DC2">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Quinto. Versión Pública. </w:t>
      </w:r>
      <w:r w:rsidRPr="005F5FD8">
        <w:rPr>
          <w:rFonts w:ascii="Palatino Linotype" w:eastAsia="Palatino Linotype" w:hAnsi="Palatino Linotype" w:cs="Palatino Linotype"/>
          <w:sz w:val="22"/>
          <w:szCs w:val="22"/>
        </w:rPr>
        <w:t xml:space="preserve">Finalmente, para la entrega de la información que se determina ordenar,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deberá realizar un análisis con la finalidad de advertir si esta contiene datos que deben ser clasificados en los términos que la misma Ley en la materia señala, en ese sentido,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del recurrente sin menoscabar el derecho a la protección de los datos personales de terceros.</w:t>
      </w:r>
    </w:p>
    <w:p w14:paraId="177D81A0" w14:textId="77777777" w:rsidR="002663A5" w:rsidRPr="005F5FD8" w:rsidRDefault="002663A5">
      <w:pPr>
        <w:spacing w:line="360" w:lineRule="auto"/>
        <w:rPr>
          <w:rFonts w:ascii="Palatino Linotype" w:eastAsia="Palatino Linotype" w:hAnsi="Palatino Linotype" w:cs="Palatino Linotype"/>
          <w:sz w:val="22"/>
          <w:szCs w:val="22"/>
        </w:rPr>
      </w:pPr>
    </w:p>
    <w:p w14:paraId="44E2A6A0" w14:textId="77777777" w:rsidR="002663A5" w:rsidRPr="005F5FD8" w:rsidRDefault="007B6DC2">
      <w:pPr>
        <w:pBdr>
          <w:top w:val="nil"/>
          <w:left w:val="nil"/>
          <w:bottom w:val="nil"/>
          <w:right w:val="nil"/>
          <w:between w:val="nil"/>
        </w:pBdr>
        <w:spacing w:line="360" w:lineRule="auto"/>
        <w:ind w:right="50"/>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Lo anterior, de conformidad con lo que señalan los artículos 3 fracciones IX, XX, XXI y XLV, 91, 132 fracciones II y III, y 143 de la Ley de Transparencia y Acceso a la Información Pública del Estado de México y Municipios que establecen:</w:t>
      </w:r>
    </w:p>
    <w:p w14:paraId="461F1740" w14:textId="77777777" w:rsidR="002663A5" w:rsidRPr="005F5FD8" w:rsidRDefault="002663A5">
      <w:pPr>
        <w:rPr>
          <w:rFonts w:ascii="Palatino Linotype" w:eastAsia="Palatino Linotype" w:hAnsi="Palatino Linotype" w:cs="Palatino Linotype"/>
          <w:sz w:val="22"/>
          <w:szCs w:val="22"/>
        </w:rPr>
      </w:pPr>
    </w:p>
    <w:p w14:paraId="31CBC4E6"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w:t>
      </w:r>
      <w:r w:rsidRPr="005F5FD8">
        <w:rPr>
          <w:rFonts w:ascii="Palatino Linotype" w:eastAsia="Palatino Linotype" w:hAnsi="Palatino Linotype" w:cs="Palatino Linotype"/>
          <w:b/>
          <w:i/>
          <w:sz w:val="22"/>
          <w:szCs w:val="22"/>
        </w:rPr>
        <w:t>Artículo 3.</w:t>
      </w:r>
      <w:r w:rsidRPr="005F5FD8">
        <w:rPr>
          <w:rFonts w:ascii="Palatino Linotype" w:eastAsia="Palatino Linotype" w:hAnsi="Palatino Linotype" w:cs="Palatino Linotype"/>
          <w:i/>
          <w:sz w:val="22"/>
          <w:szCs w:val="22"/>
        </w:rPr>
        <w:t xml:space="preserve"> Para los efectos de la presente Ley se entenderá por:</w:t>
      </w:r>
    </w:p>
    <w:p w14:paraId="714D6C71"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w:t>
      </w:r>
    </w:p>
    <w:p w14:paraId="4246106E"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IX. Datos personales: La información concerniente a una persona, identificada o identificable según lo dispuesto por la Ley de Protección de Datos Personales del Estado de México; </w:t>
      </w:r>
    </w:p>
    <w:p w14:paraId="14F11CA9"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XX. Información clasificada: Aquella considerada por la presente Ley como reservada o confidencial;</w:t>
      </w:r>
    </w:p>
    <w:p w14:paraId="00E54AED"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77781D2B"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lastRenderedPageBreak/>
        <w:t>XLV. Versión pública: Documento en el que se elimine, suprime o borra la información clasificada como reservada o confidencial para permitir su acceso.</w:t>
      </w:r>
    </w:p>
    <w:p w14:paraId="5603E7DE"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w:t>
      </w:r>
    </w:p>
    <w:p w14:paraId="6EE30E94"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i/>
          <w:sz w:val="22"/>
          <w:szCs w:val="22"/>
        </w:rPr>
        <w:t>Artículo 91.</w:t>
      </w:r>
      <w:r w:rsidRPr="005F5FD8">
        <w:rPr>
          <w:rFonts w:ascii="Palatino Linotype" w:eastAsia="Palatino Linotype" w:hAnsi="Palatino Linotype" w:cs="Palatino Linotype"/>
          <w:i/>
          <w:sz w:val="22"/>
          <w:szCs w:val="22"/>
        </w:rPr>
        <w:t xml:space="preserve"> El acceso a la información pública será restringido excepcionalmente, cuando ésta sea clasificada como reservada o confidencial.</w:t>
      </w:r>
    </w:p>
    <w:p w14:paraId="17B3494A"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i/>
          <w:sz w:val="22"/>
          <w:szCs w:val="22"/>
        </w:rPr>
        <w:t>Artículo 132.</w:t>
      </w:r>
      <w:r w:rsidRPr="005F5FD8">
        <w:rPr>
          <w:rFonts w:ascii="Palatino Linotype" w:eastAsia="Palatino Linotype" w:hAnsi="Palatino Linotype" w:cs="Palatino Linotype"/>
          <w:i/>
          <w:sz w:val="22"/>
          <w:szCs w:val="22"/>
        </w:rPr>
        <w:t xml:space="preserve"> La clasificación de la información se llevará a cabo en el momento en que:</w:t>
      </w:r>
    </w:p>
    <w:p w14:paraId="540F6995"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I. Se reciba una solicitud de acceso a la información;</w:t>
      </w:r>
    </w:p>
    <w:p w14:paraId="6E5260D4"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II. Se determine mediante resolución de autoridad competente; o</w:t>
      </w:r>
    </w:p>
    <w:p w14:paraId="69598DD7"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III. Se generen versiones públicas para dar cumplimiento a las obligaciones de transparencia previstas en esta Ley.</w:t>
      </w:r>
    </w:p>
    <w:p w14:paraId="2BA34F71"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w:t>
      </w:r>
    </w:p>
    <w:p w14:paraId="332B6FD4"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i/>
          <w:sz w:val="22"/>
          <w:szCs w:val="22"/>
        </w:rPr>
        <w:t>Artículo 143</w:t>
      </w:r>
      <w:r w:rsidRPr="005F5FD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246DE053"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I. Se refiera a la información privada y los datos personales concernientes a una persona física o jurídico colectiva identificada o identificable;</w:t>
      </w:r>
    </w:p>
    <w:p w14:paraId="26438E7F"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08BE5669"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w:t>
      </w:r>
    </w:p>
    <w:p w14:paraId="0905BD6F"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3C410325" w14:textId="77777777" w:rsidR="002663A5" w:rsidRPr="005F5FD8" w:rsidRDefault="007B6DC2">
      <w:pPr>
        <w:pBdr>
          <w:top w:val="nil"/>
          <w:left w:val="nil"/>
          <w:bottom w:val="nil"/>
          <w:right w:val="nil"/>
          <w:between w:val="nil"/>
        </w:pBdr>
        <w:ind w:left="851" w:right="616"/>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252288A5" w14:textId="77777777" w:rsidR="002663A5" w:rsidRPr="005F5FD8" w:rsidRDefault="002663A5">
      <w:pPr>
        <w:rPr>
          <w:rFonts w:ascii="Palatino Linotype" w:eastAsia="Palatino Linotype" w:hAnsi="Palatino Linotype" w:cs="Palatino Linotype"/>
          <w:sz w:val="22"/>
          <w:szCs w:val="22"/>
        </w:rPr>
      </w:pPr>
    </w:p>
    <w:p w14:paraId="38E0F27D"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Igualmente, lo establecido en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que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28C3895E"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70799A76"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Entorno a lo que aquí nos interesa, los Lineamientos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siendo estas las siguientes:</w:t>
      </w:r>
    </w:p>
    <w:p w14:paraId="04278D5E"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w:t>
      </w:r>
      <w:r w:rsidRPr="005F5FD8">
        <w:rPr>
          <w:rFonts w:ascii="Palatino Linotype" w:eastAsia="Palatino Linotype" w:hAnsi="Palatino Linotype" w:cs="Palatino Linotype"/>
          <w:b/>
          <w:i/>
          <w:sz w:val="22"/>
          <w:szCs w:val="22"/>
        </w:rPr>
        <w:t xml:space="preserve">Quincuagésimo. </w:t>
      </w:r>
      <w:r w:rsidRPr="005F5FD8">
        <w:rPr>
          <w:rFonts w:ascii="Palatino Linotype" w:eastAsia="Palatino Linotype" w:hAnsi="Palatino Linotype" w:cs="Palatino Linotype"/>
          <w:i/>
          <w:sz w:val="22"/>
          <w:szCs w:val="22"/>
        </w:rPr>
        <w:t xml:space="preserve">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7C670338"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 xml:space="preserve">Quincuagésimo primero. </w:t>
      </w:r>
      <w:r w:rsidRPr="005F5FD8">
        <w:rPr>
          <w:rFonts w:ascii="Palatino Linotype" w:eastAsia="Palatino Linotype" w:hAnsi="Palatino Linotype" w:cs="Palatino Linotype"/>
          <w:i/>
          <w:sz w:val="22"/>
          <w:szCs w:val="22"/>
        </w:rPr>
        <w:t xml:space="preserve">Toda acta del Comité de Transparencia deberá contener: </w:t>
      </w:r>
    </w:p>
    <w:p w14:paraId="16F384C4"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w:t>
      </w:r>
      <w:r w:rsidRPr="005F5FD8">
        <w:rPr>
          <w:rFonts w:ascii="Palatino Linotype" w:eastAsia="Palatino Linotype" w:hAnsi="Palatino Linotype" w:cs="Palatino Linotype"/>
          <w:i/>
          <w:sz w:val="22"/>
          <w:szCs w:val="22"/>
        </w:rPr>
        <w:t xml:space="preserve"> El número de sesión y fecha; </w:t>
      </w:r>
    </w:p>
    <w:p w14:paraId="17390BA0"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II</w:t>
      </w:r>
      <w:r w:rsidRPr="005F5FD8">
        <w:rPr>
          <w:rFonts w:ascii="Palatino Linotype" w:eastAsia="Palatino Linotype" w:hAnsi="Palatino Linotype" w:cs="Palatino Linotype"/>
          <w:i/>
          <w:sz w:val="22"/>
          <w:szCs w:val="22"/>
        </w:rPr>
        <w:t xml:space="preserve">. El nombre del área que solicitó la clasificación de información; </w:t>
      </w:r>
    </w:p>
    <w:p w14:paraId="027FCA5A"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III</w:t>
      </w:r>
      <w:r w:rsidRPr="005F5FD8">
        <w:rPr>
          <w:rFonts w:ascii="Palatino Linotype" w:eastAsia="Palatino Linotype" w:hAnsi="Palatino Linotype" w:cs="Palatino Linotype"/>
          <w:i/>
          <w:sz w:val="22"/>
          <w:szCs w:val="22"/>
        </w:rPr>
        <w:t xml:space="preserve">. La fundamentación legal y motivación correspondiente; </w:t>
      </w:r>
    </w:p>
    <w:p w14:paraId="7B828E45"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IV</w:t>
      </w:r>
      <w:r w:rsidRPr="005F5FD8">
        <w:rPr>
          <w:rFonts w:ascii="Palatino Linotype" w:eastAsia="Palatino Linotype" w:hAnsi="Palatino Linotype" w:cs="Palatino Linotype"/>
          <w:i/>
          <w:sz w:val="22"/>
          <w:szCs w:val="22"/>
        </w:rPr>
        <w:t xml:space="preserve">. La resolución o resoluciones aprobadas; y </w:t>
      </w:r>
    </w:p>
    <w:p w14:paraId="5A98FA62"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V</w:t>
      </w:r>
      <w:r w:rsidRPr="005F5FD8">
        <w:rPr>
          <w:rFonts w:ascii="Palatino Linotype" w:eastAsia="Palatino Linotype" w:hAnsi="Palatino Linotype" w:cs="Palatino Linotype"/>
          <w:i/>
          <w:sz w:val="22"/>
          <w:szCs w:val="22"/>
        </w:rPr>
        <w:t xml:space="preserve">. La rúbrica o firma digital de cada integrante del Comité de Transparencia. </w:t>
      </w:r>
    </w:p>
    <w:p w14:paraId="39CA6209"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41FC458"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w:t>
      </w:r>
      <w:r w:rsidRPr="005F5FD8">
        <w:rPr>
          <w:rFonts w:ascii="Palatino Linotype" w:eastAsia="Palatino Linotype" w:hAnsi="Palatino Linotype" w:cs="Palatino Linotype"/>
          <w:i/>
          <w:sz w:val="22"/>
          <w:szCs w:val="22"/>
        </w:rPr>
        <w:t xml:space="preserve"> Los motivos y razonamientos que sustenten la confirmación o modificación de la prueba de daño;</w:t>
      </w:r>
    </w:p>
    <w:p w14:paraId="71BC2BF9"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b/>
          <w:i/>
          <w:sz w:val="22"/>
          <w:szCs w:val="22"/>
        </w:rPr>
      </w:pPr>
      <w:r w:rsidRPr="005F5FD8">
        <w:rPr>
          <w:rFonts w:ascii="Palatino Linotype" w:eastAsia="Palatino Linotype" w:hAnsi="Palatino Linotype" w:cs="Palatino Linotype"/>
          <w:b/>
          <w:i/>
          <w:sz w:val="22"/>
          <w:szCs w:val="22"/>
        </w:rPr>
        <w:t>II</w:t>
      </w:r>
      <w:r w:rsidRPr="005F5FD8">
        <w:rPr>
          <w:rFonts w:ascii="Palatino Linotype" w:eastAsia="Palatino Linotype" w:hAnsi="Palatino Linotype" w:cs="Palatino Linotype"/>
          <w:i/>
          <w:sz w:val="22"/>
          <w:szCs w:val="22"/>
        </w:rPr>
        <w:t>. Descripción de las partes o secciones reservadas, en caso de clasificación parcial</w:t>
      </w:r>
      <w:r w:rsidRPr="005F5FD8">
        <w:rPr>
          <w:rFonts w:ascii="Palatino Linotype" w:eastAsia="Palatino Linotype" w:hAnsi="Palatino Linotype" w:cs="Palatino Linotype"/>
          <w:b/>
          <w:i/>
          <w:sz w:val="22"/>
          <w:szCs w:val="22"/>
        </w:rPr>
        <w:t xml:space="preserve">; </w:t>
      </w:r>
    </w:p>
    <w:p w14:paraId="5AEFDEA6"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III.</w:t>
      </w:r>
      <w:r w:rsidRPr="005F5FD8">
        <w:rPr>
          <w:rFonts w:ascii="Palatino Linotype" w:eastAsia="Palatino Linotype" w:hAnsi="Palatino Linotype" w:cs="Palatino Linotype"/>
          <w:i/>
          <w:sz w:val="22"/>
          <w:szCs w:val="22"/>
        </w:rPr>
        <w:t xml:space="preserve"> El periodo por el que mantendrá su clasificación y fecha de expiración; y </w:t>
      </w:r>
    </w:p>
    <w:p w14:paraId="3F3D756C"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IV.</w:t>
      </w:r>
      <w:r w:rsidRPr="005F5FD8">
        <w:rPr>
          <w:rFonts w:ascii="Palatino Linotype" w:eastAsia="Palatino Linotype" w:hAnsi="Palatino Linotype" w:cs="Palatino Linotype"/>
          <w:i/>
          <w:sz w:val="22"/>
          <w:szCs w:val="22"/>
        </w:rPr>
        <w:t xml:space="preserve"> El nombre del titular y área encargada de realizar la versión pública del documento, en su caso. </w:t>
      </w:r>
    </w:p>
    <w:p w14:paraId="33CE9863"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17B8D3E0"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28A4FDE9"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lastRenderedPageBreak/>
        <w:t xml:space="preserve"> Quincuagésimo segundo</w:t>
      </w:r>
      <w:r w:rsidRPr="005F5FD8">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CAD9CB3"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 xml:space="preserve">En el caso </w:t>
      </w:r>
      <w:proofErr w:type="spellStart"/>
      <w:r w:rsidRPr="005F5FD8">
        <w:rPr>
          <w:rFonts w:ascii="Palatino Linotype" w:eastAsia="Palatino Linotype" w:hAnsi="Palatino Linotype" w:cs="Palatino Linotype"/>
          <w:i/>
          <w:sz w:val="22"/>
          <w:szCs w:val="22"/>
        </w:rPr>
        <w:t>especifico</w:t>
      </w:r>
      <w:proofErr w:type="spellEnd"/>
      <w:r w:rsidRPr="005F5FD8">
        <w:rPr>
          <w:rFonts w:ascii="Palatino Linotype" w:eastAsia="Palatino Linotype" w:hAnsi="Palatino Linotype" w:cs="Palatino Linotype"/>
          <w:i/>
          <w:sz w:val="22"/>
          <w:szCs w:val="22"/>
        </w:rPr>
        <w:t xml:space="preserve"> de la clasificación y elaboración de versiones públicas de documentos que contengan información confidencial, las áreas de los sujetos obligados deberán: </w:t>
      </w:r>
    </w:p>
    <w:p w14:paraId="0B615CB1"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w:t>
      </w:r>
      <w:r w:rsidRPr="005F5FD8">
        <w:rPr>
          <w:rFonts w:ascii="Palatino Linotype" w:eastAsia="Palatino Linotype" w:hAnsi="Palatino Linotype" w:cs="Palatino Linotype"/>
          <w:i/>
          <w:sz w:val="22"/>
          <w:szCs w:val="22"/>
        </w:rPr>
        <w:t xml:space="preserve"> Fijar la fecha en que se elaboró la versión pública y la fecha en la cual el Comité de Transparencia confirmó dicha versión;</w:t>
      </w:r>
    </w:p>
    <w:p w14:paraId="312DA7BA"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II.</w:t>
      </w:r>
      <w:r w:rsidRPr="005F5FD8">
        <w:rPr>
          <w:rFonts w:ascii="Palatino Linotype" w:eastAsia="Palatino Linotype" w:hAnsi="Palatino Linotype" w:cs="Palatino Linotype"/>
          <w:i/>
          <w:sz w:val="22"/>
          <w:szCs w:val="22"/>
        </w:rPr>
        <w:t xml:space="preserve"> Señalar dentro del documento el tipo de información confidencial que fue testada en cada caso específico, de conformidad con el lineamiento trigésimo octavo; y</w:t>
      </w:r>
    </w:p>
    <w:p w14:paraId="3F88519A"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III.</w:t>
      </w:r>
      <w:r w:rsidRPr="005F5FD8">
        <w:rPr>
          <w:rFonts w:ascii="Palatino Linotype" w:eastAsia="Palatino Linotype" w:hAnsi="Palatino Linotype" w:cs="Palatino Linotype"/>
          <w:i/>
          <w:sz w:val="22"/>
          <w:szCs w:val="22"/>
        </w:rPr>
        <w:t xml:space="preserve"> Señalar las personas o instancias autorizadas a acceder a la información clasificada.</w:t>
      </w:r>
    </w:p>
    <w:p w14:paraId="6BAF6246"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425A15C2" w14:textId="77777777" w:rsidR="002663A5" w:rsidRPr="005F5FD8" w:rsidRDefault="007B6DC2">
      <w:pPr>
        <w:spacing w:before="240" w:after="240"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Asimismo, deberá observar los Lineamientos Quincuagésimo cuarto, Quincuagésimo quinto, Quincuagésimo sexto, Quincuagésimo séptimo y Quincuagésimo octavo, establecen lo siguiente:</w:t>
      </w:r>
    </w:p>
    <w:p w14:paraId="150196C2" w14:textId="77777777" w:rsidR="002663A5" w:rsidRPr="005F5FD8" w:rsidRDefault="007B6DC2">
      <w:pPr>
        <w:pBdr>
          <w:top w:val="nil"/>
          <w:left w:val="nil"/>
          <w:bottom w:val="nil"/>
          <w:right w:val="nil"/>
          <w:between w:val="nil"/>
        </w:pBdr>
        <w:spacing w:before="120" w:after="120"/>
        <w:ind w:left="851" w:right="616"/>
        <w:jc w:val="both"/>
        <w:rPr>
          <w:rFonts w:ascii="Palatino Linotype" w:eastAsia="Palatino Linotype" w:hAnsi="Palatino Linotype" w:cs="Palatino Linotype"/>
          <w:b/>
          <w:i/>
          <w:sz w:val="22"/>
          <w:szCs w:val="22"/>
        </w:rPr>
      </w:pPr>
      <w:r w:rsidRPr="005F5FD8">
        <w:rPr>
          <w:rFonts w:ascii="Palatino Linotype" w:eastAsia="Palatino Linotype" w:hAnsi="Palatino Linotype" w:cs="Palatino Linotype"/>
          <w:i/>
          <w:sz w:val="22"/>
          <w:szCs w:val="22"/>
        </w:rPr>
        <w:t>“</w:t>
      </w:r>
      <w:r w:rsidRPr="005F5FD8">
        <w:rPr>
          <w:rFonts w:ascii="Palatino Linotype" w:eastAsia="Palatino Linotype" w:hAnsi="Palatino Linotype" w:cs="Palatino Linotype"/>
          <w:b/>
          <w:i/>
          <w:sz w:val="22"/>
          <w:szCs w:val="22"/>
        </w:rPr>
        <w:t xml:space="preserve">Quincuagésimo cuarto. </w:t>
      </w:r>
      <w:r w:rsidRPr="005F5FD8">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RPr="005F5FD8">
        <w:rPr>
          <w:rFonts w:ascii="Palatino Linotype" w:eastAsia="Palatino Linotype" w:hAnsi="Palatino Linotype" w:cs="Palatino Linotype"/>
          <w:b/>
          <w:i/>
          <w:sz w:val="22"/>
          <w:szCs w:val="22"/>
        </w:rPr>
        <w:t xml:space="preserve"> </w:t>
      </w:r>
    </w:p>
    <w:p w14:paraId="79015DCD"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 xml:space="preserve">Quincuagésimo quinto. </w:t>
      </w:r>
      <w:r w:rsidRPr="005F5FD8">
        <w:rPr>
          <w:rFonts w:ascii="Palatino Linotype" w:eastAsia="Palatino Linotype" w:hAnsi="Palatino Linotype" w:cs="Palatino Linotype"/>
          <w:i/>
          <w:sz w:val="22"/>
          <w:szCs w:val="22"/>
        </w:rPr>
        <w:t xml:space="preserve">Cada área del sujeto obligado podrá designar formalmente a una o más personas como responsables del </w:t>
      </w:r>
      <w:proofErr w:type="spellStart"/>
      <w:r w:rsidRPr="005F5FD8">
        <w:rPr>
          <w:rFonts w:ascii="Palatino Linotype" w:eastAsia="Palatino Linotype" w:hAnsi="Palatino Linotype" w:cs="Palatino Linotype"/>
          <w:i/>
          <w:sz w:val="22"/>
          <w:szCs w:val="22"/>
        </w:rPr>
        <w:t>testado</w:t>
      </w:r>
      <w:proofErr w:type="spellEnd"/>
      <w:r w:rsidRPr="005F5FD8">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44786CB2" w14:textId="77777777" w:rsidR="002663A5" w:rsidRPr="005F5FD8" w:rsidRDefault="007B6DC2">
      <w:pPr>
        <w:spacing w:before="120" w:after="120"/>
        <w:ind w:left="851" w:right="616"/>
        <w:jc w:val="both"/>
        <w:rPr>
          <w:rFonts w:ascii="Palatino Linotype" w:eastAsia="Palatino Linotype" w:hAnsi="Palatino Linotype" w:cs="Palatino Linotype"/>
          <w:b/>
          <w:i/>
          <w:sz w:val="22"/>
          <w:szCs w:val="22"/>
        </w:rPr>
      </w:pPr>
      <w:r w:rsidRPr="005F5FD8">
        <w:rPr>
          <w:rFonts w:ascii="Palatino Linotype" w:eastAsia="Palatino Linotype" w:hAnsi="Palatino Linotype" w:cs="Palatino Linotype"/>
          <w:b/>
          <w:i/>
          <w:sz w:val="22"/>
          <w:szCs w:val="22"/>
        </w:rPr>
        <w:t>...</w:t>
      </w:r>
    </w:p>
    <w:p w14:paraId="5AEEBFCE"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lastRenderedPageBreak/>
        <w:t>Quincuagésimo séptimo</w:t>
      </w:r>
      <w:r w:rsidRPr="005F5FD8">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4412532"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w:t>
      </w:r>
      <w:r w:rsidRPr="005F5FD8">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223C9D19"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II.</w:t>
      </w:r>
      <w:r w:rsidRPr="005F5FD8">
        <w:rPr>
          <w:rFonts w:ascii="Palatino Linotype" w:eastAsia="Palatino Linotype" w:hAnsi="Palatino Linotype" w:cs="Palatino Linotype"/>
          <w:i/>
          <w:sz w:val="22"/>
          <w:szCs w:val="22"/>
        </w:rPr>
        <w:t xml:space="preserve"> El nombre de los integrantes de los sujetos obligados en los documentos, y sus firmas autógrafas o digitales, cuando sean utilizados en el ejercicio de las facultades conferidas para el desempeño del servicio público, y</w:t>
      </w:r>
    </w:p>
    <w:p w14:paraId="0A6388D3"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III</w:t>
      </w:r>
      <w:r w:rsidRPr="005F5FD8">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 </w:t>
      </w:r>
    </w:p>
    <w:p w14:paraId="2784B7BB"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internacionales suscritas por el Estado mexicano.  </w:t>
      </w:r>
    </w:p>
    <w:p w14:paraId="298959CD" w14:textId="77777777" w:rsidR="002663A5" w:rsidRPr="005F5FD8" w:rsidRDefault="007B6DC2">
      <w:pPr>
        <w:spacing w:before="120" w:after="120"/>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b/>
          <w:i/>
          <w:sz w:val="22"/>
          <w:szCs w:val="22"/>
        </w:rPr>
        <w:t>Quincuagésimo octavo</w:t>
      </w:r>
      <w:r w:rsidRPr="005F5FD8">
        <w:rPr>
          <w:rFonts w:ascii="Palatino Linotype" w:eastAsia="Palatino Linotype" w:hAnsi="Palatino Linotype" w:cs="Palatino Linotype"/>
          <w:i/>
          <w:sz w:val="22"/>
          <w:szCs w:val="22"/>
        </w:rPr>
        <w:t>. Los sujetos obligados garantizarán que los sistemas o medios empleados para eliminar la información en las versiones públicas sean irreversibles, de tal forma que no permitan su recuperación o la visualización de la misma.”</w:t>
      </w:r>
    </w:p>
    <w:p w14:paraId="1546D149"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58D79FC1"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3189ED4"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4292248D" w14:textId="77777777" w:rsidR="002663A5" w:rsidRPr="005F5FD8" w:rsidRDefault="007B6DC2">
      <w:pPr>
        <w:spacing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Así, con fundamento en lo prescrito en los artículos 5 párrafos trigésimo segundo, trigésimo tercero y trigésimo cuarto fracciones IV y V de la Constitución Política del Estado Libre y </w:t>
      </w:r>
      <w:r w:rsidRPr="005F5FD8">
        <w:rPr>
          <w:rFonts w:ascii="Palatino Linotype" w:eastAsia="Palatino Linotype" w:hAnsi="Palatino Linotype" w:cs="Palatino Linotype"/>
          <w:sz w:val="22"/>
          <w:szCs w:val="22"/>
        </w:rPr>
        <w:lastRenderedPageBreak/>
        <w:t>Soberano de México; 2, fracción II; 29, 36 fracciones I y II; 176, 178, 181, 185, fracción I, 186, fracción III, así como 188 de la Ley de Transparencia y Acceso a la Información Pública del Estado de México y Municipios, este Pleno:</w:t>
      </w:r>
    </w:p>
    <w:p w14:paraId="7B910086" w14:textId="77777777" w:rsidR="002663A5" w:rsidRPr="005F5FD8" w:rsidRDefault="002663A5">
      <w:pPr>
        <w:spacing w:line="360" w:lineRule="auto"/>
        <w:jc w:val="both"/>
        <w:rPr>
          <w:rFonts w:ascii="Palatino Linotype" w:eastAsia="Palatino Linotype" w:hAnsi="Palatino Linotype" w:cs="Palatino Linotype"/>
          <w:sz w:val="22"/>
          <w:szCs w:val="22"/>
        </w:rPr>
      </w:pPr>
    </w:p>
    <w:p w14:paraId="04CE0394" w14:textId="77777777" w:rsidR="002663A5" w:rsidRPr="005F5FD8" w:rsidRDefault="007B6DC2">
      <w:pPr>
        <w:numPr>
          <w:ilvl w:val="0"/>
          <w:numId w:val="4"/>
        </w:num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r w:rsidRPr="005F5FD8">
        <w:rPr>
          <w:rFonts w:ascii="Palatino Linotype" w:eastAsia="Palatino Linotype" w:hAnsi="Palatino Linotype" w:cs="Palatino Linotype"/>
          <w:b/>
          <w:sz w:val="22"/>
          <w:szCs w:val="22"/>
        </w:rPr>
        <w:t>R E S U E L V E:</w:t>
      </w:r>
    </w:p>
    <w:p w14:paraId="6E6BF1A5" w14:textId="77777777" w:rsidR="002663A5" w:rsidRPr="005F5FD8" w:rsidRDefault="007B6DC2">
      <w:pPr>
        <w:spacing w:before="240" w:after="240"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Primero. </w:t>
      </w:r>
      <w:r w:rsidRPr="005F5FD8">
        <w:rPr>
          <w:rFonts w:ascii="Palatino Linotype" w:eastAsia="Palatino Linotype" w:hAnsi="Palatino Linotype" w:cs="Palatino Linotype"/>
          <w:sz w:val="22"/>
          <w:szCs w:val="22"/>
        </w:rPr>
        <w:t xml:space="preserve">Resultan </w:t>
      </w:r>
      <w:r w:rsidRPr="005F5FD8">
        <w:rPr>
          <w:rFonts w:ascii="Palatino Linotype" w:eastAsia="Palatino Linotype" w:hAnsi="Palatino Linotype" w:cs="Palatino Linotype"/>
          <w:b/>
          <w:sz w:val="22"/>
          <w:szCs w:val="22"/>
        </w:rPr>
        <w:t>fundadas</w:t>
      </w:r>
      <w:r w:rsidRPr="005F5FD8">
        <w:rPr>
          <w:rFonts w:ascii="Palatino Linotype" w:eastAsia="Palatino Linotype" w:hAnsi="Palatino Linotype" w:cs="Palatino Linotype"/>
          <w:sz w:val="22"/>
          <w:szCs w:val="22"/>
        </w:rPr>
        <w:t xml:space="preserve"> las razones o motivos de inconformidad hechos valer por la parte</w:t>
      </w:r>
      <w:r w:rsidRPr="005F5FD8">
        <w:rPr>
          <w:rFonts w:ascii="Palatino Linotype" w:eastAsia="Palatino Linotype" w:hAnsi="Palatino Linotype" w:cs="Palatino Linotype"/>
          <w:b/>
          <w:sz w:val="22"/>
          <w:szCs w:val="22"/>
        </w:rPr>
        <w:t xml:space="preserve"> Recurrente</w:t>
      </w:r>
      <w:r w:rsidRPr="005F5FD8">
        <w:rPr>
          <w:rFonts w:ascii="Palatino Linotype" w:eastAsia="Palatino Linotype" w:hAnsi="Palatino Linotype" w:cs="Palatino Linotype"/>
          <w:sz w:val="22"/>
          <w:szCs w:val="22"/>
        </w:rPr>
        <w:t xml:space="preserve"> en el recurso de revisión </w:t>
      </w:r>
      <w:r w:rsidRPr="005F5FD8">
        <w:rPr>
          <w:rFonts w:ascii="Palatino Linotype" w:eastAsia="Palatino Linotype" w:hAnsi="Palatino Linotype" w:cs="Palatino Linotype"/>
          <w:b/>
          <w:sz w:val="22"/>
          <w:szCs w:val="22"/>
        </w:rPr>
        <w:t>04079/INFOEM/IP/RR/2024</w:t>
      </w:r>
      <w:r w:rsidRPr="005F5FD8">
        <w:rPr>
          <w:rFonts w:ascii="Palatino Linotype" w:eastAsia="Palatino Linotype" w:hAnsi="Palatino Linotype" w:cs="Palatino Linotype"/>
          <w:sz w:val="22"/>
          <w:szCs w:val="22"/>
        </w:rPr>
        <w:t xml:space="preserve">; por lo que, en términos del </w:t>
      </w:r>
      <w:r w:rsidRPr="005F5FD8">
        <w:rPr>
          <w:rFonts w:ascii="Palatino Linotype" w:eastAsia="Palatino Linotype" w:hAnsi="Palatino Linotype" w:cs="Palatino Linotype"/>
          <w:b/>
          <w:sz w:val="22"/>
          <w:szCs w:val="22"/>
        </w:rPr>
        <w:t>Considerando</w:t>
      </w:r>
      <w:r w:rsidRPr="005F5FD8">
        <w:rPr>
          <w:rFonts w:ascii="Palatino Linotype" w:eastAsia="Palatino Linotype" w:hAnsi="Palatino Linotype" w:cs="Palatino Linotype"/>
          <w:sz w:val="22"/>
          <w:szCs w:val="22"/>
        </w:rPr>
        <w:t xml:space="preserve"> </w:t>
      </w:r>
      <w:r w:rsidRPr="005F5FD8">
        <w:rPr>
          <w:rFonts w:ascii="Palatino Linotype" w:eastAsia="Palatino Linotype" w:hAnsi="Palatino Linotype" w:cs="Palatino Linotype"/>
          <w:b/>
          <w:sz w:val="22"/>
          <w:szCs w:val="22"/>
        </w:rPr>
        <w:t xml:space="preserve">Cuarto </w:t>
      </w:r>
      <w:r w:rsidRPr="005F5FD8">
        <w:rPr>
          <w:rFonts w:ascii="Palatino Linotype" w:eastAsia="Palatino Linotype" w:hAnsi="Palatino Linotype" w:cs="Palatino Linotype"/>
          <w:sz w:val="22"/>
          <w:szCs w:val="22"/>
        </w:rPr>
        <w:t xml:space="preserve">de esta resolución, se </w:t>
      </w:r>
      <w:r w:rsidRPr="005F5FD8">
        <w:rPr>
          <w:rFonts w:ascii="Palatino Linotype" w:eastAsia="Palatino Linotype" w:hAnsi="Palatino Linotype" w:cs="Palatino Linotype"/>
          <w:b/>
          <w:sz w:val="22"/>
          <w:szCs w:val="22"/>
        </w:rPr>
        <w:t xml:space="preserve">REVOCA </w:t>
      </w:r>
      <w:r w:rsidRPr="005F5FD8">
        <w:rPr>
          <w:rFonts w:ascii="Palatino Linotype" w:eastAsia="Palatino Linotype" w:hAnsi="Palatino Linotype" w:cs="Palatino Linotype"/>
          <w:sz w:val="22"/>
          <w:szCs w:val="22"/>
        </w:rPr>
        <w:t xml:space="preserve">la respuesta emitida por el </w:t>
      </w:r>
      <w:r w:rsidRPr="005F5FD8">
        <w:rPr>
          <w:rFonts w:ascii="Palatino Linotype" w:eastAsia="Palatino Linotype" w:hAnsi="Palatino Linotype" w:cs="Palatino Linotype"/>
          <w:b/>
          <w:sz w:val="22"/>
          <w:szCs w:val="22"/>
        </w:rPr>
        <w:t>Sujeto Obligado.</w:t>
      </w:r>
    </w:p>
    <w:p w14:paraId="3E223F94" w14:textId="77777777" w:rsidR="002663A5" w:rsidRPr="005F5FD8" w:rsidRDefault="007B6DC2">
      <w:pPr>
        <w:spacing w:before="240" w:after="240" w:line="360" w:lineRule="auto"/>
        <w:ind w:right="49"/>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Segundo. </w:t>
      </w:r>
      <w:r w:rsidRPr="005F5FD8">
        <w:rPr>
          <w:rFonts w:ascii="Palatino Linotype" w:eastAsia="Palatino Linotype" w:hAnsi="Palatino Linotype" w:cs="Palatino Linotype"/>
          <w:sz w:val="22"/>
          <w:szCs w:val="22"/>
        </w:rPr>
        <w:t xml:space="preserve">Se </w:t>
      </w:r>
      <w:r w:rsidRPr="005F5FD8">
        <w:rPr>
          <w:rFonts w:ascii="Palatino Linotype" w:eastAsia="Palatino Linotype" w:hAnsi="Palatino Linotype" w:cs="Palatino Linotype"/>
          <w:b/>
          <w:sz w:val="22"/>
          <w:szCs w:val="22"/>
        </w:rPr>
        <w:t xml:space="preserve">Ordena </w:t>
      </w:r>
      <w:r w:rsidRPr="005F5FD8">
        <w:rPr>
          <w:rFonts w:ascii="Palatino Linotype" w:eastAsia="Palatino Linotype" w:hAnsi="Palatino Linotype" w:cs="Palatino Linotype"/>
          <w:sz w:val="22"/>
          <w:szCs w:val="22"/>
        </w:rPr>
        <w:t xml:space="preserve">al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entregue, a</w:t>
      </w:r>
      <w:r w:rsidRPr="005F5FD8">
        <w:rPr>
          <w:rFonts w:ascii="Palatino Linotype" w:eastAsia="Palatino Linotype" w:hAnsi="Palatino Linotype" w:cs="Palatino Linotype"/>
          <w:b/>
          <w:sz w:val="22"/>
          <w:szCs w:val="22"/>
        </w:rPr>
        <w:t xml:space="preserve"> </w:t>
      </w:r>
      <w:r w:rsidRPr="005F5FD8">
        <w:rPr>
          <w:rFonts w:ascii="Palatino Linotype" w:eastAsia="Palatino Linotype" w:hAnsi="Palatino Linotype" w:cs="Palatino Linotype"/>
          <w:sz w:val="22"/>
          <w:szCs w:val="22"/>
        </w:rPr>
        <w:t>la part</w:t>
      </w:r>
      <w:r w:rsidRPr="005F5FD8">
        <w:rPr>
          <w:rFonts w:ascii="Palatino Linotype" w:eastAsia="Palatino Linotype" w:hAnsi="Palatino Linotype" w:cs="Palatino Linotype"/>
          <w:b/>
          <w:sz w:val="22"/>
          <w:szCs w:val="22"/>
        </w:rPr>
        <w:t>e</w:t>
      </w:r>
      <w:r w:rsidRPr="005F5FD8">
        <w:rPr>
          <w:rFonts w:ascii="Palatino Linotype" w:eastAsia="Palatino Linotype" w:hAnsi="Palatino Linotype" w:cs="Palatino Linotype"/>
          <w:sz w:val="22"/>
          <w:szCs w:val="22"/>
        </w:rPr>
        <w:t xml:space="preserve"> </w:t>
      </w:r>
      <w:r w:rsidRPr="005F5FD8">
        <w:rPr>
          <w:rFonts w:ascii="Palatino Linotype" w:eastAsia="Palatino Linotype" w:hAnsi="Palatino Linotype" w:cs="Palatino Linotype"/>
          <w:b/>
          <w:sz w:val="22"/>
          <w:szCs w:val="22"/>
        </w:rPr>
        <w:t>Recurrente</w:t>
      </w:r>
      <w:r w:rsidRPr="005F5FD8">
        <w:rPr>
          <w:rFonts w:ascii="Palatino Linotype" w:eastAsia="Palatino Linotype" w:hAnsi="Palatino Linotype" w:cs="Palatino Linotype"/>
          <w:sz w:val="22"/>
          <w:szCs w:val="22"/>
        </w:rPr>
        <w:t xml:space="preserve">, </w:t>
      </w:r>
      <w:r w:rsidRPr="005F5FD8">
        <w:rPr>
          <w:rFonts w:ascii="Palatino Linotype" w:eastAsia="Palatino Linotype" w:hAnsi="Palatino Linotype" w:cs="Palatino Linotype"/>
          <w:b/>
          <w:sz w:val="22"/>
          <w:szCs w:val="22"/>
        </w:rPr>
        <w:t xml:space="preserve">vía SAIMEX, </w:t>
      </w:r>
      <w:r w:rsidRPr="005F5FD8">
        <w:rPr>
          <w:rFonts w:ascii="Palatino Linotype" w:eastAsia="Palatino Linotype" w:hAnsi="Palatino Linotype" w:cs="Palatino Linotype"/>
          <w:sz w:val="22"/>
          <w:szCs w:val="22"/>
        </w:rPr>
        <w:t>en términos del</w:t>
      </w:r>
      <w:r w:rsidRPr="005F5FD8">
        <w:rPr>
          <w:rFonts w:ascii="Palatino Linotype" w:eastAsia="Palatino Linotype" w:hAnsi="Palatino Linotype" w:cs="Palatino Linotype"/>
          <w:b/>
          <w:sz w:val="22"/>
          <w:szCs w:val="22"/>
        </w:rPr>
        <w:t xml:space="preserve"> Considerando</w:t>
      </w:r>
      <w:r w:rsidRPr="005F5FD8">
        <w:rPr>
          <w:rFonts w:ascii="Palatino Linotype" w:eastAsia="Palatino Linotype" w:hAnsi="Palatino Linotype" w:cs="Palatino Linotype"/>
          <w:sz w:val="22"/>
          <w:szCs w:val="22"/>
        </w:rPr>
        <w:t xml:space="preserve"> </w:t>
      </w:r>
      <w:r w:rsidRPr="005F5FD8">
        <w:rPr>
          <w:rFonts w:ascii="Palatino Linotype" w:eastAsia="Palatino Linotype" w:hAnsi="Palatino Linotype" w:cs="Palatino Linotype"/>
          <w:b/>
          <w:sz w:val="22"/>
          <w:szCs w:val="22"/>
        </w:rPr>
        <w:t xml:space="preserve">Cuarto </w:t>
      </w:r>
      <w:r w:rsidRPr="005F5FD8">
        <w:rPr>
          <w:rFonts w:ascii="Palatino Linotype" w:eastAsia="Palatino Linotype" w:hAnsi="Palatino Linotype" w:cs="Palatino Linotype"/>
          <w:sz w:val="22"/>
          <w:szCs w:val="22"/>
        </w:rPr>
        <w:t>y</w:t>
      </w:r>
      <w:r w:rsidRPr="005F5FD8">
        <w:rPr>
          <w:rFonts w:ascii="Palatino Linotype" w:eastAsia="Palatino Linotype" w:hAnsi="Palatino Linotype" w:cs="Palatino Linotype"/>
          <w:b/>
          <w:sz w:val="22"/>
          <w:szCs w:val="22"/>
        </w:rPr>
        <w:t xml:space="preserve"> Quinto, </w:t>
      </w:r>
      <w:r w:rsidRPr="005F5FD8">
        <w:rPr>
          <w:rFonts w:ascii="Palatino Linotype" w:eastAsia="Palatino Linotype" w:hAnsi="Palatino Linotype" w:cs="Palatino Linotype"/>
          <w:sz w:val="22"/>
          <w:szCs w:val="22"/>
        </w:rPr>
        <w:t>previa búsqueda exhaustiva y razonable, de ser procedente en versión pública, del Comité Municipal de Protección contra Riesgos Sanitarios, del primero de enero al treinta y uno de diciembre de dos mil dieciocho, el o los documentos en donde conste:</w:t>
      </w:r>
    </w:p>
    <w:p w14:paraId="42EDD52D" w14:textId="77777777" w:rsidR="002663A5" w:rsidRPr="005F5FD8" w:rsidRDefault="007B6DC2">
      <w:pPr>
        <w:numPr>
          <w:ilvl w:val="0"/>
          <w:numId w:val="6"/>
        </w:numPr>
        <w:pBdr>
          <w:top w:val="nil"/>
          <w:left w:val="nil"/>
          <w:bottom w:val="nil"/>
          <w:right w:val="nil"/>
          <w:between w:val="nil"/>
        </w:pBdr>
        <w:tabs>
          <w:tab w:val="left" w:pos="851"/>
        </w:tabs>
        <w:spacing w:line="360" w:lineRule="auto"/>
        <w:ind w:left="851" w:right="616" w:firstLine="0"/>
        <w:jc w:val="both"/>
        <w:rPr>
          <w:rFonts w:ascii="Palatino Linotype" w:eastAsia="Palatino Linotype" w:hAnsi="Palatino Linotype" w:cs="Palatino Linotype"/>
          <w:sz w:val="22"/>
          <w:szCs w:val="22"/>
        </w:rPr>
      </w:pPr>
      <w:bookmarkStart w:id="4" w:name="_heading=h.tyjcwt" w:colFirst="0" w:colLast="0"/>
      <w:bookmarkEnd w:id="4"/>
      <w:r w:rsidRPr="005F5FD8">
        <w:rPr>
          <w:rFonts w:ascii="Palatino Linotype" w:eastAsia="Palatino Linotype" w:hAnsi="Palatino Linotype" w:cs="Palatino Linotype"/>
          <w:sz w:val="22"/>
          <w:szCs w:val="22"/>
        </w:rPr>
        <w:t xml:space="preserve">Productos elaborados (propuestas, programas, recomendaciones, opiniones, posicionamientos, observaciones, denuncias) </w:t>
      </w:r>
    </w:p>
    <w:p w14:paraId="3917F2F8" w14:textId="77777777" w:rsidR="002663A5" w:rsidRPr="005F5FD8" w:rsidRDefault="007B6DC2">
      <w:pPr>
        <w:numPr>
          <w:ilvl w:val="0"/>
          <w:numId w:val="6"/>
        </w:numPr>
        <w:pBdr>
          <w:top w:val="nil"/>
          <w:left w:val="nil"/>
          <w:bottom w:val="nil"/>
          <w:right w:val="nil"/>
          <w:between w:val="nil"/>
        </w:pBdr>
        <w:tabs>
          <w:tab w:val="left" w:pos="851"/>
        </w:tabs>
        <w:spacing w:line="360" w:lineRule="auto"/>
        <w:ind w:left="851" w:right="616" w:firstLine="0"/>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sz w:val="22"/>
          <w:szCs w:val="22"/>
        </w:rPr>
        <w:t xml:space="preserve">Informes de actividades y/o resultados. </w:t>
      </w:r>
    </w:p>
    <w:p w14:paraId="66D0E2D7" w14:textId="77777777" w:rsidR="002663A5" w:rsidRPr="005F5FD8" w:rsidRDefault="002663A5">
      <w:pPr>
        <w:pBdr>
          <w:top w:val="nil"/>
          <w:left w:val="nil"/>
          <w:bottom w:val="nil"/>
          <w:right w:val="nil"/>
          <w:between w:val="nil"/>
        </w:pBdr>
        <w:tabs>
          <w:tab w:val="left" w:pos="851"/>
        </w:tabs>
        <w:spacing w:line="360" w:lineRule="auto"/>
        <w:ind w:left="851" w:right="616"/>
        <w:jc w:val="both"/>
        <w:rPr>
          <w:rFonts w:ascii="Palatino Linotype" w:eastAsia="Palatino Linotype" w:hAnsi="Palatino Linotype" w:cs="Palatino Linotype"/>
          <w:b/>
          <w:i/>
          <w:sz w:val="22"/>
          <w:szCs w:val="22"/>
        </w:rPr>
      </w:pPr>
    </w:p>
    <w:p w14:paraId="769B4EA2" w14:textId="77777777" w:rsidR="002663A5" w:rsidRPr="005F5FD8" w:rsidRDefault="007B6DC2">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 xml:space="preserve">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que se deberá poner a disposición de la parte </w:t>
      </w:r>
      <w:r w:rsidRPr="005F5FD8">
        <w:rPr>
          <w:rFonts w:ascii="Palatino Linotype" w:eastAsia="Palatino Linotype" w:hAnsi="Palatino Linotype" w:cs="Palatino Linotype"/>
          <w:b/>
          <w:i/>
          <w:sz w:val="22"/>
          <w:szCs w:val="22"/>
        </w:rPr>
        <w:t>Recurrente</w:t>
      </w:r>
      <w:r w:rsidRPr="005F5FD8">
        <w:rPr>
          <w:rFonts w:ascii="Palatino Linotype" w:eastAsia="Palatino Linotype" w:hAnsi="Palatino Linotype" w:cs="Palatino Linotype"/>
          <w:i/>
          <w:sz w:val="22"/>
          <w:szCs w:val="22"/>
        </w:rPr>
        <w:t>.</w:t>
      </w:r>
    </w:p>
    <w:p w14:paraId="3F2498B5" w14:textId="77777777" w:rsidR="002663A5" w:rsidRPr="005F5FD8" w:rsidRDefault="002663A5">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p>
    <w:p w14:paraId="7A033B55" w14:textId="77777777" w:rsidR="002663A5" w:rsidRPr="005F5FD8" w:rsidRDefault="007B6DC2">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r w:rsidRPr="005F5FD8">
        <w:rPr>
          <w:rFonts w:ascii="Palatino Linotype" w:eastAsia="Palatino Linotype" w:hAnsi="Palatino Linotype" w:cs="Palatino Linotype"/>
          <w:i/>
          <w:sz w:val="22"/>
          <w:szCs w:val="22"/>
        </w:rPr>
        <w:t xml:space="preserve">Para el caso de que la información ordenada no obre en los archivos del </w:t>
      </w:r>
      <w:r w:rsidRPr="005F5FD8">
        <w:rPr>
          <w:rFonts w:ascii="Palatino Linotype" w:eastAsia="Palatino Linotype" w:hAnsi="Palatino Linotype" w:cs="Palatino Linotype"/>
          <w:b/>
          <w:i/>
          <w:sz w:val="22"/>
          <w:szCs w:val="22"/>
        </w:rPr>
        <w:t>Sujeto Obligado</w:t>
      </w:r>
      <w:r w:rsidRPr="005F5FD8">
        <w:rPr>
          <w:rFonts w:ascii="Palatino Linotype" w:eastAsia="Palatino Linotype" w:hAnsi="Palatino Linotype" w:cs="Palatino Linotype"/>
          <w:i/>
          <w:sz w:val="22"/>
          <w:szCs w:val="22"/>
        </w:rPr>
        <w:t xml:space="preserve">, por no haberse generado, bastará con que así se haga del conocimiento de </w:t>
      </w:r>
      <w:r w:rsidRPr="005F5FD8">
        <w:rPr>
          <w:rFonts w:ascii="Palatino Linotype" w:eastAsia="Palatino Linotype" w:hAnsi="Palatino Linotype" w:cs="Palatino Linotype"/>
          <w:i/>
          <w:sz w:val="22"/>
          <w:szCs w:val="22"/>
        </w:rPr>
        <w:lastRenderedPageBreak/>
        <w:t xml:space="preserve">la parte Recurrente, en términos del artículo 19, párrafo segundo de la Ley de Transparencia y Acceso a la Información Pública del Estado de México y Municipios. </w:t>
      </w:r>
    </w:p>
    <w:p w14:paraId="69081513" w14:textId="77777777" w:rsidR="002663A5" w:rsidRPr="005F5FD8" w:rsidRDefault="002663A5">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p>
    <w:p w14:paraId="761D7B00" w14:textId="77777777" w:rsidR="002663A5" w:rsidRPr="005F5FD8" w:rsidRDefault="007B6DC2">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0"/>
        </w:rPr>
      </w:pPr>
      <w:r w:rsidRPr="005F5FD8">
        <w:rPr>
          <w:rFonts w:ascii="Palatino Linotype" w:eastAsia="Palatino Linotype" w:hAnsi="Palatino Linotype" w:cs="Palatino Linotype"/>
          <w:i/>
          <w:sz w:val="22"/>
          <w:szCs w:val="20"/>
        </w:rPr>
        <w:t>En caso de contar con denuncias que se encuentren en trámite, al veinticinco de junio de dos mil veinticuatro</w:t>
      </w:r>
      <w:r w:rsidRPr="005F5FD8">
        <w:rPr>
          <w:rFonts w:ascii="Palatino Linotype" w:eastAsia="Palatino Linotype" w:hAnsi="Palatino Linotype" w:cs="Palatino Linotype"/>
          <w:b/>
          <w:i/>
          <w:sz w:val="22"/>
          <w:szCs w:val="20"/>
        </w:rPr>
        <w:t xml:space="preserve">, </w:t>
      </w:r>
      <w:r w:rsidRPr="005F5FD8">
        <w:rPr>
          <w:rFonts w:ascii="Palatino Linotype" w:eastAsia="Palatino Linotype" w:hAnsi="Palatino Linotype" w:cs="Palatino Linotype"/>
          <w:i/>
          <w:sz w:val="22"/>
          <w:szCs w:val="20"/>
        </w:rPr>
        <w:t>deberá emitir el acuerdo del Comité de Transparencia, donde clasifique de manera fundada y motivada, la información como reservada, con excepción de aquellos se relacionen con actos de corrupción o posibles violaciones graves a derechos humanos, en términos del artículo 142 de la Ley de la materia, que deberán entregarse en versión pública.</w:t>
      </w:r>
    </w:p>
    <w:p w14:paraId="6404ADED" w14:textId="77777777" w:rsidR="002663A5" w:rsidRPr="005F5FD8" w:rsidRDefault="002663A5">
      <w:pPr>
        <w:pBdr>
          <w:top w:val="nil"/>
          <w:left w:val="nil"/>
          <w:bottom w:val="nil"/>
          <w:right w:val="nil"/>
          <w:between w:val="nil"/>
        </w:pBdr>
        <w:tabs>
          <w:tab w:val="left" w:pos="851"/>
        </w:tabs>
        <w:spacing w:line="276" w:lineRule="auto"/>
        <w:ind w:left="851" w:right="616"/>
        <w:jc w:val="both"/>
        <w:rPr>
          <w:rFonts w:ascii="Palatino Linotype" w:eastAsia="Palatino Linotype" w:hAnsi="Palatino Linotype" w:cs="Palatino Linotype"/>
          <w:i/>
          <w:sz w:val="22"/>
          <w:szCs w:val="22"/>
        </w:rPr>
      </w:pPr>
    </w:p>
    <w:p w14:paraId="229151C3" w14:textId="77777777" w:rsidR="002663A5" w:rsidRPr="005F5FD8" w:rsidRDefault="007B6DC2">
      <w:pPr>
        <w:spacing w:before="240" w:after="240"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Tercero. Notifíquese vía SAIMEX, </w:t>
      </w:r>
      <w:r w:rsidRPr="005F5FD8">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BFA7890" w14:textId="77777777" w:rsidR="002663A5" w:rsidRPr="005F5FD8" w:rsidRDefault="007B6DC2">
      <w:pPr>
        <w:spacing w:before="240" w:after="240"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Cuarto. </w:t>
      </w:r>
      <w:r w:rsidRPr="005F5FD8">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5F5FD8">
        <w:rPr>
          <w:rFonts w:ascii="Palatino Linotype" w:eastAsia="Palatino Linotype" w:hAnsi="Palatino Linotype" w:cs="Palatino Linotype"/>
          <w:b/>
          <w:sz w:val="22"/>
          <w:szCs w:val="22"/>
        </w:rPr>
        <w:t>Sujeto Obligado</w:t>
      </w:r>
      <w:r w:rsidRPr="005F5FD8">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12EFF42C" w14:textId="77777777" w:rsidR="002663A5" w:rsidRPr="005F5FD8" w:rsidRDefault="007B6DC2">
      <w:pPr>
        <w:pBdr>
          <w:top w:val="nil"/>
          <w:left w:val="nil"/>
          <w:bottom w:val="nil"/>
          <w:right w:val="nil"/>
          <w:between w:val="nil"/>
        </w:pBdr>
        <w:spacing w:after="240" w:line="360" w:lineRule="auto"/>
        <w:jc w:val="both"/>
        <w:rPr>
          <w:rFonts w:ascii="Palatino Linotype" w:eastAsia="Palatino Linotype" w:hAnsi="Palatino Linotype" w:cs="Palatino Linotype"/>
          <w:sz w:val="22"/>
          <w:szCs w:val="22"/>
        </w:rPr>
      </w:pPr>
      <w:r w:rsidRPr="005F5FD8">
        <w:rPr>
          <w:rFonts w:ascii="Palatino Linotype" w:eastAsia="Palatino Linotype" w:hAnsi="Palatino Linotype" w:cs="Palatino Linotype"/>
          <w:b/>
          <w:sz w:val="22"/>
          <w:szCs w:val="22"/>
        </w:rPr>
        <w:t xml:space="preserve">Quinto. Notifíquese, </w:t>
      </w:r>
      <w:r w:rsidRPr="005F5FD8">
        <w:rPr>
          <w:rFonts w:ascii="Palatino Linotype" w:eastAsia="Palatino Linotype" w:hAnsi="Palatino Linotype" w:cs="Palatino Linotype"/>
          <w:sz w:val="22"/>
          <w:szCs w:val="22"/>
        </w:rPr>
        <w:t xml:space="preserve">vía </w:t>
      </w:r>
      <w:r w:rsidRPr="005F5FD8">
        <w:rPr>
          <w:rFonts w:ascii="Palatino Linotype" w:eastAsia="Palatino Linotype" w:hAnsi="Palatino Linotype" w:cs="Palatino Linotype"/>
          <w:b/>
          <w:sz w:val="22"/>
          <w:szCs w:val="22"/>
        </w:rPr>
        <w:t>SAIMEX</w:t>
      </w:r>
      <w:r w:rsidRPr="005F5FD8">
        <w:rPr>
          <w:rFonts w:ascii="Palatino Linotype" w:eastAsia="Palatino Linotype" w:hAnsi="Palatino Linotype" w:cs="Palatino Linotype"/>
          <w:sz w:val="22"/>
          <w:szCs w:val="22"/>
        </w:rPr>
        <w:t>, a la parte</w:t>
      </w:r>
      <w:r w:rsidRPr="005F5FD8">
        <w:rPr>
          <w:rFonts w:ascii="Palatino Linotype" w:eastAsia="Palatino Linotype" w:hAnsi="Palatino Linotype" w:cs="Palatino Linotype"/>
          <w:b/>
          <w:sz w:val="22"/>
          <w:szCs w:val="22"/>
        </w:rPr>
        <w:t xml:space="preserve"> Recurrente</w:t>
      </w:r>
      <w:r w:rsidRPr="005F5FD8">
        <w:rPr>
          <w:rFonts w:ascii="Palatino Linotype" w:eastAsia="Palatino Linotype" w:hAnsi="Palatino Linotype" w:cs="Palatino Linotype"/>
          <w:sz w:val="22"/>
          <w:szCs w:val="22"/>
        </w:rPr>
        <w:t xml:space="preserve"> la presente resolución, así como, que de conformidad con lo establecido en el artículo 196 de la Ley de Transparencia y Acceso a la Información Pública del Estado de México y Municipios, en caso de que considere que </w:t>
      </w:r>
      <w:r w:rsidRPr="005F5FD8">
        <w:rPr>
          <w:rFonts w:ascii="Palatino Linotype" w:eastAsia="Palatino Linotype" w:hAnsi="Palatino Linotype" w:cs="Palatino Linotype"/>
          <w:sz w:val="22"/>
          <w:szCs w:val="22"/>
        </w:rPr>
        <w:lastRenderedPageBreak/>
        <w:t>le causa algún perjuicio podrá impugnarla vía Juicio de Amparo en los términos de las leyes aplicables.</w:t>
      </w:r>
    </w:p>
    <w:p w14:paraId="1A76F6E1" w14:textId="77777777" w:rsidR="002663A5" w:rsidRPr="005F5FD8" w:rsidRDefault="007B6DC2">
      <w:pPr>
        <w:spacing w:line="360" w:lineRule="auto"/>
        <w:jc w:val="both"/>
        <w:rPr>
          <w:rFonts w:ascii="Palatino Linotype" w:eastAsia="Palatino Linotype" w:hAnsi="Palatino Linotype" w:cs="Palatino Linotype"/>
          <w:sz w:val="22"/>
          <w:szCs w:val="22"/>
        </w:rPr>
        <w:sectPr w:rsidR="002663A5" w:rsidRPr="005F5FD8">
          <w:headerReference w:type="default" r:id="rId16"/>
          <w:footerReference w:type="default" r:id="rId17"/>
          <w:headerReference w:type="first" r:id="rId18"/>
          <w:footerReference w:type="first" r:id="rId19"/>
          <w:pgSz w:w="12240" w:h="15840"/>
          <w:pgMar w:top="2041" w:right="1701" w:bottom="1701" w:left="1701" w:header="709" w:footer="709" w:gutter="0"/>
          <w:pgNumType w:start="1"/>
          <w:cols w:space="720"/>
          <w:titlePg/>
        </w:sectPr>
      </w:pPr>
      <w:r w:rsidRPr="005F5FD8">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6D6750" w:rsidRPr="005F5FD8">
        <w:rPr>
          <w:rFonts w:ascii="Palatino Linotype" w:eastAsia="Palatino Linotype" w:hAnsi="Palatino Linotype" w:cs="Palatino Linotype"/>
          <w:sz w:val="22"/>
          <w:szCs w:val="22"/>
        </w:rPr>
        <w:t xml:space="preserve"> (EMITIENDO VOTO PARTICULAR)</w:t>
      </w:r>
      <w:r w:rsidRPr="005F5FD8">
        <w:rPr>
          <w:rFonts w:ascii="Palatino Linotype" w:eastAsia="Palatino Linotype" w:hAnsi="Palatino Linotype" w:cs="Palatino Linotype"/>
          <w:sz w:val="22"/>
          <w:szCs w:val="22"/>
        </w:rPr>
        <w:t xml:space="preserve"> Y GUADALUPE RAMÍREZ PEÑA; EN LA TRIGÉSIMA SEGUNDA SESIÓN ORDINARIA CELEBRADA EL ONCE DE SEPTIEMBRE DE DOS MIL VEINTICUATRO, ANTE EL SECRETARIO TÉCNICO DEL PLENO ALEXIS TAPIA RAMÍREZ.                              </w:t>
      </w:r>
    </w:p>
    <w:p w14:paraId="60E9E6BC" w14:textId="77777777" w:rsidR="002663A5" w:rsidRPr="005F5FD8" w:rsidRDefault="002663A5">
      <w:pPr>
        <w:spacing w:line="360" w:lineRule="auto"/>
        <w:jc w:val="both"/>
        <w:rPr>
          <w:rFonts w:ascii="Palatino Linotype" w:eastAsia="Palatino Linotype" w:hAnsi="Palatino Linotype" w:cs="Palatino Linotype"/>
          <w:sz w:val="22"/>
          <w:szCs w:val="22"/>
        </w:rPr>
      </w:pPr>
    </w:p>
    <w:sectPr w:rsidR="002663A5" w:rsidRPr="005F5FD8">
      <w:headerReference w:type="first" r:id="rId20"/>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AAB90B" w14:textId="77777777" w:rsidR="00FE53EA" w:rsidRDefault="00FE53EA">
      <w:r>
        <w:separator/>
      </w:r>
    </w:p>
  </w:endnote>
  <w:endnote w:type="continuationSeparator" w:id="0">
    <w:p w14:paraId="6C2A8491" w14:textId="77777777" w:rsidR="00FE53EA" w:rsidRDefault="00FE5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FE94F" w14:textId="77777777" w:rsidR="002663A5" w:rsidRDefault="007B6DC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F5FD8">
      <w:rPr>
        <w:rFonts w:ascii="Arial" w:eastAsia="Arial" w:hAnsi="Arial" w:cs="Arial"/>
        <w:b/>
        <w:noProof/>
        <w:color w:val="000000"/>
        <w:sz w:val="20"/>
        <w:szCs w:val="20"/>
      </w:rPr>
      <w:t>32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F5FD8">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79D675E7" w14:textId="77777777" w:rsidR="002663A5" w:rsidRDefault="002663A5">
    <w:pPr>
      <w:pBdr>
        <w:top w:val="nil"/>
        <w:left w:val="nil"/>
        <w:bottom w:val="nil"/>
        <w:right w:val="nil"/>
        <w:between w:val="nil"/>
      </w:pBdr>
      <w:tabs>
        <w:tab w:val="center" w:pos="4252"/>
        <w:tab w:val="right" w:pos="8504"/>
      </w:tabs>
      <w:rPr>
        <w:color w:val="000000"/>
      </w:rPr>
    </w:pPr>
  </w:p>
  <w:p w14:paraId="337628F0" w14:textId="77777777" w:rsidR="002663A5" w:rsidRDefault="002663A5">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363F9" w14:textId="77777777" w:rsidR="002663A5" w:rsidRDefault="007B6DC2">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5F5FD8">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5F5FD8">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114F1A55" w14:textId="77777777" w:rsidR="002663A5" w:rsidRDefault="002663A5">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10A2C" w14:textId="77777777" w:rsidR="00FE53EA" w:rsidRDefault="00FE53EA">
      <w:r>
        <w:separator/>
      </w:r>
    </w:p>
  </w:footnote>
  <w:footnote w:type="continuationSeparator" w:id="0">
    <w:p w14:paraId="54255312" w14:textId="77777777" w:rsidR="00FE53EA" w:rsidRDefault="00FE5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4863A" w14:textId="77777777" w:rsidR="002663A5" w:rsidRDefault="007B6DC2">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4D8D3A4D" wp14:editId="3E028ACB">
          <wp:simplePos x="0" y="0"/>
          <wp:positionH relativeFrom="column">
            <wp:posOffset>-638174</wp:posOffset>
          </wp:positionH>
          <wp:positionV relativeFrom="paragraph">
            <wp:posOffset>-450214</wp:posOffset>
          </wp:positionV>
          <wp:extent cx="7809876" cy="10165823"/>
          <wp:effectExtent l="0" t="0" r="0" b="0"/>
          <wp:wrapNone/>
          <wp:docPr id="3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1"/>
      <w:tblW w:w="5528" w:type="dxa"/>
      <w:tblInd w:w="3261" w:type="dxa"/>
      <w:tblLayout w:type="fixed"/>
      <w:tblLook w:val="0400" w:firstRow="0" w:lastRow="0" w:firstColumn="0" w:lastColumn="0" w:noHBand="0" w:noVBand="1"/>
    </w:tblPr>
    <w:tblGrid>
      <w:gridCol w:w="2551"/>
      <w:gridCol w:w="2977"/>
    </w:tblGrid>
    <w:tr w:rsidR="002663A5" w14:paraId="1517D5DD" w14:textId="77777777">
      <w:tc>
        <w:tcPr>
          <w:tcW w:w="2551" w:type="dxa"/>
          <w:vAlign w:val="center"/>
        </w:tcPr>
        <w:p w14:paraId="5E1E1A0A" w14:textId="77777777" w:rsidR="002663A5" w:rsidRDefault="007B6D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43D9C999" w14:textId="77777777" w:rsidR="002663A5" w:rsidRDefault="007B6DC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04079/INFOEM/IP/RR/2024</w:t>
          </w:r>
        </w:p>
      </w:tc>
    </w:tr>
    <w:tr w:rsidR="002663A5" w14:paraId="03EC1343" w14:textId="77777777">
      <w:trPr>
        <w:trHeight w:val="228"/>
      </w:trPr>
      <w:tc>
        <w:tcPr>
          <w:tcW w:w="2551" w:type="dxa"/>
          <w:vAlign w:val="center"/>
        </w:tcPr>
        <w:p w14:paraId="4E744C9C" w14:textId="77777777" w:rsidR="002663A5" w:rsidRDefault="007B6D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5EABE7E5" w14:textId="77777777" w:rsidR="002663A5" w:rsidRDefault="007B6DC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2663A5" w14:paraId="69905240" w14:textId="77777777">
      <w:tc>
        <w:tcPr>
          <w:tcW w:w="2551" w:type="dxa"/>
          <w:vAlign w:val="center"/>
        </w:tcPr>
        <w:p w14:paraId="12ABA75E" w14:textId="77777777" w:rsidR="002663A5" w:rsidRDefault="007B6D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5E407333" w14:textId="77777777" w:rsidR="002663A5" w:rsidRDefault="007B6DC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0B06293" w14:textId="77777777" w:rsidR="002663A5" w:rsidRDefault="007B6DC2">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60EE4" w14:textId="77777777" w:rsidR="002663A5" w:rsidRDefault="007B6DC2">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02935A07" wp14:editId="69F16E92">
          <wp:simplePos x="0" y="0"/>
          <wp:positionH relativeFrom="column">
            <wp:posOffset>-798193</wp:posOffset>
          </wp:positionH>
          <wp:positionV relativeFrom="paragraph">
            <wp:posOffset>-399413</wp:posOffset>
          </wp:positionV>
          <wp:extent cx="7809876" cy="10165823"/>
          <wp:effectExtent l="0" t="0" r="0" b="0"/>
          <wp:wrapNone/>
          <wp:docPr id="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2"/>
      <w:tblW w:w="5670" w:type="dxa"/>
      <w:tblInd w:w="3119" w:type="dxa"/>
      <w:tblLayout w:type="fixed"/>
      <w:tblLook w:val="0400" w:firstRow="0" w:lastRow="0" w:firstColumn="0" w:lastColumn="0" w:noHBand="0" w:noVBand="1"/>
    </w:tblPr>
    <w:tblGrid>
      <w:gridCol w:w="2551"/>
      <w:gridCol w:w="3119"/>
    </w:tblGrid>
    <w:tr w:rsidR="002663A5" w14:paraId="52F7C572" w14:textId="77777777">
      <w:tc>
        <w:tcPr>
          <w:tcW w:w="2551" w:type="dxa"/>
          <w:vAlign w:val="center"/>
        </w:tcPr>
        <w:p w14:paraId="6A6619C4" w14:textId="77777777" w:rsidR="002663A5" w:rsidRDefault="007B6D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69F76558" w14:textId="77777777" w:rsidR="002663A5" w:rsidRDefault="007B6DC2">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04079/INFOEM/IP/RR/2024 </w:t>
          </w:r>
        </w:p>
      </w:tc>
    </w:tr>
    <w:tr w:rsidR="002663A5" w14:paraId="7FE7166F" w14:textId="77777777">
      <w:tc>
        <w:tcPr>
          <w:tcW w:w="2551" w:type="dxa"/>
          <w:vAlign w:val="center"/>
        </w:tcPr>
        <w:p w14:paraId="065E9683" w14:textId="77777777" w:rsidR="002663A5" w:rsidRDefault="007B6DC2">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75C0C8DF" w14:textId="77777777" w:rsidR="002663A5" w:rsidRDefault="002663A5">
          <w:pPr>
            <w:ind w:right="-533"/>
            <w:jc w:val="both"/>
            <w:rPr>
              <w:rFonts w:ascii="Palatino Linotype" w:eastAsia="Palatino Linotype" w:hAnsi="Palatino Linotype" w:cs="Palatino Linotype"/>
              <w:b/>
              <w:sz w:val="22"/>
              <w:szCs w:val="22"/>
            </w:rPr>
          </w:pPr>
        </w:p>
      </w:tc>
    </w:tr>
    <w:tr w:rsidR="002663A5" w14:paraId="54DCEC43" w14:textId="77777777">
      <w:trPr>
        <w:trHeight w:val="228"/>
      </w:trPr>
      <w:tc>
        <w:tcPr>
          <w:tcW w:w="2551" w:type="dxa"/>
          <w:vAlign w:val="center"/>
        </w:tcPr>
        <w:p w14:paraId="5F549117" w14:textId="77777777" w:rsidR="002663A5" w:rsidRDefault="007B6D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4A4F076E" w14:textId="77777777" w:rsidR="002663A5" w:rsidRDefault="007B6DC2">
          <w:pPr>
            <w:ind w:right="27"/>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2663A5" w14:paraId="6BB0B6A0" w14:textId="77777777">
      <w:tc>
        <w:tcPr>
          <w:tcW w:w="2551" w:type="dxa"/>
          <w:vAlign w:val="center"/>
        </w:tcPr>
        <w:p w14:paraId="3A60B65C" w14:textId="77777777" w:rsidR="002663A5" w:rsidRDefault="007B6DC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2B40B01B" w14:textId="77777777" w:rsidR="002663A5" w:rsidRDefault="007B6DC2">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55B0884" w14:textId="77777777" w:rsidR="002663A5" w:rsidRDefault="002663A5">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A55B7" w14:textId="77777777" w:rsidR="002663A5" w:rsidRDefault="002663A5">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DA71F3A" w14:textId="77777777" w:rsidR="002663A5" w:rsidRDefault="002663A5">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F31BE"/>
    <w:multiLevelType w:val="multilevel"/>
    <w:tmpl w:val="1842F4EA"/>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1" w15:restartNumberingAfterBreak="0">
    <w:nsid w:val="194C39F7"/>
    <w:multiLevelType w:val="multilevel"/>
    <w:tmpl w:val="DFD8000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02A24A1"/>
    <w:multiLevelType w:val="multilevel"/>
    <w:tmpl w:val="E6A84D5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 w15:restartNumberingAfterBreak="0">
    <w:nsid w:val="220125F5"/>
    <w:multiLevelType w:val="multilevel"/>
    <w:tmpl w:val="D5BE52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99B4B8E"/>
    <w:multiLevelType w:val="multilevel"/>
    <w:tmpl w:val="87728F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9C46693"/>
    <w:multiLevelType w:val="multilevel"/>
    <w:tmpl w:val="5B2055B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18A0CC2"/>
    <w:multiLevelType w:val="multilevel"/>
    <w:tmpl w:val="4DBC922C"/>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57B51FE"/>
    <w:multiLevelType w:val="multilevel"/>
    <w:tmpl w:val="799CC314"/>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0"/>
  </w:num>
  <w:num w:numId="2">
    <w:abstractNumId w:val="3"/>
  </w:num>
  <w:num w:numId="3">
    <w:abstractNumId w:val="2"/>
  </w:num>
  <w:num w:numId="4">
    <w:abstractNumId w:val="6"/>
  </w:num>
  <w:num w:numId="5">
    <w:abstractNumId w:val="1"/>
  </w:num>
  <w:num w:numId="6">
    <w:abstractNumId w:val="7"/>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3A5"/>
    <w:rsid w:val="002663A5"/>
    <w:rsid w:val="005F5FD8"/>
    <w:rsid w:val="006D6750"/>
    <w:rsid w:val="007B6DC2"/>
    <w:rsid w:val="0097594C"/>
    <w:rsid w:val="00DE61FE"/>
    <w:rsid w:val="00ED324F"/>
    <w:rsid w:val="00FE53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8582F"/>
  <w15:docId w15:val="{AA1AAD73-0D7C-4328-A765-C08C32AE3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08" w:type="dxa"/>
        <w:right w:w="108"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3"/>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3"/>
    <w:tblPr>
      <w:tblStyleRowBandSize w:val="1"/>
      <w:tblStyleColBandSize w:val="1"/>
      <w:tblCellMar>
        <w:left w:w="108" w:type="dxa"/>
        <w:right w:w="108" w:type="dxa"/>
      </w:tblCellMar>
    </w:tblPr>
  </w:style>
  <w:style w:type="table" w:customStyle="1" w:styleId="a3">
    <w:basedOn w:val="TableNormal3"/>
    <w:tblPr>
      <w:tblStyleRowBandSize w:val="1"/>
      <w:tblStyleColBandSize w:val="1"/>
      <w:tblCellMar>
        <w:left w:w="108" w:type="dxa"/>
        <w:right w:w="108" w:type="dxa"/>
      </w:tblCellMar>
    </w:tblPr>
  </w:style>
  <w:style w:type="table" w:customStyle="1" w:styleId="a4">
    <w:basedOn w:val="TableNormal3"/>
    <w:tblPr>
      <w:tblStyleRowBandSize w:val="1"/>
      <w:tblStyleColBandSize w:val="1"/>
      <w:tblCellMar>
        <w:left w:w="108" w:type="dxa"/>
        <w:right w:w="108" w:type="dxa"/>
      </w:tblCellMar>
    </w:tblPr>
  </w:style>
  <w:style w:type="table" w:customStyle="1" w:styleId="a5">
    <w:basedOn w:val="TableNormal3"/>
    <w:tblPr>
      <w:tblStyleRowBandSize w:val="1"/>
      <w:tblStyleColBandSize w:val="1"/>
      <w:tblCellMar>
        <w:left w:w="108" w:type="dxa"/>
        <w:right w:w="108" w:type="dxa"/>
      </w:tblCellMar>
    </w:tblPr>
  </w:style>
  <w:style w:type="table" w:customStyle="1" w:styleId="a6">
    <w:basedOn w:val="TableNormal3"/>
    <w:tblPr>
      <w:tblStyleRowBandSize w:val="1"/>
      <w:tblStyleColBandSize w:val="1"/>
      <w:tblCellMar>
        <w:left w:w="108" w:type="dxa"/>
        <w:right w:w="108" w:type="dxa"/>
      </w:tblCellMar>
    </w:tbl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15" w:type="dxa"/>
        <w:right w:w="115" w:type="dxa"/>
      </w:tblCellMar>
    </w:tblPr>
  </w:style>
  <w:style w:type="table" w:customStyle="1" w:styleId="aa">
    <w:basedOn w:val="TableNormal3"/>
    <w:tblPr>
      <w:tblStyleRowBandSize w:val="1"/>
      <w:tblStyleColBandSize w:val="1"/>
      <w:tblCellMar>
        <w:left w:w="115" w:type="dxa"/>
        <w:right w:w="115" w:type="dxa"/>
      </w:tblCellMar>
    </w:tblPr>
  </w:style>
  <w:style w:type="table" w:customStyle="1" w:styleId="ab">
    <w:basedOn w:val="TableNormal3"/>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5"/>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1"/>
    <w:tblPr>
      <w:tblStyleRowBandSize w:val="1"/>
      <w:tblStyleColBandSize w:val="1"/>
      <w:tblCellMar>
        <w:left w:w="115" w:type="dxa"/>
        <w:right w:w="115" w:type="dxa"/>
      </w:tblCellMar>
    </w:tblPr>
  </w:style>
  <w:style w:type="table" w:customStyle="1" w:styleId="af0">
    <w:basedOn w:val="TableNormal1"/>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table" w:customStyle="1" w:styleId="af1">
    <w:basedOn w:val="TableNormal0"/>
    <w:tblPr>
      <w:tblStyleRowBandSize w:val="1"/>
      <w:tblStyleColBandSize w:val="1"/>
      <w:tblCellMar>
        <w:left w:w="115" w:type="dxa"/>
        <w:right w:w="115" w:type="dxa"/>
      </w:tblCellMar>
    </w:tblPr>
  </w:style>
  <w:style w:type="table" w:customStyle="1" w:styleId="af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yperlink" Target="about:blank" TargetMode="Externa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qieL7jHtDHjlWPLaeAJvbdQe9g==">CgMxLjAyCWguM3pueXNoNzIIaC5namRneHMyCWguMzBqMHpsbDIJaC4xZm9iOXRlMghoLnR5amN3dDgAciExcE50WkVjSm9QQUhDRFotbHdjSGxLbk1SbG9fdFFDbHM=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9017</Words>
  <Characters>49597</Characters>
  <Application>Microsoft Office Word</Application>
  <DocSecurity>0</DocSecurity>
  <Lines>413</Lines>
  <Paragraphs>116</Paragraphs>
  <ScaleCrop>false</ScaleCrop>
  <Company>HP Inc.</Company>
  <LinksUpToDate>false</LinksUpToDate>
  <CharactersWithSpaces>58498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2024-09-13T17:24:00Z</cp:lastPrinted>
  <dcterms:created xsi:type="dcterms:W3CDTF">2024-09-24T20:16:00Z</dcterms:created>
  <dcterms:modified xsi:type="dcterms:W3CDTF">2024-09-24T20:16:00Z</dcterms:modified>
</cp:coreProperties>
</file>