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C8443" w14:textId="4469A65D" w:rsidR="00BB390C" w:rsidRPr="001B211C" w:rsidRDefault="00E40C6A">
      <w:pPr>
        <w:spacing w:before="240" w:after="240" w:line="360" w:lineRule="auto"/>
        <w:jc w:val="both"/>
        <w:rPr>
          <w:rFonts w:ascii="Palatino Linotype" w:eastAsia="Palatino Linotype" w:hAnsi="Palatino Linotype" w:cs="Palatino Linotype"/>
        </w:rPr>
      </w:pPr>
      <w:r w:rsidRPr="001B211C">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00AB7021" w:rsidRPr="0087558B">
        <w:rPr>
          <w:rFonts w:ascii="Palatino Linotype" w:eastAsia="Palatino Linotype" w:hAnsi="Palatino Linotype" w:cs="Palatino Linotype"/>
          <w:b/>
          <w:bCs/>
        </w:rPr>
        <w:t xml:space="preserve">veintiocho </w:t>
      </w:r>
      <w:r w:rsidR="00EA74F0" w:rsidRPr="0087558B">
        <w:rPr>
          <w:rFonts w:ascii="Palatino Linotype" w:eastAsia="Palatino Linotype" w:hAnsi="Palatino Linotype" w:cs="Palatino Linotype"/>
          <w:b/>
          <w:bCs/>
        </w:rPr>
        <w:t>de agosto</w:t>
      </w:r>
      <w:r w:rsidR="005A0021" w:rsidRPr="0087558B">
        <w:rPr>
          <w:rFonts w:ascii="Palatino Linotype" w:eastAsia="Palatino Linotype" w:hAnsi="Palatino Linotype" w:cs="Palatino Linotype"/>
          <w:b/>
          <w:bCs/>
        </w:rPr>
        <w:t xml:space="preserve"> </w:t>
      </w:r>
      <w:r w:rsidRPr="0087558B">
        <w:rPr>
          <w:rFonts w:ascii="Palatino Linotype" w:eastAsia="Palatino Linotype" w:hAnsi="Palatino Linotype" w:cs="Palatino Linotype"/>
          <w:b/>
          <w:bCs/>
        </w:rPr>
        <w:t>de dos mil veinticuatro</w:t>
      </w:r>
      <w:r w:rsidRPr="001B211C">
        <w:rPr>
          <w:rFonts w:ascii="Palatino Linotype" w:eastAsia="Palatino Linotype" w:hAnsi="Palatino Linotype" w:cs="Palatino Linotype"/>
        </w:rPr>
        <w:t xml:space="preserve">. </w:t>
      </w:r>
    </w:p>
    <w:p w14:paraId="100B00A5" w14:textId="3D172640" w:rsidR="00BB390C" w:rsidRPr="001B211C" w:rsidRDefault="00E40C6A">
      <w:pPr>
        <w:spacing w:before="240" w:after="240" w:line="360" w:lineRule="auto"/>
        <w:jc w:val="both"/>
        <w:rPr>
          <w:rFonts w:ascii="Palatino Linotype" w:eastAsia="Palatino Linotype" w:hAnsi="Palatino Linotype" w:cs="Palatino Linotype"/>
        </w:rPr>
      </w:pPr>
      <w:r w:rsidRPr="001B211C">
        <w:rPr>
          <w:rFonts w:ascii="Palatino Linotype" w:eastAsia="Palatino Linotype" w:hAnsi="Palatino Linotype" w:cs="Palatino Linotype"/>
          <w:b/>
        </w:rPr>
        <w:t>VISTO</w:t>
      </w:r>
      <w:r w:rsidRPr="001B211C">
        <w:rPr>
          <w:rFonts w:ascii="Palatino Linotype" w:eastAsia="Palatino Linotype" w:hAnsi="Palatino Linotype" w:cs="Palatino Linotype"/>
        </w:rPr>
        <w:t xml:space="preserve"> el expediente formado con motivo del recurso de revisión </w:t>
      </w:r>
      <w:r w:rsidR="00280E2D" w:rsidRPr="001B211C">
        <w:rPr>
          <w:rFonts w:ascii="Palatino Linotype" w:eastAsia="Palatino Linotype" w:hAnsi="Palatino Linotype" w:cs="Palatino Linotype"/>
          <w:b/>
        </w:rPr>
        <w:t>0</w:t>
      </w:r>
      <w:r w:rsidR="00AB7021" w:rsidRPr="001B211C">
        <w:rPr>
          <w:rFonts w:ascii="Palatino Linotype" w:eastAsia="Palatino Linotype" w:hAnsi="Palatino Linotype" w:cs="Palatino Linotype"/>
          <w:b/>
        </w:rPr>
        <w:t>1609</w:t>
      </w:r>
      <w:r w:rsidR="00EA74F0" w:rsidRPr="001B211C">
        <w:rPr>
          <w:rFonts w:ascii="Palatino Linotype" w:eastAsia="Palatino Linotype" w:hAnsi="Palatino Linotype" w:cs="Palatino Linotype"/>
          <w:b/>
        </w:rPr>
        <w:t>/INFOEM/IP/RR/2024</w:t>
      </w:r>
      <w:r w:rsidRPr="001B211C">
        <w:rPr>
          <w:rFonts w:ascii="Palatino Linotype" w:eastAsia="Palatino Linotype" w:hAnsi="Palatino Linotype" w:cs="Palatino Linotype"/>
        </w:rPr>
        <w:t xml:space="preserve">, interpuesto por </w:t>
      </w:r>
      <w:r w:rsidR="00EA74F0" w:rsidRPr="001B211C">
        <w:rPr>
          <w:rFonts w:ascii="Palatino Linotype" w:eastAsia="Palatino Linotype" w:hAnsi="Palatino Linotype" w:cs="Palatino Linotype"/>
          <w:b/>
        </w:rPr>
        <w:t>una persona que no proporcion</w:t>
      </w:r>
      <w:r w:rsidR="001858F8" w:rsidRPr="001B211C">
        <w:rPr>
          <w:rFonts w:ascii="Palatino Linotype" w:eastAsia="Palatino Linotype" w:hAnsi="Palatino Linotype" w:cs="Palatino Linotype"/>
          <w:b/>
        </w:rPr>
        <w:t>ó</w:t>
      </w:r>
      <w:r w:rsidR="00EA74F0" w:rsidRPr="001B211C">
        <w:rPr>
          <w:rFonts w:ascii="Palatino Linotype" w:eastAsia="Palatino Linotype" w:hAnsi="Palatino Linotype" w:cs="Palatino Linotype"/>
          <w:b/>
        </w:rPr>
        <w:t xml:space="preserve"> nombre o seudónimo</w:t>
      </w:r>
      <w:r w:rsidRPr="001B211C">
        <w:rPr>
          <w:rFonts w:ascii="Palatino Linotype" w:eastAsia="Palatino Linotype" w:hAnsi="Palatino Linotype" w:cs="Palatino Linotype"/>
          <w:b/>
        </w:rPr>
        <w:t>,</w:t>
      </w:r>
      <w:r w:rsidRPr="001B211C">
        <w:rPr>
          <w:rFonts w:ascii="Palatino Linotype" w:eastAsia="Palatino Linotype" w:hAnsi="Palatino Linotype" w:cs="Palatino Linotype"/>
        </w:rPr>
        <w:t xml:space="preserve"> en lo sucesivo</w:t>
      </w:r>
      <w:r w:rsidRPr="001B211C">
        <w:rPr>
          <w:rFonts w:ascii="Palatino Linotype" w:eastAsia="Palatino Linotype" w:hAnsi="Palatino Linotype" w:cs="Palatino Linotype"/>
          <w:b/>
        </w:rPr>
        <w:t xml:space="preserve"> </w:t>
      </w:r>
      <w:r w:rsidRPr="001B211C">
        <w:rPr>
          <w:rFonts w:ascii="Palatino Linotype" w:eastAsia="Palatino Linotype" w:hAnsi="Palatino Linotype" w:cs="Palatino Linotype"/>
        </w:rPr>
        <w:t xml:space="preserve">la parte </w:t>
      </w:r>
      <w:r w:rsidRPr="001B211C">
        <w:rPr>
          <w:rFonts w:ascii="Palatino Linotype" w:eastAsia="Palatino Linotype" w:hAnsi="Palatino Linotype" w:cs="Palatino Linotype"/>
          <w:b/>
        </w:rPr>
        <w:t>Recurrente,</w:t>
      </w:r>
      <w:r w:rsidRPr="001B211C">
        <w:rPr>
          <w:rFonts w:ascii="Palatino Linotype" w:eastAsia="Palatino Linotype" w:hAnsi="Palatino Linotype" w:cs="Palatino Linotype"/>
        </w:rPr>
        <w:t xml:space="preserve"> en contra de la respuesta a su solicitud </w:t>
      </w:r>
      <w:r w:rsidR="00AC7827" w:rsidRPr="001B211C">
        <w:rPr>
          <w:rFonts w:ascii="Palatino Linotype" w:eastAsia="Palatino Linotype" w:hAnsi="Palatino Linotype" w:cs="Palatino Linotype"/>
        </w:rPr>
        <w:t xml:space="preserve">de información con número de folio </w:t>
      </w:r>
      <w:r w:rsidR="00AB7021" w:rsidRPr="001B211C">
        <w:rPr>
          <w:rFonts w:ascii="Palatino Linotype" w:eastAsia="Palatino Linotype" w:hAnsi="Palatino Linotype" w:cs="Palatino Linotype"/>
          <w:b/>
        </w:rPr>
        <w:t>00088/OASATIZARA/IP/2024</w:t>
      </w:r>
      <w:r w:rsidR="00AC7827" w:rsidRPr="001B211C">
        <w:rPr>
          <w:rFonts w:ascii="Palatino Linotype" w:eastAsia="Palatino Linotype" w:hAnsi="Palatino Linotype" w:cs="Palatino Linotype"/>
          <w:b/>
        </w:rPr>
        <w:t xml:space="preserve">, </w:t>
      </w:r>
      <w:r w:rsidRPr="001B211C">
        <w:rPr>
          <w:rFonts w:ascii="Palatino Linotype" w:eastAsia="Palatino Linotype" w:hAnsi="Palatino Linotype" w:cs="Palatino Linotype"/>
        </w:rPr>
        <w:t xml:space="preserve">por parte del </w:t>
      </w:r>
      <w:r w:rsidR="00AB7021" w:rsidRPr="001B211C">
        <w:rPr>
          <w:rFonts w:ascii="Palatino Linotype" w:eastAsia="Palatino Linotype" w:hAnsi="Palatino Linotype" w:cs="Palatino Linotype"/>
          <w:b/>
        </w:rPr>
        <w:t>Organismo Público Descentralizado para la Prestación de Los Servicios de Agua Potable Alcantarillado y Saneamiento de Atizapán de Zaragoza por sus siglas S.A.P.A.S.A.</w:t>
      </w:r>
      <w:r w:rsidRPr="001B211C">
        <w:rPr>
          <w:rFonts w:ascii="Palatino Linotype" w:eastAsia="Palatino Linotype" w:hAnsi="Palatino Linotype" w:cs="Palatino Linotype"/>
          <w:b/>
        </w:rPr>
        <w:t xml:space="preserve">, </w:t>
      </w:r>
      <w:r w:rsidRPr="001B211C">
        <w:rPr>
          <w:rFonts w:ascii="Palatino Linotype" w:eastAsia="Palatino Linotype" w:hAnsi="Palatino Linotype" w:cs="Palatino Linotype"/>
        </w:rPr>
        <w:t xml:space="preserve">en lo sucesivo el </w:t>
      </w:r>
      <w:r w:rsidRPr="001B211C">
        <w:rPr>
          <w:rFonts w:ascii="Palatino Linotype" w:eastAsia="Palatino Linotype" w:hAnsi="Palatino Linotype" w:cs="Palatino Linotype"/>
          <w:b/>
        </w:rPr>
        <w:t xml:space="preserve">Sujeto Obligado, </w:t>
      </w:r>
      <w:r w:rsidRPr="001B211C">
        <w:rPr>
          <w:rFonts w:ascii="Palatino Linotype" w:eastAsia="Palatino Linotype" w:hAnsi="Palatino Linotype" w:cs="Palatino Linotype"/>
        </w:rPr>
        <w:t xml:space="preserve">se procede a dictar la presente resolución con base en los siguientes: </w:t>
      </w:r>
    </w:p>
    <w:p w14:paraId="112468A0" w14:textId="77777777" w:rsidR="00BB390C" w:rsidRPr="001B211C" w:rsidRDefault="00E40C6A">
      <w:pPr>
        <w:spacing w:before="240" w:after="240" w:line="360" w:lineRule="auto"/>
        <w:jc w:val="center"/>
        <w:rPr>
          <w:rFonts w:ascii="Palatino Linotype" w:eastAsia="Palatino Linotype" w:hAnsi="Palatino Linotype" w:cs="Palatino Linotype"/>
          <w:b/>
        </w:rPr>
      </w:pPr>
      <w:r w:rsidRPr="001B211C">
        <w:rPr>
          <w:rFonts w:ascii="Palatino Linotype" w:eastAsia="Palatino Linotype" w:hAnsi="Palatino Linotype" w:cs="Palatino Linotype"/>
          <w:b/>
        </w:rPr>
        <w:t>I. A N T E C E D E N T E S</w:t>
      </w:r>
    </w:p>
    <w:p w14:paraId="3CCE7BD2" w14:textId="6A604AD5" w:rsidR="00BB390C" w:rsidRPr="001B211C" w:rsidRDefault="00E40C6A">
      <w:pPr>
        <w:spacing w:before="240" w:after="240" w:line="360" w:lineRule="auto"/>
        <w:jc w:val="both"/>
        <w:rPr>
          <w:rFonts w:ascii="Palatino Linotype" w:eastAsia="Palatino Linotype" w:hAnsi="Palatino Linotype" w:cs="Palatino Linotype"/>
        </w:rPr>
      </w:pPr>
      <w:r w:rsidRPr="001B211C">
        <w:rPr>
          <w:rFonts w:ascii="Palatino Linotype" w:eastAsia="Palatino Linotype" w:hAnsi="Palatino Linotype" w:cs="Palatino Linotype"/>
          <w:b/>
        </w:rPr>
        <w:t>1. Solicitud de acceso a la información.</w:t>
      </w:r>
      <w:r w:rsidRPr="001B211C">
        <w:rPr>
          <w:rFonts w:ascii="Palatino Linotype" w:eastAsia="Palatino Linotype" w:hAnsi="Palatino Linotype" w:cs="Palatino Linotype"/>
        </w:rPr>
        <w:t xml:space="preserve"> </w:t>
      </w:r>
      <w:r w:rsidR="008F2377" w:rsidRPr="001B211C">
        <w:rPr>
          <w:rFonts w:ascii="Palatino Linotype" w:eastAsia="Palatino Linotype" w:hAnsi="Palatino Linotype" w:cs="Palatino Linotype"/>
        </w:rPr>
        <w:t>El</w:t>
      </w:r>
      <w:r w:rsidRPr="001B211C">
        <w:rPr>
          <w:rFonts w:ascii="Palatino Linotype" w:eastAsia="Palatino Linotype" w:hAnsi="Palatino Linotype" w:cs="Palatino Linotype"/>
        </w:rPr>
        <w:t xml:space="preserve"> </w:t>
      </w:r>
      <w:bookmarkStart w:id="0" w:name="_Hlk165415968"/>
      <w:r w:rsidR="00AB7021" w:rsidRPr="001B211C">
        <w:rPr>
          <w:rFonts w:ascii="Palatino Linotype" w:eastAsia="Palatino Linotype" w:hAnsi="Palatino Linotype" w:cs="Palatino Linotype"/>
          <w:b/>
        </w:rPr>
        <w:t>seis de febrero</w:t>
      </w:r>
      <w:r w:rsidR="000D3D7F" w:rsidRPr="001B211C">
        <w:rPr>
          <w:rFonts w:ascii="Palatino Linotype" w:eastAsia="Palatino Linotype" w:hAnsi="Palatino Linotype" w:cs="Palatino Linotype"/>
          <w:b/>
        </w:rPr>
        <w:t xml:space="preserve"> </w:t>
      </w:r>
      <w:r w:rsidRPr="001B211C">
        <w:rPr>
          <w:rFonts w:ascii="Palatino Linotype" w:eastAsia="Palatino Linotype" w:hAnsi="Palatino Linotype" w:cs="Palatino Linotype"/>
          <w:b/>
        </w:rPr>
        <w:t>de dos mil veinti</w:t>
      </w:r>
      <w:r w:rsidR="00EA74F0" w:rsidRPr="001B211C">
        <w:rPr>
          <w:rFonts w:ascii="Palatino Linotype" w:eastAsia="Palatino Linotype" w:hAnsi="Palatino Linotype" w:cs="Palatino Linotype"/>
          <w:b/>
        </w:rPr>
        <w:t>cuatro</w:t>
      </w:r>
      <w:bookmarkEnd w:id="0"/>
      <w:r w:rsidRPr="001B211C">
        <w:rPr>
          <w:rFonts w:ascii="Palatino Linotype" w:eastAsia="Palatino Linotype" w:hAnsi="Palatino Linotype" w:cs="Palatino Linotype"/>
          <w:b/>
        </w:rPr>
        <w:t>,</w:t>
      </w:r>
      <w:r w:rsidRPr="001B211C">
        <w:rPr>
          <w:rFonts w:ascii="Palatino Linotype" w:eastAsia="Palatino Linotype" w:hAnsi="Palatino Linotype" w:cs="Palatino Linotype"/>
        </w:rPr>
        <w:t xml:space="preserve"> la parte </w:t>
      </w:r>
      <w:r w:rsidRPr="001B211C">
        <w:rPr>
          <w:rFonts w:ascii="Palatino Linotype" w:eastAsia="Palatino Linotype" w:hAnsi="Palatino Linotype" w:cs="Palatino Linotype"/>
          <w:b/>
        </w:rPr>
        <w:t xml:space="preserve">Recurrente </w:t>
      </w:r>
      <w:r w:rsidRPr="001B211C">
        <w:rPr>
          <w:rFonts w:ascii="Palatino Linotype" w:eastAsia="Palatino Linotype" w:hAnsi="Palatino Linotype" w:cs="Palatino Linotype"/>
        </w:rPr>
        <w:t xml:space="preserve">presentó, a través del Sistema de Acceso a la Información Mexiquense, en lo subsecuente el </w:t>
      </w:r>
      <w:r w:rsidRPr="001B211C">
        <w:rPr>
          <w:rFonts w:ascii="Palatino Linotype" w:eastAsia="Palatino Linotype" w:hAnsi="Palatino Linotype" w:cs="Palatino Linotype"/>
          <w:b/>
        </w:rPr>
        <w:t>SAIMEX,</w:t>
      </w:r>
      <w:r w:rsidRPr="001B211C">
        <w:rPr>
          <w:rFonts w:ascii="Palatino Linotype" w:eastAsia="Palatino Linotype" w:hAnsi="Palatino Linotype" w:cs="Palatino Linotype"/>
        </w:rPr>
        <w:t xml:space="preserve"> ante el </w:t>
      </w:r>
      <w:r w:rsidRPr="001B211C">
        <w:rPr>
          <w:rFonts w:ascii="Palatino Linotype" w:eastAsia="Palatino Linotype" w:hAnsi="Palatino Linotype" w:cs="Palatino Linotype"/>
          <w:b/>
        </w:rPr>
        <w:t>Sujeto Obligado</w:t>
      </w:r>
      <w:r w:rsidRPr="001B211C">
        <w:rPr>
          <w:rFonts w:ascii="Palatino Linotype" w:eastAsia="Palatino Linotype" w:hAnsi="Palatino Linotype" w:cs="Palatino Linotype"/>
        </w:rPr>
        <w:t>, la solicitud de a</w:t>
      </w:r>
      <w:r w:rsidR="00C0428D" w:rsidRPr="001B211C">
        <w:rPr>
          <w:rFonts w:ascii="Palatino Linotype" w:eastAsia="Palatino Linotype" w:hAnsi="Palatino Linotype" w:cs="Palatino Linotype"/>
        </w:rPr>
        <w:t>cceso a la información pública,</w:t>
      </w:r>
      <w:r w:rsidRPr="001B211C">
        <w:rPr>
          <w:rFonts w:ascii="Palatino Linotype" w:eastAsia="Palatino Linotype" w:hAnsi="Palatino Linotype" w:cs="Palatino Linotype"/>
          <w:b/>
        </w:rPr>
        <w:t xml:space="preserve"> </w:t>
      </w:r>
      <w:r w:rsidRPr="001B211C">
        <w:rPr>
          <w:rFonts w:ascii="Palatino Linotype" w:eastAsia="Palatino Linotype" w:hAnsi="Palatino Linotype" w:cs="Palatino Linotype"/>
        </w:rPr>
        <w:t xml:space="preserve">mediante la cual requirió la información siguiente: </w:t>
      </w:r>
    </w:p>
    <w:p w14:paraId="5870FBE2" w14:textId="3D5C34B8" w:rsidR="00BB390C" w:rsidRPr="001B211C" w:rsidRDefault="00E40C6A">
      <w:pPr>
        <w:spacing w:before="240" w:after="240"/>
        <w:ind w:left="851" w:right="902"/>
        <w:jc w:val="both"/>
        <w:rPr>
          <w:rFonts w:ascii="Palatino Linotype" w:eastAsia="Palatino Linotype" w:hAnsi="Palatino Linotype" w:cs="Palatino Linotype"/>
          <w:b/>
          <w:i/>
          <w:sz w:val="22"/>
          <w:szCs w:val="22"/>
        </w:rPr>
      </w:pPr>
      <w:bookmarkStart w:id="1" w:name="_heading=h.gjdgxs" w:colFirst="0" w:colLast="0"/>
      <w:bookmarkEnd w:id="1"/>
      <w:r w:rsidRPr="001B211C">
        <w:rPr>
          <w:rFonts w:ascii="Palatino Linotype" w:eastAsia="Palatino Linotype" w:hAnsi="Palatino Linotype" w:cs="Palatino Linotype"/>
          <w:i/>
          <w:sz w:val="22"/>
          <w:szCs w:val="22"/>
        </w:rPr>
        <w:lastRenderedPageBreak/>
        <w:t>“</w:t>
      </w:r>
      <w:r w:rsidR="00AB7021" w:rsidRPr="001B211C">
        <w:rPr>
          <w:rFonts w:ascii="Palatino Linotype" w:eastAsia="Palatino Linotype" w:hAnsi="Palatino Linotype" w:cs="Palatino Linotype"/>
          <w:i/>
          <w:sz w:val="22"/>
          <w:szCs w:val="22"/>
        </w:rPr>
        <w:t>CONTRATOS DE TODAS LAS COMPRAS QUE REALIZO EL ORGANISMO PARA EL MANTENIMIENTO DE LOS POZOS DURANTE AGOSTO 2022</w:t>
      </w:r>
      <w:r w:rsidRPr="001B211C">
        <w:rPr>
          <w:rFonts w:ascii="Palatino Linotype" w:eastAsia="Palatino Linotype" w:hAnsi="Palatino Linotype" w:cs="Palatino Linotype"/>
          <w:b/>
          <w:i/>
          <w:sz w:val="22"/>
          <w:szCs w:val="22"/>
        </w:rPr>
        <w:t>”</w:t>
      </w:r>
      <w:r w:rsidRPr="001B211C">
        <w:rPr>
          <w:rFonts w:ascii="Palatino Linotype" w:eastAsia="Palatino Linotype" w:hAnsi="Palatino Linotype" w:cs="Palatino Linotype"/>
          <w:i/>
          <w:sz w:val="22"/>
          <w:szCs w:val="22"/>
        </w:rPr>
        <w:t xml:space="preserve"> (sic) </w:t>
      </w:r>
    </w:p>
    <w:p w14:paraId="017BE9B8" w14:textId="77777777" w:rsidR="00BB390C" w:rsidRPr="001B211C" w:rsidRDefault="00E40C6A">
      <w:pPr>
        <w:spacing w:before="240" w:after="240" w:line="360" w:lineRule="auto"/>
        <w:jc w:val="both"/>
        <w:rPr>
          <w:rFonts w:ascii="Palatino Linotype" w:eastAsia="Palatino Linotype" w:hAnsi="Palatino Linotype" w:cs="Palatino Linotype"/>
        </w:rPr>
      </w:pPr>
      <w:r w:rsidRPr="001B211C">
        <w:rPr>
          <w:rFonts w:ascii="Palatino Linotype" w:eastAsia="Palatino Linotype" w:hAnsi="Palatino Linotype" w:cs="Palatino Linotype"/>
          <w:b/>
        </w:rPr>
        <w:t>Modalidad de Entrega:</w:t>
      </w:r>
      <w:r w:rsidRPr="001B211C">
        <w:rPr>
          <w:rFonts w:ascii="Palatino Linotype" w:eastAsia="Palatino Linotype" w:hAnsi="Palatino Linotype" w:cs="Palatino Linotype"/>
        </w:rPr>
        <w:t xml:space="preserve"> a través </w:t>
      </w:r>
      <w:r w:rsidRPr="001B211C">
        <w:rPr>
          <w:rFonts w:ascii="Palatino Linotype" w:eastAsia="Palatino Linotype" w:hAnsi="Palatino Linotype" w:cs="Palatino Linotype"/>
          <w:b/>
        </w:rPr>
        <w:t>de SAIMEX</w:t>
      </w:r>
    </w:p>
    <w:p w14:paraId="13F1FA42" w14:textId="309F76DD" w:rsidR="00EF6C82" w:rsidRPr="001B211C" w:rsidRDefault="00E40C6A" w:rsidP="00EF6C82">
      <w:pPr>
        <w:spacing w:before="240" w:after="240" w:line="360" w:lineRule="auto"/>
        <w:jc w:val="both"/>
        <w:rPr>
          <w:rFonts w:ascii="Palatino Linotype" w:eastAsia="Palatino Linotype" w:hAnsi="Palatino Linotype" w:cs="Palatino Linotype"/>
          <w:b/>
        </w:rPr>
      </w:pPr>
      <w:bookmarkStart w:id="2" w:name="_heading=h.3dy6vkm" w:colFirst="0" w:colLast="0"/>
      <w:bookmarkEnd w:id="2"/>
      <w:r w:rsidRPr="001B211C">
        <w:rPr>
          <w:rFonts w:ascii="Palatino Linotype" w:eastAsia="Palatino Linotype" w:hAnsi="Palatino Linotype" w:cs="Palatino Linotype"/>
          <w:b/>
        </w:rPr>
        <w:t xml:space="preserve">2. </w:t>
      </w:r>
      <w:r w:rsidR="00106984" w:rsidRPr="001B211C">
        <w:rPr>
          <w:rFonts w:ascii="Palatino Linotype" w:eastAsia="Palatino Linotype" w:hAnsi="Palatino Linotype" w:cs="Palatino Linotype"/>
          <w:b/>
        </w:rPr>
        <w:t>Pr</w:t>
      </w:r>
      <w:r w:rsidR="001858F8" w:rsidRPr="001B211C">
        <w:rPr>
          <w:rFonts w:ascii="Palatino Linotype" w:eastAsia="Palatino Linotype" w:hAnsi="Palatino Linotype" w:cs="Palatino Linotype"/>
          <w:b/>
        </w:rPr>
        <w:t>ó</w:t>
      </w:r>
      <w:r w:rsidR="00106984" w:rsidRPr="001B211C">
        <w:rPr>
          <w:rFonts w:ascii="Palatino Linotype" w:eastAsia="Palatino Linotype" w:hAnsi="Palatino Linotype" w:cs="Palatino Linotype"/>
          <w:b/>
        </w:rPr>
        <w:t xml:space="preserve">rroga. </w:t>
      </w:r>
      <w:r w:rsidR="00EF6C82" w:rsidRPr="001B211C">
        <w:rPr>
          <w:rFonts w:ascii="Palatino Linotype" w:eastAsia="Palatino Linotype" w:hAnsi="Palatino Linotype" w:cs="Palatino Linotype"/>
        </w:rPr>
        <w:t xml:space="preserve">Con fecha </w:t>
      </w:r>
      <w:r w:rsidR="00EF6C82" w:rsidRPr="001B211C">
        <w:rPr>
          <w:rFonts w:ascii="Palatino Linotype" w:eastAsia="Palatino Linotype" w:hAnsi="Palatino Linotype" w:cs="Palatino Linotype"/>
          <w:b/>
        </w:rPr>
        <w:t>veintiséis de febrero de dos mil veinticuatro</w:t>
      </w:r>
      <w:r w:rsidR="00EF6C82" w:rsidRPr="001B211C">
        <w:rPr>
          <w:rFonts w:ascii="Palatino Linotype" w:eastAsia="Palatino Linotype" w:hAnsi="Palatino Linotype" w:cs="Palatino Linotype"/>
        </w:rPr>
        <w:t xml:space="preserve">, el </w:t>
      </w:r>
      <w:r w:rsidR="00EF6C82" w:rsidRPr="001B211C">
        <w:rPr>
          <w:rFonts w:ascii="Palatino Linotype" w:eastAsia="Palatino Linotype" w:hAnsi="Palatino Linotype" w:cs="Palatino Linotype"/>
          <w:b/>
        </w:rPr>
        <w:t>Sujeto Obligado</w:t>
      </w:r>
      <w:r w:rsidR="00EF6C82" w:rsidRPr="001B211C">
        <w:rPr>
          <w:rFonts w:ascii="Palatino Linotype" w:eastAsia="Palatino Linotype" w:hAnsi="Palatino Linotype" w:cs="Palatino Linotype"/>
        </w:rPr>
        <w:t xml:space="preserve">, solicitó prórroga mediante </w:t>
      </w:r>
      <w:r w:rsidR="00EF6C82" w:rsidRPr="001B211C">
        <w:rPr>
          <w:rFonts w:ascii="Palatino Linotype" w:eastAsia="Palatino Linotype" w:hAnsi="Palatino Linotype" w:cs="Palatino Linotype"/>
          <w:b/>
        </w:rPr>
        <w:t xml:space="preserve">SAIMEX, </w:t>
      </w:r>
      <w:r w:rsidR="00EF6C82" w:rsidRPr="001B211C">
        <w:rPr>
          <w:rFonts w:ascii="Palatino Linotype" w:eastAsia="Palatino Linotype" w:hAnsi="Palatino Linotype" w:cs="Palatino Linotype"/>
        </w:rPr>
        <w:t>argumentando lo siguiente:</w:t>
      </w:r>
    </w:p>
    <w:p w14:paraId="13AF46AC" w14:textId="77777777" w:rsidR="00EF6C82" w:rsidRPr="001B211C" w:rsidRDefault="00EF6C82" w:rsidP="00EF6C82">
      <w:pPr>
        <w:spacing w:before="240" w:after="240"/>
        <w:ind w:left="851" w:right="900"/>
        <w:jc w:val="both"/>
        <w:rPr>
          <w:rFonts w:ascii="Palatino Linotype" w:eastAsia="Palatino Linotype" w:hAnsi="Palatino Linotype" w:cs="Palatino Linotype"/>
          <w:i/>
          <w:sz w:val="22"/>
          <w:szCs w:val="22"/>
        </w:rPr>
      </w:pPr>
      <w:r w:rsidRPr="001B211C">
        <w:rPr>
          <w:rFonts w:ascii="Palatino Linotype" w:eastAsia="Palatino Linotype" w:hAnsi="Palatino Linotype" w:cs="Palatino Linotype"/>
          <w:i/>
          <w:sz w:val="22"/>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224C2D4E" w14:textId="42AF029A" w:rsidR="00EF6C82" w:rsidRPr="001B211C" w:rsidRDefault="00EF6C82" w:rsidP="00EF6C82">
      <w:pPr>
        <w:spacing w:before="240" w:after="240"/>
        <w:ind w:left="851" w:right="900"/>
        <w:jc w:val="both"/>
        <w:rPr>
          <w:rFonts w:ascii="Palatino Linotype" w:eastAsia="Palatino Linotype" w:hAnsi="Palatino Linotype" w:cs="Palatino Linotype"/>
          <w:i/>
          <w:sz w:val="22"/>
          <w:szCs w:val="22"/>
        </w:rPr>
      </w:pPr>
      <w:r w:rsidRPr="001B211C">
        <w:rPr>
          <w:rFonts w:ascii="Palatino Linotype" w:eastAsia="Palatino Linotype" w:hAnsi="Palatino Linotype" w:cs="Palatino Linotype"/>
          <w:i/>
          <w:sz w:val="22"/>
          <w:szCs w:val="22"/>
        </w:rPr>
        <w:t>ACUERDO-CT-EXT-0073-2024...” (sic)</w:t>
      </w:r>
    </w:p>
    <w:p w14:paraId="65208767" w14:textId="5FD60503" w:rsidR="00EF6C82" w:rsidRPr="001B211C" w:rsidRDefault="00EF6C82" w:rsidP="00EF6C82">
      <w:pPr>
        <w:spacing w:line="360" w:lineRule="auto"/>
        <w:jc w:val="both"/>
        <w:rPr>
          <w:rFonts w:ascii="Palatino Linotype" w:hAnsi="Palatino Linotype" w:cs="Arial"/>
        </w:rPr>
      </w:pPr>
      <w:r w:rsidRPr="001B211C">
        <w:rPr>
          <w:rFonts w:ascii="Palatino Linotype" w:hAnsi="Palatino Linotype" w:cs="Arial"/>
        </w:rPr>
        <w:t xml:space="preserve">El </w:t>
      </w:r>
      <w:r w:rsidRPr="001B211C">
        <w:rPr>
          <w:rFonts w:ascii="Palatino Linotype" w:hAnsi="Palatino Linotype" w:cs="Arial"/>
          <w:b/>
        </w:rPr>
        <w:t xml:space="preserve">Sujeto Obligado </w:t>
      </w:r>
      <w:r w:rsidRPr="001B211C">
        <w:rPr>
          <w:rFonts w:ascii="Palatino Linotype" w:hAnsi="Palatino Linotype" w:cs="Arial"/>
        </w:rPr>
        <w:t>anexó el Acta de la Trigésima Séptima Sesión Extraordinaria del Comité de Transparencia, mediante la cual se aprobó la ampliación de plazo por siete días, a solicitud de la Subdirección de Administración y Finanzas para dar respuesta a la solicitud, como se advierte a continuación:</w:t>
      </w:r>
    </w:p>
    <w:p w14:paraId="7B2712F2" w14:textId="308B2187" w:rsidR="00EF6C82" w:rsidRPr="001B211C" w:rsidRDefault="00EF6C82" w:rsidP="00EF6C82">
      <w:pPr>
        <w:spacing w:line="360" w:lineRule="auto"/>
        <w:jc w:val="both"/>
        <w:rPr>
          <w:rFonts w:ascii="Palatino Linotype" w:hAnsi="Palatino Linotype" w:cs="Arial"/>
        </w:rPr>
      </w:pPr>
    </w:p>
    <w:p w14:paraId="16240F9F" w14:textId="615DAFFC" w:rsidR="00EF6C82" w:rsidRPr="001B211C" w:rsidRDefault="00EF6C82" w:rsidP="00EF6C82">
      <w:pPr>
        <w:spacing w:line="360" w:lineRule="auto"/>
        <w:jc w:val="both"/>
        <w:rPr>
          <w:rFonts w:ascii="Palatino Linotype" w:hAnsi="Palatino Linotype" w:cs="Arial"/>
        </w:rPr>
      </w:pPr>
      <w:r w:rsidRPr="001B211C">
        <w:rPr>
          <w:rFonts w:ascii="Palatino Linotype" w:hAnsi="Palatino Linotype" w:cs="Arial"/>
          <w:noProof/>
        </w:rPr>
        <w:drawing>
          <wp:inline distT="0" distB="0" distL="0" distR="0" wp14:anchorId="6235407E" wp14:editId="5767F80F">
            <wp:extent cx="5610225" cy="12954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54667"/>
                    <a:stretch/>
                  </pic:blipFill>
                  <pic:spPr bwMode="auto">
                    <a:xfrm>
                      <a:off x="0" y="0"/>
                      <a:ext cx="5611008" cy="1295581"/>
                    </a:xfrm>
                    <a:prstGeom prst="rect">
                      <a:avLst/>
                    </a:prstGeom>
                    <a:ln>
                      <a:noFill/>
                    </a:ln>
                    <a:extLst>
                      <a:ext uri="{53640926-AAD7-44D8-BBD7-CCE9431645EC}">
                        <a14:shadowObscured xmlns:a14="http://schemas.microsoft.com/office/drawing/2010/main"/>
                      </a:ext>
                    </a:extLst>
                  </pic:spPr>
                </pic:pic>
              </a:graphicData>
            </a:graphic>
          </wp:inline>
        </w:drawing>
      </w:r>
    </w:p>
    <w:p w14:paraId="4AA43AF4" w14:textId="3581D8CA" w:rsidR="00EF6C82" w:rsidRPr="001B211C" w:rsidRDefault="00EF6C82" w:rsidP="00EF6C82">
      <w:pPr>
        <w:spacing w:line="360" w:lineRule="auto"/>
        <w:jc w:val="both"/>
        <w:rPr>
          <w:rFonts w:ascii="Palatino Linotype" w:hAnsi="Palatino Linotype" w:cs="Arial"/>
        </w:rPr>
      </w:pPr>
      <w:r w:rsidRPr="001B211C">
        <w:rPr>
          <w:rFonts w:ascii="Palatino Linotype" w:hAnsi="Palatino Linotype" w:cs="Arial"/>
          <w:noProof/>
        </w:rPr>
        <w:lastRenderedPageBreak/>
        <w:drawing>
          <wp:inline distT="0" distB="0" distL="0" distR="0" wp14:anchorId="51668550" wp14:editId="0764A21F">
            <wp:extent cx="5610225" cy="14668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48667"/>
                    <a:stretch/>
                  </pic:blipFill>
                  <pic:spPr bwMode="auto">
                    <a:xfrm>
                      <a:off x="0" y="0"/>
                      <a:ext cx="5611008" cy="1467055"/>
                    </a:xfrm>
                    <a:prstGeom prst="rect">
                      <a:avLst/>
                    </a:prstGeom>
                    <a:ln>
                      <a:noFill/>
                    </a:ln>
                    <a:extLst>
                      <a:ext uri="{53640926-AAD7-44D8-BBD7-CCE9431645EC}">
                        <a14:shadowObscured xmlns:a14="http://schemas.microsoft.com/office/drawing/2010/main"/>
                      </a:ext>
                    </a:extLst>
                  </pic:spPr>
                </pic:pic>
              </a:graphicData>
            </a:graphic>
          </wp:inline>
        </w:drawing>
      </w:r>
    </w:p>
    <w:p w14:paraId="09C1D871" w14:textId="2A4F48E1" w:rsidR="00BB390C" w:rsidRPr="001B211C" w:rsidRDefault="00106984">
      <w:pPr>
        <w:spacing w:before="240" w:after="240" w:line="360" w:lineRule="auto"/>
        <w:jc w:val="both"/>
        <w:rPr>
          <w:rFonts w:ascii="Palatino Linotype" w:eastAsia="Palatino Linotype" w:hAnsi="Palatino Linotype" w:cs="Palatino Linotype"/>
        </w:rPr>
      </w:pPr>
      <w:r w:rsidRPr="001B211C">
        <w:rPr>
          <w:rFonts w:ascii="Palatino Linotype" w:eastAsia="Palatino Linotype" w:hAnsi="Palatino Linotype" w:cs="Palatino Linotype"/>
          <w:b/>
        </w:rPr>
        <w:t xml:space="preserve">3. </w:t>
      </w:r>
      <w:r w:rsidR="00E40C6A" w:rsidRPr="001B211C">
        <w:rPr>
          <w:rFonts w:ascii="Palatino Linotype" w:eastAsia="Palatino Linotype" w:hAnsi="Palatino Linotype" w:cs="Palatino Linotype"/>
          <w:b/>
        </w:rPr>
        <w:t xml:space="preserve">Respuesta. </w:t>
      </w:r>
      <w:r w:rsidR="008F2377" w:rsidRPr="001B211C">
        <w:rPr>
          <w:rFonts w:ascii="Palatino Linotype" w:eastAsia="Palatino Linotype" w:hAnsi="Palatino Linotype" w:cs="Palatino Linotype"/>
        </w:rPr>
        <w:t>El</w:t>
      </w:r>
      <w:r w:rsidR="00E40C6A" w:rsidRPr="001B211C">
        <w:rPr>
          <w:rFonts w:ascii="Palatino Linotype" w:eastAsia="Palatino Linotype" w:hAnsi="Palatino Linotype" w:cs="Palatino Linotype"/>
          <w:b/>
        </w:rPr>
        <w:t xml:space="preserve"> </w:t>
      </w:r>
      <w:r w:rsidR="002E70DE" w:rsidRPr="001B211C">
        <w:rPr>
          <w:rFonts w:ascii="Palatino Linotype" w:eastAsia="Palatino Linotype" w:hAnsi="Palatino Linotype" w:cs="Palatino Linotype"/>
          <w:b/>
        </w:rPr>
        <w:t>ocho de marzo</w:t>
      </w:r>
      <w:r w:rsidR="0019320E" w:rsidRPr="001B211C">
        <w:rPr>
          <w:rFonts w:ascii="Palatino Linotype" w:eastAsia="Palatino Linotype" w:hAnsi="Palatino Linotype" w:cs="Palatino Linotype"/>
          <w:b/>
        </w:rPr>
        <w:t xml:space="preserve"> </w:t>
      </w:r>
      <w:r w:rsidR="00E40C6A" w:rsidRPr="001B211C">
        <w:rPr>
          <w:rFonts w:ascii="Palatino Linotype" w:eastAsia="Palatino Linotype" w:hAnsi="Palatino Linotype" w:cs="Palatino Linotype"/>
          <w:b/>
        </w:rPr>
        <w:t>de dos mil veinti</w:t>
      </w:r>
      <w:r w:rsidR="00EA74F0" w:rsidRPr="001B211C">
        <w:rPr>
          <w:rFonts w:ascii="Palatino Linotype" w:eastAsia="Palatino Linotype" w:hAnsi="Palatino Linotype" w:cs="Palatino Linotype"/>
          <w:b/>
        </w:rPr>
        <w:t>cuatro</w:t>
      </w:r>
      <w:r w:rsidR="00E40C6A" w:rsidRPr="001B211C">
        <w:rPr>
          <w:rFonts w:ascii="Palatino Linotype" w:eastAsia="Palatino Linotype" w:hAnsi="Palatino Linotype" w:cs="Palatino Linotype"/>
        </w:rPr>
        <w:t xml:space="preserve">, el </w:t>
      </w:r>
      <w:r w:rsidR="00E40C6A" w:rsidRPr="001B211C">
        <w:rPr>
          <w:rFonts w:ascii="Palatino Linotype" w:eastAsia="Palatino Linotype" w:hAnsi="Palatino Linotype" w:cs="Palatino Linotype"/>
          <w:b/>
        </w:rPr>
        <w:t xml:space="preserve">Sujeto Obligado </w:t>
      </w:r>
      <w:r w:rsidR="00E40C6A" w:rsidRPr="001B211C">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6C991B0D" w14:textId="51F8C958" w:rsidR="00BB390C" w:rsidRPr="001B211C" w:rsidRDefault="00E40C6A">
      <w:pPr>
        <w:spacing w:before="240" w:after="240"/>
        <w:ind w:left="851" w:right="902"/>
        <w:jc w:val="both"/>
        <w:rPr>
          <w:rFonts w:ascii="Palatino Linotype" w:eastAsia="Palatino Linotype" w:hAnsi="Palatino Linotype" w:cs="Palatino Linotype"/>
          <w:b/>
          <w:i/>
          <w:sz w:val="22"/>
          <w:szCs w:val="22"/>
        </w:rPr>
      </w:pPr>
      <w:r w:rsidRPr="001B211C">
        <w:rPr>
          <w:rFonts w:ascii="Palatino Linotype" w:eastAsia="Palatino Linotype" w:hAnsi="Palatino Linotype" w:cs="Palatino Linotype"/>
          <w:i/>
          <w:sz w:val="22"/>
          <w:szCs w:val="22"/>
        </w:rPr>
        <w:t>“…</w:t>
      </w:r>
      <w:r w:rsidR="002E70DE" w:rsidRPr="001B211C">
        <w:rPr>
          <w:rFonts w:ascii="Palatino Linotype" w:eastAsia="Palatino Linotype" w:hAnsi="Palatino Linotype" w:cs="Palatino Linotype"/>
          <w:i/>
          <w:sz w:val="22"/>
          <w:szCs w:val="22"/>
        </w:rPr>
        <w:t>Se anexa oficio del Departamento de Adquisiciones SAPASA/ADQ/LIA/071/2024 en donde solicita el cambio de modalidad para dar cumplimiento a su solicitud, por lo anterior se agrega Acta de la Sesión Extraordinaria donde se aprueba el cambio de modalidad, así como el oficio en donde se le informa las indicaciones para asistir a estas Oficinas, reiterando mi disposición Institucional…</w:t>
      </w:r>
      <w:r w:rsidR="0019320E" w:rsidRPr="001B211C">
        <w:rPr>
          <w:rFonts w:ascii="Palatino Linotype" w:eastAsia="Palatino Linotype" w:hAnsi="Palatino Linotype" w:cs="Palatino Linotype"/>
          <w:i/>
          <w:sz w:val="22"/>
          <w:szCs w:val="22"/>
        </w:rPr>
        <w:t xml:space="preserve">” </w:t>
      </w:r>
      <w:r w:rsidRPr="001B211C">
        <w:rPr>
          <w:rFonts w:ascii="Palatino Linotype" w:eastAsia="Palatino Linotype" w:hAnsi="Palatino Linotype" w:cs="Palatino Linotype"/>
          <w:i/>
          <w:sz w:val="22"/>
          <w:szCs w:val="22"/>
        </w:rPr>
        <w:t>(sic)</w:t>
      </w:r>
    </w:p>
    <w:p w14:paraId="632467F2" w14:textId="211F2A5C" w:rsidR="0068205E" w:rsidRPr="001B211C" w:rsidRDefault="00E40C6A" w:rsidP="00EA74F0">
      <w:pPr>
        <w:spacing w:before="240" w:after="240" w:line="360" w:lineRule="auto"/>
        <w:ind w:right="49"/>
        <w:jc w:val="both"/>
        <w:rPr>
          <w:rFonts w:ascii="Palatino Linotype" w:eastAsia="Palatino Linotype" w:hAnsi="Palatino Linotype" w:cs="Palatino Linotype"/>
        </w:rPr>
      </w:pPr>
      <w:r w:rsidRPr="001B211C">
        <w:rPr>
          <w:rFonts w:ascii="Palatino Linotype" w:eastAsia="Palatino Linotype" w:hAnsi="Palatino Linotype" w:cs="Palatino Linotype"/>
        </w:rPr>
        <w:t xml:space="preserve">El </w:t>
      </w:r>
      <w:r w:rsidRPr="001B211C">
        <w:rPr>
          <w:rFonts w:ascii="Palatino Linotype" w:eastAsia="Palatino Linotype" w:hAnsi="Palatino Linotype" w:cs="Palatino Linotype"/>
          <w:b/>
        </w:rPr>
        <w:t xml:space="preserve">Sujeto Obligado </w:t>
      </w:r>
      <w:r w:rsidR="0068205E" w:rsidRPr="001B211C">
        <w:rPr>
          <w:rFonts w:ascii="Palatino Linotype" w:eastAsia="Palatino Linotype" w:hAnsi="Palatino Linotype" w:cs="Palatino Linotype"/>
        </w:rPr>
        <w:t>adjuntó lo siguiente:</w:t>
      </w:r>
    </w:p>
    <w:p w14:paraId="43A8DC58" w14:textId="57E9AF1A" w:rsidR="0068205E" w:rsidRPr="001B211C" w:rsidRDefault="0068205E" w:rsidP="00EA74F0">
      <w:pPr>
        <w:spacing w:before="240" w:after="240" w:line="360" w:lineRule="auto"/>
        <w:ind w:right="49"/>
        <w:jc w:val="both"/>
        <w:rPr>
          <w:rFonts w:ascii="Palatino Linotype" w:eastAsia="Palatino Linotype" w:hAnsi="Palatino Linotype" w:cs="Palatino Linotype"/>
        </w:rPr>
      </w:pPr>
      <w:r w:rsidRPr="001B211C">
        <w:rPr>
          <w:rFonts w:ascii="Palatino Linotype" w:eastAsia="Palatino Linotype" w:hAnsi="Palatino Linotype" w:cs="Palatino Linotype"/>
        </w:rPr>
        <w:t>- Oficio número SAPASA/UT/EMJG/0260/2024, del veintisiete de febrero de dos mil veinticuatro, mediante el cual la Titular de la Unidad de Transparencia, con base en respuesta proporcionada por el Jefe de Departamento de Adquisiciones, notifica a la persona solicitante la información solicitada se ponía a disposición a través de consulta directa, asimismo proporcionó las formalidades para tal efecto.</w:t>
      </w:r>
    </w:p>
    <w:p w14:paraId="3AEF54E8" w14:textId="4CC9AD7A" w:rsidR="0068205E" w:rsidRPr="001B211C" w:rsidRDefault="0068205E" w:rsidP="00EA74F0">
      <w:pPr>
        <w:spacing w:before="240" w:after="240" w:line="360" w:lineRule="auto"/>
        <w:ind w:right="49"/>
        <w:jc w:val="both"/>
        <w:rPr>
          <w:rFonts w:ascii="Palatino Linotype" w:eastAsia="Palatino Linotype" w:hAnsi="Palatino Linotype" w:cs="Palatino Linotype"/>
        </w:rPr>
      </w:pPr>
      <w:r w:rsidRPr="001B211C">
        <w:rPr>
          <w:rFonts w:ascii="Palatino Linotype" w:eastAsia="Palatino Linotype" w:hAnsi="Palatino Linotype" w:cs="Palatino Linotype"/>
        </w:rPr>
        <w:lastRenderedPageBreak/>
        <w:t>- Oficio número SAPASA/SAF/CKJFM/0214/2024, del veintitrés de febrero de dos mil veinticuatro, mediante el cual la Subdirectora de Administración y Finanzas remite a la Unidad de Transparencia la información proporcionada por el Departamento de Adquisiciones.</w:t>
      </w:r>
    </w:p>
    <w:p w14:paraId="7010F3F7" w14:textId="42B6717F" w:rsidR="0068205E" w:rsidRPr="001B211C" w:rsidRDefault="0068205E" w:rsidP="00EA74F0">
      <w:pPr>
        <w:spacing w:before="240" w:after="240" w:line="360" w:lineRule="auto"/>
        <w:ind w:right="49"/>
        <w:jc w:val="both"/>
        <w:rPr>
          <w:rFonts w:ascii="Palatino Linotype" w:eastAsia="Palatino Linotype" w:hAnsi="Palatino Linotype" w:cs="Palatino Linotype"/>
        </w:rPr>
      </w:pPr>
      <w:r w:rsidRPr="001B211C">
        <w:rPr>
          <w:rFonts w:ascii="Palatino Linotype" w:eastAsia="Palatino Linotype" w:hAnsi="Palatino Linotype" w:cs="Palatino Linotype"/>
        </w:rPr>
        <w:t>- Oficio número SAPASA/ADQ/LIA/071/2024, del veintitrés de febrero de dos mil veinticuatro, mediante el cual el Jefe de Departamento de Adquisiciones</w:t>
      </w:r>
      <w:r w:rsidR="00DC776D" w:rsidRPr="001B211C">
        <w:rPr>
          <w:rFonts w:ascii="Palatino Linotype" w:eastAsia="Palatino Linotype" w:hAnsi="Palatino Linotype" w:cs="Palatino Linotype"/>
        </w:rPr>
        <w:t xml:space="preserve">, manifiesta que la información solicitada se pone a disposición mediante consulta directa, </w:t>
      </w:r>
      <w:r w:rsidR="001A7274" w:rsidRPr="001B211C">
        <w:rPr>
          <w:rFonts w:ascii="Palatino Linotype" w:eastAsia="Palatino Linotype" w:hAnsi="Palatino Linotype" w:cs="Palatino Linotype"/>
        </w:rPr>
        <w:t>derivado de la carga de trabajo, que sobrepasa sus capacidades técnicas y humanas, al no contar con personal suficiente para atender veintinueve solicitudes que presentó al Departamento.</w:t>
      </w:r>
    </w:p>
    <w:p w14:paraId="6C2CF39E" w14:textId="6AE5D063" w:rsidR="001A7274" w:rsidRPr="001B211C" w:rsidRDefault="004A6C5D" w:rsidP="00EA74F0">
      <w:pPr>
        <w:spacing w:before="240" w:after="240" w:line="360" w:lineRule="auto"/>
        <w:ind w:right="49"/>
        <w:jc w:val="both"/>
        <w:rPr>
          <w:rFonts w:ascii="Palatino Linotype" w:eastAsia="Palatino Linotype" w:hAnsi="Palatino Linotype" w:cs="Palatino Linotype"/>
        </w:rPr>
      </w:pPr>
      <w:r w:rsidRPr="001B211C">
        <w:rPr>
          <w:rFonts w:ascii="Palatino Linotype" w:eastAsia="Palatino Linotype" w:hAnsi="Palatino Linotype" w:cs="Palatino Linotype"/>
        </w:rPr>
        <w:t xml:space="preserve">- Acta de la Trigésima Octava Sesión Extraordinaria del Comité de Transparencia mediante la cual </w:t>
      </w:r>
      <w:r w:rsidR="005764AB" w:rsidRPr="001B211C">
        <w:rPr>
          <w:rFonts w:ascii="Palatino Linotype" w:eastAsia="Palatino Linotype" w:hAnsi="Palatino Linotype" w:cs="Palatino Linotype"/>
        </w:rPr>
        <w:t>se sometió a consideración de los integrantes el cambio de modalidad a consulta directa, aprobándose mediante el acuerdo SAPASA CT-EXT-0106-2024.</w:t>
      </w:r>
    </w:p>
    <w:p w14:paraId="384C4475" w14:textId="5F790AAA" w:rsidR="00E030FE" w:rsidRPr="001B211C" w:rsidRDefault="00E030FE" w:rsidP="00EA74F0">
      <w:pPr>
        <w:spacing w:before="240" w:after="240" w:line="360" w:lineRule="auto"/>
        <w:ind w:right="49"/>
        <w:jc w:val="both"/>
        <w:rPr>
          <w:rFonts w:ascii="Palatino Linotype" w:eastAsia="Palatino Linotype" w:hAnsi="Palatino Linotype" w:cs="Palatino Linotype"/>
        </w:rPr>
      </w:pPr>
      <w:r w:rsidRPr="001B211C">
        <w:rPr>
          <w:rFonts w:ascii="Palatino Linotype" w:eastAsia="Palatino Linotype" w:hAnsi="Palatino Linotype" w:cs="Palatino Linotype"/>
          <w:noProof/>
        </w:rPr>
        <w:drawing>
          <wp:inline distT="0" distB="0" distL="0" distR="0" wp14:anchorId="419AFA9E" wp14:editId="24278D2D">
            <wp:extent cx="5486401" cy="876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59292"/>
                    <a:stretch/>
                  </pic:blipFill>
                  <pic:spPr bwMode="auto">
                    <a:xfrm>
                      <a:off x="0" y="0"/>
                      <a:ext cx="5487166" cy="876422"/>
                    </a:xfrm>
                    <a:prstGeom prst="rect">
                      <a:avLst/>
                    </a:prstGeom>
                    <a:ln>
                      <a:noFill/>
                    </a:ln>
                    <a:extLst>
                      <a:ext uri="{53640926-AAD7-44D8-BBD7-CCE9431645EC}">
                        <a14:shadowObscured xmlns:a14="http://schemas.microsoft.com/office/drawing/2010/main"/>
                      </a:ext>
                    </a:extLst>
                  </pic:spPr>
                </pic:pic>
              </a:graphicData>
            </a:graphic>
          </wp:inline>
        </w:drawing>
      </w:r>
    </w:p>
    <w:p w14:paraId="30C171EC" w14:textId="35670637" w:rsidR="00E030FE" w:rsidRPr="001B211C" w:rsidRDefault="00E030FE" w:rsidP="00EA74F0">
      <w:pPr>
        <w:spacing w:before="240" w:after="240" w:line="360" w:lineRule="auto"/>
        <w:ind w:right="49"/>
        <w:jc w:val="both"/>
        <w:rPr>
          <w:rFonts w:ascii="Palatino Linotype" w:eastAsia="Palatino Linotype" w:hAnsi="Palatino Linotype" w:cs="Palatino Linotype"/>
        </w:rPr>
      </w:pPr>
      <w:r w:rsidRPr="001B211C">
        <w:rPr>
          <w:rFonts w:ascii="Palatino Linotype" w:eastAsia="Palatino Linotype" w:hAnsi="Palatino Linotype" w:cs="Palatino Linotype"/>
        </w:rPr>
        <w:lastRenderedPageBreak/>
        <w:t xml:space="preserve"> </w:t>
      </w:r>
      <w:r w:rsidR="00ED68A9" w:rsidRPr="001B211C">
        <w:rPr>
          <w:rFonts w:ascii="Palatino Linotype" w:eastAsia="Palatino Linotype" w:hAnsi="Palatino Linotype" w:cs="Palatino Linotype"/>
          <w:noProof/>
        </w:rPr>
        <w:drawing>
          <wp:inline distT="0" distB="0" distL="0" distR="0" wp14:anchorId="4C664226" wp14:editId="0A04814D">
            <wp:extent cx="5458587" cy="1819529"/>
            <wp:effectExtent l="0" t="0" r="889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58587" cy="1819529"/>
                    </a:xfrm>
                    <a:prstGeom prst="rect">
                      <a:avLst/>
                    </a:prstGeom>
                  </pic:spPr>
                </pic:pic>
              </a:graphicData>
            </a:graphic>
          </wp:inline>
        </w:drawing>
      </w:r>
    </w:p>
    <w:p w14:paraId="303E5305" w14:textId="0E7799E7" w:rsidR="00BB390C" w:rsidRPr="001B211C" w:rsidRDefault="00A80043">
      <w:pPr>
        <w:spacing w:before="240" w:after="240" w:line="360" w:lineRule="auto"/>
        <w:ind w:right="49"/>
        <w:jc w:val="both"/>
        <w:rPr>
          <w:rFonts w:ascii="Palatino Linotype" w:eastAsia="Palatino Linotype" w:hAnsi="Palatino Linotype" w:cs="Palatino Linotype"/>
          <w:b/>
        </w:rPr>
      </w:pPr>
      <w:r w:rsidRPr="001B211C">
        <w:rPr>
          <w:rFonts w:ascii="Palatino Linotype" w:eastAsia="Palatino Linotype" w:hAnsi="Palatino Linotype" w:cs="Palatino Linotype"/>
          <w:b/>
        </w:rPr>
        <w:t>4</w:t>
      </w:r>
      <w:r w:rsidR="00E40C6A" w:rsidRPr="001B211C">
        <w:rPr>
          <w:rFonts w:ascii="Palatino Linotype" w:eastAsia="Palatino Linotype" w:hAnsi="Palatino Linotype" w:cs="Palatino Linotype"/>
          <w:b/>
        </w:rPr>
        <w:t xml:space="preserve">. Interposición del recurso de revisión. </w:t>
      </w:r>
      <w:r w:rsidR="00E40C6A" w:rsidRPr="001B211C">
        <w:rPr>
          <w:rFonts w:ascii="Palatino Linotype" w:eastAsia="Palatino Linotype" w:hAnsi="Palatino Linotype" w:cs="Palatino Linotype"/>
        </w:rPr>
        <w:t xml:space="preserve">Inconforme con los términos de la respuesta emitida por parte del </w:t>
      </w:r>
      <w:r w:rsidR="00E40C6A" w:rsidRPr="001B211C">
        <w:rPr>
          <w:rFonts w:ascii="Palatino Linotype" w:eastAsia="Palatino Linotype" w:hAnsi="Palatino Linotype" w:cs="Palatino Linotype"/>
          <w:b/>
        </w:rPr>
        <w:t>Sujeto Obligado</w:t>
      </w:r>
      <w:r w:rsidR="00E40C6A" w:rsidRPr="001B211C">
        <w:rPr>
          <w:rFonts w:ascii="Palatino Linotype" w:eastAsia="Palatino Linotype" w:hAnsi="Palatino Linotype" w:cs="Palatino Linotype"/>
        </w:rPr>
        <w:t xml:space="preserve">, el </w:t>
      </w:r>
      <w:r w:rsidR="005764AB" w:rsidRPr="001B211C">
        <w:rPr>
          <w:rFonts w:ascii="Palatino Linotype" w:eastAsia="Palatino Linotype" w:hAnsi="Palatino Linotype" w:cs="Palatino Linotype"/>
          <w:b/>
        </w:rPr>
        <w:t>uno de abril</w:t>
      </w:r>
      <w:r w:rsidR="00677B51" w:rsidRPr="001B211C">
        <w:rPr>
          <w:rFonts w:ascii="Palatino Linotype" w:eastAsia="Palatino Linotype" w:hAnsi="Palatino Linotype" w:cs="Palatino Linotype"/>
          <w:b/>
        </w:rPr>
        <w:t xml:space="preserve"> </w:t>
      </w:r>
      <w:r w:rsidR="00457E90" w:rsidRPr="001B211C">
        <w:rPr>
          <w:rFonts w:ascii="Palatino Linotype" w:eastAsia="Palatino Linotype" w:hAnsi="Palatino Linotype" w:cs="Palatino Linotype"/>
          <w:b/>
        </w:rPr>
        <w:t xml:space="preserve">de </w:t>
      </w:r>
      <w:r w:rsidR="00E40C6A" w:rsidRPr="001B211C">
        <w:rPr>
          <w:rFonts w:ascii="Palatino Linotype" w:eastAsia="Palatino Linotype" w:hAnsi="Palatino Linotype" w:cs="Palatino Linotype"/>
          <w:b/>
        </w:rPr>
        <w:t>dos mil veinti</w:t>
      </w:r>
      <w:r w:rsidR="00677B51" w:rsidRPr="001B211C">
        <w:rPr>
          <w:rFonts w:ascii="Palatino Linotype" w:eastAsia="Palatino Linotype" w:hAnsi="Palatino Linotype" w:cs="Palatino Linotype"/>
          <w:b/>
        </w:rPr>
        <w:t>cuatro</w:t>
      </w:r>
      <w:r w:rsidR="00E40C6A" w:rsidRPr="001B211C">
        <w:rPr>
          <w:rFonts w:ascii="Palatino Linotype" w:eastAsia="Palatino Linotype" w:hAnsi="Palatino Linotype" w:cs="Palatino Linotype"/>
          <w:b/>
        </w:rPr>
        <w:t>,</w:t>
      </w:r>
      <w:r w:rsidR="00E40C6A" w:rsidRPr="001B211C">
        <w:rPr>
          <w:rFonts w:ascii="Palatino Linotype" w:eastAsia="Palatino Linotype" w:hAnsi="Palatino Linotype" w:cs="Palatino Linotype"/>
        </w:rPr>
        <w:t xml:space="preserve"> la parte </w:t>
      </w:r>
      <w:r w:rsidR="00E40C6A" w:rsidRPr="001B211C">
        <w:rPr>
          <w:rFonts w:ascii="Palatino Linotype" w:eastAsia="Palatino Linotype" w:hAnsi="Palatino Linotype" w:cs="Palatino Linotype"/>
          <w:b/>
        </w:rPr>
        <w:t>Recurrente</w:t>
      </w:r>
      <w:r w:rsidR="00E40C6A" w:rsidRPr="001B211C">
        <w:rPr>
          <w:rFonts w:ascii="Palatino Linotype" w:eastAsia="Palatino Linotype" w:hAnsi="Palatino Linotype" w:cs="Palatino Linotype"/>
        </w:rPr>
        <w:t xml:space="preserve"> interpuso el recurso de revisión a través de </w:t>
      </w:r>
      <w:r w:rsidR="00E40C6A" w:rsidRPr="001B211C">
        <w:rPr>
          <w:rFonts w:ascii="Palatino Linotype" w:eastAsia="Palatino Linotype" w:hAnsi="Palatino Linotype" w:cs="Palatino Linotype"/>
          <w:b/>
        </w:rPr>
        <w:t xml:space="preserve">SAIMEX, </w:t>
      </w:r>
      <w:r w:rsidR="00E40C6A" w:rsidRPr="001B211C">
        <w:rPr>
          <w:rFonts w:ascii="Palatino Linotype" w:eastAsia="Palatino Linotype" w:hAnsi="Palatino Linotype" w:cs="Palatino Linotype"/>
        </w:rPr>
        <w:t>en donde se manifestó de la siguiente manera:</w:t>
      </w:r>
    </w:p>
    <w:p w14:paraId="449CCA4C" w14:textId="77777777" w:rsidR="00BB390C" w:rsidRPr="001B211C" w:rsidRDefault="00E40C6A">
      <w:pPr>
        <w:tabs>
          <w:tab w:val="left" w:pos="2745"/>
        </w:tabs>
        <w:spacing w:before="240" w:after="240" w:line="360" w:lineRule="auto"/>
        <w:jc w:val="both"/>
        <w:rPr>
          <w:rFonts w:ascii="Palatino Linotype" w:eastAsia="Palatino Linotype" w:hAnsi="Palatino Linotype" w:cs="Palatino Linotype"/>
          <w:b/>
        </w:rPr>
      </w:pPr>
      <w:r w:rsidRPr="001B211C">
        <w:rPr>
          <w:rFonts w:ascii="Palatino Linotype" w:eastAsia="Palatino Linotype" w:hAnsi="Palatino Linotype" w:cs="Palatino Linotype"/>
          <w:b/>
        </w:rPr>
        <w:t xml:space="preserve">Acto impugnado: </w:t>
      </w:r>
    </w:p>
    <w:p w14:paraId="4E09A1EC" w14:textId="194767A2" w:rsidR="00BB390C" w:rsidRPr="001B211C" w:rsidRDefault="00E40C6A">
      <w:pPr>
        <w:tabs>
          <w:tab w:val="left" w:pos="2745"/>
        </w:tabs>
        <w:spacing w:before="240" w:after="240"/>
        <w:ind w:left="851" w:right="900"/>
        <w:jc w:val="both"/>
        <w:rPr>
          <w:rFonts w:ascii="Palatino Linotype" w:eastAsia="Palatino Linotype" w:hAnsi="Palatino Linotype" w:cs="Palatino Linotype"/>
          <w:i/>
          <w:sz w:val="22"/>
          <w:szCs w:val="22"/>
        </w:rPr>
      </w:pPr>
      <w:r w:rsidRPr="001B211C">
        <w:rPr>
          <w:rFonts w:ascii="Palatino Linotype" w:eastAsia="Palatino Linotype" w:hAnsi="Palatino Linotype" w:cs="Palatino Linotype"/>
          <w:i/>
          <w:sz w:val="22"/>
          <w:szCs w:val="22"/>
        </w:rPr>
        <w:t>“</w:t>
      </w:r>
      <w:r w:rsidR="00E030FE" w:rsidRPr="001B211C">
        <w:rPr>
          <w:rFonts w:ascii="Palatino Linotype" w:eastAsia="Palatino Linotype" w:hAnsi="Palatino Linotype" w:cs="Palatino Linotype"/>
          <w:i/>
          <w:sz w:val="22"/>
          <w:szCs w:val="22"/>
        </w:rPr>
        <w:t>LA RESPUESTA</w:t>
      </w:r>
      <w:r w:rsidR="00677B51" w:rsidRPr="001B211C">
        <w:rPr>
          <w:rFonts w:ascii="Palatino Linotype" w:eastAsia="Palatino Linotype" w:hAnsi="Palatino Linotype" w:cs="Palatino Linotype"/>
          <w:i/>
          <w:sz w:val="22"/>
          <w:szCs w:val="22"/>
        </w:rPr>
        <w:t>”</w:t>
      </w:r>
      <w:r w:rsidRPr="001B211C">
        <w:rPr>
          <w:rFonts w:ascii="Palatino Linotype" w:eastAsia="Palatino Linotype" w:hAnsi="Palatino Linotype" w:cs="Palatino Linotype"/>
          <w:i/>
          <w:sz w:val="22"/>
          <w:szCs w:val="22"/>
        </w:rPr>
        <w:t xml:space="preserve"> (sic)</w:t>
      </w:r>
    </w:p>
    <w:p w14:paraId="6295AC2E" w14:textId="77777777" w:rsidR="00BB390C" w:rsidRPr="001B211C" w:rsidRDefault="00E40C6A">
      <w:pPr>
        <w:spacing w:line="360" w:lineRule="auto"/>
        <w:jc w:val="both"/>
        <w:rPr>
          <w:rFonts w:ascii="Palatino Linotype" w:eastAsia="Palatino Linotype" w:hAnsi="Palatino Linotype" w:cs="Palatino Linotype"/>
        </w:rPr>
      </w:pPr>
      <w:bookmarkStart w:id="3" w:name="_heading=h.30j0zll" w:colFirst="0" w:colLast="0"/>
      <w:bookmarkEnd w:id="3"/>
      <w:r w:rsidRPr="001B211C">
        <w:rPr>
          <w:rFonts w:ascii="Palatino Linotype" w:eastAsia="Palatino Linotype" w:hAnsi="Palatino Linotype" w:cs="Palatino Linotype"/>
          <w:b/>
        </w:rPr>
        <w:t>Y Razones o motivos de inconformidad</w:t>
      </w:r>
      <w:r w:rsidRPr="001B211C">
        <w:rPr>
          <w:rFonts w:ascii="Palatino Linotype" w:eastAsia="Palatino Linotype" w:hAnsi="Palatino Linotype" w:cs="Palatino Linotype"/>
        </w:rPr>
        <w:t xml:space="preserve">: </w:t>
      </w:r>
    </w:p>
    <w:p w14:paraId="22FB4B90" w14:textId="1435A88A" w:rsidR="00BB390C" w:rsidRPr="001B211C" w:rsidRDefault="00E40C6A">
      <w:pPr>
        <w:tabs>
          <w:tab w:val="left" w:pos="2745"/>
        </w:tabs>
        <w:spacing w:before="240" w:after="240"/>
        <w:ind w:left="851" w:right="900"/>
        <w:jc w:val="both"/>
        <w:rPr>
          <w:rFonts w:ascii="Palatino Linotype" w:eastAsia="Palatino Linotype" w:hAnsi="Palatino Linotype" w:cs="Palatino Linotype"/>
          <w:i/>
          <w:sz w:val="22"/>
          <w:szCs w:val="22"/>
        </w:rPr>
      </w:pPr>
      <w:bookmarkStart w:id="4" w:name="_heading=h.2et92p0" w:colFirst="0" w:colLast="0"/>
      <w:bookmarkEnd w:id="4"/>
      <w:r w:rsidRPr="001B211C">
        <w:rPr>
          <w:rFonts w:ascii="Palatino Linotype" w:eastAsia="Palatino Linotype" w:hAnsi="Palatino Linotype" w:cs="Palatino Linotype"/>
          <w:i/>
          <w:sz w:val="22"/>
          <w:szCs w:val="22"/>
        </w:rPr>
        <w:t>“</w:t>
      </w:r>
      <w:r w:rsidR="00E030FE" w:rsidRPr="001B211C">
        <w:rPr>
          <w:rFonts w:ascii="Palatino Linotype" w:eastAsia="Palatino Linotype" w:hAnsi="Palatino Linotype" w:cs="Palatino Linotype"/>
          <w:i/>
          <w:sz w:val="22"/>
          <w:szCs w:val="22"/>
        </w:rPr>
        <w:t>LA RESPUESTA</w:t>
      </w:r>
      <w:r w:rsidRPr="001B211C">
        <w:rPr>
          <w:rFonts w:ascii="Palatino Linotype" w:eastAsia="Palatino Linotype" w:hAnsi="Palatino Linotype" w:cs="Palatino Linotype"/>
          <w:i/>
          <w:sz w:val="22"/>
          <w:szCs w:val="22"/>
        </w:rPr>
        <w:t>” (sic)</w:t>
      </w:r>
    </w:p>
    <w:p w14:paraId="1D8E878A" w14:textId="4EBBB30C" w:rsidR="00BB390C" w:rsidRPr="001B211C" w:rsidRDefault="00A80043">
      <w:pPr>
        <w:spacing w:before="240" w:after="240" w:line="360" w:lineRule="auto"/>
        <w:ind w:right="51"/>
        <w:jc w:val="both"/>
        <w:rPr>
          <w:rFonts w:ascii="Palatino Linotype" w:eastAsia="Palatino Linotype" w:hAnsi="Palatino Linotype" w:cs="Palatino Linotype"/>
        </w:rPr>
      </w:pPr>
      <w:r w:rsidRPr="001B211C">
        <w:rPr>
          <w:rFonts w:ascii="Palatino Linotype" w:eastAsia="Palatino Linotype" w:hAnsi="Palatino Linotype" w:cs="Palatino Linotype"/>
          <w:b/>
        </w:rPr>
        <w:t>5</w:t>
      </w:r>
      <w:r w:rsidR="00E40C6A" w:rsidRPr="001B211C">
        <w:rPr>
          <w:rFonts w:ascii="Palatino Linotype" w:eastAsia="Palatino Linotype" w:hAnsi="Palatino Linotype" w:cs="Palatino Linotype"/>
          <w:b/>
        </w:rPr>
        <w:t xml:space="preserve">. Turno. </w:t>
      </w:r>
      <w:r w:rsidR="00E40C6A" w:rsidRPr="001B211C">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w:t>
      </w:r>
      <w:r w:rsidR="00E40C6A" w:rsidRPr="001B211C">
        <w:rPr>
          <w:rFonts w:ascii="Palatino Linotype" w:eastAsia="Palatino Linotype" w:hAnsi="Palatino Linotype" w:cs="Palatino Linotype"/>
        </w:rPr>
        <w:lastRenderedPageBreak/>
        <w:t xml:space="preserve">del Estado de México y Municipios, a la Comisionada </w:t>
      </w:r>
      <w:r w:rsidR="00E40C6A" w:rsidRPr="001B211C">
        <w:rPr>
          <w:rFonts w:ascii="Palatino Linotype" w:eastAsia="Palatino Linotype" w:hAnsi="Palatino Linotype" w:cs="Palatino Linotype"/>
          <w:b/>
        </w:rPr>
        <w:t xml:space="preserve">Guadalupe Ramírez Peña, </w:t>
      </w:r>
      <w:r w:rsidR="00E40C6A" w:rsidRPr="001B211C">
        <w:rPr>
          <w:rFonts w:ascii="Palatino Linotype" w:eastAsia="Palatino Linotype" w:hAnsi="Palatino Linotype" w:cs="Palatino Linotype"/>
        </w:rPr>
        <w:t>a efecto de que analizara sobre su admisión o su desechamiento.</w:t>
      </w:r>
    </w:p>
    <w:p w14:paraId="7FF283C2" w14:textId="58A46AEA" w:rsidR="00BB390C" w:rsidRPr="001B211C" w:rsidRDefault="00A80043">
      <w:pPr>
        <w:spacing w:before="240" w:after="240" w:line="360" w:lineRule="auto"/>
        <w:jc w:val="both"/>
        <w:rPr>
          <w:rFonts w:ascii="Palatino Linotype" w:eastAsia="Palatino Linotype" w:hAnsi="Palatino Linotype" w:cs="Palatino Linotype"/>
        </w:rPr>
      </w:pPr>
      <w:r w:rsidRPr="001B211C">
        <w:rPr>
          <w:rFonts w:ascii="Palatino Linotype" w:eastAsia="Palatino Linotype" w:hAnsi="Palatino Linotype" w:cs="Palatino Linotype"/>
          <w:b/>
        </w:rPr>
        <w:t>6</w:t>
      </w:r>
      <w:r w:rsidR="00E40C6A" w:rsidRPr="001B211C">
        <w:rPr>
          <w:rFonts w:ascii="Palatino Linotype" w:eastAsia="Palatino Linotype" w:hAnsi="Palatino Linotype" w:cs="Palatino Linotype"/>
          <w:b/>
        </w:rPr>
        <w:t>. Admisión del Recurso de revisión.</w:t>
      </w:r>
      <w:r w:rsidR="00E40C6A" w:rsidRPr="001B211C">
        <w:rPr>
          <w:rFonts w:ascii="Palatino Linotype" w:eastAsia="Palatino Linotype" w:hAnsi="Palatino Linotype" w:cs="Palatino Linotype"/>
        </w:rPr>
        <w:t xml:space="preserve"> </w:t>
      </w:r>
      <w:r w:rsidR="008F2377" w:rsidRPr="001B211C">
        <w:rPr>
          <w:rFonts w:ascii="Palatino Linotype" w:eastAsia="Palatino Linotype" w:hAnsi="Palatino Linotype" w:cs="Palatino Linotype"/>
        </w:rPr>
        <w:t>El</w:t>
      </w:r>
      <w:r w:rsidR="00E40C6A" w:rsidRPr="001B211C">
        <w:rPr>
          <w:rFonts w:ascii="Palatino Linotype" w:eastAsia="Palatino Linotype" w:hAnsi="Palatino Linotype" w:cs="Palatino Linotype"/>
          <w:b/>
        </w:rPr>
        <w:t xml:space="preserve"> </w:t>
      </w:r>
      <w:r w:rsidRPr="001B211C">
        <w:rPr>
          <w:rFonts w:ascii="Palatino Linotype" w:eastAsia="Palatino Linotype" w:hAnsi="Palatino Linotype" w:cs="Palatino Linotype"/>
          <w:b/>
        </w:rPr>
        <w:t>cuatro de abril</w:t>
      </w:r>
      <w:r w:rsidR="00677B51" w:rsidRPr="001B211C">
        <w:rPr>
          <w:rFonts w:ascii="Palatino Linotype" w:eastAsia="Palatino Linotype" w:hAnsi="Palatino Linotype" w:cs="Palatino Linotype"/>
          <w:b/>
        </w:rPr>
        <w:t xml:space="preserve"> de dos mil veinticuatro</w:t>
      </w:r>
      <w:r w:rsidR="00E40C6A" w:rsidRPr="001B211C">
        <w:rPr>
          <w:rFonts w:ascii="Palatino Linotype" w:eastAsia="Palatino Linotype" w:hAnsi="Palatino Linotype" w:cs="Palatino Linotype"/>
          <w:b/>
        </w:rPr>
        <w:t xml:space="preserve">, </w:t>
      </w:r>
      <w:r w:rsidR="00E40C6A" w:rsidRPr="001B211C">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00E40C6A" w:rsidRPr="001B211C">
        <w:rPr>
          <w:rFonts w:ascii="Palatino Linotype" w:eastAsia="Palatino Linotype" w:hAnsi="Palatino Linotype" w:cs="Palatino Linotype"/>
          <w:b/>
        </w:rPr>
        <w:t xml:space="preserve">Sujeto Obligado </w:t>
      </w:r>
      <w:r w:rsidR="00E40C6A" w:rsidRPr="001B211C">
        <w:rPr>
          <w:rFonts w:ascii="Palatino Linotype" w:eastAsia="Palatino Linotype" w:hAnsi="Palatino Linotype" w:cs="Palatino Linotype"/>
        </w:rPr>
        <w:t>presentara su informe justificado.</w:t>
      </w:r>
    </w:p>
    <w:p w14:paraId="0D55DE93" w14:textId="2597E79E" w:rsidR="00170538" w:rsidRPr="001B211C" w:rsidRDefault="00A80043">
      <w:pPr>
        <w:spacing w:before="240" w:after="240" w:line="360" w:lineRule="auto"/>
        <w:jc w:val="both"/>
        <w:rPr>
          <w:rFonts w:ascii="Palatino Linotype" w:eastAsia="Palatino Linotype" w:hAnsi="Palatino Linotype" w:cs="Palatino Linotype"/>
        </w:rPr>
      </w:pPr>
      <w:bookmarkStart w:id="5" w:name="_heading=h.2s8eyo1" w:colFirst="0" w:colLast="0"/>
      <w:bookmarkEnd w:id="5"/>
      <w:r w:rsidRPr="001B211C">
        <w:rPr>
          <w:rFonts w:ascii="Palatino Linotype" w:eastAsia="Palatino Linotype" w:hAnsi="Palatino Linotype" w:cs="Palatino Linotype"/>
          <w:b/>
        </w:rPr>
        <w:t>7</w:t>
      </w:r>
      <w:r w:rsidR="00E40C6A" w:rsidRPr="001B211C">
        <w:rPr>
          <w:rFonts w:ascii="Palatino Linotype" w:eastAsia="Palatino Linotype" w:hAnsi="Palatino Linotype" w:cs="Palatino Linotype"/>
          <w:b/>
        </w:rPr>
        <w:t>. Manifestaciones</w:t>
      </w:r>
      <w:r w:rsidR="00E40C6A" w:rsidRPr="001B211C">
        <w:rPr>
          <w:rFonts w:ascii="Palatino Linotype" w:eastAsia="Palatino Linotype" w:hAnsi="Palatino Linotype" w:cs="Palatino Linotype"/>
        </w:rPr>
        <w:t xml:space="preserve">. </w:t>
      </w:r>
      <w:r w:rsidR="008F2377" w:rsidRPr="001B211C">
        <w:rPr>
          <w:rFonts w:ascii="Palatino Linotype" w:eastAsia="Palatino Linotype" w:hAnsi="Palatino Linotype" w:cs="Palatino Linotype"/>
        </w:rPr>
        <w:t>El</w:t>
      </w:r>
      <w:r w:rsidR="00E40C6A" w:rsidRPr="001B211C">
        <w:rPr>
          <w:rFonts w:ascii="Palatino Linotype" w:eastAsia="Palatino Linotype" w:hAnsi="Palatino Linotype" w:cs="Palatino Linotype"/>
        </w:rPr>
        <w:t xml:space="preserve"> </w:t>
      </w:r>
      <w:r w:rsidRPr="001B211C">
        <w:rPr>
          <w:rFonts w:ascii="Palatino Linotype" w:eastAsia="Palatino Linotype" w:hAnsi="Palatino Linotype" w:cs="Palatino Linotype"/>
          <w:b/>
        </w:rPr>
        <w:t>dieciséis de agosto</w:t>
      </w:r>
      <w:r w:rsidR="00677B51" w:rsidRPr="001B211C">
        <w:rPr>
          <w:rFonts w:ascii="Palatino Linotype" w:eastAsia="Palatino Linotype" w:hAnsi="Palatino Linotype" w:cs="Palatino Linotype"/>
          <w:b/>
        </w:rPr>
        <w:t xml:space="preserve"> de dos mil veinticuatro</w:t>
      </w:r>
      <w:r w:rsidR="00E40C6A" w:rsidRPr="001B211C">
        <w:rPr>
          <w:rFonts w:ascii="Palatino Linotype" w:eastAsia="Palatino Linotype" w:hAnsi="Palatino Linotype" w:cs="Palatino Linotype"/>
          <w:b/>
        </w:rPr>
        <w:t xml:space="preserve">, </w:t>
      </w:r>
      <w:r w:rsidR="00E40C6A" w:rsidRPr="001B211C">
        <w:rPr>
          <w:rFonts w:ascii="Palatino Linotype" w:eastAsia="Palatino Linotype" w:hAnsi="Palatino Linotype" w:cs="Palatino Linotype"/>
        </w:rPr>
        <w:t xml:space="preserve">el </w:t>
      </w:r>
      <w:r w:rsidR="00E40C6A" w:rsidRPr="001B211C">
        <w:rPr>
          <w:rFonts w:ascii="Palatino Linotype" w:eastAsia="Palatino Linotype" w:hAnsi="Palatino Linotype" w:cs="Palatino Linotype"/>
          <w:b/>
        </w:rPr>
        <w:t xml:space="preserve">Sujeto Obligado </w:t>
      </w:r>
      <w:r w:rsidR="00E40C6A" w:rsidRPr="001B211C">
        <w:rPr>
          <w:rFonts w:ascii="Palatino Linotype" w:eastAsia="Palatino Linotype" w:hAnsi="Palatino Linotype" w:cs="Palatino Linotype"/>
        </w:rPr>
        <w:t xml:space="preserve">remitió, a través de SAIMEX, </w:t>
      </w:r>
      <w:r w:rsidR="00170538" w:rsidRPr="001B211C">
        <w:rPr>
          <w:rFonts w:ascii="Palatino Linotype" w:eastAsia="Palatino Linotype" w:hAnsi="Palatino Linotype" w:cs="Palatino Linotype"/>
        </w:rPr>
        <w:t>lo siguiente:</w:t>
      </w:r>
    </w:p>
    <w:p w14:paraId="32AEF4C0" w14:textId="3F394FC0" w:rsidR="00170538" w:rsidRPr="001B211C" w:rsidRDefault="00170538" w:rsidP="00170538">
      <w:pPr>
        <w:spacing w:before="240" w:after="240" w:line="360" w:lineRule="auto"/>
        <w:ind w:right="49"/>
        <w:jc w:val="both"/>
        <w:rPr>
          <w:rFonts w:ascii="Palatino Linotype" w:eastAsia="Palatino Linotype" w:hAnsi="Palatino Linotype" w:cs="Palatino Linotype"/>
        </w:rPr>
      </w:pPr>
      <w:r w:rsidRPr="001B211C">
        <w:rPr>
          <w:rFonts w:ascii="Palatino Linotype" w:eastAsia="Palatino Linotype" w:hAnsi="Palatino Linotype" w:cs="Palatino Linotype"/>
        </w:rPr>
        <w:t>- Oficio número SAPASA/ADQ/LIA/363/2024, del catorce de agosto de dos mil veinticuatro, mediante el cual el Jefe de Departamento de Adquisiciones, después de haber realizado una búsqueda exhaustiva, manifestó que no se encontró información de contrato alguno de compras realizadas para el mantenimiento a los pozos durante el mes de agosto de 2022.</w:t>
      </w:r>
    </w:p>
    <w:p w14:paraId="14B53C1D" w14:textId="709FC543" w:rsidR="00170538" w:rsidRPr="001B211C" w:rsidRDefault="00170538" w:rsidP="00170538">
      <w:pPr>
        <w:spacing w:before="240" w:after="240" w:line="360" w:lineRule="auto"/>
        <w:ind w:right="49"/>
        <w:jc w:val="both"/>
        <w:rPr>
          <w:rFonts w:ascii="Palatino Linotype" w:eastAsia="Palatino Linotype" w:hAnsi="Palatino Linotype" w:cs="Palatino Linotype"/>
        </w:rPr>
      </w:pPr>
      <w:r w:rsidRPr="001B211C">
        <w:rPr>
          <w:rFonts w:ascii="Palatino Linotype" w:eastAsia="Palatino Linotype" w:hAnsi="Palatino Linotype" w:cs="Palatino Linotype"/>
        </w:rPr>
        <w:t xml:space="preserve">- </w:t>
      </w:r>
      <w:r w:rsidR="00AB04C4" w:rsidRPr="001B211C">
        <w:rPr>
          <w:rFonts w:ascii="Palatino Linotype" w:eastAsia="Palatino Linotype" w:hAnsi="Palatino Linotype" w:cs="Palatino Linotype"/>
        </w:rPr>
        <w:t xml:space="preserve">Oficio número SAPASA/CC/0116/2024, del catorce de agosto de dos mil veinticuatro, mediante el cual el Coordinador de Construcción </w:t>
      </w:r>
      <w:r w:rsidR="00AC4D54" w:rsidRPr="001B211C">
        <w:rPr>
          <w:rFonts w:ascii="Palatino Linotype" w:eastAsia="Palatino Linotype" w:hAnsi="Palatino Linotype" w:cs="Palatino Linotype"/>
        </w:rPr>
        <w:t xml:space="preserve">manifestó que no se </w:t>
      </w:r>
      <w:r w:rsidR="00AC4D54" w:rsidRPr="001B211C">
        <w:rPr>
          <w:rFonts w:ascii="Palatino Linotype" w:eastAsia="Palatino Linotype" w:hAnsi="Palatino Linotype" w:cs="Palatino Linotype"/>
        </w:rPr>
        <w:lastRenderedPageBreak/>
        <w:t>encontró información de contrato alguno de alguna compra realizada para el mantenimiento de los pozos</w:t>
      </w:r>
      <w:r w:rsidR="001858F8" w:rsidRPr="001B211C">
        <w:rPr>
          <w:rFonts w:ascii="Palatino Linotype" w:eastAsia="Palatino Linotype" w:hAnsi="Palatino Linotype" w:cs="Palatino Linotype"/>
        </w:rPr>
        <w:t>,</w:t>
      </w:r>
      <w:r w:rsidR="00AC4D54" w:rsidRPr="001B211C">
        <w:rPr>
          <w:rFonts w:ascii="Palatino Linotype" w:eastAsia="Palatino Linotype" w:hAnsi="Palatino Linotype" w:cs="Palatino Linotype"/>
        </w:rPr>
        <w:t xml:space="preserve"> en el mes de agosto de 2022.</w:t>
      </w:r>
    </w:p>
    <w:p w14:paraId="6232BA18" w14:textId="7C01370A" w:rsidR="00BB390C" w:rsidRPr="001B211C" w:rsidRDefault="00E40C6A">
      <w:pPr>
        <w:spacing w:before="240" w:after="240" w:line="360" w:lineRule="auto"/>
        <w:jc w:val="both"/>
        <w:rPr>
          <w:rFonts w:ascii="Palatino Linotype" w:eastAsia="Palatino Linotype" w:hAnsi="Palatino Linotype" w:cs="Palatino Linotype"/>
        </w:rPr>
      </w:pPr>
      <w:r w:rsidRPr="001B211C">
        <w:rPr>
          <w:rFonts w:ascii="Palatino Linotype" w:eastAsia="Palatino Linotype" w:hAnsi="Palatino Linotype" w:cs="Palatino Linotype"/>
        </w:rPr>
        <w:t>Una vez analizado</w:t>
      </w:r>
      <w:r w:rsidR="00AC4D54" w:rsidRPr="001B211C">
        <w:rPr>
          <w:rFonts w:ascii="Palatino Linotype" w:eastAsia="Palatino Linotype" w:hAnsi="Palatino Linotype" w:cs="Palatino Linotype"/>
        </w:rPr>
        <w:t>s</w:t>
      </w:r>
      <w:r w:rsidRPr="001B211C">
        <w:rPr>
          <w:rFonts w:ascii="Palatino Linotype" w:eastAsia="Palatino Linotype" w:hAnsi="Palatino Linotype" w:cs="Palatino Linotype"/>
        </w:rPr>
        <w:t xml:space="preserve"> l</w:t>
      </w:r>
      <w:r w:rsidR="00AC4D54" w:rsidRPr="001B211C">
        <w:rPr>
          <w:rFonts w:ascii="Palatino Linotype" w:eastAsia="Palatino Linotype" w:hAnsi="Palatino Linotype" w:cs="Palatino Linotype"/>
        </w:rPr>
        <w:t>os</w:t>
      </w:r>
      <w:r w:rsidRPr="001B211C">
        <w:rPr>
          <w:rFonts w:ascii="Palatino Linotype" w:eastAsia="Palatino Linotype" w:hAnsi="Palatino Linotype" w:cs="Palatino Linotype"/>
        </w:rPr>
        <w:t xml:space="preserve"> documento</w:t>
      </w:r>
      <w:r w:rsidR="00AC4D54" w:rsidRPr="001B211C">
        <w:rPr>
          <w:rFonts w:ascii="Palatino Linotype" w:eastAsia="Palatino Linotype" w:hAnsi="Palatino Linotype" w:cs="Palatino Linotype"/>
        </w:rPr>
        <w:t>s</w:t>
      </w:r>
      <w:r w:rsidRPr="001B211C">
        <w:rPr>
          <w:rFonts w:ascii="Palatino Linotype" w:eastAsia="Palatino Linotype" w:hAnsi="Palatino Linotype" w:cs="Palatino Linotype"/>
        </w:rPr>
        <w:t xml:space="preserve"> referido</w:t>
      </w:r>
      <w:r w:rsidR="00AC4D54" w:rsidRPr="001B211C">
        <w:rPr>
          <w:rFonts w:ascii="Palatino Linotype" w:eastAsia="Palatino Linotype" w:hAnsi="Palatino Linotype" w:cs="Palatino Linotype"/>
        </w:rPr>
        <w:t>s</w:t>
      </w:r>
      <w:r w:rsidR="00677B51" w:rsidRPr="001B211C">
        <w:rPr>
          <w:rFonts w:ascii="Palatino Linotype" w:eastAsia="Palatino Linotype" w:hAnsi="Palatino Linotype" w:cs="Palatino Linotype"/>
        </w:rPr>
        <w:t>, se determinó hacerlo</w:t>
      </w:r>
      <w:r w:rsidR="00AC4D54" w:rsidRPr="001B211C">
        <w:rPr>
          <w:rFonts w:ascii="Palatino Linotype" w:eastAsia="Palatino Linotype" w:hAnsi="Palatino Linotype" w:cs="Palatino Linotype"/>
        </w:rPr>
        <w:t>s</w:t>
      </w:r>
      <w:r w:rsidRPr="001B211C">
        <w:rPr>
          <w:rFonts w:ascii="Palatino Linotype" w:eastAsia="Palatino Linotype" w:hAnsi="Palatino Linotype" w:cs="Palatino Linotype"/>
        </w:rPr>
        <w:t xml:space="preserve"> del conocimiento de la p</w:t>
      </w:r>
      <w:r w:rsidR="007404A8" w:rsidRPr="001B211C">
        <w:rPr>
          <w:rFonts w:ascii="Palatino Linotype" w:eastAsia="Palatino Linotype" w:hAnsi="Palatino Linotype" w:cs="Palatino Linotype"/>
        </w:rPr>
        <w:t xml:space="preserve">arte </w:t>
      </w:r>
      <w:r w:rsidR="007404A8" w:rsidRPr="001B211C">
        <w:rPr>
          <w:rFonts w:ascii="Palatino Linotype" w:eastAsia="Palatino Linotype" w:hAnsi="Palatino Linotype" w:cs="Palatino Linotype"/>
          <w:b/>
          <w:bCs/>
        </w:rPr>
        <w:t xml:space="preserve">Recurrente </w:t>
      </w:r>
      <w:r w:rsidRPr="001B211C">
        <w:rPr>
          <w:rFonts w:ascii="Palatino Linotype" w:eastAsia="Palatino Linotype" w:hAnsi="Palatino Linotype" w:cs="Palatino Linotype"/>
        </w:rPr>
        <w:t>con la finalidad de que manifestara</w:t>
      </w:r>
      <w:r w:rsidR="00AC4D54" w:rsidRPr="001B211C">
        <w:rPr>
          <w:rFonts w:ascii="Palatino Linotype" w:eastAsia="Palatino Linotype" w:hAnsi="Palatino Linotype" w:cs="Palatino Linotype"/>
        </w:rPr>
        <w:t>n</w:t>
      </w:r>
      <w:r w:rsidRPr="001B211C">
        <w:rPr>
          <w:rFonts w:ascii="Palatino Linotype" w:eastAsia="Palatino Linotype" w:hAnsi="Palatino Linotype" w:cs="Palatino Linotype"/>
        </w:rPr>
        <w:t xml:space="preserve"> lo que a su derecho estimara</w:t>
      </w:r>
      <w:r w:rsidR="00AC4D54" w:rsidRPr="001B211C">
        <w:rPr>
          <w:rFonts w:ascii="Palatino Linotype" w:eastAsia="Palatino Linotype" w:hAnsi="Palatino Linotype" w:cs="Palatino Linotype"/>
        </w:rPr>
        <w:t>n</w:t>
      </w:r>
      <w:r w:rsidRPr="001B211C">
        <w:rPr>
          <w:rFonts w:ascii="Palatino Linotype" w:eastAsia="Palatino Linotype" w:hAnsi="Palatino Linotype" w:cs="Palatino Linotype"/>
        </w:rPr>
        <w:t xml:space="preserve"> conveniente, siendo omisa en ejercer dicha prerrogativa.</w:t>
      </w:r>
    </w:p>
    <w:p w14:paraId="4F1A1C9C" w14:textId="42EFFE38" w:rsidR="00BB390C" w:rsidRPr="001B211C" w:rsidRDefault="00AC4D54">
      <w:pPr>
        <w:spacing w:before="240" w:after="240" w:line="360" w:lineRule="auto"/>
        <w:jc w:val="both"/>
        <w:rPr>
          <w:rFonts w:ascii="Palatino Linotype" w:eastAsia="Palatino Linotype" w:hAnsi="Palatino Linotype" w:cs="Palatino Linotype"/>
        </w:rPr>
      </w:pPr>
      <w:r w:rsidRPr="001B211C">
        <w:rPr>
          <w:rFonts w:ascii="Palatino Linotype" w:eastAsia="Palatino Linotype" w:hAnsi="Palatino Linotype" w:cs="Palatino Linotype"/>
          <w:b/>
        </w:rPr>
        <w:t>8</w:t>
      </w:r>
      <w:r w:rsidR="008F2377" w:rsidRPr="001B211C">
        <w:rPr>
          <w:rFonts w:ascii="Palatino Linotype" w:eastAsia="Palatino Linotype" w:hAnsi="Palatino Linotype" w:cs="Palatino Linotype"/>
          <w:b/>
        </w:rPr>
        <w:t xml:space="preserve">. </w:t>
      </w:r>
      <w:r w:rsidR="00E40C6A" w:rsidRPr="001B211C">
        <w:rPr>
          <w:rFonts w:ascii="Palatino Linotype" w:eastAsia="Palatino Linotype" w:hAnsi="Palatino Linotype" w:cs="Palatino Linotype"/>
          <w:b/>
        </w:rPr>
        <w:t>Ampliación del término para resolver</w:t>
      </w:r>
      <w:r w:rsidR="00E40C6A" w:rsidRPr="001B211C">
        <w:rPr>
          <w:rFonts w:ascii="Palatino Linotype" w:eastAsia="Palatino Linotype" w:hAnsi="Palatino Linotype" w:cs="Palatino Linotype"/>
        </w:rPr>
        <w:t xml:space="preserve">. </w:t>
      </w:r>
      <w:r w:rsidR="008F2377" w:rsidRPr="001B211C">
        <w:rPr>
          <w:rFonts w:ascii="Palatino Linotype" w:eastAsia="Palatino Linotype" w:hAnsi="Palatino Linotype" w:cs="Palatino Linotype"/>
        </w:rPr>
        <w:t>El</w:t>
      </w:r>
      <w:r w:rsidR="00E40C6A" w:rsidRPr="001B211C">
        <w:rPr>
          <w:rFonts w:ascii="Palatino Linotype" w:eastAsia="Palatino Linotype" w:hAnsi="Palatino Linotype" w:cs="Palatino Linotype"/>
        </w:rPr>
        <w:t xml:space="preserve"> </w:t>
      </w:r>
      <w:r w:rsidRPr="001B211C">
        <w:rPr>
          <w:rFonts w:ascii="Palatino Linotype" w:eastAsia="Palatino Linotype" w:hAnsi="Palatino Linotype" w:cs="Palatino Linotype"/>
          <w:b/>
        </w:rPr>
        <w:t>veinte</w:t>
      </w:r>
      <w:r w:rsidR="008F2377" w:rsidRPr="001B211C">
        <w:rPr>
          <w:rFonts w:ascii="Palatino Linotype" w:eastAsia="Palatino Linotype" w:hAnsi="Palatino Linotype" w:cs="Palatino Linotype"/>
          <w:b/>
        </w:rPr>
        <w:t xml:space="preserve"> de agosto</w:t>
      </w:r>
      <w:r w:rsidR="00E40C6A" w:rsidRPr="001B211C">
        <w:rPr>
          <w:rFonts w:ascii="Palatino Linotype" w:eastAsia="Palatino Linotype" w:hAnsi="Palatino Linotype" w:cs="Palatino Linotype"/>
          <w:b/>
        </w:rPr>
        <w:t xml:space="preserve"> de dos mil veinti</w:t>
      </w:r>
      <w:r w:rsidR="0032708C" w:rsidRPr="001B211C">
        <w:rPr>
          <w:rFonts w:ascii="Palatino Linotype" w:eastAsia="Palatino Linotype" w:hAnsi="Palatino Linotype" w:cs="Palatino Linotype"/>
          <w:b/>
        </w:rPr>
        <w:t>cuatro</w:t>
      </w:r>
      <w:r w:rsidR="00E40C6A" w:rsidRPr="001B211C">
        <w:rPr>
          <w:rFonts w:ascii="Palatino Linotype" w:eastAsia="Palatino Linotype" w:hAnsi="Palatino Linotype" w:cs="Palatino Linotype"/>
        </w:rPr>
        <w:t>, se amplió el término para resolver el recurso de revisión en términos del artículo 181 párrafo tercero de la Ley de Transparencia y Acceso a la Información Pública del Estado de México y Municipios.</w:t>
      </w:r>
    </w:p>
    <w:p w14:paraId="7284AB5D" w14:textId="77777777" w:rsidR="00AC4D54" w:rsidRPr="001B211C" w:rsidRDefault="00AC4D54" w:rsidP="00AC4D54">
      <w:pPr>
        <w:spacing w:before="240" w:after="240" w:line="360" w:lineRule="auto"/>
        <w:jc w:val="both"/>
        <w:rPr>
          <w:rFonts w:ascii="Palatino Linotype" w:eastAsia="Palatino Linotype" w:hAnsi="Palatino Linotype" w:cs="Palatino Linotype"/>
        </w:rPr>
      </w:pPr>
      <w:r w:rsidRPr="001B211C">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66AEF3DD" w14:textId="77777777" w:rsidR="00AC4D54" w:rsidRPr="001B211C" w:rsidRDefault="00AC4D54" w:rsidP="00AC4D54">
      <w:pPr>
        <w:spacing w:before="240" w:after="240" w:line="360" w:lineRule="auto"/>
        <w:jc w:val="both"/>
        <w:rPr>
          <w:rFonts w:ascii="Palatino Linotype" w:eastAsia="Palatino Linotype" w:hAnsi="Palatino Linotype" w:cs="Palatino Linotype"/>
        </w:rPr>
      </w:pPr>
      <w:r w:rsidRPr="001B211C">
        <w:rPr>
          <w:rFonts w:ascii="Palatino Linotype" w:eastAsia="Palatino Linotype" w:hAnsi="Palatino Linotype" w:cs="Palatino Linotype"/>
        </w:rPr>
        <w:t xml:space="preserve">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w:t>
      </w:r>
      <w:r w:rsidRPr="001B211C">
        <w:rPr>
          <w:rFonts w:ascii="Palatino Linotype" w:eastAsia="Palatino Linotype" w:hAnsi="Palatino Linotype" w:cs="Palatino Linotype"/>
        </w:rPr>
        <w:lastRenderedPageBreak/>
        <w:t>órganos jurisdiccionales federales, aplicables también en procedimientos análogos, como el que nos ocupa.</w:t>
      </w:r>
    </w:p>
    <w:p w14:paraId="60CE4079" w14:textId="77777777" w:rsidR="00AC4D54" w:rsidRPr="001B211C" w:rsidRDefault="00AC4D54" w:rsidP="00AC4D54">
      <w:pPr>
        <w:spacing w:before="240" w:after="240" w:line="360" w:lineRule="auto"/>
        <w:jc w:val="both"/>
        <w:rPr>
          <w:rFonts w:ascii="Palatino Linotype" w:eastAsia="Palatino Linotype" w:hAnsi="Palatino Linotype" w:cs="Palatino Linotype"/>
        </w:rPr>
      </w:pPr>
      <w:r w:rsidRPr="001B211C">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38C3DF8" w14:textId="77777777" w:rsidR="00AC4D54" w:rsidRPr="001B211C" w:rsidRDefault="00AC4D54" w:rsidP="00AC4D54">
      <w:pPr>
        <w:spacing w:before="240" w:after="240" w:line="360" w:lineRule="auto"/>
        <w:jc w:val="both"/>
        <w:rPr>
          <w:rFonts w:ascii="Palatino Linotype" w:eastAsia="Palatino Linotype" w:hAnsi="Palatino Linotype" w:cs="Palatino Linotype"/>
        </w:rPr>
      </w:pPr>
      <w:r w:rsidRPr="001B211C">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6322F09" w14:textId="77777777" w:rsidR="00AC4D54" w:rsidRPr="001B211C" w:rsidRDefault="00AC4D54" w:rsidP="00AC4D54">
      <w:pPr>
        <w:spacing w:before="240" w:after="240" w:line="360" w:lineRule="auto"/>
        <w:jc w:val="both"/>
        <w:rPr>
          <w:rFonts w:ascii="Palatino Linotype" w:eastAsia="Palatino Linotype" w:hAnsi="Palatino Linotype" w:cs="Palatino Linotype"/>
          <w:strike/>
        </w:rPr>
      </w:pPr>
      <w:r w:rsidRPr="001B211C">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1E431AE1" w14:textId="77777777" w:rsidR="00AC4D54" w:rsidRPr="001B211C" w:rsidRDefault="00AC4D54" w:rsidP="00AC4D54">
      <w:pPr>
        <w:numPr>
          <w:ilvl w:val="0"/>
          <w:numId w:val="3"/>
        </w:numPr>
        <w:spacing w:before="240" w:after="240" w:line="360" w:lineRule="auto"/>
        <w:jc w:val="both"/>
        <w:rPr>
          <w:rFonts w:ascii="Palatino Linotype" w:eastAsia="Palatino Linotype" w:hAnsi="Palatino Linotype" w:cs="Palatino Linotype"/>
        </w:rPr>
      </w:pPr>
      <w:r w:rsidRPr="001B211C">
        <w:rPr>
          <w:rFonts w:ascii="Palatino Linotype" w:eastAsia="Palatino Linotype" w:hAnsi="Palatino Linotype" w:cs="Palatino Linotype"/>
        </w:rPr>
        <w:t xml:space="preserve">Complejidad del Asunto: La complejidad de la prueba, la pluralidad de sujetos procesales, el tiempo transcurrido, las características y contexto del recurso. </w:t>
      </w:r>
    </w:p>
    <w:p w14:paraId="0F6ADC78" w14:textId="77777777" w:rsidR="00AC4D54" w:rsidRPr="001B211C" w:rsidRDefault="00AC4D54" w:rsidP="00AC4D54">
      <w:pPr>
        <w:numPr>
          <w:ilvl w:val="0"/>
          <w:numId w:val="3"/>
        </w:numPr>
        <w:spacing w:before="240" w:after="240" w:line="360" w:lineRule="auto"/>
        <w:jc w:val="both"/>
        <w:rPr>
          <w:rFonts w:ascii="Palatino Linotype" w:eastAsia="Palatino Linotype" w:hAnsi="Palatino Linotype" w:cs="Palatino Linotype"/>
        </w:rPr>
      </w:pPr>
      <w:r w:rsidRPr="001B211C">
        <w:rPr>
          <w:rFonts w:ascii="Palatino Linotype" w:eastAsia="Palatino Linotype" w:hAnsi="Palatino Linotype" w:cs="Palatino Linotype"/>
        </w:rPr>
        <w:t>Actividad Procesal del interesado. Acciones u omisiones del interesado.</w:t>
      </w:r>
    </w:p>
    <w:p w14:paraId="119899F3" w14:textId="77777777" w:rsidR="00AC4D54" w:rsidRPr="001B211C" w:rsidRDefault="00AC4D54" w:rsidP="00AC4D54">
      <w:pPr>
        <w:numPr>
          <w:ilvl w:val="0"/>
          <w:numId w:val="3"/>
        </w:numPr>
        <w:spacing w:before="240" w:after="240" w:line="360" w:lineRule="auto"/>
        <w:jc w:val="both"/>
        <w:rPr>
          <w:rFonts w:ascii="Palatino Linotype" w:eastAsia="Palatino Linotype" w:hAnsi="Palatino Linotype" w:cs="Palatino Linotype"/>
        </w:rPr>
      </w:pPr>
      <w:r w:rsidRPr="001B211C">
        <w:rPr>
          <w:rFonts w:ascii="Palatino Linotype" w:eastAsia="Palatino Linotype" w:hAnsi="Palatino Linotype" w:cs="Palatino Linotype"/>
        </w:rPr>
        <w:lastRenderedPageBreak/>
        <w:t>Conducta de la Autoridad: Las Acciones u omisiones realizadas en el procedimiento. Así como si la autoridad actuó con la debida diligencia.</w:t>
      </w:r>
    </w:p>
    <w:p w14:paraId="2656B527" w14:textId="77777777" w:rsidR="00AC4D54" w:rsidRPr="001B211C" w:rsidRDefault="00AC4D54" w:rsidP="00AC4D54">
      <w:pPr>
        <w:spacing w:before="240" w:after="240" w:line="360" w:lineRule="auto"/>
        <w:ind w:left="567"/>
        <w:jc w:val="both"/>
        <w:rPr>
          <w:rFonts w:ascii="Palatino Linotype" w:eastAsia="Palatino Linotype" w:hAnsi="Palatino Linotype" w:cs="Palatino Linotype"/>
        </w:rPr>
      </w:pPr>
      <w:r w:rsidRPr="001B211C">
        <w:rPr>
          <w:rFonts w:ascii="Palatino Linotype" w:eastAsia="Palatino Linotype" w:hAnsi="Palatino Linotype" w:cs="Palatino Linotype"/>
        </w:rPr>
        <w:t>d) La afectación generada en la situación jurídica de la persona involucrada en el proceso: Violación a sus derechos humanos.</w:t>
      </w:r>
    </w:p>
    <w:p w14:paraId="677063A5" w14:textId="77777777" w:rsidR="00AC4D54" w:rsidRPr="001B211C" w:rsidRDefault="00AC4D54" w:rsidP="00AC4D54">
      <w:pPr>
        <w:spacing w:before="240" w:after="240" w:line="360" w:lineRule="auto"/>
        <w:jc w:val="both"/>
        <w:rPr>
          <w:rFonts w:ascii="Palatino Linotype" w:eastAsia="Palatino Linotype" w:hAnsi="Palatino Linotype" w:cs="Palatino Linotype"/>
        </w:rPr>
      </w:pPr>
      <w:r w:rsidRPr="001B211C">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DAB9FE9" w14:textId="77777777" w:rsidR="00AC4D54" w:rsidRPr="001B211C" w:rsidRDefault="00AC4D54" w:rsidP="00AC4D54">
      <w:pPr>
        <w:spacing w:before="240" w:after="240" w:line="360" w:lineRule="auto"/>
        <w:jc w:val="both"/>
        <w:rPr>
          <w:rFonts w:ascii="Palatino Linotype" w:eastAsia="Palatino Linotype" w:hAnsi="Palatino Linotype" w:cs="Palatino Linotype"/>
          <w:b/>
        </w:rPr>
      </w:pPr>
      <w:r w:rsidRPr="001B211C">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1B211C">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1B211C">
        <w:rPr>
          <w:rFonts w:ascii="Palatino Linotype" w:eastAsia="Palatino Linotype" w:hAnsi="Palatino Linotype" w:cs="Palatino Linotype"/>
        </w:rPr>
        <w:t>, visible en la Gaceta del Seminario Judicial de la Federación con el registro digital 205635.</w:t>
      </w:r>
    </w:p>
    <w:p w14:paraId="1C2287DC" w14:textId="77777777" w:rsidR="00AC4D54" w:rsidRPr="001B211C" w:rsidRDefault="00AC4D54" w:rsidP="00AC4D54">
      <w:pPr>
        <w:spacing w:before="240" w:after="240" w:line="360" w:lineRule="auto"/>
        <w:jc w:val="both"/>
        <w:rPr>
          <w:rFonts w:ascii="Palatino Linotype" w:eastAsia="Palatino Linotype" w:hAnsi="Palatino Linotype" w:cs="Palatino Linotype"/>
        </w:rPr>
      </w:pPr>
      <w:r w:rsidRPr="001B211C">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w:t>
      </w:r>
      <w:r w:rsidRPr="001B211C">
        <w:rPr>
          <w:rFonts w:ascii="Palatino Linotype" w:eastAsia="Palatino Linotype" w:hAnsi="Palatino Linotype" w:cs="Palatino Linotype"/>
        </w:rPr>
        <w:lastRenderedPageBreak/>
        <w:t>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3C2D112" w14:textId="77777777" w:rsidR="00AC4D54" w:rsidRPr="001B211C" w:rsidRDefault="00AC4D54" w:rsidP="00AC4D54">
      <w:pPr>
        <w:spacing w:before="240" w:after="240" w:line="360" w:lineRule="auto"/>
        <w:jc w:val="both"/>
        <w:rPr>
          <w:rFonts w:ascii="Palatino Linotype" w:eastAsia="Palatino Linotype" w:hAnsi="Palatino Linotype" w:cs="Palatino Linotype"/>
        </w:rPr>
      </w:pPr>
      <w:r w:rsidRPr="001B211C">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13DB8AB1" w14:textId="77777777" w:rsidR="00AC4D54" w:rsidRPr="001B211C" w:rsidRDefault="00AC4D54" w:rsidP="00AC4D54">
      <w:pPr>
        <w:spacing w:before="240" w:after="240"/>
        <w:ind w:left="851" w:right="902"/>
        <w:jc w:val="both"/>
        <w:rPr>
          <w:rFonts w:ascii="Palatino Linotype" w:eastAsia="Palatino Linotype" w:hAnsi="Palatino Linotype" w:cs="Palatino Linotype"/>
          <w:sz w:val="22"/>
          <w:szCs w:val="22"/>
        </w:rPr>
      </w:pPr>
      <w:r w:rsidRPr="001B211C">
        <w:rPr>
          <w:rFonts w:ascii="Palatino Linotype" w:eastAsia="Palatino Linotype" w:hAnsi="Palatino Linotype" w:cs="Palatino Linotype"/>
        </w:rPr>
        <w:t xml:space="preserve"> </w:t>
      </w:r>
      <w:r w:rsidRPr="001B211C">
        <w:rPr>
          <w:rFonts w:ascii="Palatino Linotype" w:eastAsia="Palatino Linotype" w:hAnsi="Palatino Linotype" w:cs="Palatino Linotype"/>
          <w:i/>
          <w:sz w:val="22"/>
          <w:szCs w:val="22"/>
        </w:rPr>
        <w:t>“</w:t>
      </w:r>
      <w:r w:rsidRPr="001B211C">
        <w:rPr>
          <w:rFonts w:ascii="Palatino Linotype" w:eastAsia="Palatino Linotype" w:hAnsi="Palatino Linotype" w:cs="Palatino Linotype"/>
          <w:b/>
          <w:i/>
          <w:sz w:val="22"/>
          <w:szCs w:val="22"/>
        </w:rPr>
        <w:t>PLAZO RAZONABLE PARA RESOLVER. DIMENSIÓN Y EFECTOS DE ESTE CONCEPTO CUANDO SE ADUCE EXCESIVA CARGA DE TRABAJO</w:t>
      </w:r>
      <w:r w:rsidRPr="001B211C">
        <w:rPr>
          <w:rFonts w:ascii="Palatino Linotype" w:eastAsia="Palatino Linotype" w:hAnsi="Palatino Linotype" w:cs="Palatino Linotype"/>
          <w:i/>
          <w:sz w:val="22"/>
          <w:szCs w:val="22"/>
        </w:rPr>
        <w:t>.”</w:t>
      </w:r>
      <w:r w:rsidRPr="001B211C">
        <w:rPr>
          <w:rFonts w:ascii="Palatino Linotype" w:eastAsia="Palatino Linotype" w:hAnsi="Palatino Linotype" w:cs="Palatino Linotype"/>
          <w:sz w:val="22"/>
          <w:szCs w:val="22"/>
        </w:rPr>
        <w:t xml:space="preserve"> consultable en el Seminario Judicial de la Federación y su gaceta, con el registro digital 2002351.</w:t>
      </w:r>
    </w:p>
    <w:p w14:paraId="6864522F" w14:textId="77777777" w:rsidR="00AC4D54" w:rsidRPr="001B211C" w:rsidRDefault="00AC4D54" w:rsidP="00AC4D54">
      <w:pPr>
        <w:spacing w:before="240" w:after="240"/>
        <w:ind w:left="851" w:right="902"/>
        <w:jc w:val="both"/>
        <w:rPr>
          <w:rFonts w:ascii="Palatino Linotype" w:eastAsia="Palatino Linotype" w:hAnsi="Palatino Linotype" w:cs="Palatino Linotype"/>
          <w:sz w:val="22"/>
          <w:szCs w:val="22"/>
        </w:rPr>
      </w:pPr>
      <w:r w:rsidRPr="001B211C">
        <w:rPr>
          <w:rFonts w:ascii="Palatino Linotype" w:eastAsia="Palatino Linotype" w:hAnsi="Palatino Linotype" w:cs="Palatino Linotype"/>
          <w:i/>
          <w:sz w:val="22"/>
          <w:szCs w:val="22"/>
        </w:rPr>
        <w:t>“</w:t>
      </w:r>
      <w:r w:rsidRPr="001B211C">
        <w:rPr>
          <w:rFonts w:ascii="Palatino Linotype" w:eastAsia="Palatino Linotype" w:hAnsi="Palatino Linotype" w:cs="Palatino Linotype"/>
          <w:b/>
          <w:i/>
          <w:sz w:val="22"/>
          <w:szCs w:val="22"/>
        </w:rPr>
        <w:t>PLAZO RAZONABLE PARA RESOLVER. CONCEPTO Y ELEMENTOS QUE LO INTEGRAN A LA LUZ DEL DERECHO INTERNACIONAL DE LOS DERECHOS HUMANOS</w:t>
      </w:r>
      <w:r w:rsidRPr="001B211C">
        <w:rPr>
          <w:rFonts w:ascii="Palatino Linotype" w:eastAsia="Palatino Linotype" w:hAnsi="Palatino Linotype" w:cs="Palatino Linotype"/>
          <w:i/>
          <w:sz w:val="22"/>
          <w:szCs w:val="22"/>
        </w:rPr>
        <w:t>.”</w:t>
      </w:r>
      <w:r w:rsidRPr="001B211C">
        <w:rPr>
          <w:rFonts w:ascii="Palatino Linotype" w:eastAsia="Palatino Linotype" w:hAnsi="Palatino Linotype" w:cs="Palatino Linotype"/>
          <w:sz w:val="22"/>
          <w:szCs w:val="22"/>
        </w:rPr>
        <w:t>, visible en el Seminario Judicial de la Federación y su gaceta, con el registro digital 2002350.</w:t>
      </w:r>
    </w:p>
    <w:p w14:paraId="6BB1C384" w14:textId="77777777" w:rsidR="00AC4D54" w:rsidRPr="001B211C" w:rsidRDefault="00AC4D54" w:rsidP="00AC4D54">
      <w:pPr>
        <w:spacing w:before="240" w:after="240" w:line="360" w:lineRule="auto"/>
        <w:jc w:val="both"/>
        <w:rPr>
          <w:rFonts w:ascii="Palatino Linotype" w:eastAsia="Palatino Linotype" w:hAnsi="Palatino Linotype" w:cs="Palatino Linotype"/>
        </w:rPr>
      </w:pPr>
      <w:r w:rsidRPr="001B211C">
        <w:rPr>
          <w:rFonts w:ascii="Palatino Linotype" w:eastAsia="Palatino Linotype" w:hAnsi="Palatino Linotype" w:cs="Palatino Linotype"/>
        </w:rPr>
        <w:lastRenderedPageBreak/>
        <w:t>Por ello, este Organismo Garante comprometido con la tutela de los derechos humanos confiados, señala que este exceso del plazo legal para resolver el presente asunto, resulta de carácter excepcional.</w:t>
      </w:r>
    </w:p>
    <w:p w14:paraId="20BF77E4" w14:textId="4CB25AF2" w:rsidR="00AC4D54" w:rsidRPr="001B211C" w:rsidRDefault="00AC4D54" w:rsidP="00AC4D54">
      <w:pPr>
        <w:spacing w:before="240" w:after="240" w:line="360" w:lineRule="auto"/>
        <w:jc w:val="both"/>
        <w:rPr>
          <w:rFonts w:ascii="Palatino Linotype" w:eastAsia="Palatino Linotype" w:hAnsi="Palatino Linotype" w:cs="Palatino Linotype"/>
        </w:rPr>
      </w:pPr>
      <w:r w:rsidRPr="001B211C">
        <w:rPr>
          <w:rFonts w:ascii="Palatino Linotype" w:eastAsia="Palatino Linotype" w:hAnsi="Palatino Linotype" w:cs="Palatino Linotype"/>
          <w:b/>
        </w:rPr>
        <w:t xml:space="preserve">9. Cierre de instrucción. </w:t>
      </w:r>
      <w:r w:rsidRPr="001B211C">
        <w:rPr>
          <w:rFonts w:ascii="Palatino Linotype" w:eastAsia="Palatino Linotype" w:hAnsi="Palatino Linotype" w:cs="Palatino Linotype"/>
        </w:rPr>
        <w:t xml:space="preserve">Una vez transcurrido el periodo otorgado a las partes para realizar sus manifestaciones y no habiendo documentos que integrar al expediente, el </w:t>
      </w:r>
      <w:r w:rsidRPr="001B211C">
        <w:rPr>
          <w:rFonts w:ascii="Palatino Linotype" w:eastAsia="Palatino Linotype" w:hAnsi="Palatino Linotype" w:cs="Palatino Linotype"/>
          <w:b/>
        </w:rPr>
        <w:t>veintidós de agosto de dos mil veinticuatro</w:t>
      </w:r>
      <w:r w:rsidRPr="001B211C">
        <w:rPr>
          <w:rFonts w:ascii="Palatino Linotype" w:eastAsia="Palatino Linotype" w:hAnsi="Palatino Linotype" w:cs="Palatino Linotype"/>
        </w:rPr>
        <w:t xml:space="preserve"> la Comisionada Ponente determinó el cierre de instrucción en términos de la fracción VI del artículo 185 de la Ley de Transparencia y Acceso a la Información Pública del Estado de México y Municipios</w:t>
      </w:r>
    </w:p>
    <w:p w14:paraId="6ED71A24" w14:textId="77777777" w:rsidR="00BB390C" w:rsidRPr="001B211C" w:rsidRDefault="00E40C6A">
      <w:pPr>
        <w:spacing w:before="240" w:after="240" w:line="360" w:lineRule="auto"/>
        <w:jc w:val="both"/>
        <w:rPr>
          <w:rFonts w:ascii="Palatino Linotype" w:eastAsia="Palatino Linotype" w:hAnsi="Palatino Linotype" w:cs="Palatino Linotype"/>
        </w:rPr>
      </w:pPr>
      <w:r w:rsidRPr="001B211C">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4D12BF4E" w14:textId="77777777" w:rsidR="00BB390C" w:rsidRPr="001B211C" w:rsidRDefault="00E40C6A">
      <w:pPr>
        <w:widowControl w:val="0"/>
        <w:spacing w:before="240" w:after="240" w:line="360" w:lineRule="auto"/>
        <w:jc w:val="center"/>
        <w:rPr>
          <w:rFonts w:ascii="Palatino Linotype" w:eastAsia="Palatino Linotype" w:hAnsi="Palatino Linotype" w:cs="Palatino Linotype"/>
          <w:b/>
        </w:rPr>
      </w:pPr>
      <w:r w:rsidRPr="001B211C">
        <w:rPr>
          <w:rFonts w:ascii="Palatino Linotype" w:eastAsia="Palatino Linotype" w:hAnsi="Palatino Linotype" w:cs="Palatino Linotype"/>
          <w:b/>
        </w:rPr>
        <w:t>II. C O N S I D E R A N D O S</w:t>
      </w:r>
    </w:p>
    <w:p w14:paraId="6341E049" w14:textId="77777777" w:rsidR="00BB390C" w:rsidRPr="001B211C" w:rsidRDefault="00E40C6A">
      <w:pPr>
        <w:spacing w:before="240" w:after="240" w:line="360" w:lineRule="auto"/>
        <w:jc w:val="both"/>
        <w:rPr>
          <w:rFonts w:ascii="Palatino Linotype" w:eastAsia="Palatino Linotype" w:hAnsi="Palatino Linotype" w:cs="Palatino Linotype"/>
        </w:rPr>
      </w:pPr>
      <w:r w:rsidRPr="001B211C">
        <w:rPr>
          <w:rFonts w:ascii="Palatino Linotype" w:eastAsia="Palatino Linotype" w:hAnsi="Palatino Linotype" w:cs="Palatino Linotype"/>
          <w:b/>
        </w:rPr>
        <w:t>Primero. Competencia.</w:t>
      </w:r>
      <w:r w:rsidRPr="001B211C">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w:t>
      </w:r>
      <w:r w:rsidR="00251B40" w:rsidRPr="001B211C">
        <w:rPr>
          <w:rFonts w:ascii="Palatino Linotype" w:eastAsia="Palatino Linotype" w:hAnsi="Palatino Linotype" w:cs="Palatino Linotype"/>
        </w:rPr>
        <w:t xml:space="preserve">trigésimo tercero, </w:t>
      </w:r>
      <w:r w:rsidRPr="001B211C">
        <w:rPr>
          <w:rFonts w:ascii="Palatino Linotype" w:eastAsia="Palatino Linotype" w:hAnsi="Palatino Linotype" w:cs="Palatino Linotype"/>
        </w:rPr>
        <w:t xml:space="preserve">trigésimo cuarto </w:t>
      </w:r>
      <w:r w:rsidR="00251B40" w:rsidRPr="001B211C">
        <w:rPr>
          <w:rFonts w:ascii="Palatino Linotype" w:eastAsia="Palatino Linotype" w:hAnsi="Palatino Linotype" w:cs="Palatino Linotype"/>
        </w:rPr>
        <w:t xml:space="preserve">y trigésimo quinto </w:t>
      </w:r>
      <w:r w:rsidRPr="001B211C">
        <w:rPr>
          <w:rFonts w:ascii="Palatino Linotype" w:eastAsia="Palatino Linotype" w:hAnsi="Palatino Linotype" w:cs="Palatino Linotype"/>
        </w:rPr>
        <w:t xml:space="preserve">fracciones IV y V de la Constitución Política del Estado Libre y Soberano de México; 2, fracción II; 29, 36 fracciones I y II; 176, 178, </w:t>
      </w:r>
      <w:r w:rsidRPr="001B211C">
        <w:rPr>
          <w:rFonts w:ascii="Palatino Linotype" w:eastAsia="Palatino Linotype" w:hAnsi="Palatino Linotype" w:cs="Palatino Linotype"/>
        </w:rPr>
        <w:lastRenderedPageBreak/>
        <w:t>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1463F43" w14:textId="77777777" w:rsidR="00BB390C" w:rsidRPr="001B211C" w:rsidRDefault="00E40C6A">
      <w:pPr>
        <w:spacing w:before="240" w:after="240" w:line="360" w:lineRule="auto"/>
        <w:jc w:val="both"/>
        <w:rPr>
          <w:rFonts w:ascii="Palatino Linotype" w:eastAsia="Palatino Linotype" w:hAnsi="Palatino Linotype" w:cs="Palatino Linotype"/>
        </w:rPr>
      </w:pPr>
      <w:bookmarkStart w:id="6" w:name="_heading=h.tyjcwt" w:colFirst="0" w:colLast="0"/>
      <w:bookmarkEnd w:id="6"/>
      <w:r w:rsidRPr="001B211C">
        <w:rPr>
          <w:rFonts w:ascii="Palatino Linotype" w:eastAsia="Palatino Linotype" w:hAnsi="Palatino Linotype" w:cs="Palatino Linotype"/>
          <w:b/>
        </w:rPr>
        <w:t>Segundo. Oportunidad y Procedibilidad del Recurso de Revisión</w:t>
      </w:r>
      <w:r w:rsidRPr="001B211C">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EF5D903" w14:textId="45FF3F2D" w:rsidR="00BB390C" w:rsidRPr="001B211C" w:rsidRDefault="00E40C6A">
      <w:pPr>
        <w:spacing w:before="240" w:after="240" w:line="360" w:lineRule="auto"/>
        <w:jc w:val="both"/>
        <w:rPr>
          <w:rFonts w:ascii="Palatino Linotype" w:eastAsia="Palatino Linotype" w:hAnsi="Palatino Linotype" w:cs="Palatino Linotype"/>
        </w:rPr>
      </w:pPr>
      <w:r w:rsidRPr="001B211C">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1B211C">
        <w:rPr>
          <w:rFonts w:ascii="Palatino Linotype" w:eastAsia="Palatino Linotype" w:hAnsi="Palatino Linotype" w:cs="Palatino Linotype"/>
          <w:b/>
        </w:rPr>
        <w:t xml:space="preserve">Sujeto Obligado </w:t>
      </w:r>
      <w:r w:rsidRPr="001B211C">
        <w:rPr>
          <w:rFonts w:ascii="Palatino Linotype" w:eastAsia="Palatino Linotype" w:hAnsi="Palatino Linotype" w:cs="Palatino Linotype"/>
        </w:rPr>
        <w:t>remitió la respuesta a la solicitud de información el día</w:t>
      </w:r>
      <w:r w:rsidR="003F5FCA" w:rsidRPr="001B211C">
        <w:rPr>
          <w:rFonts w:ascii="Palatino Linotype" w:eastAsia="Palatino Linotype" w:hAnsi="Palatino Linotype" w:cs="Palatino Linotype"/>
        </w:rPr>
        <w:t xml:space="preserve"> </w:t>
      </w:r>
      <w:r w:rsidR="00265911" w:rsidRPr="001B211C">
        <w:rPr>
          <w:rFonts w:ascii="Palatino Linotype" w:eastAsia="Palatino Linotype" w:hAnsi="Palatino Linotype" w:cs="Palatino Linotype"/>
          <w:b/>
        </w:rPr>
        <w:t xml:space="preserve">ocho de marzo de </w:t>
      </w:r>
      <w:r w:rsidR="008F2377" w:rsidRPr="001B211C">
        <w:rPr>
          <w:rFonts w:ascii="Palatino Linotype" w:eastAsia="Palatino Linotype" w:hAnsi="Palatino Linotype" w:cs="Palatino Linotype"/>
          <w:b/>
        </w:rPr>
        <w:t>dos mil veinticuatro</w:t>
      </w:r>
      <w:r w:rsidRPr="001B211C">
        <w:rPr>
          <w:rFonts w:ascii="Palatino Linotype" w:eastAsia="Palatino Linotype" w:hAnsi="Palatino Linotype" w:cs="Palatino Linotype"/>
          <w:b/>
        </w:rPr>
        <w:t xml:space="preserve">, </w:t>
      </w:r>
      <w:r w:rsidRPr="001B211C">
        <w:rPr>
          <w:rFonts w:ascii="Palatino Linotype" w:eastAsia="Palatino Linotype" w:hAnsi="Palatino Linotype" w:cs="Palatino Linotype"/>
        </w:rPr>
        <w:t xml:space="preserve">mientras que el recurso de revisión interpuesto por la parte </w:t>
      </w:r>
      <w:r w:rsidRPr="001B211C">
        <w:rPr>
          <w:rFonts w:ascii="Palatino Linotype" w:eastAsia="Palatino Linotype" w:hAnsi="Palatino Linotype" w:cs="Palatino Linotype"/>
          <w:b/>
        </w:rPr>
        <w:t>Recurrente</w:t>
      </w:r>
      <w:r w:rsidRPr="001B211C">
        <w:rPr>
          <w:rFonts w:ascii="Palatino Linotype" w:eastAsia="Palatino Linotype" w:hAnsi="Palatino Linotype" w:cs="Palatino Linotype"/>
        </w:rPr>
        <w:t xml:space="preserve">, se tuvo por presentado el día </w:t>
      </w:r>
      <w:r w:rsidR="00265911" w:rsidRPr="001B211C">
        <w:rPr>
          <w:rFonts w:ascii="Palatino Linotype" w:eastAsia="Palatino Linotype" w:hAnsi="Palatino Linotype" w:cs="Palatino Linotype"/>
          <w:b/>
        </w:rPr>
        <w:t>uno de abril</w:t>
      </w:r>
      <w:r w:rsidR="008F2377" w:rsidRPr="001B211C">
        <w:rPr>
          <w:rFonts w:ascii="Palatino Linotype" w:eastAsia="Palatino Linotype" w:hAnsi="Palatino Linotype" w:cs="Palatino Linotype"/>
          <w:b/>
        </w:rPr>
        <w:t xml:space="preserve"> de dos mil veinticuatro</w:t>
      </w:r>
      <w:r w:rsidRPr="001B211C">
        <w:rPr>
          <w:rFonts w:ascii="Palatino Linotype" w:eastAsia="Palatino Linotype" w:hAnsi="Palatino Linotype" w:cs="Palatino Linotype"/>
        </w:rPr>
        <w:t xml:space="preserve">, esto es </w:t>
      </w:r>
      <w:r w:rsidR="00251B40" w:rsidRPr="001B211C">
        <w:rPr>
          <w:rFonts w:ascii="Palatino Linotype" w:eastAsia="Palatino Linotype" w:hAnsi="Palatino Linotype" w:cs="Palatino Linotype"/>
        </w:rPr>
        <w:t xml:space="preserve">al </w:t>
      </w:r>
      <w:r w:rsidR="00265911" w:rsidRPr="001B211C">
        <w:rPr>
          <w:rFonts w:ascii="Palatino Linotype" w:eastAsia="Palatino Linotype" w:hAnsi="Palatino Linotype" w:cs="Palatino Linotype"/>
        </w:rPr>
        <w:t>décimo</w:t>
      </w:r>
      <w:r w:rsidR="00251B40" w:rsidRPr="001B211C">
        <w:rPr>
          <w:rFonts w:ascii="Palatino Linotype" w:eastAsia="Palatino Linotype" w:hAnsi="Palatino Linotype" w:cs="Palatino Linotype"/>
        </w:rPr>
        <w:t xml:space="preserve"> día hábil posterior</w:t>
      </w:r>
      <w:r w:rsidRPr="001B211C">
        <w:rPr>
          <w:rFonts w:ascii="Palatino Linotype" w:eastAsia="Palatino Linotype" w:hAnsi="Palatino Linotype" w:cs="Palatino Linotype"/>
        </w:rPr>
        <w:t xml:space="preserve"> en que tuvo conocimiento de la respuesta impugnada. En este sentido, se concluye que el presente recurso de revisión se encuentra dentro de los márgenes temporales previstos en las disposiciones legales referidas.</w:t>
      </w:r>
    </w:p>
    <w:p w14:paraId="289322AE" w14:textId="77777777" w:rsidR="00BB390C" w:rsidRPr="001B211C" w:rsidRDefault="00E40C6A">
      <w:pPr>
        <w:tabs>
          <w:tab w:val="left" w:pos="7938"/>
        </w:tabs>
        <w:spacing w:before="240" w:after="240" w:line="360" w:lineRule="auto"/>
        <w:jc w:val="both"/>
        <w:rPr>
          <w:rFonts w:ascii="Palatino Linotype" w:eastAsia="Palatino Linotype" w:hAnsi="Palatino Linotype" w:cs="Palatino Linotype"/>
        </w:rPr>
      </w:pPr>
      <w:bookmarkStart w:id="7" w:name="_heading=h.3znysh7" w:colFirst="0" w:colLast="0"/>
      <w:bookmarkEnd w:id="7"/>
      <w:r w:rsidRPr="001B211C">
        <w:rPr>
          <w:rFonts w:ascii="Palatino Linotype" w:eastAsia="Palatino Linotype" w:hAnsi="Palatino Linotype" w:cs="Palatino Linotype"/>
        </w:rPr>
        <w:lastRenderedPageBreak/>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2FA637D7" w14:textId="25CBA2CB" w:rsidR="00A23E8E" w:rsidRPr="001B211C" w:rsidRDefault="00A23E8E" w:rsidP="00A23E8E">
      <w:pPr>
        <w:spacing w:before="240" w:after="240" w:line="360" w:lineRule="auto"/>
        <w:jc w:val="both"/>
        <w:rPr>
          <w:rFonts w:ascii="Palatino Linotype" w:eastAsia="Palatino Linotype" w:hAnsi="Palatino Linotype" w:cs="Palatino Linotype"/>
        </w:rPr>
      </w:pPr>
      <w:r w:rsidRPr="001B211C">
        <w:rPr>
          <w:rFonts w:ascii="Palatino Linotype" w:eastAsia="Palatino Linotype" w:hAnsi="Palatino Linotype" w:cs="Palatino Linotype"/>
        </w:rPr>
        <w:t xml:space="preserve">A efecto de sustentar lo anterior, es de suma importancia mencionar que si bien la persona solicitante </w:t>
      </w:r>
      <w:r w:rsidRPr="001B211C">
        <w:rPr>
          <w:rFonts w:ascii="Palatino Linotype" w:eastAsia="Palatino Linotype" w:hAnsi="Palatino Linotype" w:cs="Palatino Linotype"/>
          <w:b/>
        </w:rPr>
        <w:t xml:space="preserve"> no proporcionó nombre, </w:t>
      </w:r>
      <w:r w:rsidRPr="001B211C">
        <w:rPr>
          <w:rFonts w:ascii="Palatino Linotype" w:eastAsia="Palatino Linotype" w:hAnsi="Palatino Linotype" w:cs="Palatino Linotype"/>
        </w:rPr>
        <w:t>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16B909A7" w14:textId="77777777" w:rsidR="00A23E8E" w:rsidRPr="001B211C" w:rsidRDefault="00A23E8E" w:rsidP="00A23E8E">
      <w:pPr>
        <w:spacing w:before="120" w:after="120"/>
        <w:ind w:left="851" w:right="902"/>
        <w:jc w:val="both"/>
        <w:rPr>
          <w:rFonts w:ascii="Palatino Linotype" w:eastAsia="Palatino Linotype" w:hAnsi="Palatino Linotype" w:cs="Palatino Linotype"/>
          <w:sz w:val="22"/>
          <w:szCs w:val="22"/>
        </w:rPr>
      </w:pPr>
      <w:r w:rsidRPr="001B211C">
        <w:rPr>
          <w:rFonts w:ascii="Palatino Linotype" w:eastAsia="Palatino Linotype" w:hAnsi="Palatino Linotype" w:cs="Palatino Linotype"/>
          <w:i/>
          <w:sz w:val="22"/>
          <w:szCs w:val="22"/>
        </w:rPr>
        <w:t>"</w:t>
      </w:r>
      <w:r w:rsidRPr="001B211C">
        <w:rPr>
          <w:rFonts w:ascii="Palatino Linotype" w:eastAsia="Palatino Linotype" w:hAnsi="Palatino Linotype" w:cs="Palatino Linotype"/>
          <w:b/>
          <w:i/>
          <w:sz w:val="22"/>
          <w:szCs w:val="22"/>
        </w:rPr>
        <w:t>Las solicitudes anónimas</w:t>
      </w:r>
      <w:r w:rsidRPr="001B211C">
        <w:rPr>
          <w:rFonts w:ascii="Palatino Linotype" w:eastAsia="Palatino Linotype" w:hAnsi="Palatino Linotype" w:cs="Palatino Linotype"/>
          <w:i/>
          <w:sz w:val="22"/>
          <w:szCs w:val="22"/>
        </w:rPr>
        <w:t xml:space="preserve">, con nombre incompleto o seudónimo </w:t>
      </w:r>
      <w:r w:rsidRPr="001B211C">
        <w:rPr>
          <w:rFonts w:ascii="Palatino Linotype" w:eastAsia="Palatino Linotype" w:hAnsi="Palatino Linotype" w:cs="Palatino Linotype"/>
          <w:b/>
          <w:i/>
          <w:sz w:val="22"/>
          <w:szCs w:val="22"/>
        </w:rPr>
        <w:t>serán procedentes para su trámite por parte del sujeto obligado ante quien se presente</w:t>
      </w:r>
      <w:r w:rsidRPr="001B211C">
        <w:rPr>
          <w:rFonts w:ascii="Palatino Linotype" w:eastAsia="Palatino Linotype" w:hAnsi="Palatino Linotype" w:cs="Palatino Linotype"/>
          <w:i/>
          <w:sz w:val="22"/>
          <w:szCs w:val="22"/>
        </w:rPr>
        <w:t>. No podrá requerirse información adicional con motivo del nombre proporcionado por el solicitante."</w:t>
      </w:r>
    </w:p>
    <w:p w14:paraId="53B3F746" w14:textId="77777777" w:rsidR="00A23E8E" w:rsidRPr="001B211C" w:rsidRDefault="00A23E8E" w:rsidP="00A23E8E">
      <w:pPr>
        <w:spacing w:before="240" w:after="240" w:line="360" w:lineRule="auto"/>
        <w:jc w:val="both"/>
        <w:rPr>
          <w:rFonts w:ascii="Palatino Linotype" w:eastAsia="Palatino Linotype" w:hAnsi="Palatino Linotype" w:cs="Palatino Linotype"/>
        </w:rPr>
      </w:pPr>
      <w:r w:rsidRPr="001B211C">
        <w:rPr>
          <w:rFonts w:ascii="Palatino Linotype" w:eastAsia="Palatino Linotype" w:hAnsi="Palatino Linotype" w:cs="Palatino Linotype"/>
        </w:rPr>
        <w:t xml:space="preserve">En el mismo tenor, el propio artículo 180 de la Ley de Transparencia local citado, en su último párrafo establece que cuando el recurso se interponga de manera electrónica, no será indispensable que contenga determinados requisitos, entre ellos, </w:t>
      </w:r>
      <w:r w:rsidRPr="001B211C">
        <w:rPr>
          <w:rFonts w:ascii="Palatino Linotype" w:eastAsia="Palatino Linotype" w:hAnsi="Palatino Linotype" w:cs="Palatino Linotype"/>
        </w:rPr>
        <w:lastRenderedPageBreak/>
        <w:t xml:space="preserve">el nombre de la parte </w:t>
      </w:r>
      <w:r w:rsidRPr="001B211C">
        <w:rPr>
          <w:rFonts w:ascii="Palatino Linotype" w:eastAsia="Palatino Linotype" w:hAnsi="Palatino Linotype" w:cs="Palatino Linotype"/>
          <w:b/>
        </w:rPr>
        <w:t>Recurrente</w:t>
      </w:r>
      <w:r w:rsidRPr="001B211C">
        <w:rPr>
          <w:rFonts w:ascii="Palatino Linotype" w:eastAsia="Palatino Linotype" w:hAnsi="Palatino Linotype" w:cs="Palatino Linotype"/>
        </w:rPr>
        <w:t>, por lo que, en el presente caso, al haber sido presentado el recurso de revisión vía SAIMEX, dicho requisito resulta innecesario.</w:t>
      </w:r>
    </w:p>
    <w:p w14:paraId="3A222DB1" w14:textId="2BCA5881" w:rsidR="00BB390C" w:rsidRPr="001B211C" w:rsidRDefault="00E40C6A">
      <w:pPr>
        <w:spacing w:before="240" w:after="240" w:line="360" w:lineRule="auto"/>
        <w:jc w:val="both"/>
        <w:rPr>
          <w:rFonts w:ascii="Palatino Linotype" w:eastAsia="Palatino Linotype" w:hAnsi="Palatino Linotype" w:cs="Palatino Linotype"/>
        </w:rPr>
      </w:pPr>
      <w:r w:rsidRPr="001B211C">
        <w:rPr>
          <w:rFonts w:ascii="Palatino Linotype" w:eastAsia="Palatino Linotype" w:hAnsi="Palatino Linotype" w:cs="Palatino Linotype"/>
        </w:rPr>
        <w:t xml:space="preserve">Finalmente, se advierte que resulta procedente la interposición del recurso, según lo manifestado por la parte </w:t>
      </w:r>
      <w:r w:rsidRPr="001B211C">
        <w:rPr>
          <w:rFonts w:ascii="Palatino Linotype" w:eastAsia="Palatino Linotype" w:hAnsi="Palatino Linotype" w:cs="Palatino Linotype"/>
          <w:b/>
        </w:rPr>
        <w:t>Recurrente</w:t>
      </w:r>
      <w:r w:rsidRPr="001B211C">
        <w:rPr>
          <w:rFonts w:ascii="Palatino Linotype" w:eastAsia="Palatino Linotype" w:hAnsi="Palatino Linotype" w:cs="Palatino Linotype"/>
        </w:rPr>
        <w:t xml:space="preserve"> en sus motivos de inconformidad, de ac</w:t>
      </w:r>
      <w:r w:rsidR="0028609B" w:rsidRPr="001B211C">
        <w:rPr>
          <w:rFonts w:ascii="Palatino Linotype" w:eastAsia="Palatino Linotype" w:hAnsi="Palatino Linotype" w:cs="Palatino Linotype"/>
        </w:rPr>
        <w:t xml:space="preserve">uerdo al artículo 179, fracciones </w:t>
      </w:r>
      <w:r w:rsidR="008F2377" w:rsidRPr="001B211C">
        <w:rPr>
          <w:rFonts w:ascii="Palatino Linotype" w:eastAsia="Palatino Linotype" w:hAnsi="Palatino Linotype" w:cs="Palatino Linotype"/>
        </w:rPr>
        <w:t>I</w:t>
      </w:r>
      <w:r w:rsidR="0028609B" w:rsidRPr="001B211C">
        <w:rPr>
          <w:rFonts w:ascii="Palatino Linotype" w:eastAsia="Palatino Linotype" w:hAnsi="Palatino Linotype" w:cs="Palatino Linotype"/>
        </w:rPr>
        <w:t xml:space="preserve"> y VIII</w:t>
      </w:r>
      <w:r w:rsidRPr="001B211C">
        <w:rPr>
          <w:rFonts w:ascii="Palatino Linotype" w:eastAsia="Palatino Linotype" w:hAnsi="Palatino Linotype" w:cs="Palatino Linotype"/>
        </w:rPr>
        <w:t xml:space="preserve"> del ordenamiento legal citado, que a la letra dice: </w:t>
      </w:r>
    </w:p>
    <w:p w14:paraId="4C3FC368" w14:textId="77777777" w:rsidR="00BB390C" w:rsidRPr="001B211C" w:rsidRDefault="00E40C6A" w:rsidP="0028609B">
      <w:pPr>
        <w:spacing w:before="120" w:after="120"/>
        <w:ind w:left="851" w:right="902"/>
        <w:jc w:val="both"/>
        <w:rPr>
          <w:rFonts w:ascii="Palatino Linotype" w:eastAsia="Palatino Linotype" w:hAnsi="Palatino Linotype" w:cs="Palatino Linotype"/>
          <w:i/>
          <w:sz w:val="22"/>
          <w:szCs w:val="22"/>
        </w:rPr>
      </w:pPr>
      <w:r w:rsidRPr="001B211C">
        <w:rPr>
          <w:rFonts w:ascii="Palatino Linotype" w:eastAsia="Palatino Linotype" w:hAnsi="Palatino Linotype" w:cs="Palatino Linotype"/>
          <w:i/>
          <w:sz w:val="22"/>
          <w:szCs w:val="22"/>
        </w:rPr>
        <w:t>“</w:t>
      </w:r>
      <w:r w:rsidRPr="001B211C">
        <w:rPr>
          <w:rFonts w:ascii="Palatino Linotype" w:eastAsia="Palatino Linotype" w:hAnsi="Palatino Linotype" w:cs="Palatino Linotype"/>
          <w:b/>
          <w:i/>
          <w:sz w:val="22"/>
          <w:szCs w:val="22"/>
        </w:rPr>
        <w:t>Artículo 179.</w:t>
      </w:r>
      <w:r w:rsidRPr="001B211C">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1917292A" w14:textId="24F76D71" w:rsidR="00BB390C" w:rsidRPr="001B211C" w:rsidRDefault="002B57B0" w:rsidP="0028609B">
      <w:pPr>
        <w:spacing w:before="120" w:after="120"/>
        <w:ind w:left="1134"/>
        <w:rPr>
          <w:rFonts w:ascii="Palatino Linotype" w:eastAsia="Palatino Linotype" w:hAnsi="Palatino Linotype" w:cs="Palatino Linotype"/>
          <w:i/>
          <w:sz w:val="22"/>
          <w:szCs w:val="22"/>
        </w:rPr>
      </w:pPr>
      <w:r w:rsidRPr="001B211C">
        <w:rPr>
          <w:rFonts w:ascii="Palatino Linotype" w:eastAsia="Palatino Linotype" w:hAnsi="Palatino Linotype" w:cs="Palatino Linotype"/>
          <w:b/>
          <w:i/>
          <w:sz w:val="22"/>
          <w:szCs w:val="22"/>
        </w:rPr>
        <w:t>I</w:t>
      </w:r>
      <w:r w:rsidRPr="001B211C">
        <w:rPr>
          <w:rFonts w:ascii="Palatino Linotype" w:eastAsia="Palatino Linotype" w:hAnsi="Palatino Linotype" w:cs="Palatino Linotype"/>
          <w:i/>
          <w:sz w:val="22"/>
          <w:szCs w:val="22"/>
        </w:rPr>
        <w:t>. La negativa a la información solicitada</w:t>
      </w:r>
      <w:r w:rsidR="0028609B" w:rsidRPr="001B211C">
        <w:rPr>
          <w:rFonts w:ascii="Palatino Linotype" w:eastAsia="Palatino Linotype" w:hAnsi="Palatino Linotype" w:cs="Palatino Linotype"/>
          <w:i/>
          <w:sz w:val="22"/>
          <w:szCs w:val="22"/>
        </w:rPr>
        <w:t>;</w:t>
      </w:r>
    </w:p>
    <w:p w14:paraId="0BE37037" w14:textId="7099CE75" w:rsidR="0028609B" w:rsidRPr="001B211C" w:rsidRDefault="0028609B" w:rsidP="0028609B">
      <w:pPr>
        <w:spacing w:before="120" w:after="120"/>
        <w:ind w:left="1134"/>
        <w:rPr>
          <w:rFonts w:ascii="Palatino Linotype" w:eastAsia="Palatino Linotype" w:hAnsi="Palatino Linotype" w:cs="Palatino Linotype"/>
          <w:i/>
          <w:sz w:val="22"/>
          <w:szCs w:val="22"/>
        </w:rPr>
      </w:pPr>
      <w:r w:rsidRPr="001B211C">
        <w:rPr>
          <w:rFonts w:ascii="Palatino Linotype" w:eastAsia="Palatino Linotype" w:hAnsi="Palatino Linotype" w:cs="Palatino Linotype"/>
          <w:i/>
          <w:sz w:val="22"/>
          <w:szCs w:val="22"/>
        </w:rPr>
        <w:t>…</w:t>
      </w:r>
    </w:p>
    <w:p w14:paraId="57926214" w14:textId="46DA5868" w:rsidR="0028609B" w:rsidRPr="001B211C" w:rsidRDefault="0028609B" w:rsidP="0028609B">
      <w:pPr>
        <w:spacing w:before="120" w:after="120"/>
        <w:ind w:left="1134"/>
        <w:rPr>
          <w:rFonts w:ascii="Palatino Linotype" w:eastAsia="Palatino Linotype" w:hAnsi="Palatino Linotype" w:cs="Palatino Linotype"/>
          <w:i/>
          <w:sz w:val="22"/>
          <w:szCs w:val="22"/>
        </w:rPr>
      </w:pPr>
      <w:r w:rsidRPr="001B211C">
        <w:rPr>
          <w:rFonts w:ascii="Palatino Linotype" w:hAnsi="Palatino Linotype"/>
          <w:b/>
          <w:i/>
          <w:sz w:val="22"/>
          <w:szCs w:val="22"/>
        </w:rPr>
        <w:t>VIII</w:t>
      </w:r>
      <w:r w:rsidRPr="001B211C">
        <w:rPr>
          <w:rFonts w:ascii="Palatino Linotype" w:hAnsi="Palatino Linotype"/>
          <w:i/>
          <w:sz w:val="22"/>
          <w:szCs w:val="22"/>
        </w:rPr>
        <w:t>. La notificación, entrega o puesta a disposición de información en una modalidad o formato distinto al solicitado;”</w:t>
      </w:r>
    </w:p>
    <w:p w14:paraId="46B003F9" w14:textId="4AE86BCB" w:rsidR="00BB390C" w:rsidRPr="001B211C" w:rsidRDefault="00E40C6A">
      <w:pPr>
        <w:spacing w:before="240" w:after="240" w:line="360" w:lineRule="auto"/>
        <w:jc w:val="both"/>
        <w:rPr>
          <w:rFonts w:ascii="Palatino Linotype" w:eastAsia="Palatino Linotype" w:hAnsi="Palatino Linotype" w:cs="Palatino Linotype"/>
        </w:rPr>
      </w:pPr>
      <w:r w:rsidRPr="001B211C">
        <w:rPr>
          <w:rFonts w:ascii="Palatino Linotype" w:eastAsia="Palatino Linotype" w:hAnsi="Palatino Linotype" w:cs="Palatino Linotype"/>
          <w:b/>
        </w:rPr>
        <w:t>Tercero. Análisis de las causales de sobreseimiento del recurso de revisión.</w:t>
      </w:r>
      <w:r w:rsidRPr="001B211C">
        <w:rPr>
          <w:rFonts w:ascii="Palatino Linotype" w:eastAsia="Palatino Linotype" w:hAnsi="Palatino Linotype" w:cs="Palatino Linotype"/>
        </w:rPr>
        <w:t xml:space="preserve"> En primera instancia, debe apuntarse que del análisis al recurso de revisión que ahora se resuelve, se tiene que se actualiza la causal de sobreseimiento del recurso de revisión establecido en la fracción III del artículo 192 en relación con el diverso 186 fracción I, ambos de la Ley de Transparencia y Acceso a la Información Pública del Estado de México y Municipios, derivado del contenido del informe justificado rendido por el </w:t>
      </w:r>
      <w:r w:rsidRPr="001B211C">
        <w:rPr>
          <w:rFonts w:ascii="Palatino Linotype" w:eastAsia="Palatino Linotype" w:hAnsi="Palatino Linotype" w:cs="Palatino Linotype"/>
          <w:b/>
        </w:rPr>
        <w:t>Sujeto Obligado.</w:t>
      </w:r>
      <w:r w:rsidRPr="001B211C">
        <w:rPr>
          <w:rFonts w:ascii="Palatino Linotype" w:eastAsia="Palatino Linotype" w:hAnsi="Palatino Linotype" w:cs="Palatino Linotype"/>
        </w:rPr>
        <w:t xml:space="preserve"> </w:t>
      </w:r>
    </w:p>
    <w:p w14:paraId="69954E1B" w14:textId="77777777" w:rsidR="00BB390C" w:rsidRPr="001B211C" w:rsidRDefault="00E40C6A">
      <w:pPr>
        <w:tabs>
          <w:tab w:val="left" w:pos="7513"/>
        </w:tabs>
        <w:spacing w:after="240" w:line="360" w:lineRule="auto"/>
        <w:ind w:right="49"/>
        <w:jc w:val="both"/>
        <w:rPr>
          <w:rFonts w:ascii="Palatino Linotype" w:eastAsia="Palatino Linotype" w:hAnsi="Palatino Linotype" w:cs="Palatino Linotype"/>
        </w:rPr>
      </w:pPr>
      <w:r w:rsidRPr="001B211C">
        <w:rPr>
          <w:rFonts w:ascii="Palatino Linotype" w:eastAsia="Palatino Linotype" w:hAnsi="Palatino Linotype" w:cs="Palatino Linotype"/>
        </w:rPr>
        <w:lastRenderedPageBreak/>
        <w:t>Para una mejor comprensión del asunto, de las constancias que obran en el expediente electrónico, valoradas anteriormente, destacan por su importancia los antecedentes siguientes:</w:t>
      </w:r>
    </w:p>
    <w:p w14:paraId="1FE25C2B" w14:textId="77777777" w:rsidR="00BB390C" w:rsidRPr="001B211C" w:rsidRDefault="00E40C6A">
      <w:pPr>
        <w:tabs>
          <w:tab w:val="left" w:pos="7513"/>
        </w:tabs>
        <w:spacing w:before="240" w:after="240" w:line="360" w:lineRule="auto"/>
        <w:ind w:right="49"/>
        <w:jc w:val="both"/>
        <w:rPr>
          <w:rFonts w:ascii="Palatino Linotype" w:eastAsia="Palatino Linotype" w:hAnsi="Palatino Linotype" w:cs="Palatino Linotype"/>
        </w:rPr>
      </w:pPr>
      <w:r w:rsidRPr="001B211C">
        <w:rPr>
          <w:rFonts w:ascii="Palatino Linotype" w:eastAsia="Palatino Linotype" w:hAnsi="Palatino Linotype" w:cs="Palatino Linotype"/>
        </w:rPr>
        <w:t xml:space="preserve">En la solicitud de información materia del presente recurso, la parte solicitante requirió al </w:t>
      </w:r>
      <w:r w:rsidRPr="001B211C">
        <w:rPr>
          <w:rFonts w:ascii="Palatino Linotype" w:eastAsia="Palatino Linotype" w:hAnsi="Palatino Linotype" w:cs="Palatino Linotype"/>
          <w:b/>
        </w:rPr>
        <w:t>Sujeto Obligado,</w:t>
      </w:r>
      <w:r w:rsidRPr="001B211C">
        <w:rPr>
          <w:rFonts w:ascii="Palatino Linotype" w:eastAsia="Palatino Linotype" w:hAnsi="Palatino Linotype" w:cs="Palatino Linotype"/>
        </w:rPr>
        <w:t xml:space="preserve"> lo siguiente:</w:t>
      </w:r>
    </w:p>
    <w:p w14:paraId="232BEA18" w14:textId="216FC5DC" w:rsidR="002B57B0" w:rsidRPr="001B211C" w:rsidRDefault="002B57B0" w:rsidP="002B57B0">
      <w:pPr>
        <w:tabs>
          <w:tab w:val="left" w:pos="7513"/>
        </w:tabs>
        <w:spacing w:before="240" w:after="240" w:line="360" w:lineRule="auto"/>
        <w:ind w:left="426" w:right="49"/>
        <w:jc w:val="both"/>
        <w:rPr>
          <w:rFonts w:ascii="Palatino Linotype" w:eastAsia="Palatino Linotype" w:hAnsi="Palatino Linotype" w:cs="Palatino Linotype"/>
        </w:rPr>
      </w:pPr>
      <w:r w:rsidRPr="001B211C">
        <w:rPr>
          <w:rFonts w:ascii="Palatino Linotype" w:eastAsia="Palatino Linotype" w:hAnsi="Palatino Linotype" w:cs="Palatino Linotype"/>
        </w:rPr>
        <w:t>1. Contratos de todas las compras que realiz</w:t>
      </w:r>
      <w:r w:rsidR="001858F8" w:rsidRPr="001B211C">
        <w:rPr>
          <w:rFonts w:ascii="Palatino Linotype" w:eastAsia="Palatino Linotype" w:hAnsi="Palatino Linotype" w:cs="Palatino Linotype"/>
        </w:rPr>
        <w:t>ó</w:t>
      </w:r>
      <w:r w:rsidRPr="001B211C">
        <w:rPr>
          <w:rFonts w:ascii="Palatino Linotype" w:eastAsia="Palatino Linotype" w:hAnsi="Palatino Linotype" w:cs="Palatino Linotype"/>
        </w:rPr>
        <w:t xml:space="preserve"> el Organismo</w:t>
      </w:r>
      <w:r w:rsidR="001858F8" w:rsidRPr="001B211C">
        <w:rPr>
          <w:rFonts w:ascii="Palatino Linotype" w:eastAsia="Palatino Linotype" w:hAnsi="Palatino Linotype" w:cs="Palatino Linotype"/>
        </w:rPr>
        <w:t>,</w:t>
      </w:r>
      <w:r w:rsidRPr="001B211C">
        <w:rPr>
          <w:rFonts w:ascii="Palatino Linotype" w:eastAsia="Palatino Linotype" w:hAnsi="Palatino Linotype" w:cs="Palatino Linotype"/>
        </w:rPr>
        <w:t xml:space="preserve"> para el mantenimiento de los pozos</w:t>
      </w:r>
      <w:r w:rsidR="001858F8" w:rsidRPr="001B211C">
        <w:rPr>
          <w:rFonts w:ascii="Palatino Linotype" w:eastAsia="Palatino Linotype" w:hAnsi="Palatino Linotype" w:cs="Palatino Linotype"/>
        </w:rPr>
        <w:t>,</w:t>
      </w:r>
      <w:r w:rsidRPr="001B211C">
        <w:rPr>
          <w:rFonts w:ascii="Palatino Linotype" w:eastAsia="Palatino Linotype" w:hAnsi="Palatino Linotype" w:cs="Palatino Linotype"/>
        </w:rPr>
        <w:t xml:space="preserve"> durante agosto de 2022</w:t>
      </w:r>
      <w:r w:rsidR="003D166B" w:rsidRPr="001B211C">
        <w:rPr>
          <w:rFonts w:ascii="Palatino Linotype" w:eastAsia="Palatino Linotype" w:hAnsi="Palatino Linotype" w:cs="Palatino Linotype"/>
        </w:rPr>
        <w:t>.</w:t>
      </w:r>
    </w:p>
    <w:p w14:paraId="32130BE5" w14:textId="3938B94E" w:rsidR="002B57B0" w:rsidRPr="001B211C" w:rsidRDefault="00E40C6A">
      <w:pPr>
        <w:spacing w:before="240" w:after="240" w:line="360" w:lineRule="auto"/>
        <w:ind w:right="49"/>
        <w:jc w:val="both"/>
        <w:rPr>
          <w:rFonts w:ascii="Palatino Linotype" w:eastAsia="Palatino Linotype" w:hAnsi="Palatino Linotype" w:cs="Palatino Linotype"/>
        </w:rPr>
      </w:pPr>
      <w:r w:rsidRPr="001B211C">
        <w:rPr>
          <w:rFonts w:ascii="Palatino Linotype" w:eastAsia="Palatino Linotype" w:hAnsi="Palatino Linotype" w:cs="Palatino Linotype"/>
        </w:rPr>
        <w:t>En</w:t>
      </w:r>
      <w:r w:rsidR="002B57B0" w:rsidRPr="001B211C">
        <w:rPr>
          <w:rFonts w:ascii="Palatino Linotype" w:eastAsia="Palatino Linotype" w:hAnsi="Palatino Linotype" w:cs="Palatino Linotype"/>
        </w:rPr>
        <w:t xml:space="preserve"> respuesta a la solicitud de información, el </w:t>
      </w:r>
      <w:r w:rsidR="002B57B0" w:rsidRPr="001B211C">
        <w:rPr>
          <w:rFonts w:ascii="Palatino Linotype" w:eastAsia="Palatino Linotype" w:hAnsi="Palatino Linotype" w:cs="Palatino Linotype"/>
          <w:b/>
        </w:rPr>
        <w:t xml:space="preserve">Sujeto Obligado, </w:t>
      </w:r>
      <w:r w:rsidR="002B57B0" w:rsidRPr="001B211C">
        <w:rPr>
          <w:rFonts w:ascii="Palatino Linotype" w:eastAsia="Palatino Linotype" w:hAnsi="Palatino Linotype" w:cs="Palatino Linotype"/>
        </w:rPr>
        <w:t>a través de</w:t>
      </w:r>
      <w:r w:rsidR="0000399A" w:rsidRPr="001B211C">
        <w:rPr>
          <w:rFonts w:ascii="Palatino Linotype" w:eastAsia="Palatino Linotype" w:hAnsi="Palatino Linotype" w:cs="Palatino Linotype"/>
        </w:rPr>
        <w:t>l Departamento de Adquisiciones dependiente de la Subdirección de Administración y Finanzas, puso a disposición de la persona solicitante la información requerida a través de consulta directa, asimismo, proporcionó las formalidades necesarias para tal efect</w:t>
      </w:r>
      <w:r w:rsidR="003D166B" w:rsidRPr="001B211C">
        <w:rPr>
          <w:rFonts w:ascii="Palatino Linotype" w:eastAsia="Palatino Linotype" w:hAnsi="Palatino Linotype" w:cs="Palatino Linotype"/>
        </w:rPr>
        <w:t>o, motivando así, la interposición del recurso de revisión que se resuelve.</w:t>
      </w:r>
    </w:p>
    <w:p w14:paraId="14776998" w14:textId="05168666" w:rsidR="00BC16F8" w:rsidRPr="001B211C" w:rsidRDefault="0054182B" w:rsidP="000F017C">
      <w:pPr>
        <w:spacing w:before="240" w:after="240" w:line="360" w:lineRule="auto"/>
        <w:ind w:right="49"/>
        <w:jc w:val="both"/>
        <w:rPr>
          <w:rFonts w:ascii="Palatino Linotype" w:eastAsia="Palatino Linotype" w:hAnsi="Palatino Linotype" w:cs="Palatino Linotype"/>
        </w:rPr>
      </w:pPr>
      <w:r w:rsidRPr="001B211C">
        <w:rPr>
          <w:rFonts w:ascii="Palatino Linotype" w:eastAsia="Palatino Linotype" w:hAnsi="Palatino Linotype" w:cs="Palatino Linotype"/>
        </w:rPr>
        <w:t xml:space="preserve">Durante la etapa de manifestaciones, </w:t>
      </w:r>
      <w:r w:rsidR="00E40C6A" w:rsidRPr="001B211C">
        <w:rPr>
          <w:rFonts w:ascii="Palatino Linotype" w:eastAsia="Palatino Linotype" w:hAnsi="Palatino Linotype" w:cs="Palatino Linotype"/>
        </w:rPr>
        <w:t xml:space="preserve">el </w:t>
      </w:r>
      <w:r w:rsidR="00E40C6A" w:rsidRPr="001B211C">
        <w:rPr>
          <w:rFonts w:ascii="Palatino Linotype" w:eastAsia="Palatino Linotype" w:hAnsi="Palatino Linotype" w:cs="Palatino Linotype"/>
          <w:b/>
        </w:rPr>
        <w:t>Sujeto Obligado</w:t>
      </w:r>
      <w:r w:rsidR="00BC16F8" w:rsidRPr="001B211C">
        <w:rPr>
          <w:rFonts w:ascii="Palatino Linotype" w:eastAsia="Palatino Linotype" w:hAnsi="Palatino Linotype" w:cs="Palatino Linotype"/>
          <w:b/>
        </w:rPr>
        <w:t xml:space="preserve">, </w:t>
      </w:r>
      <w:r w:rsidR="00BC16F8" w:rsidRPr="001B211C">
        <w:rPr>
          <w:rFonts w:ascii="Palatino Linotype" w:eastAsia="Palatino Linotype" w:hAnsi="Palatino Linotype" w:cs="Palatino Linotype"/>
        </w:rPr>
        <w:t>a través del Departamento de Adquisiciones y la Coordinación de Construcción manifestó que no localizó contrato alguno de alguna compra realizada</w:t>
      </w:r>
      <w:r w:rsidR="001858F8" w:rsidRPr="001B211C">
        <w:rPr>
          <w:rFonts w:ascii="Palatino Linotype" w:eastAsia="Palatino Linotype" w:hAnsi="Palatino Linotype" w:cs="Palatino Linotype"/>
        </w:rPr>
        <w:t>,</w:t>
      </w:r>
      <w:r w:rsidR="00BC16F8" w:rsidRPr="001B211C">
        <w:rPr>
          <w:rFonts w:ascii="Palatino Linotype" w:eastAsia="Palatino Linotype" w:hAnsi="Palatino Linotype" w:cs="Palatino Linotype"/>
        </w:rPr>
        <w:t xml:space="preserve"> para el mantenimiento de los pozos</w:t>
      </w:r>
      <w:r w:rsidR="001858F8" w:rsidRPr="001B211C">
        <w:rPr>
          <w:rFonts w:ascii="Palatino Linotype" w:eastAsia="Palatino Linotype" w:hAnsi="Palatino Linotype" w:cs="Palatino Linotype"/>
        </w:rPr>
        <w:t>,</w:t>
      </w:r>
      <w:r w:rsidR="00BC16F8" w:rsidRPr="001B211C">
        <w:rPr>
          <w:rFonts w:ascii="Palatino Linotype" w:eastAsia="Palatino Linotype" w:hAnsi="Palatino Linotype" w:cs="Palatino Linotype"/>
        </w:rPr>
        <w:t xml:space="preserve"> durante el mes de agosto de 2022</w:t>
      </w:r>
      <w:r w:rsidR="00301E9E" w:rsidRPr="001B211C">
        <w:rPr>
          <w:rFonts w:ascii="Palatino Linotype" w:eastAsia="Palatino Linotype" w:hAnsi="Palatino Linotype" w:cs="Palatino Linotype"/>
        </w:rPr>
        <w:t>, derivado de la búsqueda exhaustiva realizada.</w:t>
      </w:r>
    </w:p>
    <w:p w14:paraId="32938D34" w14:textId="7F87582A" w:rsidR="001A540E" w:rsidRPr="001B211C" w:rsidRDefault="000F017C" w:rsidP="000F017C">
      <w:pPr>
        <w:spacing w:before="240" w:after="240" w:line="360" w:lineRule="auto"/>
        <w:ind w:right="49"/>
        <w:jc w:val="both"/>
        <w:rPr>
          <w:rFonts w:ascii="Palatino Linotype" w:eastAsia="Palatino Linotype" w:hAnsi="Palatino Linotype" w:cs="Palatino Linotype"/>
        </w:rPr>
      </w:pPr>
      <w:r w:rsidRPr="001B211C">
        <w:rPr>
          <w:rFonts w:ascii="Palatino Linotype" w:eastAsia="Palatino Linotype" w:hAnsi="Palatino Linotype" w:cs="Palatino Linotype"/>
        </w:rPr>
        <w:t xml:space="preserve">Al respecto, es oportuno mencionar que de conformidad con el artículo 74 del Reglamento Orgánico Interno del Organismo Público Descentralizado para la </w:t>
      </w:r>
      <w:r w:rsidRPr="001B211C">
        <w:rPr>
          <w:rFonts w:ascii="Palatino Linotype" w:eastAsia="Palatino Linotype" w:hAnsi="Palatino Linotype" w:cs="Palatino Linotype"/>
        </w:rPr>
        <w:lastRenderedPageBreak/>
        <w:t xml:space="preserve">Prestación de los Servicios de Agua Potable, Alcantarillado y Saneamiento del Municipio de Atizapán de Zaragoza, México, conocido como S. A. P. A. S. A., la Subdirección de Administración y Finanzas se integra, entre otras unidades administrativas, por la Coordinación de Administración, que tiene a su cargo </w:t>
      </w:r>
      <w:r w:rsidR="001A540E" w:rsidRPr="001B211C">
        <w:rPr>
          <w:rFonts w:ascii="Palatino Linotype" w:eastAsia="Palatino Linotype" w:hAnsi="Palatino Linotype" w:cs="Palatino Linotype"/>
        </w:rPr>
        <w:t>a</w:t>
      </w:r>
      <w:r w:rsidRPr="001B211C">
        <w:rPr>
          <w:rFonts w:ascii="Palatino Linotype" w:eastAsia="Palatino Linotype" w:hAnsi="Palatino Linotype" w:cs="Palatino Linotype"/>
        </w:rPr>
        <w:t xml:space="preserve">l </w:t>
      </w:r>
      <w:r w:rsidR="001A540E" w:rsidRPr="001B211C">
        <w:rPr>
          <w:rFonts w:ascii="Palatino Linotype" w:eastAsia="Palatino Linotype" w:hAnsi="Palatino Linotype" w:cs="Palatino Linotype"/>
        </w:rPr>
        <w:t xml:space="preserve">Departamento de Adquisiciones, el cual tiene conferidas las siguientes atribuciones en su parte conducente, de conformidad con el artículo 77 del referido Reglamento Orgánico: </w:t>
      </w:r>
    </w:p>
    <w:p w14:paraId="064E4E7A" w14:textId="2E353BFB" w:rsidR="001A540E" w:rsidRPr="001B211C" w:rsidRDefault="001A540E" w:rsidP="001A540E">
      <w:pPr>
        <w:spacing w:before="120" w:after="120"/>
        <w:ind w:left="851" w:right="902"/>
        <w:jc w:val="both"/>
        <w:rPr>
          <w:rFonts w:ascii="Palatino Linotype" w:hAnsi="Palatino Linotype"/>
          <w:i/>
          <w:sz w:val="22"/>
        </w:rPr>
      </w:pPr>
      <w:r w:rsidRPr="001B211C">
        <w:rPr>
          <w:rFonts w:ascii="Palatino Linotype" w:eastAsia="Palatino Linotype" w:hAnsi="Palatino Linotype" w:cs="Palatino Linotype"/>
          <w:i/>
          <w:sz w:val="22"/>
        </w:rPr>
        <w:t>“</w:t>
      </w:r>
      <w:r w:rsidRPr="001B211C">
        <w:rPr>
          <w:rFonts w:ascii="Palatino Linotype" w:hAnsi="Palatino Linotype"/>
          <w:b/>
          <w:i/>
          <w:sz w:val="22"/>
        </w:rPr>
        <w:t>Artículo 77</w:t>
      </w:r>
      <w:r w:rsidRPr="001B211C">
        <w:rPr>
          <w:rFonts w:ascii="Palatino Linotype" w:hAnsi="Palatino Linotype"/>
          <w:i/>
          <w:sz w:val="22"/>
        </w:rPr>
        <w:t>.- El Departamento de Adquisiciones, estará a cargo de un Jefe de Departamento denominado “Jefe del Departamento de Adquisiciones”, quien responderá del desempeño de sus funciones directamente ante el Coordinador de Administración y tendrá las siguientes atribuciones:</w:t>
      </w:r>
    </w:p>
    <w:p w14:paraId="6F09AD16" w14:textId="650FD104" w:rsidR="001A540E" w:rsidRPr="001B211C" w:rsidRDefault="001A540E" w:rsidP="001A540E">
      <w:pPr>
        <w:spacing w:before="120" w:after="120"/>
        <w:ind w:left="1134" w:right="902"/>
        <w:jc w:val="both"/>
        <w:rPr>
          <w:rFonts w:ascii="Palatino Linotype" w:hAnsi="Palatino Linotype"/>
          <w:i/>
          <w:sz w:val="22"/>
        </w:rPr>
      </w:pPr>
      <w:r w:rsidRPr="001B211C">
        <w:rPr>
          <w:rFonts w:ascii="Palatino Linotype" w:hAnsi="Palatino Linotype"/>
          <w:i/>
          <w:sz w:val="22"/>
        </w:rPr>
        <w:t>…</w:t>
      </w:r>
    </w:p>
    <w:p w14:paraId="11417B96" w14:textId="77777777" w:rsidR="001A540E" w:rsidRPr="001B211C" w:rsidRDefault="001A540E" w:rsidP="001A540E">
      <w:pPr>
        <w:spacing w:before="120" w:after="120"/>
        <w:ind w:left="1134" w:right="902"/>
        <w:jc w:val="both"/>
        <w:rPr>
          <w:rFonts w:ascii="Palatino Linotype" w:hAnsi="Palatino Linotype"/>
          <w:i/>
          <w:sz w:val="22"/>
        </w:rPr>
      </w:pPr>
      <w:r w:rsidRPr="001B211C">
        <w:rPr>
          <w:rFonts w:ascii="Palatino Linotype" w:hAnsi="Palatino Linotype"/>
          <w:b/>
          <w:i/>
          <w:sz w:val="22"/>
        </w:rPr>
        <w:t>II.</w:t>
      </w:r>
      <w:r w:rsidRPr="001B211C">
        <w:rPr>
          <w:rFonts w:ascii="Palatino Linotype" w:hAnsi="Palatino Linotype"/>
          <w:i/>
          <w:sz w:val="22"/>
        </w:rPr>
        <w:t xml:space="preserve"> </w:t>
      </w:r>
      <w:r w:rsidRPr="001B211C">
        <w:rPr>
          <w:rFonts w:ascii="Palatino Linotype" w:hAnsi="Palatino Linotype"/>
          <w:b/>
          <w:i/>
          <w:sz w:val="22"/>
        </w:rPr>
        <w:t xml:space="preserve">Realizar los </w:t>
      </w:r>
      <w:r w:rsidRPr="001B211C">
        <w:rPr>
          <w:rFonts w:ascii="Palatino Linotype" w:hAnsi="Palatino Linotype"/>
          <w:b/>
          <w:i/>
          <w:sz w:val="22"/>
          <w:u w:val="single"/>
        </w:rPr>
        <w:t>procedimientos de contratación para la adquisición, arrendamiento, y/o servicios</w:t>
      </w:r>
      <w:r w:rsidRPr="001B211C">
        <w:rPr>
          <w:rFonts w:ascii="Palatino Linotype" w:hAnsi="Palatino Linotype"/>
          <w:b/>
          <w:i/>
          <w:sz w:val="22"/>
        </w:rPr>
        <w:t xml:space="preserve"> requeridos por las unidades administrativas</w:t>
      </w:r>
      <w:r w:rsidRPr="001B211C">
        <w:rPr>
          <w:rFonts w:ascii="Palatino Linotype" w:hAnsi="Palatino Linotype"/>
          <w:i/>
          <w:sz w:val="22"/>
        </w:rPr>
        <w:t xml:space="preserve"> del Organismo de conformidad con la legislación aplicable; </w:t>
      </w:r>
    </w:p>
    <w:p w14:paraId="59C0292E" w14:textId="77777777" w:rsidR="001A540E" w:rsidRPr="001B211C" w:rsidRDefault="001A540E" w:rsidP="001A540E">
      <w:pPr>
        <w:spacing w:before="120" w:after="120"/>
        <w:ind w:left="1134" w:right="902"/>
        <w:jc w:val="both"/>
        <w:rPr>
          <w:rFonts w:ascii="Palatino Linotype" w:hAnsi="Palatino Linotype"/>
          <w:i/>
          <w:sz w:val="22"/>
        </w:rPr>
      </w:pPr>
      <w:r w:rsidRPr="001B211C">
        <w:rPr>
          <w:rFonts w:ascii="Palatino Linotype" w:hAnsi="Palatino Linotype"/>
          <w:b/>
          <w:i/>
          <w:sz w:val="22"/>
        </w:rPr>
        <w:t>III</w:t>
      </w:r>
      <w:r w:rsidRPr="001B211C">
        <w:rPr>
          <w:rFonts w:ascii="Palatino Linotype" w:hAnsi="Palatino Linotype"/>
          <w:i/>
          <w:sz w:val="22"/>
        </w:rPr>
        <w:t xml:space="preserve">. Recibir, controlar y tramitar las requisiciones de bienes y servicios de las unidades administrativas del Organismo; </w:t>
      </w:r>
    </w:p>
    <w:p w14:paraId="4B4ADA1C" w14:textId="3BF8A337" w:rsidR="001A540E" w:rsidRPr="001B211C" w:rsidRDefault="001A540E" w:rsidP="001A540E">
      <w:pPr>
        <w:spacing w:before="120" w:after="120"/>
        <w:ind w:left="1134" w:right="902"/>
        <w:jc w:val="both"/>
        <w:rPr>
          <w:rFonts w:ascii="Palatino Linotype" w:hAnsi="Palatino Linotype"/>
          <w:i/>
          <w:sz w:val="22"/>
        </w:rPr>
      </w:pPr>
      <w:r w:rsidRPr="001B211C">
        <w:rPr>
          <w:rFonts w:ascii="Palatino Linotype" w:hAnsi="Palatino Linotype"/>
          <w:b/>
          <w:i/>
          <w:sz w:val="22"/>
        </w:rPr>
        <w:t>IV</w:t>
      </w:r>
      <w:r w:rsidRPr="001B211C">
        <w:rPr>
          <w:rFonts w:ascii="Palatino Linotype" w:hAnsi="Palatino Linotype"/>
          <w:i/>
          <w:sz w:val="22"/>
        </w:rPr>
        <w:t>. Coordinar con el Departamento de Presupuestos, la obtención de la suficiencia presupuestal requerida para proceder a la adjudicación y adquisición, según la normatividad establecida;</w:t>
      </w:r>
    </w:p>
    <w:p w14:paraId="53C3A302" w14:textId="361901FF" w:rsidR="001A540E" w:rsidRPr="001B211C" w:rsidRDefault="001A540E" w:rsidP="001A540E">
      <w:pPr>
        <w:spacing w:before="120" w:after="120"/>
        <w:ind w:left="1134" w:right="902"/>
        <w:jc w:val="both"/>
        <w:rPr>
          <w:rFonts w:ascii="Palatino Linotype" w:hAnsi="Palatino Linotype"/>
          <w:i/>
          <w:sz w:val="22"/>
        </w:rPr>
      </w:pPr>
      <w:r w:rsidRPr="001B211C">
        <w:rPr>
          <w:rFonts w:ascii="Palatino Linotype" w:hAnsi="Palatino Linotype"/>
          <w:b/>
          <w:i/>
          <w:sz w:val="22"/>
        </w:rPr>
        <w:t>V</w:t>
      </w:r>
      <w:r w:rsidRPr="001B211C">
        <w:rPr>
          <w:rFonts w:ascii="Palatino Linotype" w:hAnsi="Palatino Linotype"/>
          <w:i/>
          <w:sz w:val="22"/>
        </w:rPr>
        <w:t>. Entregar al Departamento de Almacenes la documentación soporte de los bienes que han sido adquiridos y que deberán ser entregados en los almacenes;”</w:t>
      </w:r>
    </w:p>
    <w:p w14:paraId="4C9A3A83" w14:textId="77777777" w:rsidR="001A540E" w:rsidRPr="001B211C" w:rsidRDefault="001A540E" w:rsidP="000F017C">
      <w:pPr>
        <w:spacing w:before="240" w:after="240" w:line="360" w:lineRule="auto"/>
        <w:ind w:right="49"/>
        <w:jc w:val="both"/>
      </w:pPr>
    </w:p>
    <w:p w14:paraId="2AD27CB1" w14:textId="77777777" w:rsidR="001A540E" w:rsidRPr="001B211C" w:rsidRDefault="001A540E" w:rsidP="000F017C">
      <w:pPr>
        <w:spacing w:before="240" w:after="240" w:line="360" w:lineRule="auto"/>
        <w:ind w:right="49"/>
        <w:jc w:val="both"/>
        <w:rPr>
          <w:rFonts w:ascii="Palatino Linotype" w:eastAsia="Palatino Linotype" w:hAnsi="Palatino Linotype" w:cs="Palatino Linotype"/>
        </w:rPr>
      </w:pPr>
    </w:p>
    <w:p w14:paraId="2D47DF42" w14:textId="1A03481D" w:rsidR="001A540E" w:rsidRPr="001B211C" w:rsidRDefault="004C0E3A" w:rsidP="000F017C">
      <w:pPr>
        <w:spacing w:before="240" w:after="240" w:line="360" w:lineRule="auto"/>
        <w:ind w:right="49"/>
        <w:jc w:val="both"/>
        <w:rPr>
          <w:rFonts w:ascii="Palatino Linotype" w:eastAsia="Palatino Linotype" w:hAnsi="Palatino Linotype" w:cs="Palatino Linotype"/>
        </w:rPr>
      </w:pPr>
      <w:r w:rsidRPr="001B211C">
        <w:rPr>
          <w:rFonts w:ascii="Palatino Linotype" w:eastAsia="Palatino Linotype" w:hAnsi="Palatino Linotype" w:cs="Palatino Linotype"/>
        </w:rPr>
        <w:lastRenderedPageBreak/>
        <w:t>Por otro lado, de conformidad con el artículo 100 del Reglamento Orgánico, la Subdirección de Operación Hidráulica, se auxilia de la Coordinación de Construcción, unidad administrativa que tiene a su cargo las siguientes atribuciones en su parte conducente:</w:t>
      </w:r>
    </w:p>
    <w:p w14:paraId="0AF236C9" w14:textId="7925F6B2" w:rsidR="004C0E3A" w:rsidRPr="001B211C" w:rsidRDefault="004C0E3A" w:rsidP="0018704D">
      <w:pPr>
        <w:spacing w:before="120" w:after="120"/>
        <w:ind w:left="851" w:right="902"/>
        <w:jc w:val="both"/>
        <w:rPr>
          <w:rFonts w:ascii="Palatino Linotype" w:hAnsi="Palatino Linotype"/>
          <w:i/>
          <w:sz w:val="22"/>
        </w:rPr>
      </w:pPr>
      <w:r w:rsidRPr="001B211C">
        <w:rPr>
          <w:rFonts w:ascii="Palatino Linotype" w:eastAsia="Palatino Linotype" w:hAnsi="Palatino Linotype" w:cs="Palatino Linotype"/>
          <w:i/>
          <w:sz w:val="22"/>
        </w:rPr>
        <w:t>“</w:t>
      </w:r>
      <w:r w:rsidRPr="001B211C">
        <w:rPr>
          <w:rFonts w:ascii="Palatino Linotype" w:hAnsi="Palatino Linotype"/>
          <w:b/>
          <w:i/>
          <w:sz w:val="22"/>
        </w:rPr>
        <w:t>Artículo 103.</w:t>
      </w:r>
      <w:r w:rsidRPr="001B211C">
        <w:rPr>
          <w:rFonts w:ascii="Palatino Linotype" w:hAnsi="Palatino Linotype"/>
          <w:i/>
          <w:sz w:val="22"/>
        </w:rPr>
        <w:t>- La Coordinación de Construcción, estará a cargo de un Coordinador denominado “Coordinador de Construcción”, quien responderá del desempeño de sus funciones directamente ante el Subdirector de Operación Hidráulica, y tendrá las siguientes atribuciones:</w:t>
      </w:r>
    </w:p>
    <w:p w14:paraId="5FD13868" w14:textId="77777777" w:rsidR="004C0E3A" w:rsidRPr="001B211C" w:rsidRDefault="004C0E3A" w:rsidP="0018704D">
      <w:pPr>
        <w:spacing w:before="120" w:after="120"/>
        <w:ind w:left="1134" w:right="902"/>
        <w:jc w:val="both"/>
        <w:rPr>
          <w:rFonts w:ascii="Palatino Linotype" w:hAnsi="Palatino Linotype"/>
          <w:i/>
          <w:sz w:val="22"/>
        </w:rPr>
      </w:pPr>
      <w:r w:rsidRPr="001B211C">
        <w:rPr>
          <w:rFonts w:ascii="Palatino Linotype" w:hAnsi="Palatino Linotype"/>
          <w:b/>
          <w:i/>
          <w:sz w:val="22"/>
        </w:rPr>
        <w:t>I</w:t>
      </w:r>
      <w:r w:rsidRPr="001B211C">
        <w:rPr>
          <w:rFonts w:ascii="Palatino Linotype" w:hAnsi="Palatino Linotype"/>
          <w:i/>
          <w:sz w:val="22"/>
        </w:rPr>
        <w:t xml:space="preserve">. Integrar y turnar a la unidad competente la documentación necesaria derivada del desarrollo de los proyectos ejecutados a través de obra por administración que permitan conocer el avance físico y financiero de los mismos; </w:t>
      </w:r>
    </w:p>
    <w:p w14:paraId="1B22767A" w14:textId="77777777" w:rsidR="004C0E3A" w:rsidRPr="001B211C" w:rsidRDefault="004C0E3A" w:rsidP="0018704D">
      <w:pPr>
        <w:spacing w:before="120" w:after="120"/>
        <w:ind w:left="1134" w:right="902"/>
        <w:jc w:val="both"/>
        <w:rPr>
          <w:rFonts w:ascii="Palatino Linotype" w:hAnsi="Palatino Linotype"/>
          <w:i/>
          <w:sz w:val="22"/>
        </w:rPr>
      </w:pPr>
      <w:r w:rsidRPr="001B211C">
        <w:rPr>
          <w:rFonts w:ascii="Palatino Linotype" w:hAnsi="Palatino Linotype"/>
          <w:b/>
          <w:i/>
          <w:sz w:val="22"/>
        </w:rPr>
        <w:t xml:space="preserve">II. </w:t>
      </w:r>
      <w:r w:rsidRPr="001B211C">
        <w:rPr>
          <w:rFonts w:ascii="Palatino Linotype" w:hAnsi="Palatino Linotype"/>
          <w:i/>
          <w:sz w:val="22"/>
        </w:rPr>
        <w:t xml:space="preserve">Verificar que el material solicitado en el proceso de construcción de las obras, corresponda a las normas de calidad establecidas en los programas y contratos de construcción respectivos; </w:t>
      </w:r>
    </w:p>
    <w:p w14:paraId="40761043" w14:textId="1427E2A4" w:rsidR="004C0E3A" w:rsidRPr="001B211C" w:rsidRDefault="004C0E3A" w:rsidP="0018704D">
      <w:pPr>
        <w:spacing w:before="120" w:after="120"/>
        <w:ind w:left="1134" w:right="902"/>
        <w:jc w:val="both"/>
        <w:rPr>
          <w:rFonts w:ascii="Palatino Linotype" w:hAnsi="Palatino Linotype"/>
          <w:i/>
          <w:sz w:val="22"/>
        </w:rPr>
      </w:pPr>
      <w:r w:rsidRPr="001B211C">
        <w:rPr>
          <w:rFonts w:ascii="Palatino Linotype" w:hAnsi="Palatino Linotype"/>
          <w:b/>
          <w:i/>
          <w:sz w:val="22"/>
        </w:rPr>
        <w:t>III.</w:t>
      </w:r>
      <w:r w:rsidRPr="001B211C">
        <w:rPr>
          <w:rFonts w:ascii="Palatino Linotype" w:hAnsi="Palatino Linotype"/>
          <w:i/>
          <w:sz w:val="22"/>
        </w:rPr>
        <w:t xml:space="preserve"> Programar y ejecutar a través de las contratistas la construcción, ampliación y adecuación de las redes de drenaje pluvial, sanitario, redes de agua potable e inmuebles del organismo;</w:t>
      </w:r>
    </w:p>
    <w:p w14:paraId="15DCD530" w14:textId="2091D2AB" w:rsidR="0018704D" w:rsidRPr="001B211C" w:rsidRDefault="0018704D" w:rsidP="0018704D">
      <w:pPr>
        <w:spacing w:before="120" w:after="120"/>
        <w:ind w:left="1134" w:right="902"/>
        <w:jc w:val="both"/>
        <w:rPr>
          <w:rFonts w:ascii="Palatino Linotype" w:hAnsi="Palatino Linotype"/>
          <w:i/>
          <w:sz w:val="22"/>
        </w:rPr>
      </w:pPr>
      <w:r w:rsidRPr="001B211C">
        <w:rPr>
          <w:rFonts w:ascii="Palatino Linotype" w:hAnsi="Palatino Linotype"/>
          <w:i/>
          <w:sz w:val="22"/>
        </w:rPr>
        <w:t>…</w:t>
      </w:r>
    </w:p>
    <w:p w14:paraId="0F524254" w14:textId="20893637" w:rsidR="0018704D" w:rsidRPr="001B211C" w:rsidRDefault="0018704D" w:rsidP="0018704D">
      <w:pPr>
        <w:spacing w:before="120" w:after="120"/>
        <w:ind w:left="1134" w:right="902"/>
        <w:jc w:val="both"/>
        <w:rPr>
          <w:rFonts w:ascii="Palatino Linotype" w:hAnsi="Palatino Linotype"/>
          <w:i/>
          <w:sz w:val="22"/>
        </w:rPr>
      </w:pPr>
      <w:r w:rsidRPr="001B211C">
        <w:rPr>
          <w:rFonts w:ascii="Palatino Linotype" w:hAnsi="Palatino Linotype"/>
          <w:b/>
          <w:i/>
          <w:sz w:val="22"/>
        </w:rPr>
        <w:t>XI</w:t>
      </w:r>
      <w:r w:rsidRPr="001B211C">
        <w:rPr>
          <w:rFonts w:ascii="Palatino Linotype" w:hAnsi="Palatino Linotype"/>
          <w:i/>
          <w:sz w:val="22"/>
        </w:rPr>
        <w:t>. Generar, integrar, custodiar y verificar el expediente completo de contratación que deberá contener, proyecto de obra, mapas, planos, dictamen técnico, la investigación del mercado, garantías de cumplimiento y/o defectos y vicios ocultos, según aplique en el expediente único de obra;</w:t>
      </w:r>
    </w:p>
    <w:p w14:paraId="4AF19E11" w14:textId="00C2A715" w:rsidR="0018704D" w:rsidRPr="001B211C" w:rsidRDefault="0018704D" w:rsidP="0018704D">
      <w:pPr>
        <w:spacing w:before="120" w:after="120"/>
        <w:ind w:left="1134" w:right="902"/>
        <w:jc w:val="both"/>
        <w:rPr>
          <w:rFonts w:ascii="Palatino Linotype" w:hAnsi="Palatino Linotype"/>
          <w:i/>
          <w:sz w:val="22"/>
        </w:rPr>
      </w:pPr>
      <w:r w:rsidRPr="001B211C">
        <w:rPr>
          <w:rFonts w:ascii="Palatino Linotype" w:hAnsi="Palatino Linotype"/>
          <w:i/>
          <w:sz w:val="22"/>
        </w:rPr>
        <w:t>…</w:t>
      </w:r>
    </w:p>
    <w:p w14:paraId="469078CA" w14:textId="5ABD12F2" w:rsidR="0018704D" w:rsidRPr="001B211C" w:rsidRDefault="0018704D" w:rsidP="0018704D">
      <w:pPr>
        <w:spacing w:before="120" w:after="120"/>
        <w:ind w:left="1134" w:right="902"/>
        <w:jc w:val="both"/>
        <w:rPr>
          <w:rFonts w:ascii="Palatino Linotype" w:hAnsi="Palatino Linotype"/>
          <w:i/>
          <w:sz w:val="22"/>
        </w:rPr>
      </w:pPr>
      <w:r w:rsidRPr="001B211C">
        <w:rPr>
          <w:rFonts w:ascii="Palatino Linotype" w:hAnsi="Palatino Linotype"/>
          <w:b/>
          <w:i/>
          <w:sz w:val="22"/>
        </w:rPr>
        <w:t>XIV</w:t>
      </w:r>
      <w:r w:rsidRPr="001B211C">
        <w:rPr>
          <w:rFonts w:ascii="Palatino Linotype" w:hAnsi="Palatino Linotype"/>
          <w:i/>
          <w:sz w:val="22"/>
        </w:rPr>
        <w:t>. Reparar, mantener y construir cajas de válvulas de la red general de agua potable;”</w:t>
      </w:r>
    </w:p>
    <w:p w14:paraId="3CBEADC0" w14:textId="40E90FD8" w:rsidR="0018704D" w:rsidRPr="001B211C" w:rsidRDefault="0018704D" w:rsidP="0018704D">
      <w:pPr>
        <w:spacing w:before="240" w:after="240" w:line="360" w:lineRule="auto"/>
        <w:ind w:right="49"/>
        <w:jc w:val="both"/>
        <w:rPr>
          <w:rFonts w:ascii="Palatino Linotype" w:hAnsi="Palatino Linotype"/>
        </w:rPr>
      </w:pPr>
      <w:r w:rsidRPr="001B211C">
        <w:rPr>
          <w:rFonts w:ascii="Palatino Linotype" w:eastAsia="Palatino Linotype" w:hAnsi="Palatino Linotype" w:cs="Palatino Linotype"/>
        </w:rPr>
        <w:lastRenderedPageBreak/>
        <w:t>Con base en las atribuciones citadas se colige que el Departamento de Adquisiciones y la Coordinación de Construcción cuentan con competencia para generar, administrar y/o poseer la información que es del interés de la persona solicitante, toda vez que el Departamento de Adquisiciones tiene a su cargo la sustanciación de los procedimientos de contratación para la adquisición y/o arrendamiento de bienes o servicios que requieran las unidades administrativas, mientras que la Coordinación de Construcción se encarga de p</w:t>
      </w:r>
      <w:r w:rsidRPr="001B211C">
        <w:rPr>
          <w:rFonts w:ascii="Palatino Linotype" w:hAnsi="Palatino Linotype"/>
        </w:rPr>
        <w:t>rogramar y ejecutar a través de las contratistas la construcción, ampliación y adecuación de las redes de drenaje pluvial, sanitario, redes de agua potable e inmuebles del Organismo.</w:t>
      </w:r>
    </w:p>
    <w:p w14:paraId="006F3B43" w14:textId="77777777" w:rsidR="00EE0B3C" w:rsidRPr="001B211C" w:rsidRDefault="0018704D" w:rsidP="0018704D">
      <w:pPr>
        <w:spacing w:before="240" w:after="240" w:line="360" w:lineRule="auto"/>
        <w:ind w:right="49"/>
        <w:jc w:val="both"/>
        <w:rPr>
          <w:rFonts w:ascii="Palatino Linotype" w:hAnsi="Palatino Linotype"/>
        </w:rPr>
      </w:pPr>
      <w:r w:rsidRPr="001B211C">
        <w:rPr>
          <w:rFonts w:ascii="Palatino Linotype" w:hAnsi="Palatino Linotype"/>
        </w:rPr>
        <w:t xml:space="preserve">En este tenor, </w:t>
      </w:r>
      <w:r w:rsidR="00A8507F" w:rsidRPr="001B211C">
        <w:rPr>
          <w:rFonts w:ascii="Palatino Linotype" w:hAnsi="Palatino Linotype"/>
        </w:rPr>
        <w:t xml:space="preserve">si bien </w:t>
      </w:r>
      <w:r w:rsidR="00EE0B3C" w:rsidRPr="001B211C">
        <w:rPr>
          <w:rFonts w:ascii="Palatino Linotype" w:hAnsi="Palatino Linotype"/>
        </w:rPr>
        <w:t xml:space="preserve">el </w:t>
      </w:r>
      <w:r w:rsidR="00EE0B3C" w:rsidRPr="001B211C">
        <w:rPr>
          <w:rFonts w:ascii="Palatino Linotype" w:hAnsi="Palatino Linotype"/>
          <w:b/>
        </w:rPr>
        <w:t xml:space="preserve"> Sujeto Obligado </w:t>
      </w:r>
      <w:r w:rsidR="00A8507F" w:rsidRPr="001B211C">
        <w:rPr>
          <w:rFonts w:ascii="Palatino Linotype" w:hAnsi="Palatino Linotype"/>
        </w:rPr>
        <w:t xml:space="preserve">tiene la facultad para celebrar contratos, no es obligatorio que </w:t>
      </w:r>
      <w:r w:rsidR="00EE0B3C" w:rsidRPr="001B211C">
        <w:rPr>
          <w:rFonts w:ascii="Palatino Linotype" w:hAnsi="Palatino Linotype"/>
        </w:rPr>
        <w:t xml:space="preserve">estos se lleven </w:t>
      </w:r>
      <w:r w:rsidR="00A8507F" w:rsidRPr="001B211C">
        <w:rPr>
          <w:rFonts w:ascii="Palatino Linotype" w:hAnsi="Palatino Linotype"/>
        </w:rPr>
        <w:t>a cabo en un periodo determinado o para un</w:t>
      </w:r>
      <w:r w:rsidR="00EE0B3C" w:rsidRPr="001B211C">
        <w:rPr>
          <w:rFonts w:ascii="Palatino Linotype" w:hAnsi="Palatino Linotype"/>
        </w:rPr>
        <w:t xml:space="preserve"> objeto específico, </w:t>
      </w:r>
      <w:r w:rsidR="00A8507F" w:rsidRPr="001B211C">
        <w:rPr>
          <w:rFonts w:ascii="Palatino Linotype" w:hAnsi="Palatino Linotype"/>
        </w:rPr>
        <w:t xml:space="preserve">como </w:t>
      </w:r>
      <w:r w:rsidR="00EE0B3C" w:rsidRPr="001B211C">
        <w:rPr>
          <w:rFonts w:ascii="Palatino Linotype" w:hAnsi="Palatino Linotype"/>
        </w:rPr>
        <w:t>e</w:t>
      </w:r>
      <w:r w:rsidR="00A8507F" w:rsidRPr="001B211C">
        <w:rPr>
          <w:rFonts w:ascii="Palatino Linotype" w:hAnsi="Palatino Linotype"/>
        </w:rPr>
        <w:t>l</w:t>
      </w:r>
      <w:r w:rsidR="00EE0B3C" w:rsidRPr="001B211C">
        <w:rPr>
          <w:rFonts w:ascii="Palatino Linotype" w:hAnsi="Palatino Linotype"/>
        </w:rPr>
        <w:t xml:space="preserve"> indicado</w:t>
      </w:r>
      <w:r w:rsidR="00A8507F" w:rsidRPr="001B211C">
        <w:rPr>
          <w:rFonts w:ascii="Palatino Linotype" w:hAnsi="Palatino Linotype"/>
        </w:rPr>
        <w:t xml:space="preserve"> por</w:t>
      </w:r>
      <w:r w:rsidR="00EE0B3C" w:rsidRPr="001B211C">
        <w:rPr>
          <w:rFonts w:ascii="Palatino Linotype" w:hAnsi="Palatino Linotype"/>
        </w:rPr>
        <w:t xml:space="preserve"> la persona solicitante.</w:t>
      </w:r>
    </w:p>
    <w:p w14:paraId="58A71414" w14:textId="01086ED9" w:rsidR="000F017C" w:rsidRPr="001B211C" w:rsidRDefault="00EE0B3C" w:rsidP="0018704D">
      <w:pPr>
        <w:spacing w:before="240" w:after="240" w:line="360" w:lineRule="auto"/>
        <w:ind w:right="49"/>
        <w:jc w:val="both"/>
        <w:rPr>
          <w:rFonts w:ascii="Palatino Linotype" w:eastAsia="Palatino Linotype" w:hAnsi="Palatino Linotype" w:cs="Palatino Linotype"/>
        </w:rPr>
      </w:pPr>
      <w:r w:rsidRPr="001B211C">
        <w:rPr>
          <w:rFonts w:ascii="Palatino Linotype" w:hAnsi="Palatino Linotype"/>
        </w:rPr>
        <w:t xml:space="preserve">Atento a lo anterior, </w:t>
      </w:r>
      <w:r w:rsidR="0018704D" w:rsidRPr="001B211C">
        <w:rPr>
          <w:rFonts w:ascii="Palatino Linotype" w:hAnsi="Palatino Linotype"/>
        </w:rPr>
        <w:t>se precisa que lo manifes</w:t>
      </w:r>
      <w:r w:rsidRPr="001B211C">
        <w:rPr>
          <w:rFonts w:ascii="Palatino Linotype" w:hAnsi="Palatino Linotype"/>
        </w:rPr>
        <w:t xml:space="preserve">tado por los servidores públicos </w:t>
      </w:r>
      <w:r w:rsidR="0018704D" w:rsidRPr="001B211C">
        <w:rPr>
          <w:rFonts w:ascii="Palatino Linotype" w:hAnsi="Palatino Linotype"/>
        </w:rPr>
        <w:t xml:space="preserve">habitados competentes </w:t>
      </w:r>
      <w:r w:rsidR="000F017C" w:rsidRPr="001B211C">
        <w:rPr>
          <w:rFonts w:ascii="Palatino Linotype" w:eastAsia="Palatino Linotype" w:hAnsi="Palatino Linotype" w:cs="Palatino Linotype"/>
        </w:rPr>
        <w:t>se constituye en una expresión en sentido negativo, esto es, niega</w:t>
      </w:r>
      <w:r w:rsidR="0018704D" w:rsidRPr="001B211C">
        <w:rPr>
          <w:rFonts w:ascii="Palatino Linotype" w:eastAsia="Palatino Linotype" w:hAnsi="Palatino Linotype" w:cs="Palatino Linotype"/>
        </w:rPr>
        <w:t>n</w:t>
      </w:r>
      <w:r w:rsidR="000F017C" w:rsidRPr="001B211C">
        <w:rPr>
          <w:rFonts w:ascii="Palatino Linotype" w:eastAsia="Palatino Linotype" w:hAnsi="Palatino Linotype" w:cs="Palatino Linotype"/>
        </w:rPr>
        <w:t xml:space="preserve"> la existencia de información alguna </w:t>
      </w:r>
      <w:r w:rsidR="0018704D" w:rsidRPr="001B211C">
        <w:rPr>
          <w:rFonts w:ascii="Palatino Linotype" w:eastAsia="Palatino Linotype" w:hAnsi="Palatino Linotype" w:cs="Palatino Linotype"/>
        </w:rPr>
        <w:t xml:space="preserve">relacionada con la contratación para la adquisición de bienes para el mantenimiento de pozos durante el mes de agosto de </w:t>
      </w:r>
      <w:r w:rsidR="001858F8" w:rsidRPr="001B211C">
        <w:rPr>
          <w:rFonts w:ascii="Palatino Linotype" w:eastAsia="Palatino Linotype" w:hAnsi="Palatino Linotype" w:cs="Palatino Linotype"/>
        </w:rPr>
        <w:t>2022, al</w:t>
      </w:r>
      <w:r w:rsidR="000F017C" w:rsidRPr="001B211C">
        <w:rPr>
          <w:rFonts w:ascii="Palatino Linotype" w:eastAsia="Palatino Linotype" w:hAnsi="Palatino Linotype" w:cs="Palatino Linotype"/>
        </w:rPr>
        <w:t xml:space="preserve"> no haberse generado.</w:t>
      </w:r>
    </w:p>
    <w:p w14:paraId="1CBA311D" w14:textId="3466A266" w:rsidR="000F017C" w:rsidRPr="001B211C" w:rsidRDefault="000F017C" w:rsidP="000F017C">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1B211C">
        <w:rPr>
          <w:rFonts w:ascii="Palatino Linotype" w:eastAsia="Palatino Linotype" w:hAnsi="Palatino Linotype" w:cs="Palatino Linotype"/>
        </w:rPr>
        <w:t xml:space="preserve">Así, al considerarse como hecho negativo, resulta obvio que el </w:t>
      </w:r>
      <w:r w:rsidRPr="001B211C">
        <w:rPr>
          <w:rFonts w:ascii="Palatino Linotype" w:eastAsia="Palatino Linotype" w:hAnsi="Palatino Linotype" w:cs="Palatino Linotype"/>
          <w:b/>
        </w:rPr>
        <w:t>Sujeto Obligado</w:t>
      </w:r>
      <w:r w:rsidRPr="001B211C">
        <w:rPr>
          <w:rFonts w:ascii="Palatino Linotype" w:eastAsia="Palatino Linotype" w:hAnsi="Palatino Linotype" w:cs="Palatino Linotype"/>
        </w:rPr>
        <w:t xml:space="preserve"> no puede tener en sus archivos información que satisfaga esta parte del requerimiento </w:t>
      </w:r>
      <w:r w:rsidRPr="001B211C">
        <w:rPr>
          <w:rFonts w:ascii="Palatino Linotype" w:eastAsia="Palatino Linotype" w:hAnsi="Palatino Linotype" w:cs="Palatino Linotype"/>
        </w:rPr>
        <w:lastRenderedPageBreak/>
        <w:t xml:space="preserve">de información, ya que no puede probarse por ser lógica y materialmente imposible, ello aunado a que </w:t>
      </w:r>
      <w:r w:rsidR="001858F8" w:rsidRPr="001B211C">
        <w:rPr>
          <w:rFonts w:ascii="Palatino Linotype" w:eastAsia="Palatino Linotype" w:hAnsi="Palatino Linotype" w:cs="Palatino Linotype"/>
        </w:rPr>
        <w:t>no es obligatorio que la información se haya</w:t>
      </w:r>
      <w:r w:rsidRPr="001B211C">
        <w:rPr>
          <w:rFonts w:ascii="Palatino Linotype" w:eastAsia="Palatino Linotype" w:hAnsi="Palatino Linotype" w:cs="Palatino Linotype"/>
        </w:rPr>
        <w:t xml:space="preserve"> generado durante el periodo al que se hace alusión, sirve de sustento la siguiente Tesis</w:t>
      </w:r>
      <w:r w:rsidRPr="001B211C">
        <w:rPr>
          <w:rFonts w:ascii="Palatino Linotype" w:eastAsia="Palatino Linotype" w:hAnsi="Palatino Linotype" w:cs="Palatino Linotype"/>
          <w:vertAlign w:val="superscript"/>
        </w:rPr>
        <w:footnoteReference w:id="1"/>
      </w:r>
      <w:r w:rsidRPr="001B211C">
        <w:rPr>
          <w:rFonts w:ascii="Palatino Linotype" w:eastAsia="Palatino Linotype" w:hAnsi="Palatino Linotype" w:cs="Palatino Linotype"/>
        </w:rPr>
        <w:t xml:space="preserve"> emitida por la Segunda Sala de la Suprema Corte de la Nación, que es del tenor literal siguiente:</w:t>
      </w:r>
    </w:p>
    <w:p w14:paraId="2DFAE3F4" w14:textId="77777777" w:rsidR="000F017C" w:rsidRPr="001B211C" w:rsidRDefault="000F017C" w:rsidP="000F017C">
      <w:pPr>
        <w:pBdr>
          <w:top w:val="nil"/>
          <w:left w:val="nil"/>
          <w:bottom w:val="nil"/>
          <w:right w:val="nil"/>
          <w:between w:val="nil"/>
        </w:pBdr>
        <w:spacing w:before="120" w:after="120"/>
        <w:ind w:left="851" w:right="900"/>
        <w:jc w:val="both"/>
      </w:pPr>
      <w:r w:rsidRPr="001B211C">
        <w:rPr>
          <w:rFonts w:ascii="Palatino Linotype" w:eastAsia="Palatino Linotype" w:hAnsi="Palatino Linotype" w:cs="Palatino Linotype"/>
          <w:b/>
          <w:i/>
          <w:sz w:val="22"/>
          <w:szCs w:val="22"/>
        </w:rPr>
        <w:t xml:space="preserve">“HECHOS NEGATIVOS, NO SON SUSCEPTIBLES DE DEMOSTRACIÓN. </w:t>
      </w:r>
      <w:r w:rsidRPr="001B211C">
        <w:rPr>
          <w:rFonts w:ascii="Palatino Linotype" w:eastAsia="Palatino Linotype" w:hAnsi="Palatino Linotype" w:cs="Palatino Linotype"/>
          <w:i/>
          <w:sz w:val="22"/>
          <w:szCs w:val="22"/>
        </w:rPr>
        <w:t>Tratándose de un hecho negativo, el Juez no tiene por que invocar prueba alguna de la que se desprenda, ya que es bien sabido que esta clase de hechos no son susceptibles de demostración.”</w:t>
      </w:r>
    </w:p>
    <w:p w14:paraId="0D07C6E2" w14:textId="77777777" w:rsidR="000F017C" w:rsidRPr="001B211C" w:rsidRDefault="000F017C" w:rsidP="000F017C">
      <w:pPr>
        <w:spacing w:before="240" w:after="240" w:line="360" w:lineRule="auto"/>
        <w:jc w:val="both"/>
        <w:rPr>
          <w:rFonts w:ascii="Palatino Linotype" w:eastAsia="Palatino Linotype" w:hAnsi="Palatino Linotype" w:cs="Palatino Linotype"/>
          <w:i/>
          <w:sz w:val="22"/>
          <w:szCs w:val="22"/>
        </w:rPr>
      </w:pPr>
      <w:r w:rsidRPr="001B211C">
        <w:rPr>
          <w:rFonts w:ascii="Palatino Linotype" w:eastAsia="Palatino Linotype" w:hAnsi="Palatino Linotype" w:cs="Palatino Linotype"/>
        </w:rPr>
        <w:t xml:space="preserve">En consecuencia, no es procedente la entrega de documento alguno, o en su caso, el Acuerdo de Inexistencia, toda vez que el pronunciamiento del </w:t>
      </w:r>
      <w:r w:rsidRPr="001B211C">
        <w:rPr>
          <w:rFonts w:ascii="Palatino Linotype" w:eastAsia="Palatino Linotype" w:hAnsi="Palatino Linotype" w:cs="Palatino Linotype"/>
          <w:b/>
        </w:rPr>
        <w:t>Sujeto Obligado</w:t>
      </w:r>
      <w:r w:rsidRPr="001B211C">
        <w:rPr>
          <w:rFonts w:ascii="Palatino Linotype" w:eastAsia="Palatino Linotype" w:hAnsi="Palatino Linotype" w:cs="Palatino Linotype"/>
        </w:rPr>
        <w:t xml:space="preserve"> declara en automática la inexistencia de la información solicitada de modo que no existe obligación de justificar o allegar pruebas, y por ende no tiene aplicación lo estatuido en el artículo 49 fracción XIII de la Ley de la Materia.</w:t>
      </w:r>
    </w:p>
    <w:p w14:paraId="7E658B43" w14:textId="77777777" w:rsidR="000F017C" w:rsidRPr="001B211C" w:rsidRDefault="000F017C" w:rsidP="000F017C">
      <w:pPr>
        <w:spacing w:before="240" w:after="360" w:line="360" w:lineRule="auto"/>
        <w:ind w:right="18"/>
        <w:jc w:val="both"/>
        <w:rPr>
          <w:rFonts w:ascii="Palatino Linotype" w:eastAsia="Palatino Linotype" w:hAnsi="Palatino Linotype" w:cs="Palatino Linotype"/>
        </w:rPr>
      </w:pPr>
      <w:r w:rsidRPr="001B211C">
        <w:rPr>
          <w:rFonts w:ascii="Palatino Linotype" w:eastAsia="Palatino Linotype" w:hAnsi="Palatino Linotype" w:cs="Palatino Linotype"/>
        </w:rPr>
        <w:t xml:space="preserve">De tal manera que basta con la aseveración por parte del </w:t>
      </w:r>
      <w:r w:rsidRPr="001B211C">
        <w:rPr>
          <w:rFonts w:ascii="Palatino Linotype" w:eastAsia="Palatino Linotype" w:hAnsi="Palatino Linotype" w:cs="Palatino Linotype"/>
          <w:b/>
        </w:rPr>
        <w:t>Sujeto Obligado</w:t>
      </w:r>
      <w:r w:rsidRPr="001B211C">
        <w:rPr>
          <w:rFonts w:ascii="Palatino Linotype" w:eastAsia="Palatino Linotype" w:hAnsi="Palatino Linotype" w:cs="Palatino Linotype"/>
        </w:rPr>
        <w:t xml:space="preserve"> en relación a la inexistencia de información relacionada con el requerimiento de información que formuló la recurrente; siendo que de conformidad con lo establecido en el artículo 12, segundo párrafo de la Ley de Transparencia y Acceso a la Información Pública del Estado de México y Municipios, los Sujetos Obligados solo proporcionaran la información pública que se les requiera y que obre en sus </w:t>
      </w:r>
      <w:r w:rsidRPr="001B211C">
        <w:rPr>
          <w:rFonts w:ascii="Palatino Linotype" w:eastAsia="Palatino Linotype" w:hAnsi="Palatino Linotype" w:cs="Palatino Linotype"/>
        </w:rPr>
        <w:lastRenderedPageBreak/>
        <w:t>archivos y en el estado en que ésta se encuentre, en sentido contrario, no están obligados a proporcionar lo que no tengan en sus archivos.</w:t>
      </w:r>
    </w:p>
    <w:p w14:paraId="189C8E44" w14:textId="5B5E81AB" w:rsidR="000F017C" w:rsidRPr="001B211C" w:rsidRDefault="000F017C" w:rsidP="000F017C">
      <w:pPr>
        <w:spacing w:before="240" w:after="360" w:line="360" w:lineRule="auto"/>
        <w:ind w:right="18"/>
        <w:jc w:val="both"/>
        <w:rPr>
          <w:rFonts w:ascii="Palatino Linotype" w:eastAsia="Palatino Linotype" w:hAnsi="Palatino Linotype" w:cs="Palatino Linotype"/>
        </w:rPr>
      </w:pPr>
      <w:r w:rsidRPr="001B211C">
        <w:rPr>
          <w:rFonts w:ascii="Palatino Linotype" w:eastAsia="Palatino Linotype" w:hAnsi="Palatino Linotype" w:cs="Palatino Linotype"/>
        </w:rPr>
        <w:t>Y, menos aún, los Sujetos Obligados se encuentran obligados a generar documentos a fin de atender las solicitudes de acceso a la información que les sean formuladas, tal y como se desprende del mismo texto del artículo 12 de la Ley de la Materia en consulta.</w:t>
      </w:r>
    </w:p>
    <w:p w14:paraId="11883554" w14:textId="3A59D75F" w:rsidR="00EE0B3C" w:rsidRPr="001B211C" w:rsidRDefault="00EE0B3C" w:rsidP="00EE0B3C">
      <w:pPr>
        <w:spacing w:before="240" w:after="240" w:line="360" w:lineRule="auto"/>
        <w:jc w:val="both"/>
        <w:rPr>
          <w:rFonts w:ascii="Palatino Linotype" w:eastAsia="Palatino Linotype" w:hAnsi="Palatino Linotype" w:cs="Palatino Linotype"/>
        </w:rPr>
      </w:pPr>
      <w:r w:rsidRPr="001B211C">
        <w:rPr>
          <w:rFonts w:ascii="Palatino Linotype" w:eastAsia="Palatino Linotype" w:hAnsi="Palatino Linotype" w:cs="Palatino Linotype"/>
        </w:rPr>
        <w:t xml:space="preserve">Finalmente, se exhorta al </w:t>
      </w:r>
      <w:r w:rsidRPr="001B211C">
        <w:rPr>
          <w:rFonts w:ascii="Palatino Linotype" w:eastAsia="Palatino Linotype" w:hAnsi="Palatino Linotype" w:cs="Palatino Linotype"/>
          <w:b/>
        </w:rPr>
        <w:t xml:space="preserve">Sujeto Obligado </w:t>
      </w:r>
      <w:r w:rsidRPr="001B211C">
        <w:rPr>
          <w:rFonts w:ascii="Palatino Linotype" w:eastAsia="Palatino Linotype" w:hAnsi="Palatino Linotype" w:cs="Palatino Linotype"/>
        </w:rPr>
        <w:t>a observar los plazos y procedimientos establecidos en la Ley de la materia, con la finalidad de no vulnerar el Derecho humano de acceso a la información de las personas solicitantes, ya que si bien, en el presente caso manifestó la imposibilidad para entregar la información a través de la modalidad elegida derivado del número de solicitudes presentadas por la misma persona, ello no es impedimento para que los servidores públicos habilitados observen el procedimiento de búsqueda de la información solicitada.</w:t>
      </w:r>
    </w:p>
    <w:p w14:paraId="26722BB8" w14:textId="44893A9D" w:rsidR="00BB390C" w:rsidRPr="001B211C" w:rsidRDefault="003F5FCA">
      <w:pPr>
        <w:spacing w:before="240" w:after="240" w:line="360" w:lineRule="auto"/>
        <w:jc w:val="both"/>
        <w:rPr>
          <w:rFonts w:ascii="Palatino Linotype" w:eastAsia="Palatino Linotype" w:hAnsi="Palatino Linotype" w:cs="Palatino Linotype"/>
        </w:rPr>
      </w:pPr>
      <w:r w:rsidRPr="001B211C">
        <w:rPr>
          <w:rFonts w:ascii="Palatino Linotype" w:eastAsia="Palatino Linotype" w:hAnsi="Palatino Linotype" w:cs="Palatino Linotype"/>
        </w:rPr>
        <w:t>Corolario a lo anterior</w:t>
      </w:r>
      <w:r w:rsidR="00E40C6A" w:rsidRPr="001B211C">
        <w:rPr>
          <w:rFonts w:ascii="Palatino Linotype" w:eastAsia="Palatino Linotype" w:hAnsi="Palatino Linotype" w:cs="Palatino Linotype"/>
        </w:rPr>
        <w:t>, se estima que el presente caso actualiza el supuesto previsto en el artículo 192, fracción III de la Ley de Transparencia y Acceso a la Información Pública del Estado de México y Municipios vigente, a saber:</w:t>
      </w:r>
    </w:p>
    <w:p w14:paraId="0503F8E1" w14:textId="77777777" w:rsidR="00BB390C" w:rsidRPr="001B211C" w:rsidRDefault="00E40C6A">
      <w:pPr>
        <w:spacing w:before="240" w:after="240"/>
        <w:ind w:left="851" w:right="900"/>
        <w:jc w:val="both"/>
        <w:rPr>
          <w:rFonts w:ascii="Palatino Linotype" w:eastAsia="Palatino Linotype" w:hAnsi="Palatino Linotype" w:cs="Palatino Linotype"/>
          <w:i/>
          <w:sz w:val="22"/>
          <w:szCs w:val="22"/>
        </w:rPr>
      </w:pPr>
      <w:r w:rsidRPr="001B211C">
        <w:rPr>
          <w:rFonts w:ascii="Palatino Linotype" w:eastAsia="Palatino Linotype" w:hAnsi="Palatino Linotype" w:cs="Palatino Linotype"/>
          <w:i/>
          <w:sz w:val="22"/>
          <w:szCs w:val="22"/>
        </w:rPr>
        <w:t>“</w:t>
      </w:r>
      <w:r w:rsidRPr="001B211C">
        <w:rPr>
          <w:rFonts w:ascii="Palatino Linotype" w:eastAsia="Palatino Linotype" w:hAnsi="Palatino Linotype" w:cs="Palatino Linotype"/>
          <w:b/>
          <w:i/>
          <w:sz w:val="22"/>
          <w:szCs w:val="22"/>
        </w:rPr>
        <w:t>Artículo 192</w:t>
      </w:r>
      <w:r w:rsidRPr="001B211C">
        <w:rPr>
          <w:rFonts w:ascii="Palatino Linotype" w:eastAsia="Palatino Linotype" w:hAnsi="Palatino Linotype" w:cs="Palatino Linotype"/>
          <w:i/>
          <w:sz w:val="22"/>
          <w:szCs w:val="22"/>
        </w:rPr>
        <w:t xml:space="preserve">. </w:t>
      </w:r>
      <w:r w:rsidRPr="001B211C">
        <w:rPr>
          <w:rFonts w:ascii="Palatino Linotype" w:eastAsia="Palatino Linotype" w:hAnsi="Palatino Linotype" w:cs="Palatino Linotype"/>
          <w:b/>
          <w:i/>
          <w:sz w:val="22"/>
          <w:szCs w:val="22"/>
        </w:rPr>
        <w:t>El recurso será sobreseído</w:t>
      </w:r>
      <w:r w:rsidRPr="001B211C">
        <w:rPr>
          <w:rFonts w:ascii="Palatino Linotype" w:eastAsia="Palatino Linotype" w:hAnsi="Palatino Linotype" w:cs="Palatino Linotype"/>
          <w:i/>
          <w:sz w:val="22"/>
          <w:szCs w:val="22"/>
        </w:rPr>
        <w:t xml:space="preserve">, </w:t>
      </w:r>
      <w:r w:rsidRPr="001B211C">
        <w:rPr>
          <w:rFonts w:ascii="Palatino Linotype" w:eastAsia="Palatino Linotype" w:hAnsi="Palatino Linotype" w:cs="Palatino Linotype"/>
          <w:b/>
          <w:i/>
          <w:sz w:val="22"/>
          <w:szCs w:val="22"/>
        </w:rPr>
        <w:t>en todo o en parte,</w:t>
      </w:r>
      <w:r w:rsidRPr="001B211C">
        <w:rPr>
          <w:rFonts w:ascii="Palatino Linotype" w:eastAsia="Palatino Linotype" w:hAnsi="Palatino Linotype" w:cs="Palatino Linotype"/>
          <w:i/>
          <w:sz w:val="22"/>
          <w:szCs w:val="22"/>
        </w:rPr>
        <w:t xml:space="preserve"> </w:t>
      </w:r>
      <w:r w:rsidRPr="001B211C">
        <w:rPr>
          <w:rFonts w:ascii="Palatino Linotype" w:eastAsia="Palatino Linotype" w:hAnsi="Palatino Linotype" w:cs="Palatino Linotype"/>
          <w:b/>
          <w:i/>
          <w:sz w:val="22"/>
          <w:szCs w:val="22"/>
        </w:rPr>
        <w:t>cuando una vez admitido, se actualicen alguno de los siguientes supuestos</w:t>
      </w:r>
      <w:r w:rsidRPr="001B211C">
        <w:rPr>
          <w:rFonts w:ascii="Palatino Linotype" w:eastAsia="Palatino Linotype" w:hAnsi="Palatino Linotype" w:cs="Palatino Linotype"/>
          <w:i/>
          <w:sz w:val="22"/>
          <w:szCs w:val="22"/>
        </w:rPr>
        <w:t xml:space="preserve">: </w:t>
      </w:r>
    </w:p>
    <w:p w14:paraId="046F8AB6" w14:textId="77777777" w:rsidR="00BB390C" w:rsidRPr="001B211C" w:rsidRDefault="00E40C6A">
      <w:pPr>
        <w:spacing w:before="240" w:after="240"/>
        <w:ind w:left="1134" w:right="900"/>
        <w:jc w:val="both"/>
        <w:rPr>
          <w:rFonts w:ascii="Palatino Linotype" w:eastAsia="Palatino Linotype" w:hAnsi="Palatino Linotype" w:cs="Palatino Linotype"/>
          <w:i/>
          <w:sz w:val="22"/>
          <w:szCs w:val="22"/>
        </w:rPr>
      </w:pPr>
      <w:r w:rsidRPr="001B211C">
        <w:rPr>
          <w:rFonts w:ascii="Palatino Linotype" w:eastAsia="Palatino Linotype" w:hAnsi="Palatino Linotype" w:cs="Palatino Linotype"/>
          <w:i/>
          <w:sz w:val="22"/>
          <w:szCs w:val="22"/>
        </w:rPr>
        <w:t>(…)</w:t>
      </w:r>
    </w:p>
    <w:p w14:paraId="462919B8" w14:textId="77777777" w:rsidR="00BB390C" w:rsidRPr="001B211C" w:rsidRDefault="00E40C6A">
      <w:pPr>
        <w:spacing w:before="240" w:after="240"/>
        <w:ind w:left="1134" w:right="900"/>
        <w:jc w:val="both"/>
        <w:rPr>
          <w:rFonts w:ascii="Palatino Linotype" w:eastAsia="Palatino Linotype" w:hAnsi="Palatino Linotype" w:cs="Palatino Linotype"/>
          <w:i/>
          <w:sz w:val="22"/>
          <w:szCs w:val="22"/>
        </w:rPr>
      </w:pPr>
      <w:r w:rsidRPr="001B211C">
        <w:rPr>
          <w:rFonts w:ascii="Palatino Linotype" w:eastAsia="Palatino Linotype" w:hAnsi="Palatino Linotype" w:cs="Palatino Linotype"/>
          <w:b/>
          <w:i/>
          <w:sz w:val="22"/>
          <w:szCs w:val="22"/>
        </w:rPr>
        <w:lastRenderedPageBreak/>
        <w:t>III. El sujeto obligado responsable del acto, lo modifique o revoque de tal manera que el recurso de revisión quede sin materia...</w:t>
      </w:r>
      <w:r w:rsidRPr="001B211C">
        <w:rPr>
          <w:rFonts w:ascii="Palatino Linotype" w:eastAsia="Palatino Linotype" w:hAnsi="Palatino Linotype" w:cs="Palatino Linotype"/>
          <w:i/>
          <w:sz w:val="22"/>
          <w:szCs w:val="22"/>
        </w:rPr>
        <w:t>”</w:t>
      </w:r>
    </w:p>
    <w:p w14:paraId="31CC8B20" w14:textId="77777777" w:rsidR="00BB390C" w:rsidRPr="001B211C" w:rsidRDefault="00E40C6A">
      <w:pPr>
        <w:spacing w:before="240" w:after="240" w:line="360" w:lineRule="auto"/>
        <w:jc w:val="both"/>
        <w:rPr>
          <w:rFonts w:ascii="Palatino Linotype" w:eastAsia="Palatino Linotype" w:hAnsi="Palatino Linotype" w:cs="Palatino Linotype"/>
        </w:rPr>
      </w:pPr>
      <w:r w:rsidRPr="001B211C">
        <w:rPr>
          <w:rFonts w:ascii="Palatino Linotype" w:eastAsia="Palatino Linotype" w:hAnsi="Palatino Linotype" w:cs="Palatino Linotype"/>
        </w:rPr>
        <w:t>De lo establecido en el precepto legal citado se advierte que el sobreseimiento del recurso de revisión procede en los siguientes casos</w:t>
      </w:r>
    </w:p>
    <w:p w14:paraId="0F0217F4" w14:textId="77777777" w:rsidR="00BB390C" w:rsidRPr="001B211C" w:rsidRDefault="00E40C6A">
      <w:pPr>
        <w:spacing w:before="240" w:after="240" w:line="360" w:lineRule="auto"/>
        <w:ind w:left="284"/>
        <w:jc w:val="both"/>
        <w:rPr>
          <w:rFonts w:ascii="Palatino Linotype" w:eastAsia="Palatino Linotype" w:hAnsi="Palatino Linotype" w:cs="Palatino Linotype"/>
        </w:rPr>
      </w:pPr>
      <w:r w:rsidRPr="001B211C">
        <w:rPr>
          <w:rFonts w:ascii="Palatino Linotype" w:eastAsia="Palatino Linotype" w:hAnsi="Palatino Linotype" w:cs="Palatino Linotype"/>
        </w:rPr>
        <w:t xml:space="preserve">a) Cuando el sujeto obligado modifique el acto impugnado. </w:t>
      </w:r>
    </w:p>
    <w:p w14:paraId="5E5DB080" w14:textId="77777777" w:rsidR="00BB390C" w:rsidRPr="001B211C" w:rsidRDefault="00E40C6A">
      <w:pPr>
        <w:spacing w:before="240" w:after="240" w:line="360" w:lineRule="auto"/>
        <w:ind w:left="284"/>
        <w:jc w:val="both"/>
        <w:rPr>
          <w:rFonts w:ascii="Palatino Linotype" w:eastAsia="Palatino Linotype" w:hAnsi="Palatino Linotype" w:cs="Palatino Linotype"/>
        </w:rPr>
      </w:pPr>
      <w:r w:rsidRPr="001B211C">
        <w:rPr>
          <w:rFonts w:ascii="Palatino Linotype" w:eastAsia="Palatino Linotype" w:hAnsi="Palatino Linotype" w:cs="Palatino Linotype"/>
        </w:rPr>
        <w:t xml:space="preserve">b) Cuando el sujeto obligado revoque el acto impugnado; </w:t>
      </w:r>
    </w:p>
    <w:p w14:paraId="4B48F591" w14:textId="77777777" w:rsidR="00BB390C" w:rsidRPr="001B211C" w:rsidRDefault="00E40C6A">
      <w:pPr>
        <w:spacing w:before="240" w:after="240" w:line="360" w:lineRule="auto"/>
        <w:jc w:val="both"/>
        <w:rPr>
          <w:rFonts w:ascii="Palatino Linotype" w:eastAsia="Palatino Linotype" w:hAnsi="Palatino Linotype" w:cs="Palatino Linotype"/>
        </w:rPr>
      </w:pPr>
      <w:r w:rsidRPr="001B211C">
        <w:rPr>
          <w:rFonts w:ascii="Palatino Linotype" w:eastAsia="Palatino Linotype" w:hAnsi="Palatino Linotype" w:cs="Palatino Linotype"/>
        </w:rPr>
        <w:t>Quedando en ambos casos el acto combatido sin materia o sin efectos.</w:t>
      </w:r>
    </w:p>
    <w:p w14:paraId="49019810" w14:textId="77777777" w:rsidR="00BB390C" w:rsidRPr="001B211C" w:rsidRDefault="00E40C6A">
      <w:pPr>
        <w:spacing w:before="240" w:after="240" w:line="360" w:lineRule="auto"/>
        <w:jc w:val="both"/>
        <w:rPr>
          <w:rFonts w:ascii="Palatino Linotype" w:eastAsia="Palatino Linotype" w:hAnsi="Palatino Linotype" w:cs="Palatino Linotype"/>
          <w:b/>
        </w:rPr>
      </w:pPr>
      <w:r w:rsidRPr="001B211C">
        <w:rPr>
          <w:rFonts w:ascii="Palatino Linotype" w:eastAsia="Palatino Linotype" w:hAnsi="Palatino Linotype" w:cs="Palatino Linotype"/>
        </w:rPr>
        <w:t>Como se observa de lo anterior, un acto impugnado es modificado en aquellos casos en los que el Sujeto Obligado después de haber otorgado una respuesta, o haber omitido hacerlo (acto de no hacer), emite una o una diversa de manera posterior y en ésta subsana las deficiencias que hubiera tenido, quedando satisfecho el derecho subjetivo accionado por la parte Recurrente</w:t>
      </w:r>
      <w:r w:rsidRPr="001B211C">
        <w:rPr>
          <w:rFonts w:ascii="Palatino Linotype" w:eastAsia="Palatino Linotype" w:hAnsi="Palatino Linotype" w:cs="Palatino Linotype"/>
          <w:b/>
        </w:rPr>
        <w:t>.</w:t>
      </w:r>
    </w:p>
    <w:p w14:paraId="5D33763A" w14:textId="77777777" w:rsidR="00BB390C" w:rsidRPr="001B211C" w:rsidRDefault="00E40C6A">
      <w:pPr>
        <w:spacing w:before="240" w:after="240" w:line="360" w:lineRule="auto"/>
        <w:jc w:val="both"/>
        <w:rPr>
          <w:rFonts w:ascii="Palatino Linotype" w:eastAsia="Palatino Linotype" w:hAnsi="Palatino Linotype" w:cs="Palatino Linotype"/>
        </w:rPr>
      </w:pPr>
      <w:r w:rsidRPr="001B211C">
        <w:rPr>
          <w:rFonts w:ascii="Palatino Linotype" w:eastAsia="Palatino Linotype" w:hAnsi="Palatino Linotype" w:cs="Palatino Linotype"/>
        </w:rPr>
        <w:t>Por lo que hace a la revocación, esta se actualiza cuando el Sujeto Obligado deja sin efectos la primera respuesta o su primer acto y en su lugar emite otro con las características y cualidades suficientes para dejar satisfecho el ejercicio del derecho al acceso a la información pública.</w:t>
      </w:r>
    </w:p>
    <w:p w14:paraId="1A4B75CD" w14:textId="77777777" w:rsidR="00BB390C" w:rsidRPr="001B211C" w:rsidRDefault="00E40C6A">
      <w:pPr>
        <w:spacing w:before="240" w:after="240" w:line="360" w:lineRule="auto"/>
        <w:jc w:val="both"/>
        <w:rPr>
          <w:rFonts w:ascii="Palatino Linotype" w:eastAsia="Palatino Linotype" w:hAnsi="Palatino Linotype" w:cs="Palatino Linotype"/>
        </w:rPr>
      </w:pPr>
      <w:r w:rsidRPr="001B211C">
        <w:rPr>
          <w:rFonts w:ascii="Palatino Linotype" w:eastAsia="Palatino Linotype" w:hAnsi="Palatino Linotype" w:cs="Palatino Linotype"/>
        </w:rPr>
        <w:lastRenderedPageBreak/>
        <w:t>En este orden de ideas, un acto impugnado queda sin efectos, cuando aun existiendo jurídicamente (esto es, que no se ha modificado, ni revocado) ya no genera ninguna consecuencia legal.</w:t>
      </w:r>
    </w:p>
    <w:p w14:paraId="5BF2EE12" w14:textId="77777777" w:rsidR="00BB390C" w:rsidRPr="001B211C" w:rsidRDefault="00E40C6A">
      <w:pPr>
        <w:spacing w:before="240" w:after="240" w:line="360" w:lineRule="auto"/>
        <w:jc w:val="both"/>
        <w:rPr>
          <w:rFonts w:ascii="Palatino Linotype" w:eastAsia="Palatino Linotype" w:hAnsi="Palatino Linotype" w:cs="Palatino Linotype"/>
        </w:rPr>
      </w:pPr>
      <w:r w:rsidRPr="001B211C">
        <w:rPr>
          <w:rFonts w:ascii="Palatino Linotype" w:eastAsia="Palatino Linotype" w:hAnsi="Palatino Linotype" w:cs="Palatino Linotype"/>
        </w:rPr>
        <w:t>En tanto que, un acto impugnado queda sin materia, cuando ha sido satisfecha la pretensión del recurrente de manera que el Sujeto Obligado entrega una respuesta, aunque sea posterior a los términos previstos en la ley y mediante ésta concede la información solicitada.</w:t>
      </w:r>
    </w:p>
    <w:p w14:paraId="11A41603" w14:textId="53530A55" w:rsidR="00BB390C" w:rsidRPr="001B211C" w:rsidRDefault="00A702AC">
      <w:pPr>
        <w:spacing w:before="240" w:after="240" w:line="360" w:lineRule="auto"/>
        <w:jc w:val="both"/>
        <w:rPr>
          <w:rFonts w:ascii="Palatino Linotype" w:eastAsia="Palatino Linotype" w:hAnsi="Palatino Linotype" w:cs="Palatino Linotype"/>
        </w:rPr>
      </w:pPr>
      <w:r w:rsidRPr="001B211C">
        <w:rPr>
          <w:rFonts w:ascii="Palatino Linotype" w:eastAsia="Palatino Linotype" w:hAnsi="Palatino Linotype" w:cs="Palatino Linotype"/>
        </w:rPr>
        <w:t>Atento a lo anterior</w:t>
      </w:r>
      <w:r w:rsidR="00E40C6A" w:rsidRPr="001B211C">
        <w:rPr>
          <w:rFonts w:ascii="Palatino Linotype" w:eastAsia="Palatino Linotype" w:hAnsi="Palatino Linotype" w:cs="Palatino Linotype"/>
        </w:rPr>
        <w:t>, resulta evidente que</w:t>
      </w:r>
      <w:r w:rsidR="000859AF" w:rsidRPr="001B211C">
        <w:rPr>
          <w:rFonts w:ascii="Palatino Linotype" w:eastAsia="Palatino Linotype" w:hAnsi="Palatino Linotype" w:cs="Palatino Linotype"/>
        </w:rPr>
        <w:t xml:space="preserve"> en el presente asunto, </w:t>
      </w:r>
      <w:r w:rsidR="00E40C6A" w:rsidRPr="001B211C">
        <w:rPr>
          <w:rFonts w:ascii="Palatino Linotype" w:eastAsia="Palatino Linotype" w:hAnsi="Palatino Linotype" w:cs="Palatino Linotype"/>
        </w:rPr>
        <w:t xml:space="preserve">el </w:t>
      </w:r>
      <w:r w:rsidR="00E40C6A" w:rsidRPr="001B211C">
        <w:rPr>
          <w:rFonts w:ascii="Palatino Linotype" w:eastAsia="Palatino Linotype" w:hAnsi="Palatino Linotype" w:cs="Palatino Linotype"/>
          <w:b/>
        </w:rPr>
        <w:t>Sujeto Obligado</w:t>
      </w:r>
      <w:r w:rsidR="00E40C6A" w:rsidRPr="001B211C">
        <w:rPr>
          <w:rFonts w:ascii="Palatino Linotype" w:eastAsia="Palatino Linotype" w:hAnsi="Palatino Linotype" w:cs="Palatino Linotype"/>
        </w:rPr>
        <w:t xml:space="preserve"> modificó la respuesta a la solicitud de la persona solicitante, aunque ello haya sido de manera posterior a su respuesta inicial, información que se hizo </w:t>
      </w:r>
      <w:r w:rsidRPr="001B211C">
        <w:rPr>
          <w:rFonts w:ascii="Palatino Linotype" w:eastAsia="Palatino Linotype" w:hAnsi="Palatino Linotype" w:cs="Palatino Linotype"/>
        </w:rPr>
        <w:t>su</w:t>
      </w:r>
      <w:r w:rsidR="00E40C6A" w:rsidRPr="001B211C">
        <w:rPr>
          <w:rFonts w:ascii="Palatino Linotype" w:eastAsia="Palatino Linotype" w:hAnsi="Palatino Linotype" w:cs="Palatino Linotype"/>
        </w:rPr>
        <w:t xml:space="preserve"> conocimiento con la finalidad de que manifestara lo que a su derecho estimara conveniente, sin que obre constancia en el expediente electrónico de que hubiera ejercido dicha prerrogativa hasta el momento de decretar el cierre de instrucción correspondiente, por lo que se entiende que ha quedado conforme con la misma.</w:t>
      </w:r>
    </w:p>
    <w:p w14:paraId="616BB190" w14:textId="42F1D322" w:rsidR="00BB390C" w:rsidRPr="001B211C" w:rsidRDefault="00E40C6A">
      <w:pPr>
        <w:spacing w:before="240" w:after="240" w:line="360" w:lineRule="auto"/>
        <w:jc w:val="both"/>
        <w:rPr>
          <w:rFonts w:ascii="Palatino Linotype" w:eastAsia="Palatino Linotype" w:hAnsi="Palatino Linotype" w:cs="Palatino Linotype"/>
        </w:rPr>
      </w:pPr>
      <w:r w:rsidRPr="001B211C">
        <w:rPr>
          <w:rFonts w:ascii="Palatino Linotype" w:eastAsia="Palatino Linotype" w:hAnsi="Palatino Linotype" w:cs="Palatino Linotype"/>
        </w:rPr>
        <w:t xml:space="preserve">Con base en los argumentos vertidos, se concluye que la información remitida por el </w:t>
      </w:r>
      <w:r w:rsidRPr="001B211C">
        <w:rPr>
          <w:rFonts w:ascii="Palatino Linotype" w:eastAsia="Palatino Linotype" w:hAnsi="Palatino Linotype" w:cs="Palatino Linotype"/>
          <w:b/>
        </w:rPr>
        <w:t xml:space="preserve">Sujeto Obligado </w:t>
      </w:r>
      <w:r w:rsidRPr="001B211C">
        <w:rPr>
          <w:rFonts w:ascii="Palatino Linotype" w:eastAsia="Palatino Linotype" w:hAnsi="Palatino Linotype" w:cs="Palatino Linotype"/>
        </w:rPr>
        <w:t xml:space="preserve">en la etapa de manifestaciones satisface </w:t>
      </w:r>
      <w:r w:rsidR="00A702AC" w:rsidRPr="001B211C">
        <w:rPr>
          <w:rFonts w:ascii="Palatino Linotype" w:eastAsia="Palatino Linotype" w:hAnsi="Palatino Linotype" w:cs="Palatino Linotype"/>
        </w:rPr>
        <w:t>el requerimiento de información combatido</w:t>
      </w:r>
      <w:r w:rsidRPr="001B211C">
        <w:rPr>
          <w:rFonts w:ascii="Palatino Linotype" w:eastAsia="Palatino Linotype" w:hAnsi="Palatino Linotype" w:cs="Palatino Linotype"/>
        </w:rPr>
        <w:t xml:space="preserve">, con lo cual quedo sin materia el presente recurso de revisión, </w:t>
      </w:r>
      <w:r w:rsidR="00A702AC" w:rsidRPr="001B211C">
        <w:rPr>
          <w:rFonts w:ascii="Palatino Linotype" w:eastAsia="Palatino Linotype" w:hAnsi="Palatino Linotype" w:cs="Palatino Linotype"/>
        </w:rPr>
        <w:t>actualizando</w:t>
      </w:r>
      <w:r w:rsidRPr="001B211C">
        <w:rPr>
          <w:rFonts w:ascii="Palatino Linotype" w:eastAsia="Palatino Linotype" w:hAnsi="Palatino Linotype" w:cs="Palatino Linotype"/>
        </w:rPr>
        <w:t xml:space="preserve"> entonces la causal prevista en la fracción III del artículo 192 de la Ley de la Materia vigente en la Entidad, antes transcrita. </w:t>
      </w:r>
    </w:p>
    <w:p w14:paraId="7B87DE4A" w14:textId="77777777" w:rsidR="00BB390C" w:rsidRPr="001B211C" w:rsidRDefault="00E40C6A">
      <w:pPr>
        <w:spacing w:before="240" w:after="240" w:line="360" w:lineRule="auto"/>
        <w:jc w:val="both"/>
        <w:rPr>
          <w:rFonts w:ascii="Palatino Linotype" w:eastAsia="Palatino Linotype" w:hAnsi="Palatino Linotype" w:cs="Palatino Linotype"/>
          <w:b/>
        </w:rPr>
      </w:pPr>
      <w:r w:rsidRPr="001B211C">
        <w:rPr>
          <w:rFonts w:ascii="Palatino Linotype" w:eastAsia="Palatino Linotype" w:hAnsi="Palatino Linotype" w:cs="Palatino Linotype"/>
        </w:rPr>
        <w:lastRenderedPageBreak/>
        <w:t xml:space="preserve">Siendo el </w:t>
      </w:r>
      <w:r w:rsidRPr="001B211C">
        <w:rPr>
          <w:rFonts w:ascii="Palatino Linotype" w:eastAsia="Palatino Linotype" w:hAnsi="Palatino Linotype" w:cs="Palatino Linotype"/>
          <w:i/>
        </w:rPr>
        <w:t>sobreseimiento</w:t>
      </w:r>
      <w:r w:rsidRPr="001B211C">
        <w:rPr>
          <w:rFonts w:ascii="Palatino Linotype" w:eastAsia="Palatino Linotype" w:hAnsi="Palatino Linotype" w:cs="Palatino Linotype"/>
        </w:rPr>
        <w:t xml:space="preserve"> un acto que da por terminado el procedimiento administrativo de impugnación por alguna causa sobreviniente en el juicio de que se trate, que impide a la autoridad referirse a lo sustancial de lo planteado por el recurrente teniendo como consecuencia dar por concluido el medio de impugnación, este Instituto se encuentra imposibilitado para entrar al estudio de fondo del recurso de revisión, lo anterior con apoyo en el criterio del Poder Judicial de la Federación con rubro: </w:t>
      </w:r>
      <w:r w:rsidRPr="001B211C">
        <w:rPr>
          <w:rFonts w:ascii="Palatino Linotype" w:eastAsia="Palatino Linotype" w:hAnsi="Palatino Linotype" w:cs="Palatino Linotype"/>
          <w:b/>
        </w:rPr>
        <w:t>SOBRESEIMIENTO, NO PERMITE ENTRAR AL ESTUDIO DE LAS CUESTIONES DE FONDO</w:t>
      </w:r>
      <w:r w:rsidRPr="001B211C">
        <w:rPr>
          <w:rFonts w:ascii="Palatino Linotype" w:eastAsia="Palatino Linotype" w:hAnsi="Palatino Linotype" w:cs="Palatino Linotype"/>
          <w:b/>
          <w:vertAlign w:val="superscript"/>
        </w:rPr>
        <w:footnoteReference w:id="2"/>
      </w:r>
      <w:r w:rsidRPr="001B211C">
        <w:rPr>
          <w:rFonts w:ascii="Palatino Linotype" w:eastAsia="Palatino Linotype" w:hAnsi="Palatino Linotype" w:cs="Palatino Linotype"/>
          <w:b/>
        </w:rPr>
        <w:t>.</w:t>
      </w:r>
    </w:p>
    <w:p w14:paraId="2667BC30" w14:textId="1F0355D9" w:rsidR="00BB390C" w:rsidRPr="001B211C" w:rsidRDefault="00E40C6A">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1B211C">
        <w:rPr>
          <w:rFonts w:ascii="Palatino Linotype" w:eastAsia="Palatino Linotype" w:hAnsi="Palatino Linotype" w:cs="Palatino Linotype"/>
        </w:rPr>
        <w:t>Así, con fundamento en lo prescrito en los artículos 5 párrafos trigésimo tercero</w:t>
      </w:r>
      <w:r w:rsidR="00A702AC" w:rsidRPr="001B211C">
        <w:rPr>
          <w:rFonts w:ascii="Palatino Linotype" w:eastAsia="Palatino Linotype" w:hAnsi="Palatino Linotype" w:cs="Palatino Linotype"/>
        </w:rPr>
        <w:t xml:space="preserve">, </w:t>
      </w:r>
      <w:r w:rsidRPr="001B211C">
        <w:rPr>
          <w:rFonts w:ascii="Palatino Linotype" w:eastAsia="Palatino Linotype" w:hAnsi="Palatino Linotype" w:cs="Palatino Linotype"/>
        </w:rPr>
        <w:t>trigésimo cuarto</w:t>
      </w:r>
      <w:r w:rsidR="00A702AC" w:rsidRPr="001B211C">
        <w:rPr>
          <w:rFonts w:ascii="Palatino Linotype" w:eastAsia="Palatino Linotype" w:hAnsi="Palatino Linotype" w:cs="Palatino Linotype"/>
        </w:rPr>
        <w:t xml:space="preserve"> y trigésimo quinto</w:t>
      </w:r>
      <w:r w:rsidRPr="001B211C">
        <w:rPr>
          <w:rFonts w:ascii="Palatino Linotype" w:eastAsia="Palatino Linotype" w:hAnsi="Palatino Linotype" w:cs="Palatino Linotype"/>
        </w:rPr>
        <w:t xml:space="preserve"> de la Constitución Política del Estado Libre y Soberano de México; 2, fracción II; 29, 36 fracciones I y II; 176, 178, 181, 185 y 186 fracción II de la Ley de Transparencia y Acceso a la Información Pública del Estado de México y Municipios, este Pleno:</w:t>
      </w:r>
    </w:p>
    <w:p w14:paraId="6A012A54" w14:textId="77777777" w:rsidR="00BB390C" w:rsidRPr="001B211C" w:rsidRDefault="00E40C6A">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bookmarkStart w:id="8" w:name="_heading=h.lnxbz9" w:colFirst="0" w:colLast="0"/>
      <w:bookmarkEnd w:id="8"/>
      <w:r w:rsidRPr="001B211C">
        <w:rPr>
          <w:rFonts w:ascii="Palatino Linotype" w:eastAsia="Palatino Linotype" w:hAnsi="Palatino Linotype" w:cs="Palatino Linotype"/>
          <w:b/>
        </w:rPr>
        <w:t>III. R E S U E L V E</w:t>
      </w:r>
    </w:p>
    <w:p w14:paraId="49C1C4A3" w14:textId="7E2AC3B8" w:rsidR="00BB390C" w:rsidRPr="001B211C" w:rsidRDefault="00E40C6A">
      <w:pPr>
        <w:spacing w:before="160" w:line="360" w:lineRule="auto"/>
        <w:jc w:val="both"/>
        <w:rPr>
          <w:rFonts w:ascii="Palatino Linotype" w:eastAsia="Palatino Linotype" w:hAnsi="Palatino Linotype" w:cs="Palatino Linotype"/>
        </w:rPr>
      </w:pPr>
      <w:bookmarkStart w:id="9" w:name="_heading=h.1fob9te" w:colFirst="0" w:colLast="0"/>
      <w:bookmarkEnd w:id="9"/>
      <w:r w:rsidRPr="001B211C">
        <w:rPr>
          <w:rFonts w:ascii="Palatino Linotype" w:eastAsia="Palatino Linotype" w:hAnsi="Palatino Linotype" w:cs="Palatino Linotype"/>
          <w:b/>
        </w:rPr>
        <w:t xml:space="preserve">Primero. </w:t>
      </w:r>
      <w:r w:rsidRPr="001B211C">
        <w:rPr>
          <w:rFonts w:ascii="Palatino Linotype" w:eastAsia="Palatino Linotype" w:hAnsi="Palatino Linotype" w:cs="Palatino Linotype"/>
        </w:rPr>
        <w:t>Se</w:t>
      </w:r>
      <w:r w:rsidRPr="001B211C">
        <w:rPr>
          <w:rFonts w:ascii="Palatino Linotype" w:eastAsia="Palatino Linotype" w:hAnsi="Palatino Linotype" w:cs="Palatino Linotype"/>
          <w:b/>
        </w:rPr>
        <w:t xml:space="preserve"> Sobresee </w:t>
      </w:r>
      <w:r w:rsidRPr="001B211C">
        <w:rPr>
          <w:rFonts w:ascii="Palatino Linotype" w:eastAsia="Palatino Linotype" w:hAnsi="Palatino Linotype" w:cs="Palatino Linotype"/>
        </w:rPr>
        <w:t xml:space="preserve">el recurso de revisión número </w:t>
      </w:r>
      <w:r w:rsidRPr="001B211C">
        <w:rPr>
          <w:rFonts w:ascii="Palatino Linotype" w:eastAsia="Palatino Linotype" w:hAnsi="Palatino Linotype" w:cs="Palatino Linotype"/>
          <w:b/>
        </w:rPr>
        <w:t>0</w:t>
      </w:r>
      <w:r w:rsidR="000859AF" w:rsidRPr="001B211C">
        <w:rPr>
          <w:rFonts w:ascii="Palatino Linotype" w:eastAsia="Palatino Linotype" w:hAnsi="Palatino Linotype" w:cs="Palatino Linotype"/>
          <w:b/>
        </w:rPr>
        <w:t>1609</w:t>
      </w:r>
      <w:r w:rsidRPr="001B211C">
        <w:rPr>
          <w:rFonts w:ascii="Palatino Linotype" w:eastAsia="Palatino Linotype" w:hAnsi="Palatino Linotype" w:cs="Palatino Linotype"/>
          <w:b/>
        </w:rPr>
        <w:t>/INFOEM/IP/RR/202</w:t>
      </w:r>
      <w:r w:rsidR="00BC5E98" w:rsidRPr="001B211C">
        <w:rPr>
          <w:rFonts w:ascii="Palatino Linotype" w:eastAsia="Palatino Linotype" w:hAnsi="Palatino Linotype" w:cs="Palatino Linotype"/>
          <w:b/>
        </w:rPr>
        <w:t>4</w:t>
      </w:r>
      <w:r w:rsidRPr="001B211C">
        <w:rPr>
          <w:rFonts w:ascii="Palatino Linotype" w:eastAsia="Palatino Linotype" w:hAnsi="Palatino Linotype" w:cs="Palatino Linotype"/>
          <w:b/>
        </w:rPr>
        <w:t xml:space="preserve">, </w:t>
      </w:r>
      <w:r w:rsidRPr="001B211C">
        <w:rPr>
          <w:rFonts w:ascii="Palatino Linotype" w:eastAsia="Palatino Linotype" w:hAnsi="Palatino Linotype" w:cs="Palatino Linotype"/>
        </w:rPr>
        <w:t xml:space="preserve">porque al </w:t>
      </w:r>
      <w:r w:rsidRPr="001B211C">
        <w:rPr>
          <w:rFonts w:ascii="Palatino Linotype" w:eastAsia="Palatino Linotype" w:hAnsi="Palatino Linotype" w:cs="Palatino Linotype"/>
          <w:b/>
        </w:rPr>
        <w:t>modificar la respuesta</w:t>
      </w:r>
      <w:r w:rsidRPr="001B211C">
        <w:rPr>
          <w:rFonts w:ascii="Palatino Linotype" w:eastAsia="Palatino Linotype" w:hAnsi="Palatino Linotype" w:cs="Palatino Linotype"/>
        </w:rPr>
        <w:t xml:space="preserve"> se actualizó la causal prevista en el artículo 192, </w:t>
      </w:r>
      <w:r w:rsidRPr="001B211C">
        <w:rPr>
          <w:rFonts w:ascii="Palatino Linotype" w:eastAsia="Palatino Linotype" w:hAnsi="Palatino Linotype" w:cs="Palatino Linotype"/>
        </w:rPr>
        <w:lastRenderedPageBreak/>
        <w:t xml:space="preserve">fracción III, de la Ley de Transparencia y Acceso a la Información Pública del Estado de México y Municipios, quedando sin materia en términos del considerando </w:t>
      </w:r>
      <w:r w:rsidRPr="001B211C">
        <w:rPr>
          <w:rFonts w:ascii="Palatino Linotype" w:eastAsia="Palatino Linotype" w:hAnsi="Palatino Linotype" w:cs="Palatino Linotype"/>
          <w:b/>
        </w:rPr>
        <w:t xml:space="preserve">Tercero </w:t>
      </w:r>
      <w:r w:rsidRPr="001B211C">
        <w:rPr>
          <w:rFonts w:ascii="Palatino Linotype" w:eastAsia="Palatino Linotype" w:hAnsi="Palatino Linotype" w:cs="Palatino Linotype"/>
        </w:rPr>
        <w:t>de la presente Resolución.</w:t>
      </w:r>
    </w:p>
    <w:p w14:paraId="29A17F2D" w14:textId="77777777" w:rsidR="00BB390C" w:rsidRPr="001B211C" w:rsidRDefault="00E40C6A">
      <w:pPr>
        <w:spacing w:before="240" w:after="240" w:line="360" w:lineRule="auto"/>
        <w:jc w:val="both"/>
        <w:rPr>
          <w:rFonts w:ascii="Palatino Linotype" w:eastAsia="Palatino Linotype" w:hAnsi="Palatino Linotype" w:cs="Palatino Linotype"/>
        </w:rPr>
      </w:pPr>
      <w:r w:rsidRPr="001B211C">
        <w:rPr>
          <w:rFonts w:ascii="Palatino Linotype" w:eastAsia="Palatino Linotype" w:hAnsi="Palatino Linotype" w:cs="Palatino Linotype"/>
          <w:b/>
        </w:rPr>
        <w:t xml:space="preserve">Segundo. Notifíquese, </w:t>
      </w:r>
      <w:r w:rsidRPr="001B211C">
        <w:rPr>
          <w:rFonts w:ascii="Palatino Linotype" w:eastAsia="Palatino Linotype" w:hAnsi="Palatino Linotype" w:cs="Palatino Linotype"/>
        </w:rPr>
        <w:t>vía</w:t>
      </w:r>
      <w:r w:rsidRPr="001B211C">
        <w:rPr>
          <w:rFonts w:ascii="Palatino Linotype" w:eastAsia="Palatino Linotype" w:hAnsi="Palatino Linotype" w:cs="Palatino Linotype"/>
          <w:b/>
        </w:rPr>
        <w:t xml:space="preserve"> SAIMEX</w:t>
      </w:r>
      <w:r w:rsidRPr="001B211C">
        <w:rPr>
          <w:rFonts w:ascii="Palatino Linotype" w:eastAsia="Palatino Linotype" w:hAnsi="Palatino Linotype" w:cs="Palatino Linotype"/>
          <w:b/>
          <w:i/>
        </w:rPr>
        <w:t xml:space="preserve">, </w:t>
      </w:r>
      <w:r w:rsidRPr="001B211C">
        <w:rPr>
          <w:rFonts w:ascii="Palatino Linotype" w:eastAsia="Palatino Linotype" w:hAnsi="Palatino Linotype" w:cs="Palatino Linotype"/>
        </w:rPr>
        <w:t xml:space="preserve">al Titular de la Unidad de Transparencia del </w:t>
      </w:r>
      <w:r w:rsidRPr="001B211C">
        <w:rPr>
          <w:rFonts w:ascii="Palatino Linotype" w:eastAsia="Palatino Linotype" w:hAnsi="Palatino Linotype" w:cs="Palatino Linotype"/>
          <w:b/>
        </w:rPr>
        <w:t>Sujeto Obligado</w:t>
      </w:r>
      <w:r w:rsidRPr="001B211C">
        <w:rPr>
          <w:rFonts w:ascii="Palatino Linotype" w:eastAsia="Palatino Linotype" w:hAnsi="Palatino Linotype" w:cs="Palatino Linotype"/>
        </w:rPr>
        <w:t xml:space="preserve"> la presente resolución, para su conocimiento.</w:t>
      </w:r>
    </w:p>
    <w:p w14:paraId="3398B2A5" w14:textId="77777777" w:rsidR="00BB390C" w:rsidRPr="001B211C" w:rsidRDefault="00E40C6A">
      <w:pPr>
        <w:spacing w:before="240" w:after="240" w:line="360" w:lineRule="auto"/>
        <w:jc w:val="both"/>
        <w:rPr>
          <w:rFonts w:ascii="Palatino Linotype" w:eastAsia="Palatino Linotype" w:hAnsi="Palatino Linotype" w:cs="Palatino Linotype"/>
        </w:rPr>
      </w:pPr>
      <w:bookmarkStart w:id="10" w:name="_heading=h.26in1rg" w:colFirst="0" w:colLast="0"/>
      <w:bookmarkEnd w:id="10"/>
      <w:r w:rsidRPr="001B211C">
        <w:rPr>
          <w:rFonts w:ascii="Palatino Linotype" w:eastAsia="Palatino Linotype" w:hAnsi="Palatino Linotype" w:cs="Palatino Linotype"/>
          <w:b/>
        </w:rPr>
        <w:t xml:space="preserve">Tercero. Notifíquese, </w:t>
      </w:r>
      <w:r w:rsidRPr="001B211C">
        <w:rPr>
          <w:rFonts w:ascii="Palatino Linotype" w:eastAsia="Palatino Linotype" w:hAnsi="Palatino Linotype" w:cs="Palatino Linotype"/>
        </w:rPr>
        <w:t>vía</w:t>
      </w:r>
      <w:r w:rsidRPr="001B211C">
        <w:rPr>
          <w:rFonts w:ascii="Palatino Linotype" w:eastAsia="Palatino Linotype" w:hAnsi="Palatino Linotype" w:cs="Palatino Linotype"/>
          <w:b/>
        </w:rPr>
        <w:t xml:space="preserve"> SAIMEX</w:t>
      </w:r>
      <w:r w:rsidRPr="001B211C">
        <w:rPr>
          <w:rFonts w:ascii="Palatino Linotype" w:eastAsia="Palatino Linotype" w:hAnsi="Palatino Linotype" w:cs="Palatino Linotype"/>
        </w:rPr>
        <w:t>, a</w:t>
      </w:r>
      <w:r w:rsidRPr="001B211C">
        <w:rPr>
          <w:rFonts w:ascii="Palatino Linotype" w:eastAsia="Palatino Linotype" w:hAnsi="Palatino Linotype" w:cs="Palatino Linotype"/>
          <w:b/>
        </w:rPr>
        <w:t xml:space="preserve"> </w:t>
      </w:r>
      <w:r w:rsidRPr="001B211C">
        <w:rPr>
          <w:rFonts w:ascii="Palatino Linotype" w:eastAsia="Palatino Linotype" w:hAnsi="Palatino Linotype" w:cs="Palatino Linotype"/>
        </w:rPr>
        <w:t xml:space="preserve">la parte </w:t>
      </w:r>
      <w:r w:rsidRPr="001B211C">
        <w:rPr>
          <w:rFonts w:ascii="Palatino Linotype" w:eastAsia="Palatino Linotype" w:hAnsi="Palatino Linotype" w:cs="Palatino Linotype"/>
          <w:b/>
        </w:rPr>
        <w:t>Recurrente</w:t>
      </w:r>
      <w:r w:rsidRPr="001B211C">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podrá impugnarla vía el Juicio de Amparo en los términos de las leyes aplicables.</w:t>
      </w:r>
    </w:p>
    <w:p w14:paraId="040A40DB" w14:textId="7A6E53B3" w:rsidR="00BB390C" w:rsidRPr="001B211C" w:rsidRDefault="00E40C6A">
      <w:pPr>
        <w:spacing w:line="360" w:lineRule="auto"/>
        <w:jc w:val="both"/>
        <w:rPr>
          <w:rFonts w:ascii="Palatino Linotype" w:eastAsia="Palatino Linotype" w:hAnsi="Palatino Linotype" w:cs="Palatino Linotype"/>
        </w:rPr>
      </w:pPr>
      <w:bookmarkStart w:id="11" w:name="_heading=h.3rdcrjn" w:colFirst="0" w:colLast="0"/>
      <w:bookmarkEnd w:id="11"/>
      <w:r w:rsidRPr="001B211C">
        <w:rPr>
          <w:rFonts w:ascii="Palatino Linotype" w:eastAsia="Palatino Linotype" w:hAnsi="Palatino Linotype" w:cs="Palatino Linotype"/>
        </w:rPr>
        <w:t xml:space="preserve">ASÍ LO RESUELVE, POR </w:t>
      </w:r>
      <w:r w:rsidR="00B66649" w:rsidRPr="001B211C">
        <w:rPr>
          <w:rFonts w:ascii="Palatino Linotype" w:eastAsia="Palatino Linotype" w:hAnsi="Palatino Linotype" w:cs="Palatino Linotype"/>
        </w:rPr>
        <w:t xml:space="preserve">UNANIMIDAD </w:t>
      </w:r>
      <w:r w:rsidRPr="001B211C">
        <w:rPr>
          <w:rFonts w:ascii="Palatino Linotype" w:eastAsia="Palatino Linotype" w:hAnsi="Palatino Linotype" w:cs="Palatino Linotype"/>
        </w:rPr>
        <w:t>DE VOTOS, EL PLENO DEL INSTITUTO DE TRANSPARENCIA, ACCESO A LA INFORMACIÓN PÚBLICA Y PROTECCIÓN DE DATOS PERSONALES DEL ESTADO DE MÉXICO Y MUNICIPIOS, CONFORMADO POR LOS COMISIONADOS JOSÉ MARTÍNEZ VILCHIS, MARÍA DEL ROSARIO MEJÍA AYALA</w:t>
      </w:r>
      <w:r w:rsidR="002F4C45" w:rsidRPr="001B211C">
        <w:rPr>
          <w:rFonts w:ascii="Palatino Linotype" w:eastAsia="Palatino Linotype" w:hAnsi="Palatino Linotype" w:cs="Palatino Linotype"/>
        </w:rPr>
        <w:t xml:space="preserve">; </w:t>
      </w:r>
      <w:r w:rsidRPr="001B211C">
        <w:rPr>
          <w:rFonts w:ascii="Palatino Linotype" w:eastAsia="Palatino Linotype" w:hAnsi="Palatino Linotype" w:cs="Palatino Linotype"/>
        </w:rPr>
        <w:t>S</w:t>
      </w:r>
      <w:r w:rsidR="00BA09E8" w:rsidRPr="001B211C">
        <w:rPr>
          <w:rFonts w:ascii="Palatino Linotype" w:eastAsia="Palatino Linotype" w:hAnsi="Palatino Linotype" w:cs="Palatino Linotype"/>
        </w:rPr>
        <w:t>HARON CRIST</w:t>
      </w:r>
      <w:r w:rsidR="00BC5E98" w:rsidRPr="001B211C">
        <w:rPr>
          <w:rFonts w:ascii="Palatino Linotype" w:eastAsia="Palatino Linotype" w:hAnsi="Palatino Linotype" w:cs="Palatino Linotype"/>
        </w:rPr>
        <w:t>INA MORALES MARTÍNEZ</w:t>
      </w:r>
      <w:r w:rsidR="00252A97" w:rsidRPr="001B211C">
        <w:rPr>
          <w:rFonts w:ascii="Palatino Linotype" w:eastAsia="Palatino Linotype" w:hAnsi="Palatino Linotype" w:cs="Palatino Linotype"/>
        </w:rPr>
        <w:t>;</w:t>
      </w:r>
      <w:r w:rsidRPr="001B211C">
        <w:rPr>
          <w:rFonts w:ascii="Palatino Linotype" w:eastAsia="Palatino Linotype" w:hAnsi="Palatino Linotype" w:cs="Palatino Linotype"/>
        </w:rPr>
        <w:t xml:space="preserve"> LUIS GUSTAVO PARRA NORIEGA Y GUADALUPE RAMÍREZ PEÑA; EN LA </w:t>
      </w:r>
      <w:r w:rsidR="000859AF" w:rsidRPr="001B211C">
        <w:rPr>
          <w:rFonts w:ascii="Palatino Linotype" w:eastAsia="Palatino Linotype" w:hAnsi="Palatino Linotype" w:cs="Palatino Linotype"/>
        </w:rPr>
        <w:t xml:space="preserve">TRIGÉSIMA </w:t>
      </w:r>
      <w:r w:rsidRPr="001B211C">
        <w:rPr>
          <w:rFonts w:ascii="Palatino Linotype" w:eastAsia="Palatino Linotype" w:hAnsi="Palatino Linotype" w:cs="Palatino Linotype"/>
        </w:rPr>
        <w:t xml:space="preserve">SESIÓN ORDINARIA, CELEBRADA EL </w:t>
      </w:r>
      <w:r w:rsidR="000859AF" w:rsidRPr="001B211C">
        <w:rPr>
          <w:rFonts w:ascii="Palatino Linotype" w:eastAsia="Palatino Linotype" w:hAnsi="Palatino Linotype" w:cs="Palatino Linotype"/>
        </w:rPr>
        <w:t>VEINTIOCHO</w:t>
      </w:r>
      <w:r w:rsidR="00BC5E98" w:rsidRPr="001B211C">
        <w:rPr>
          <w:rFonts w:ascii="Palatino Linotype" w:eastAsia="Palatino Linotype" w:hAnsi="Palatino Linotype" w:cs="Palatino Linotype"/>
        </w:rPr>
        <w:t xml:space="preserve"> DE AGOSTO</w:t>
      </w:r>
      <w:r w:rsidR="005A0021" w:rsidRPr="001B211C">
        <w:rPr>
          <w:rFonts w:ascii="Palatino Linotype" w:eastAsia="Palatino Linotype" w:hAnsi="Palatino Linotype" w:cs="Palatino Linotype"/>
        </w:rPr>
        <w:t xml:space="preserve"> </w:t>
      </w:r>
      <w:r w:rsidRPr="001B211C">
        <w:rPr>
          <w:rFonts w:ascii="Palatino Linotype" w:eastAsia="Palatino Linotype" w:hAnsi="Palatino Linotype" w:cs="Palatino Linotype"/>
        </w:rPr>
        <w:t>DE DOS MIL VEINTICUATRO, ANTE EL SECRETARIO TÉCNICO DEL PLENO ALEXIS TAPIA RAMÍREZ.</w:t>
      </w:r>
    </w:p>
    <w:p w14:paraId="68C7C63F" w14:textId="1DC9BCC8" w:rsidR="00252A97" w:rsidRPr="001B211C" w:rsidRDefault="00252A97">
      <w:pPr>
        <w:spacing w:line="360" w:lineRule="auto"/>
        <w:jc w:val="both"/>
        <w:rPr>
          <w:rFonts w:ascii="Palatino Linotype" w:eastAsia="Palatino Linotype" w:hAnsi="Palatino Linotype" w:cs="Palatino Linotype"/>
        </w:rPr>
      </w:pPr>
    </w:p>
    <w:p w14:paraId="1866CE07" w14:textId="77777777" w:rsidR="00BB390C" w:rsidRPr="001B211C" w:rsidRDefault="00BB390C">
      <w:pPr>
        <w:spacing w:line="360" w:lineRule="auto"/>
        <w:jc w:val="both"/>
        <w:rPr>
          <w:rFonts w:ascii="Palatino Linotype" w:eastAsia="Palatino Linotype" w:hAnsi="Palatino Linotype" w:cs="Palatino Linotype"/>
        </w:rPr>
      </w:pPr>
      <w:bookmarkStart w:id="12" w:name="_heading=h.1t3h5sf" w:colFirst="0" w:colLast="0"/>
      <w:bookmarkEnd w:id="12"/>
    </w:p>
    <w:p w14:paraId="3AFAAC6C" w14:textId="77777777" w:rsidR="00BB390C" w:rsidRPr="001B211C" w:rsidRDefault="00BB390C">
      <w:pPr>
        <w:spacing w:line="360" w:lineRule="auto"/>
        <w:jc w:val="both"/>
        <w:rPr>
          <w:rFonts w:ascii="Palatino Linotype" w:eastAsia="Palatino Linotype" w:hAnsi="Palatino Linotype" w:cs="Palatino Linotype"/>
        </w:rPr>
      </w:pPr>
    </w:p>
    <w:p w14:paraId="3DB588D2" w14:textId="77777777" w:rsidR="00BB390C" w:rsidRPr="001B211C" w:rsidRDefault="00BB390C">
      <w:pPr>
        <w:spacing w:line="360" w:lineRule="auto"/>
        <w:jc w:val="both"/>
        <w:rPr>
          <w:rFonts w:ascii="Palatino Linotype" w:eastAsia="Palatino Linotype" w:hAnsi="Palatino Linotype" w:cs="Palatino Linotype"/>
        </w:rPr>
      </w:pPr>
    </w:p>
    <w:p w14:paraId="784EB51B" w14:textId="77777777" w:rsidR="00BB390C" w:rsidRPr="001B211C" w:rsidRDefault="00BB390C">
      <w:pPr>
        <w:spacing w:line="360" w:lineRule="auto"/>
        <w:jc w:val="both"/>
        <w:rPr>
          <w:rFonts w:ascii="Palatino Linotype" w:eastAsia="Palatino Linotype" w:hAnsi="Palatino Linotype" w:cs="Palatino Linotype"/>
        </w:rPr>
      </w:pPr>
    </w:p>
    <w:p w14:paraId="7E86BE52" w14:textId="77777777" w:rsidR="00BB390C" w:rsidRPr="001B211C" w:rsidRDefault="00BB390C">
      <w:pPr>
        <w:spacing w:line="360" w:lineRule="auto"/>
        <w:jc w:val="both"/>
        <w:rPr>
          <w:rFonts w:ascii="Palatino Linotype" w:eastAsia="Palatino Linotype" w:hAnsi="Palatino Linotype" w:cs="Palatino Linotype"/>
        </w:rPr>
      </w:pPr>
    </w:p>
    <w:p w14:paraId="12405730" w14:textId="77777777" w:rsidR="00BB390C" w:rsidRPr="001B211C" w:rsidRDefault="00BB390C">
      <w:pPr>
        <w:spacing w:line="360" w:lineRule="auto"/>
        <w:jc w:val="both"/>
        <w:rPr>
          <w:rFonts w:ascii="Palatino Linotype" w:eastAsia="Palatino Linotype" w:hAnsi="Palatino Linotype" w:cs="Palatino Linotype"/>
        </w:rPr>
      </w:pPr>
    </w:p>
    <w:p w14:paraId="495D889B" w14:textId="77777777" w:rsidR="00BB390C" w:rsidRPr="001B211C" w:rsidRDefault="00BB390C">
      <w:pPr>
        <w:spacing w:line="360" w:lineRule="auto"/>
        <w:jc w:val="both"/>
        <w:rPr>
          <w:rFonts w:ascii="Palatino Linotype" w:eastAsia="Palatino Linotype" w:hAnsi="Palatino Linotype" w:cs="Palatino Linotype"/>
        </w:rPr>
      </w:pPr>
    </w:p>
    <w:p w14:paraId="244E76AE" w14:textId="77777777" w:rsidR="00BB390C" w:rsidRPr="001B211C" w:rsidRDefault="00BB390C">
      <w:pPr>
        <w:spacing w:line="360" w:lineRule="auto"/>
        <w:jc w:val="both"/>
        <w:rPr>
          <w:rFonts w:ascii="Palatino Linotype" w:eastAsia="Palatino Linotype" w:hAnsi="Palatino Linotype" w:cs="Palatino Linotype"/>
        </w:rPr>
      </w:pPr>
    </w:p>
    <w:p w14:paraId="712BB8EA" w14:textId="77777777" w:rsidR="00BB390C" w:rsidRPr="001B211C" w:rsidRDefault="00BB390C">
      <w:pPr>
        <w:spacing w:line="360" w:lineRule="auto"/>
        <w:jc w:val="both"/>
        <w:rPr>
          <w:rFonts w:ascii="Palatino Linotype" w:eastAsia="Palatino Linotype" w:hAnsi="Palatino Linotype" w:cs="Palatino Linotype"/>
        </w:rPr>
      </w:pPr>
    </w:p>
    <w:p w14:paraId="3561E2B1" w14:textId="77777777" w:rsidR="00BB390C" w:rsidRPr="001B211C" w:rsidRDefault="00BB390C">
      <w:pPr>
        <w:spacing w:line="360" w:lineRule="auto"/>
        <w:jc w:val="both"/>
        <w:rPr>
          <w:rFonts w:ascii="Palatino Linotype" w:eastAsia="Palatino Linotype" w:hAnsi="Palatino Linotype" w:cs="Palatino Linotype"/>
        </w:rPr>
      </w:pPr>
    </w:p>
    <w:p w14:paraId="79E343A4" w14:textId="77777777" w:rsidR="00DA1190" w:rsidRPr="001B211C" w:rsidRDefault="00DA1190">
      <w:pPr>
        <w:spacing w:line="360" w:lineRule="auto"/>
        <w:jc w:val="both"/>
        <w:rPr>
          <w:rFonts w:ascii="Palatino Linotype" w:eastAsia="Palatino Linotype" w:hAnsi="Palatino Linotype" w:cs="Palatino Linotype"/>
        </w:rPr>
      </w:pPr>
    </w:p>
    <w:p w14:paraId="02E61F4A" w14:textId="77777777" w:rsidR="00DA1190" w:rsidRPr="001B211C" w:rsidRDefault="00DA1190">
      <w:pPr>
        <w:spacing w:line="360" w:lineRule="auto"/>
        <w:jc w:val="both"/>
        <w:rPr>
          <w:rFonts w:ascii="Palatino Linotype" w:eastAsia="Palatino Linotype" w:hAnsi="Palatino Linotype" w:cs="Palatino Linotype"/>
        </w:rPr>
      </w:pPr>
    </w:p>
    <w:p w14:paraId="4674BDCC" w14:textId="77777777" w:rsidR="00DA1190" w:rsidRPr="001B211C" w:rsidRDefault="00DA1190">
      <w:pPr>
        <w:spacing w:line="360" w:lineRule="auto"/>
        <w:jc w:val="both"/>
        <w:rPr>
          <w:rFonts w:ascii="Palatino Linotype" w:eastAsia="Palatino Linotype" w:hAnsi="Palatino Linotype" w:cs="Palatino Linotype"/>
        </w:rPr>
      </w:pPr>
    </w:p>
    <w:p w14:paraId="0742798B" w14:textId="77777777" w:rsidR="00BB390C" w:rsidRPr="001B211C" w:rsidRDefault="00BB390C">
      <w:pPr>
        <w:spacing w:line="360" w:lineRule="auto"/>
        <w:jc w:val="both"/>
        <w:rPr>
          <w:rFonts w:ascii="Palatino Linotype" w:eastAsia="Palatino Linotype" w:hAnsi="Palatino Linotype" w:cs="Palatino Linotype"/>
        </w:rPr>
      </w:pPr>
    </w:p>
    <w:p w14:paraId="1C3D89C9" w14:textId="77777777" w:rsidR="00BB390C" w:rsidRPr="001B211C" w:rsidRDefault="00BB390C">
      <w:pPr>
        <w:spacing w:line="360" w:lineRule="auto"/>
        <w:jc w:val="both"/>
        <w:rPr>
          <w:rFonts w:ascii="Palatino Linotype" w:eastAsia="Palatino Linotype" w:hAnsi="Palatino Linotype" w:cs="Palatino Linotype"/>
        </w:rPr>
      </w:pPr>
    </w:p>
    <w:p w14:paraId="7FDBB803" w14:textId="77777777" w:rsidR="00BB390C" w:rsidRPr="001B211C" w:rsidRDefault="00BB390C">
      <w:pPr>
        <w:spacing w:line="360" w:lineRule="auto"/>
        <w:jc w:val="both"/>
        <w:rPr>
          <w:rFonts w:ascii="Palatino Linotype" w:eastAsia="Palatino Linotype" w:hAnsi="Palatino Linotype" w:cs="Palatino Linotype"/>
        </w:rPr>
      </w:pPr>
    </w:p>
    <w:p w14:paraId="2B2F3CAF" w14:textId="77777777" w:rsidR="00BB390C" w:rsidRPr="001B211C" w:rsidRDefault="00BB390C">
      <w:pPr>
        <w:spacing w:line="360" w:lineRule="auto"/>
        <w:jc w:val="both"/>
        <w:rPr>
          <w:rFonts w:ascii="Palatino Linotype" w:eastAsia="Palatino Linotype" w:hAnsi="Palatino Linotype" w:cs="Palatino Linotype"/>
        </w:rPr>
      </w:pPr>
    </w:p>
    <w:sectPr w:rsidR="00BB390C" w:rsidRPr="001B211C">
      <w:headerReference w:type="default" r:id="rId12"/>
      <w:footerReference w:type="default" r:id="rId13"/>
      <w:headerReference w:type="first" r:id="rId14"/>
      <w:footerReference w:type="first" r:id="rId15"/>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4CBAF" w14:textId="77777777" w:rsidR="003662CB" w:rsidRDefault="003662CB">
      <w:r>
        <w:separator/>
      </w:r>
    </w:p>
  </w:endnote>
  <w:endnote w:type="continuationSeparator" w:id="0">
    <w:p w14:paraId="652D63CC" w14:textId="77777777" w:rsidR="003662CB" w:rsidRDefault="00366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auto"/>
    <w:notTrueType/>
    <w:pitch w:val="variable"/>
    <w:sig w:usb0="E00002FF" w:usb1="5000785B" w:usb2="00000000" w:usb3="00000000" w:csb0="0000019F" w:csb1="00000000"/>
  </w:font>
  <w:font w:name="Myriad Pro">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415B5" w14:textId="77777777" w:rsidR="0018704D" w:rsidRDefault="0018704D">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794F4C">
      <w:rPr>
        <w:rFonts w:ascii="Palatino Linotype" w:eastAsia="Palatino Linotype" w:hAnsi="Palatino Linotype" w:cs="Palatino Linotype"/>
        <w:b/>
        <w:noProof/>
        <w:color w:val="000000"/>
        <w:sz w:val="20"/>
        <w:szCs w:val="20"/>
      </w:rPr>
      <w:t>23</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794F4C">
      <w:rPr>
        <w:rFonts w:ascii="Palatino Linotype" w:eastAsia="Palatino Linotype" w:hAnsi="Palatino Linotype" w:cs="Palatino Linotype"/>
        <w:b/>
        <w:noProof/>
        <w:color w:val="000000"/>
        <w:sz w:val="20"/>
        <w:szCs w:val="20"/>
      </w:rPr>
      <w:t>25</w:t>
    </w:r>
    <w:r>
      <w:rPr>
        <w:rFonts w:ascii="Palatino Linotype" w:eastAsia="Palatino Linotype" w:hAnsi="Palatino Linotype" w:cs="Palatino Linotype"/>
        <w:b/>
        <w:color w:val="000000"/>
        <w:sz w:val="20"/>
        <w:szCs w:val="20"/>
      </w:rPr>
      <w:fldChar w:fldCharType="end"/>
    </w:r>
  </w:p>
  <w:p w14:paraId="2F21762E" w14:textId="77777777" w:rsidR="0018704D" w:rsidRDefault="0018704D">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2CB3" w14:textId="77777777" w:rsidR="0018704D" w:rsidRDefault="0018704D">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794F4C">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794F4C">
      <w:rPr>
        <w:rFonts w:ascii="Palatino Linotype" w:eastAsia="Palatino Linotype" w:hAnsi="Palatino Linotype" w:cs="Palatino Linotype"/>
        <w:b/>
        <w:noProof/>
        <w:color w:val="000000"/>
        <w:sz w:val="20"/>
        <w:szCs w:val="20"/>
      </w:rPr>
      <w:t>25</w:t>
    </w:r>
    <w:r>
      <w:rPr>
        <w:rFonts w:ascii="Palatino Linotype" w:eastAsia="Palatino Linotype" w:hAnsi="Palatino Linotype" w:cs="Palatino Linotype"/>
        <w:b/>
        <w:color w:val="000000"/>
        <w:sz w:val="20"/>
        <w:szCs w:val="20"/>
      </w:rPr>
      <w:fldChar w:fldCharType="end"/>
    </w:r>
  </w:p>
  <w:p w14:paraId="1ABBB263" w14:textId="77777777" w:rsidR="0018704D" w:rsidRDefault="0018704D">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CAD6B" w14:textId="77777777" w:rsidR="003662CB" w:rsidRDefault="003662CB">
      <w:r>
        <w:separator/>
      </w:r>
    </w:p>
  </w:footnote>
  <w:footnote w:type="continuationSeparator" w:id="0">
    <w:p w14:paraId="3975E4A6" w14:textId="77777777" w:rsidR="003662CB" w:rsidRDefault="003662CB">
      <w:r>
        <w:continuationSeparator/>
      </w:r>
    </w:p>
  </w:footnote>
  <w:footnote w:id="1">
    <w:p w14:paraId="490A832C" w14:textId="77777777" w:rsidR="0018704D" w:rsidRDefault="0018704D" w:rsidP="000F017C">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Tesis [A]: 2a. Semanario Judicial de la Federación, Sexta Época, Volumen LII, Tercera Parte, p. 101, Reg. digital </w:t>
      </w:r>
      <w:r>
        <w:rPr>
          <w:rFonts w:ascii="Palatino Linotype" w:eastAsia="Palatino Linotype" w:hAnsi="Palatino Linotype" w:cs="Palatino Linotype"/>
          <w:color w:val="212529"/>
          <w:sz w:val="16"/>
          <w:szCs w:val="16"/>
          <w:highlight w:val="white"/>
        </w:rPr>
        <w:t>267287.</w:t>
      </w:r>
    </w:p>
  </w:footnote>
  <w:footnote w:id="2">
    <w:p w14:paraId="03283CF0" w14:textId="77777777" w:rsidR="0018704D" w:rsidRPr="00A702AC" w:rsidRDefault="0018704D">
      <w:pPr>
        <w:jc w:val="both"/>
        <w:rPr>
          <w:rFonts w:ascii="Palatino Linotype" w:eastAsia="Palatino Linotype" w:hAnsi="Palatino Linotype" w:cs="Palatino Linotype"/>
          <w:color w:val="000000"/>
          <w:sz w:val="16"/>
          <w:szCs w:val="16"/>
        </w:rPr>
      </w:pPr>
      <w:r w:rsidRPr="00A702AC">
        <w:rPr>
          <w:rFonts w:ascii="Palatino Linotype" w:hAnsi="Palatino Linotype"/>
          <w:sz w:val="16"/>
          <w:szCs w:val="16"/>
          <w:vertAlign w:val="superscript"/>
        </w:rPr>
        <w:footnoteRef/>
      </w:r>
      <w:r w:rsidRPr="00A702AC">
        <w:rPr>
          <w:rFonts w:ascii="Palatino Linotype" w:eastAsia="Palatino Linotype" w:hAnsi="Palatino Linotype" w:cs="Palatino Linotype"/>
          <w:color w:val="000000"/>
          <w:sz w:val="16"/>
          <w:szCs w:val="16"/>
        </w:rPr>
        <w:t xml:space="preserve"> </w:t>
      </w:r>
      <w:r w:rsidRPr="00A702AC">
        <w:rPr>
          <w:rFonts w:ascii="Palatino Linotype" w:eastAsia="Palatino Linotype" w:hAnsi="Palatino Linotype" w:cs="Palatino Linotype"/>
          <w:b/>
          <w:color w:val="000000"/>
          <w:sz w:val="16"/>
          <w:szCs w:val="16"/>
        </w:rPr>
        <w:t>Cuerpo de tesis:</w:t>
      </w:r>
      <w:r w:rsidRPr="00A702AC">
        <w:rPr>
          <w:rFonts w:ascii="Palatino Linotype" w:eastAsia="Palatino Linotype" w:hAnsi="Palatino Linotype" w:cs="Palatino Linotype"/>
          <w:color w:val="000000"/>
          <w:sz w:val="16"/>
          <w:szCs w:val="16"/>
        </w:rPr>
        <w:t xml:space="preserve"> No causa agravio la sentencia que no se ocupa de los razonamientos tendientes a demostrar la inconstitucionalidad de los actos reclamados de las autoridades responsables, que constituyen el problema de fondo, si se decreta el sobreseimiento del juicio.</w:t>
      </w:r>
    </w:p>
    <w:p w14:paraId="39B66B93" w14:textId="77777777" w:rsidR="0018704D" w:rsidRPr="00A702AC" w:rsidRDefault="0018704D">
      <w:pPr>
        <w:jc w:val="both"/>
        <w:rPr>
          <w:rFonts w:ascii="Palatino Linotype" w:eastAsia="Palatino Linotype" w:hAnsi="Palatino Linotype" w:cs="Palatino Linotype"/>
          <w:color w:val="000000"/>
          <w:sz w:val="16"/>
          <w:szCs w:val="16"/>
        </w:rPr>
      </w:pPr>
      <w:r w:rsidRPr="00A702AC">
        <w:rPr>
          <w:rFonts w:ascii="Palatino Linotype" w:eastAsia="Palatino Linotype" w:hAnsi="Palatino Linotype" w:cs="Palatino Linotype"/>
          <w:b/>
          <w:color w:val="000000"/>
          <w:sz w:val="16"/>
          <w:szCs w:val="16"/>
        </w:rPr>
        <w:t>Localización</w:t>
      </w:r>
      <w:r w:rsidRPr="00A702AC">
        <w:rPr>
          <w:rFonts w:ascii="Palatino Linotype" w:eastAsia="Palatino Linotype" w:hAnsi="Palatino Linotype" w:cs="Palatino Linotype"/>
          <w:color w:val="000000"/>
          <w:sz w:val="16"/>
          <w:szCs w:val="16"/>
        </w:rPr>
        <w:t>: 2</w:t>
      </w:r>
      <w:r w:rsidRPr="00A702AC">
        <w:rPr>
          <w:rFonts w:ascii="Palatino Linotype" w:eastAsia="Palatino Linotype" w:hAnsi="Palatino Linotype" w:cs="Palatino Linotype"/>
          <w:color w:val="000000"/>
          <w:sz w:val="16"/>
          <w:szCs w:val="16"/>
          <w:highlight w:val="white"/>
        </w:rPr>
        <w:t>13609. II.2o.183 K. Tribunales Colegiados de Circuito. Octava Época. Semanario Judicial de la Federación. Tomo XIII, Febrero de 1994, Pág. 420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907C" w14:textId="77777777" w:rsidR="0018704D" w:rsidRDefault="0018704D">
    <w:pPr>
      <w:rPr>
        <w:rFonts w:ascii="Cambria" w:eastAsia="Cambria" w:hAnsi="Cambria" w:cs="Cambria"/>
        <w:color w:val="000000"/>
      </w:rPr>
    </w:pPr>
    <w:r>
      <w:rPr>
        <w:noProof/>
      </w:rPr>
      <w:drawing>
        <wp:anchor distT="0" distB="0" distL="0" distR="0" simplePos="0" relativeHeight="251658240" behindDoc="1" locked="0" layoutInCell="1" hidden="0" allowOverlap="1" wp14:anchorId="319AC1B0" wp14:editId="190555CE">
          <wp:simplePos x="0" y="0"/>
          <wp:positionH relativeFrom="column">
            <wp:posOffset>-1080119</wp:posOffset>
          </wp:positionH>
          <wp:positionV relativeFrom="paragraph">
            <wp:posOffset>-488297</wp:posOffset>
          </wp:positionV>
          <wp:extent cx="7809865" cy="10165715"/>
          <wp:effectExtent l="0" t="0" r="0" b="0"/>
          <wp:wrapNone/>
          <wp:docPr id="201975761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
      <w:tblW w:w="5953" w:type="dxa"/>
      <w:tblInd w:w="3261" w:type="dxa"/>
      <w:tblLayout w:type="fixed"/>
      <w:tblLook w:val="0400" w:firstRow="0" w:lastRow="0" w:firstColumn="0" w:lastColumn="0" w:noHBand="0" w:noVBand="1"/>
    </w:tblPr>
    <w:tblGrid>
      <w:gridCol w:w="2489"/>
      <w:gridCol w:w="3464"/>
    </w:tblGrid>
    <w:tr w:rsidR="0018704D" w14:paraId="71E39EE5" w14:textId="77777777">
      <w:tc>
        <w:tcPr>
          <w:tcW w:w="2489" w:type="dxa"/>
          <w:shd w:val="clear" w:color="auto" w:fill="auto"/>
        </w:tcPr>
        <w:p w14:paraId="31F5B61F" w14:textId="77777777" w:rsidR="0018704D" w:rsidRDefault="0018704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3A588B45" w14:textId="2E5F7FE5" w:rsidR="0018704D" w:rsidRDefault="0018704D" w:rsidP="00AB7021">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01609/INFOEM/IP/RR/2024</w:t>
          </w:r>
        </w:p>
      </w:tc>
    </w:tr>
    <w:tr w:rsidR="0018704D" w14:paraId="609CACF9" w14:textId="77777777">
      <w:trPr>
        <w:trHeight w:val="228"/>
      </w:trPr>
      <w:tc>
        <w:tcPr>
          <w:tcW w:w="2489" w:type="dxa"/>
          <w:shd w:val="clear" w:color="auto" w:fill="auto"/>
          <w:vAlign w:val="center"/>
        </w:tcPr>
        <w:p w14:paraId="4453A64F" w14:textId="77777777" w:rsidR="0018704D" w:rsidRDefault="0018704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58200CEC" w14:textId="5B6CCF47" w:rsidR="0018704D" w:rsidRDefault="0018704D">
          <w:pPr>
            <w:ind w:left="-45" w:right="176"/>
            <w:jc w:val="both"/>
            <w:rPr>
              <w:rFonts w:ascii="Palatino Linotype" w:eastAsia="Palatino Linotype" w:hAnsi="Palatino Linotype" w:cs="Palatino Linotype"/>
              <w:b/>
              <w:sz w:val="22"/>
              <w:szCs w:val="22"/>
            </w:rPr>
          </w:pPr>
          <w:r w:rsidRPr="00AB7021">
            <w:rPr>
              <w:rFonts w:ascii="Palatino Linotype" w:eastAsia="Palatino Linotype" w:hAnsi="Palatino Linotype" w:cs="Palatino Linotype"/>
              <w:b/>
              <w:sz w:val="22"/>
              <w:szCs w:val="22"/>
            </w:rPr>
            <w:t>Organismo Público Descentralizado para la Prestación de Los Servicios de Agua Potable Alcantarillado y Saneamiento de Atizapán de Zaragoza por sus siglas S.A.P.A.S.A.</w:t>
          </w:r>
        </w:p>
      </w:tc>
    </w:tr>
    <w:tr w:rsidR="0018704D" w14:paraId="70BE2A35" w14:textId="77777777">
      <w:tc>
        <w:tcPr>
          <w:tcW w:w="2489" w:type="dxa"/>
          <w:shd w:val="clear" w:color="auto" w:fill="auto"/>
          <w:vAlign w:val="center"/>
        </w:tcPr>
        <w:p w14:paraId="75A4B43B" w14:textId="77777777" w:rsidR="0018704D" w:rsidRDefault="0018704D">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4AA32B3A" w14:textId="77777777" w:rsidR="0018704D" w:rsidRDefault="0018704D">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A6620CC" w14:textId="77777777" w:rsidR="0018704D" w:rsidRDefault="0018704D">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41F5C" w14:textId="77777777" w:rsidR="0018704D" w:rsidRDefault="0018704D">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7CB983A5" wp14:editId="73FC398A">
          <wp:simplePos x="0" y="0"/>
          <wp:positionH relativeFrom="column">
            <wp:posOffset>-1079497</wp:posOffset>
          </wp:positionH>
          <wp:positionV relativeFrom="paragraph">
            <wp:posOffset>-328927</wp:posOffset>
          </wp:positionV>
          <wp:extent cx="7809865" cy="10165715"/>
          <wp:effectExtent l="0" t="0" r="0" b="0"/>
          <wp:wrapNone/>
          <wp:docPr id="201975760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e"/>
      <w:tblW w:w="5670" w:type="dxa"/>
      <w:tblInd w:w="3261" w:type="dxa"/>
      <w:tblLayout w:type="fixed"/>
      <w:tblLook w:val="0400" w:firstRow="0" w:lastRow="0" w:firstColumn="0" w:lastColumn="0" w:noHBand="0" w:noVBand="1"/>
    </w:tblPr>
    <w:tblGrid>
      <w:gridCol w:w="2551"/>
      <w:gridCol w:w="3119"/>
    </w:tblGrid>
    <w:tr w:rsidR="0018704D" w14:paraId="662CAF31" w14:textId="77777777">
      <w:tc>
        <w:tcPr>
          <w:tcW w:w="2551" w:type="dxa"/>
          <w:shd w:val="clear" w:color="auto" w:fill="auto"/>
          <w:vAlign w:val="center"/>
        </w:tcPr>
        <w:p w14:paraId="4B03BE06" w14:textId="77777777" w:rsidR="0018704D" w:rsidRDefault="0018704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699DCF75" w14:textId="6980F85D" w:rsidR="0018704D" w:rsidRDefault="0018704D" w:rsidP="00AB7021">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01609/INFOEM/IP/RR/2024</w:t>
          </w:r>
        </w:p>
      </w:tc>
    </w:tr>
    <w:tr w:rsidR="0018704D" w14:paraId="5318FC46" w14:textId="77777777">
      <w:trPr>
        <w:trHeight w:val="130"/>
      </w:trPr>
      <w:tc>
        <w:tcPr>
          <w:tcW w:w="2551" w:type="dxa"/>
          <w:shd w:val="clear" w:color="auto" w:fill="auto"/>
          <w:vAlign w:val="center"/>
        </w:tcPr>
        <w:p w14:paraId="5B49D606" w14:textId="77777777" w:rsidR="0018704D" w:rsidRDefault="0018704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3AA47B3F" w14:textId="586F8769" w:rsidR="0018704D" w:rsidRDefault="0018704D">
          <w:pPr>
            <w:ind w:left="-45"/>
            <w:jc w:val="both"/>
            <w:rPr>
              <w:rFonts w:ascii="Palatino Linotype" w:eastAsia="Palatino Linotype" w:hAnsi="Palatino Linotype" w:cs="Palatino Linotype"/>
              <w:b/>
              <w:sz w:val="22"/>
              <w:szCs w:val="22"/>
            </w:rPr>
          </w:pPr>
        </w:p>
      </w:tc>
    </w:tr>
    <w:tr w:rsidR="0018704D" w14:paraId="75341320" w14:textId="77777777">
      <w:trPr>
        <w:trHeight w:val="228"/>
      </w:trPr>
      <w:tc>
        <w:tcPr>
          <w:tcW w:w="2551" w:type="dxa"/>
          <w:shd w:val="clear" w:color="auto" w:fill="auto"/>
          <w:vAlign w:val="center"/>
        </w:tcPr>
        <w:p w14:paraId="0092E1D9" w14:textId="77777777" w:rsidR="0018704D" w:rsidRDefault="0018704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1DEF0233" w14:textId="390FCEFE" w:rsidR="0018704D" w:rsidRDefault="0018704D">
          <w:pPr>
            <w:ind w:left="-45" w:right="176"/>
            <w:jc w:val="both"/>
            <w:rPr>
              <w:rFonts w:ascii="Palatino Linotype" w:eastAsia="Palatino Linotype" w:hAnsi="Palatino Linotype" w:cs="Palatino Linotype"/>
              <w:b/>
              <w:sz w:val="22"/>
              <w:szCs w:val="22"/>
            </w:rPr>
          </w:pPr>
          <w:r w:rsidRPr="00AB7021">
            <w:rPr>
              <w:rFonts w:ascii="Palatino Linotype" w:eastAsia="Palatino Linotype" w:hAnsi="Palatino Linotype" w:cs="Palatino Linotype"/>
              <w:b/>
              <w:sz w:val="22"/>
              <w:szCs w:val="22"/>
            </w:rPr>
            <w:t>Organismo Público Descentralizado para la Prestación de Los Servicios de Agua Potable Alcantarillado y Saneamiento de Atizapán de Zaragoza por sus siglas S.A.P.A.S.A.</w:t>
          </w:r>
        </w:p>
      </w:tc>
    </w:tr>
    <w:tr w:rsidR="0018704D" w14:paraId="01CADEB0" w14:textId="77777777">
      <w:tc>
        <w:tcPr>
          <w:tcW w:w="2551" w:type="dxa"/>
          <w:shd w:val="clear" w:color="auto" w:fill="auto"/>
          <w:vAlign w:val="center"/>
        </w:tcPr>
        <w:p w14:paraId="69CEAB98" w14:textId="77777777" w:rsidR="0018704D" w:rsidRDefault="0018704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3899DD48" w14:textId="77777777" w:rsidR="0018704D" w:rsidRDefault="0018704D">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ECDBD02" w14:textId="77777777" w:rsidR="0018704D" w:rsidRDefault="0018704D">
    <w:pPr>
      <w:pBdr>
        <w:top w:val="nil"/>
        <w:left w:val="nil"/>
        <w:bottom w:val="nil"/>
        <w:right w:val="nil"/>
        <w:between w:val="nil"/>
      </w:pBdr>
      <w:tabs>
        <w:tab w:val="center" w:pos="4252"/>
        <w:tab w:val="right" w:pos="8504"/>
      </w:tabs>
      <w:rPr>
        <w:rFonts w:ascii="Cambria" w:eastAsia="Cambria" w:hAnsi="Cambria" w:cs="Cambria"/>
        <w:color w:val="000000"/>
      </w:rPr>
    </w:pPr>
  </w:p>
  <w:p w14:paraId="15D8E2FA" w14:textId="77777777" w:rsidR="0018704D" w:rsidRDefault="001870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04767"/>
    <w:multiLevelType w:val="multilevel"/>
    <w:tmpl w:val="01FA1DD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450A4069"/>
    <w:multiLevelType w:val="multilevel"/>
    <w:tmpl w:val="7E4487B2"/>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94E60E8"/>
    <w:multiLevelType w:val="multilevel"/>
    <w:tmpl w:val="EA88FCF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90C"/>
    <w:rsid w:val="0000399A"/>
    <w:rsid w:val="00011FFF"/>
    <w:rsid w:val="0002433F"/>
    <w:rsid w:val="00030355"/>
    <w:rsid w:val="00031C00"/>
    <w:rsid w:val="00037DE9"/>
    <w:rsid w:val="00041D6A"/>
    <w:rsid w:val="00050370"/>
    <w:rsid w:val="000859AF"/>
    <w:rsid w:val="00090197"/>
    <w:rsid w:val="00096E06"/>
    <w:rsid w:val="00097ABC"/>
    <w:rsid w:val="000A0FAA"/>
    <w:rsid w:val="000B7300"/>
    <w:rsid w:val="000D3D7F"/>
    <w:rsid w:val="000F0116"/>
    <w:rsid w:val="000F017C"/>
    <w:rsid w:val="000F5278"/>
    <w:rsid w:val="00106984"/>
    <w:rsid w:val="00127CC6"/>
    <w:rsid w:val="001617F5"/>
    <w:rsid w:val="00163420"/>
    <w:rsid w:val="00170538"/>
    <w:rsid w:val="00172540"/>
    <w:rsid w:val="00181107"/>
    <w:rsid w:val="001858F8"/>
    <w:rsid w:val="0018704D"/>
    <w:rsid w:val="0019320E"/>
    <w:rsid w:val="0019541D"/>
    <w:rsid w:val="00195934"/>
    <w:rsid w:val="00195D75"/>
    <w:rsid w:val="001A540E"/>
    <w:rsid w:val="001A7274"/>
    <w:rsid w:val="001B211C"/>
    <w:rsid w:val="001B6CEF"/>
    <w:rsid w:val="001C5C8D"/>
    <w:rsid w:val="001F081D"/>
    <w:rsid w:val="001F5616"/>
    <w:rsid w:val="001F749F"/>
    <w:rsid w:val="00251B40"/>
    <w:rsid w:val="00252A97"/>
    <w:rsid w:val="00265911"/>
    <w:rsid w:val="002718B4"/>
    <w:rsid w:val="00280E2D"/>
    <w:rsid w:val="0028609B"/>
    <w:rsid w:val="002B57B0"/>
    <w:rsid w:val="002D48AB"/>
    <w:rsid w:val="002E0120"/>
    <w:rsid w:val="002E2B25"/>
    <w:rsid w:val="002E2EEE"/>
    <w:rsid w:val="002E70DE"/>
    <w:rsid w:val="002F4C45"/>
    <w:rsid w:val="00301E9E"/>
    <w:rsid w:val="00307658"/>
    <w:rsid w:val="0031006F"/>
    <w:rsid w:val="00312DB2"/>
    <w:rsid w:val="003144E0"/>
    <w:rsid w:val="0032708C"/>
    <w:rsid w:val="003378AB"/>
    <w:rsid w:val="00341A6C"/>
    <w:rsid w:val="00350B39"/>
    <w:rsid w:val="003662CB"/>
    <w:rsid w:val="003665E4"/>
    <w:rsid w:val="00373232"/>
    <w:rsid w:val="0038268D"/>
    <w:rsid w:val="0039302B"/>
    <w:rsid w:val="00395FD5"/>
    <w:rsid w:val="003D0681"/>
    <w:rsid w:val="003D166B"/>
    <w:rsid w:val="003E438D"/>
    <w:rsid w:val="003F3D0A"/>
    <w:rsid w:val="003F5FCA"/>
    <w:rsid w:val="0041460C"/>
    <w:rsid w:val="004552A5"/>
    <w:rsid w:val="00457E90"/>
    <w:rsid w:val="00460DCF"/>
    <w:rsid w:val="00475434"/>
    <w:rsid w:val="004918F8"/>
    <w:rsid w:val="00496259"/>
    <w:rsid w:val="004A6C5D"/>
    <w:rsid w:val="004C0E3A"/>
    <w:rsid w:val="004E6E8C"/>
    <w:rsid w:val="005069F9"/>
    <w:rsid w:val="005124B5"/>
    <w:rsid w:val="00514943"/>
    <w:rsid w:val="005256C7"/>
    <w:rsid w:val="00537B04"/>
    <w:rsid w:val="0054182B"/>
    <w:rsid w:val="005636EF"/>
    <w:rsid w:val="005764AB"/>
    <w:rsid w:val="005A0021"/>
    <w:rsid w:val="005A7E7D"/>
    <w:rsid w:val="005B2591"/>
    <w:rsid w:val="005B61AD"/>
    <w:rsid w:val="005F53CF"/>
    <w:rsid w:val="0060350A"/>
    <w:rsid w:val="00611E79"/>
    <w:rsid w:val="00625028"/>
    <w:rsid w:val="006377E0"/>
    <w:rsid w:val="00665820"/>
    <w:rsid w:val="006658CB"/>
    <w:rsid w:val="00677B51"/>
    <w:rsid w:val="0068205E"/>
    <w:rsid w:val="006A5596"/>
    <w:rsid w:val="006B2720"/>
    <w:rsid w:val="006B7087"/>
    <w:rsid w:val="006D6F42"/>
    <w:rsid w:val="006F78C0"/>
    <w:rsid w:val="007404A8"/>
    <w:rsid w:val="007571F8"/>
    <w:rsid w:val="0076131F"/>
    <w:rsid w:val="007863C7"/>
    <w:rsid w:val="007939DC"/>
    <w:rsid w:val="00793DC6"/>
    <w:rsid w:val="00794F4C"/>
    <w:rsid w:val="007E2FE5"/>
    <w:rsid w:val="007E3695"/>
    <w:rsid w:val="0080345C"/>
    <w:rsid w:val="00864F22"/>
    <w:rsid w:val="008653A1"/>
    <w:rsid w:val="00867D01"/>
    <w:rsid w:val="00872B0C"/>
    <w:rsid w:val="0087558B"/>
    <w:rsid w:val="00877043"/>
    <w:rsid w:val="00877359"/>
    <w:rsid w:val="00880C4B"/>
    <w:rsid w:val="008908F4"/>
    <w:rsid w:val="008960B3"/>
    <w:rsid w:val="008968E8"/>
    <w:rsid w:val="008A16C3"/>
    <w:rsid w:val="008A412A"/>
    <w:rsid w:val="008C633C"/>
    <w:rsid w:val="008E2DA5"/>
    <w:rsid w:val="008F0CF9"/>
    <w:rsid w:val="008F2377"/>
    <w:rsid w:val="008F5B10"/>
    <w:rsid w:val="00914B92"/>
    <w:rsid w:val="00935AEB"/>
    <w:rsid w:val="00961007"/>
    <w:rsid w:val="00976307"/>
    <w:rsid w:val="00977786"/>
    <w:rsid w:val="009804BC"/>
    <w:rsid w:val="00981E85"/>
    <w:rsid w:val="009853EC"/>
    <w:rsid w:val="00995B34"/>
    <w:rsid w:val="009C4A47"/>
    <w:rsid w:val="009F3C41"/>
    <w:rsid w:val="00A030E8"/>
    <w:rsid w:val="00A2367B"/>
    <w:rsid w:val="00A23E8E"/>
    <w:rsid w:val="00A3473B"/>
    <w:rsid w:val="00A376D5"/>
    <w:rsid w:val="00A475E2"/>
    <w:rsid w:val="00A53FFF"/>
    <w:rsid w:val="00A55D38"/>
    <w:rsid w:val="00A579D6"/>
    <w:rsid w:val="00A63A8A"/>
    <w:rsid w:val="00A702AC"/>
    <w:rsid w:val="00A80043"/>
    <w:rsid w:val="00A83A14"/>
    <w:rsid w:val="00A8507F"/>
    <w:rsid w:val="00AB04C4"/>
    <w:rsid w:val="00AB3982"/>
    <w:rsid w:val="00AB6AD4"/>
    <w:rsid w:val="00AB6E7B"/>
    <w:rsid w:val="00AB7021"/>
    <w:rsid w:val="00AC4D54"/>
    <w:rsid w:val="00AC7827"/>
    <w:rsid w:val="00AD52F6"/>
    <w:rsid w:val="00AF4555"/>
    <w:rsid w:val="00AF6C13"/>
    <w:rsid w:val="00AF7317"/>
    <w:rsid w:val="00B66649"/>
    <w:rsid w:val="00B750FD"/>
    <w:rsid w:val="00B8081C"/>
    <w:rsid w:val="00BA09E8"/>
    <w:rsid w:val="00BA6B23"/>
    <w:rsid w:val="00BB1988"/>
    <w:rsid w:val="00BB390C"/>
    <w:rsid w:val="00BC16F8"/>
    <w:rsid w:val="00BC5E98"/>
    <w:rsid w:val="00BE73A4"/>
    <w:rsid w:val="00BF1514"/>
    <w:rsid w:val="00C0428D"/>
    <w:rsid w:val="00C20E7B"/>
    <w:rsid w:val="00C25033"/>
    <w:rsid w:val="00C26674"/>
    <w:rsid w:val="00C35345"/>
    <w:rsid w:val="00CD68B3"/>
    <w:rsid w:val="00CD7EEF"/>
    <w:rsid w:val="00CE4A03"/>
    <w:rsid w:val="00CF05FB"/>
    <w:rsid w:val="00D02A0A"/>
    <w:rsid w:val="00D13844"/>
    <w:rsid w:val="00D3326C"/>
    <w:rsid w:val="00D33699"/>
    <w:rsid w:val="00D55D62"/>
    <w:rsid w:val="00D722D4"/>
    <w:rsid w:val="00D81AA8"/>
    <w:rsid w:val="00DA1190"/>
    <w:rsid w:val="00DC776D"/>
    <w:rsid w:val="00DD712F"/>
    <w:rsid w:val="00E030FE"/>
    <w:rsid w:val="00E075A9"/>
    <w:rsid w:val="00E40C6A"/>
    <w:rsid w:val="00E47AA6"/>
    <w:rsid w:val="00E60E9E"/>
    <w:rsid w:val="00E87988"/>
    <w:rsid w:val="00EA74F0"/>
    <w:rsid w:val="00EB4357"/>
    <w:rsid w:val="00EC6BB3"/>
    <w:rsid w:val="00ED68A9"/>
    <w:rsid w:val="00EE05F4"/>
    <w:rsid w:val="00EE0B3C"/>
    <w:rsid w:val="00EF6C82"/>
    <w:rsid w:val="00F00609"/>
    <w:rsid w:val="00F34D52"/>
    <w:rsid w:val="00F447EC"/>
    <w:rsid w:val="00F478D1"/>
    <w:rsid w:val="00F53F2A"/>
    <w:rsid w:val="00F956F4"/>
    <w:rsid w:val="00FA4B3E"/>
    <w:rsid w:val="00FB3C99"/>
    <w:rsid w:val="00FD40CE"/>
    <w:rsid w:val="00FE7D24"/>
    <w:rsid w:val="00FF3A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47735"/>
  <w15:docId w15:val="{CB31C3C2-3B96-4B5B-B660-B5D62E38F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9">
    <w:name w:val="Table Normal9"/>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0">
    <w:name w:val="Table Normal5"/>
    <w:tblPr>
      <w:tblCellMar>
        <w:top w:w="0" w:type="dxa"/>
        <w:left w:w="0" w:type="dxa"/>
        <w:bottom w:w="0" w:type="dxa"/>
        <w:right w:w="0" w:type="dxa"/>
      </w:tblCellMar>
    </w:tblPr>
  </w:style>
  <w:style w:type="table" w:customStyle="1" w:styleId="TableNormal40">
    <w:name w:val="Table Normal4"/>
    <w:tblPr>
      <w:tblCellMar>
        <w:top w:w="0" w:type="dxa"/>
        <w:left w:w="0" w:type="dxa"/>
        <w:bottom w:w="0" w:type="dxa"/>
        <w:right w:w="0" w:type="dxa"/>
      </w:tblCellMar>
    </w:tblPr>
  </w:style>
  <w:style w:type="table" w:customStyle="1" w:styleId="TableNormal30">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INAI"/>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5">
    <w:name w:val="5"/>
    <w:basedOn w:val="TableNormal1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table" w:customStyle="1" w:styleId="2">
    <w:name w:val="2"/>
    <w:basedOn w:val="TableNormal10"/>
    <w:tblPr>
      <w:tblStyleRowBandSize w:val="1"/>
      <w:tblStyleColBandSize w:val="1"/>
      <w:tblCellMar>
        <w:left w:w="115" w:type="dxa"/>
        <w:right w:w="115" w:type="dxa"/>
      </w:tblCellMar>
    </w:tblPr>
  </w:style>
  <w:style w:type="table" w:customStyle="1" w:styleId="1">
    <w:name w:val="1"/>
    <w:basedOn w:val="TableNormal10"/>
    <w:tblPr>
      <w:tblStyleRowBandSize w:val="1"/>
      <w:tblStyleColBandSize w:val="1"/>
      <w:tblCellMar>
        <w:left w:w="115" w:type="dxa"/>
        <w:right w:w="115" w:type="dxa"/>
      </w:tblCellMar>
    </w:tblPr>
  </w:style>
  <w:style w:type="table" w:customStyle="1" w:styleId="9">
    <w:name w:val="9"/>
    <w:basedOn w:val="TableNormal20"/>
    <w:tblPr>
      <w:tblStyleRowBandSize w:val="1"/>
      <w:tblStyleColBandSize w:val="1"/>
      <w:tblCellMar>
        <w:left w:w="115" w:type="dxa"/>
        <w:right w:w="115" w:type="dxa"/>
      </w:tblCellMar>
    </w:tblPr>
  </w:style>
  <w:style w:type="table" w:customStyle="1" w:styleId="8">
    <w:name w:val="8"/>
    <w:basedOn w:val="TableNormal20"/>
    <w:tblPr>
      <w:tblStyleRowBandSize w:val="1"/>
      <w:tblStyleColBandSize w:val="1"/>
      <w:tblCellMar>
        <w:left w:w="115" w:type="dxa"/>
        <w:right w:w="115" w:type="dxa"/>
      </w:tblCellMar>
    </w:tblPr>
  </w:style>
  <w:style w:type="table" w:customStyle="1" w:styleId="7">
    <w:name w:val="7"/>
    <w:basedOn w:val="TableNormal30"/>
    <w:tblPr>
      <w:tblStyleRowBandSize w:val="1"/>
      <w:tblStyleColBandSize w:val="1"/>
      <w:tblCellMar>
        <w:left w:w="115" w:type="dxa"/>
        <w:right w:w="115" w:type="dxa"/>
      </w:tblCellMar>
    </w:tblPr>
  </w:style>
  <w:style w:type="table" w:customStyle="1" w:styleId="6">
    <w:name w:val="6"/>
    <w:basedOn w:val="TableNormal30"/>
    <w:tblPr>
      <w:tblStyleRowBandSize w:val="1"/>
      <w:tblStyleColBandSize w:val="1"/>
      <w:tblCellMar>
        <w:left w:w="115" w:type="dxa"/>
        <w:right w:w="115" w:type="dxa"/>
      </w:tblCellMar>
    </w:tblPr>
  </w:style>
  <w:style w:type="table" w:customStyle="1" w:styleId="20">
    <w:name w:val="20"/>
    <w:basedOn w:val="TableNormal40"/>
    <w:tblPr>
      <w:tblStyleRowBandSize w:val="1"/>
      <w:tblStyleColBandSize w:val="1"/>
      <w:tblCellMar>
        <w:left w:w="115" w:type="dxa"/>
        <w:right w:w="115" w:type="dxa"/>
      </w:tblCellMar>
    </w:tblPr>
  </w:style>
  <w:style w:type="table" w:customStyle="1" w:styleId="19">
    <w:name w:val="19"/>
    <w:basedOn w:val="TableNormal40"/>
    <w:tblPr>
      <w:tblStyleRowBandSize w:val="1"/>
      <w:tblStyleColBandSize w:val="1"/>
      <w:tblCellMar>
        <w:left w:w="115" w:type="dxa"/>
        <w:right w:w="115" w:type="dxa"/>
      </w:tblCellMar>
    </w:tblPr>
  </w:style>
  <w:style w:type="table" w:customStyle="1" w:styleId="18">
    <w:name w:val="18"/>
    <w:basedOn w:val="TableNormal50"/>
    <w:tblPr>
      <w:tblStyleRowBandSize w:val="1"/>
      <w:tblStyleColBandSize w:val="1"/>
      <w:tblCellMar>
        <w:left w:w="115" w:type="dxa"/>
        <w:right w:w="115" w:type="dxa"/>
      </w:tblCellMar>
    </w:tblPr>
  </w:style>
  <w:style w:type="table" w:customStyle="1" w:styleId="17">
    <w:name w:val="17"/>
    <w:basedOn w:val="TableNormal50"/>
    <w:tblPr>
      <w:tblStyleRowBandSize w:val="1"/>
      <w:tblStyleColBandSize w:val="1"/>
      <w:tblCellMar>
        <w:left w:w="115" w:type="dxa"/>
        <w:right w:w="115" w:type="dxa"/>
      </w:tblCellMar>
    </w:tblPr>
  </w:style>
  <w:style w:type="table" w:customStyle="1" w:styleId="16">
    <w:name w:val="16"/>
    <w:basedOn w:val="TableNormal6"/>
    <w:tblPr>
      <w:tblStyleRowBandSize w:val="1"/>
      <w:tblStyleColBandSize w:val="1"/>
      <w:tblCellMar>
        <w:left w:w="115" w:type="dxa"/>
        <w:right w:w="115" w:type="dxa"/>
      </w:tblCellMar>
    </w:tblPr>
  </w:style>
  <w:style w:type="table" w:customStyle="1" w:styleId="15">
    <w:name w:val="15"/>
    <w:basedOn w:val="TableNormal6"/>
    <w:tblPr>
      <w:tblStyleRowBandSize w:val="1"/>
      <w:tblStyleColBandSize w:val="1"/>
      <w:tblCellMar>
        <w:left w:w="115" w:type="dxa"/>
        <w:right w:w="115" w:type="dxa"/>
      </w:tblCellMar>
    </w:tblPr>
  </w:style>
  <w:style w:type="table" w:customStyle="1" w:styleId="14">
    <w:name w:val="14"/>
    <w:basedOn w:val="TableNormal7"/>
    <w:tblPr>
      <w:tblStyleRowBandSize w:val="1"/>
      <w:tblStyleColBandSize w:val="1"/>
      <w:tblCellMar>
        <w:left w:w="115" w:type="dxa"/>
        <w:right w:w="115" w:type="dxa"/>
      </w:tblCellMar>
    </w:tblPr>
  </w:style>
  <w:style w:type="table" w:customStyle="1" w:styleId="13">
    <w:name w:val="13"/>
    <w:basedOn w:val="TableNormal7"/>
    <w:tblPr>
      <w:tblStyleRowBandSize w:val="1"/>
      <w:tblStyleColBandSize w:val="1"/>
      <w:tblCellMar>
        <w:left w:w="115" w:type="dxa"/>
        <w:right w:w="115" w:type="dxa"/>
      </w:tblCellMar>
    </w:tblPr>
  </w:style>
  <w:style w:type="character" w:customStyle="1" w:styleId="rse6dlih">
    <w:name w:val="rse6dlih"/>
    <w:basedOn w:val="Fuentedeprrafopredeter"/>
    <w:rsid w:val="00190860"/>
  </w:style>
  <w:style w:type="table" w:customStyle="1" w:styleId="12">
    <w:name w:val="12"/>
    <w:basedOn w:val="TableNormal8"/>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11">
    <w:name w:val="11"/>
    <w:basedOn w:val="TableNormal8"/>
    <w:tblPr>
      <w:tblStyleRowBandSize w:val="1"/>
      <w:tblStyleColBandSize w:val="1"/>
      <w:tblCellMar>
        <w:left w:w="115" w:type="dxa"/>
        <w:right w:w="115" w:type="dxa"/>
      </w:tblCellMar>
    </w:tblPr>
  </w:style>
  <w:style w:type="table" w:customStyle="1" w:styleId="10">
    <w:name w:val="10"/>
    <w:basedOn w:val="TableNormal8"/>
    <w:tblPr>
      <w:tblStyleRowBandSize w:val="1"/>
      <w:tblStyleColBandSize w:val="1"/>
      <w:tblCellMar>
        <w:left w:w="115" w:type="dxa"/>
        <w:right w:w="115" w:type="dxa"/>
      </w:tblCellMar>
    </w:tblPr>
  </w:style>
  <w:style w:type="table" w:customStyle="1" w:styleId="24">
    <w:name w:val="24"/>
    <w:basedOn w:val="TableNormal9"/>
    <w:tblPr>
      <w:tblStyleRowBandSize w:val="1"/>
      <w:tblStyleColBandSize w:val="1"/>
      <w:tblCellMar>
        <w:left w:w="115" w:type="dxa"/>
        <w:right w:w="115" w:type="dxa"/>
      </w:tblCellMar>
    </w:tblPr>
  </w:style>
  <w:style w:type="table" w:customStyle="1" w:styleId="23">
    <w:name w:val="23"/>
    <w:basedOn w:val="TableNormal9"/>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2">
    <w:name w:val="22"/>
    <w:basedOn w:val="TableNormal9"/>
    <w:tblPr>
      <w:tblStyleRowBandSize w:val="1"/>
      <w:tblStyleColBandSize w:val="1"/>
      <w:tblCellMar>
        <w:left w:w="115" w:type="dxa"/>
        <w:right w:w="115" w:type="dxa"/>
      </w:tblCellMar>
    </w:tblPr>
  </w:style>
  <w:style w:type="table" w:customStyle="1" w:styleId="21">
    <w:name w:val="21"/>
    <w:basedOn w:val="TableNormal9"/>
    <w:tblPr>
      <w:tblStyleRowBandSize w:val="1"/>
      <w:tblStyleColBandSize w:val="1"/>
      <w:tblCellMar>
        <w:left w:w="115" w:type="dxa"/>
        <w:right w:w="115" w:type="dxa"/>
      </w:tblCellMar>
    </w:tblPr>
  </w:style>
  <w:style w:type="table" w:customStyle="1" w:styleId="a">
    <w:basedOn w:val="TableNormal5"/>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5"/>
    <w:tblPr>
      <w:tblStyleRowBandSize w:val="1"/>
      <w:tblStyleColBandSize w:val="1"/>
      <w:tblCellMar>
        <w:left w:w="115" w:type="dxa"/>
        <w:right w:w="115" w:type="dxa"/>
      </w:tblCellMar>
    </w:tblPr>
  </w:style>
  <w:style w:type="table" w:customStyle="1" w:styleId="a2">
    <w:basedOn w:val="TableNormal5"/>
    <w:tblPr>
      <w:tblStyleRowBandSize w:val="1"/>
      <w:tblStyleColBandSize w:val="1"/>
      <w:tblCellMar>
        <w:left w:w="115" w:type="dxa"/>
        <w:right w:w="115" w:type="dxa"/>
      </w:tblCellMar>
    </w:tblPr>
  </w:style>
  <w:style w:type="table" w:customStyle="1" w:styleId="a3">
    <w:basedOn w:val="TableNormal4"/>
    <w:tblPr>
      <w:tblStyleRowBandSize w:val="1"/>
      <w:tblStyleColBandSize w:val="1"/>
      <w:tblCellMar>
        <w:left w:w="115" w:type="dxa"/>
        <w:right w:w="115"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4">
    <w:basedOn w:val="TableNormal4"/>
    <w:tblPr>
      <w:tblStyleRowBandSize w:val="1"/>
      <w:tblStyleColBandSize w:val="1"/>
      <w:tblCellMar>
        <w:left w:w="115" w:type="dxa"/>
        <w:right w:w="115" w:type="dxa"/>
      </w:tblCellMar>
    </w:tblPr>
  </w:style>
  <w:style w:type="table" w:customStyle="1" w:styleId="a5">
    <w:basedOn w:val="TableNormal4"/>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character" w:customStyle="1" w:styleId="Mencinsinresolver4">
    <w:name w:val="Mención sin resolver4"/>
    <w:basedOn w:val="Fuentedeprrafopredeter"/>
    <w:uiPriority w:val="99"/>
    <w:semiHidden/>
    <w:unhideWhenUsed/>
    <w:rsid w:val="00B70D09"/>
    <w:rPr>
      <w:color w:val="605E5C"/>
      <w:shd w:val="clear" w:color="auto" w:fill="E1DFDD"/>
    </w:rPr>
  </w:style>
  <w:style w:type="character" w:customStyle="1" w:styleId="Mencinsinresolver5">
    <w:name w:val="Mención sin resolver5"/>
    <w:basedOn w:val="Fuentedeprrafopredeter"/>
    <w:uiPriority w:val="99"/>
    <w:semiHidden/>
    <w:unhideWhenUsed/>
    <w:rsid w:val="00160ABB"/>
    <w:rPr>
      <w:color w:val="605E5C"/>
      <w:shd w:val="clear" w:color="auto" w:fill="E1DFDD"/>
    </w:rPr>
  </w:style>
  <w:style w:type="table" w:customStyle="1" w:styleId="a9">
    <w:basedOn w:val="TableNormal2"/>
    <w:tblPr>
      <w:tblStyleRowBandSize w:val="1"/>
      <w:tblStyleColBandSize w:val="1"/>
      <w:tblCellMar>
        <w:left w:w="108" w:type="dxa"/>
        <w:right w:w="108"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character" w:customStyle="1" w:styleId="Mencinsinresolver6">
    <w:name w:val="Mención sin resolver6"/>
    <w:basedOn w:val="Fuentedeprrafopredeter"/>
    <w:uiPriority w:val="99"/>
    <w:semiHidden/>
    <w:unhideWhenUsed/>
    <w:rsid w:val="00D20DA7"/>
    <w:rPr>
      <w:color w:val="605E5C"/>
      <w:shd w:val="clear" w:color="auto" w:fill="E1DFDD"/>
    </w:r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511573">
      <w:bodyDiv w:val="1"/>
      <w:marLeft w:val="0"/>
      <w:marRight w:val="0"/>
      <w:marTop w:val="0"/>
      <w:marBottom w:val="0"/>
      <w:divBdr>
        <w:top w:val="none" w:sz="0" w:space="0" w:color="auto"/>
        <w:left w:val="none" w:sz="0" w:space="0" w:color="auto"/>
        <w:bottom w:val="none" w:sz="0" w:space="0" w:color="auto"/>
        <w:right w:val="none" w:sz="0" w:space="0" w:color="auto"/>
      </w:divBdr>
    </w:div>
    <w:div w:id="1726367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TnYKErAtCH99zL5qvsnONk08KA==">CgMxLjAyCGguZ2pkZ3hzMgloLjNkeTZ2a20yCWguMzBqMHpsbDIJaC4yZXQ5MnAwMgloLjJzOGV5bzEyCGgudHlqY3d0MgloLjN6bnlzaDcyCWguMTdkcDh2dTIJaC40ZDM0b2c4MghoLmxueGJ6OTIJaC4xZm9iOXRlMgloLjI2aW4xcmcyCWguM3JkY3JqbjIJaC4xdDNoNXNmOAByITEwTHNXV3JSME0tTXhkbXZsYkNWaDdhNmxxSHVOTUFMeA==</go:docsCustomData>
</go:gDocsCustomXmlDataStorage>
</file>

<file path=customXml/itemProps1.xml><?xml version="1.0" encoding="utf-8"?>
<ds:datastoreItem xmlns:ds="http://schemas.openxmlformats.org/officeDocument/2006/customXml" ds:itemID="{D22FE02B-14EA-4302-939C-7464E1D9F2F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4607</Words>
  <Characters>25342</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BC</Company>
  <LinksUpToDate>false</LinksUpToDate>
  <CharactersWithSpaces>29890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Maricela Villagómez Martínez</cp:lastModifiedBy>
  <cp:revision>2</cp:revision>
  <cp:lastPrinted>2024-08-30T07:41:00Z</cp:lastPrinted>
  <dcterms:created xsi:type="dcterms:W3CDTF">2024-09-03T20:54:00Z</dcterms:created>
  <dcterms:modified xsi:type="dcterms:W3CDTF">2024-09-03T20:54:00Z</dcterms:modified>
</cp:coreProperties>
</file>