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36374" w14:textId="77777777" w:rsidR="002007DF" w:rsidRPr="00476708" w:rsidRDefault="002D1D62">
      <w:pPr>
        <w:spacing w:before="240" w:after="240" w:line="360" w:lineRule="auto"/>
        <w:ind w:right="49"/>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veintisiete de noviembre de dos mil veinticuatro.</w:t>
      </w:r>
    </w:p>
    <w:p w14:paraId="294B4BDC" w14:textId="131A589D"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xml:space="preserve">Vistos </w:t>
      </w:r>
      <w:r w:rsidRPr="00476708">
        <w:rPr>
          <w:rFonts w:ascii="Palatino Linotype" w:eastAsia="Palatino Linotype" w:hAnsi="Palatino Linotype" w:cs="Palatino Linotype"/>
          <w:sz w:val="24"/>
          <w:szCs w:val="24"/>
        </w:rPr>
        <w:t xml:space="preserve">los expedientes relativos a los recursos de revisión número </w:t>
      </w:r>
      <w:r w:rsidRPr="00476708">
        <w:rPr>
          <w:rFonts w:ascii="Palatino Linotype" w:eastAsia="Palatino Linotype" w:hAnsi="Palatino Linotype" w:cs="Palatino Linotype"/>
          <w:b/>
          <w:sz w:val="24"/>
          <w:szCs w:val="24"/>
        </w:rPr>
        <w:t xml:space="preserve">06479/INFOEM/IP/RR/2024 </w:t>
      </w:r>
      <w:r w:rsidRPr="00476708">
        <w:rPr>
          <w:rFonts w:ascii="Palatino Linotype" w:eastAsia="Palatino Linotype" w:hAnsi="Palatino Linotype" w:cs="Palatino Linotype"/>
          <w:sz w:val="24"/>
          <w:szCs w:val="24"/>
        </w:rPr>
        <w:t>y</w:t>
      </w:r>
      <w:r w:rsidRPr="00476708">
        <w:rPr>
          <w:rFonts w:ascii="Palatino Linotype" w:eastAsia="Palatino Linotype" w:hAnsi="Palatino Linotype" w:cs="Palatino Linotype"/>
          <w:b/>
          <w:sz w:val="24"/>
          <w:szCs w:val="24"/>
        </w:rPr>
        <w:t xml:space="preserve"> 06485/INFOEM/IP/RR/2024, acumulados, </w:t>
      </w:r>
      <w:r w:rsidRPr="00476708">
        <w:rPr>
          <w:rFonts w:ascii="Palatino Linotype" w:eastAsia="Palatino Linotype" w:hAnsi="Palatino Linotype" w:cs="Palatino Linotype"/>
          <w:sz w:val="24"/>
          <w:szCs w:val="24"/>
        </w:rPr>
        <w:t>interpuestos por</w:t>
      </w:r>
      <w:r w:rsidRPr="00476708">
        <w:rPr>
          <w:rFonts w:ascii="Palatino Linotype" w:eastAsia="Palatino Linotype" w:hAnsi="Palatino Linotype" w:cs="Palatino Linotype"/>
          <w:b/>
          <w:sz w:val="24"/>
          <w:szCs w:val="24"/>
        </w:rPr>
        <w:t xml:space="preserve"> </w:t>
      </w:r>
      <w:r w:rsidR="00C802D2" w:rsidRPr="00C802D2">
        <w:rPr>
          <w:rFonts w:ascii="Palatino Linotype" w:eastAsia="Palatino Linotype" w:hAnsi="Palatino Linotype" w:cs="Palatino Linotype"/>
          <w:b/>
          <w:sz w:val="24"/>
          <w:szCs w:val="24"/>
        </w:rPr>
        <w:t>XXXXXX XXXXXXX XXXXXXXXXX</w:t>
      </w:r>
      <w:r w:rsidRPr="00476708">
        <w:rPr>
          <w:rFonts w:ascii="Palatino Linotype" w:eastAsia="Palatino Linotype" w:hAnsi="Palatino Linotype" w:cs="Palatino Linotype"/>
          <w:sz w:val="24"/>
          <w:szCs w:val="24"/>
        </w:rPr>
        <w:t xml:space="preserve">, en lo sucesivo la parte </w:t>
      </w:r>
      <w:r w:rsidRPr="00476708">
        <w:rPr>
          <w:rFonts w:ascii="Palatino Linotype" w:eastAsia="Palatino Linotype" w:hAnsi="Palatino Linotype" w:cs="Palatino Linotype"/>
          <w:b/>
          <w:sz w:val="24"/>
          <w:szCs w:val="24"/>
        </w:rPr>
        <w:t>Recurrente</w:t>
      </w:r>
      <w:r w:rsidRPr="00476708">
        <w:rPr>
          <w:rFonts w:ascii="Palatino Linotype" w:eastAsia="Palatino Linotype" w:hAnsi="Palatino Linotype" w:cs="Palatino Linotype"/>
          <w:sz w:val="24"/>
          <w:szCs w:val="24"/>
        </w:rPr>
        <w:t xml:space="preserve">, en contra de la respuesta a las solicitudes de información con número de folio </w:t>
      </w:r>
      <w:r w:rsidRPr="00476708">
        <w:rPr>
          <w:rFonts w:ascii="Palatino Linotype" w:eastAsia="Palatino Linotype" w:hAnsi="Palatino Linotype" w:cs="Palatino Linotype"/>
          <w:b/>
          <w:sz w:val="24"/>
          <w:szCs w:val="24"/>
        </w:rPr>
        <w:t>00678/SF/IP/2024</w:t>
      </w:r>
      <w:r w:rsidRPr="00476708">
        <w:rPr>
          <w:rFonts w:ascii="Palatino Linotype" w:eastAsia="Palatino Linotype" w:hAnsi="Palatino Linotype" w:cs="Palatino Linotype"/>
          <w:sz w:val="24"/>
          <w:szCs w:val="24"/>
        </w:rPr>
        <w:t xml:space="preserve">y </w:t>
      </w:r>
      <w:r w:rsidRPr="00476708">
        <w:rPr>
          <w:rFonts w:ascii="Palatino Linotype" w:eastAsia="Palatino Linotype" w:hAnsi="Palatino Linotype" w:cs="Palatino Linotype"/>
          <w:b/>
          <w:sz w:val="24"/>
          <w:szCs w:val="24"/>
        </w:rPr>
        <w:t xml:space="preserve">00682/SF/IP/2024, </w:t>
      </w:r>
      <w:r w:rsidRPr="00476708">
        <w:rPr>
          <w:rFonts w:ascii="Palatino Linotype" w:eastAsia="Palatino Linotype" w:hAnsi="Palatino Linotype" w:cs="Palatino Linotype"/>
          <w:sz w:val="24"/>
          <w:szCs w:val="24"/>
        </w:rPr>
        <w:t xml:space="preserve">por parte de la </w:t>
      </w:r>
      <w:r w:rsidRPr="00476708">
        <w:rPr>
          <w:rFonts w:ascii="Palatino Linotype" w:eastAsia="Palatino Linotype" w:hAnsi="Palatino Linotype" w:cs="Palatino Linotype"/>
          <w:b/>
          <w:sz w:val="24"/>
          <w:szCs w:val="24"/>
        </w:rPr>
        <w:t xml:space="preserve">Secretaría de Finanzas, </w:t>
      </w:r>
      <w:r w:rsidRPr="00476708">
        <w:rPr>
          <w:rFonts w:ascii="Palatino Linotype" w:eastAsia="Palatino Linotype" w:hAnsi="Palatino Linotype" w:cs="Palatino Linotype"/>
          <w:sz w:val="24"/>
          <w:szCs w:val="24"/>
        </w:rPr>
        <w:t xml:space="preserve">en lo sucesivo el </w:t>
      </w:r>
      <w:r w:rsidRPr="00476708">
        <w:rPr>
          <w:rFonts w:ascii="Palatino Linotype" w:eastAsia="Palatino Linotype" w:hAnsi="Palatino Linotype" w:cs="Palatino Linotype"/>
          <w:b/>
          <w:sz w:val="24"/>
          <w:szCs w:val="24"/>
        </w:rPr>
        <w:t xml:space="preserve">Sujeto Obligado; </w:t>
      </w:r>
      <w:r w:rsidRPr="00476708">
        <w:rPr>
          <w:rFonts w:ascii="Palatino Linotype" w:eastAsia="Palatino Linotype" w:hAnsi="Palatino Linotype" w:cs="Palatino Linotype"/>
          <w:sz w:val="24"/>
          <w:szCs w:val="24"/>
        </w:rPr>
        <w:t>se procede a dictar la presente resolución, con base en lo siguiente:</w:t>
      </w:r>
    </w:p>
    <w:p w14:paraId="48A9EDFE" w14:textId="77777777" w:rsidR="002007DF" w:rsidRPr="00476708" w:rsidRDefault="002D1D62">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szCs w:val="24"/>
        </w:rPr>
      </w:pPr>
      <w:r w:rsidRPr="00476708">
        <w:rPr>
          <w:rFonts w:ascii="Palatino Linotype" w:eastAsia="Palatino Linotype" w:hAnsi="Palatino Linotype" w:cs="Palatino Linotype"/>
          <w:b/>
          <w:sz w:val="24"/>
          <w:szCs w:val="24"/>
        </w:rPr>
        <w:t xml:space="preserve">I. A N T E C E D E N T E </w:t>
      </w:r>
      <w:proofErr w:type="gramStart"/>
      <w:r w:rsidRPr="00476708">
        <w:rPr>
          <w:rFonts w:ascii="Palatino Linotype" w:eastAsia="Palatino Linotype" w:hAnsi="Palatino Linotype" w:cs="Palatino Linotype"/>
          <w:b/>
          <w:sz w:val="24"/>
          <w:szCs w:val="24"/>
        </w:rPr>
        <w:t>S :</w:t>
      </w:r>
      <w:proofErr w:type="gramEnd"/>
    </w:p>
    <w:p w14:paraId="3A1C1685"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1.</w:t>
      </w: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 xml:space="preserve">Solicitudes de Información. </w:t>
      </w:r>
      <w:r w:rsidRPr="00476708">
        <w:rPr>
          <w:rFonts w:ascii="Palatino Linotype" w:eastAsia="Palatino Linotype" w:hAnsi="Palatino Linotype" w:cs="Palatino Linotype"/>
          <w:sz w:val="24"/>
          <w:szCs w:val="24"/>
        </w:rPr>
        <w:t xml:space="preserve">El </w:t>
      </w:r>
      <w:r w:rsidRPr="00476708">
        <w:rPr>
          <w:rFonts w:ascii="Palatino Linotype" w:eastAsia="Palatino Linotype" w:hAnsi="Palatino Linotype" w:cs="Palatino Linotype"/>
          <w:b/>
          <w:sz w:val="24"/>
          <w:szCs w:val="24"/>
        </w:rPr>
        <w:t xml:space="preserve">diecinueve de septiembre de dos mil veinticuatro, </w:t>
      </w:r>
      <w:r w:rsidRPr="00476708">
        <w:rPr>
          <w:rFonts w:ascii="Palatino Linotype" w:eastAsia="Palatino Linotype" w:hAnsi="Palatino Linotype" w:cs="Palatino Linotype"/>
          <w:sz w:val="24"/>
          <w:szCs w:val="24"/>
        </w:rPr>
        <w:t>la persona solicitante</w:t>
      </w:r>
      <w:r w:rsidRPr="00476708">
        <w:rPr>
          <w:rFonts w:ascii="Palatino Linotype" w:eastAsia="Palatino Linotype" w:hAnsi="Palatino Linotype" w:cs="Palatino Linotype"/>
          <w:b/>
          <w:sz w:val="24"/>
          <w:szCs w:val="24"/>
        </w:rPr>
        <w:t xml:space="preserve"> </w:t>
      </w:r>
      <w:r w:rsidRPr="00476708">
        <w:rPr>
          <w:rFonts w:ascii="Palatino Linotype" w:eastAsia="Palatino Linotype" w:hAnsi="Palatino Linotype" w:cs="Palatino Linotype"/>
          <w:sz w:val="24"/>
          <w:szCs w:val="24"/>
        </w:rPr>
        <w:t xml:space="preserve">presentó, través del Sistema de Acceso a la Información Mexiquense, en lo subsecuente el </w:t>
      </w:r>
      <w:r w:rsidRPr="00476708">
        <w:rPr>
          <w:rFonts w:ascii="Palatino Linotype" w:eastAsia="Palatino Linotype" w:hAnsi="Palatino Linotype" w:cs="Palatino Linotype"/>
          <w:b/>
          <w:sz w:val="24"/>
          <w:szCs w:val="24"/>
        </w:rPr>
        <w:t xml:space="preserve">SAIMEX, </w:t>
      </w:r>
      <w:r w:rsidRPr="00476708">
        <w:rPr>
          <w:rFonts w:ascii="Palatino Linotype" w:eastAsia="Palatino Linotype" w:hAnsi="Palatino Linotype" w:cs="Palatino Linotype"/>
          <w:sz w:val="24"/>
          <w:szCs w:val="24"/>
        </w:rPr>
        <w:t xml:space="preserve">ante el </w:t>
      </w:r>
      <w:r w:rsidRPr="00476708">
        <w:rPr>
          <w:rFonts w:ascii="Palatino Linotype" w:eastAsia="Palatino Linotype" w:hAnsi="Palatino Linotype" w:cs="Palatino Linotype"/>
          <w:b/>
          <w:sz w:val="24"/>
          <w:szCs w:val="24"/>
        </w:rPr>
        <w:t>Sujeto Obligado</w:t>
      </w:r>
      <w:r w:rsidRPr="00476708">
        <w:rPr>
          <w:rFonts w:ascii="Palatino Linotype" w:eastAsia="Palatino Linotype" w:hAnsi="Palatino Linotype" w:cs="Palatino Linotype"/>
          <w:sz w:val="24"/>
          <w:szCs w:val="24"/>
        </w:rPr>
        <w:t>, las solicitudes de acceso a la información pública, mediante las cuales requirió la información siguiente:</w:t>
      </w:r>
    </w:p>
    <w:tbl>
      <w:tblPr>
        <w:tblStyle w:val="afff5"/>
        <w:tblW w:w="88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1"/>
        <w:gridCol w:w="5670"/>
      </w:tblGrid>
      <w:tr w:rsidR="00476708" w:rsidRPr="00476708" w14:paraId="1E4417AF" w14:textId="77777777">
        <w:trPr>
          <w:jc w:val="center"/>
        </w:trPr>
        <w:tc>
          <w:tcPr>
            <w:tcW w:w="3141" w:type="dxa"/>
            <w:shd w:val="clear" w:color="auto" w:fill="D0CECE"/>
            <w:vAlign w:val="center"/>
          </w:tcPr>
          <w:p w14:paraId="6298BFB6" w14:textId="77777777" w:rsidR="002007DF" w:rsidRPr="00476708" w:rsidRDefault="002D1D62">
            <w:pPr>
              <w:spacing w:before="120" w:after="120" w:line="240" w:lineRule="auto"/>
              <w:jc w:val="center"/>
              <w:rPr>
                <w:rFonts w:ascii="Palatino Linotype" w:eastAsia="Palatino Linotype" w:hAnsi="Palatino Linotype" w:cs="Palatino Linotype"/>
                <w:b/>
                <w:i/>
                <w:sz w:val="20"/>
                <w:szCs w:val="20"/>
              </w:rPr>
            </w:pPr>
            <w:bookmarkStart w:id="0" w:name="_heading=h.1fob9te" w:colFirst="0" w:colLast="0"/>
            <w:bookmarkEnd w:id="0"/>
            <w:r w:rsidRPr="00476708">
              <w:rPr>
                <w:rFonts w:ascii="Palatino Linotype" w:eastAsia="Palatino Linotype" w:hAnsi="Palatino Linotype" w:cs="Palatino Linotype"/>
                <w:b/>
                <w:sz w:val="20"/>
                <w:szCs w:val="20"/>
              </w:rPr>
              <w:t>Número de solicitud</w:t>
            </w:r>
          </w:p>
        </w:tc>
        <w:tc>
          <w:tcPr>
            <w:tcW w:w="5670" w:type="dxa"/>
            <w:shd w:val="clear" w:color="auto" w:fill="D0CECE"/>
            <w:vAlign w:val="center"/>
          </w:tcPr>
          <w:p w14:paraId="18FF8954" w14:textId="77777777" w:rsidR="002007DF" w:rsidRPr="00476708" w:rsidRDefault="002D1D62">
            <w:pPr>
              <w:spacing w:before="120" w:after="120" w:line="240" w:lineRule="auto"/>
              <w:jc w:val="center"/>
              <w:rPr>
                <w:rFonts w:ascii="Palatino Linotype" w:eastAsia="Palatino Linotype" w:hAnsi="Palatino Linotype" w:cs="Palatino Linotype"/>
                <w:b/>
                <w:i/>
                <w:sz w:val="20"/>
                <w:szCs w:val="20"/>
              </w:rPr>
            </w:pPr>
            <w:r w:rsidRPr="00476708">
              <w:rPr>
                <w:rFonts w:ascii="Palatino Linotype" w:eastAsia="Palatino Linotype" w:hAnsi="Palatino Linotype" w:cs="Palatino Linotype"/>
                <w:b/>
                <w:sz w:val="20"/>
                <w:szCs w:val="20"/>
              </w:rPr>
              <w:t>Información solicitada</w:t>
            </w:r>
          </w:p>
        </w:tc>
      </w:tr>
      <w:tr w:rsidR="00476708" w:rsidRPr="00476708" w14:paraId="678E54DE" w14:textId="77777777">
        <w:trPr>
          <w:jc w:val="center"/>
        </w:trPr>
        <w:tc>
          <w:tcPr>
            <w:tcW w:w="3141" w:type="dxa"/>
          </w:tcPr>
          <w:p w14:paraId="354D68F2" w14:textId="77777777" w:rsidR="002007DF" w:rsidRPr="00476708" w:rsidRDefault="002D1D62">
            <w:pPr>
              <w:spacing w:before="120" w:after="120" w:line="240" w:lineRule="auto"/>
              <w:jc w:val="center"/>
              <w:rPr>
                <w:rFonts w:ascii="Palatino Linotype" w:eastAsia="Palatino Linotype" w:hAnsi="Palatino Linotype" w:cs="Palatino Linotype"/>
                <w:b/>
                <w:sz w:val="20"/>
                <w:szCs w:val="20"/>
              </w:rPr>
            </w:pPr>
            <w:bookmarkStart w:id="1" w:name="_heading=h.3znysh7" w:colFirst="0" w:colLast="0"/>
            <w:bookmarkEnd w:id="1"/>
            <w:r w:rsidRPr="00476708">
              <w:rPr>
                <w:rFonts w:ascii="Palatino Linotype" w:eastAsia="Palatino Linotype" w:hAnsi="Palatino Linotype" w:cs="Palatino Linotype"/>
                <w:b/>
                <w:sz w:val="20"/>
                <w:szCs w:val="20"/>
              </w:rPr>
              <w:t>00678/SF/IP/2024</w:t>
            </w:r>
          </w:p>
          <w:p w14:paraId="75BFD39E" w14:textId="77777777" w:rsidR="002007DF" w:rsidRPr="00476708" w:rsidRDefault="002D1D62">
            <w:pPr>
              <w:spacing w:before="120" w:after="120" w:line="240" w:lineRule="auto"/>
              <w:jc w:val="center"/>
              <w:rPr>
                <w:rFonts w:ascii="Palatino Linotype" w:eastAsia="Palatino Linotype" w:hAnsi="Palatino Linotype" w:cs="Palatino Linotype"/>
                <w:b/>
                <w:i/>
                <w:sz w:val="20"/>
                <w:szCs w:val="20"/>
              </w:rPr>
            </w:pPr>
            <w:r w:rsidRPr="00476708">
              <w:rPr>
                <w:rFonts w:ascii="Palatino Linotype" w:eastAsia="Palatino Linotype" w:hAnsi="Palatino Linotype" w:cs="Palatino Linotype"/>
                <w:b/>
                <w:sz w:val="20"/>
                <w:szCs w:val="20"/>
              </w:rPr>
              <w:t>06485/INFOEM/IP/RR/2024</w:t>
            </w:r>
          </w:p>
        </w:tc>
        <w:tc>
          <w:tcPr>
            <w:tcW w:w="5670" w:type="dxa"/>
          </w:tcPr>
          <w:p w14:paraId="5B264E15" w14:textId="77777777" w:rsidR="002007DF" w:rsidRPr="00476708" w:rsidRDefault="002D1D62">
            <w:pPr>
              <w:spacing w:before="120" w:after="120" w:line="240" w:lineRule="auto"/>
              <w:jc w:val="both"/>
              <w:rPr>
                <w:rFonts w:ascii="Palatino Linotype" w:eastAsia="Palatino Linotype" w:hAnsi="Palatino Linotype" w:cs="Palatino Linotype"/>
                <w:i/>
                <w:sz w:val="20"/>
                <w:szCs w:val="20"/>
              </w:rPr>
            </w:pPr>
            <w:r w:rsidRPr="00476708">
              <w:rPr>
                <w:rFonts w:ascii="Palatino Linotype" w:eastAsia="Palatino Linotype" w:hAnsi="Palatino Linotype" w:cs="Palatino Linotype"/>
                <w:i/>
                <w:sz w:val="20"/>
                <w:szCs w:val="20"/>
              </w:rPr>
              <w:t xml:space="preserve">“Se solicitan los indicadores de la actual Secretaría de Desarrollo Urbano e Infraestructura de los ejercicios 2020, 2021 y 2022 durante los cargos como </w:t>
            </w:r>
            <w:proofErr w:type="gramStart"/>
            <w:r w:rsidRPr="00476708">
              <w:rPr>
                <w:rFonts w:ascii="Palatino Linotype" w:eastAsia="Palatino Linotype" w:hAnsi="Palatino Linotype" w:cs="Palatino Linotype"/>
                <w:i/>
                <w:sz w:val="20"/>
                <w:szCs w:val="20"/>
              </w:rPr>
              <w:t>Subdirectora</w:t>
            </w:r>
            <w:proofErr w:type="gramEnd"/>
            <w:r w:rsidRPr="00476708">
              <w:rPr>
                <w:rFonts w:ascii="Palatino Linotype" w:eastAsia="Palatino Linotype" w:hAnsi="Palatino Linotype" w:cs="Palatino Linotype"/>
                <w:i/>
                <w:sz w:val="20"/>
                <w:szCs w:val="20"/>
              </w:rPr>
              <w:t xml:space="preserve">, Directora y Encargada del Despacho </w:t>
            </w:r>
            <w:r w:rsidRPr="00476708">
              <w:rPr>
                <w:rFonts w:ascii="Palatino Linotype" w:eastAsia="Palatino Linotype" w:hAnsi="Palatino Linotype" w:cs="Palatino Linotype"/>
                <w:i/>
                <w:sz w:val="20"/>
                <w:szCs w:val="20"/>
              </w:rPr>
              <w:lastRenderedPageBreak/>
              <w:t>(según corresponda) de la C. Luz María Cuero Hernández, Directora adscrita a la Dirección General del Evaluación del Desempeño Institucional de la Secretaría de Finanzas." (sic)</w:t>
            </w:r>
          </w:p>
        </w:tc>
      </w:tr>
      <w:tr w:rsidR="00476708" w:rsidRPr="00476708" w14:paraId="65E4A2B6" w14:textId="77777777">
        <w:trPr>
          <w:jc w:val="center"/>
        </w:trPr>
        <w:tc>
          <w:tcPr>
            <w:tcW w:w="3141" w:type="dxa"/>
            <w:vAlign w:val="center"/>
          </w:tcPr>
          <w:p w14:paraId="5A5AAF4D" w14:textId="77777777" w:rsidR="002007DF" w:rsidRPr="00476708" w:rsidRDefault="002D1D62">
            <w:pPr>
              <w:spacing w:before="120" w:after="120" w:line="240" w:lineRule="auto"/>
              <w:jc w:val="center"/>
              <w:rPr>
                <w:rFonts w:ascii="Palatino Linotype" w:eastAsia="Palatino Linotype" w:hAnsi="Palatino Linotype" w:cs="Palatino Linotype"/>
                <w:b/>
                <w:sz w:val="20"/>
                <w:szCs w:val="20"/>
              </w:rPr>
            </w:pPr>
            <w:r w:rsidRPr="00476708">
              <w:rPr>
                <w:rFonts w:ascii="Palatino Linotype" w:eastAsia="Palatino Linotype" w:hAnsi="Palatino Linotype" w:cs="Palatino Linotype"/>
                <w:b/>
                <w:sz w:val="20"/>
                <w:szCs w:val="20"/>
              </w:rPr>
              <w:lastRenderedPageBreak/>
              <w:t>00682/SF/IP/2024</w:t>
            </w:r>
          </w:p>
          <w:p w14:paraId="6403F0F7" w14:textId="77777777" w:rsidR="002007DF" w:rsidRPr="00476708" w:rsidRDefault="002D1D62">
            <w:pPr>
              <w:spacing w:before="120" w:after="120" w:line="240" w:lineRule="auto"/>
              <w:jc w:val="center"/>
              <w:rPr>
                <w:rFonts w:ascii="Palatino Linotype" w:eastAsia="Palatino Linotype" w:hAnsi="Palatino Linotype" w:cs="Palatino Linotype"/>
                <w:b/>
                <w:sz w:val="20"/>
                <w:szCs w:val="20"/>
              </w:rPr>
            </w:pPr>
            <w:r w:rsidRPr="00476708">
              <w:rPr>
                <w:rFonts w:ascii="Palatino Linotype" w:eastAsia="Palatino Linotype" w:hAnsi="Palatino Linotype" w:cs="Palatino Linotype"/>
                <w:b/>
                <w:sz w:val="20"/>
                <w:szCs w:val="20"/>
              </w:rPr>
              <w:t>06479/INFOEM/IP/RR/2024</w:t>
            </w:r>
          </w:p>
        </w:tc>
        <w:tc>
          <w:tcPr>
            <w:tcW w:w="5670" w:type="dxa"/>
          </w:tcPr>
          <w:p w14:paraId="06402553" w14:textId="77777777" w:rsidR="002007DF" w:rsidRPr="00476708" w:rsidRDefault="002D1D62">
            <w:pPr>
              <w:spacing w:before="120" w:after="120" w:line="240" w:lineRule="auto"/>
              <w:jc w:val="both"/>
              <w:rPr>
                <w:rFonts w:ascii="Palatino Linotype" w:eastAsia="Palatino Linotype" w:hAnsi="Palatino Linotype" w:cs="Palatino Linotype"/>
                <w:i/>
                <w:sz w:val="20"/>
                <w:szCs w:val="20"/>
              </w:rPr>
            </w:pPr>
            <w:r w:rsidRPr="00476708">
              <w:rPr>
                <w:rFonts w:ascii="Palatino Linotype" w:eastAsia="Palatino Linotype" w:hAnsi="Palatino Linotype" w:cs="Palatino Linotype"/>
                <w:i/>
                <w:sz w:val="20"/>
                <w:szCs w:val="20"/>
              </w:rPr>
              <w:t>“Se solicita evidencia documental de los indicadores de la actual Secretaría de Desarrollo Urbano e Infraestructura del ejercicio 2020 durante los cargos como Subdirectora, Directora y Encargada del Despacho (según corresponda) de la C. Luz María Cuero Hernández, Directora adscrita a la Dirección General del Evaluación del Desempeño Institucional de la Secretaría de Finanzas, al ser autorizado el presupuesto de egresos para esos ejercicios y como concluyeron dichos indicadores con sus respectivas evidencias." (sic)</w:t>
            </w:r>
          </w:p>
        </w:tc>
      </w:tr>
    </w:tbl>
    <w:p w14:paraId="0F431DDA"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xml:space="preserve">Modalidad elegida para la entrega de la información: </w:t>
      </w:r>
      <w:r w:rsidRPr="00476708">
        <w:rPr>
          <w:rFonts w:ascii="Palatino Linotype" w:eastAsia="Palatino Linotype" w:hAnsi="Palatino Linotype" w:cs="Palatino Linotype"/>
          <w:sz w:val="24"/>
          <w:szCs w:val="24"/>
        </w:rPr>
        <w:t>a través del SAIMEX en ambos casos.</w:t>
      </w:r>
    </w:p>
    <w:p w14:paraId="1CDCDFBB" w14:textId="77777777" w:rsidR="002007DF" w:rsidRPr="00476708" w:rsidRDefault="002D1D62">
      <w:pPr>
        <w:widowControl w:val="0"/>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2</w:t>
      </w: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 xml:space="preserve">Respuesta. </w:t>
      </w:r>
      <w:r w:rsidRPr="00476708">
        <w:rPr>
          <w:rFonts w:ascii="Palatino Linotype" w:eastAsia="Palatino Linotype" w:hAnsi="Palatino Linotype" w:cs="Palatino Linotype"/>
          <w:sz w:val="24"/>
          <w:szCs w:val="24"/>
        </w:rPr>
        <w:t xml:space="preserve">El </w:t>
      </w:r>
      <w:r w:rsidRPr="00476708">
        <w:rPr>
          <w:rFonts w:ascii="Palatino Linotype" w:eastAsia="Palatino Linotype" w:hAnsi="Palatino Linotype" w:cs="Palatino Linotype"/>
          <w:b/>
          <w:sz w:val="24"/>
          <w:szCs w:val="24"/>
        </w:rPr>
        <w:t>siete de octubre de dos mil veinticuatro</w:t>
      </w:r>
      <w:r w:rsidRPr="00476708">
        <w:rPr>
          <w:rFonts w:ascii="Palatino Linotype" w:eastAsia="Palatino Linotype" w:hAnsi="Palatino Linotype" w:cs="Palatino Linotype"/>
          <w:sz w:val="24"/>
          <w:szCs w:val="24"/>
        </w:rPr>
        <w:t xml:space="preserve">, el </w:t>
      </w:r>
      <w:r w:rsidRPr="00476708">
        <w:rPr>
          <w:rFonts w:ascii="Palatino Linotype" w:eastAsia="Palatino Linotype" w:hAnsi="Palatino Linotype" w:cs="Palatino Linotype"/>
          <w:b/>
          <w:sz w:val="24"/>
          <w:szCs w:val="24"/>
        </w:rPr>
        <w:t xml:space="preserve">Sujeto Obligado </w:t>
      </w:r>
      <w:r w:rsidRPr="00476708">
        <w:rPr>
          <w:rFonts w:ascii="Palatino Linotype" w:eastAsia="Palatino Linotype" w:hAnsi="Palatino Linotype" w:cs="Palatino Linotype"/>
          <w:sz w:val="24"/>
          <w:szCs w:val="24"/>
        </w:rPr>
        <w:t xml:space="preserve">envió su respuesta a las solicitudes de acceso a la información a través de SAIMEX, sustancialmente en los términos siguientes:  </w:t>
      </w:r>
    </w:p>
    <w:tbl>
      <w:tblPr>
        <w:tblStyle w:val="afff6"/>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714"/>
      </w:tblGrid>
      <w:tr w:rsidR="00476708" w:rsidRPr="00476708" w14:paraId="20A6EC78" w14:textId="77777777">
        <w:trPr>
          <w:jc w:val="center"/>
        </w:trPr>
        <w:tc>
          <w:tcPr>
            <w:tcW w:w="3114" w:type="dxa"/>
            <w:shd w:val="clear" w:color="auto" w:fill="D0CECE"/>
          </w:tcPr>
          <w:p w14:paraId="607FD0DD" w14:textId="77777777" w:rsidR="002007DF" w:rsidRPr="00476708" w:rsidRDefault="002D1D62">
            <w:pPr>
              <w:spacing w:before="120" w:after="120" w:line="240" w:lineRule="auto"/>
              <w:jc w:val="center"/>
              <w:rPr>
                <w:rFonts w:ascii="Palatino Linotype" w:eastAsia="Palatino Linotype" w:hAnsi="Palatino Linotype" w:cs="Palatino Linotype"/>
                <w:b/>
                <w:sz w:val="20"/>
                <w:szCs w:val="20"/>
              </w:rPr>
            </w:pPr>
            <w:r w:rsidRPr="00476708">
              <w:rPr>
                <w:rFonts w:ascii="Palatino Linotype" w:eastAsia="Palatino Linotype" w:hAnsi="Palatino Linotype" w:cs="Palatino Linotype"/>
                <w:b/>
                <w:sz w:val="20"/>
                <w:szCs w:val="20"/>
              </w:rPr>
              <w:t>Número de solicitud</w:t>
            </w:r>
          </w:p>
        </w:tc>
        <w:tc>
          <w:tcPr>
            <w:tcW w:w="5714" w:type="dxa"/>
            <w:shd w:val="clear" w:color="auto" w:fill="D0CECE"/>
          </w:tcPr>
          <w:p w14:paraId="227C9683" w14:textId="77777777" w:rsidR="002007DF" w:rsidRPr="00476708" w:rsidRDefault="002D1D62">
            <w:pPr>
              <w:spacing w:before="120" w:after="120" w:line="240" w:lineRule="auto"/>
              <w:jc w:val="center"/>
              <w:rPr>
                <w:rFonts w:ascii="Palatino Linotype" w:eastAsia="Palatino Linotype" w:hAnsi="Palatino Linotype" w:cs="Palatino Linotype"/>
                <w:b/>
                <w:sz w:val="20"/>
                <w:szCs w:val="20"/>
              </w:rPr>
            </w:pPr>
            <w:r w:rsidRPr="00476708">
              <w:rPr>
                <w:rFonts w:ascii="Palatino Linotype" w:eastAsia="Palatino Linotype" w:hAnsi="Palatino Linotype" w:cs="Palatino Linotype"/>
                <w:b/>
                <w:sz w:val="20"/>
                <w:szCs w:val="20"/>
              </w:rPr>
              <w:t>Respuesta</w:t>
            </w:r>
          </w:p>
        </w:tc>
      </w:tr>
      <w:tr w:rsidR="00476708" w:rsidRPr="00476708" w14:paraId="75E64F26" w14:textId="77777777">
        <w:trPr>
          <w:jc w:val="center"/>
        </w:trPr>
        <w:tc>
          <w:tcPr>
            <w:tcW w:w="3114" w:type="dxa"/>
            <w:vAlign w:val="center"/>
          </w:tcPr>
          <w:p w14:paraId="3ECA7902" w14:textId="77777777" w:rsidR="002007DF" w:rsidRPr="00476708" w:rsidRDefault="002D1D62">
            <w:pPr>
              <w:spacing w:before="120" w:after="120" w:line="240" w:lineRule="auto"/>
              <w:jc w:val="center"/>
              <w:rPr>
                <w:rFonts w:ascii="Palatino Linotype" w:eastAsia="Palatino Linotype" w:hAnsi="Palatino Linotype" w:cs="Palatino Linotype"/>
                <w:b/>
                <w:sz w:val="20"/>
                <w:szCs w:val="20"/>
              </w:rPr>
            </w:pPr>
            <w:r w:rsidRPr="00476708">
              <w:rPr>
                <w:rFonts w:ascii="Palatino Linotype" w:eastAsia="Palatino Linotype" w:hAnsi="Palatino Linotype" w:cs="Palatino Linotype"/>
                <w:b/>
                <w:sz w:val="20"/>
                <w:szCs w:val="20"/>
              </w:rPr>
              <w:t>00678/SF/IP/2024</w:t>
            </w:r>
          </w:p>
          <w:p w14:paraId="78910B27" w14:textId="77777777" w:rsidR="002007DF" w:rsidRPr="00476708" w:rsidRDefault="002D1D62">
            <w:pPr>
              <w:spacing w:before="120" w:after="120" w:line="240" w:lineRule="auto"/>
              <w:jc w:val="center"/>
              <w:rPr>
                <w:rFonts w:ascii="Palatino Linotype" w:eastAsia="Palatino Linotype" w:hAnsi="Palatino Linotype" w:cs="Palatino Linotype"/>
                <w:b/>
                <w:sz w:val="20"/>
                <w:szCs w:val="20"/>
              </w:rPr>
            </w:pPr>
            <w:r w:rsidRPr="00476708">
              <w:rPr>
                <w:rFonts w:ascii="Palatino Linotype" w:eastAsia="Palatino Linotype" w:hAnsi="Palatino Linotype" w:cs="Palatino Linotype"/>
                <w:b/>
                <w:sz w:val="20"/>
                <w:szCs w:val="20"/>
              </w:rPr>
              <w:t>06485/INFOEM/IP/RR/2024</w:t>
            </w:r>
          </w:p>
        </w:tc>
        <w:tc>
          <w:tcPr>
            <w:tcW w:w="5714" w:type="dxa"/>
          </w:tcPr>
          <w:p w14:paraId="6F65D7AB" w14:textId="77777777" w:rsidR="002007DF" w:rsidRPr="00476708" w:rsidRDefault="002D1D62">
            <w:pPr>
              <w:spacing w:before="120" w:after="120" w:line="240" w:lineRule="auto"/>
              <w:jc w:val="both"/>
              <w:rPr>
                <w:rFonts w:ascii="Palatino Linotype" w:eastAsia="Palatino Linotype" w:hAnsi="Palatino Linotype" w:cs="Palatino Linotype"/>
                <w:i/>
                <w:sz w:val="20"/>
                <w:szCs w:val="20"/>
              </w:rPr>
            </w:pPr>
            <w:r w:rsidRPr="00476708">
              <w:rPr>
                <w:rFonts w:ascii="Palatino Linotype" w:eastAsia="Palatino Linotype" w:hAnsi="Palatino Linotype" w:cs="Palatino Linotype"/>
                <w:i/>
                <w:sz w:val="20"/>
                <w:szCs w:val="20"/>
              </w:rPr>
              <w:t>“...Sobre el particular, sírvase encontrar en archivo adjunto copia del oficio de notificación número 20700004S/UT-1945/2024, mediante el cual se detalla lo referente a su solicitud...” (sic)</w:t>
            </w:r>
          </w:p>
          <w:p w14:paraId="310FA8BE" w14:textId="77777777" w:rsidR="002007DF" w:rsidRPr="00476708" w:rsidRDefault="002D1D62">
            <w:pPr>
              <w:spacing w:before="120" w:after="120" w:line="240" w:lineRule="auto"/>
              <w:jc w:val="both"/>
              <w:rPr>
                <w:rFonts w:ascii="Palatino Linotype" w:eastAsia="Palatino Linotype" w:hAnsi="Palatino Linotype" w:cs="Palatino Linotype"/>
                <w:sz w:val="20"/>
                <w:szCs w:val="20"/>
              </w:rPr>
            </w:pPr>
            <w:r w:rsidRPr="00476708">
              <w:rPr>
                <w:rFonts w:ascii="Palatino Linotype" w:eastAsia="Palatino Linotype" w:hAnsi="Palatino Linotype" w:cs="Palatino Linotype"/>
                <w:sz w:val="20"/>
                <w:szCs w:val="20"/>
              </w:rPr>
              <w:t>Archivos Adjuntos:</w:t>
            </w:r>
          </w:p>
          <w:p w14:paraId="40C950F9" w14:textId="77777777" w:rsidR="002007DF" w:rsidRPr="00476708" w:rsidRDefault="002D1D62">
            <w:pPr>
              <w:spacing w:before="120" w:after="120" w:line="240" w:lineRule="auto"/>
              <w:jc w:val="both"/>
              <w:rPr>
                <w:rFonts w:ascii="Palatino Linotype" w:eastAsia="Palatino Linotype" w:hAnsi="Palatino Linotype" w:cs="Palatino Linotype"/>
                <w:sz w:val="20"/>
                <w:szCs w:val="20"/>
              </w:rPr>
            </w:pPr>
            <w:r w:rsidRPr="00476708">
              <w:rPr>
                <w:rFonts w:ascii="Palatino Linotype" w:eastAsia="Palatino Linotype" w:hAnsi="Palatino Linotype" w:cs="Palatino Linotype"/>
                <w:i/>
                <w:sz w:val="20"/>
                <w:szCs w:val="20"/>
              </w:rPr>
              <w:t xml:space="preserve">- </w:t>
            </w:r>
            <w:r w:rsidRPr="00476708">
              <w:rPr>
                <w:rFonts w:ascii="Palatino Linotype" w:eastAsia="Palatino Linotype" w:hAnsi="Palatino Linotype" w:cs="Palatino Linotype"/>
                <w:sz w:val="20"/>
                <w:szCs w:val="20"/>
              </w:rPr>
              <w:t>Oficio número 20700004S/UT-1945/2024, del siete de octubre de dos mil veinticuatro, mediante el cual el Titular de la Unidad de Transparencia notifica a la persona solicitante la respuesta proporcionada por el servidor público habilitado suplente de la Subsecretaría de Planeación y Presupuesto.</w:t>
            </w:r>
          </w:p>
          <w:p w14:paraId="06343308" w14:textId="77777777" w:rsidR="002007DF" w:rsidRPr="00476708" w:rsidRDefault="002D1D62">
            <w:pPr>
              <w:spacing w:before="120" w:after="120" w:line="240" w:lineRule="auto"/>
              <w:jc w:val="both"/>
              <w:rPr>
                <w:rFonts w:ascii="Palatino Linotype" w:eastAsia="Palatino Linotype" w:hAnsi="Palatino Linotype" w:cs="Palatino Linotype"/>
                <w:sz w:val="20"/>
                <w:szCs w:val="20"/>
              </w:rPr>
            </w:pPr>
            <w:r w:rsidRPr="00476708">
              <w:rPr>
                <w:rFonts w:ascii="Palatino Linotype" w:eastAsia="Palatino Linotype" w:hAnsi="Palatino Linotype" w:cs="Palatino Linotype"/>
                <w:sz w:val="20"/>
                <w:szCs w:val="20"/>
              </w:rPr>
              <w:t xml:space="preserve">- Oficio número 20704000020000S/508/2024, del treinta de septiembre de dos mil veinticuatro, mediante el cual el servidor público habilitado suplente de la Subsecretaría de Planeación y Presupuesto informa que los indicadores de los ejercicios 2020, 2021 y 2022 de la Secretaría de Desarrollo </w:t>
            </w:r>
            <w:r w:rsidRPr="00476708">
              <w:rPr>
                <w:rFonts w:ascii="Palatino Linotype" w:eastAsia="Palatino Linotype" w:hAnsi="Palatino Linotype" w:cs="Palatino Linotype"/>
                <w:sz w:val="20"/>
                <w:szCs w:val="20"/>
              </w:rPr>
              <w:lastRenderedPageBreak/>
              <w:t>Urbano e Infraestructura y sus respectivos avances a la conclusión del ejercicio fiscal se encuentran publicados en la página de transparencia fiscal de la Secretaría de Finanzas en la liga:</w:t>
            </w:r>
          </w:p>
          <w:p w14:paraId="1B9673D4" w14:textId="77777777" w:rsidR="002007DF" w:rsidRPr="00476708" w:rsidRDefault="002D1D62">
            <w:pPr>
              <w:spacing w:before="120" w:after="120" w:line="240" w:lineRule="auto"/>
              <w:jc w:val="center"/>
              <w:rPr>
                <w:rFonts w:ascii="Palatino Linotype" w:eastAsia="Palatino Linotype" w:hAnsi="Palatino Linotype" w:cs="Palatino Linotype"/>
                <w:sz w:val="20"/>
                <w:szCs w:val="20"/>
              </w:rPr>
            </w:pPr>
            <w:r w:rsidRPr="00476708">
              <w:rPr>
                <w:rFonts w:ascii="Palatino Linotype" w:eastAsia="Palatino Linotype" w:hAnsi="Palatino Linotype" w:cs="Palatino Linotype"/>
                <w:b/>
                <w:noProof/>
                <w:sz w:val="24"/>
                <w:szCs w:val="24"/>
              </w:rPr>
              <w:drawing>
                <wp:inline distT="0" distB="0" distL="0" distR="0" wp14:anchorId="26786C93" wp14:editId="74EA1A8B">
                  <wp:extent cx="3240000" cy="136902"/>
                  <wp:effectExtent l="0" t="0" r="0" b="0"/>
                  <wp:docPr id="19356683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240000" cy="136902"/>
                          </a:xfrm>
                          <a:prstGeom prst="rect">
                            <a:avLst/>
                          </a:prstGeom>
                          <a:ln/>
                        </pic:spPr>
                      </pic:pic>
                    </a:graphicData>
                  </a:graphic>
                </wp:inline>
              </w:drawing>
            </w:r>
            <w:r w:rsidRPr="00476708">
              <w:rPr>
                <w:rFonts w:ascii="Palatino Linotype" w:eastAsia="Palatino Linotype" w:hAnsi="Palatino Linotype" w:cs="Palatino Linotype"/>
                <w:sz w:val="20"/>
                <w:szCs w:val="20"/>
              </w:rPr>
              <w:t xml:space="preserve"> </w:t>
            </w:r>
          </w:p>
        </w:tc>
      </w:tr>
      <w:tr w:rsidR="00476708" w:rsidRPr="00476708" w14:paraId="1071AEC6" w14:textId="77777777">
        <w:trPr>
          <w:jc w:val="center"/>
        </w:trPr>
        <w:tc>
          <w:tcPr>
            <w:tcW w:w="3114" w:type="dxa"/>
            <w:vAlign w:val="center"/>
          </w:tcPr>
          <w:p w14:paraId="1F775B6B" w14:textId="77777777" w:rsidR="002007DF" w:rsidRPr="00476708" w:rsidRDefault="002D1D62">
            <w:pPr>
              <w:spacing w:before="120" w:after="120" w:line="240" w:lineRule="auto"/>
              <w:jc w:val="center"/>
              <w:rPr>
                <w:rFonts w:ascii="Palatino Linotype" w:eastAsia="Palatino Linotype" w:hAnsi="Palatino Linotype" w:cs="Palatino Linotype"/>
                <w:b/>
                <w:sz w:val="20"/>
                <w:szCs w:val="20"/>
              </w:rPr>
            </w:pPr>
            <w:r w:rsidRPr="00476708">
              <w:rPr>
                <w:rFonts w:ascii="Palatino Linotype" w:eastAsia="Palatino Linotype" w:hAnsi="Palatino Linotype" w:cs="Palatino Linotype"/>
                <w:b/>
                <w:sz w:val="20"/>
                <w:szCs w:val="20"/>
              </w:rPr>
              <w:lastRenderedPageBreak/>
              <w:t>00682/SF/IP/2024</w:t>
            </w:r>
          </w:p>
          <w:p w14:paraId="40FAE007" w14:textId="77777777" w:rsidR="002007DF" w:rsidRPr="00476708" w:rsidRDefault="002D1D62">
            <w:pPr>
              <w:spacing w:before="120" w:after="120" w:line="240" w:lineRule="auto"/>
              <w:jc w:val="center"/>
              <w:rPr>
                <w:rFonts w:ascii="Palatino Linotype" w:eastAsia="Palatino Linotype" w:hAnsi="Palatino Linotype" w:cs="Palatino Linotype"/>
                <w:b/>
                <w:i/>
                <w:sz w:val="20"/>
                <w:szCs w:val="20"/>
              </w:rPr>
            </w:pPr>
            <w:r w:rsidRPr="00476708">
              <w:rPr>
                <w:rFonts w:ascii="Palatino Linotype" w:eastAsia="Palatino Linotype" w:hAnsi="Palatino Linotype" w:cs="Palatino Linotype"/>
                <w:b/>
                <w:sz w:val="20"/>
                <w:szCs w:val="20"/>
              </w:rPr>
              <w:t>06479/INFOEM/IP/RR/2024</w:t>
            </w:r>
          </w:p>
        </w:tc>
        <w:tc>
          <w:tcPr>
            <w:tcW w:w="5714" w:type="dxa"/>
          </w:tcPr>
          <w:p w14:paraId="7371434F" w14:textId="77777777" w:rsidR="002007DF" w:rsidRPr="00476708" w:rsidRDefault="002D1D62">
            <w:pPr>
              <w:spacing w:before="120" w:after="120" w:line="240" w:lineRule="auto"/>
              <w:jc w:val="both"/>
              <w:rPr>
                <w:rFonts w:ascii="Palatino Linotype" w:eastAsia="Palatino Linotype" w:hAnsi="Palatino Linotype" w:cs="Palatino Linotype"/>
                <w:i/>
                <w:sz w:val="20"/>
                <w:szCs w:val="20"/>
              </w:rPr>
            </w:pPr>
            <w:r w:rsidRPr="00476708">
              <w:rPr>
                <w:rFonts w:ascii="Palatino Linotype" w:eastAsia="Palatino Linotype" w:hAnsi="Palatino Linotype" w:cs="Palatino Linotype"/>
                <w:i/>
                <w:sz w:val="20"/>
                <w:szCs w:val="20"/>
              </w:rPr>
              <w:t>“…Sobre el particular, sírvase encontrar en archivo adjunto copia del oficio de notificación número 20700004S/UT-1942/2024, mediante el cual se detalla lo referente a su solicitud…” (sic)</w:t>
            </w:r>
          </w:p>
          <w:p w14:paraId="5B301493" w14:textId="77777777" w:rsidR="002007DF" w:rsidRPr="00476708" w:rsidRDefault="002D1D62">
            <w:pPr>
              <w:spacing w:before="120" w:after="120" w:line="240" w:lineRule="auto"/>
              <w:jc w:val="both"/>
              <w:rPr>
                <w:rFonts w:ascii="Palatino Linotype" w:eastAsia="Palatino Linotype" w:hAnsi="Palatino Linotype" w:cs="Palatino Linotype"/>
                <w:sz w:val="20"/>
                <w:szCs w:val="20"/>
              </w:rPr>
            </w:pPr>
            <w:r w:rsidRPr="00476708">
              <w:rPr>
                <w:rFonts w:ascii="Palatino Linotype" w:eastAsia="Palatino Linotype" w:hAnsi="Palatino Linotype" w:cs="Palatino Linotype"/>
                <w:sz w:val="20"/>
                <w:szCs w:val="20"/>
              </w:rPr>
              <w:t>Archivos Adjuntos:</w:t>
            </w:r>
          </w:p>
          <w:p w14:paraId="5E923460" w14:textId="77777777" w:rsidR="002007DF" w:rsidRPr="00476708" w:rsidRDefault="002D1D62">
            <w:pPr>
              <w:spacing w:before="120" w:after="120" w:line="240" w:lineRule="auto"/>
              <w:jc w:val="both"/>
              <w:rPr>
                <w:rFonts w:ascii="Palatino Linotype" w:eastAsia="Palatino Linotype" w:hAnsi="Palatino Linotype" w:cs="Palatino Linotype"/>
                <w:sz w:val="20"/>
                <w:szCs w:val="20"/>
              </w:rPr>
            </w:pPr>
            <w:r w:rsidRPr="00476708">
              <w:rPr>
                <w:rFonts w:ascii="Palatino Linotype" w:eastAsia="Palatino Linotype" w:hAnsi="Palatino Linotype" w:cs="Palatino Linotype"/>
                <w:i/>
                <w:sz w:val="20"/>
                <w:szCs w:val="20"/>
              </w:rPr>
              <w:t xml:space="preserve">- </w:t>
            </w:r>
            <w:r w:rsidRPr="00476708">
              <w:rPr>
                <w:rFonts w:ascii="Palatino Linotype" w:eastAsia="Palatino Linotype" w:hAnsi="Palatino Linotype" w:cs="Palatino Linotype"/>
                <w:sz w:val="20"/>
                <w:szCs w:val="20"/>
              </w:rPr>
              <w:t>Oficio número 20700004S/UT-1942/2024, del siete de octubre de dos mil veinticuatro, mediante el cual el Titular de la Unidad de Transparencia notifica a la persona solicitante la respuesta proporcionada por el servidor público habilitado suplente de la Subsecretaría de Planeación y Presupuesto.</w:t>
            </w:r>
          </w:p>
          <w:p w14:paraId="29F03313" w14:textId="77777777" w:rsidR="002007DF" w:rsidRPr="00476708" w:rsidRDefault="002D1D62">
            <w:pPr>
              <w:jc w:val="both"/>
              <w:rPr>
                <w:rFonts w:ascii="Palatino Linotype" w:eastAsia="Palatino Linotype" w:hAnsi="Palatino Linotype" w:cs="Palatino Linotype"/>
                <w:sz w:val="20"/>
                <w:szCs w:val="20"/>
              </w:rPr>
            </w:pPr>
            <w:r w:rsidRPr="00476708">
              <w:rPr>
                <w:rFonts w:ascii="Palatino Linotype" w:eastAsia="Palatino Linotype" w:hAnsi="Palatino Linotype" w:cs="Palatino Linotype"/>
                <w:sz w:val="20"/>
                <w:szCs w:val="20"/>
              </w:rPr>
              <w:t xml:space="preserve">- Oficio número 20704000020000S/511/2024, del treinta de septiembre de dos mil veinticuatro, mediante el cual el servidor público habilitado suplente de la Subsecretaría de Planeación y Presupuesto informa que los indicadores del ejercicio 2020 de la de la Secretaría de Desarrollo Urbano e Infraestructura y sus respectivos avances a la conclusión del ejercicio fiscal son públicos y se encuentran </w:t>
            </w:r>
            <w:proofErr w:type="gramStart"/>
            <w:r w:rsidRPr="00476708">
              <w:rPr>
                <w:rFonts w:ascii="Palatino Linotype" w:eastAsia="Palatino Linotype" w:hAnsi="Palatino Linotype" w:cs="Palatino Linotype"/>
                <w:sz w:val="20"/>
                <w:szCs w:val="20"/>
              </w:rPr>
              <w:t>consultables  en</w:t>
            </w:r>
            <w:proofErr w:type="gramEnd"/>
            <w:r w:rsidRPr="00476708">
              <w:rPr>
                <w:rFonts w:ascii="Palatino Linotype" w:eastAsia="Palatino Linotype" w:hAnsi="Palatino Linotype" w:cs="Palatino Linotype"/>
                <w:sz w:val="20"/>
                <w:szCs w:val="20"/>
              </w:rPr>
              <w:t xml:space="preserve"> la página de transparencia fiscal de la Secretaría de Finanzas en la liga: </w:t>
            </w:r>
          </w:p>
          <w:p w14:paraId="7EE41E77" w14:textId="77777777" w:rsidR="002007DF" w:rsidRPr="00476708" w:rsidRDefault="002D1D62">
            <w:pPr>
              <w:jc w:val="center"/>
              <w:rPr>
                <w:rFonts w:ascii="Palatino Linotype" w:eastAsia="Palatino Linotype" w:hAnsi="Palatino Linotype" w:cs="Palatino Linotype"/>
                <w:sz w:val="20"/>
                <w:szCs w:val="20"/>
              </w:rPr>
            </w:pPr>
            <w:r w:rsidRPr="00476708">
              <w:rPr>
                <w:rFonts w:ascii="Palatino Linotype" w:eastAsia="Palatino Linotype" w:hAnsi="Palatino Linotype" w:cs="Palatino Linotype"/>
                <w:b/>
                <w:noProof/>
                <w:sz w:val="24"/>
                <w:szCs w:val="24"/>
              </w:rPr>
              <w:drawing>
                <wp:inline distT="0" distB="0" distL="0" distR="0" wp14:anchorId="540929DA" wp14:editId="7E9764A3">
                  <wp:extent cx="3240000" cy="136902"/>
                  <wp:effectExtent l="0" t="0" r="0" b="0"/>
                  <wp:docPr id="19356683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240000" cy="136902"/>
                          </a:xfrm>
                          <a:prstGeom prst="rect">
                            <a:avLst/>
                          </a:prstGeom>
                          <a:ln/>
                        </pic:spPr>
                      </pic:pic>
                    </a:graphicData>
                  </a:graphic>
                </wp:inline>
              </w:drawing>
            </w:r>
          </w:p>
        </w:tc>
      </w:tr>
    </w:tbl>
    <w:p w14:paraId="744A9900" w14:textId="77777777" w:rsidR="002007DF" w:rsidRPr="00476708" w:rsidRDefault="002D1D62">
      <w:pPr>
        <w:widowControl w:val="0"/>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xml:space="preserve">3. Interposición de los recursos de revisión. </w:t>
      </w:r>
      <w:r w:rsidRPr="00476708">
        <w:rPr>
          <w:rFonts w:ascii="Palatino Linotype" w:eastAsia="Palatino Linotype" w:hAnsi="Palatino Linotype" w:cs="Palatino Linotype"/>
          <w:sz w:val="24"/>
          <w:szCs w:val="24"/>
        </w:rPr>
        <w:t>Inconforme con las respuestas del</w:t>
      </w:r>
      <w:r w:rsidRPr="00476708">
        <w:rPr>
          <w:rFonts w:ascii="Palatino Linotype" w:eastAsia="Palatino Linotype" w:hAnsi="Palatino Linotype" w:cs="Palatino Linotype"/>
          <w:b/>
          <w:sz w:val="24"/>
          <w:szCs w:val="24"/>
        </w:rPr>
        <w:t xml:space="preserve"> Sujeto Obligado, </w:t>
      </w:r>
      <w:r w:rsidRPr="00476708">
        <w:rPr>
          <w:rFonts w:ascii="Palatino Linotype" w:eastAsia="Palatino Linotype" w:hAnsi="Palatino Linotype" w:cs="Palatino Linotype"/>
          <w:sz w:val="24"/>
          <w:szCs w:val="24"/>
        </w:rPr>
        <w:t xml:space="preserve">el </w:t>
      </w:r>
      <w:r w:rsidRPr="00476708">
        <w:rPr>
          <w:rFonts w:ascii="Palatino Linotype" w:eastAsia="Palatino Linotype" w:hAnsi="Palatino Linotype" w:cs="Palatino Linotype"/>
          <w:b/>
          <w:sz w:val="24"/>
          <w:szCs w:val="24"/>
        </w:rPr>
        <w:t xml:space="preserve">veintiuno de octubre de dos mil veinticuatro, </w:t>
      </w:r>
      <w:r w:rsidRPr="00476708">
        <w:rPr>
          <w:rFonts w:ascii="Palatino Linotype" w:eastAsia="Palatino Linotype" w:hAnsi="Palatino Linotype" w:cs="Palatino Linotype"/>
          <w:sz w:val="24"/>
          <w:szCs w:val="24"/>
        </w:rPr>
        <w:t>la parte</w:t>
      </w:r>
      <w:r w:rsidRPr="00476708">
        <w:rPr>
          <w:rFonts w:ascii="Palatino Linotype" w:eastAsia="Palatino Linotype" w:hAnsi="Palatino Linotype" w:cs="Palatino Linotype"/>
          <w:b/>
          <w:sz w:val="24"/>
          <w:szCs w:val="24"/>
        </w:rPr>
        <w:t xml:space="preserve"> Recurrente </w:t>
      </w:r>
      <w:r w:rsidRPr="00476708">
        <w:rPr>
          <w:rFonts w:ascii="Palatino Linotype" w:eastAsia="Palatino Linotype" w:hAnsi="Palatino Linotype" w:cs="Palatino Linotype"/>
          <w:sz w:val="24"/>
          <w:szCs w:val="24"/>
        </w:rPr>
        <w:t>interpuso los recursos de revisión, en los cuales manifestó lo siguiente:</w:t>
      </w:r>
    </w:p>
    <w:tbl>
      <w:tblPr>
        <w:tblStyle w:val="afff7"/>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2943"/>
        <w:gridCol w:w="3180"/>
      </w:tblGrid>
      <w:tr w:rsidR="00476708" w:rsidRPr="00476708" w14:paraId="4F0D35F8" w14:textId="77777777">
        <w:tc>
          <w:tcPr>
            <w:tcW w:w="2944" w:type="dxa"/>
            <w:shd w:val="clear" w:color="auto" w:fill="D0CECE"/>
            <w:vAlign w:val="center"/>
          </w:tcPr>
          <w:p w14:paraId="6CDC823E" w14:textId="77777777" w:rsidR="002007DF" w:rsidRPr="00476708" w:rsidRDefault="002D1D62">
            <w:pPr>
              <w:spacing w:before="120" w:after="120" w:line="240" w:lineRule="auto"/>
              <w:jc w:val="center"/>
              <w:rPr>
                <w:rFonts w:ascii="Palatino Linotype" w:eastAsia="Palatino Linotype" w:hAnsi="Palatino Linotype" w:cs="Palatino Linotype"/>
                <w:b/>
                <w:sz w:val="20"/>
                <w:szCs w:val="20"/>
              </w:rPr>
            </w:pPr>
            <w:r w:rsidRPr="00476708">
              <w:rPr>
                <w:rFonts w:ascii="Palatino Linotype" w:eastAsia="Palatino Linotype" w:hAnsi="Palatino Linotype" w:cs="Palatino Linotype"/>
                <w:b/>
                <w:sz w:val="20"/>
                <w:szCs w:val="20"/>
              </w:rPr>
              <w:t>Recurso de Revisión</w:t>
            </w:r>
          </w:p>
        </w:tc>
        <w:tc>
          <w:tcPr>
            <w:tcW w:w="2943" w:type="dxa"/>
            <w:shd w:val="clear" w:color="auto" w:fill="D0CECE"/>
            <w:vAlign w:val="center"/>
          </w:tcPr>
          <w:p w14:paraId="627D7E6E" w14:textId="77777777" w:rsidR="002007DF" w:rsidRPr="00476708" w:rsidRDefault="002D1D62">
            <w:pPr>
              <w:spacing w:before="120" w:after="120" w:line="240" w:lineRule="auto"/>
              <w:jc w:val="center"/>
              <w:rPr>
                <w:rFonts w:ascii="Palatino Linotype" w:eastAsia="Palatino Linotype" w:hAnsi="Palatino Linotype" w:cs="Palatino Linotype"/>
                <w:b/>
                <w:sz w:val="20"/>
                <w:szCs w:val="20"/>
              </w:rPr>
            </w:pPr>
            <w:r w:rsidRPr="00476708">
              <w:rPr>
                <w:rFonts w:ascii="Palatino Linotype" w:eastAsia="Palatino Linotype" w:hAnsi="Palatino Linotype" w:cs="Palatino Linotype"/>
                <w:b/>
                <w:sz w:val="20"/>
                <w:szCs w:val="20"/>
              </w:rPr>
              <w:t>Acto impugnado</w:t>
            </w:r>
          </w:p>
        </w:tc>
        <w:tc>
          <w:tcPr>
            <w:tcW w:w="3180" w:type="dxa"/>
            <w:shd w:val="clear" w:color="auto" w:fill="D0CECE"/>
            <w:vAlign w:val="center"/>
          </w:tcPr>
          <w:p w14:paraId="0368302F" w14:textId="77777777" w:rsidR="002007DF" w:rsidRPr="00476708" w:rsidRDefault="002D1D62">
            <w:pPr>
              <w:spacing w:before="120" w:after="120" w:line="240" w:lineRule="auto"/>
              <w:jc w:val="center"/>
              <w:rPr>
                <w:rFonts w:ascii="Palatino Linotype" w:eastAsia="Palatino Linotype" w:hAnsi="Palatino Linotype" w:cs="Palatino Linotype"/>
                <w:b/>
                <w:sz w:val="20"/>
                <w:szCs w:val="20"/>
              </w:rPr>
            </w:pPr>
            <w:r w:rsidRPr="00476708">
              <w:rPr>
                <w:rFonts w:ascii="Palatino Linotype" w:eastAsia="Palatino Linotype" w:hAnsi="Palatino Linotype" w:cs="Palatino Linotype"/>
                <w:b/>
                <w:sz w:val="20"/>
                <w:szCs w:val="20"/>
              </w:rPr>
              <w:t>Razones o Motivos de Inconformidad</w:t>
            </w:r>
          </w:p>
        </w:tc>
      </w:tr>
      <w:tr w:rsidR="00476708" w:rsidRPr="00476708" w14:paraId="58255457" w14:textId="77777777">
        <w:tc>
          <w:tcPr>
            <w:tcW w:w="2944" w:type="dxa"/>
          </w:tcPr>
          <w:p w14:paraId="48DC3C17" w14:textId="77777777" w:rsidR="002007DF" w:rsidRPr="00476708" w:rsidRDefault="002D1D62">
            <w:pPr>
              <w:spacing w:before="120" w:after="120" w:line="240" w:lineRule="auto"/>
              <w:jc w:val="center"/>
              <w:rPr>
                <w:rFonts w:ascii="Palatino Linotype" w:eastAsia="Palatino Linotype" w:hAnsi="Palatino Linotype" w:cs="Palatino Linotype"/>
                <w:b/>
                <w:sz w:val="20"/>
                <w:szCs w:val="20"/>
              </w:rPr>
            </w:pPr>
            <w:r w:rsidRPr="00476708">
              <w:rPr>
                <w:rFonts w:ascii="Palatino Linotype" w:eastAsia="Palatino Linotype" w:hAnsi="Palatino Linotype" w:cs="Palatino Linotype"/>
                <w:b/>
                <w:sz w:val="20"/>
                <w:szCs w:val="20"/>
              </w:rPr>
              <w:t>06479/INFOEM/IP/RR/2024</w:t>
            </w:r>
          </w:p>
        </w:tc>
        <w:tc>
          <w:tcPr>
            <w:tcW w:w="2943" w:type="dxa"/>
          </w:tcPr>
          <w:p w14:paraId="43FA25C2" w14:textId="77777777" w:rsidR="002007DF" w:rsidRPr="00476708" w:rsidRDefault="002D1D62">
            <w:pPr>
              <w:spacing w:before="120" w:after="120" w:line="240" w:lineRule="auto"/>
              <w:jc w:val="both"/>
              <w:rPr>
                <w:rFonts w:ascii="Palatino Linotype" w:eastAsia="Palatino Linotype" w:hAnsi="Palatino Linotype" w:cs="Palatino Linotype"/>
                <w:i/>
                <w:sz w:val="20"/>
                <w:szCs w:val="20"/>
              </w:rPr>
            </w:pPr>
            <w:r w:rsidRPr="00476708">
              <w:rPr>
                <w:rFonts w:ascii="Palatino Linotype" w:eastAsia="Palatino Linotype" w:hAnsi="Palatino Linotype" w:cs="Palatino Linotype"/>
                <w:i/>
                <w:sz w:val="20"/>
                <w:szCs w:val="20"/>
              </w:rPr>
              <w:t xml:space="preserve">“Si bien son públicos los documentos, </w:t>
            </w:r>
            <w:r w:rsidRPr="00476708">
              <w:rPr>
                <w:rFonts w:ascii="Palatino Linotype" w:eastAsia="Palatino Linotype" w:hAnsi="Palatino Linotype" w:cs="Palatino Linotype"/>
                <w:b/>
                <w:i/>
                <w:sz w:val="20"/>
                <w:szCs w:val="20"/>
                <w:u w:val="single"/>
              </w:rPr>
              <w:t xml:space="preserve">se </w:t>
            </w:r>
            <w:proofErr w:type="spellStart"/>
            <w:r w:rsidRPr="00476708">
              <w:rPr>
                <w:rFonts w:ascii="Palatino Linotype" w:eastAsia="Palatino Linotype" w:hAnsi="Palatino Linotype" w:cs="Palatino Linotype"/>
                <w:b/>
                <w:i/>
                <w:sz w:val="20"/>
                <w:szCs w:val="20"/>
                <w:u w:val="single"/>
              </w:rPr>
              <w:t>esta</w:t>
            </w:r>
            <w:proofErr w:type="spellEnd"/>
            <w:r w:rsidRPr="00476708">
              <w:rPr>
                <w:rFonts w:ascii="Palatino Linotype" w:eastAsia="Palatino Linotype" w:hAnsi="Palatino Linotype" w:cs="Palatino Linotype"/>
                <w:b/>
                <w:i/>
                <w:sz w:val="20"/>
                <w:szCs w:val="20"/>
                <w:u w:val="single"/>
              </w:rPr>
              <w:t xml:space="preserve"> solicitando </w:t>
            </w:r>
            <w:r w:rsidRPr="00476708">
              <w:rPr>
                <w:rFonts w:ascii="Palatino Linotype" w:eastAsia="Palatino Linotype" w:hAnsi="Palatino Linotype" w:cs="Palatino Linotype"/>
                <w:b/>
                <w:i/>
                <w:sz w:val="20"/>
                <w:szCs w:val="20"/>
                <w:u w:val="single"/>
              </w:rPr>
              <w:lastRenderedPageBreak/>
              <w:t>solamente aquellos en donde la servidora pública participo</w:t>
            </w:r>
            <w:r w:rsidRPr="00476708">
              <w:rPr>
                <w:rFonts w:ascii="Palatino Linotype" w:eastAsia="Palatino Linotype" w:hAnsi="Palatino Linotype" w:cs="Palatino Linotype"/>
                <w:i/>
                <w:sz w:val="20"/>
                <w:szCs w:val="20"/>
              </w:rPr>
              <w:t>, por lo cual la respuesta no es la correcta, se solicita se proporcione la información solicitada.” (sic)</w:t>
            </w:r>
          </w:p>
        </w:tc>
        <w:tc>
          <w:tcPr>
            <w:tcW w:w="3180" w:type="dxa"/>
          </w:tcPr>
          <w:p w14:paraId="6E87506D" w14:textId="77777777" w:rsidR="002007DF" w:rsidRPr="00476708" w:rsidRDefault="002D1D62">
            <w:pPr>
              <w:spacing w:before="120" w:after="120" w:line="240" w:lineRule="auto"/>
              <w:jc w:val="both"/>
              <w:rPr>
                <w:rFonts w:ascii="Palatino Linotype" w:eastAsia="Palatino Linotype" w:hAnsi="Palatino Linotype" w:cs="Palatino Linotype"/>
                <w:i/>
                <w:sz w:val="20"/>
                <w:szCs w:val="20"/>
              </w:rPr>
            </w:pPr>
            <w:r w:rsidRPr="00476708">
              <w:rPr>
                <w:rFonts w:ascii="Palatino Linotype" w:eastAsia="Palatino Linotype" w:hAnsi="Palatino Linotype" w:cs="Palatino Linotype"/>
                <w:i/>
                <w:sz w:val="20"/>
                <w:szCs w:val="20"/>
              </w:rPr>
              <w:lastRenderedPageBreak/>
              <w:t xml:space="preserve">“Se solicita que se </w:t>
            </w:r>
            <w:proofErr w:type="spellStart"/>
            <w:r w:rsidRPr="00476708">
              <w:rPr>
                <w:rFonts w:ascii="Palatino Linotype" w:eastAsia="Palatino Linotype" w:hAnsi="Palatino Linotype" w:cs="Palatino Linotype"/>
                <w:i/>
                <w:sz w:val="20"/>
                <w:szCs w:val="20"/>
              </w:rPr>
              <w:t>de</w:t>
            </w:r>
            <w:proofErr w:type="spellEnd"/>
            <w:r w:rsidRPr="00476708">
              <w:rPr>
                <w:rFonts w:ascii="Palatino Linotype" w:eastAsia="Palatino Linotype" w:hAnsi="Palatino Linotype" w:cs="Palatino Linotype"/>
                <w:i/>
                <w:sz w:val="20"/>
                <w:szCs w:val="20"/>
              </w:rPr>
              <w:t xml:space="preserve"> respuesta de manera puntual a la solicitud.” (sic)</w:t>
            </w:r>
          </w:p>
        </w:tc>
      </w:tr>
      <w:tr w:rsidR="00476708" w:rsidRPr="00476708" w14:paraId="7926817D" w14:textId="77777777">
        <w:tc>
          <w:tcPr>
            <w:tcW w:w="2944" w:type="dxa"/>
          </w:tcPr>
          <w:p w14:paraId="2B21796E" w14:textId="77777777" w:rsidR="002007DF" w:rsidRPr="00476708" w:rsidRDefault="002D1D62">
            <w:pPr>
              <w:spacing w:before="120" w:after="120" w:line="240" w:lineRule="auto"/>
              <w:jc w:val="center"/>
              <w:rPr>
                <w:rFonts w:ascii="Palatino Linotype" w:eastAsia="Palatino Linotype" w:hAnsi="Palatino Linotype" w:cs="Palatino Linotype"/>
                <w:b/>
                <w:sz w:val="20"/>
                <w:szCs w:val="20"/>
              </w:rPr>
            </w:pPr>
            <w:r w:rsidRPr="00476708">
              <w:rPr>
                <w:rFonts w:ascii="Palatino Linotype" w:eastAsia="Palatino Linotype" w:hAnsi="Palatino Linotype" w:cs="Palatino Linotype"/>
                <w:b/>
                <w:sz w:val="20"/>
                <w:szCs w:val="20"/>
              </w:rPr>
              <w:t xml:space="preserve">06485/INFOEM/IP/RR/2024 </w:t>
            </w:r>
          </w:p>
        </w:tc>
        <w:tc>
          <w:tcPr>
            <w:tcW w:w="2943" w:type="dxa"/>
          </w:tcPr>
          <w:p w14:paraId="3E3C330C" w14:textId="77777777" w:rsidR="002007DF" w:rsidRPr="00476708" w:rsidRDefault="002D1D62">
            <w:pPr>
              <w:spacing w:before="120" w:after="120" w:line="240" w:lineRule="auto"/>
              <w:jc w:val="both"/>
              <w:rPr>
                <w:rFonts w:ascii="Palatino Linotype" w:eastAsia="Palatino Linotype" w:hAnsi="Palatino Linotype" w:cs="Palatino Linotype"/>
                <w:i/>
                <w:sz w:val="20"/>
                <w:szCs w:val="20"/>
              </w:rPr>
            </w:pPr>
            <w:r w:rsidRPr="00476708">
              <w:rPr>
                <w:rFonts w:ascii="Palatino Linotype" w:eastAsia="Palatino Linotype" w:hAnsi="Palatino Linotype" w:cs="Palatino Linotype"/>
                <w:i/>
                <w:sz w:val="20"/>
                <w:szCs w:val="20"/>
              </w:rPr>
              <w:t>“Se solicita dar atención de la manera en que se describe la solicitud de información.” (sic)</w:t>
            </w:r>
          </w:p>
        </w:tc>
        <w:tc>
          <w:tcPr>
            <w:tcW w:w="3180" w:type="dxa"/>
          </w:tcPr>
          <w:p w14:paraId="267F3525" w14:textId="77777777" w:rsidR="002007DF" w:rsidRPr="00476708" w:rsidRDefault="002D1D62">
            <w:pPr>
              <w:spacing w:before="120" w:after="120" w:line="240" w:lineRule="auto"/>
              <w:jc w:val="both"/>
              <w:rPr>
                <w:rFonts w:ascii="Palatino Linotype" w:eastAsia="Palatino Linotype" w:hAnsi="Palatino Linotype" w:cs="Palatino Linotype"/>
                <w:i/>
                <w:sz w:val="20"/>
                <w:szCs w:val="20"/>
              </w:rPr>
            </w:pPr>
            <w:r w:rsidRPr="00476708">
              <w:rPr>
                <w:rFonts w:ascii="Palatino Linotype" w:eastAsia="Palatino Linotype" w:hAnsi="Palatino Linotype" w:cs="Palatino Linotype"/>
                <w:i/>
                <w:sz w:val="20"/>
                <w:szCs w:val="20"/>
              </w:rPr>
              <w:t>“Se solicita dar atención de la manera en que se describe la solicitud de información.” (sic)</w:t>
            </w:r>
          </w:p>
        </w:tc>
      </w:tr>
    </w:tbl>
    <w:p w14:paraId="55428953"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xml:space="preserve">4. Turno. </w:t>
      </w:r>
      <w:r w:rsidRPr="00476708">
        <w:rPr>
          <w:rFonts w:ascii="Palatino Linotype" w:eastAsia="Palatino Linotype" w:hAnsi="Palatino Linotype" w:cs="Palatino Linotype"/>
          <w:sz w:val="24"/>
          <w:szCs w:val="24"/>
        </w:rPr>
        <w:t xml:space="preserve">De conformidad con el artículo 185, fracción I de la Ley Transparencia y Acceso a la Información Pública del Estado de México y Municipios, los recursos de revisión fueron turnados a los Comisionados </w:t>
      </w:r>
      <w:r w:rsidRPr="00476708">
        <w:rPr>
          <w:rFonts w:ascii="Palatino Linotype" w:eastAsia="Palatino Linotype" w:hAnsi="Palatino Linotype" w:cs="Palatino Linotype"/>
          <w:b/>
          <w:sz w:val="24"/>
          <w:szCs w:val="24"/>
        </w:rPr>
        <w:t>Guadalupe Ramírez Peña</w:t>
      </w:r>
      <w:r w:rsidRPr="00476708">
        <w:rPr>
          <w:rFonts w:ascii="Palatino Linotype" w:eastAsia="Palatino Linotype" w:hAnsi="Palatino Linotype" w:cs="Palatino Linotype"/>
          <w:sz w:val="24"/>
          <w:szCs w:val="24"/>
        </w:rPr>
        <w:t xml:space="preserve"> y </w:t>
      </w:r>
      <w:r w:rsidRPr="00476708">
        <w:rPr>
          <w:rFonts w:ascii="Palatino Linotype" w:eastAsia="Palatino Linotype" w:hAnsi="Palatino Linotype" w:cs="Palatino Linotype"/>
          <w:b/>
          <w:sz w:val="24"/>
          <w:szCs w:val="24"/>
        </w:rPr>
        <w:t xml:space="preserve">José Martínez Vilchis, </w:t>
      </w:r>
      <w:r w:rsidRPr="00476708">
        <w:rPr>
          <w:rFonts w:ascii="Palatino Linotype" w:eastAsia="Palatino Linotype" w:hAnsi="Palatino Linotype" w:cs="Palatino Linotype"/>
          <w:sz w:val="24"/>
          <w:szCs w:val="24"/>
        </w:rPr>
        <w:t>a efecto de presentar al Pleno los proyectos de resolución correspondientes.</w:t>
      </w:r>
    </w:p>
    <w:p w14:paraId="749B2B29" w14:textId="77777777" w:rsidR="002007DF" w:rsidRPr="00476708" w:rsidRDefault="002D1D62">
      <w:pPr>
        <w:spacing w:before="240" w:after="240" w:line="360" w:lineRule="auto"/>
        <w:jc w:val="both"/>
        <w:rPr>
          <w:rFonts w:ascii="Palatino Linotype" w:eastAsia="Palatino Linotype" w:hAnsi="Palatino Linotype" w:cs="Palatino Linotype"/>
          <w:b/>
          <w:sz w:val="24"/>
          <w:szCs w:val="24"/>
        </w:rPr>
      </w:pPr>
      <w:r w:rsidRPr="00476708">
        <w:rPr>
          <w:rFonts w:ascii="Palatino Linotype" w:eastAsia="Palatino Linotype" w:hAnsi="Palatino Linotype" w:cs="Palatino Linotype"/>
          <w:b/>
          <w:sz w:val="24"/>
          <w:szCs w:val="24"/>
        </w:rPr>
        <w:t xml:space="preserve">5. Admisión. </w:t>
      </w:r>
      <w:r w:rsidRPr="00476708">
        <w:rPr>
          <w:rFonts w:ascii="Palatino Linotype" w:eastAsia="Palatino Linotype" w:hAnsi="Palatino Linotype" w:cs="Palatino Linotype"/>
          <w:sz w:val="24"/>
          <w:szCs w:val="24"/>
        </w:rPr>
        <w:t>El</w:t>
      </w:r>
      <w:r w:rsidRPr="00476708">
        <w:rPr>
          <w:rFonts w:ascii="Palatino Linotype" w:eastAsia="Palatino Linotype" w:hAnsi="Palatino Linotype" w:cs="Palatino Linotype"/>
          <w:b/>
          <w:sz w:val="24"/>
          <w:szCs w:val="24"/>
        </w:rPr>
        <w:t xml:space="preserve"> veintitrés </w:t>
      </w:r>
      <w:r w:rsidRPr="00476708">
        <w:rPr>
          <w:rFonts w:ascii="Palatino Linotype" w:eastAsia="Palatino Linotype" w:hAnsi="Palatino Linotype" w:cs="Palatino Linotype"/>
          <w:sz w:val="24"/>
          <w:szCs w:val="24"/>
        </w:rPr>
        <w:t xml:space="preserve">y </w:t>
      </w:r>
      <w:r w:rsidRPr="00476708">
        <w:rPr>
          <w:rFonts w:ascii="Palatino Linotype" w:eastAsia="Palatino Linotype" w:hAnsi="Palatino Linotype" w:cs="Palatino Linotype"/>
          <w:b/>
          <w:sz w:val="24"/>
          <w:szCs w:val="24"/>
        </w:rPr>
        <w:t>veinticuatro de octubre de dos mil veinticuatro</w:t>
      </w:r>
      <w:r w:rsidRPr="00476708">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admitieron a trámite los recursos de revisión</w:t>
      </w:r>
      <w:r w:rsidRPr="00476708">
        <w:rPr>
          <w:rFonts w:ascii="Palatino Linotype" w:eastAsia="Palatino Linotype" w:hAnsi="Palatino Linotype" w:cs="Palatino Linotype"/>
          <w:b/>
          <w:sz w:val="24"/>
          <w:szCs w:val="24"/>
        </w:rPr>
        <w:t xml:space="preserve">. </w:t>
      </w:r>
    </w:p>
    <w:p w14:paraId="7FD3C751" w14:textId="77777777" w:rsidR="002007DF" w:rsidRPr="00476708" w:rsidRDefault="002D1D62">
      <w:pPr>
        <w:spacing w:before="240" w:after="240" w:line="360" w:lineRule="auto"/>
        <w:ind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xml:space="preserve">6. Manifestaciones. </w:t>
      </w:r>
      <w:r w:rsidRPr="00476708">
        <w:rPr>
          <w:rFonts w:ascii="Palatino Linotype" w:eastAsia="Palatino Linotype" w:hAnsi="Palatino Linotype" w:cs="Palatino Linotype"/>
          <w:sz w:val="24"/>
          <w:szCs w:val="24"/>
        </w:rPr>
        <w:t xml:space="preserve">El </w:t>
      </w:r>
      <w:r w:rsidRPr="00476708">
        <w:rPr>
          <w:rFonts w:ascii="Palatino Linotype" w:eastAsia="Palatino Linotype" w:hAnsi="Palatino Linotype" w:cs="Palatino Linotype"/>
          <w:b/>
          <w:sz w:val="24"/>
          <w:szCs w:val="24"/>
        </w:rPr>
        <w:t xml:space="preserve">treinta de octubre de dos mil veinticuatro, </w:t>
      </w:r>
      <w:r w:rsidRPr="00476708">
        <w:rPr>
          <w:rFonts w:ascii="Palatino Linotype" w:eastAsia="Palatino Linotype" w:hAnsi="Palatino Linotype" w:cs="Palatino Linotype"/>
          <w:sz w:val="24"/>
          <w:szCs w:val="24"/>
        </w:rPr>
        <w:t xml:space="preserve">el </w:t>
      </w:r>
      <w:r w:rsidRPr="00476708">
        <w:rPr>
          <w:rFonts w:ascii="Palatino Linotype" w:eastAsia="Palatino Linotype" w:hAnsi="Palatino Linotype" w:cs="Palatino Linotype"/>
          <w:b/>
          <w:sz w:val="24"/>
          <w:szCs w:val="24"/>
        </w:rPr>
        <w:t xml:space="preserve">Sujeto Obligado </w:t>
      </w:r>
      <w:r w:rsidRPr="00476708">
        <w:rPr>
          <w:rFonts w:ascii="Palatino Linotype" w:eastAsia="Palatino Linotype" w:hAnsi="Palatino Linotype" w:cs="Palatino Linotype"/>
          <w:sz w:val="24"/>
          <w:szCs w:val="24"/>
        </w:rPr>
        <w:t>remitió, a través de SAIMEX, sus informes justificados mediante los cuales ratificó en lo sustancial la respuesta emitida en primera instancia a las solicitudes de información.</w:t>
      </w:r>
    </w:p>
    <w:p w14:paraId="7A925F57" w14:textId="77777777" w:rsidR="002007DF" w:rsidRPr="00476708" w:rsidRDefault="002D1D62">
      <w:pPr>
        <w:spacing w:before="240" w:after="240" w:line="360" w:lineRule="auto"/>
        <w:ind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Anexos:</w:t>
      </w:r>
    </w:p>
    <w:p w14:paraId="5C60829E" w14:textId="77777777" w:rsidR="002007DF" w:rsidRPr="00476708" w:rsidRDefault="002D1D62">
      <w:pPr>
        <w:spacing w:before="240" w:after="240" w:line="360" w:lineRule="auto"/>
        <w:ind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Oficio número 20704000020000S/642/2024, del veinticuatro de octubre de dos mil veinticuatro, mediante el cual el servidor público habilitado suplente de la </w:t>
      </w:r>
      <w:r w:rsidRPr="00476708">
        <w:rPr>
          <w:rFonts w:ascii="Palatino Linotype" w:eastAsia="Palatino Linotype" w:hAnsi="Palatino Linotype" w:cs="Palatino Linotype"/>
          <w:sz w:val="24"/>
          <w:szCs w:val="24"/>
        </w:rPr>
        <w:lastRenderedPageBreak/>
        <w:t xml:space="preserve">Subsecretaría de Planeación y Presupuesto ratifica la respuesta emitida a la solicitud 00678/SF/IP/2024, manifestando que se dio debida respuesta al requerimiento de la persona solicitante, a través </w:t>
      </w:r>
      <w:proofErr w:type="gramStart"/>
      <w:r w:rsidRPr="00476708">
        <w:rPr>
          <w:rFonts w:ascii="Palatino Linotype" w:eastAsia="Palatino Linotype" w:hAnsi="Palatino Linotype" w:cs="Palatino Linotype"/>
          <w:sz w:val="24"/>
          <w:szCs w:val="24"/>
        </w:rPr>
        <w:t>dela</w:t>
      </w:r>
      <w:proofErr w:type="gramEnd"/>
      <w:r w:rsidRPr="00476708">
        <w:rPr>
          <w:rFonts w:ascii="Palatino Linotype" w:eastAsia="Palatino Linotype" w:hAnsi="Palatino Linotype" w:cs="Palatino Linotype"/>
          <w:sz w:val="24"/>
          <w:szCs w:val="24"/>
        </w:rPr>
        <w:t xml:space="preserve"> liga electrónica referida.</w:t>
      </w:r>
    </w:p>
    <w:p w14:paraId="7D7FC488" w14:textId="77777777" w:rsidR="002007DF" w:rsidRPr="00476708" w:rsidRDefault="002D1D62">
      <w:pPr>
        <w:spacing w:before="240" w:after="240" w:line="360" w:lineRule="auto"/>
        <w:ind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Oficio número 20704000020000S/646/2024, del veinticuatro de octubre de dos mil veinticuatro, mediante el cual el servidor público habilitado suplente de la Subsecretaría de Planeación y Presupuesto ratifica la respuesta emitida a la solicitud 00682/SF/IP/2024, manifestando que se dio debida respuesta al requerimiento de la persona solicitante, a través </w:t>
      </w:r>
      <w:proofErr w:type="gramStart"/>
      <w:r w:rsidRPr="00476708">
        <w:rPr>
          <w:rFonts w:ascii="Palatino Linotype" w:eastAsia="Palatino Linotype" w:hAnsi="Palatino Linotype" w:cs="Palatino Linotype"/>
          <w:sz w:val="24"/>
          <w:szCs w:val="24"/>
        </w:rPr>
        <w:t>dela</w:t>
      </w:r>
      <w:proofErr w:type="gramEnd"/>
      <w:r w:rsidRPr="00476708">
        <w:rPr>
          <w:rFonts w:ascii="Palatino Linotype" w:eastAsia="Palatino Linotype" w:hAnsi="Palatino Linotype" w:cs="Palatino Linotype"/>
          <w:sz w:val="24"/>
          <w:szCs w:val="24"/>
        </w:rPr>
        <w:t xml:space="preserve"> liga electrónica referida.</w:t>
      </w:r>
    </w:p>
    <w:p w14:paraId="29A38D25" w14:textId="77777777" w:rsidR="002007DF" w:rsidRPr="00476708" w:rsidRDefault="002D1D62">
      <w:pPr>
        <w:spacing w:before="240" w:after="240" w:line="360" w:lineRule="auto"/>
        <w:ind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Documento en formato abierto, a través del cual se proporcionó la liga electrónica </w:t>
      </w:r>
      <w:hyperlink r:id="rId9">
        <w:r w:rsidRPr="00476708">
          <w:rPr>
            <w:rFonts w:ascii="Palatino Linotype" w:eastAsia="Palatino Linotype" w:hAnsi="Palatino Linotype" w:cs="Palatino Linotype"/>
            <w:sz w:val="24"/>
            <w:szCs w:val="24"/>
            <w:u w:val="single"/>
          </w:rPr>
          <w:t>https://transparenciafiscal.edomex.gob.mx/indicadores_programa2</w:t>
        </w:r>
      </w:hyperlink>
      <w:r w:rsidRPr="00476708">
        <w:rPr>
          <w:rFonts w:ascii="Palatino Linotype" w:eastAsia="Palatino Linotype" w:hAnsi="Palatino Linotype" w:cs="Palatino Linotype"/>
          <w:sz w:val="24"/>
          <w:szCs w:val="24"/>
        </w:rPr>
        <w:t>, que corresponde con la página de transparencia fiscal de la Secretaría de Finanzas, para efectos de la consulta.</w:t>
      </w:r>
    </w:p>
    <w:p w14:paraId="026A821D"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Una vez analizados los documentos señalados, se determinó ponerlos a la vista de la parte </w:t>
      </w:r>
      <w:r w:rsidRPr="00476708">
        <w:rPr>
          <w:rFonts w:ascii="Palatino Linotype" w:eastAsia="Palatino Linotype" w:hAnsi="Palatino Linotype" w:cs="Palatino Linotype"/>
          <w:b/>
          <w:sz w:val="24"/>
          <w:szCs w:val="24"/>
        </w:rPr>
        <w:t xml:space="preserve">Recurrente, </w:t>
      </w:r>
      <w:r w:rsidRPr="00476708">
        <w:rPr>
          <w:rFonts w:ascii="Palatino Linotype" w:eastAsia="Palatino Linotype" w:hAnsi="Palatino Linotype" w:cs="Palatino Linotype"/>
          <w:sz w:val="24"/>
          <w:szCs w:val="24"/>
        </w:rPr>
        <w:t>con la finalidad de que de que manifestara lo que a su derecho estimara conveniente, sin embargo, fue omisa en ejercer dicha prerrogativa.</w:t>
      </w:r>
    </w:p>
    <w:p w14:paraId="4B0E3274" w14:textId="77777777" w:rsidR="002007DF" w:rsidRPr="00476708" w:rsidRDefault="002D1D62">
      <w:pPr>
        <w:spacing w:before="240" w:after="240" w:line="360" w:lineRule="auto"/>
        <w:jc w:val="both"/>
        <w:rPr>
          <w:rFonts w:ascii="Palatino Linotype" w:eastAsia="Palatino Linotype" w:hAnsi="Palatino Linotype" w:cs="Palatino Linotype"/>
          <w:b/>
          <w:sz w:val="24"/>
          <w:szCs w:val="24"/>
        </w:rPr>
      </w:pPr>
      <w:r w:rsidRPr="00476708">
        <w:rPr>
          <w:rFonts w:ascii="Palatino Linotype" w:eastAsia="Palatino Linotype" w:hAnsi="Palatino Linotype" w:cs="Palatino Linotype"/>
          <w:b/>
          <w:sz w:val="24"/>
          <w:szCs w:val="24"/>
        </w:rPr>
        <w:t xml:space="preserve">7. Acumulación de los recursos de revisión. </w:t>
      </w:r>
      <w:r w:rsidRPr="00476708">
        <w:rPr>
          <w:rFonts w:ascii="Palatino Linotype" w:eastAsia="Palatino Linotype" w:hAnsi="Palatino Linotype" w:cs="Palatino Linotype"/>
          <w:sz w:val="24"/>
          <w:szCs w:val="24"/>
        </w:rPr>
        <w:t xml:space="preserve">En la </w:t>
      </w:r>
      <w:r w:rsidRPr="00476708">
        <w:rPr>
          <w:rFonts w:ascii="Palatino Linotype" w:eastAsia="Palatino Linotype" w:hAnsi="Palatino Linotype" w:cs="Palatino Linotype"/>
          <w:b/>
          <w:sz w:val="24"/>
          <w:szCs w:val="24"/>
        </w:rPr>
        <w:t xml:space="preserve">Trigésima Octava Sesión Ordinarias, </w:t>
      </w:r>
      <w:r w:rsidRPr="00476708">
        <w:rPr>
          <w:rFonts w:ascii="Palatino Linotype" w:eastAsia="Palatino Linotype" w:hAnsi="Palatino Linotype" w:cs="Palatino Linotype"/>
          <w:sz w:val="24"/>
          <w:szCs w:val="24"/>
        </w:rPr>
        <w:t>de fecha</w:t>
      </w:r>
      <w:r w:rsidRPr="00476708">
        <w:rPr>
          <w:rFonts w:ascii="Palatino Linotype" w:eastAsia="Palatino Linotype" w:hAnsi="Palatino Linotype" w:cs="Palatino Linotype"/>
          <w:b/>
          <w:sz w:val="24"/>
          <w:szCs w:val="24"/>
        </w:rPr>
        <w:t xml:space="preserve"> seis de noviembre de dos mil veinticuatro, </w:t>
      </w:r>
      <w:r w:rsidRPr="00476708">
        <w:rPr>
          <w:rFonts w:ascii="Palatino Linotype" w:eastAsia="Palatino Linotype" w:hAnsi="Palatino Linotype" w:cs="Palatino Linotype"/>
          <w:sz w:val="24"/>
          <w:szCs w:val="24"/>
        </w:rPr>
        <w:t xml:space="preserve">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el Pleno de este </w:t>
      </w:r>
      <w:r w:rsidRPr="00476708">
        <w:rPr>
          <w:rFonts w:ascii="Palatino Linotype" w:eastAsia="Palatino Linotype" w:hAnsi="Palatino Linotype" w:cs="Palatino Linotype"/>
          <w:sz w:val="24"/>
          <w:szCs w:val="24"/>
        </w:rPr>
        <w:lastRenderedPageBreak/>
        <w:t xml:space="preserve">Instituto, aprobó la acumulación de los expedientes citados, a efecto de que la Comisionada </w:t>
      </w:r>
      <w:r w:rsidRPr="00476708">
        <w:rPr>
          <w:rFonts w:ascii="Palatino Linotype" w:eastAsia="Palatino Linotype" w:hAnsi="Palatino Linotype" w:cs="Palatino Linotype"/>
          <w:b/>
          <w:sz w:val="24"/>
          <w:szCs w:val="24"/>
        </w:rPr>
        <w:t xml:space="preserve">Guadalupe Ramírez Peña </w:t>
      </w:r>
      <w:r w:rsidRPr="00476708">
        <w:rPr>
          <w:rFonts w:ascii="Palatino Linotype" w:eastAsia="Palatino Linotype" w:hAnsi="Palatino Linotype" w:cs="Palatino Linotype"/>
          <w:sz w:val="24"/>
          <w:szCs w:val="24"/>
        </w:rPr>
        <w:t>formulara y presentara el proyecto de resolución correspondiente.</w:t>
      </w:r>
    </w:p>
    <w:p w14:paraId="7AB27484" w14:textId="77777777" w:rsidR="002007DF" w:rsidRPr="00476708" w:rsidRDefault="002D1D62">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476708">
        <w:rPr>
          <w:rFonts w:ascii="Palatino Linotype" w:eastAsia="Palatino Linotype" w:hAnsi="Palatino Linotype" w:cs="Palatino Linotype"/>
          <w:b/>
          <w:i/>
        </w:rPr>
        <w:t>Código de Procedimientos Administrativos del Estado de México</w:t>
      </w:r>
    </w:p>
    <w:p w14:paraId="2B2CDDC5" w14:textId="77777777" w:rsidR="002007DF" w:rsidRPr="00476708" w:rsidRDefault="002D1D62">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476708">
        <w:rPr>
          <w:rFonts w:ascii="Palatino Linotype" w:eastAsia="Palatino Linotype" w:hAnsi="Palatino Linotype" w:cs="Palatino Linotype"/>
          <w:b/>
          <w:i/>
        </w:rPr>
        <w:t>“Artículo 18.-</w:t>
      </w:r>
      <w:r w:rsidRPr="00476708">
        <w:rPr>
          <w:rFonts w:ascii="Palatino Linotype" w:eastAsia="Palatino Linotype" w:hAnsi="Palatino Linotype" w:cs="Palatino Linotype"/>
          <w:i/>
        </w:rPr>
        <w:t xml:space="preserve"> </w:t>
      </w:r>
      <w:r w:rsidRPr="00476708">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476708">
        <w:rPr>
          <w:rFonts w:ascii="Palatino Linotype" w:eastAsia="Palatino Linotype" w:hAnsi="Palatino Linotype" w:cs="Palatino Linotype"/>
          <w:i/>
        </w:rPr>
        <w:t xml:space="preserve"> o a petición de parte, </w:t>
      </w:r>
      <w:r w:rsidRPr="00476708">
        <w:rPr>
          <w:rFonts w:ascii="Palatino Linotype" w:eastAsia="Palatino Linotype" w:hAnsi="Palatino Linotype" w:cs="Palatino Linotype"/>
          <w:b/>
          <w:i/>
        </w:rPr>
        <w:t>cuando las partes</w:t>
      </w:r>
      <w:r w:rsidRPr="00476708">
        <w:rPr>
          <w:rFonts w:ascii="Palatino Linotype" w:eastAsia="Palatino Linotype" w:hAnsi="Palatino Linotype" w:cs="Palatino Linotype"/>
          <w:i/>
        </w:rPr>
        <w:t xml:space="preserve"> o los actos administrativos sean iguales, se trate de actos conexos o </w:t>
      </w:r>
      <w:r w:rsidRPr="00476708">
        <w:rPr>
          <w:rFonts w:ascii="Palatino Linotype" w:eastAsia="Palatino Linotype" w:hAnsi="Palatino Linotype" w:cs="Palatino Linotype"/>
          <w:b/>
          <w:i/>
        </w:rPr>
        <w:t>resulte conveniente el trámite unificado de los asuntos, para evitar la emisión de resoluciones contradictorias</w:t>
      </w:r>
      <w:r w:rsidRPr="00476708">
        <w:rPr>
          <w:rFonts w:ascii="Palatino Linotype" w:eastAsia="Palatino Linotype" w:hAnsi="Palatino Linotype" w:cs="Palatino Linotype"/>
          <w:i/>
        </w:rPr>
        <w:t>. La misma regla se aplicará, en lo conducente, para la separación de los expedientes.”</w:t>
      </w:r>
    </w:p>
    <w:p w14:paraId="7344A51B" w14:textId="77777777" w:rsidR="002007DF" w:rsidRPr="00476708" w:rsidRDefault="002D1D62">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476708">
        <w:rPr>
          <w:rFonts w:ascii="Palatino Linotype" w:eastAsia="Palatino Linotype" w:hAnsi="Palatino Linotype" w:cs="Palatino Linotype"/>
          <w:b/>
          <w:i/>
        </w:rPr>
        <w:t>Ley de Transparencia y Acceso a la Información Pública del Estado de México y Municipios</w:t>
      </w:r>
    </w:p>
    <w:p w14:paraId="2B7EF525" w14:textId="77777777" w:rsidR="002007DF" w:rsidRPr="00476708" w:rsidRDefault="002D1D62">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476708">
        <w:rPr>
          <w:rFonts w:ascii="Palatino Linotype" w:eastAsia="Palatino Linotype" w:hAnsi="Palatino Linotype" w:cs="Palatino Linotype"/>
          <w:b/>
          <w:i/>
        </w:rPr>
        <w:t>“Artículo 195.-</w:t>
      </w:r>
      <w:r w:rsidRPr="00476708">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408F5B7E"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bookmarkStart w:id="2" w:name="_heading=h.tyjcwt" w:colFirst="0" w:colLast="0"/>
      <w:bookmarkEnd w:id="2"/>
      <w:r w:rsidRPr="00476708">
        <w:rPr>
          <w:rFonts w:ascii="Palatino Linotype" w:eastAsia="Palatino Linotype" w:hAnsi="Palatino Linotype" w:cs="Palatino Linotype"/>
          <w:b/>
          <w:sz w:val="24"/>
          <w:szCs w:val="24"/>
        </w:rPr>
        <w:t xml:space="preserve">8. Cierre de Instrucción. </w:t>
      </w:r>
      <w:r w:rsidRPr="00476708">
        <w:rPr>
          <w:rFonts w:ascii="Palatino Linotype" w:eastAsia="Palatino Linotype" w:hAnsi="Palatino Linotype" w:cs="Palatino Linotype"/>
          <w:sz w:val="24"/>
          <w:szCs w:val="24"/>
        </w:rPr>
        <w:t xml:space="preserve">El </w:t>
      </w:r>
      <w:r w:rsidRPr="00476708">
        <w:rPr>
          <w:rFonts w:ascii="Palatino Linotype" w:eastAsia="Palatino Linotype" w:hAnsi="Palatino Linotype" w:cs="Palatino Linotype"/>
          <w:b/>
          <w:sz w:val="24"/>
          <w:szCs w:val="24"/>
        </w:rPr>
        <w:t>diecinueve de noviembre de dos mil veinticuatro</w:t>
      </w:r>
      <w:r w:rsidRPr="00476708">
        <w:rPr>
          <w:rFonts w:ascii="Palatino Linotype" w:eastAsia="Palatino Linotype" w:hAnsi="Palatino Linotype" w:cs="Palatino Linotype"/>
          <w:sz w:val="24"/>
          <w:szCs w:val="24"/>
        </w:rPr>
        <w:t>, 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14:paraId="56B5BC73"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150B7327" w14:textId="77777777" w:rsidR="002007DF" w:rsidRPr="00476708" w:rsidRDefault="002D1D62">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szCs w:val="24"/>
        </w:rPr>
      </w:pPr>
      <w:r w:rsidRPr="00476708">
        <w:rPr>
          <w:rFonts w:ascii="Palatino Linotype" w:eastAsia="Palatino Linotype" w:hAnsi="Palatino Linotype" w:cs="Palatino Linotype"/>
          <w:b/>
          <w:sz w:val="24"/>
          <w:szCs w:val="24"/>
        </w:rPr>
        <w:lastRenderedPageBreak/>
        <w:t>II. C O N S I D E R A N D O S:</w:t>
      </w:r>
    </w:p>
    <w:p w14:paraId="734D5DCE"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Primero. Competencia.</w:t>
      </w:r>
      <w:r w:rsidRPr="00476708">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los presentes recursos de revisión interpuestos por la parte </w:t>
      </w:r>
      <w:r w:rsidRPr="00476708">
        <w:rPr>
          <w:rFonts w:ascii="Palatino Linotype" w:eastAsia="Palatino Linotype" w:hAnsi="Palatino Linotype" w:cs="Palatino Linotype"/>
          <w:b/>
          <w:sz w:val="24"/>
          <w:szCs w:val="24"/>
        </w:rPr>
        <w:t>Recurrente</w:t>
      </w:r>
      <w:r w:rsidRPr="00476708">
        <w:rPr>
          <w:rFonts w:ascii="Palatino Linotype" w:eastAsia="Palatino Linotype" w:hAnsi="Palatino Linotype" w:cs="Palatino Linotype"/>
          <w:sz w:val="24"/>
          <w:szCs w:val="24"/>
        </w:rPr>
        <w:t>,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14:paraId="7A14A257"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Segundo. Oportunidad y Procedibilidad del Recurso de Revisión</w:t>
      </w:r>
      <w:r w:rsidRPr="00476708">
        <w:rPr>
          <w:rFonts w:ascii="Palatino Linotype" w:eastAsia="Palatino Linotype" w:hAnsi="Palatino Linotype" w:cs="Palatino Linotype"/>
          <w:sz w:val="24"/>
          <w:szCs w:val="24"/>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04A4E336"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Los recursos de revisión fueron interpuestos dentro del plazo de quince días hábiles, previsto en el artículo 178 de la Ley de Transparencia y Acceso a la Información Pública del Estado de México y Municipios, toda vez que el </w:t>
      </w:r>
      <w:r w:rsidRPr="00476708">
        <w:rPr>
          <w:rFonts w:ascii="Palatino Linotype" w:eastAsia="Palatino Linotype" w:hAnsi="Palatino Linotype" w:cs="Palatino Linotype"/>
          <w:b/>
          <w:sz w:val="24"/>
          <w:szCs w:val="24"/>
        </w:rPr>
        <w:t xml:space="preserve">Sujeto Obligado </w:t>
      </w:r>
      <w:r w:rsidRPr="00476708">
        <w:rPr>
          <w:rFonts w:ascii="Palatino Linotype" w:eastAsia="Palatino Linotype" w:hAnsi="Palatino Linotype" w:cs="Palatino Linotype"/>
          <w:sz w:val="24"/>
          <w:szCs w:val="24"/>
        </w:rPr>
        <w:t xml:space="preserve">remitió la respuesta a las solicitudes de información el </w:t>
      </w:r>
      <w:r w:rsidRPr="00476708">
        <w:rPr>
          <w:rFonts w:ascii="Palatino Linotype" w:eastAsia="Palatino Linotype" w:hAnsi="Palatino Linotype" w:cs="Palatino Linotype"/>
          <w:b/>
          <w:sz w:val="24"/>
          <w:szCs w:val="24"/>
        </w:rPr>
        <w:t xml:space="preserve">siete de octubre de dos mil veinticuatro, </w:t>
      </w:r>
      <w:r w:rsidRPr="00476708">
        <w:rPr>
          <w:rFonts w:ascii="Palatino Linotype" w:eastAsia="Palatino Linotype" w:hAnsi="Palatino Linotype" w:cs="Palatino Linotype"/>
          <w:sz w:val="24"/>
          <w:szCs w:val="24"/>
        </w:rPr>
        <w:t xml:space="preserve">mientras que los recursos de revisión interpuestos por la parte </w:t>
      </w:r>
      <w:r w:rsidRPr="00476708">
        <w:rPr>
          <w:rFonts w:ascii="Palatino Linotype" w:eastAsia="Palatino Linotype" w:hAnsi="Palatino Linotype" w:cs="Palatino Linotype"/>
          <w:b/>
          <w:sz w:val="24"/>
          <w:szCs w:val="24"/>
        </w:rPr>
        <w:lastRenderedPageBreak/>
        <w:t>Recurrente</w:t>
      </w:r>
      <w:r w:rsidRPr="00476708">
        <w:rPr>
          <w:rFonts w:ascii="Palatino Linotype" w:eastAsia="Palatino Linotype" w:hAnsi="Palatino Linotype" w:cs="Palatino Linotype"/>
          <w:sz w:val="24"/>
          <w:szCs w:val="24"/>
        </w:rPr>
        <w:t xml:space="preserve">, se tuvieron por presentados el </w:t>
      </w:r>
      <w:r w:rsidRPr="00476708">
        <w:rPr>
          <w:rFonts w:ascii="Palatino Linotype" w:eastAsia="Palatino Linotype" w:hAnsi="Palatino Linotype" w:cs="Palatino Linotype"/>
          <w:b/>
          <w:sz w:val="24"/>
          <w:szCs w:val="24"/>
        </w:rPr>
        <w:t>veintiuno de octubre de dos mil veinticuatro,</w:t>
      </w:r>
      <w:r w:rsidRPr="00476708">
        <w:rPr>
          <w:rFonts w:ascii="Palatino Linotype" w:eastAsia="Palatino Linotype" w:hAnsi="Palatino Linotype" w:cs="Palatino Linotype"/>
          <w:sz w:val="24"/>
          <w:szCs w:val="24"/>
        </w:rPr>
        <w:t xml:space="preserve"> esto es al décimo día hábil posterior al que tuvo conocimiento de las respuestas impugnadas. En este sentido, se concluye que los presentes recursos de revisión se encuentran dentro de los márgenes temporales previstos en las disposiciones legales referidas.</w:t>
      </w:r>
    </w:p>
    <w:p w14:paraId="44AD4EFB"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47BBCE25"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476708">
        <w:rPr>
          <w:rFonts w:ascii="Palatino Linotype" w:eastAsia="Palatino Linotype" w:hAnsi="Palatino Linotype" w:cs="Palatino Linotype"/>
          <w:b/>
          <w:sz w:val="24"/>
          <w:szCs w:val="24"/>
        </w:rPr>
        <w:t>Recurrente</w:t>
      </w:r>
      <w:r w:rsidRPr="00476708">
        <w:rPr>
          <w:rFonts w:ascii="Palatino Linotype" w:eastAsia="Palatino Linotype" w:hAnsi="Palatino Linotype" w:cs="Palatino Linotype"/>
          <w:sz w:val="24"/>
          <w:szCs w:val="24"/>
        </w:rPr>
        <w:t xml:space="preserve"> en sus motivos de inconformidad, de acuerdo al artículo 179, fracción VI del ordenamiento legal citado, que a la letra dice: </w:t>
      </w:r>
    </w:p>
    <w:p w14:paraId="0AE04EEA" w14:textId="77777777" w:rsidR="002007DF" w:rsidRPr="00476708" w:rsidRDefault="002D1D62">
      <w:pPr>
        <w:spacing w:before="120" w:after="120" w:line="240" w:lineRule="auto"/>
        <w:ind w:left="851" w:right="902"/>
        <w:jc w:val="both"/>
        <w:rPr>
          <w:rFonts w:ascii="Palatino Linotype" w:eastAsia="Palatino Linotype" w:hAnsi="Palatino Linotype" w:cs="Palatino Linotype"/>
          <w:i/>
        </w:rPr>
      </w:pPr>
      <w:r w:rsidRPr="00476708">
        <w:rPr>
          <w:rFonts w:ascii="Palatino Linotype" w:eastAsia="Palatino Linotype" w:hAnsi="Palatino Linotype" w:cs="Palatino Linotype"/>
          <w:i/>
        </w:rPr>
        <w:t>“</w:t>
      </w:r>
      <w:r w:rsidRPr="00476708">
        <w:rPr>
          <w:rFonts w:ascii="Palatino Linotype" w:eastAsia="Palatino Linotype" w:hAnsi="Palatino Linotype" w:cs="Palatino Linotype"/>
          <w:b/>
          <w:i/>
        </w:rPr>
        <w:t>Artículo 179.</w:t>
      </w:r>
      <w:r w:rsidRPr="00476708">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A4028F2" w14:textId="77777777" w:rsidR="002007DF" w:rsidRPr="00476708" w:rsidRDefault="002D1D62">
      <w:pPr>
        <w:spacing w:before="120" w:after="120" w:line="240" w:lineRule="auto"/>
        <w:ind w:left="1134" w:right="900"/>
        <w:jc w:val="both"/>
        <w:rPr>
          <w:rFonts w:ascii="Palatino Linotype" w:eastAsia="Palatino Linotype" w:hAnsi="Palatino Linotype" w:cs="Palatino Linotype"/>
          <w:b/>
          <w:i/>
        </w:rPr>
      </w:pPr>
      <w:r w:rsidRPr="00476708">
        <w:rPr>
          <w:rFonts w:ascii="Palatino Linotype" w:eastAsia="Palatino Linotype" w:hAnsi="Palatino Linotype" w:cs="Palatino Linotype"/>
          <w:b/>
          <w:i/>
        </w:rPr>
        <w:t>…</w:t>
      </w:r>
    </w:p>
    <w:p w14:paraId="6A6F9FC2" w14:textId="77777777" w:rsidR="002007DF" w:rsidRPr="00476708" w:rsidRDefault="002D1D62">
      <w:pPr>
        <w:spacing w:before="120" w:after="120" w:line="240" w:lineRule="auto"/>
        <w:ind w:left="1134" w:right="900"/>
        <w:jc w:val="both"/>
        <w:rPr>
          <w:rFonts w:ascii="Palatino Linotype" w:eastAsia="Palatino Linotype" w:hAnsi="Palatino Linotype" w:cs="Palatino Linotype"/>
          <w:i/>
        </w:rPr>
      </w:pPr>
      <w:r w:rsidRPr="00476708">
        <w:rPr>
          <w:rFonts w:ascii="Palatino Linotype" w:eastAsia="Palatino Linotype" w:hAnsi="Palatino Linotype" w:cs="Palatino Linotype"/>
          <w:b/>
          <w:i/>
        </w:rPr>
        <w:t xml:space="preserve">VI. </w:t>
      </w:r>
      <w:r w:rsidRPr="00476708">
        <w:rPr>
          <w:rFonts w:ascii="Palatino Linotype" w:eastAsia="Palatino Linotype" w:hAnsi="Palatino Linotype" w:cs="Palatino Linotype"/>
          <w:i/>
        </w:rPr>
        <w:t>La entrega de información que no corresponda con lo solicitado;</w:t>
      </w:r>
    </w:p>
    <w:p w14:paraId="5750B921"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xml:space="preserve">Tercero. Materia de la revisión. </w:t>
      </w:r>
      <w:r w:rsidRPr="00476708">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w:t>
      </w:r>
      <w:r w:rsidRPr="00476708">
        <w:rPr>
          <w:rFonts w:ascii="Palatino Linotype" w:eastAsia="Palatino Linotype" w:hAnsi="Palatino Linotype" w:cs="Palatino Linotype"/>
          <w:b/>
          <w:sz w:val="24"/>
          <w:szCs w:val="24"/>
        </w:rPr>
        <w:t xml:space="preserve">verificar si la información proporcionada por el Sujeto Obligado es adecuada y </w:t>
      </w:r>
      <w:r w:rsidRPr="00476708">
        <w:rPr>
          <w:rFonts w:ascii="Palatino Linotype" w:eastAsia="Palatino Linotype" w:hAnsi="Palatino Linotype" w:cs="Palatino Linotype"/>
          <w:b/>
          <w:sz w:val="24"/>
          <w:szCs w:val="24"/>
        </w:rPr>
        <w:lastRenderedPageBreak/>
        <w:t xml:space="preserve">suficiente para satisfacer el derecho de acceso a la información pública </w:t>
      </w:r>
      <w:r w:rsidRPr="00476708">
        <w:rPr>
          <w:rFonts w:ascii="Palatino Linotype" w:eastAsia="Palatino Linotype" w:hAnsi="Palatino Linotype" w:cs="Palatino Linotype"/>
          <w:sz w:val="24"/>
          <w:szCs w:val="24"/>
        </w:rPr>
        <w:t xml:space="preserve">de la parte </w:t>
      </w:r>
      <w:r w:rsidRPr="00476708">
        <w:rPr>
          <w:rFonts w:ascii="Palatino Linotype" w:eastAsia="Palatino Linotype" w:hAnsi="Palatino Linotype" w:cs="Palatino Linotype"/>
          <w:b/>
          <w:sz w:val="24"/>
          <w:szCs w:val="24"/>
        </w:rPr>
        <w:t>Recurrente</w:t>
      </w:r>
      <w:r w:rsidRPr="00476708">
        <w:rPr>
          <w:rFonts w:ascii="Palatino Linotype" w:eastAsia="Palatino Linotype" w:hAnsi="Palatino Linotype" w:cs="Palatino Linotype"/>
          <w:sz w:val="24"/>
          <w:szCs w:val="24"/>
        </w:rPr>
        <w:t>, o en su defecto, en caso de ser procedente, ordenar la entrega de información.</w:t>
      </w:r>
    </w:p>
    <w:p w14:paraId="4EDB1728"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xml:space="preserve">Cuarto. Estudio del asunto. </w:t>
      </w:r>
      <w:r w:rsidRPr="00476708">
        <w:rPr>
          <w:rFonts w:ascii="Palatino Linotype" w:eastAsia="Palatino Linotype" w:hAnsi="Palatino Linotype" w:cs="Palatino Linotype"/>
          <w:sz w:val="24"/>
          <w:szCs w:val="24"/>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6143026" w14:textId="77777777" w:rsidR="002007DF" w:rsidRPr="00476708" w:rsidRDefault="002D1D62">
      <w:pPr>
        <w:spacing w:before="120" w:after="120" w:line="240" w:lineRule="auto"/>
        <w:ind w:left="851" w:right="902"/>
        <w:jc w:val="both"/>
        <w:rPr>
          <w:rFonts w:ascii="Palatino Linotype" w:eastAsia="Palatino Linotype" w:hAnsi="Palatino Linotype" w:cs="Palatino Linotype"/>
          <w:i/>
        </w:rPr>
      </w:pPr>
      <w:r w:rsidRPr="00476708">
        <w:rPr>
          <w:rFonts w:ascii="Palatino Linotype" w:eastAsia="Palatino Linotype" w:hAnsi="Palatino Linotype" w:cs="Palatino Linotype"/>
          <w:i/>
        </w:rPr>
        <w:t>“</w:t>
      </w:r>
      <w:r w:rsidRPr="00476708">
        <w:rPr>
          <w:rFonts w:ascii="Palatino Linotype" w:eastAsia="Palatino Linotype" w:hAnsi="Palatino Linotype" w:cs="Palatino Linotype"/>
          <w:b/>
          <w:i/>
        </w:rPr>
        <w:t>Artículo 4</w:t>
      </w:r>
      <w:r w:rsidRPr="0047670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F87FABF" w14:textId="77777777" w:rsidR="002007DF" w:rsidRPr="00476708" w:rsidRDefault="002D1D62">
      <w:pPr>
        <w:spacing w:before="120" w:after="120" w:line="240" w:lineRule="auto"/>
        <w:ind w:left="851" w:right="902"/>
        <w:jc w:val="both"/>
        <w:rPr>
          <w:rFonts w:ascii="Palatino Linotype" w:eastAsia="Palatino Linotype" w:hAnsi="Palatino Linotype" w:cs="Palatino Linotype"/>
          <w:i/>
        </w:rPr>
      </w:pPr>
      <w:r w:rsidRPr="0047670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47670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EAB3C2A" w14:textId="77777777" w:rsidR="002007DF" w:rsidRPr="00476708" w:rsidRDefault="002D1D62">
      <w:pPr>
        <w:spacing w:before="120" w:after="120" w:line="240" w:lineRule="auto"/>
        <w:ind w:left="851" w:right="902"/>
        <w:jc w:val="both"/>
        <w:rPr>
          <w:rFonts w:ascii="Palatino Linotype" w:eastAsia="Palatino Linotype" w:hAnsi="Palatino Linotype" w:cs="Palatino Linotype"/>
          <w:i/>
        </w:rPr>
      </w:pPr>
      <w:r w:rsidRPr="0047670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476708">
        <w:rPr>
          <w:rFonts w:ascii="Palatino Linotype" w:eastAsia="Palatino Linotype" w:hAnsi="Palatino Linotype" w:cs="Palatino Linotype"/>
          <w:i/>
        </w:rPr>
        <w:t>.”</w:t>
      </w:r>
    </w:p>
    <w:p w14:paraId="3A2FFBBD" w14:textId="77777777" w:rsidR="002007DF" w:rsidRPr="00476708" w:rsidRDefault="002D1D62">
      <w:pPr>
        <w:spacing w:before="240" w:after="240" w:line="360" w:lineRule="auto"/>
        <w:jc w:val="both"/>
        <w:rPr>
          <w:rFonts w:ascii="Palatino Linotype" w:eastAsia="Palatino Linotype" w:hAnsi="Palatino Linotype" w:cs="Palatino Linotype"/>
        </w:rPr>
      </w:pPr>
      <w:r w:rsidRPr="00476708">
        <w:rPr>
          <w:rFonts w:ascii="Palatino Linotype" w:eastAsia="Palatino Linotype" w:hAnsi="Palatino Linotype" w:cs="Palatino Linotype"/>
          <w:sz w:val="24"/>
          <w:szCs w:val="24"/>
        </w:rPr>
        <w:lastRenderedPageBreak/>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w:t>
      </w:r>
      <w:r w:rsidRPr="00476708">
        <w:rPr>
          <w:rFonts w:ascii="Palatino Linotype" w:eastAsia="Palatino Linotype" w:hAnsi="Palatino Linotype" w:cs="Palatino Linotype"/>
        </w:rPr>
        <w:t>y Acceso a la Información Pública del Estado de México y Municipios, que a la letra dice:</w:t>
      </w:r>
    </w:p>
    <w:p w14:paraId="5DD94B77" w14:textId="77777777" w:rsidR="002007DF" w:rsidRPr="00476708" w:rsidRDefault="002D1D62">
      <w:pPr>
        <w:spacing w:before="120" w:after="120"/>
        <w:ind w:left="851" w:right="902"/>
        <w:jc w:val="both"/>
        <w:rPr>
          <w:rFonts w:ascii="Palatino Linotype" w:eastAsia="Palatino Linotype" w:hAnsi="Palatino Linotype" w:cs="Palatino Linotype"/>
          <w:i/>
        </w:rPr>
      </w:pPr>
      <w:r w:rsidRPr="00476708">
        <w:rPr>
          <w:rFonts w:ascii="Palatino Linotype" w:eastAsia="Palatino Linotype" w:hAnsi="Palatino Linotype" w:cs="Palatino Linotype"/>
          <w:b/>
          <w:i/>
        </w:rPr>
        <w:t>“Artículo 12.-</w:t>
      </w:r>
      <w:r w:rsidRPr="0047670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430EAD8" w14:textId="77777777" w:rsidR="002007DF" w:rsidRPr="00476708" w:rsidRDefault="002D1D62">
      <w:pPr>
        <w:spacing w:before="120" w:after="120"/>
        <w:ind w:left="851" w:right="902"/>
        <w:jc w:val="both"/>
        <w:rPr>
          <w:rFonts w:ascii="Palatino Linotype" w:eastAsia="Palatino Linotype" w:hAnsi="Palatino Linotype" w:cs="Palatino Linotype"/>
          <w:i/>
        </w:rPr>
      </w:pPr>
      <w:r w:rsidRPr="0047670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476708">
        <w:rPr>
          <w:rFonts w:ascii="Palatino Linotype" w:eastAsia="Palatino Linotype" w:hAnsi="Palatino Linotype" w:cs="Palatino Linotype"/>
          <w:i/>
        </w:rPr>
        <w:t xml:space="preserve">. </w:t>
      </w:r>
      <w:r w:rsidRPr="0047670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13AE5FC6" w14:textId="77777777" w:rsidR="002007DF" w:rsidRPr="00476708" w:rsidRDefault="002D1D62">
      <w:pPr>
        <w:spacing w:before="240" w:after="240" w:line="360" w:lineRule="auto"/>
        <w:ind w:right="-93"/>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239CF9C9" w14:textId="77777777" w:rsidR="002007DF" w:rsidRPr="00476708" w:rsidRDefault="002D1D62">
      <w:pPr>
        <w:spacing w:before="240" w:after="240" w:line="360" w:lineRule="auto"/>
        <w:jc w:val="both"/>
        <w:rPr>
          <w:rFonts w:ascii="Palatino Linotype" w:eastAsia="Palatino Linotype" w:hAnsi="Palatino Linotype" w:cs="Palatino Linotype"/>
          <w:b/>
          <w:sz w:val="24"/>
          <w:szCs w:val="24"/>
        </w:rPr>
      </w:pPr>
      <w:r w:rsidRPr="00476708">
        <w:rPr>
          <w:rFonts w:ascii="Palatino Linotype" w:eastAsia="Palatino Linotype" w:hAnsi="Palatino Linotype" w:cs="Palatino Linotype"/>
          <w:sz w:val="24"/>
          <w:szCs w:val="24"/>
        </w:rPr>
        <w:lastRenderedPageBreak/>
        <w:t xml:space="preserve">Sirve de apoyo a lo anterior, el criterio 03/17, emitido por el Instituto Nacional de Transparencia, Acceso a la Información y Protección de Datos Personales, </w:t>
      </w:r>
      <w:proofErr w:type="gramStart"/>
      <w:r w:rsidRPr="00476708">
        <w:rPr>
          <w:rFonts w:ascii="Palatino Linotype" w:eastAsia="Palatino Linotype" w:hAnsi="Palatino Linotype" w:cs="Palatino Linotype"/>
          <w:sz w:val="24"/>
          <w:szCs w:val="24"/>
        </w:rPr>
        <w:t>que</w:t>
      </w:r>
      <w:proofErr w:type="gramEnd"/>
      <w:r w:rsidRPr="00476708">
        <w:rPr>
          <w:rFonts w:ascii="Palatino Linotype" w:eastAsia="Palatino Linotype" w:hAnsi="Palatino Linotype" w:cs="Palatino Linotype"/>
          <w:sz w:val="24"/>
          <w:szCs w:val="24"/>
        </w:rPr>
        <w:t xml:space="preserve"> por rubro y texto, dispone lo siguiente:</w:t>
      </w:r>
      <w:r w:rsidRPr="00476708">
        <w:rPr>
          <w:rFonts w:ascii="Palatino Linotype" w:eastAsia="Palatino Linotype" w:hAnsi="Palatino Linotype" w:cs="Palatino Linotype"/>
          <w:b/>
          <w:sz w:val="24"/>
          <w:szCs w:val="24"/>
        </w:rPr>
        <w:t xml:space="preserve"> </w:t>
      </w:r>
    </w:p>
    <w:p w14:paraId="5827591A" w14:textId="77777777" w:rsidR="002007DF" w:rsidRPr="00476708" w:rsidRDefault="002D1D62">
      <w:pPr>
        <w:spacing w:before="120" w:after="120"/>
        <w:ind w:left="1134" w:right="902"/>
        <w:jc w:val="both"/>
        <w:rPr>
          <w:rFonts w:ascii="Palatino Linotype" w:eastAsia="Palatino Linotype" w:hAnsi="Palatino Linotype" w:cs="Palatino Linotype"/>
          <w:i/>
        </w:rPr>
      </w:pPr>
      <w:r w:rsidRPr="00476708">
        <w:rPr>
          <w:rFonts w:ascii="Palatino Linotype" w:eastAsia="Palatino Linotype" w:hAnsi="Palatino Linotype" w:cs="Palatino Linotype"/>
          <w:i/>
        </w:rPr>
        <w:t>“</w:t>
      </w:r>
      <w:r w:rsidRPr="00476708">
        <w:rPr>
          <w:rFonts w:ascii="Palatino Linotype" w:eastAsia="Palatino Linotype" w:hAnsi="Palatino Linotype" w:cs="Palatino Linotype"/>
          <w:b/>
          <w:i/>
        </w:rPr>
        <w:t>No existe obligación de elaborar documentos ad hoc para atender las solicitudes de acceso a la información.</w:t>
      </w:r>
      <w:r w:rsidRPr="00476708">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roofErr w:type="gramStart"/>
      <w:r w:rsidRPr="00476708">
        <w:rPr>
          <w:rFonts w:ascii="Palatino Linotype" w:eastAsia="Palatino Linotype" w:hAnsi="Palatino Linotype" w:cs="Palatino Linotype"/>
          <w:i/>
        </w:rPr>
        <w:t>.”(</w:t>
      </w:r>
      <w:proofErr w:type="gramEnd"/>
      <w:r w:rsidRPr="00476708">
        <w:rPr>
          <w:rFonts w:ascii="Palatino Linotype" w:eastAsia="Palatino Linotype" w:hAnsi="Palatino Linotype" w:cs="Palatino Linotype"/>
          <w:i/>
        </w:rPr>
        <w:t>Sic)</w:t>
      </w:r>
    </w:p>
    <w:p w14:paraId="7892266A"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D8A6E6"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476708">
        <w:rPr>
          <w:rFonts w:ascii="Palatino Linotype" w:eastAsia="Palatino Linotype" w:hAnsi="Palatino Linotype" w:cs="Palatino Linotype"/>
          <w:sz w:val="24"/>
          <w:szCs w:val="24"/>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78778BC" w14:textId="77777777" w:rsidR="002007DF" w:rsidRPr="00476708" w:rsidRDefault="002D1D62">
      <w:pPr>
        <w:spacing w:before="120" w:after="120" w:line="240" w:lineRule="auto"/>
        <w:ind w:left="851" w:right="902"/>
        <w:jc w:val="both"/>
        <w:rPr>
          <w:rFonts w:ascii="Palatino Linotype" w:eastAsia="Palatino Linotype" w:hAnsi="Palatino Linotype" w:cs="Palatino Linotype"/>
          <w:i/>
        </w:rPr>
      </w:pPr>
      <w:r w:rsidRPr="00476708">
        <w:rPr>
          <w:rFonts w:ascii="Palatino Linotype" w:eastAsia="Palatino Linotype" w:hAnsi="Palatino Linotype" w:cs="Palatino Linotype"/>
          <w:i/>
        </w:rPr>
        <w:t>“</w:t>
      </w:r>
      <w:r w:rsidRPr="00476708">
        <w:rPr>
          <w:rFonts w:ascii="Palatino Linotype" w:eastAsia="Palatino Linotype" w:hAnsi="Palatino Linotype" w:cs="Palatino Linotype"/>
          <w:b/>
          <w:i/>
        </w:rPr>
        <w:t xml:space="preserve">Artículo 3. </w:t>
      </w:r>
      <w:r w:rsidRPr="00476708">
        <w:rPr>
          <w:rFonts w:ascii="Palatino Linotype" w:eastAsia="Palatino Linotype" w:hAnsi="Palatino Linotype" w:cs="Palatino Linotype"/>
          <w:i/>
        </w:rPr>
        <w:t>Para los efectos de la presente Ley se entenderá por:</w:t>
      </w:r>
    </w:p>
    <w:p w14:paraId="132F7A19" w14:textId="77777777" w:rsidR="002007DF" w:rsidRPr="00476708" w:rsidRDefault="002D1D62">
      <w:pPr>
        <w:spacing w:before="120" w:after="120" w:line="240" w:lineRule="auto"/>
        <w:ind w:left="1134" w:right="902"/>
        <w:jc w:val="both"/>
        <w:rPr>
          <w:rFonts w:ascii="Palatino Linotype" w:eastAsia="Palatino Linotype" w:hAnsi="Palatino Linotype" w:cs="Palatino Linotype"/>
          <w:i/>
        </w:rPr>
      </w:pPr>
      <w:r w:rsidRPr="00476708">
        <w:rPr>
          <w:rFonts w:ascii="Palatino Linotype" w:eastAsia="Palatino Linotype" w:hAnsi="Palatino Linotype" w:cs="Palatino Linotype"/>
          <w:i/>
        </w:rPr>
        <w:t>…</w:t>
      </w:r>
    </w:p>
    <w:p w14:paraId="1F6BD498" w14:textId="77777777" w:rsidR="002007DF" w:rsidRPr="00476708" w:rsidRDefault="002D1D62">
      <w:pPr>
        <w:spacing w:before="120" w:after="120" w:line="240" w:lineRule="auto"/>
        <w:ind w:left="1134" w:right="902"/>
        <w:jc w:val="both"/>
        <w:rPr>
          <w:rFonts w:ascii="Palatino Linotype" w:eastAsia="Palatino Linotype" w:hAnsi="Palatino Linotype" w:cs="Palatino Linotype"/>
          <w:i/>
        </w:rPr>
      </w:pPr>
      <w:r w:rsidRPr="00476708">
        <w:rPr>
          <w:rFonts w:ascii="Palatino Linotype" w:eastAsia="Palatino Linotype" w:hAnsi="Palatino Linotype" w:cs="Palatino Linotype"/>
          <w:b/>
          <w:i/>
        </w:rPr>
        <w:t>XI. Documento:</w:t>
      </w:r>
      <w:r w:rsidRPr="00476708">
        <w:rPr>
          <w:rFonts w:ascii="Palatino Linotype" w:eastAsia="Palatino Linotype" w:hAnsi="Palatino Linotype" w:cs="Palatino Linotype"/>
          <w:i/>
        </w:rPr>
        <w:t xml:space="preserve"> Los expedientes, reportes, estudios, actas</w:t>
      </w:r>
      <w:r w:rsidRPr="00476708">
        <w:rPr>
          <w:rFonts w:ascii="Palatino Linotype" w:eastAsia="Palatino Linotype" w:hAnsi="Palatino Linotype" w:cs="Palatino Linotype"/>
          <w:b/>
          <w:i/>
        </w:rPr>
        <w:t>,</w:t>
      </w:r>
      <w:r w:rsidRPr="0047670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6C797F3"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21CF8C1" w14:textId="77777777" w:rsidR="002007DF" w:rsidRPr="00476708" w:rsidRDefault="002D1D62">
      <w:pPr>
        <w:spacing w:before="120" w:after="120" w:line="240" w:lineRule="auto"/>
        <w:ind w:left="851" w:right="902"/>
        <w:jc w:val="both"/>
        <w:rPr>
          <w:rFonts w:ascii="Palatino Linotype" w:eastAsia="Palatino Linotype" w:hAnsi="Palatino Linotype" w:cs="Palatino Linotype"/>
          <w:i/>
        </w:rPr>
      </w:pPr>
      <w:r w:rsidRPr="00476708">
        <w:rPr>
          <w:rFonts w:ascii="Palatino Linotype" w:eastAsia="Palatino Linotype" w:hAnsi="Palatino Linotype" w:cs="Palatino Linotype"/>
          <w:b/>
        </w:rPr>
        <w:t>“</w:t>
      </w:r>
      <w:r w:rsidRPr="0047670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47670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7FD5CA" w14:textId="77777777" w:rsidR="002007DF" w:rsidRPr="00476708" w:rsidRDefault="002D1D62">
      <w:pPr>
        <w:spacing w:before="120" w:after="120" w:line="240" w:lineRule="auto"/>
        <w:ind w:left="851" w:right="902"/>
        <w:jc w:val="both"/>
        <w:rPr>
          <w:rFonts w:ascii="Palatino Linotype" w:eastAsia="Palatino Linotype" w:hAnsi="Palatino Linotype" w:cs="Palatino Linotype"/>
          <w:i/>
        </w:rPr>
      </w:pPr>
      <w:r w:rsidRPr="00476708">
        <w:rPr>
          <w:rFonts w:ascii="Palatino Linotype" w:eastAsia="Palatino Linotype" w:hAnsi="Palatino Linotype" w:cs="Palatino Linotype"/>
          <w:i/>
        </w:rPr>
        <w:t xml:space="preserve">En </w:t>
      </w:r>
      <w:proofErr w:type="gramStart"/>
      <w:r w:rsidRPr="00476708">
        <w:rPr>
          <w:rFonts w:ascii="Palatino Linotype" w:eastAsia="Palatino Linotype" w:hAnsi="Palatino Linotype" w:cs="Palatino Linotype"/>
          <w:i/>
        </w:rPr>
        <w:t>consecuencia</w:t>
      </w:r>
      <w:proofErr w:type="gramEnd"/>
      <w:r w:rsidRPr="00476708">
        <w:rPr>
          <w:rFonts w:ascii="Palatino Linotype" w:eastAsia="Palatino Linotype" w:hAnsi="Palatino Linotype" w:cs="Palatino Linotype"/>
          <w:i/>
        </w:rPr>
        <w:t xml:space="preserve"> el acceso a la información se refiere a que se cumplan cualquiera de los siguientes tres supuestos:</w:t>
      </w:r>
    </w:p>
    <w:p w14:paraId="6F395968" w14:textId="77777777" w:rsidR="002007DF" w:rsidRPr="00476708" w:rsidRDefault="002D1D62">
      <w:pPr>
        <w:spacing w:before="120" w:after="120" w:line="240" w:lineRule="auto"/>
        <w:ind w:left="1134" w:right="902"/>
        <w:jc w:val="both"/>
        <w:rPr>
          <w:rFonts w:ascii="Palatino Linotype" w:eastAsia="Palatino Linotype" w:hAnsi="Palatino Linotype" w:cs="Palatino Linotype"/>
          <w:i/>
        </w:rPr>
      </w:pPr>
      <w:r w:rsidRPr="00476708">
        <w:rPr>
          <w:rFonts w:ascii="Palatino Linotype" w:eastAsia="Palatino Linotype" w:hAnsi="Palatino Linotype" w:cs="Palatino Linotype"/>
          <w:i/>
        </w:rPr>
        <w:lastRenderedPageBreak/>
        <w:t xml:space="preserve">1) Que se trate de información registrada en cualquier soporte documental, </w:t>
      </w:r>
      <w:proofErr w:type="gramStart"/>
      <w:r w:rsidRPr="00476708">
        <w:rPr>
          <w:rFonts w:ascii="Palatino Linotype" w:eastAsia="Palatino Linotype" w:hAnsi="Palatino Linotype" w:cs="Palatino Linotype"/>
          <w:i/>
        </w:rPr>
        <w:t>que</w:t>
      </w:r>
      <w:proofErr w:type="gramEnd"/>
      <w:r w:rsidRPr="00476708">
        <w:rPr>
          <w:rFonts w:ascii="Palatino Linotype" w:eastAsia="Palatino Linotype" w:hAnsi="Palatino Linotype" w:cs="Palatino Linotype"/>
          <w:i/>
        </w:rPr>
        <w:t xml:space="preserve"> en ejercicio de las atribuciones conferidas, sea generada por los Sujetos Obligados;</w:t>
      </w:r>
    </w:p>
    <w:p w14:paraId="0627DF60" w14:textId="77777777" w:rsidR="002007DF" w:rsidRPr="00476708" w:rsidRDefault="002D1D62">
      <w:pPr>
        <w:spacing w:before="120" w:after="120" w:line="240" w:lineRule="auto"/>
        <w:ind w:left="1134" w:right="902"/>
        <w:jc w:val="both"/>
        <w:rPr>
          <w:rFonts w:ascii="Palatino Linotype" w:eastAsia="Palatino Linotype" w:hAnsi="Palatino Linotype" w:cs="Palatino Linotype"/>
          <w:i/>
        </w:rPr>
      </w:pPr>
      <w:r w:rsidRPr="00476708">
        <w:rPr>
          <w:rFonts w:ascii="Palatino Linotype" w:eastAsia="Palatino Linotype" w:hAnsi="Palatino Linotype" w:cs="Palatino Linotype"/>
          <w:i/>
        </w:rPr>
        <w:t xml:space="preserve">2) Que se trate de información registrada en cualquier soporte documental, </w:t>
      </w:r>
      <w:proofErr w:type="gramStart"/>
      <w:r w:rsidRPr="00476708">
        <w:rPr>
          <w:rFonts w:ascii="Palatino Linotype" w:eastAsia="Palatino Linotype" w:hAnsi="Palatino Linotype" w:cs="Palatino Linotype"/>
          <w:i/>
        </w:rPr>
        <w:t>que</w:t>
      </w:r>
      <w:proofErr w:type="gramEnd"/>
      <w:r w:rsidRPr="00476708">
        <w:rPr>
          <w:rFonts w:ascii="Palatino Linotype" w:eastAsia="Palatino Linotype" w:hAnsi="Palatino Linotype" w:cs="Palatino Linotype"/>
          <w:i/>
        </w:rPr>
        <w:t xml:space="preserve"> en ejercicio de las atribuciones conferidas, sea administrada por los Sujetos Obligados, y</w:t>
      </w:r>
    </w:p>
    <w:p w14:paraId="42B10B44" w14:textId="77777777" w:rsidR="002007DF" w:rsidRPr="00476708" w:rsidRDefault="002D1D62">
      <w:pPr>
        <w:spacing w:before="120" w:after="120" w:line="240" w:lineRule="auto"/>
        <w:ind w:left="1134" w:right="902"/>
        <w:jc w:val="both"/>
        <w:rPr>
          <w:rFonts w:ascii="Palatino Linotype" w:eastAsia="Palatino Linotype" w:hAnsi="Palatino Linotype" w:cs="Palatino Linotype"/>
          <w:i/>
        </w:rPr>
      </w:pPr>
      <w:r w:rsidRPr="00476708">
        <w:rPr>
          <w:rFonts w:ascii="Palatino Linotype" w:eastAsia="Palatino Linotype" w:hAnsi="Palatino Linotype" w:cs="Palatino Linotype"/>
          <w:i/>
        </w:rPr>
        <w:t xml:space="preserve">3) Que se trate de información registrada en cualquier soporte documental, </w:t>
      </w:r>
      <w:proofErr w:type="gramStart"/>
      <w:r w:rsidRPr="00476708">
        <w:rPr>
          <w:rFonts w:ascii="Palatino Linotype" w:eastAsia="Palatino Linotype" w:hAnsi="Palatino Linotype" w:cs="Palatino Linotype"/>
          <w:i/>
        </w:rPr>
        <w:t>que</w:t>
      </w:r>
      <w:proofErr w:type="gramEnd"/>
      <w:r w:rsidRPr="00476708">
        <w:rPr>
          <w:rFonts w:ascii="Palatino Linotype" w:eastAsia="Palatino Linotype" w:hAnsi="Palatino Linotype" w:cs="Palatino Linotype"/>
          <w:i/>
        </w:rPr>
        <w:t xml:space="preserve"> en ejercicio de las atribuciones conferidas, se encuentre en posesión de los Sujetos Obligados.” </w:t>
      </w:r>
    </w:p>
    <w:p w14:paraId="1D09FBAF" w14:textId="77777777" w:rsidR="002007DF" w:rsidRPr="00476708" w:rsidRDefault="002D1D62">
      <w:pPr>
        <w:spacing w:before="240" w:after="240" w:line="360" w:lineRule="auto"/>
        <w:ind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3092318"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w:t>
      </w:r>
      <w:r w:rsidRPr="00476708">
        <w:rPr>
          <w:rFonts w:ascii="Palatino Linotype" w:eastAsia="Palatino Linotype" w:hAnsi="Palatino Linotype" w:cs="Palatino Linotype"/>
          <w:sz w:val="24"/>
          <w:szCs w:val="24"/>
        </w:rPr>
        <w:lastRenderedPageBreak/>
        <w:t>realice actos de autoridad en el ámbito estatal y municipal, es pública y sólo podrá ser reservada temporalmente por las razones previstas en la Constitución Federal por interés público y seguridad, en los términos que fijen las leyes de la materia.</w:t>
      </w:r>
    </w:p>
    <w:p w14:paraId="3094243D"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Ahora bien, del análisis de las solicitudes de información, motivo de los recursos de revisión que ahora se resuelven, se advierte que la parte </w:t>
      </w:r>
      <w:r w:rsidRPr="00476708">
        <w:rPr>
          <w:rFonts w:ascii="Palatino Linotype" w:eastAsia="Palatino Linotype" w:hAnsi="Palatino Linotype" w:cs="Palatino Linotype"/>
          <w:b/>
          <w:sz w:val="24"/>
          <w:szCs w:val="24"/>
        </w:rPr>
        <w:t>Recurrente</w:t>
      </w:r>
      <w:r w:rsidRPr="00476708">
        <w:rPr>
          <w:rFonts w:ascii="Palatino Linotype" w:eastAsia="Palatino Linotype" w:hAnsi="Palatino Linotype" w:cs="Palatino Linotype"/>
          <w:sz w:val="24"/>
          <w:szCs w:val="24"/>
        </w:rPr>
        <w:t xml:space="preserve"> requirió al </w:t>
      </w:r>
      <w:r w:rsidRPr="00476708">
        <w:rPr>
          <w:rFonts w:ascii="Palatino Linotype" w:eastAsia="Palatino Linotype" w:hAnsi="Palatino Linotype" w:cs="Palatino Linotype"/>
          <w:b/>
          <w:sz w:val="24"/>
          <w:szCs w:val="24"/>
        </w:rPr>
        <w:t xml:space="preserve">Sujeto Obligado </w:t>
      </w:r>
      <w:r w:rsidRPr="00476708">
        <w:rPr>
          <w:rFonts w:ascii="Palatino Linotype" w:eastAsia="Palatino Linotype" w:hAnsi="Palatino Linotype" w:cs="Palatino Linotype"/>
          <w:sz w:val="24"/>
          <w:szCs w:val="24"/>
        </w:rPr>
        <w:t>le proporcione lo siguiente:</w:t>
      </w:r>
    </w:p>
    <w:p w14:paraId="3E3F0DCE" w14:textId="77777777" w:rsidR="002007DF" w:rsidRPr="00476708" w:rsidRDefault="002D1D62">
      <w:pPr>
        <w:numPr>
          <w:ilvl w:val="0"/>
          <w:numId w:val="1"/>
        </w:numPr>
        <w:pBdr>
          <w:top w:val="nil"/>
          <w:left w:val="nil"/>
          <w:bottom w:val="nil"/>
          <w:right w:val="nil"/>
          <w:between w:val="nil"/>
        </w:pBdr>
        <w:spacing w:before="240" w:after="0" w:line="360" w:lineRule="auto"/>
        <w:ind w:hanging="360"/>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Los indicadores de la actual Secretaría de Desarrollo Urbano e Infraestructura de los ejercicios 2020, 2021 y 2022.</w:t>
      </w:r>
    </w:p>
    <w:p w14:paraId="140162EB" w14:textId="77777777" w:rsidR="002007DF" w:rsidRPr="00476708" w:rsidRDefault="002D1D62">
      <w:pPr>
        <w:numPr>
          <w:ilvl w:val="0"/>
          <w:numId w:val="1"/>
        </w:numPr>
        <w:pBdr>
          <w:top w:val="nil"/>
          <w:left w:val="nil"/>
          <w:bottom w:val="nil"/>
          <w:right w:val="nil"/>
          <w:between w:val="nil"/>
        </w:pBdr>
        <w:spacing w:after="240" w:line="360" w:lineRule="auto"/>
        <w:ind w:hanging="360"/>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Evidencia documental de los indicadores de la actual Secretaría de Desarrollo Urbano e Infraestructura del ejercicio 2020, </w:t>
      </w:r>
    </w:p>
    <w:p w14:paraId="143C8500"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Cabe señalar que la persona solicitante precisó que requería la información durante los cargos ocupados por la servidora pública Luz María Cuero Hernández Dirección General de Evaluación del Desempeño Institucional, quien, de conformidad con la información publicada por el Sujeto Obligado en el portal de Información Pública de Oficio Mexiquense, IPOMEX, en cumplimiento a la obligación de transparencia prevista en la fracción VII del artículo 92 de la Ley de Transparencia y Acceso a la Información Pública de Oficio Mexiquense, relativa al directorio de todos los servidores públicos, funge actualmente como Directora de Monitoreo y Evaluación, como se observa a continuación:</w:t>
      </w:r>
    </w:p>
    <w:p w14:paraId="70C70A3E"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noProof/>
          <w:sz w:val="24"/>
          <w:szCs w:val="24"/>
        </w:rPr>
        <w:lastRenderedPageBreak/>
        <w:drawing>
          <wp:inline distT="0" distB="0" distL="0" distR="0" wp14:anchorId="10FCB642" wp14:editId="49E8AAF6">
            <wp:extent cx="5612130" cy="2251075"/>
            <wp:effectExtent l="0" t="0" r="0" b="0"/>
            <wp:docPr id="19356683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2251075"/>
                    </a:xfrm>
                    <a:prstGeom prst="rect">
                      <a:avLst/>
                    </a:prstGeom>
                    <a:ln/>
                  </pic:spPr>
                </pic:pic>
              </a:graphicData>
            </a:graphic>
          </wp:inline>
        </w:drawing>
      </w:r>
    </w:p>
    <w:p w14:paraId="1EE0E409"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En respuesta a las solicitudes de información el </w:t>
      </w:r>
      <w:r w:rsidRPr="00476708">
        <w:rPr>
          <w:rFonts w:ascii="Palatino Linotype" w:eastAsia="Palatino Linotype" w:hAnsi="Palatino Linotype" w:cs="Palatino Linotype"/>
          <w:b/>
          <w:sz w:val="24"/>
          <w:szCs w:val="24"/>
        </w:rPr>
        <w:t xml:space="preserve">Sujeto Obligado, </w:t>
      </w:r>
      <w:r w:rsidRPr="00476708">
        <w:rPr>
          <w:rFonts w:ascii="Palatino Linotype" w:eastAsia="Palatino Linotype" w:hAnsi="Palatino Linotype" w:cs="Palatino Linotype"/>
          <w:sz w:val="24"/>
          <w:szCs w:val="24"/>
        </w:rPr>
        <w:t>por conducto de la Unidad de Transparencia, hizo del conocimiento de la persona solicitante el pronunciamiento del servidor público habilitado de la Subsecretaría de Planeación y Presupuesto, quien informó que los indicadores de los ejercicios 2020, 2021 y 2022 de la Secretaría de Desarrollo Urbano e Infraestructura y sus respectivos avances a la conclusión del ejercicio fiscal se encuentran publicados en la página de transparencia fiscal de la Secretaría de Finanzas, cuya dirección electrónica proporcionó para efectos de la consulta.</w:t>
      </w:r>
    </w:p>
    <w:p w14:paraId="3498FC52"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No obstante, al no estar de acuerdo con la información proporcionada, la persona solicitante interpuso los recursos de revisión que se resuelven, en los cuales manifestó como motivo de inconformidad, que si bien los documentos son públicos, </w:t>
      </w:r>
      <w:r w:rsidRPr="00476708">
        <w:rPr>
          <w:rFonts w:ascii="Palatino Linotype" w:eastAsia="Palatino Linotype" w:hAnsi="Palatino Linotype" w:cs="Palatino Linotype"/>
          <w:b/>
          <w:sz w:val="24"/>
          <w:szCs w:val="24"/>
          <w:u w:val="single"/>
        </w:rPr>
        <w:t>está solicitando aquellos en los cuales participó la servidora pública referida en el requerimiento de información,</w:t>
      </w:r>
      <w:r w:rsidRPr="00476708">
        <w:rPr>
          <w:rFonts w:ascii="Palatino Linotype" w:eastAsia="Palatino Linotype" w:hAnsi="Palatino Linotype" w:cs="Palatino Linotype"/>
          <w:sz w:val="24"/>
          <w:szCs w:val="24"/>
        </w:rPr>
        <w:t xml:space="preserve"> por lo que en el acto, solicitó se diera atención a las solicitudes de manera puntual, es decir, de la manera en la que se describe el requerimiento de información.</w:t>
      </w:r>
    </w:p>
    <w:p w14:paraId="6C14A177" w14:textId="77777777" w:rsidR="002007DF" w:rsidRPr="00476708" w:rsidRDefault="002D1D62">
      <w:pPr>
        <w:spacing w:before="240" w:after="240" w:line="360" w:lineRule="auto"/>
        <w:ind w:right="51"/>
        <w:jc w:val="both"/>
        <w:rPr>
          <w:rFonts w:ascii="Palatino Linotype" w:eastAsia="Palatino Linotype" w:hAnsi="Palatino Linotype" w:cs="Palatino Linotype"/>
          <w:b/>
          <w:sz w:val="24"/>
          <w:szCs w:val="24"/>
        </w:rPr>
      </w:pPr>
      <w:r w:rsidRPr="00476708">
        <w:rPr>
          <w:rFonts w:ascii="Palatino Linotype" w:eastAsia="Palatino Linotype" w:hAnsi="Palatino Linotype" w:cs="Palatino Linotype"/>
          <w:sz w:val="24"/>
          <w:szCs w:val="24"/>
        </w:rPr>
        <w:lastRenderedPageBreak/>
        <w:t xml:space="preserve">Durante la etapa de manifestaciones el </w:t>
      </w:r>
      <w:r w:rsidRPr="00476708">
        <w:rPr>
          <w:rFonts w:ascii="Palatino Linotype" w:eastAsia="Palatino Linotype" w:hAnsi="Palatino Linotype" w:cs="Palatino Linotype"/>
          <w:b/>
          <w:sz w:val="24"/>
          <w:szCs w:val="24"/>
        </w:rPr>
        <w:t xml:space="preserve">Sujeto Obligado </w:t>
      </w:r>
      <w:r w:rsidRPr="00476708">
        <w:rPr>
          <w:rFonts w:ascii="Palatino Linotype" w:eastAsia="Palatino Linotype" w:hAnsi="Palatino Linotype" w:cs="Palatino Linotype"/>
          <w:sz w:val="24"/>
          <w:szCs w:val="24"/>
        </w:rPr>
        <w:t xml:space="preserve">confirmó la respuesta proporcionada en primera instancia, asimismo, proporcionó en formato abierto, la liga electrónica </w:t>
      </w:r>
      <w:hyperlink r:id="rId11">
        <w:r w:rsidRPr="00476708">
          <w:rPr>
            <w:rFonts w:ascii="Palatino Linotype" w:eastAsia="Palatino Linotype" w:hAnsi="Palatino Linotype" w:cs="Palatino Linotype"/>
            <w:sz w:val="24"/>
            <w:szCs w:val="24"/>
            <w:u w:val="single"/>
          </w:rPr>
          <w:t>https://transparenciafiscal.edomex.gob.mx/indicadores_programa2</w:t>
        </w:r>
      </w:hyperlink>
      <w:r w:rsidRPr="00476708">
        <w:rPr>
          <w:rFonts w:ascii="Palatino Linotype" w:eastAsia="Palatino Linotype" w:hAnsi="Palatino Linotype" w:cs="Palatino Linotype"/>
          <w:sz w:val="24"/>
          <w:szCs w:val="24"/>
        </w:rPr>
        <w:t xml:space="preserve">, que corresponde con la página de transparencia fiscal de la Secretaría de Finanzas, para efectos de la consulta, mientras que la parte </w:t>
      </w:r>
      <w:r w:rsidRPr="00476708">
        <w:rPr>
          <w:rFonts w:ascii="Palatino Linotype" w:eastAsia="Palatino Linotype" w:hAnsi="Palatino Linotype" w:cs="Palatino Linotype"/>
          <w:b/>
          <w:sz w:val="24"/>
          <w:szCs w:val="24"/>
        </w:rPr>
        <w:t xml:space="preserve">Recurrente </w:t>
      </w:r>
      <w:r w:rsidRPr="00476708">
        <w:rPr>
          <w:rFonts w:ascii="Palatino Linotype" w:eastAsia="Palatino Linotype" w:hAnsi="Palatino Linotype" w:cs="Palatino Linotype"/>
          <w:sz w:val="24"/>
          <w:szCs w:val="24"/>
        </w:rPr>
        <w:t>fue omisa en remitir cualquier elemento que a su derecho conviniera, por lo tanto, se tiene por precluido su derecho para tal efecto y se procede a emitir la resolución que conforme a derecho corresponda.</w:t>
      </w:r>
    </w:p>
    <w:p w14:paraId="6E833D9A" w14:textId="77777777" w:rsidR="002007DF" w:rsidRPr="00476708" w:rsidRDefault="002D1D62">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Una vez establecidas las posturas de las partes, se procede al análisis de los requerimientos de información, así como la información proporcionada por el </w:t>
      </w:r>
      <w:r w:rsidRPr="00476708">
        <w:rPr>
          <w:rFonts w:ascii="Palatino Linotype" w:eastAsia="Palatino Linotype" w:hAnsi="Palatino Linotype" w:cs="Palatino Linotype"/>
          <w:b/>
          <w:sz w:val="24"/>
          <w:szCs w:val="24"/>
        </w:rPr>
        <w:t xml:space="preserve">Sujeto Obligado, </w:t>
      </w:r>
      <w:r w:rsidRPr="00476708">
        <w:rPr>
          <w:rFonts w:ascii="Palatino Linotype" w:eastAsia="Palatino Linotype" w:hAnsi="Palatino Linotype" w:cs="Palatino Linotype"/>
          <w:sz w:val="24"/>
          <w:szCs w:val="24"/>
        </w:rPr>
        <w:t xml:space="preserve">en contraposición con el motivo de inconformidad alegado por la parte </w:t>
      </w:r>
      <w:r w:rsidRPr="00476708">
        <w:rPr>
          <w:rFonts w:ascii="Palatino Linotype" w:eastAsia="Palatino Linotype" w:hAnsi="Palatino Linotype" w:cs="Palatino Linotype"/>
          <w:b/>
          <w:sz w:val="24"/>
          <w:szCs w:val="24"/>
        </w:rPr>
        <w:t xml:space="preserve">Recurrente, </w:t>
      </w:r>
      <w:r w:rsidRPr="00476708">
        <w:rPr>
          <w:rFonts w:ascii="Palatino Linotype" w:eastAsia="Palatino Linotype" w:hAnsi="Palatino Linotype" w:cs="Palatino Linotype"/>
          <w:sz w:val="24"/>
          <w:szCs w:val="24"/>
        </w:rPr>
        <w:t>con la finalidad de determinar si el Derecho de acceso de esta se satisfizo, o, en su defecto, ordenar el soporte documental correspondiente, en caso de ser procedente.</w:t>
      </w:r>
    </w:p>
    <w:p w14:paraId="3BDF2206" w14:textId="77777777" w:rsidR="002007DF" w:rsidRPr="00476708" w:rsidRDefault="002D1D62">
      <w:pPr>
        <w:pBdr>
          <w:top w:val="nil"/>
          <w:left w:val="nil"/>
          <w:bottom w:val="nil"/>
          <w:right w:val="nil"/>
          <w:between w:val="nil"/>
        </w:pBdr>
        <w:spacing w:before="280" w:after="28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7A291B5D"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De tal manera que, si bien el Titular de la Unidad de Transparencia no tiene bajo su resguardo el archivo que contiene la documentación en donde consta la información </w:t>
      </w:r>
      <w:r w:rsidRPr="00476708">
        <w:rPr>
          <w:rFonts w:ascii="Palatino Linotype" w:eastAsia="Palatino Linotype" w:hAnsi="Palatino Linotype" w:cs="Palatino Linotype"/>
          <w:sz w:val="24"/>
          <w:szCs w:val="24"/>
        </w:rPr>
        <w:lastRenderedPageBreak/>
        <w:t>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160BC12A" w14:textId="77777777" w:rsidR="002007DF" w:rsidRPr="00476708" w:rsidRDefault="002D1D62">
      <w:pPr>
        <w:spacing w:before="240" w:after="240" w:line="360" w:lineRule="auto"/>
        <w:ind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5BFE1DD5"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De lo manifestado con antelación se advierte que la persona Titular de la Unidad de Transparencia debe garantizar que las solicitudes se turnen a todas las áreas </w:t>
      </w:r>
      <w:r w:rsidRPr="00476708">
        <w:rPr>
          <w:rFonts w:ascii="Palatino Linotype" w:eastAsia="Palatino Linotype" w:hAnsi="Palatino Linotype" w:cs="Palatino Linotype"/>
          <w:sz w:val="24"/>
          <w:szCs w:val="24"/>
        </w:rPr>
        <w:lastRenderedPageBreak/>
        <w:t>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3ECB4959"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En el caso concreto, derivado de las constancias que integran el expediente electrónico en el que se actúa, se advierte que la Unidad de Transparencia turnó la solicitud a la </w:t>
      </w:r>
      <w:r w:rsidRPr="00476708">
        <w:rPr>
          <w:rFonts w:ascii="Palatino Linotype" w:eastAsia="Palatino Linotype" w:hAnsi="Palatino Linotype" w:cs="Palatino Linotype"/>
          <w:b/>
          <w:sz w:val="24"/>
          <w:szCs w:val="24"/>
        </w:rPr>
        <w:t>Subsecretaría de Planeación y Presupuesto</w:t>
      </w:r>
      <w:r w:rsidRPr="00476708">
        <w:rPr>
          <w:rFonts w:ascii="Palatino Linotype" w:eastAsia="Palatino Linotype" w:hAnsi="Palatino Linotype" w:cs="Palatino Linotype"/>
          <w:sz w:val="24"/>
          <w:szCs w:val="24"/>
        </w:rPr>
        <w:t xml:space="preserve">, cuyo objetivo, de conformidad con el Manual General de Organización de la Secretaría de Finanzas, consiste en planear, dirigir y coordinar la elaboración e implantación de planes, programas y el presupuesto de egresos, así como autorizar el ejercicio de las finanzas públicas estatales que coadyuven al desarrollo regional y sectorial del Estado de México, y para el cumplimiento del mismo, se le confieren, entre otras atribuciones, las siguientes: </w:t>
      </w:r>
    </w:p>
    <w:p w14:paraId="17C9B46D"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 xml:space="preserve">Dirigir la elaboración </w:t>
      </w:r>
      <w:r w:rsidRPr="00476708">
        <w:rPr>
          <w:rFonts w:ascii="Palatino Linotype" w:eastAsia="Palatino Linotype" w:hAnsi="Palatino Linotype" w:cs="Palatino Linotype"/>
          <w:sz w:val="24"/>
          <w:szCs w:val="24"/>
        </w:rPr>
        <w:t>en coordinación con las dependencias, entidades públicas y entes autónomos,</w:t>
      </w:r>
      <w:r w:rsidRPr="00476708">
        <w:rPr>
          <w:rFonts w:ascii="Palatino Linotype" w:eastAsia="Palatino Linotype" w:hAnsi="Palatino Linotype" w:cs="Palatino Linotype"/>
          <w:b/>
          <w:sz w:val="24"/>
          <w:szCs w:val="24"/>
        </w:rPr>
        <w:t xml:space="preserve"> del Plan de Desarrollo del Estado de México, los programas regionales y sectoriales de desarrollo,</w:t>
      </w: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así como los programas de inversión estatal encaminados a promover el desarrollo de la entidad</w:t>
      </w: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u w:val="single"/>
        </w:rPr>
        <w:t>a través de la Dirección General de Evaluación del Desempeño Institucional (DGEDI</w:t>
      </w:r>
      <w:r w:rsidRPr="00476708">
        <w:rPr>
          <w:rFonts w:ascii="Palatino Linotype" w:eastAsia="Palatino Linotype" w:hAnsi="Palatino Linotype" w:cs="Palatino Linotype"/>
          <w:sz w:val="24"/>
          <w:szCs w:val="24"/>
        </w:rPr>
        <w:t xml:space="preserve">) y la Dirección General de Inversión (DGI). </w:t>
      </w:r>
    </w:p>
    <w:p w14:paraId="301B6BF3" w14:textId="77777777" w:rsidR="002007DF" w:rsidRPr="00476708" w:rsidRDefault="002D1D62">
      <w:pPr>
        <w:spacing w:before="240" w:after="240" w:line="360" w:lineRule="auto"/>
        <w:ind w:left="284"/>
        <w:jc w:val="both"/>
        <w:rPr>
          <w:rFonts w:ascii="Palatino Linotype" w:eastAsia="Palatino Linotype" w:hAnsi="Palatino Linotype" w:cs="Palatino Linotype"/>
          <w:b/>
          <w:sz w:val="24"/>
          <w:szCs w:val="24"/>
          <w:u w:val="single"/>
        </w:rPr>
      </w:pP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Coordinar la elaboración de los techos presupuestarios para el anteproyecto del Presupuesto de Egresos del Gobierno del Estado de México</w:t>
      </w:r>
      <w:r w:rsidRPr="00476708">
        <w:rPr>
          <w:rFonts w:ascii="Palatino Linotype" w:eastAsia="Palatino Linotype" w:hAnsi="Palatino Linotype" w:cs="Palatino Linotype"/>
          <w:sz w:val="24"/>
          <w:szCs w:val="24"/>
        </w:rPr>
        <w:t xml:space="preserve">, junto con las dependencias, entidades públicas, entes autónomos y Poderes Legislativo y </w:t>
      </w:r>
      <w:r w:rsidRPr="00476708">
        <w:rPr>
          <w:rFonts w:ascii="Palatino Linotype" w:eastAsia="Palatino Linotype" w:hAnsi="Palatino Linotype" w:cs="Palatino Linotype"/>
          <w:sz w:val="24"/>
          <w:szCs w:val="24"/>
        </w:rPr>
        <w:lastRenderedPageBreak/>
        <w:t>Judicial a través de la Dirección General de Planeación y Gasto Público (</w:t>
      </w:r>
      <w:proofErr w:type="spellStart"/>
      <w:r w:rsidRPr="00476708">
        <w:rPr>
          <w:rFonts w:ascii="Palatino Linotype" w:eastAsia="Palatino Linotype" w:hAnsi="Palatino Linotype" w:cs="Palatino Linotype"/>
          <w:sz w:val="24"/>
          <w:szCs w:val="24"/>
        </w:rPr>
        <w:t>DGPyGP</w:t>
      </w:r>
      <w:proofErr w:type="spellEnd"/>
      <w:r w:rsidRPr="00476708">
        <w:rPr>
          <w:rFonts w:ascii="Palatino Linotype" w:eastAsia="Palatino Linotype" w:hAnsi="Palatino Linotype" w:cs="Palatino Linotype"/>
          <w:sz w:val="24"/>
          <w:szCs w:val="24"/>
        </w:rPr>
        <w:t xml:space="preserve">), la Dirección General de Inversión (DGI), </w:t>
      </w:r>
      <w:r w:rsidRPr="00476708">
        <w:rPr>
          <w:rFonts w:ascii="Palatino Linotype" w:eastAsia="Palatino Linotype" w:hAnsi="Palatino Linotype" w:cs="Palatino Linotype"/>
          <w:b/>
          <w:sz w:val="24"/>
          <w:szCs w:val="24"/>
          <w:u w:val="single"/>
        </w:rPr>
        <w:t xml:space="preserve">y la Dirección General de Evaluación del Desempeño Institucional (DGEDI). </w:t>
      </w:r>
    </w:p>
    <w:p w14:paraId="27092584"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Supervisar y coordinar la implementación y consolidación del Presupuesto basado en Resultados (</w:t>
      </w:r>
      <w:proofErr w:type="spellStart"/>
      <w:r w:rsidRPr="00476708">
        <w:rPr>
          <w:rFonts w:ascii="Palatino Linotype" w:eastAsia="Palatino Linotype" w:hAnsi="Palatino Linotype" w:cs="Palatino Linotype"/>
          <w:b/>
          <w:sz w:val="24"/>
          <w:szCs w:val="24"/>
        </w:rPr>
        <w:t>PbR</w:t>
      </w:r>
      <w:proofErr w:type="spellEnd"/>
      <w:r w:rsidRPr="00476708">
        <w:rPr>
          <w:rFonts w:ascii="Palatino Linotype" w:eastAsia="Palatino Linotype" w:hAnsi="Palatino Linotype" w:cs="Palatino Linotype"/>
          <w:b/>
          <w:sz w:val="24"/>
          <w:szCs w:val="24"/>
        </w:rPr>
        <w:t>) y el Sistema de Evaluación del Desempeño (SED), en las dependencias y entidades públicas del Gobierno del Estado de México</w:t>
      </w:r>
      <w:r w:rsidRPr="00476708">
        <w:rPr>
          <w:rFonts w:ascii="Palatino Linotype" w:eastAsia="Palatino Linotype" w:hAnsi="Palatino Linotype" w:cs="Palatino Linotype"/>
          <w:sz w:val="24"/>
          <w:szCs w:val="24"/>
        </w:rPr>
        <w:t>, bajo los principios de la Gestión para Resultados (</w:t>
      </w:r>
      <w:proofErr w:type="spellStart"/>
      <w:r w:rsidRPr="00476708">
        <w:rPr>
          <w:rFonts w:ascii="Palatino Linotype" w:eastAsia="Palatino Linotype" w:hAnsi="Palatino Linotype" w:cs="Palatino Linotype"/>
          <w:sz w:val="24"/>
          <w:szCs w:val="24"/>
        </w:rPr>
        <w:t>GpR</w:t>
      </w:r>
      <w:proofErr w:type="spellEnd"/>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u w:val="single"/>
        </w:rPr>
        <w:t xml:space="preserve">a través de la Dirección General de Evaluación del Desempeño Institucional (DGEDI). </w:t>
      </w:r>
    </w:p>
    <w:p w14:paraId="24F1036F"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Como se advierte, la Dirección General de Evaluación del Desempeño Institucional, cuyo objetivo consiste en planear, coordinar, diseñar, dirigir, promover, impulsar y ejecutar las acciones inherentes a la implementación de la Gestión para Resultados (</w:t>
      </w:r>
      <w:proofErr w:type="spellStart"/>
      <w:r w:rsidRPr="00476708">
        <w:rPr>
          <w:rFonts w:ascii="Palatino Linotype" w:eastAsia="Palatino Linotype" w:hAnsi="Palatino Linotype" w:cs="Palatino Linotype"/>
          <w:sz w:val="24"/>
          <w:szCs w:val="24"/>
        </w:rPr>
        <w:t>GpR</w:t>
      </w:r>
      <w:proofErr w:type="spellEnd"/>
      <w:r w:rsidRPr="00476708">
        <w:rPr>
          <w:rFonts w:ascii="Palatino Linotype" w:eastAsia="Palatino Linotype" w:hAnsi="Palatino Linotype" w:cs="Palatino Linotype"/>
          <w:sz w:val="24"/>
          <w:szCs w:val="24"/>
        </w:rPr>
        <w:t>), Presupuesto basado en Resultados (</w:t>
      </w:r>
      <w:proofErr w:type="spellStart"/>
      <w:r w:rsidRPr="00476708">
        <w:rPr>
          <w:rFonts w:ascii="Palatino Linotype" w:eastAsia="Palatino Linotype" w:hAnsi="Palatino Linotype" w:cs="Palatino Linotype"/>
          <w:sz w:val="24"/>
          <w:szCs w:val="24"/>
        </w:rPr>
        <w:t>PbR</w:t>
      </w:r>
      <w:proofErr w:type="spellEnd"/>
      <w:r w:rsidRPr="00476708">
        <w:rPr>
          <w:rFonts w:ascii="Palatino Linotype" w:eastAsia="Palatino Linotype" w:hAnsi="Palatino Linotype" w:cs="Palatino Linotype"/>
          <w:sz w:val="24"/>
          <w:szCs w:val="24"/>
        </w:rPr>
        <w:t>), Metodología del Marco Lógico (MML) y Sistema de Evaluación del Desempeño (SED) en la administración pública estatal; además de promover mejoras en el ciclo presupuestario, para el logro de resultados en el desarrollo de las políticas públicas, se encuentra adscrita a la Subsecretaría de Planeación y Presupuesto, y para el cumplimiento de dicho objetivo, se le confieren las  siguientes atribuciones:</w:t>
      </w:r>
    </w:p>
    <w:p w14:paraId="4D1D81EE"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Emitir lineamientos, metodologías, instructivos, mecanismos e instrumentos necesarios, para la consolidación de la Gestión para Resultados y sus principales componentes: Presupuesto basado en Resultados (</w:t>
      </w:r>
      <w:proofErr w:type="spellStart"/>
      <w:r w:rsidRPr="00476708">
        <w:rPr>
          <w:rFonts w:ascii="Palatino Linotype" w:eastAsia="Palatino Linotype" w:hAnsi="Palatino Linotype" w:cs="Palatino Linotype"/>
          <w:sz w:val="24"/>
          <w:szCs w:val="24"/>
        </w:rPr>
        <w:t>PbR</w:t>
      </w:r>
      <w:proofErr w:type="spellEnd"/>
      <w:r w:rsidRPr="00476708">
        <w:rPr>
          <w:rFonts w:ascii="Palatino Linotype" w:eastAsia="Palatino Linotype" w:hAnsi="Palatino Linotype" w:cs="Palatino Linotype"/>
          <w:sz w:val="24"/>
          <w:szCs w:val="24"/>
        </w:rPr>
        <w:t>) y Sistema de Evaluación del Desempeño (SED).</w:t>
      </w:r>
    </w:p>
    <w:p w14:paraId="000E61AE"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lastRenderedPageBreak/>
        <w:t>- Coordinar la integración de los Catálogos y Lineamientos para la formulación del anteproyecto y Proyecto del Presupuesto de Egresos del Gobierno del Estado de México.</w:t>
      </w:r>
    </w:p>
    <w:p w14:paraId="42C5F7FF"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Someter a consideración de la o del titular de la Subsecretaría de Planeación y Presupuesto, los criterios metodológicos, manuales, guías, instructivos y adecuaciones al marco normativo en materia programático-presupuestal, alineados al cumplimiento de los objetivos del Plan de Desarrollo del Estado de México.</w:t>
      </w:r>
    </w:p>
    <w:p w14:paraId="3FC7DCC9"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Diseñar lineamientos y criterios metodológicos para su aplicación en el ciclo presupuestario del Gobierno del Estado de México, para observancia de las Unidades de Información, Planeación, Programación y Evaluación de las dependencias y entidades públicas.</w:t>
      </w:r>
    </w:p>
    <w:p w14:paraId="716DE8C1"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Coordinar la integración de información estadística y registros administrativos que contribuyan al análisis de las políticas públicas.</w:t>
      </w:r>
    </w:p>
    <w:p w14:paraId="208716DF"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Coordinar la elaboración de diagnósticos del entorno social y económico, con la finalidad de contar con instrumentos analíticos que contribuyan a orientar la Gestión para Resultados. </w:t>
      </w:r>
    </w:p>
    <w:p w14:paraId="79852C12" w14:textId="77777777" w:rsidR="002007DF" w:rsidRPr="00476708" w:rsidRDefault="002D1D62">
      <w:pPr>
        <w:spacing w:before="120" w:after="120" w:line="360" w:lineRule="auto"/>
        <w:ind w:left="284"/>
        <w:jc w:val="both"/>
        <w:rPr>
          <w:rFonts w:ascii="Palatino Linotype" w:eastAsia="Palatino Linotype" w:hAnsi="Palatino Linotype" w:cs="Palatino Linotype"/>
          <w:b/>
          <w:sz w:val="24"/>
          <w:szCs w:val="24"/>
        </w:rPr>
      </w:pP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Asesorar a las dependencias y entidades públicas del Gobierno del Estado de México y de los Municipios, en la implementación del Presupuesto basado en Resultados (</w:t>
      </w:r>
      <w:proofErr w:type="spellStart"/>
      <w:r w:rsidRPr="00476708">
        <w:rPr>
          <w:rFonts w:ascii="Palatino Linotype" w:eastAsia="Palatino Linotype" w:hAnsi="Palatino Linotype" w:cs="Palatino Linotype"/>
          <w:b/>
          <w:sz w:val="24"/>
          <w:szCs w:val="24"/>
        </w:rPr>
        <w:t>PbR</w:t>
      </w:r>
      <w:proofErr w:type="spellEnd"/>
      <w:r w:rsidRPr="00476708">
        <w:rPr>
          <w:rFonts w:ascii="Palatino Linotype" w:eastAsia="Palatino Linotype" w:hAnsi="Palatino Linotype" w:cs="Palatino Linotype"/>
          <w:b/>
          <w:sz w:val="24"/>
          <w:szCs w:val="24"/>
        </w:rPr>
        <w:t xml:space="preserve">), y el Sistema de Evaluación del Desempeño (SED). </w:t>
      </w:r>
    </w:p>
    <w:p w14:paraId="04F89E30"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Participar en la formulación del Plan de Desarrollo del Estado de México, en coordinación con el Comité de Planeación para el Desarrollo del Estado de México </w:t>
      </w:r>
      <w:r w:rsidRPr="00476708">
        <w:rPr>
          <w:rFonts w:ascii="Palatino Linotype" w:eastAsia="Palatino Linotype" w:hAnsi="Palatino Linotype" w:cs="Palatino Linotype"/>
          <w:sz w:val="24"/>
          <w:szCs w:val="24"/>
        </w:rPr>
        <w:lastRenderedPageBreak/>
        <w:t xml:space="preserve">(COPLADEM), las dependencias, entidades públicas y los municipios de la entidad. </w:t>
      </w:r>
    </w:p>
    <w:p w14:paraId="50D93D6D"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Participar en la integración del proyecto de Presupuesto de Egresos del Gobierno del Estado de México, en congruencia con el Plan de Desarrollo del Estado de México. </w:t>
      </w:r>
    </w:p>
    <w:p w14:paraId="39165BF6"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Coordinar el monitoreo, seguimiento y evaluación de los programas presupuestarios</w:t>
      </w:r>
      <w:r w:rsidRPr="00476708">
        <w:rPr>
          <w:rFonts w:ascii="Palatino Linotype" w:eastAsia="Palatino Linotype" w:hAnsi="Palatino Linotype" w:cs="Palatino Linotype"/>
          <w:sz w:val="24"/>
          <w:szCs w:val="24"/>
        </w:rPr>
        <w:t xml:space="preserve"> derivados del Plan de Desarrollo del Estado de México, identificando posibles desviaciones para la mejora continua. </w:t>
      </w:r>
    </w:p>
    <w:p w14:paraId="29D2AC48"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Instrumentar y operar el registro de planes y programas de la Administración Pública Estatal y Municipal atendiendo el marco normativo aplicable en la materia. </w:t>
      </w:r>
    </w:p>
    <w:p w14:paraId="12281DAD"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Emitir opinión sobre el cumplimiento de los objetivos del Plan de Desarrollo del Estado de México, para la creación de plazas de la administración pública estatal, a petición de las unidades administrativas responsables del gasto, atendiendo la normativa aplicable en la materia. </w:t>
      </w:r>
    </w:p>
    <w:p w14:paraId="28072F52"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Coordinar la elaboración y operación del Programa Anual de Capacitación del Gobierno del Estado de México, en materia de Gestión para Resultados (</w:t>
      </w:r>
      <w:proofErr w:type="spellStart"/>
      <w:r w:rsidRPr="00476708">
        <w:rPr>
          <w:rFonts w:ascii="Palatino Linotype" w:eastAsia="Palatino Linotype" w:hAnsi="Palatino Linotype" w:cs="Palatino Linotype"/>
          <w:sz w:val="24"/>
          <w:szCs w:val="24"/>
        </w:rPr>
        <w:t>GpR</w:t>
      </w:r>
      <w:proofErr w:type="spellEnd"/>
      <w:r w:rsidRPr="00476708">
        <w:rPr>
          <w:rFonts w:ascii="Palatino Linotype" w:eastAsia="Palatino Linotype" w:hAnsi="Palatino Linotype" w:cs="Palatino Linotype"/>
          <w:sz w:val="24"/>
          <w:szCs w:val="24"/>
        </w:rPr>
        <w:t>), Presupuesto basado en Resultados (</w:t>
      </w:r>
      <w:proofErr w:type="spellStart"/>
      <w:r w:rsidRPr="00476708">
        <w:rPr>
          <w:rFonts w:ascii="Palatino Linotype" w:eastAsia="Palatino Linotype" w:hAnsi="Palatino Linotype" w:cs="Palatino Linotype"/>
          <w:sz w:val="24"/>
          <w:szCs w:val="24"/>
        </w:rPr>
        <w:t>PbR</w:t>
      </w:r>
      <w:proofErr w:type="spellEnd"/>
      <w:r w:rsidRPr="00476708">
        <w:rPr>
          <w:rFonts w:ascii="Palatino Linotype" w:eastAsia="Palatino Linotype" w:hAnsi="Palatino Linotype" w:cs="Palatino Linotype"/>
          <w:sz w:val="24"/>
          <w:szCs w:val="24"/>
        </w:rPr>
        <w:t xml:space="preserve">), Metodología de Marco Lógico (MML) y Matriz de Indicadores para Resultados (MIR). </w:t>
      </w:r>
    </w:p>
    <w:p w14:paraId="36AF1C7B"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Promover acciones para la elaboración de estudios que permitan llevar a cabo un análisis de las políticas públicas del Estado de México y Municipios, </w:t>
      </w:r>
      <w:r w:rsidRPr="00476708">
        <w:rPr>
          <w:rFonts w:ascii="Palatino Linotype" w:eastAsia="Palatino Linotype" w:hAnsi="Palatino Linotype" w:cs="Palatino Linotype"/>
          <w:sz w:val="24"/>
          <w:szCs w:val="24"/>
        </w:rPr>
        <w:lastRenderedPageBreak/>
        <w:t>generando sinergia con Institutos, Asociaciones, Centros de Investigación, Académicos, ciudadanas y ciudadanos informados e interesados</w:t>
      </w:r>
    </w:p>
    <w:p w14:paraId="76E45D4B"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Impulsar el uso de los resultados de las evaluaciones e indicadores del desempeño de los programas presupuestarios del Gobierno del Estado de México</w:t>
      </w:r>
      <w:r w:rsidRPr="00476708">
        <w:rPr>
          <w:rFonts w:ascii="Palatino Linotype" w:eastAsia="Palatino Linotype" w:hAnsi="Palatino Linotype" w:cs="Palatino Linotype"/>
          <w:sz w:val="24"/>
          <w:szCs w:val="24"/>
        </w:rPr>
        <w:t>, para contribuir al cumplimiento de los objetivos estratégicos.</w:t>
      </w:r>
    </w:p>
    <w:p w14:paraId="31DBF272"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Coordinar la estrategia de implementación, seguimiento, control y mejora continua de la elaboración de las Matrices de Indicadores para Resultados (MIR</w:t>
      </w:r>
      <w:r w:rsidRPr="00476708">
        <w:rPr>
          <w:rFonts w:ascii="Palatino Linotype" w:eastAsia="Palatino Linotype" w:hAnsi="Palatino Linotype" w:cs="Palatino Linotype"/>
          <w:sz w:val="24"/>
          <w:szCs w:val="24"/>
        </w:rPr>
        <w:t>), mediante la aplicación de la Metodología de Marco Lógico (MML).</w:t>
      </w:r>
    </w:p>
    <w:p w14:paraId="5DF0BDFA"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Coordinar la integración de los informes programáticos de los programas presupuestarios derivados del Plan de Desarrollo del Estado de México.</w:t>
      </w:r>
    </w:p>
    <w:p w14:paraId="77B5135B"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Coordinar la elaboración, emisión y operación del Programa Anual de Evaluación (PAE), así como su ejecución y cumplimiento en las dependencias y entidades públicas del Gobierno del Estado de México.</w:t>
      </w:r>
    </w:p>
    <w:p w14:paraId="78B48DB4"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Establecer las estrategias para el desarrollo, operación y actualización de los sistemas de información en materia de evaluación. </w:t>
      </w:r>
    </w:p>
    <w:p w14:paraId="41AD3823"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Coordinar la instrumentación de un directorio de evaluadoras y evaluadores externos y consultorías especializadas en materia de evaluación del desempeño. </w:t>
      </w:r>
    </w:p>
    <w:p w14:paraId="2D4F7966"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Verificar que los sujetos evaluados, atiendan los aspectos susceptibles de mejora, derivados de las evaluaciones de los programas presupuestarios del Gobierno del Estado de México.</w:t>
      </w:r>
    </w:p>
    <w:p w14:paraId="5CF0F9FF"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lastRenderedPageBreak/>
        <w:t>− Coordinar la elaboración de informes, estudios y análisis de los resultados del desempeño de los programas presupuestarios</w:t>
      </w:r>
    </w:p>
    <w:p w14:paraId="23B39177"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Coordinar el análisis y validación de los indicadores de los Fondos del Ramo General 33, en el sistema automatizado, que para el efecto establezca la Secretaría de Hacienda y Crédito Público (SHCP).</w:t>
      </w:r>
    </w:p>
    <w:p w14:paraId="3AE0564D"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Coordinar el seguimiento de los programas presupuestarios, a fin de autorizar las modificaciones, detectar posibles desviaciones y atender las posibles correcciones, a través de un monitoreo continuo de las acciones ejecutadas, así como analizar y emitir opinión sobre la viabilidad de los dictámenes de reconducción de la estrategia y de evaluación programática. </w:t>
      </w:r>
    </w:p>
    <w:p w14:paraId="4B5B9A2B"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Ser el enlace entre la Subsecretaría de Planeación y Presupuesto y la Unidad de Información, Planeación, Programación y Evaluación (UIPPE), para dar el seguimiento e integración de los proyectos de respuesta en materia de transparencia en las áreas de su competencia. </w:t>
      </w:r>
    </w:p>
    <w:p w14:paraId="1436476E"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 Atender las solicitudes de información en materia de transparencia y acceso a la información pública, que sean de su competencia, de acuerdo a la normativa aplicable. </w:t>
      </w:r>
    </w:p>
    <w:p w14:paraId="015EF858" w14:textId="77777777" w:rsidR="002007DF" w:rsidRPr="00476708" w:rsidRDefault="002D1D62">
      <w:pPr>
        <w:spacing w:before="120" w:after="12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Desarrollar las demás funciones inherentes al área de su competencia.</w:t>
      </w:r>
    </w:p>
    <w:p w14:paraId="3369EFFB"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En esta tesitura, se arriba a la conclusión de que en el presente asunto se atendió el procedimiento de búsqueda, el cual se constituye como la garantía primaria del derecho humano de acceso a la información pública, el cual se rige por los principios de simplicidad, rapidez, gratuidad del procedimiento, auxilio y orientación a las </w:t>
      </w:r>
      <w:r w:rsidRPr="00476708">
        <w:rPr>
          <w:rFonts w:ascii="Palatino Linotype" w:eastAsia="Palatino Linotype" w:hAnsi="Palatino Linotype" w:cs="Palatino Linotype"/>
          <w:sz w:val="24"/>
          <w:szCs w:val="24"/>
        </w:rPr>
        <w:lastRenderedPageBreak/>
        <w:t>personas solicitantes con el fin de otorgar la protección más amplia de éste derecho, al haber turnado la Unidad de Transparencia la solicitud al servidor público habilitado competente para conocer de la misma.</w:t>
      </w:r>
    </w:p>
    <w:p w14:paraId="022849E1"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Ahora bien, con la finalidad de satisfacer el Derecho de acceso de la persona solicitante, el servidor público habilitado de la Subsecretaría de Planeación y Presupuesto manifestó que la información se encontraba disponible en la página de transparencia fiscal de la Secretaría de Finanzas, y, para efectos de la consulta proporcionó la dirección electrónica de dicha página, sin embargo, debe puntualizarse que se otorgó a través de documentos digitalizados los cuales no permiten editar, modificar o procesar su contenido, es decir, el formato de los documentos no es abierto, siendo necesario capturar las ligas electrónicas carácter por carácter, situación que conlleva la posibilidad de cometer errores en la captura, y por consiguiente un impedimento de acceder a la información, no obstante, en la etapa de manifestaciones remitió la liga electrónica a través de un documento en formato abierto.</w:t>
      </w:r>
    </w:p>
    <w:p w14:paraId="5EA6E59C"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En esta tesitura, es oportuno traer a colación el contenido del artículo 161 de la Ley de Transparencia y Acceso a la Información Pública del Estado de México y Municipios</w:t>
      </w:r>
      <w:r w:rsidRPr="00476708">
        <w:rPr>
          <w:rFonts w:ascii="Palatino Linotype" w:eastAsia="Palatino Linotype" w:hAnsi="Palatino Linotype" w:cs="Palatino Linotype"/>
          <w:i/>
          <w:sz w:val="24"/>
          <w:szCs w:val="24"/>
        </w:rPr>
        <w:t xml:space="preserve">, </w:t>
      </w:r>
      <w:r w:rsidRPr="00476708">
        <w:rPr>
          <w:rFonts w:ascii="Palatino Linotype" w:eastAsia="Palatino Linotype" w:hAnsi="Palatino Linotype" w:cs="Palatino Linotype"/>
          <w:sz w:val="24"/>
          <w:szCs w:val="24"/>
        </w:rPr>
        <w:t xml:space="preserve">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w:t>
      </w:r>
      <w:r w:rsidRPr="00476708">
        <w:rPr>
          <w:rFonts w:ascii="Palatino Linotype" w:eastAsia="Palatino Linotype" w:hAnsi="Palatino Linotype" w:cs="Palatino Linotype"/>
          <w:sz w:val="24"/>
          <w:szCs w:val="24"/>
        </w:rPr>
        <w:lastRenderedPageBreak/>
        <w:t>otros, haciéndole saber al solicitante como podrá consultar, reproducir o adquirir la información, en un plazo no mayor a cinco días hábiles, comprendiendo:</w:t>
      </w:r>
    </w:p>
    <w:p w14:paraId="43C381F4" w14:textId="77777777" w:rsidR="002007DF" w:rsidRPr="00476708" w:rsidRDefault="002D1D62">
      <w:pPr>
        <w:spacing w:before="120" w:after="120" w:line="276" w:lineRule="auto"/>
        <w:ind w:left="284"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a) La fuente</w:t>
      </w:r>
    </w:p>
    <w:p w14:paraId="3E5D527F" w14:textId="77777777" w:rsidR="002007DF" w:rsidRPr="00476708" w:rsidRDefault="002D1D62">
      <w:pPr>
        <w:spacing w:before="120" w:after="120" w:line="276" w:lineRule="auto"/>
        <w:ind w:left="284"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b) El lugar y</w:t>
      </w:r>
    </w:p>
    <w:p w14:paraId="1D329859" w14:textId="77777777" w:rsidR="002007DF" w:rsidRPr="00476708" w:rsidRDefault="002D1D62">
      <w:pPr>
        <w:spacing w:before="120" w:after="120" w:line="276" w:lineRule="auto"/>
        <w:ind w:left="284"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c) La forma</w:t>
      </w:r>
    </w:p>
    <w:p w14:paraId="390B4960" w14:textId="77777777" w:rsidR="002007DF" w:rsidRPr="00476708" w:rsidRDefault="002D1D62">
      <w:pPr>
        <w:spacing w:before="240" w:after="240" w:line="360" w:lineRule="auto"/>
        <w:ind w:right="49"/>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Asimismo, se establece que la fuente de la información deberá ser:</w:t>
      </w:r>
    </w:p>
    <w:p w14:paraId="010AC6D0" w14:textId="77777777" w:rsidR="002007DF" w:rsidRPr="00476708" w:rsidRDefault="002D1D62">
      <w:pPr>
        <w:spacing w:before="120" w:after="120" w:line="276" w:lineRule="auto"/>
        <w:ind w:left="284"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a) Precisa</w:t>
      </w:r>
    </w:p>
    <w:p w14:paraId="1579D25C" w14:textId="77777777" w:rsidR="002007DF" w:rsidRPr="00476708" w:rsidRDefault="002D1D62">
      <w:pPr>
        <w:spacing w:before="120" w:after="120" w:line="276" w:lineRule="auto"/>
        <w:ind w:left="284"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b) Concreta</w:t>
      </w:r>
    </w:p>
    <w:p w14:paraId="7D87E11F" w14:textId="77777777" w:rsidR="002007DF" w:rsidRPr="00476708" w:rsidRDefault="002D1D62">
      <w:pPr>
        <w:spacing w:before="120" w:after="120" w:line="276" w:lineRule="auto"/>
        <w:ind w:left="284"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c) Y no debe implicar que el solicitante realice una búsqueda en toda la información que se encuentre disponible.</w:t>
      </w:r>
    </w:p>
    <w:p w14:paraId="60D45576" w14:textId="77777777" w:rsidR="002007DF" w:rsidRPr="00476708" w:rsidRDefault="002D1D62">
      <w:pPr>
        <w:spacing w:before="240" w:after="240" w:line="360" w:lineRule="auto"/>
        <w:ind w:right="49"/>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Imperativos legales que establecen el procedimiento que deben seguir los Sujetos Obligados para que pueda tomarse como válida su orientación sobre la forma en que puede consultar la información requerida.</w:t>
      </w:r>
    </w:p>
    <w:p w14:paraId="4CDF8761"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Atento a lo anterior, este Organismo Garante procedió a consultar la información que se encuentra publicada en la página de transparencia fiscal de la Secretaría de Finanzas, donde se observó lo siguiente:</w:t>
      </w:r>
    </w:p>
    <w:p w14:paraId="36596337"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noProof/>
          <w:sz w:val="24"/>
          <w:szCs w:val="24"/>
        </w:rPr>
        <w:lastRenderedPageBreak/>
        <w:drawing>
          <wp:inline distT="0" distB="0" distL="0" distR="0" wp14:anchorId="7DF386EA" wp14:editId="028BC043">
            <wp:extent cx="5612130" cy="5287645"/>
            <wp:effectExtent l="0" t="0" r="0" b="0"/>
            <wp:docPr id="193566839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612130" cy="5287645"/>
                    </a:xfrm>
                    <a:prstGeom prst="rect">
                      <a:avLst/>
                    </a:prstGeom>
                    <a:ln/>
                  </pic:spPr>
                </pic:pic>
              </a:graphicData>
            </a:graphic>
          </wp:inline>
        </w:drawing>
      </w:r>
    </w:p>
    <w:p w14:paraId="1E3FF9B1"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Ahora bien, toda vez que </w:t>
      </w:r>
      <w:r w:rsidRPr="00476708">
        <w:rPr>
          <w:rFonts w:ascii="Palatino Linotype" w:eastAsia="Palatino Linotype" w:hAnsi="Palatino Linotype" w:cs="Palatino Linotype"/>
          <w:b/>
          <w:sz w:val="24"/>
          <w:szCs w:val="24"/>
          <w:u w:val="single"/>
        </w:rPr>
        <w:t>la persona solicitante requirió concretamente los indicadores de la actual Secretaría de Desarrollo Urbano e Infraestructura</w:t>
      </w:r>
      <w:r w:rsidRPr="00476708">
        <w:rPr>
          <w:rFonts w:ascii="Palatino Linotype" w:eastAsia="Palatino Linotype" w:hAnsi="Palatino Linotype" w:cs="Palatino Linotype"/>
          <w:sz w:val="24"/>
          <w:szCs w:val="24"/>
        </w:rPr>
        <w:t xml:space="preserve"> (anteriormente Secretaria de Desarrollo Urbano y Metropolitano, Secretaría de Obra Pública, Secretaría de Desarrollo Urbano y Obra), de los ejercicios 2020, 2021 y 2022, se procedió a la consulta de la información en el apartado “</w:t>
      </w:r>
      <w:r w:rsidRPr="00476708">
        <w:rPr>
          <w:rFonts w:ascii="Palatino Linotype" w:eastAsia="Palatino Linotype" w:hAnsi="Palatino Linotype" w:cs="Palatino Linotype"/>
          <w:b/>
          <w:sz w:val="24"/>
          <w:szCs w:val="24"/>
        </w:rPr>
        <w:t xml:space="preserve">Indicadores alineados </w:t>
      </w:r>
      <w:r w:rsidRPr="00476708">
        <w:rPr>
          <w:rFonts w:ascii="Palatino Linotype" w:eastAsia="Palatino Linotype" w:hAnsi="Palatino Linotype" w:cs="Palatino Linotype"/>
          <w:b/>
          <w:sz w:val="24"/>
          <w:szCs w:val="24"/>
        </w:rPr>
        <w:lastRenderedPageBreak/>
        <w:t>al PEDEM</w:t>
      </w:r>
      <w:r w:rsidRPr="00476708">
        <w:rPr>
          <w:rFonts w:ascii="Palatino Linotype" w:eastAsia="Palatino Linotype" w:hAnsi="Palatino Linotype" w:cs="Palatino Linotype"/>
          <w:sz w:val="24"/>
          <w:szCs w:val="24"/>
        </w:rPr>
        <w:t xml:space="preserve">”, así como la evidencia documental de los indicadores y la conclusión del ejercicio 2020, se procedió a la consulta de la información de dichos ejercicios. </w:t>
      </w:r>
    </w:p>
    <w:p w14:paraId="175AC46F"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De dicha consulta, fue posible advertir que en la dirección electrónica proporcionada se localiza información de la actual Secretaría de Desarrollo Urbano e Infraestructura correspondiente a la </w:t>
      </w:r>
      <w:r w:rsidRPr="00476708">
        <w:rPr>
          <w:rFonts w:ascii="Palatino Linotype" w:eastAsia="Palatino Linotype" w:hAnsi="Palatino Linotype" w:cs="Palatino Linotype"/>
          <w:b/>
          <w:sz w:val="24"/>
          <w:szCs w:val="24"/>
          <w:u w:val="single"/>
        </w:rPr>
        <w:t>Evaluación del Presupuesto con Indicadores del ejercicio 2020</w:t>
      </w:r>
      <w:r w:rsidRPr="00476708">
        <w:rPr>
          <w:rFonts w:ascii="Palatino Linotype" w:eastAsia="Palatino Linotype" w:hAnsi="Palatino Linotype" w:cs="Palatino Linotype"/>
          <w:sz w:val="24"/>
          <w:szCs w:val="24"/>
        </w:rPr>
        <w:t xml:space="preserve">, así como la </w:t>
      </w:r>
      <w:r w:rsidRPr="00476708">
        <w:rPr>
          <w:rFonts w:ascii="Palatino Linotype" w:eastAsia="Palatino Linotype" w:hAnsi="Palatino Linotype" w:cs="Palatino Linotype"/>
          <w:b/>
          <w:sz w:val="24"/>
          <w:szCs w:val="24"/>
          <w:u w:val="single"/>
        </w:rPr>
        <w:t>alineación de indicadores al Plan Estatal de Desarrollo 2017-2023, de los ejercicios 2020 a 2022</w:t>
      </w:r>
      <w:r w:rsidRPr="00476708">
        <w:rPr>
          <w:sz w:val="24"/>
          <w:szCs w:val="24"/>
        </w:rPr>
        <w:t xml:space="preserve"> </w:t>
      </w:r>
      <w:r w:rsidRPr="00476708">
        <w:rPr>
          <w:rFonts w:ascii="Palatino Linotype" w:eastAsia="Palatino Linotype" w:hAnsi="Palatino Linotype" w:cs="Palatino Linotype"/>
          <w:sz w:val="24"/>
          <w:szCs w:val="24"/>
        </w:rPr>
        <w:t>como se ilustra a continuación para mejor referencia:</w:t>
      </w:r>
    </w:p>
    <w:p w14:paraId="102E9498"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noProof/>
          <w:sz w:val="24"/>
          <w:szCs w:val="24"/>
        </w:rPr>
        <w:drawing>
          <wp:inline distT="0" distB="0" distL="0" distR="0" wp14:anchorId="465B8A8E" wp14:editId="40DF369D">
            <wp:extent cx="5612130" cy="561975"/>
            <wp:effectExtent l="0" t="0" r="0" b="0"/>
            <wp:docPr id="19356683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12130" cy="561975"/>
                    </a:xfrm>
                    <a:prstGeom prst="rect">
                      <a:avLst/>
                    </a:prstGeom>
                    <a:ln/>
                  </pic:spPr>
                </pic:pic>
              </a:graphicData>
            </a:graphic>
          </wp:inline>
        </w:drawing>
      </w:r>
    </w:p>
    <w:p w14:paraId="66073C85"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noProof/>
          <w:sz w:val="24"/>
          <w:szCs w:val="24"/>
        </w:rPr>
        <w:drawing>
          <wp:inline distT="0" distB="0" distL="0" distR="0" wp14:anchorId="4E3F0B63" wp14:editId="63A4B373">
            <wp:extent cx="5612130" cy="1111250"/>
            <wp:effectExtent l="0" t="0" r="0" b="0"/>
            <wp:docPr id="19356683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12130" cy="1111250"/>
                    </a:xfrm>
                    <a:prstGeom prst="rect">
                      <a:avLst/>
                    </a:prstGeom>
                    <a:ln/>
                  </pic:spPr>
                </pic:pic>
              </a:graphicData>
            </a:graphic>
          </wp:inline>
        </w:drawing>
      </w:r>
    </w:p>
    <w:p w14:paraId="3EA9A816"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noProof/>
          <w:sz w:val="24"/>
          <w:szCs w:val="24"/>
        </w:rPr>
        <w:drawing>
          <wp:inline distT="0" distB="0" distL="0" distR="0" wp14:anchorId="40851E7D" wp14:editId="4DEF87D6">
            <wp:extent cx="5612130" cy="855980"/>
            <wp:effectExtent l="0" t="0" r="0" b="0"/>
            <wp:docPr id="19356683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612130" cy="855980"/>
                    </a:xfrm>
                    <a:prstGeom prst="rect">
                      <a:avLst/>
                    </a:prstGeom>
                    <a:ln/>
                  </pic:spPr>
                </pic:pic>
              </a:graphicData>
            </a:graphic>
          </wp:inline>
        </w:drawing>
      </w:r>
    </w:p>
    <w:p w14:paraId="0DA231CE"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noProof/>
          <w:sz w:val="24"/>
          <w:szCs w:val="24"/>
        </w:rPr>
        <w:drawing>
          <wp:inline distT="0" distB="0" distL="0" distR="0" wp14:anchorId="793B0231" wp14:editId="67D00FC1">
            <wp:extent cx="5612130" cy="815340"/>
            <wp:effectExtent l="0" t="0" r="0" b="0"/>
            <wp:docPr id="19356684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12130" cy="815340"/>
                    </a:xfrm>
                    <a:prstGeom prst="rect">
                      <a:avLst/>
                    </a:prstGeom>
                    <a:ln/>
                  </pic:spPr>
                </pic:pic>
              </a:graphicData>
            </a:graphic>
          </wp:inline>
        </w:drawing>
      </w:r>
    </w:p>
    <w:p w14:paraId="225D6F33"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noProof/>
          <w:sz w:val="24"/>
          <w:szCs w:val="24"/>
        </w:rPr>
        <w:lastRenderedPageBreak/>
        <w:drawing>
          <wp:inline distT="0" distB="0" distL="0" distR="0" wp14:anchorId="33F945FE" wp14:editId="7CFEE3CE">
            <wp:extent cx="5612130" cy="633095"/>
            <wp:effectExtent l="0" t="0" r="0" b="0"/>
            <wp:docPr id="193566839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612130" cy="633095"/>
                    </a:xfrm>
                    <a:prstGeom prst="rect">
                      <a:avLst/>
                    </a:prstGeom>
                    <a:ln/>
                  </pic:spPr>
                </pic:pic>
              </a:graphicData>
            </a:graphic>
          </wp:inline>
        </w:drawing>
      </w:r>
      <w:r w:rsidRPr="00476708">
        <w:rPr>
          <w:rFonts w:ascii="Palatino Linotype" w:eastAsia="Palatino Linotype" w:hAnsi="Palatino Linotype" w:cs="Palatino Linotype"/>
          <w:noProof/>
          <w:sz w:val="24"/>
          <w:szCs w:val="24"/>
        </w:rPr>
        <w:drawing>
          <wp:inline distT="0" distB="0" distL="0" distR="0" wp14:anchorId="5976616D" wp14:editId="2D847BB9">
            <wp:extent cx="5612130" cy="1238885"/>
            <wp:effectExtent l="0" t="0" r="0" b="0"/>
            <wp:docPr id="193566840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612130" cy="1238885"/>
                    </a:xfrm>
                    <a:prstGeom prst="rect">
                      <a:avLst/>
                    </a:prstGeom>
                    <a:ln/>
                  </pic:spPr>
                </pic:pic>
              </a:graphicData>
            </a:graphic>
          </wp:inline>
        </w:drawing>
      </w:r>
      <w:r w:rsidRPr="00476708">
        <w:rPr>
          <w:rFonts w:ascii="Palatino Linotype" w:eastAsia="Palatino Linotype" w:hAnsi="Palatino Linotype" w:cs="Palatino Linotype"/>
          <w:noProof/>
          <w:sz w:val="24"/>
          <w:szCs w:val="24"/>
        </w:rPr>
        <w:drawing>
          <wp:inline distT="0" distB="0" distL="0" distR="0" wp14:anchorId="4E8B3BFA" wp14:editId="4E88C282">
            <wp:extent cx="5612130" cy="876300"/>
            <wp:effectExtent l="0" t="0" r="0" b="0"/>
            <wp:docPr id="19356684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612130" cy="876300"/>
                    </a:xfrm>
                    <a:prstGeom prst="rect">
                      <a:avLst/>
                    </a:prstGeom>
                    <a:ln/>
                  </pic:spPr>
                </pic:pic>
              </a:graphicData>
            </a:graphic>
          </wp:inline>
        </w:drawing>
      </w:r>
      <w:r w:rsidRPr="00476708">
        <w:rPr>
          <w:rFonts w:ascii="Palatino Linotype" w:eastAsia="Palatino Linotype" w:hAnsi="Palatino Linotype" w:cs="Palatino Linotype"/>
          <w:noProof/>
          <w:sz w:val="24"/>
          <w:szCs w:val="24"/>
        </w:rPr>
        <w:drawing>
          <wp:inline distT="0" distB="0" distL="0" distR="0" wp14:anchorId="6F9AC326" wp14:editId="1F3D856A">
            <wp:extent cx="5612130" cy="2049138"/>
            <wp:effectExtent l="0" t="0" r="0" b="0"/>
            <wp:docPr id="193566840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b="39885"/>
                    <a:stretch>
                      <a:fillRect/>
                    </a:stretch>
                  </pic:blipFill>
                  <pic:spPr>
                    <a:xfrm>
                      <a:off x="0" y="0"/>
                      <a:ext cx="5612130" cy="2049138"/>
                    </a:xfrm>
                    <a:prstGeom prst="rect">
                      <a:avLst/>
                    </a:prstGeom>
                    <a:ln/>
                  </pic:spPr>
                </pic:pic>
              </a:graphicData>
            </a:graphic>
          </wp:inline>
        </w:drawing>
      </w:r>
    </w:p>
    <w:p w14:paraId="757FB650"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noProof/>
          <w:sz w:val="24"/>
          <w:szCs w:val="24"/>
        </w:rPr>
        <w:drawing>
          <wp:inline distT="0" distB="0" distL="0" distR="0" wp14:anchorId="1633E9AF" wp14:editId="60989E90">
            <wp:extent cx="5612130" cy="1663962"/>
            <wp:effectExtent l="0" t="0" r="0" b="0"/>
            <wp:docPr id="19356684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b="17932"/>
                    <a:stretch>
                      <a:fillRect/>
                    </a:stretch>
                  </pic:blipFill>
                  <pic:spPr>
                    <a:xfrm>
                      <a:off x="0" y="0"/>
                      <a:ext cx="5612130" cy="1663962"/>
                    </a:xfrm>
                    <a:prstGeom prst="rect">
                      <a:avLst/>
                    </a:prstGeom>
                    <a:ln/>
                  </pic:spPr>
                </pic:pic>
              </a:graphicData>
            </a:graphic>
          </wp:inline>
        </w:drawing>
      </w:r>
    </w:p>
    <w:p w14:paraId="3F822382"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lastRenderedPageBreak/>
        <w:t xml:space="preserve">No obstante, la orientación proporcionada no puede tenerse por válida para satisfacer el Derecho de acceso de la persona solicitante, en virtud de que la información no está completa y la fuente no es precisa, ya que, además de no contener evidencia de los indicadores y la conclusión de los mismos respecto del ejercicio 2020, para conocer la información la persona solicitante debe realizar la búsqueda de la dependencia que es de su interés en toda la información disponible, esto es, en los ejercicios 2020 y 2021 debe localizar los indicadores de la Secretaría de Desarrollo Urbano y Metropolitano y/o la Secretaría de Obra Pública, y en el ejercicio 2022 debe localizar los indicadores de la Secretaría de Desarrollo Urbano y Obra, sin perder de vista además que la información se clasifica por Pilar o eje del </w:t>
      </w:r>
      <w:r w:rsidRPr="00476708">
        <w:rPr>
          <w:rFonts w:ascii="Palatino Linotype" w:eastAsia="Palatino Linotype" w:hAnsi="Palatino Linotype" w:cs="Palatino Linotype"/>
          <w:b/>
          <w:sz w:val="24"/>
          <w:szCs w:val="24"/>
        </w:rPr>
        <w:t>Plan de Desarrollo del Estado de México 2017-2023</w:t>
      </w:r>
      <w:r w:rsidRPr="00476708">
        <w:rPr>
          <w:rFonts w:ascii="Palatino Linotype" w:eastAsia="Palatino Linotype" w:hAnsi="Palatino Linotype" w:cs="Palatino Linotype"/>
          <w:sz w:val="24"/>
          <w:szCs w:val="24"/>
        </w:rPr>
        <w:t>, situación que complica la búsqueda al tener que localizarse la dependencia en los Pilares respectivos, esto es Pilar 1 Social, Pilar 2 Económico, Pilar 3 Territorial y Pilar 4 Seguridad.</w:t>
      </w:r>
    </w:p>
    <w:p w14:paraId="7E990338" w14:textId="77777777" w:rsidR="002007DF" w:rsidRPr="00476708" w:rsidRDefault="002D1D62">
      <w:pPr>
        <w:spacing w:before="240" w:after="240" w:line="360" w:lineRule="auto"/>
        <w:jc w:val="both"/>
        <w:rPr>
          <w:rFonts w:ascii="Palatino Linotype" w:eastAsia="Palatino Linotype" w:hAnsi="Palatino Linotype" w:cs="Palatino Linotype"/>
          <w:b/>
          <w:sz w:val="24"/>
          <w:szCs w:val="24"/>
        </w:rPr>
      </w:pPr>
      <w:r w:rsidRPr="00476708">
        <w:rPr>
          <w:rFonts w:ascii="Palatino Linotype" w:eastAsia="Palatino Linotype" w:hAnsi="Palatino Linotype" w:cs="Palatino Linotype"/>
          <w:sz w:val="24"/>
          <w:szCs w:val="24"/>
        </w:rPr>
        <w:t xml:space="preserve">En este tenor, conviene precisar que cada uno de los Pilares concentra los objetivos, las estrategias, líneas de acción, metas e </w:t>
      </w:r>
      <w:r w:rsidRPr="00476708">
        <w:rPr>
          <w:rFonts w:ascii="Palatino Linotype" w:eastAsia="Palatino Linotype" w:hAnsi="Palatino Linotype" w:cs="Palatino Linotype"/>
          <w:b/>
          <w:sz w:val="24"/>
          <w:szCs w:val="24"/>
        </w:rPr>
        <w:t>indicadores, que permitirán el cumplimiento de los objetivos y habrán de traducirse en la agenda del Gobierno Estatal para el periodo 2017-2023.</w:t>
      </w:r>
    </w:p>
    <w:p w14:paraId="4F1D891C"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Asimismo, se menciona que el Programa Anual, de conformidad con el Manual para la formulación del Anteproyecto del Presupuesto de Egresos del Gobierno del Estado de México, emitido por la Secretaría de Finanzas en cada ejercicio fiscal, es el instrumento operativo fundamental que permite traducir los preceptos generales del Sistema de Planeación Democrática, primordialmente la visión estratégica </w:t>
      </w:r>
      <w:r w:rsidRPr="00476708">
        <w:rPr>
          <w:rFonts w:ascii="Palatino Linotype" w:eastAsia="Palatino Linotype" w:hAnsi="Palatino Linotype" w:cs="Palatino Linotype"/>
          <w:sz w:val="24"/>
          <w:szCs w:val="24"/>
        </w:rPr>
        <w:lastRenderedPageBreak/>
        <w:t>contenida en el Plan de Desarrollo del Estado de México 2017-2023, y los programas que de éste se derivan, (Sectoriales, Especiales y Regionales) y complementariamente incluye la estrategia institucional de las Dependencias y Entidades Públicas que integran el Gobierno del Estado de México.</w:t>
      </w:r>
    </w:p>
    <w:p w14:paraId="3B21C420"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Dentro de cada Programa Anual</w:t>
      </w: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 xml:space="preserve">se incluyen los objetivos, líneas de acción, </w:t>
      </w:r>
      <w:r w:rsidRPr="00476708">
        <w:rPr>
          <w:rFonts w:ascii="Palatino Linotype" w:eastAsia="Palatino Linotype" w:hAnsi="Palatino Linotype" w:cs="Palatino Linotype"/>
          <w:b/>
          <w:sz w:val="24"/>
          <w:szCs w:val="24"/>
          <w:u w:val="single"/>
        </w:rPr>
        <w:t>indicadores</w:t>
      </w:r>
      <w:r w:rsidRPr="00476708">
        <w:rPr>
          <w:rFonts w:ascii="Palatino Linotype" w:eastAsia="Palatino Linotype" w:hAnsi="Palatino Linotype" w:cs="Palatino Linotype"/>
          <w:b/>
          <w:sz w:val="24"/>
          <w:szCs w:val="24"/>
        </w:rPr>
        <w:t xml:space="preserve"> y metas concretas a ejecutar en el corto plazo</w:t>
      </w:r>
      <w:r w:rsidRPr="00476708">
        <w:rPr>
          <w:rFonts w:ascii="Palatino Linotype" w:eastAsia="Palatino Linotype" w:hAnsi="Palatino Linotype" w:cs="Palatino Linotype"/>
          <w:sz w:val="24"/>
          <w:szCs w:val="24"/>
        </w:rPr>
        <w:t>; dentro de dicho documento se señalan los resultados determinados a realizar con antelación a los que se comprometen los ejecutores del gasto adscritos a las distintas entidades que integran la Administración Pública Estatal, asimismo, se incluye la temporalidad, el beneficio territorial y el detalle respecto a la asignación de recursos humanos, materiales y financieros.</w:t>
      </w:r>
    </w:p>
    <w:p w14:paraId="196DC802" w14:textId="77777777" w:rsidR="002007DF" w:rsidRPr="00476708" w:rsidRDefault="002D1D62">
      <w:pPr>
        <w:spacing w:before="240" w:after="240" w:line="360" w:lineRule="auto"/>
        <w:jc w:val="both"/>
        <w:rPr>
          <w:rFonts w:ascii="Palatino Linotype" w:eastAsia="Palatino Linotype" w:hAnsi="Palatino Linotype" w:cs="Palatino Linotype"/>
          <w:b/>
          <w:sz w:val="24"/>
          <w:szCs w:val="24"/>
          <w:u w:val="single"/>
        </w:rPr>
      </w:pPr>
      <w:r w:rsidRPr="00476708">
        <w:rPr>
          <w:rFonts w:ascii="Palatino Linotype" w:eastAsia="Palatino Linotype" w:hAnsi="Palatino Linotype" w:cs="Palatino Linotype"/>
          <w:b/>
          <w:sz w:val="24"/>
          <w:szCs w:val="24"/>
        </w:rPr>
        <w:t>La formulación del Programa Anual le corresponde a cada una de las Dependencias</w:t>
      </w: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y Entidades Públicas, los Órganos Autónomos, el Poder Legislativo y el Judicial del Gobierno del Estado de México</w:t>
      </w:r>
      <w:r w:rsidRPr="00476708">
        <w:rPr>
          <w:rFonts w:ascii="Palatino Linotype" w:eastAsia="Palatino Linotype" w:hAnsi="Palatino Linotype" w:cs="Palatino Linotype"/>
          <w:sz w:val="24"/>
          <w:szCs w:val="24"/>
        </w:rPr>
        <w:t>, a través de los formatos del Presupuesto basado en Resultados (</w:t>
      </w:r>
      <w:proofErr w:type="spellStart"/>
      <w:r w:rsidRPr="00476708">
        <w:rPr>
          <w:rFonts w:ascii="Palatino Linotype" w:eastAsia="Palatino Linotype" w:hAnsi="Palatino Linotype" w:cs="Palatino Linotype"/>
          <w:sz w:val="24"/>
          <w:szCs w:val="24"/>
        </w:rPr>
        <w:t>PbR</w:t>
      </w:r>
      <w:proofErr w:type="spellEnd"/>
      <w:r w:rsidRPr="00476708">
        <w:rPr>
          <w:rFonts w:ascii="Palatino Linotype" w:eastAsia="Palatino Linotype" w:hAnsi="Palatino Linotype" w:cs="Palatino Linotype"/>
          <w:sz w:val="24"/>
          <w:szCs w:val="24"/>
        </w:rPr>
        <w:t>), siendo las Unidades de Información, Planeación, Programación y Evaluación, (UIPPE) de las Dependencias y Entes Públicos que son cabeza de sector, quienes deben coordinar el diseño y elaboración de la Matriz de Indicadores para Resultados (MIR) para cada Programa presupuestario (</w:t>
      </w:r>
      <w:proofErr w:type="spellStart"/>
      <w:r w:rsidRPr="00476708">
        <w:rPr>
          <w:rFonts w:ascii="Palatino Linotype" w:eastAsia="Palatino Linotype" w:hAnsi="Palatino Linotype" w:cs="Palatino Linotype"/>
          <w:sz w:val="24"/>
          <w:szCs w:val="24"/>
        </w:rPr>
        <w:t>Pp</w:t>
      </w:r>
      <w:proofErr w:type="spellEnd"/>
      <w:r w:rsidRPr="00476708">
        <w:rPr>
          <w:rFonts w:ascii="Palatino Linotype" w:eastAsia="Palatino Linotype" w:hAnsi="Palatino Linotype" w:cs="Palatino Linotype"/>
          <w:sz w:val="24"/>
          <w:szCs w:val="24"/>
        </w:rPr>
        <w:t xml:space="preserve">), así como las MIR transversales o en cascada para los proyectos que conforman el </w:t>
      </w:r>
      <w:proofErr w:type="spellStart"/>
      <w:r w:rsidRPr="00476708">
        <w:rPr>
          <w:rFonts w:ascii="Palatino Linotype" w:eastAsia="Palatino Linotype" w:hAnsi="Palatino Linotype" w:cs="Palatino Linotype"/>
          <w:sz w:val="24"/>
          <w:szCs w:val="24"/>
        </w:rPr>
        <w:t>Pp</w:t>
      </w:r>
      <w:proofErr w:type="spellEnd"/>
      <w:r w:rsidRPr="00476708">
        <w:rPr>
          <w:rFonts w:ascii="Palatino Linotype" w:eastAsia="Palatino Linotype" w:hAnsi="Palatino Linotype" w:cs="Palatino Linotype"/>
          <w:sz w:val="24"/>
          <w:szCs w:val="24"/>
        </w:rPr>
        <w:t>, utilizando la Metodología del Marco Lógico (MML), definida como el instrumento de análisis lógico y pensamiento estructurado en la planeación de Programas presupuestarios (</w:t>
      </w:r>
      <w:proofErr w:type="spellStart"/>
      <w:r w:rsidRPr="00476708">
        <w:rPr>
          <w:rFonts w:ascii="Palatino Linotype" w:eastAsia="Palatino Linotype" w:hAnsi="Palatino Linotype" w:cs="Palatino Linotype"/>
          <w:sz w:val="24"/>
          <w:szCs w:val="24"/>
        </w:rPr>
        <w:t>Pp</w:t>
      </w:r>
      <w:proofErr w:type="spellEnd"/>
      <w:r w:rsidRPr="00476708">
        <w:rPr>
          <w:rFonts w:ascii="Palatino Linotype" w:eastAsia="Palatino Linotype" w:hAnsi="Palatino Linotype" w:cs="Palatino Linotype"/>
          <w:sz w:val="24"/>
          <w:szCs w:val="24"/>
        </w:rPr>
        <w:t xml:space="preserve">) y proyectos (Py), que proporciona una </w:t>
      </w:r>
      <w:r w:rsidRPr="00476708">
        <w:rPr>
          <w:rFonts w:ascii="Palatino Linotype" w:eastAsia="Palatino Linotype" w:hAnsi="Palatino Linotype" w:cs="Palatino Linotype"/>
          <w:sz w:val="24"/>
          <w:szCs w:val="24"/>
        </w:rPr>
        <w:lastRenderedPageBreak/>
        <w:t xml:space="preserve">estructura para el diálogo entre las diferentes partes interesadas en un Pp. Asimismo, incluye todos los elementos que dan sentido a la gestión orientada a resultados cuyo inicio parte del análisis del problema, en términos de lo establecido en la disposición Octava de los Lineamientos Generales para la Evaluación de </w:t>
      </w:r>
      <w:r w:rsidR="00E07EF4" w:rsidRPr="00476708">
        <w:rPr>
          <w:rFonts w:ascii="Palatino Linotype" w:eastAsia="Palatino Linotype" w:hAnsi="Palatino Linotype" w:cs="Palatino Linotype"/>
          <w:sz w:val="24"/>
          <w:szCs w:val="24"/>
        </w:rPr>
        <w:t xml:space="preserve">los </w:t>
      </w:r>
      <w:r w:rsidRPr="00476708">
        <w:rPr>
          <w:rFonts w:ascii="Palatino Linotype" w:eastAsia="Palatino Linotype" w:hAnsi="Palatino Linotype" w:cs="Palatino Linotype"/>
          <w:sz w:val="24"/>
          <w:szCs w:val="24"/>
        </w:rPr>
        <w:t xml:space="preserve">Programas Presupuestarios del Gobierno del Estado de México, </w:t>
      </w:r>
      <w:r w:rsidRPr="00476708">
        <w:rPr>
          <w:rFonts w:ascii="Palatino Linotype" w:eastAsia="Palatino Linotype" w:hAnsi="Palatino Linotype" w:cs="Palatino Linotype"/>
          <w:b/>
          <w:sz w:val="24"/>
          <w:szCs w:val="24"/>
          <w:u w:val="single"/>
        </w:rPr>
        <w:t>que deberán remitirse a la Dirección Gener</w:t>
      </w:r>
      <w:r w:rsidR="00E07EF4" w:rsidRPr="00476708">
        <w:rPr>
          <w:rFonts w:ascii="Palatino Linotype" w:eastAsia="Palatino Linotype" w:hAnsi="Palatino Linotype" w:cs="Palatino Linotype"/>
          <w:b/>
          <w:sz w:val="24"/>
          <w:szCs w:val="24"/>
          <w:u w:val="single"/>
        </w:rPr>
        <w:t>al de Evaluación del Desempeño I</w:t>
      </w:r>
      <w:r w:rsidRPr="00476708">
        <w:rPr>
          <w:rFonts w:ascii="Palatino Linotype" w:eastAsia="Palatino Linotype" w:hAnsi="Palatino Linotype" w:cs="Palatino Linotype"/>
          <w:b/>
          <w:sz w:val="24"/>
          <w:szCs w:val="24"/>
          <w:u w:val="single"/>
        </w:rPr>
        <w:t>nstitucional para su revisión y visto bueno.</w:t>
      </w:r>
    </w:p>
    <w:p w14:paraId="239EBA0A"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Para la revisión, depuración, mejoramiento, cancelación, rediseño y ubicación de los indicadores dentro de la MIR del </w:t>
      </w:r>
      <w:proofErr w:type="spellStart"/>
      <w:r w:rsidRPr="00476708">
        <w:rPr>
          <w:rFonts w:ascii="Palatino Linotype" w:eastAsia="Palatino Linotype" w:hAnsi="Palatino Linotype" w:cs="Palatino Linotype"/>
          <w:sz w:val="24"/>
          <w:szCs w:val="24"/>
        </w:rPr>
        <w:t>Pp</w:t>
      </w:r>
      <w:proofErr w:type="spellEnd"/>
      <w:r w:rsidRPr="00476708">
        <w:rPr>
          <w:rFonts w:ascii="Palatino Linotype" w:eastAsia="Palatino Linotype" w:hAnsi="Palatino Linotype" w:cs="Palatino Linotype"/>
          <w:sz w:val="24"/>
          <w:szCs w:val="24"/>
        </w:rPr>
        <w:t xml:space="preserve"> o de los proyectos, las </w:t>
      </w:r>
      <w:proofErr w:type="spellStart"/>
      <w:r w:rsidRPr="00476708">
        <w:rPr>
          <w:rFonts w:ascii="Palatino Linotype" w:eastAsia="Palatino Linotype" w:hAnsi="Palatino Linotype" w:cs="Palatino Linotype"/>
          <w:sz w:val="24"/>
          <w:szCs w:val="24"/>
        </w:rPr>
        <w:t>UIPPE´s</w:t>
      </w:r>
      <w:proofErr w:type="spellEnd"/>
      <w:r w:rsidRPr="00476708">
        <w:rPr>
          <w:rFonts w:ascii="Palatino Linotype" w:eastAsia="Palatino Linotype" w:hAnsi="Palatino Linotype" w:cs="Palatino Linotype"/>
          <w:sz w:val="24"/>
          <w:szCs w:val="24"/>
        </w:rPr>
        <w:t xml:space="preserve"> sectoriales deberán atender lo siguiente: </w:t>
      </w:r>
    </w:p>
    <w:p w14:paraId="1B53C5C9"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a)</w:t>
      </w:r>
      <w:r w:rsidRPr="00476708">
        <w:rPr>
          <w:rFonts w:ascii="Palatino Linotype" w:eastAsia="Palatino Linotype" w:hAnsi="Palatino Linotype" w:cs="Palatino Linotype"/>
          <w:sz w:val="24"/>
          <w:szCs w:val="24"/>
        </w:rPr>
        <w:t xml:space="preserve"> Las MIR deberán ser congruentes con los objetivos, estrategias y líneas de acción del Plan de Desarrollo del Estado de México vigente y de los programas derivados del mismo; </w:t>
      </w:r>
    </w:p>
    <w:p w14:paraId="77D773AD"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b)</w:t>
      </w:r>
      <w:r w:rsidRPr="00476708">
        <w:rPr>
          <w:rFonts w:ascii="Palatino Linotype" w:eastAsia="Palatino Linotype" w:hAnsi="Palatino Linotype" w:cs="Palatino Linotype"/>
          <w:sz w:val="24"/>
          <w:szCs w:val="24"/>
        </w:rPr>
        <w:t xml:space="preserve"> Las MIR y sus elementos de diseño con base a la MML (árboles del problema y de objetivos, análisis para la determinación de la población objetivo y el análisis de involucrados), constituyen la base para los procesos de evaluación de los Programas y Proyectos presupuestarios previstos en los Lineamientos Generales para la Evaluación de los Programas Presupuestarios del Gobierno del Estado de México; </w:t>
      </w:r>
    </w:p>
    <w:p w14:paraId="1F7DB4E0"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c)</w:t>
      </w:r>
      <w:r w:rsidRPr="00476708">
        <w:rPr>
          <w:rFonts w:ascii="Palatino Linotype" w:eastAsia="Palatino Linotype" w:hAnsi="Palatino Linotype" w:cs="Palatino Linotype"/>
          <w:sz w:val="24"/>
          <w:szCs w:val="24"/>
        </w:rPr>
        <w:t xml:space="preserve"> Los indicadores deberán generarse de común acuerdo entre los futuros ejecutores del gasto público, las Unidades Administrativas y las </w:t>
      </w:r>
      <w:proofErr w:type="spellStart"/>
      <w:r w:rsidRPr="00476708">
        <w:rPr>
          <w:rFonts w:ascii="Palatino Linotype" w:eastAsia="Palatino Linotype" w:hAnsi="Palatino Linotype" w:cs="Palatino Linotype"/>
          <w:sz w:val="24"/>
          <w:szCs w:val="24"/>
        </w:rPr>
        <w:t>UIPPE´s</w:t>
      </w:r>
      <w:proofErr w:type="spellEnd"/>
      <w:r w:rsidRPr="00476708">
        <w:rPr>
          <w:rFonts w:ascii="Palatino Linotype" w:eastAsia="Palatino Linotype" w:hAnsi="Palatino Linotype" w:cs="Palatino Linotype"/>
          <w:sz w:val="24"/>
          <w:szCs w:val="24"/>
        </w:rPr>
        <w:t xml:space="preserve"> cabeza </w:t>
      </w:r>
      <w:r w:rsidRPr="00476708">
        <w:rPr>
          <w:rFonts w:ascii="Palatino Linotype" w:eastAsia="Palatino Linotype" w:hAnsi="Palatino Linotype" w:cs="Palatino Linotype"/>
          <w:sz w:val="24"/>
          <w:szCs w:val="24"/>
        </w:rPr>
        <w:lastRenderedPageBreak/>
        <w:t xml:space="preserve">de sector, debiendo existir en todo caso un objetivo claro, el cuál será el origen del indicador; </w:t>
      </w:r>
    </w:p>
    <w:p w14:paraId="3490C71F"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d)</w:t>
      </w:r>
      <w:r w:rsidRPr="00476708">
        <w:rPr>
          <w:rFonts w:ascii="Palatino Linotype" w:eastAsia="Palatino Linotype" w:hAnsi="Palatino Linotype" w:cs="Palatino Linotype"/>
          <w:sz w:val="24"/>
          <w:szCs w:val="24"/>
        </w:rPr>
        <w:t xml:space="preserve"> Los indicadores integrados al Sistema de Planeación y Presupuesto (SPP) por las </w:t>
      </w:r>
      <w:proofErr w:type="spellStart"/>
      <w:r w:rsidRPr="00476708">
        <w:rPr>
          <w:rFonts w:ascii="Palatino Linotype" w:eastAsia="Palatino Linotype" w:hAnsi="Palatino Linotype" w:cs="Palatino Linotype"/>
          <w:sz w:val="24"/>
          <w:szCs w:val="24"/>
        </w:rPr>
        <w:t>UIPPE´s</w:t>
      </w:r>
      <w:proofErr w:type="spellEnd"/>
      <w:r w:rsidRPr="00476708">
        <w:rPr>
          <w:rFonts w:ascii="Palatino Linotype" w:eastAsia="Palatino Linotype" w:hAnsi="Palatino Linotype" w:cs="Palatino Linotype"/>
          <w:sz w:val="24"/>
          <w:szCs w:val="24"/>
        </w:rPr>
        <w:t xml:space="preserve">, se aplicarán de forma homogénea y apoyarán el seguimiento y evaluación previstos en las disposiciones aplicables; </w:t>
      </w:r>
    </w:p>
    <w:p w14:paraId="3133D09F"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e)</w:t>
      </w:r>
      <w:r w:rsidRPr="00476708">
        <w:rPr>
          <w:rFonts w:ascii="Palatino Linotype" w:eastAsia="Palatino Linotype" w:hAnsi="Palatino Linotype" w:cs="Palatino Linotype"/>
          <w:sz w:val="24"/>
          <w:szCs w:val="24"/>
        </w:rPr>
        <w:t xml:space="preserve"> Las fuentes de información de las variables consideradas en los indicadores generados, deberán ser datos oportunos y confiables, a efecto de generar información de calidad para la toma de decisiones;</w:t>
      </w:r>
    </w:p>
    <w:p w14:paraId="2BD72DDE"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f)</w:t>
      </w:r>
      <w:r w:rsidRPr="00476708">
        <w:rPr>
          <w:rFonts w:ascii="Palatino Linotype" w:eastAsia="Palatino Linotype" w:hAnsi="Palatino Linotype" w:cs="Palatino Linotype"/>
          <w:sz w:val="24"/>
          <w:szCs w:val="24"/>
        </w:rPr>
        <w:t xml:space="preserve"> Los indicadores deberán clasificarse en estratégicos y de gestión para permitir dimensionar los siguientes aspectos:</w:t>
      </w:r>
    </w:p>
    <w:p w14:paraId="790769C6"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Eficacia:</w:t>
      </w:r>
      <w:r w:rsidRPr="00476708">
        <w:rPr>
          <w:rFonts w:ascii="Palatino Linotype" w:eastAsia="Palatino Linotype" w:hAnsi="Palatino Linotype" w:cs="Palatino Linotype"/>
          <w:sz w:val="24"/>
          <w:szCs w:val="24"/>
        </w:rPr>
        <w:t xml:space="preserve"> mide el grado de cumplimiento de los objetivos de los Programas Presupuestarios; </w:t>
      </w:r>
    </w:p>
    <w:p w14:paraId="2C71BFC0"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Eficiencia</w:t>
      </w:r>
      <w:r w:rsidRPr="00476708">
        <w:rPr>
          <w:rFonts w:ascii="Palatino Linotype" w:eastAsia="Palatino Linotype" w:hAnsi="Palatino Linotype" w:cs="Palatino Linotype"/>
          <w:sz w:val="24"/>
          <w:szCs w:val="24"/>
        </w:rPr>
        <w:t xml:space="preserve">: mide la relación entre los productos y servicios generados respecto a los insumos o recursos utilizados; </w:t>
      </w:r>
    </w:p>
    <w:p w14:paraId="22D5F51B"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Economía:</w:t>
      </w:r>
      <w:r w:rsidRPr="00476708">
        <w:rPr>
          <w:rFonts w:ascii="Palatino Linotype" w:eastAsia="Palatino Linotype" w:hAnsi="Palatino Linotype" w:cs="Palatino Linotype"/>
          <w:sz w:val="24"/>
          <w:szCs w:val="24"/>
        </w:rPr>
        <w:t xml:space="preserve"> mide la capacidad de gestión de los Programas presupuestarios, a efecto de ejercer adecuadamente los recursos financieros; </w:t>
      </w:r>
    </w:p>
    <w:p w14:paraId="0528C3CF"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Calidad</w:t>
      </w:r>
      <w:r w:rsidRPr="00476708">
        <w:rPr>
          <w:rFonts w:ascii="Palatino Linotype" w:eastAsia="Palatino Linotype" w:hAnsi="Palatino Linotype" w:cs="Palatino Linotype"/>
          <w:sz w:val="24"/>
          <w:szCs w:val="24"/>
        </w:rPr>
        <w:t xml:space="preserve">: mide los atributos, propiedades o características que deben tener los bienes y servicios para satisfacer los objetivos de los Programas presupuestarios. </w:t>
      </w:r>
    </w:p>
    <w:p w14:paraId="07EC9C1E"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lastRenderedPageBreak/>
        <w:t>g)</w:t>
      </w:r>
      <w:r w:rsidRPr="00476708">
        <w:rPr>
          <w:rFonts w:ascii="Palatino Linotype" w:eastAsia="Palatino Linotype" w:hAnsi="Palatino Linotype" w:cs="Palatino Linotype"/>
          <w:sz w:val="24"/>
          <w:szCs w:val="24"/>
        </w:rPr>
        <w:t xml:space="preserve"> En la definición de los indicadores deberá incluirse lo siguiente: </w:t>
      </w:r>
    </w:p>
    <w:p w14:paraId="1B2DDC0E"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Nombre del Indicador</w:t>
      </w:r>
      <w:r w:rsidRPr="00476708">
        <w:rPr>
          <w:rFonts w:ascii="Palatino Linotype" w:eastAsia="Palatino Linotype" w:hAnsi="Palatino Linotype" w:cs="Palatino Linotype"/>
          <w:sz w:val="24"/>
          <w:szCs w:val="24"/>
        </w:rPr>
        <w:t xml:space="preserve">: significado conceptual; </w:t>
      </w:r>
    </w:p>
    <w:p w14:paraId="495FBE8E"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Método de cálcul</w:t>
      </w:r>
      <w:r w:rsidRPr="00476708">
        <w:rPr>
          <w:rFonts w:ascii="Palatino Linotype" w:eastAsia="Palatino Linotype" w:hAnsi="Palatino Linotype" w:cs="Palatino Linotype"/>
          <w:sz w:val="24"/>
          <w:szCs w:val="24"/>
        </w:rPr>
        <w:t xml:space="preserve">o: expresión matemática o cuantitativa; </w:t>
      </w:r>
    </w:p>
    <w:p w14:paraId="791E33A3"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Frecuencia de medición</w:t>
      </w:r>
      <w:r w:rsidRPr="00476708">
        <w:rPr>
          <w:rFonts w:ascii="Palatino Linotype" w:eastAsia="Palatino Linotype" w:hAnsi="Palatino Linotype" w:cs="Palatino Linotype"/>
          <w:sz w:val="24"/>
          <w:szCs w:val="24"/>
        </w:rPr>
        <w:t xml:space="preserve">: periodo mensual, trimestral, anual o cualquier otro, durante el cual se calcula el Indicador; </w:t>
      </w:r>
    </w:p>
    <w:p w14:paraId="16AFDD31"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Factor de comparación</w:t>
      </w:r>
      <w:r w:rsidRPr="00476708">
        <w:rPr>
          <w:rFonts w:ascii="Palatino Linotype" w:eastAsia="Palatino Linotype" w:hAnsi="Palatino Linotype" w:cs="Palatino Linotype"/>
          <w:sz w:val="24"/>
          <w:szCs w:val="24"/>
        </w:rPr>
        <w:t xml:space="preserve">: valor inicial o línea base del Indicador, que sirve de parámetro para comparar el avance hacia el objetivo de largo plazo establecido; </w:t>
      </w:r>
    </w:p>
    <w:p w14:paraId="73C566B5"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Descripción del factor de comparación</w:t>
      </w:r>
      <w:r w:rsidRPr="00476708">
        <w:rPr>
          <w:rFonts w:ascii="Palatino Linotype" w:eastAsia="Palatino Linotype" w:hAnsi="Palatino Linotype" w:cs="Palatino Linotype"/>
          <w:sz w:val="24"/>
          <w:szCs w:val="24"/>
        </w:rPr>
        <w:t xml:space="preserve">: detalla los valores esperados a alcanzar, con su respectivo valor de comparación; </w:t>
      </w:r>
    </w:p>
    <w:p w14:paraId="770219A6"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Ámbito Geográfico</w:t>
      </w:r>
      <w:r w:rsidRPr="00476708">
        <w:rPr>
          <w:rFonts w:ascii="Palatino Linotype" w:eastAsia="Palatino Linotype" w:hAnsi="Palatino Linotype" w:cs="Palatino Linotype"/>
          <w:sz w:val="24"/>
          <w:szCs w:val="24"/>
        </w:rPr>
        <w:t xml:space="preserve">: área geográfica a la cual se afectará con los resultados del indicador; </w:t>
      </w:r>
    </w:p>
    <w:p w14:paraId="269EE4BA"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Cobertura</w:t>
      </w:r>
      <w:r w:rsidRPr="00476708">
        <w:rPr>
          <w:rFonts w:ascii="Palatino Linotype" w:eastAsia="Palatino Linotype" w:hAnsi="Palatino Linotype" w:cs="Palatino Linotype"/>
          <w:sz w:val="24"/>
          <w:szCs w:val="24"/>
        </w:rPr>
        <w:t xml:space="preserve">: población objetivo que se atiende mediante el Programa presupuestario; </w:t>
      </w:r>
    </w:p>
    <w:p w14:paraId="38B96AF1"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Meta anual y por periodo</w:t>
      </w:r>
      <w:r w:rsidRPr="00476708">
        <w:rPr>
          <w:rFonts w:ascii="Palatino Linotype" w:eastAsia="Palatino Linotype" w:hAnsi="Palatino Linotype" w:cs="Palatino Linotype"/>
          <w:sz w:val="24"/>
          <w:szCs w:val="24"/>
        </w:rPr>
        <w:t xml:space="preserve">: valor que deberá alcanzar el Indicador como resultado de la ejecución de un Programa presupuestario autorizado en el presupuesto respectivo. </w:t>
      </w:r>
    </w:p>
    <w:p w14:paraId="3C48824F" w14:textId="77777777" w:rsidR="002007DF" w:rsidRPr="00476708" w:rsidRDefault="002D1D62">
      <w:pPr>
        <w:spacing w:before="240" w:after="240" w:line="360" w:lineRule="auto"/>
        <w:ind w:left="284"/>
        <w:jc w:val="both"/>
        <w:rPr>
          <w:rFonts w:ascii="Palatino Linotype" w:eastAsia="Palatino Linotype" w:hAnsi="Palatino Linotype" w:cs="Palatino Linotype"/>
          <w:b/>
          <w:sz w:val="24"/>
          <w:szCs w:val="24"/>
          <w:u w:val="single"/>
        </w:rPr>
      </w:pPr>
      <w:r w:rsidRPr="00476708">
        <w:rPr>
          <w:rFonts w:ascii="Palatino Linotype" w:eastAsia="Palatino Linotype" w:hAnsi="Palatino Linotype" w:cs="Palatino Linotype"/>
          <w:b/>
          <w:sz w:val="24"/>
          <w:szCs w:val="24"/>
        </w:rPr>
        <w:t>h)</w:t>
      </w:r>
      <w:r w:rsidRPr="00476708">
        <w:rPr>
          <w:rFonts w:ascii="Palatino Linotype" w:eastAsia="Palatino Linotype" w:hAnsi="Palatino Linotype" w:cs="Palatino Linotype"/>
          <w:sz w:val="24"/>
          <w:szCs w:val="24"/>
        </w:rPr>
        <w:t xml:space="preserve"> Las MIR de los Programas presupuestarios </w:t>
      </w:r>
      <w:proofErr w:type="spellStart"/>
      <w:r w:rsidRPr="00476708">
        <w:rPr>
          <w:rFonts w:ascii="Palatino Linotype" w:eastAsia="Palatino Linotype" w:hAnsi="Palatino Linotype" w:cs="Palatino Linotype"/>
          <w:sz w:val="24"/>
          <w:szCs w:val="24"/>
        </w:rPr>
        <w:t>Pp</w:t>
      </w:r>
      <w:proofErr w:type="spellEnd"/>
      <w:r w:rsidRPr="00476708">
        <w:rPr>
          <w:rFonts w:ascii="Palatino Linotype" w:eastAsia="Palatino Linotype" w:hAnsi="Palatino Linotype" w:cs="Palatino Linotype"/>
          <w:sz w:val="24"/>
          <w:szCs w:val="24"/>
        </w:rPr>
        <w:t xml:space="preserve"> y las MIR transversales o en cascada de los proyectos y sus respectivos elementos, </w:t>
      </w:r>
      <w:r w:rsidRPr="00476708">
        <w:rPr>
          <w:rFonts w:ascii="Palatino Linotype" w:eastAsia="Palatino Linotype" w:hAnsi="Palatino Linotype" w:cs="Palatino Linotype"/>
          <w:b/>
          <w:sz w:val="24"/>
          <w:szCs w:val="24"/>
          <w:u w:val="single"/>
        </w:rPr>
        <w:t xml:space="preserve">deberán enviarse oficialmente a la Dirección General de Evaluación del Desempeño </w:t>
      </w:r>
      <w:r w:rsidRPr="00476708">
        <w:rPr>
          <w:rFonts w:ascii="Palatino Linotype" w:eastAsia="Palatino Linotype" w:hAnsi="Palatino Linotype" w:cs="Palatino Linotype"/>
          <w:b/>
          <w:sz w:val="24"/>
          <w:szCs w:val="24"/>
          <w:u w:val="single"/>
        </w:rPr>
        <w:lastRenderedPageBreak/>
        <w:t>Institucional</w:t>
      </w:r>
      <w:r w:rsidRPr="00476708">
        <w:rPr>
          <w:rFonts w:ascii="Palatino Linotype" w:eastAsia="Palatino Linotype" w:hAnsi="Palatino Linotype" w:cs="Palatino Linotype"/>
          <w:b/>
          <w:sz w:val="24"/>
          <w:szCs w:val="24"/>
        </w:rPr>
        <w:t xml:space="preserve"> </w:t>
      </w:r>
      <w:r w:rsidRPr="00476708">
        <w:rPr>
          <w:rFonts w:ascii="Palatino Linotype" w:eastAsia="Palatino Linotype" w:hAnsi="Palatino Linotype" w:cs="Palatino Linotype"/>
          <w:sz w:val="24"/>
          <w:szCs w:val="24"/>
        </w:rPr>
        <w:t xml:space="preserve">(anteriormente a Dirección de Evaluación del Desempeño), </w:t>
      </w:r>
      <w:r w:rsidRPr="00476708">
        <w:rPr>
          <w:rFonts w:ascii="Palatino Linotype" w:eastAsia="Palatino Linotype" w:hAnsi="Palatino Linotype" w:cs="Palatino Linotype"/>
          <w:b/>
          <w:sz w:val="24"/>
          <w:szCs w:val="24"/>
          <w:u w:val="single"/>
        </w:rPr>
        <w:t>para su análisis e inclusión en el Proyecto de Presupuesto del ejercicio fiscal respectivo.</w:t>
      </w:r>
    </w:p>
    <w:p w14:paraId="44BBD39C"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En este orden de ideas, se menciona que el Programa Anual, que es el documento donde se sustenta la asignación de recursos del Proyecto de Presupuesto de Egresos, se integra a través de los siguientes formatos:</w:t>
      </w:r>
    </w:p>
    <w:p w14:paraId="74B1E960"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PbR-01 a.- Programa Anual: Descripción del Proyecto por Unidad Ejecutora. </w:t>
      </w:r>
    </w:p>
    <w:p w14:paraId="685302AE"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PbR-01 b.- Programa Anual: Descripción del Proyecto por Unidad Responsable. </w:t>
      </w:r>
    </w:p>
    <w:p w14:paraId="539AC253"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PbR-02a.- Programa Anual: Metas de actividad por Proyecto y Unidad Ejecutora. </w:t>
      </w:r>
    </w:p>
    <w:p w14:paraId="731DC051"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PbR-02b.- Programa Anual: Metas de actividad por Proyecto y Unidad Responsable. </w:t>
      </w:r>
    </w:p>
    <w:p w14:paraId="5767DF48" w14:textId="77777777" w:rsidR="002007DF" w:rsidRPr="00476708" w:rsidRDefault="002D1D62">
      <w:pPr>
        <w:spacing w:before="240" w:after="240" w:line="360" w:lineRule="auto"/>
        <w:ind w:left="284"/>
        <w:jc w:val="both"/>
        <w:rPr>
          <w:rFonts w:ascii="Palatino Linotype" w:eastAsia="Palatino Linotype" w:hAnsi="Palatino Linotype" w:cs="Palatino Linotype"/>
          <w:b/>
          <w:sz w:val="24"/>
          <w:szCs w:val="24"/>
        </w:rPr>
      </w:pPr>
      <w:r w:rsidRPr="00476708">
        <w:rPr>
          <w:rFonts w:ascii="Palatino Linotype" w:eastAsia="Palatino Linotype" w:hAnsi="Palatino Linotype" w:cs="Palatino Linotype"/>
          <w:b/>
          <w:sz w:val="24"/>
          <w:szCs w:val="24"/>
        </w:rPr>
        <w:t xml:space="preserve">PbR-03a.- Programa Anual: Definición y Calendarizado de Indicadores Estratégicos y de Gestión por Programa presupuestario / Proyecto y Unidad Ejecutora. </w:t>
      </w:r>
    </w:p>
    <w:p w14:paraId="46EDB0BC" w14:textId="77777777" w:rsidR="002007DF" w:rsidRPr="00476708" w:rsidRDefault="002D1D62">
      <w:pPr>
        <w:spacing w:before="240" w:after="240" w:line="360" w:lineRule="auto"/>
        <w:ind w:left="284"/>
        <w:jc w:val="both"/>
        <w:rPr>
          <w:rFonts w:ascii="Palatino Linotype" w:eastAsia="Palatino Linotype" w:hAnsi="Palatino Linotype" w:cs="Palatino Linotype"/>
          <w:b/>
          <w:sz w:val="24"/>
          <w:szCs w:val="24"/>
          <w:u w:val="single"/>
        </w:rPr>
      </w:pPr>
      <w:r w:rsidRPr="00476708">
        <w:rPr>
          <w:rFonts w:ascii="Palatino Linotype" w:eastAsia="Palatino Linotype" w:hAnsi="Palatino Linotype" w:cs="Palatino Linotype"/>
          <w:b/>
          <w:sz w:val="24"/>
          <w:szCs w:val="24"/>
        </w:rPr>
        <w:t>PbR-03b.- Programa Anual</w:t>
      </w: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Matriz de indicadores para Resultados por Programa presupuestario y Unidad Responsable.</w:t>
      </w:r>
      <w:r w:rsidRPr="00476708">
        <w:rPr>
          <w:rFonts w:ascii="Palatino Linotype" w:eastAsia="Palatino Linotype" w:hAnsi="Palatino Linotype" w:cs="Palatino Linotype"/>
          <w:b/>
          <w:sz w:val="24"/>
          <w:szCs w:val="24"/>
          <w:u w:val="single"/>
        </w:rPr>
        <w:t xml:space="preserve"> </w:t>
      </w:r>
    </w:p>
    <w:p w14:paraId="27A2057F"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PbR-09a.- Calendarización de Metas de actividad por Proyecto y Unidad Ejecutora. </w:t>
      </w:r>
    </w:p>
    <w:p w14:paraId="0DB9B3E1"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PbR-09b.- Calendarización de Metas de actividad por Proyecto y Unidad Responsable.</w:t>
      </w:r>
    </w:p>
    <w:p w14:paraId="283670F1"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lastRenderedPageBreak/>
        <w:t xml:space="preserve">El llenado de los formatos </w:t>
      </w:r>
      <w:proofErr w:type="spellStart"/>
      <w:r w:rsidRPr="00476708">
        <w:rPr>
          <w:rFonts w:ascii="Palatino Linotype" w:eastAsia="Palatino Linotype" w:hAnsi="Palatino Linotype" w:cs="Palatino Linotype"/>
          <w:sz w:val="24"/>
          <w:szCs w:val="24"/>
        </w:rPr>
        <w:t>PbR</w:t>
      </w:r>
      <w:proofErr w:type="spellEnd"/>
      <w:r w:rsidRPr="00476708">
        <w:rPr>
          <w:rFonts w:ascii="Palatino Linotype" w:eastAsia="Palatino Linotype" w:hAnsi="Palatino Linotype" w:cs="Palatino Linotype"/>
          <w:sz w:val="24"/>
          <w:szCs w:val="24"/>
        </w:rPr>
        <w:t xml:space="preserve"> con letra "a" de cada par, son responsabilidad de las Unidades Ejecutoras, los cuales deberán ser revisados y validados por las Unidades de Información, Planeación, Programación y Evaluación (UIPPE).</w:t>
      </w:r>
    </w:p>
    <w:p w14:paraId="4B979BDA"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Por su parte, los formatos </w:t>
      </w:r>
      <w:proofErr w:type="spellStart"/>
      <w:r w:rsidRPr="00476708">
        <w:rPr>
          <w:rFonts w:ascii="Palatino Linotype" w:eastAsia="Palatino Linotype" w:hAnsi="Palatino Linotype" w:cs="Palatino Linotype"/>
          <w:sz w:val="24"/>
          <w:szCs w:val="24"/>
        </w:rPr>
        <w:t>PbR</w:t>
      </w:r>
      <w:proofErr w:type="spellEnd"/>
      <w:r w:rsidRPr="00476708">
        <w:rPr>
          <w:rFonts w:ascii="Palatino Linotype" w:eastAsia="Palatino Linotype" w:hAnsi="Palatino Linotype" w:cs="Palatino Linotype"/>
          <w:sz w:val="24"/>
          <w:szCs w:val="24"/>
        </w:rPr>
        <w:t xml:space="preserve"> con letra "b" presentan la información agregada correspondiente a la Unidad Responsable, su validación en cuanto al contenido es responsabilidad específica de las UIPPE, mismas que deberán verificar la congruencia con la información proporcionada por las Unidades Ejecutoras.</w:t>
      </w:r>
    </w:p>
    <w:p w14:paraId="1242CCEB"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Referente al llenado del formato </w:t>
      </w:r>
      <w:r w:rsidRPr="00476708">
        <w:rPr>
          <w:rFonts w:ascii="Palatino Linotype" w:eastAsia="Palatino Linotype" w:hAnsi="Palatino Linotype" w:cs="Palatino Linotype"/>
          <w:b/>
          <w:sz w:val="24"/>
          <w:szCs w:val="24"/>
        </w:rPr>
        <w:t>PbR-03a.- Programa Anual: Definición y Calendarizado de Indicadores Estratégicos y de Gestión por Programa presupuestario / Proyecto y Unidad Ejecutora,</w:t>
      </w:r>
      <w:r w:rsidRPr="00476708">
        <w:rPr>
          <w:rFonts w:ascii="Palatino Linotype" w:eastAsia="Palatino Linotype" w:hAnsi="Palatino Linotype" w:cs="Palatino Linotype"/>
          <w:sz w:val="24"/>
          <w:szCs w:val="24"/>
        </w:rPr>
        <w:t xml:space="preserve"> en dicho formato debe especificarse la programación anual para cada una de las variables involucradas en el indicador y la calendarización trimestral que corresponda, describiendo la meta </w:t>
      </w:r>
      <w:proofErr w:type="gramStart"/>
      <w:r w:rsidRPr="00476708">
        <w:rPr>
          <w:rFonts w:ascii="Palatino Linotype" w:eastAsia="Palatino Linotype" w:hAnsi="Palatino Linotype" w:cs="Palatino Linotype"/>
          <w:sz w:val="24"/>
          <w:szCs w:val="24"/>
        </w:rPr>
        <w:t>anual  del</w:t>
      </w:r>
      <w:proofErr w:type="gramEnd"/>
      <w:r w:rsidRPr="00476708">
        <w:rPr>
          <w:rFonts w:ascii="Palatino Linotype" w:eastAsia="Palatino Linotype" w:hAnsi="Palatino Linotype" w:cs="Palatino Linotype"/>
          <w:sz w:val="24"/>
          <w:szCs w:val="24"/>
        </w:rPr>
        <w:t xml:space="preserve"> indicador.</w:t>
      </w:r>
    </w:p>
    <w:p w14:paraId="27BC1B3B"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Los indicadores que se incluyan en el en el formato </w:t>
      </w:r>
      <w:r w:rsidRPr="00476708">
        <w:rPr>
          <w:rFonts w:ascii="Palatino Linotype" w:eastAsia="Palatino Linotype" w:hAnsi="Palatino Linotype" w:cs="Palatino Linotype"/>
          <w:b/>
          <w:sz w:val="24"/>
          <w:szCs w:val="24"/>
        </w:rPr>
        <w:t>PbR-03b Matriz de Indicadores para Resultados por Programa presupuestario y Unidad Responsable</w:t>
      </w:r>
      <w:r w:rsidRPr="00476708">
        <w:rPr>
          <w:rFonts w:ascii="Palatino Linotype" w:eastAsia="Palatino Linotype" w:hAnsi="Palatino Linotype" w:cs="Palatino Linotype"/>
          <w:sz w:val="24"/>
          <w:szCs w:val="24"/>
        </w:rPr>
        <w:t xml:space="preserve"> deben estar elaborados con base en la Metodología del Marco Lógico (MML), asimismo </w:t>
      </w:r>
      <w:r w:rsidRPr="00476708">
        <w:rPr>
          <w:rFonts w:ascii="Palatino Linotype" w:eastAsia="Palatino Linotype" w:hAnsi="Palatino Linotype" w:cs="Palatino Linotype"/>
          <w:b/>
          <w:sz w:val="24"/>
          <w:szCs w:val="24"/>
        </w:rPr>
        <w:t xml:space="preserve">deben tener una fórmula de cálculo (numerador, denominador y factor de escala) y contarán con su respectivo Objetivo o Resumen narrativo, Medios de verificación y supuestos; </w:t>
      </w:r>
      <w:r w:rsidRPr="00476708">
        <w:rPr>
          <w:rFonts w:ascii="Palatino Linotype" w:eastAsia="Palatino Linotype" w:hAnsi="Palatino Linotype" w:cs="Palatino Linotype"/>
          <w:sz w:val="24"/>
          <w:szCs w:val="24"/>
        </w:rPr>
        <w:t>estos indicadores formarán parte del Sistema de Planeación y Presupuesto (SPP) en su apartado del Sistema Integral de Evaluación del Desempeño (SIED).</w:t>
      </w:r>
    </w:p>
    <w:p w14:paraId="766D6153"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lastRenderedPageBreak/>
        <w:t>Cabe mencionar que la disposición Tercera, numerales 18 y 19 de los Lineamientos Generales para la Evaluación de los Programas Presupuestarios del Gobierno del Estado de México, definen al Sistema Integral de Evaluación del Desempeño y al Sistema de Planeación y Presupuesto, se cómo a continuación se señala:</w:t>
      </w:r>
    </w:p>
    <w:p w14:paraId="5D3BA483" w14:textId="77777777" w:rsidR="002007DF" w:rsidRPr="00476708" w:rsidRDefault="002D1D62">
      <w:pPr>
        <w:spacing w:before="120" w:after="120" w:line="240" w:lineRule="auto"/>
        <w:ind w:left="851" w:right="902"/>
        <w:jc w:val="both"/>
        <w:rPr>
          <w:rFonts w:ascii="Palatino Linotype" w:eastAsia="Palatino Linotype" w:hAnsi="Palatino Linotype" w:cs="Palatino Linotype"/>
          <w:i/>
        </w:rPr>
      </w:pPr>
      <w:r w:rsidRPr="00476708">
        <w:rPr>
          <w:rFonts w:ascii="Palatino Linotype" w:eastAsia="Palatino Linotype" w:hAnsi="Palatino Linotype" w:cs="Palatino Linotype"/>
          <w:i/>
        </w:rPr>
        <w:t>“</w:t>
      </w:r>
      <w:r w:rsidRPr="00476708">
        <w:rPr>
          <w:rFonts w:ascii="Palatino Linotype" w:eastAsia="Palatino Linotype" w:hAnsi="Palatino Linotype" w:cs="Palatino Linotype"/>
          <w:b/>
          <w:i/>
        </w:rPr>
        <w:t>TERCERA</w:t>
      </w:r>
      <w:r w:rsidRPr="00476708">
        <w:rPr>
          <w:rFonts w:ascii="Palatino Linotype" w:eastAsia="Palatino Linotype" w:hAnsi="Palatino Linotype" w:cs="Palatino Linotype"/>
          <w:i/>
        </w:rPr>
        <w:t>. - Para los efectos de los presentes lineamientos, se entenderá por:</w:t>
      </w:r>
    </w:p>
    <w:p w14:paraId="54231D11" w14:textId="77777777" w:rsidR="002007DF" w:rsidRPr="00476708" w:rsidRDefault="002D1D62">
      <w:pPr>
        <w:spacing w:before="120" w:after="120" w:line="240" w:lineRule="auto"/>
        <w:ind w:left="1134" w:right="902"/>
        <w:jc w:val="both"/>
        <w:rPr>
          <w:rFonts w:ascii="Palatino Linotype" w:eastAsia="Palatino Linotype" w:hAnsi="Palatino Linotype" w:cs="Palatino Linotype"/>
          <w:i/>
        </w:rPr>
      </w:pPr>
      <w:r w:rsidRPr="00476708">
        <w:rPr>
          <w:rFonts w:ascii="Palatino Linotype" w:eastAsia="Palatino Linotype" w:hAnsi="Palatino Linotype" w:cs="Palatino Linotype"/>
          <w:b/>
          <w:i/>
        </w:rPr>
        <w:t>18) SIED</w:t>
      </w:r>
      <w:r w:rsidRPr="00476708">
        <w:rPr>
          <w:rFonts w:ascii="Palatino Linotype" w:eastAsia="Palatino Linotype" w:hAnsi="Palatino Linotype" w:cs="Palatino Linotype"/>
          <w:i/>
        </w:rPr>
        <w:t xml:space="preserve">: Al </w:t>
      </w:r>
      <w:r w:rsidRPr="00476708">
        <w:rPr>
          <w:rFonts w:ascii="Palatino Linotype" w:eastAsia="Palatino Linotype" w:hAnsi="Palatino Linotype" w:cs="Palatino Linotype"/>
          <w:b/>
          <w:i/>
        </w:rPr>
        <w:t>Sistema Integral de Evaluación del Desempeño</w:t>
      </w:r>
      <w:r w:rsidRPr="00476708">
        <w:rPr>
          <w:rFonts w:ascii="Palatino Linotype" w:eastAsia="Palatino Linotype" w:hAnsi="Palatino Linotype" w:cs="Palatino Linotype"/>
          <w:i/>
        </w:rPr>
        <w:t xml:space="preserve">, que es la herramienta automatizada del proceso integral de planeación estratégica que </w:t>
      </w:r>
      <w:r w:rsidRPr="00476708">
        <w:rPr>
          <w:rFonts w:ascii="Palatino Linotype" w:eastAsia="Palatino Linotype" w:hAnsi="Palatino Linotype" w:cs="Palatino Linotype"/>
          <w:b/>
          <w:i/>
        </w:rPr>
        <w:t>permite evaluar el desempeño gubernamental</w:t>
      </w:r>
      <w:r w:rsidRPr="00476708">
        <w:rPr>
          <w:rFonts w:ascii="Palatino Linotype" w:eastAsia="Palatino Linotype" w:hAnsi="Palatino Linotype" w:cs="Palatino Linotype"/>
          <w:i/>
        </w:rPr>
        <w:t xml:space="preserve"> en la ejecución de políticas públicas, para mejorar la toma de decisiones, </w:t>
      </w:r>
      <w:r w:rsidRPr="00476708">
        <w:rPr>
          <w:rFonts w:ascii="Palatino Linotype" w:eastAsia="Palatino Linotype" w:hAnsi="Palatino Linotype" w:cs="Palatino Linotype"/>
          <w:b/>
          <w:i/>
        </w:rPr>
        <w:t>mediante el monitoreo y seguimiento de los indicadores estratégicos y de gestión;</w:t>
      </w:r>
    </w:p>
    <w:p w14:paraId="621EE918" w14:textId="77777777" w:rsidR="002007DF" w:rsidRPr="00476708" w:rsidRDefault="002D1D62">
      <w:pPr>
        <w:spacing w:before="120" w:after="120" w:line="240" w:lineRule="auto"/>
        <w:ind w:left="1134" w:right="902"/>
        <w:jc w:val="both"/>
        <w:rPr>
          <w:rFonts w:ascii="Palatino Linotype" w:eastAsia="Palatino Linotype" w:hAnsi="Palatino Linotype" w:cs="Palatino Linotype"/>
          <w:i/>
        </w:rPr>
      </w:pPr>
      <w:r w:rsidRPr="00476708">
        <w:rPr>
          <w:rFonts w:ascii="Palatino Linotype" w:eastAsia="Palatino Linotype" w:hAnsi="Palatino Linotype" w:cs="Palatino Linotype"/>
          <w:b/>
          <w:i/>
        </w:rPr>
        <w:t>19) SPP:</w:t>
      </w:r>
      <w:r w:rsidRPr="00476708">
        <w:rPr>
          <w:rFonts w:ascii="Palatino Linotype" w:eastAsia="Palatino Linotype" w:hAnsi="Palatino Linotype" w:cs="Palatino Linotype"/>
          <w:i/>
        </w:rPr>
        <w:t xml:space="preserve"> Al </w:t>
      </w:r>
      <w:r w:rsidRPr="00476708">
        <w:rPr>
          <w:rFonts w:ascii="Palatino Linotype" w:eastAsia="Palatino Linotype" w:hAnsi="Palatino Linotype" w:cs="Palatino Linotype"/>
          <w:b/>
          <w:i/>
        </w:rPr>
        <w:t>Sistema de Planeación y Presupuesto</w:t>
      </w:r>
      <w:r w:rsidRPr="00476708">
        <w:rPr>
          <w:rFonts w:ascii="Palatino Linotype" w:eastAsia="Palatino Linotype" w:hAnsi="Palatino Linotype" w:cs="Palatino Linotype"/>
          <w:i/>
        </w:rPr>
        <w:t xml:space="preserve">; que es la herramienta informática del Sistema de Planeación Democrática para el Desarrollo del Estado de México, </w:t>
      </w:r>
      <w:r w:rsidRPr="00476708">
        <w:rPr>
          <w:rFonts w:ascii="Palatino Linotype" w:eastAsia="Palatino Linotype" w:hAnsi="Palatino Linotype" w:cs="Palatino Linotype"/>
          <w:b/>
          <w:i/>
        </w:rPr>
        <w:t>que integra la asignación de recursos a nivel de proyecto de los Programas presupuestarios</w:t>
      </w:r>
      <w:r w:rsidRPr="00476708">
        <w:rPr>
          <w:rFonts w:ascii="Palatino Linotype" w:eastAsia="Palatino Linotype" w:hAnsi="Palatino Linotype" w:cs="Palatino Linotype"/>
          <w:i/>
        </w:rPr>
        <w:t xml:space="preserve">; </w:t>
      </w:r>
      <w:r w:rsidRPr="00476708">
        <w:rPr>
          <w:rFonts w:ascii="Palatino Linotype" w:eastAsia="Palatino Linotype" w:hAnsi="Palatino Linotype" w:cs="Palatino Linotype"/>
          <w:b/>
          <w:i/>
        </w:rPr>
        <w:t>el vínculo del ejercicio de gasto público con el Plan de Desarrollo del Estado de México, y permite registrar el diseño y operación de los Programas presupuestarios y la gestión de las instituciones, así como el proceso presupuestario con base en los resultados obtenidos mediante la organización estructurada de información sobre metas de actividad e indicadores estratégicos y de gestión</w:t>
      </w:r>
      <w:r w:rsidRPr="00476708">
        <w:rPr>
          <w:rFonts w:ascii="Palatino Linotype" w:eastAsia="Palatino Linotype" w:hAnsi="Palatino Linotype" w:cs="Palatino Linotype"/>
          <w:i/>
        </w:rPr>
        <w:t>, que proveen evidencia y elementos objetivos para la toma de decisiones;”</w:t>
      </w:r>
    </w:p>
    <w:p w14:paraId="56E12857"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Respecto de la evaluación, la disposición Décima </w:t>
      </w:r>
      <w:r w:rsidR="008F4A52" w:rsidRPr="00476708">
        <w:rPr>
          <w:rFonts w:ascii="Palatino Linotype" w:eastAsia="Palatino Linotype" w:hAnsi="Palatino Linotype" w:cs="Palatino Linotype"/>
          <w:sz w:val="24"/>
          <w:szCs w:val="24"/>
        </w:rPr>
        <w:t>cuarta</w:t>
      </w:r>
      <w:r w:rsidRPr="00476708">
        <w:rPr>
          <w:rFonts w:ascii="Palatino Linotype" w:eastAsia="Palatino Linotype" w:hAnsi="Palatino Linotype" w:cs="Palatino Linotype"/>
          <w:sz w:val="24"/>
          <w:szCs w:val="24"/>
        </w:rPr>
        <w:t xml:space="preserve"> de los Lineamientos Generales para la Evaluación de los Programas Presupuestarios, señala que en el apartado del SIED, se aplican los siguientes tipos de evaluación, </w:t>
      </w:r>
    </w:p>
    <w:p w14:paraId="16D57DA8"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b/>
        </w:rPr>
        <w:t>1</w:t>
      </w:r>
      <w:r w:rsidRPr="00476708">
        <w:rPr>
          <w:rFonts w:ascii="Palatino Linotype" w:eastAsia="Palatino Linotype" w:hAnsi="Palatino Linotype" w:cs="Palatino Linotype"/>
          <w:b/>
          <w:sz w:val="24"/>
          <w:szCs w:val="24"/>
        </w:rPr>
        <w:t>.- Evaluación de Programas presupuestarios</w:t>
      </w:r>
      <w:r w:rsidRPr="00476708">
        <w:rPr>
          <w:rFonts w:ascii="Palatino Linotype" w:eastAsia="Palatino Linotype" w:hAnsi="Palatino Linotype" w:cs="Palatino Linotype"/>
          <w:sz w:val="24"/>
          <w:szCs w:val="24"/>
        </w:rPr>
        <w:t xml:space="preserve">: se dividen en: </w:t>
      </w:r>
    </w:p>
    <w:p w14:paraId="174246AA"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a) Evaluación del Diseño Programático</w:t>
      </w:r>
      <w:r w:rsidRPr="00476708">
        <w:rPr>
          <w:rFonts w:ascii="Palatino Linotype" w:eastAsia="Palatino Linotype" w:hAnsi="Palatino Linotype" w:cs="Palatino Linotype"/>
          <w:sz w:val="24"/>
          <w:szCs w:val="24"/>
        </w:rPr>
        <w:t xml:space="preserve">: Analiza sistemáticamente el diseño y desempeño global de los programas, para mejorar su gestión y medir el logro de sus resultados con base en la Matriz de Indicadores para Resultados; </w:t>
      </w:r>
    </w:p>
    <w:p w14:paraId="649D96D0"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lastRenderedPageBreak/>
        <w:t>b) Evaluación de Consistencia y Resultados</w:t>
      </w:r>
      <w:r w:rsidRPr="00476708">
        <w:rPr>
          <w:rFonts w:ascii="Palatino Linotype" w:eastAsia="Palatino Linotype" w:hAnsi="Palatino Linotype" w:cs="Palatino Linotype"/>
          <w:sz w:val="24"/>
          <w:szCs w:val="24"/>
        </w:rPr>
        <w:t xml:space="preserve">: Analiza el diseño, operación y medición de los resultados de un Programa presupuestario de manera general, identificando áreas de mejora en cualquiera de los aspectos analizados; </w:t>
      </w:r>
    </w:p>
    <w:p w14:paraId="0CAF861A"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c) Evaluación de Procesos:</w:t>
      </w:r>
      <w:r w:rsidRPr="00476708">
        <w:rPr>
          <w:rFonts w:ascii="Palatino Linotype" w:eastAsia="Palatino Linotype" w:hAnsi="Palatino Linotype" w:cs="Palatino Linotype"/>
          <w:sz w:val="24"/>
          <w:szCs w:val="24"/>
        </w:rPr>
        <w:t xml:space="preserve"> Analiza mediante trabajo de campo, si el programa lleva a cabo sus procesos operativos de manera eficaz y eficiente, y si contribuye al mejoramiento de la gestión; </w:t>
      </w:r>
    </w:p>
    <w:p w14:paraId="44B8536F"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xml:space="preserve">d) Evaluación de Impacto: Identifica </w:t>
      </w:r>
      <w:r w:rsidRPr="00476708">
        <w:rPr>
          <w:rFonts w:ascii="Palatino Linotype" w:eastAsia="Palatino Linotype" w:hAnsi="Palatino Linotype" w:cs="Palatino Linotype"/>
          <w:sz w:val="24"/>
          <w:szCs w:val="24"/>
        </w:rPr>
        <w:t>el cambio en los indicadores a nivel de resultados, atribuible a la ejecución del Programa presupuestario;</w:t>
      </w:r>
    </w:p>
    <w:p w14:paraId="6E65A7CE"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e) Evaluación Específica de Desempeño</w:t>
      </w:r>
      <w:r w:rsidRPr="00476708">
        <w:rPr>
          <w:rFonts w:ascii="Palatino Linotype" w:eastAsia="Palatino Linotype" w:hAnsi="Palatino Linotype" w:cs="Palatino Linotype"/>
          <w:sz w:val="24"/>
          <w:szCs w:val="24"/>
        </w:rPr>
        <w:t xml:space="preserve">: Identifica el avance en el cumplimiento de los objetivos y metas establecidas en un Programa presupuestario, mediante el análisis de indicadores de resultados, de servicios y de gestión de los programas sociales; </w:t>
      </w:r>
    </w:p>
    <w:p w14:paraId="4CE38BE9" w14:textId="77777777" w:rsidR="002007DF" w:rsidRPr="00476708" w:rsidRDefault="002D1D62">
      <w:pPr>
        <w:spacing w:before="240" w:after="240" w:line="360" w:lineRule="auto"/>
        <w:ind w:left="567"/>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 xml:space="preserve">f) Evaluación Específica: </w:t>
      </w:r>
      <w:r w:rsidRPr="00476708">
        <w:rPr>
          <w:rFonts w:ascii="Palatino Linotype" w:eastAsia="Palatino Linotype" w:hAnsi="Palatino Linotype" w:cs="Palatino Linotype"/>
          <w:sz w:val="24"/>
          <w:szCs w:val="24"/>
        </w:rPr>
        <w:t>Aquellas evaluaciones no comprendidas en los presentes lineamientos, y que se realizarán mediante trabajo de administración y/o de campo, y</w:t>
      </w:r>
    </w:p>
    <w:p w14:paraId="507B5012" w14:textId="77777777" w:rsidR="002007DF" w:rsidRPr="00476708" w:rsidRDefault="002D1D62">
      <w:pPr>
        <w:spacing w:before="240" w:after="240" w:line="360" w:lineRule="auto"/>
        <w:ind w:left="284"/>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2. Evaluaciones Estratégicas del Desempeño Institucional</w:t>
      </w:r>
      <w:r w:rsidRPr="00476708">
        <w:rPr>
          <w:rFonts w:ascii="Palatino Linotype" w:eastAsia="Palatino Linotype" w:hAnsi="Palatino Linotype" w:cs="Palatino Linotype"/>
          <w:sz w:val="24"/>
          <w:szCs w:val="24"/>
        </w:rPr>
        <w:t xml:space="preserve">: Las evaluaciones que se aplican a un programa o conjunto de programas en torno a las estrategias, políticas e instituciones. </w:t>
      </w:r>
    </w:p>
    <w:p w14:paraId="25BBA7FE"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Asimismo, se indica que las evaluaciones se llevarán a cabo por </w:t>
      </w:r>
      <w:proofErr w:type="spellStart"/>
      <w:r w:rsidRPr="00476708">
        <w:rPr>
          <w:rFonts w:ascii="Palatino Linotype" w:eastAsia="Palatino Linotype" w:hAnsi="Palatino Linotype" w:cs="Palatino Linotype"/>
          <w:sz w:val="24"/>
          <w:szCs w:val="24"/>
        </w:rPr>
        <w:t>si</w:t>
      </w:r>
      <w:proofErr w:type="spellEnd"/>
      <w:r w:rsidRPr="00476708">
        <w:rPr>
          <w:rFonts w:ascii="Palatino Linotype" w:eastAsia="Palatino Linotype" w:hAnsi="Palatino Linotype" w:cs="Palatino Linotype"/>
          <w:sz w:val="24"/>
          <w:szCs w:val="24"/>
        </w:rPr>
        <w:t xml:space="preserve"> mismos –sujetos evaluados- o a través de la Dirección General de Evaluación del</w:t>
      </w:r>
      <w:r w:rsidR="008F4A52"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sz w:val="24"/>
          <w:szCs w:val="24"/>
        </w:rPr>
        <w:t xml:space="preserve">Desempeño </w:t>
      </w:r>
      <w:r w:rsidRPr="00476708">
        <w:rPr>
          <w:rFonts w:ascii="Palatino Linotype" w:eastAsia="Palatino Linotype" w:hAnsi="Palatino Linotype" w:cs="Palatino Linotype"/>
          <w:sz w:val="24"/>
          <w:szCs w:val="24"/>
        </w:rPr>
        <w:lastRenderedPageBreak/>
        <w:t xml:space="preserve">Institucional de la Secretaría de Finanzas, y, excepcionalmente se podrá hacer a través de Evaluadores Externos, ya sean personas físicas o morales especializadas, con experiencia probada en la materia que corresponda evaluar, que cumplan con los requisitos de independencia, imparcialidad, transparencia y los demás que se establezcan en las disposiciones aplicables; con cargo al presupuesto del sujeto evaluado responsable del Programa presupuestario a evaluar, previo visto bueno de la Dirección de Evaluación del Desempeño, o por el Consejo de Investigación y Evaluación de la Política Social (CIEPS) en el ámbito de su competencia y cuando éste así lo determine. </w:t>
      </w:r>
    </w:p>
    <w:p w14:paraId="2B2892DE"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u w:val="single"/>
        </w:rPr>
        <w:t>La evaluación de los programas y sus resultados forma parte del Sistema Integral de Evaluación del Desempeño</w:t>
      </w:r>
      <w:r w:rsidRPr="00476708">
        <w:rPr>
          <w:rFonts w:ascii="Palatino Linotype" w:eastAsia="Palatino Linotype" w:hAnsi="Palatino Linotype" w:cs="Palatino Linotype"/>
          <w:sz w:val="24"/>
          <w:szCs w:val="24"/>
        </w:rPr>
        <w:t>, asimismo, los hallazgos y resultados de la evaluación se articularán invariablemente a la planeación y el proceso presupuestario mediante el Convenio para la mejora del Desempeño y Resultados Gubernamentales correspondiente.</w:t>
      </w:r>
    </w:p>
    <w:p w14:paraId="4E970F16" w14:textId="77777777" w:rsidR="00BC128A" w:rsidRPr="00476708" w:rsidRDefault="00BC128A">
      <w:pPr>
        <w:spacing w:before="240" w:after="240" w:line="360" w:lineRule="auto"/>
        <w:jc w:val="both"/>
        <w:rPr>
          <w:rFonts w:ascii="Palatino Linotype" w:hAnsi="Palatino Linotype"/>
          <w:sz w:val="24"/>
          <w:szCs w:val="24"/>
        </w:rPr>
      </w:pPr>
      <w:r w:rsidRPr="00476708">
        <w:rPr>
          <w:rFonts w:ascii="Palatino Linotype" w:hAnsi="Palatino Linotype"/>
          <w:sz w:val="24"/>
          <w:szCs w:val="24"/>
        </w:rPr>
        <w:t xml:space="preserve">En lo correspondiente a la ejecución del Programa Anual, el Manual para la formulación del Anteproyecto del Presupuesto de Egresos del Gobierno del Estado de México del ejercicio 2020, establece que </w:t>
      </w:r>
      <w:r w:rsidRPr="00476708">
        <w:rPr>
          <w:rFonts w:ascii="Palatino Linotype" w:hAnsi="Palatino Linotype"/>
          <w:b/>
          <w:sz w:val="24"/>
          <w:szCs w:val="24"/>
          <w:u w:val="single"/>
        </w:rPr>
        <w:t>los formatos que permitirán evidenciar el cumplimiento de las actividades, objetivos y el desempeño presupuestal</w:t>
      </w:r>
      <w:r w:rsidRPr="00476708">
        <w:rPr>
          <w:rFonts w:ascii="Palatino Linotype" w:hAnsi="Palatino Linotype"/>
          <w:sz w:val="24"/>
          <w:szCs w:val="24"/>
        </w:rPr>
        <w:t xml:space="preserve"> son los siguientes:</w:t>
      </w:r>
    </w:p>
    <w:p w14:paraId="142AA0ED" w14:textId="77777777" w:rsidR="00BC128A" w:rsidRPr="00476708" w:rsidRDefault="00BC128A" w:rsidP="00BC128A">
      <w:pPr>
        <w:spacing w:before="240" w:after="240" w:line="360" w:lineRule="auto"/>
        <w:jc w:val="center"/>
        <w:rPr>
          <w:rFonts w:ascii="Palatino Linotype" w:eastAsia="Palatino Linotype" w:hAnsi="Palatino Linotype" w:cs="Palatino Linotype"/>
          <w:sz w:val="24"/>
          <w:szCs w:val="24"/>
        </w:rPr>
      </w:pPr>
      <w:r w:rsidRPr="00476708">
        <w:rPr>
          <w:rFonts w:ascii="Palatino Linotype" w:eastAsia="Palatino Linotype" w:hAnsi="Palatino Linotype" w:cs="Palatino Linotype"/>
          <w:noProof/>
          <w:sz w:val="24"/>
          <w:szCs w:val="24"/>
        </w:rPr>
        <w:lastRenderedPageBreak/>
        <w:drawing>
          <wp:inline distT="0" distB="0" distL="0" distR="0" wp14:anchorId="5A07D8CC" wp14:editId="7A14E5D2">
            <wp:extent cx="4839375" cy="16194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9375" cy="1619476"/>
                    </a:xfrm>
                    <a:prstGeom prst="rect">
                      <a:avLst/>
                    </a:prstGeom>
                  </pic:spPr>
                </pic:pic>
              </a:graphicData>
            </a:graphic>
          </wp:inline>
        </w:drawing>
      </w:r>
    </w:p>
    <w:p w14:paraId="426C6715" w14:textId="77777777" w:rsidR="00BC128A" w:rsidRPr="00476708" w:rsidRDefault="00BC128A">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Como se advierte, en lo referente al informe de indicadores estratégicos y de gestión se utiliza el formato PbR-15 Ficha técnica de Dise</w:t>
      </w:r>
      <w:r w:rsidR="00007E61" w:rsidRPr="00476708">
        <w:rPr>
          <w:rFonts w:ascii="Palatino Linotype" w:eastAsia="Palatino Linotype" w:hAnsi="Palatino Linotype" w:cs="Palatino Linotype"/>
          <w:sz w:val="24"/>
          <w:szCs w:val="24"/>
        </w:rPr>
        <w:t>ño y Seguimiento de Indicadores, para el seguimiento y evaluación de los mismos.</w:t>
      </w:r>
    </w:p>
    <w:p w14:paraId="53BB794E" w14:textId="77777777" w:rsidR="00E07EF4" w:rsidRPr="00476708" w:rsidRDefault="00214797" w:rsidP="00E07EF4">
      <w:pPr>
        <w:spacing w:before="240" w:after="240" w:line="360" w:lineRule="auto"/>
        <w:jc w:val="both"/>
        <w:rPr>
          <w:rFonts w:ascii="Palatino Linotype" w:eastAsia="Palatino Linotype" w:hAnsi="Palatino Linotype" w:cs="Palatino Linotype"/>
          <w:b/>
          <w:sz w:val="24"/>
          <w:szCs w:val="24"/>
          <w:u w:val="single"/>
        </w:rPr>
      </w:pPr>
      <w:r w:rsidRPr="00476708">
        <w:rPr>
          <w:rFonts w:ascii="Palatino Linotype" w:eastAsia="Palatino Linotype" w:hAnsi="Palatino Linotype" w:cs="Palatino Linotype"/>
          <w:sz w:val="24"/>
          <w:szCs w:val="24"/>
        </w:rPr>
        <w:t>En el mismo tenor</w:t>
      </w:r>
      <w:r w:rsidR="00E07EF4" w:rsidRPr="00476708">
        <w:rPr>
          <w:rFonts w:ascii="Palatino Linotype" w:eastAsia="Palatino Linotype" w:hAnsi="Palatino Linotype" w:cs="Palatino Linotype"/>
          <w:sz w:val="24"/>
          <w:szCs w:val="24"/>
        </w:rPr>
        <w:t>, se men</w:t>
      </w:r>
      <w:r w:rsidR="004E5F3B" w:rsidRPr="00476708">
        <w:rPr>
          <w:rFonts w:ascii="Palatino Linotype" w:eastAsia="Palatino Linotype" w:hAnsi="Palatino Linotype" w:cs="Palatino Linotype"/>
          <w:sz w:val="24"/>
          <w:szCs w:val="24"/>
        </w:rPr>
        <w:t>ciona que de conformidad con</w:t>
      </w:r>
      <w:r w:rsidR="00E07EF4" w:rsidRPr="00476708">
        <w:rPr>
          <w:rFonts w:ascii="Palatino Linotype" w:eastAsia="Palatino Linotype" w:hAnsi="Palatino Linotype" w:cs="Palatino Linotype"/>
          <w:sz w:val="24"/>
          <w:szCs w:val="24"/>
        </w:rPr>
        <w:t xml:space="preserve"> las disposiciones Décima sexta y Décima octava de Lineamientos Generales para la Evaluación de Programas Presupuestarios del Gobierno del Estado de México, los sujetos evaluados</w:t>
      </w:r>
      <w:r w:rsidR="009875ED" w:rsidRPr="00476708">
        <w:rPr>
          <w:rFonts w:ascii="Palatino Linotype" w:eastAsia="Palatino Linotype" w:hAnsi="Palatino Linotype" w:cs="Palatino Linotype"/>
          <w:sz w:val="24"/>
          <w:szCs w:val="24"/>
        </w:rPr>
        <w:t xml:space="preserve"> deben enviar a la Dirección General de Evaluación del Desempeño Institucional un informe trimestral,</w:t>
      </w:r>
      <w:r w:rsidR="009875ED" w:rsidRPr="00476708">
        <w:rPr>
          <w:rFonts w:ascii="Palatino Linotype" w:eastAsia="Palatino Linotype" w:hAnsi="Palatino Linotype" w:cs="Palatino Linotype"/>
          <w:b/>
          <w:sz w:val="24"/>
          <w:szCs w:val="24"/>
        </w:rPr>
        <w:t xml:space="preserve"> </w:t>
      </w:r>
      <w:r w:rsidR="009875ED" w:rsidRPr="00476708">
        <w:rPr>
          <w:rFonts w:ascii="Palatino Linotype" w:eastAsia="Palatino Linotype" w:hAnsi="Palatino Linotype" w:cs="Palatino Linotype"/>
          <w:sz w:val="24"/>
          <w:szCs w:val="24"/>
        </w:rPr>
        <w:t xml:space="preserve">dentro de los primeros diez días hábiles concluido el trimestre, que </w:t>
      </w:r>
      <w:r w:rsidR="009875ED" w:rsidRPr="00476708">
        <w:rPr>
          <w:rFonts w:ascii="Palatino Linotype" w:eastAsia="Palatino Linotype" w:hAnsi="Palatino Linotype" w:cs="Palatino Linotype"/>
          <w:b/>
          <w:sz w:val="24"/>
          <w:szCs w:val="24"/>
          <w:u w:val="single"/>
        </w:rPr>
        <w:t xml:space="preserve">debe acompañarse de la evidencia que sustente el progreso del </w:t>
      </w:r>
      <w:r w:rsidR="009875ED" w:rsidRPr="00476708">
        <w:rPr>
          <w:rFonts w:ascii="Palatino Linotype" w:hAnsi="Palatino Linotype"/>
          <w:sz w:val="24"/>
          <w:szCs w:val="24"/>
        </w:rPr>
        <w:t>avance registrado en términos de porcentaje,</w:t>
      </w:r>
      <w:r w:rsidR="009875ED" w:rsidRPr="00476708">
        <w:rPr>
          <w:rFonts w:ascii="Palatino Linotype" w:eastAsia="Palatino Linotype" w:hAnsi="Palatino Linotype" w:cs="Palatino Linotype"/>
          <w:b/>
          <w:sz w:val="24"/>
          <w:szCs w:val="24"/>
          <w:u w:val="single"/>
        </w:rPr>
        <w:t xml:space="preserve"> </w:t>
      </w:r>
      <w:r w:rsidR="00E07EF4" w:rsidRPr="00476708">
        <w:rPr>
          <w:rFonts w:ascii="Palatino Linotype" w:eastAsia="Palatino Linotype" w:hAnsi="Palatino Linotype" w:cs="Palatino Linotype"/>
          <w:sz w:val="24"/>
          <w:szCs w:val="24"/>
        </w:rPr>
        <w:t>como se lee enseguida:</w:t>
      </w:r>
    </w:p>
    <w:p w14:paraId="5A2975A8" w14:textId="77777777" w:rsidR="008F4A52" w:rsidRPr="00476708" w:rsidRDefault="008F4A52" w:rsidP="008F4A52">
      <w:pPr>
        <w:spacing w:before="120" w:after="120" w:line="240" w:lineRule="auto"/>
        <w:ind w:left="851" w:right="760"/>
        <w:jc w:val="both"/>
        <w:rPr>
          <w:rFonts w:ascii="Palatino Linotype" w:hAnsi="Palatino Linotype"/>
          <w:i/>
        </w:rPr>
      </w:pPr>
      <w:r w:rsidRPr="00476708">
        <w:rPr>
          <w:rFonts w:ascii="Palatino Linotype" w:hAnsi="Palatino Linotype"/>
          <w:i/>
        </w:rPr>
        <w:t>“</w:t>
      </w:r>
      <w:r w:rsidRPr="00476708">
        <w:rPr>
          <w:rFonts w:ascii="Palatino Linotype" w:hAnsi="Palatino Linotype"/>
          <w:b/>
          <w:i/>
        </w:rPr>
        <w:t>DECIMA SEXTA</w:t>
      </w:r>
      <w:r w:rsidRPr="00476708">
        <w:rPr>
          <w:rFonts w:ascii="Palatino Linotype" w:hAnsi="Palatino Linotype"/>
          <w:i/>
        </w:rPr>
        <w:t xml:space="preserve">. - La evaluación de los programas presupuestarios deberá realizarse conforme a los estándares normativos, mediante trabajo de administración; </w:t>
      </w:r>
      <w:r w:rsidRPr="00476708">
        <w:rPr>
          <w:rFonts w:ascii="Palatino Linotype" w:hAnsi="Palatino Linotype"/>
          <w:b/>
          <w:i/>
          <w:u w:val="single"/>
        </w:rPr>
        <w:t>el cual integrará el informe correspondiente</w:t>
      </w:r>
      <w:r w:rsidRPr="00476708">
        <w:rPr>
          <w:rFonts w:ascii="Palatino Linotype" w:hAnsi="Palatino Linotype"/>
          <w:i/>
        </w:rPr>
        <w:t xml:space="preserve"> que contendrá un análisis, conforme a los siguientes criterios:</w:t>
      </w:r>
    </w:p>
    <w:p w14:paraId="0393A373" w14:textId="77777777" w:rsidR="008F4A52" w:rsidRPr="00476708" w:rsidRDefault="008F4A52" w:rsidP="00BC128A">
      <w:pPr>
        <w:tabs>
          <w:tab w:val="left" w:pos="1134"/>
        </w:tabs>
        <w:spacing w:before="120" w:after="120" w:line="240" w:lineRule="auto"/>
        <w:ind w:left="1134" w:right="760"/>
        <w:jc w:val="both"/>
        <w:rPr>
          <w:rFonts w:ascii="Palatino Linotype" w:hAnsi="Palatino Linotype"/>
          <w:b/>
          <w:i/>
        </w:rPr>
      </w:pPr>
      <w:r w:rsidRPr="00476708">
        <w:rPr>
          <w:rFonts w:ascii="Palatino Linotype" w:hAnsi="Palatino Linotype"/>
          <w:b/>
          <w:i/>
        </w:rPr>
        <w:t xml:space="preserve">1) En materia de Diseño Programático: </w:t>
      </w:r>
    </w:p>
    <w:p w14:paraId="51F21817" w14:textId="77777777" w:rsidR="008F4A52" w:rsidRPr="00476708" w:rsidRDefault="008F4A52" w:rsidP="004E5F3B">
      <w:pPr>
        <w:pStyle w:val="Prrafodelista"/>
        <w:tabs>
          <w:tab w:val="left" w:pos="1418"/>
        </w:tabs>
        <w:spacing w:before="120" w:after="120" w:line="240" w:lineRule="auto"/>
        <w:ind w:left="1418" w:right="760"/>
        <w:contextualSpacing w:val="0"/>
        <w:jc w:val="both"/>
        <w:rPr>
          <w:rFonts w:ascii="Palatino Linotype" w:hAnsi="Palatino Linotype"/>
          <w:i/>
        </w:rPr>
      </w:pPr>
      <w:r w:rsidRPr="00476708">
        <w:rPr>
          <w:rFonts w:ascii="Palatino Linotype" w:hAnsi="Palatino Linotype"/>
          <w:b/>
          <w:i/>
        </w:rPr>
        <w:t>a)</w:t>
      </w:r>
      <w:r w:rsidRPr="00476708">
        <w:rPr>
          <w:rFonts w:ascii="Palatino Linotype" w:hAnsi="Palatino Linotype"/>
          <w:i/>
        </w:rPr>
        <w:t xml:space="preserve"> Si el programa identificó correctamente el problema o necesidad prioritaria al que va dirigido, y está diseñado para solventarlo; </w:t>
      </w:r>
    </w:p>
    <w:p w14:paraId="4F9315BA" w14:textId="77777777" w:rsidR="008F4A52" w:rsidRPr="00476708" w:rsidRDefault="008F4A52" w:rsidP="004E5F3B">
      <w:pPr>
        <w:pStyle w:val="Prrafodelista"/>
        <w:tabs>
          <w:tab w:val="left" w:pos="1418"/>
        </w:tabs>
        <w:spacing w:before="120" w:after="120" w:line="240" w:lineRule="auto"/>
        <w:ind w:left="1418" w:right="760"/>
        <w:contextualSpacing w:val="0"/>
        <w:jc w:val="both"/>
        <w:rPr>
          <w:rFonts w:ascii="Palatino Linotype" w:hAnsi="Palatino Linotype"/>
          <w:i/>
        </w:rPr>
      </w:pPr>
      <w:r w:rsidRPr="00476708">
        <w:rPr>
          <w:rFonts w:ascii="Palatino Linotype" w:hAnsi="Palatino Linotype"/>
          <w:b/>
          <w:i/>
        </w:rPr>
        <w:lastRenderedPageBreak/>
        <w:t>b)</w:t>
      </w:r>
      <w:r w:rsidRPr="00476708">
        <w:rPr>
          <w:rFonts w:ascii="Palatino Linotype" w:hAnsi="Palatino Linotype"/>
          <w:i/>
        </w:rPr>
        <w:t xml:space="preserve"> La contribución del programa al cumplimiento del Plan de Desarrollo del Estado de México, de los objetivos, estrategias y líneas de acción, así como de los objetivos estratégicos del sujeto evaluado; </w:t>
      </w:r>
    </w:p>
    <w:p w14:paraId="58B56593" w14:textId="77777777" w:rsidR="008F4A52" w:rsidRPr="00476708" w:rsidRDefault="008F4A52" w:rsidP="004E5F3B">
      <w:pPr>
        <w:pStyle w:val="Prrafodelista"/>
        <w:tabs>
          <w:tab w:val="left" w:pos="1418"/>
        </w:tabs>
        <w:spacing w:before="120" w:after="120" w:line="240" w:lineRule="auto"/>
        <w:ind w:left="1418" w:right="760"/>
        <w:contextualSpacing w:val="0"/>
        <w:jc w:val="both"/>
        <w:rPr>
          <w:rFonts w:ascii="Palatino Linotype" w:hAnsi="Palatino Linotype"/>
          <w:i/>
        </w:rPr>
      </w:pPr>
      <w:r w:rsidRPr="00476708">
        <w:rPr>
          <w:rFonts w:ascii="Palatino Linotype" w:hAnsi="Palatino Linotype"/>
          <w:b/>
          <w:i/>
        </w:rPr>
        <w:t>c)</w:t>
      </w:r>
      <w:r w:rsidRPr="00476708">
        <w:rPr>
          <w:rFonts w:ascii="Palatino Linotype" w:hAnsi="Palatino Linotype"/>
          <w:i/>
        </w:rPr>
        <w:t xml:space="preserve"> Si existe evidencia científica, que muestre que el tipo de bienes y/o servicios que brinda el programa presupuestario, contribuye positivamente a la consecución de su propósito y fin; </w:t>
      </w:r>
    </w:p>
    <w:p w14:paraId="42068C8C" w14:textId="77777777" w:rsidR="008F4A52" w:rsidRPr="00476708" w:rsidRDefault="008F4A52" w:rsidP="004E5F3B">
      <w:pPr>
        <w:pStyle w:val="Prrafodelista"/>
        <w:tabs>
          <w:tab w:val="left" w:pos="1418"/>
        </w:tabs>
        <w:spacing w:before="120" w:after="120" w:line="240" w:lineRule="auto"/>
        <w:ind w:left="1418" w:right="760"/>
        <w:contextualSpacing w:val="0"/>
        <w:jc w:val="both"/>
        <w:rPr>
          <w:rFonts w:ascii="Palatino Linotype" w:hAnsi="Palatino Linotype"/>
          <w:i/>
        </w:rPr>
      </w:pPr>
      <w:r w:rsidRPr="00476708">
        <w:rPr>
          <w:rFonts w:ascii="Palatino Linotype" w:hAnsi="Palatino Linotype"/>
          <w:b/>
          <w:i/>
        </w:rPr>
        <w:t>d)</w:t>
      </w:r>
      <w:r w:rsidRPr="00476708">
        <w:rPr>
          <w:rFonts w:ascii="Palatino Linotype" w:hAnsi="Palatino Linotype"/>
          <w:i/>
        </w:rPr>
        <w:t xml:space="preserve"> La lógica vertical y horizontal de la MIR del programa presupuestario; e) La población potencial y objetivo, con base en la distribución de la necesidad, especificando la población atendida respecto a la población potencial, desglosado por características socioeconómicas y/o niveles geográficos pertinentes; </w:t>
      </w:r>
    </w:p>
    <w:p w14:paraId="104AB007" w14:textId="77777777" w:rsidR="008F4A52" w:rsidRPr="00476708" w:rsidRDefault="008F4A52" w:rsidP="004E5F3B">
      <w:pPr>
        <w:pStyle w:val="Prrafodelista"/>
        <w:tabs>
          <w:tab w:val="left" w:pos="1418"/>
        </w:tabs>
        <w:spacing w:before="120" w:after="120" w:line="240" w:lineRule="auto"/>
        <w:ind w:left="1418" w:right="760"/>
        <w:contextualSpacing w:val="0"/>
        <w:jc w:val="both"/>
        <w:rPr>
          <w:rFonts w:ascii="Palatino Linotype" w:hAnsi="Palatino Linotype"/>
          <w:i/>
        </w:rPr>
      </w:pPr>
      <w:r w:rsidRPr="00476708">
        <w:rPr>
          <w:rFonts w:ascii="Palatino Linotype" w:hAnsi="Palatino Linotype"/>
          <w:b/>
          <w:i/>
        </w:rPr>
        <w:t>f)</w:t>
      </w:r>
      <w:r w:rsidRPr="00476708">
        <w:rPr>
          <w:rFonts w:ascii="Palatino Linotype" w:hAnsi="Palatino Linotype"/>
          <w:i/>
        </w:rPr>
        <w:t xml:space="preserve"> Las posibles coincidencias, complementariedades o duplicidades de acciones con otros programas presupuestarios estatales.</w:t>
      </w:r>
    </w:p>
    <w:p w14:paraId="1C4FB5DE" w14:textId="77777777" w:rsidR="008F4A52" w:rsidRPr="00476708" w:rsidRDefault="008F4A52" w:rsidP="00BC128A">
      <w:pPr>
        <w:tabs>
          <w:tab w:val="left" w:pos="1134"/>
        </w:tabs>
        <w:spacing w:before="120" w:after="120" w:line="240" w:lineRule="auto"/>
        <w:ind w:left="1134" w:right="760"/>
        <w:jc w:val="both"/>
        <w:rPr>
          <w:rFonts w:ascii="Palatino Linotype" w:hAnsi="Palatino Linotype"/>
          <w:i/>
        </w:rPr>
      </w:pPr>
      <w:r w:rsidRPr="00476708">
        <w:rPr>
          <w:rFonts w:ascii="Palatino Linotype" w:hAnsi="Palatino Linotype"/>
          <w:i/>
        </w:rPr>
        <w:t xml:space="preserve">Esta información deberá analizarse para el ejercicio fiscal anterior al periodo en que se realice la evaluación, con excepción de los periodos que se establezcan para determinados programas presupuestarios en el PAE correspondiente. </w:t>
      </w:r>
    </w:p>
    <w:p w14:paraId="3900B767" w14:textId="77777777" w:rsidR="008F4A52" w:rsidRPr="00476708" w:rsidRDefault="008F4A52" w:rsidP="00BC128A">
      <w:pPr>
        <w:tabs>
          <w:tab w:val="left" w:pos="1134"/>
        </w:tabs>
        <w:spacing w:before="120" w:after="120" w:line="240" w:lineRule="auto"/>
        <w:ind w:left="1134" w:right="760"/>
        <w:jc w:val="both"/>
        <w:rPr>
          <w:rFonts w:ascii="Palatino Linotype" w:hAnsi="Palatino Linotype"/>
          <w:i/>
        </w:rPr>
      </w:pPr>
      <w:r w:rsidRPr="00476708">
        <w:rPr>
          <w:rFonts w:ascii="Palatino Linotype" w:hAnsi="Palatino Linotype"/>
          <w:b/>
          <w:i/>
        </w:rPr>
        <w:t>2)</w:t>
      </w:r>
      <w:r w:rsidRPr="00476708">
        <w:rPr>
          <w:rFonts w:ascii="Palatino Linotype" w:hAnsi="Palatino Linotype"/>
          <w:i/>
        </w:rPr>
        <w:t xml:space="preserve"> </w:t>
      </w:r>
      <w:r w:rsidRPr="00476708">
        <w:rPr>
          <w:rFonts w:ascii="Palatino Linotype" w:hAnsi="Palatino Linotype"/>
          <w:b/>
          <w:i/>
        </w:rPr>
        <w:t>En materia de Consistencia y Resultados</w:t>
      </w:r>
      <w:r w:rsidRPr="00476708">
        <w:rPr>
          <w:rFonts w:ascii="Palatino Linotype" w:hAnsi="Palatino Linotype"/>
          <w:i/>
        </w:rPr>
        <w:t xml:space="preserve">: </w:t>
      </w:r>
    </w:p>
    <w:p w14:paraId="6B88B545" w14:textId="77777777" w:rsidR="008F4A52" w:rsidRPr="00476708" w:rsidRDefault="008F4A52" w:rsidP="004E5F3B">
      <w:pPr>
        <w:tabs>
          <w:tab w:val="left" w:pos="1418"/>
        </w:tabs>
        <w:spacing w:before="120" w:after="120" w:line="240" w:lineRule="auto"/>
        <w:ind w:left="1418" w:right="760"/>
        <w:jc w:val="both"/>
        <w:rPr>
          <w:rFonts w:ascii="Palatino Linotype" w:hAnsi="Palatino Linotype"/>
          <w:i/>
        </w:rPr>
      </w:pPr>
      <w:r w:rsidRPr="00476708">
        <w:rPr>
          <w:rFonts w:ascii="Palatino Linotype" w:hAnsi="Palatino Linotype"/>
          <w:b/>
          <w:i/>
        </w:rPr>
        <w:t>a)</w:t>
      </w:r>
      <w:r w:rsidRPr="00476708">
        <w:rPr>
          <w:rFonts w:ascii="Palatino Linotype" w:hAnsi="Palatino Linotype"/>
          <w:i/>
        </w:rPr>
        <w:t xml:space="preserve"> Se identifican las deficiencias en el diseño, operación y medición de los resultados; </w:t>
      </w:r>
    </w:p>
    <w:p w14:paraId="769F0383" w14:textId="77777777" w:rsidR="008F4A52" w:rsidRPr="00476708" w:rsidRDefault="008F4A52" w:rsidP="004E5F3B">
      <w:pPr>
        <w:tabs>
          <w:tab w:val="left" w:pos="1418"/>
        </w:tabs>
        <w:spacing w:before="120" w:after="120" w:line="240" w:lineRule="auto"/>
        <w:ind w:left="1418" w:right="760"/>
        <w:jc w:val="both"/>
        <w:rPr>
          <w:rFonts w:ascii="Palatino Linotype" w:hAnsi="Palatino Linotype"/>
          <w:i/>
        </w:rPr>
      </w:pPr>
      <w:r w:rsidRPr="00476708">
        <w:rPr>
          <w:rFonts w:ascii="Palatino Linotype" w:hAnsi="Palatino Linotype"/>
          <w:b/>
          <w:i/>
        </w:rPr>
        <w:t>b)</w:t>
      </w:r>
      <w:r w:rsidRPr="00476708">
        <w:rPr>
          <w:rFonts w:ascii="Palatino Linotype" w:hAnsi="Palatino Linotype"/>
          <w:i/>
        </w:rPr>
        <w:t xml:space="preserve"> El diseño y operación del programa presupuestario, permite proveer de información que retroalimente su gestión y resultados; </w:t>
      </w:r>
    </w:p>
    <w:p w14:paraId="4D56A4B6" w14:textId="77777777" w:rsidR="008F4A52" w:rsidRPr="00476708" w:rsidRDefault="008F4A52" w:rsidP="004E5F3B">
      <w:pPr>
        <w:tabs>
          <w:tab w:val="left" w:pos="1418"/>
        </w:tabs>
        <w:spacing w:before="120" w:after="120" w:line="240" w:lineRule="auto"/>
        <w:ind w:left="1418" w:right="760"/>
        <w:jc w:val="both"/>
        <w:rPr>
          <w:rFonts w:ascii="Palatino Linotype" w:hAnsi="Palatino Linotype"/>
          <w:i/>
        </w:rPr>
      </w:pPr>
      <w:r w:rsidRPr="00476708">
        <w:rPr>
          <w:rFonts w:ascii="Palatino Linotype" w:hAnsi="Palatino Linotype"/>
          <w:b/>
          <w:i/>
        </w:rPr>
        <w:t>c)</w:t>
      </w:r>
      <w:r w:rsidRPr="00476708">
        <w:rPr>
          <w:rFonts w:ascii="Palatino Linotype" w:hAnsi="Palatino Linotype"/>
          <w:i/>
        </w:rPr>
        <w:t xml:space="preserve"> La operación del programa presupuestario en los distintos niveles; </w:t>
      </w:r>
    </w:p>
    <w:p w14:paraId="0FF9B828" w14:textId="77777777" w:rsidR="008F4A52" w:rsidRPr="00476708" w:rsidRDefault="008F4A52" w:rsidP="004E5F3B">
      <w:pPr>
        <w:tabs>
          <w:tab w:val="left" w:pos="1418"/>
        </w:tabs>
        <w:spacing w:before="120" w:after="120" w:line="240" w:lineRule="auto"/>
        <w:ind w:left="1418" w:right="760"/>
        <w:jc w:val="both"/>
        <w:rPr>
          <w:rFonts w:ascii="Palatino Linotype" w:hAnsi="Palatino Linotype"/>
          <w:i/>
        </w:rPr>
      </w:pPr>
      <w:r w:rsidRPr="00476708">
        <w:rPr>
          <w:rFonts w:ascii="Palatino Linotype" w:hAnsi="Palatino Linotype"/>
          <w:b/>
          <w:i/>
        </w:rPr>
        <w:t>d)</w:t>
      </w:r>
      <w:r w:rsidRPr="00476708">
        <w:rPr>
          <w:rFonts w:ascii="Palatino Linotype" w:hAnsi="Palatino Linotype"/>
          <w:i/>
        </w:rPr>
        <w:t xml:space="preserve"> La eficacia, oportunidad, suficiencia y pertinencia de los procesos operativos del programa presupuestario para el logro de sus objetivos; </w:t>
      </w:r>
    </w:p>
    <w:p w14:paraId="7A1A886E" w14:textId="77777777" w:rsidR="008F4A52" w:rsidRPr="00476708" w:rsidRDefault="008F4A52" w:rsidP="004E5F3B">
      <w:pPr>
        <w:tabs>
          <w:tab w:val="left" w:pos="1418"/>
        </w:tabs>
        <w:spacing w:before="120" w:after="120" w:line="240" w:lineRule="auto"/>
        <w:ind w:left="1418" w:right="760"/>
        <w:jc w:val="both"/>
        <w:rPr>
          <w:rFonts w:ascii="Palatino Linotype" w:hAnsi="Palatino Linotype"/>
          <w:i/>
        </w:rPr>
      </w:pPr>
      <w:r w:rsidRPr="00476708">
        <w:rPr>
          <w:rFonts w:ascii="Palatino Linotype" w:hAnsi="Palatino Linotype"/>
          <w:b/>
          <w:i/>
        </w:rPr>
        <w:t>e)</w:t>
      </w:r>
      <w:r w:rsidRPr="00476708">
        <w:rPr>
          <w:rFonts w:ascii="Palatino Linotype" w:hAnsi="Palatino Linotype"/>
          <w:i/>
        </w:rPr>
        <w:t xml:space="preserve"> La identificación de los problemas que obstaculizan la operación del programa presupuestario;</w:t>
      </w:r>
    </w:p>
    <w:p w14:paraId="66F0E31D" w14:textId="77777777" w:rsidR="008F4A52" w:rsidRPr="00476708" w:rsidRDefault="008F4A52" w:rsidP="004E5F3B">
      <w:pPr>
        <w:tabs>
          <w:tab w:val="left" w:pos="1418"/>
        </w:tabs>
        <w:spacing w:before="120" w:after="120" w:line="240" w:lineRule="auto"/>
        <w:ind w:left="1418" w:right="760"/>
        <w:jc w:val="both"/>
        <w:rPr>
          <w:rFonts w:ascii="Palatino Linotype" w:hAnsi="Palatino Linotype"/>
          <w:i/>
        </w:rPr>
      </w:pPr>
      <w:r w:rsidRPr="00476708">
        <w:rPr>
          <w:rFonts w:ascii="Palatino Linotype" w:hAnsi="Palatino Linotype"/>
          <w:b/>
          <w:i/>
        </w:rPr>
        <w:t>f)</w:t>
      </w:r>
      <w:r w:rsidRPr="00476708">
        <w:rPr>
          <w:rFonts w:ascii="Palatino Linotype" w:hAnsi="Palatino Linotype"/>
          <w:i/>
        </w:rPr>
        <w:t xml:space="preserve"> La descripción de buenas prácticas; </w:t>
      </w:r>
    </w:p>
    <w:p w14:paraId="4245B2D1" w14:textId="77777777" w:rsidR="008F4A52" w:rsidRPr="00476708" w:rsidRDefault="008F4A52" w:rsidP="004E5F3B">
      <w:pPr>
        <w:tabs>
          <w:tab w:val="left" w:pos="1418"/>
        </w:tabs>
        <w:spacing w:before="120" w:after="120" w:line="240" w:lineRule="auto"/>
        <w:ind w:left="1418" w:right="760"/>
        <w:jc w:val="both"/>
        <w:rPr>
          <w:rFonts w:ascii="Palatino Linotype" w:hAnsi="Palatino Linotype"/>
          <w:i/>
        </w:rPr>
      </w:pPr>
      <w:r w:rsidRPr="00476708">
        <w:rPr>
          <w:rFonts w:ascii="Palatino Linotype" w:hAnsi="Palatino Linotype"/>
          <w:b/>
          <w:i/>
        </w:rPr>
        <w:t>g)</w:t>
      </w:r>
      <w:r w:rsidRPr="00476708">
        <w:rPr>
          <w:rFonts w:ascii="Palatino Linotype" w:hAnsi="Palatino Linotype"/>
          <w:i/>
        </w:rPr>
        <w:t xml:space="preserve"> La adecuación, aplicación, deficiencia o insuficiencia de los procesos para lograr sus objetivos planteados. </w:t>
      </w:r>
    </w:p>
    <w:p w14:paraId="06E9C941" w14:textId="77777777" w:rsidR="008F4A52" w:rsidRPr="00476708" w:rsidRDefault="008F4A52" w:rsidP="00BC128A">
      <w:pPr>
        <w:tabs>
          <w:tab w:val="left" w:pos="1134"/>
        </w:tabs>
        <w:spacing w:before="120" w:after="120" w:line="240" w:lineRule="auto"/>
        <w:ind w:left="1134" w:right="760"/>
        <w:jc w:val="both"/>
        <w:rPr>
          <w:rFonts w:ascii="Palatino Linotype" w:hAnsi="Palatino Linotype"/>
          <w:b/>
          <w:i/>
        </w:rPr>
      </w:pPr>
      <w:r w:rsidRPr="00476708">
        <w:rPr>
          <w:rFonts w:ascii="Palatino Linotype" w:hAnsi="Palatino Linotype"/>
          <w:b/>
          <w:i/>
        </w:rPr>
        <w:t xml:space="preserve">3) En materia de Procesos: </w:t>
      </w:r>
    </w:p>
    <w:p w14:paraId="51DA8779" w14:textId="77777777" w:rsidR="008F4A52" w:rsidRPr="00476708" w:rsidRDefault="008F4A52" w:rsidP="004E5F3B">
      <w:pPr>
        <w:tabs>
          <w:tab w:val="left" w:pos="1560"/>
        </w:tabs>
        <w:spacing w:before="120" w:after="120" w:line="240" w:lineRule="auto"/>
        <w:ind w:left="1418" w:right="760"/>
        <w:jc w:val="both"/>
        <w:rPr>
          <w:rFonts w:ascii="Palatino Linotype" w:hAnsi="Palatino Linotype"/>
          <w:i/>
        </w:rPr>
      </w:pPr>
      <w:r w:rsidRPr="00476708">
        <w:rPr>
          <w:rFonts w:ascii="Palatino Linotype" w:hAnsi="Palatino Linotype"/>
          <w:b/>
          <w:i/>
        </w:rPr>
        <w:t>a)</w:t>
      </w:r>
      <w:r w:rsidRPr="00476708">
        <w:rPr>
          <w:rFonts w:ascii="Palatino Linotype" w:hAnsi="Palatino Linotype"/>
          <w:i/>
        </w:rPr>
        <w:t xml:space="preserve"> La observancia de las reglas de operación y otras disposiciones normativas aplicables al programa presupuestario; </w:t>
      </w:r>
    </w:p>
    <w:p w14:paraId="478C0406" w14:textId="77777777" w:rsidR="008F4A52" w:rsidRPr="00476708" w:rsidRDefault="008F4A52" w:rsidP="004E5F3B">
      <w:pPr>
        <w:tabs>
          <w:tab w:val="left" w:pos="1560"/>
        </w:tabs>
        <w:spacing w:before="120" w:after="120" w:line="240" w:lineRule="auto"/>
        <w:ind w:left="1418" w:right="760"/>
        <w:jc w:val="both"/>
        <w:rPr>
          <w:rFonts w:ascii="Palatino Linotype" w:hAnsi="Palatino Linotype"/>
          <w:i/>
        </w:rPr>
      </w:pPr>
      <w:r w:rsidRPr="00476708">
        <w:rPr>
          <w:rFonts w:ascii="Palatino Linotype" w:hAnsi="Palatino Linotype"/>
          <w:b/>
          <w:i/>
        </w:rPr>
        <w:lastRenderedPageBreak/>
        <w:t>b)</w:t>
      </w:r>
      <w:r w:rsidRPr="00476708">
        <w:rPr>
          <w:rFonts w:ascii="Palatino Linotype" w:hAnsi="Palatino Linotype"/>
          <w:i/>
        </w:rPr>
        <w:t xml:space="preserve"> Los mecanismos de organización y gestión del programa presupuestario, incluyendo las acciones de mejora y simplificación recientes; </w:t>
      </w:r>
    </w:p>
    <w:p w14:paraId="61833691" w14:textId="77777777" w:rsidR="008F4A52" w:rsidRPr="00476708" w:rsidRDefault="008F4A52" w:rsidP="004E5F3B">
      <w:pPr>
        <w:tabs>
          <w:tab w:val="left" w:pos="1560"/>
        </w:tabs>
        <w:spacing w:before="120" w:after="120" w:line="240" w:lineRule="auto"/>
        <w:ind w:left="1418" w:right="760"/>
        <w:jc w:val="both"/>
        <w:rPr>
          <w:rFonts w:ascii="Palatino Linotype" w:hAnsi="Palatino Linotype"/>
          <w:i/>
        </w:rPr>
      </w:pPr>
      <w:r w:rsidRPr="00476708">
        <w:rPr>
          <w:rFonts w:ascii="Palatino Linotype" w:hAnsi="Palatino Linotype"/>
          <w:b/>
          <w:i/>
        </w:rPr>
        <w:t>c)</w:t>
      </w:r>
      <w:r w:rsidRPr="00476708">
        <w:rPr>
          <w:rFonts w:ascii="Palatino Linotype" w:hAnsi="Palatino Linotype"/>
          <w:i/>
        </w:rPr>
        <w:t xml:space="preserve"> La administración financiera de los recursos; </w:t>
      </w:r>
    </w:p>
    <w:p w14:paraId="01D13118" w14:textId="77777777" w:rsidR="008F4A52" w:rsidRPr="00476708" w:rsidRDefault="008F4A52" w:rsidP="004E5F3B">
      <w:pPr>
        <w:tabs>
          <w:tab w:val="left" w:pos="1560"/>
        </w:tabs>
        <w:spacing w:before="120" w:after="120" w:line="240" w:lineRule="auto"/>
        <w:ind w:left="1418" w:right="760"/>
        <w:jc w:val="both"/>
        <w:rPr>
          <w:rFonts w:ascii="Palatino Linotype" w:hAnsi="Palatino Linotype"/>
          <w:i/>
        </w:rPr>
      </w:pPr>
      <w:r w:rsidRPr="00476708">
        <w:rPr>
          <w:rFonts w:ascii="Palatino Linotype" w:hAnsi="Palatino Linotype"/>
          <w:b/>
          <w:i/>
        </w:rPr>
        <w:t>d)</w:t>
      </w:r>
      <w:r w:rsidRPr="00476708">
        <w:rPr>
          <w:rFonts w:ascii="Palatino Linotype" w:hAnsi="Palatino Linotype"/>
          <w:i/>
        </w:rPr>
        <w:t xml:space="preserve"> La eficacia operativa del programa; </w:t>
      </w:r>
    </w:p>
    <w:p w14:paraId="51552615" w14:textId="77777777" w:rsidR="008F4A52" w:rsidRPr="00476708" w:rsidRDefault="008F4A52" w:rsidP="004E5F3B">
      <w:pPr>
        <w:tabs>
          <w:tab w:val="left" w:pos="1560"/>
        </w:tabs>
        <w:spacing w:before="120" w:after="120" w:line="240" w:lineRule="auto"/>
        <w:ind w:left="1418" w:right="760"/>
        <w:jc w:val="both"/>
        <w:rPr>
          <w:rFonts w:ascii="Palatino Linotype" w:hAnsi="Palatino Linotype"/>
          <w:i/>
        </w:rPr>
      </w:pPr>
      <w:r w:rsidRPr="00476708">
        <w:rPr>
          <w:rFonts w:ascii="Palatino Linotype" w:hAnsi="Palatino Linotype"/>
          <w:b/>
          <w:i/>
        </w:rPr>
        <w:t>e)</w:t>
      </w:r>
      <w:r w:rsidRPr="00476708">
        <w:rPr>
          <w:rFonts w:ascii="Palatino Linotype" w:hAnsi="Palatino Linotype"/>
          <w:i/>
        </w:rPr>
        <w:t xml:space="preserve"> La sistematización de la información;</w:t>
      </w:r>
    </w:p>
    <w:p w14:paraId="4AA2CE98" w14:textId="77777777" w:rsidR="008F4A52" w:rsidRPr="00476708" w:rsidRDefault="008F4A52" w:rsidP="004E5F3B">
      <w:pPr>
        <w:tabs>
          <w:tab w:val="left" w:pos="1560"/>
        </w:tabs>
        <w:spacing w:before="120" w:after="120" w:line="240" w:lineRule="auto"/>
        <w:ind w:left="1418" w:right="760"/>
        <w:jc w:val="both"/>
        <w:rPr>
          <w:rFonts w:ascii="Palatino Linotype" w:hAnsi="Palatino Linotype"/>
          <w:i/>
        </w:rPr>
      </w:pPr>
      <w:r w:rsidRPr="00476708">
        <w:rPr>
          <w:rFonts w:ascii="Palatino Linotype" w:hAnsi="Palatino Linotype"/>
          <w:b/>
          <w:i/>
        </w:rPr>
        <w:t>f)</w:t>
      </w:r>
      <w:r w:rsidRPr="00476708">
        <w:rPr>
          <w:rFonts w:ascii="Palatino Linotype" w:hAnsi="Palatino Linotype"/>
          <w:i/>
        </w:rPr>
        <w:t xml:space="preserve"> El cumplimiento y avance en los indicadores de gestión; </w:t>
      </w:r>
    </w:p>
    <w:p w14:paraId="62DC7B54" w14:textId="77777777" w:rsidR="008F4A52" w:rsidRPr="00476708" w:rsidRDefault="008F4A52" w:rsidP="004E5F3B">
      <w:pPr>
        <w:tabs>
          <w:tab w:val="left" w:pos="1560"/>
        </w:tabs>
        <w:spacing w:before="120" w:after="120" w:line="240" w:lineRule="auto"/>
        <w:ind w:left="1418" w:right="760"/>
        <w:jc w:val="both"/>
        <w:rPr>
          <w:rFonts w:ascii="Palatino Linotype" w:hAnsi="Palatino Linotype"/>
          <w:i/>
        </w:rPr>
      </w:pPr>
      <w:r w:rsidRPr="00476708">
        <w:rPr>
          <w:rFonts w:ascii="Palatino Linotype" w:hAnsi="Palatino Linotype"/>
          <w:b/>
          <w:i/>
        </w:rPr>
        <w:t>g)</w:t>
      </w:r>
      <w:r w:rsidRPr="00476708">
        <w:rPr>
          <w:rFonts w:ascii="Palatino Linotype" w:hAnsi="Palatino Linotype"/>
          <w:i/>
        </w:rPr>
        <w:t xml:space="preserve"> La rendición de cuentas y difusión de información estratégica; </w:t>
      </w:r>
    </w:p>
    <w:p w14:paraId="3F7424C0" w14:textId="77777777" w:rsidR="008F4A52" w:rsidRPr="00476708" w:rsidRDefault="008F4A52" w:rsidP="004E5F3B">
      <w:pPr>
        <w:tabs>
          <w:tab w:val="left" w:pos="1418"/>
        </w:tabs>
        <w:spacing w:before="120" w:after="120" w:line="240" w:lineRule="auto"/>
        <w:ind w:left="1418" w:right="760"/>
        <w:jc w:val="both"/>
        <w:rPr>
          <w:rFonts w:ascii="Palatino Linotype" w:hAnsi="Palatino Linotype"/>
          <w:i/>
        </w:rPr>
      </w:pPr>
      <w:r w:rsidRPr="00476708">
        <w:rPr>
          <w:rFonts w:ascii="Palatino Linotype" w:hAnsi="Palatino Linotype"/>
          <w:b/>
          <w:i/>
        </w:rPr>
        <w:t>h)</w:t>
      </w:r>
      <w:r w:rsidRPr="00476708">
        <w:rPr>
          <w:rFonts w:ascii="Palatino Linotype" w:hAnsi="Palatino Linotype"/>
          <w:i/>
        </w:rPr>
        <w:t xml:space="preserve"> Los instrumentos disponibles que le permiten al programa presupuestario medir el nivel de satisfacción de la población objetivo y de otros actores clave respecto de los bienes y/o servicios que entrega el programa. </w:t>
      </w:r>
    </w:p>
    <w:p w14:paraId="65B2AE6B" w14:textId="77777777" w:rsidR="008F4A52" w:rsidRPr="00476708" w:rsidRDefault="008F4A52" w:rsidP="00BC128A">
      <w:pPr>
        <w:tabs>
          <w:tab w:val="left" w:pos="1134"/>
        </w:tabs>
        <w:spacing w:before="120" w:after="120" w:line="240" w:lineRule="auto"/>
        <w:ind w:left="1134" w:right="760"/>
        <w:jc w:val="both"/>
        <w:rPr>
          <w:rFonts w:ascii="Palatino Linotype" w:hAnsi="Palatino Linotype"/>
          <w:b/>
          <w:i/>
        </w:rPr>
      </w:pPr>
      <w:r w:rsidRPr="00476708">
        <w:rPr>
          <w:rFonts w:ascii="Palatino Linotype" w:hAnsi="Palatino Linotype"/>
          <w:b/>
          <w:i/>
        </w:rPr>
        <w:t xml:space="preserve">4) En materia de Impacto: </w:t>
      </w:r>
    </w:p>
    <w:p w14:paraId="12DA2274" w14:textId="77777777" w:rsidR="008F4A52" w:rsidRPr="00476708" w:rsidRDefault="008F4A52" w:rsidP="004E5F3B">
      <w:pPr>
        <w:tabs>
          <w:tab w:val="left" w:pos="1418"/>
        </w:tabs>
        <w:spacing w:before="120" w:after="120" w:line="240" w:lineRule="auto"/>
        <w:ind w:left="1418" w:right="760"/>
        <w:jc w:val="both"/>
        <w:rPr>
          <w:rFonts w:ascii="Palatino Linotype" w:hAnsi="Palatino Linotype"/>
          <w:i/>
        </w:rPr>
      </w:pPr>
      <w:r w:rsidRPr="00476708">
        <w:rPr>
          <w:rFonts w:ascii="Palatino Linotype" w:hAnsi="Palatino Linotype"/>
          <w:b/>
          <w:i/>
        </w:rPr>
        <w:t>a)</w:t>
      </w:r>
      <w:r w:rsidRPr="00476708">
        <w:rPr>
          <w:rFonts w:ascii="Palatino Linotype" w:hAnsi="Palatino Linotype"/>
          <w:i/>
        </w:rPr>
        <w:t xml:space="preserve"> Los instrumentos disponibles que le permiten al programa presupuestario medir los resultados alcanzados en el ámbito de sus propósitos y fines; </w:t>
      </w:r>
    </w:p>
    <w:p w14:paraId="55687EFA" w14:textId="77777777" w:rsidR="008F4A52" w:rsidRPr="00476708" w:rsidRDefault="008F4A52" w:rsidP="004E5F3B">
      <w:pPr>
        <w:tabs>
          <w:tab w:val="left" w:pos="1418"/>
        </w:tabs>
        <w:spacing w:before="120" w:after="120" w:line="240" w:lineRule="auto"/>
        <w:ind w:left="1418" w:right="760"/>
        <w:jc w:val="both"/>
        <w:rPr>
          <w:rFonts w:ascii="Palatino Linotype" w:hAnsi="Palatino Linotype"/>
          <w:i/>
        </w:rPr>
      </w:pPr>
      <w:r w:rsidRPr="00476708">
        <w:rPr>
          <w:rFonts w:ascii="Palatino Linotype" w:hAnsi="Palatino Linotype"/>
          <w:b/>
          <w:i/>
        </w:rPr>
        <w:t>b)</w:t>
      </w:r>
      <w:r w:rsidRPr="00476708">
        <w:rPr>
          <w:rFonts w:ascii="Palatino Linotype" w:hAnsi="Palatino Linotype"/>
          <w:i/>
        </w:rPr>
        <w:t xml:space="preserve"> La calidad de las evaluaciones de impacto que se hayan realizado tanto en el ámbito de Fin como de propósito, considerando la metodología aplicada, el impacto logrado en el bienestar de la población, los resultados identificados, así como el uso y aplicación de los mismos; </w:t>
      </w:r>
    </w:p>
    <w:p w14:paraId="24DC178F" w14:textId="77777777" w:rsidR="008F4A52" w:rsidRPr="00476708" w:rsidRDefault="008F4A52" w:rsidP="004E5F3B">
      <w:pPr>
        <w:tabs>
          <w:tab w:val="left" w:pos="1418"/>
        </w:tabs>
        <w:spacing w:before="120" w:after="120" w:line="240" w:lineRule="auto"/>
        <w:ind w:left="1418" w:right="760"/>
        <w:jc w:val="both"/>
        <w:rPr>
          <w:rFonts w:ascii="Palatino Linotype" w:hAnsi="Palatino Linotype"/>
          <w:i/>
        </w:rPr>
      </w:pPr>
      <w:r w:rsidRPr="00476708">
        <w:rPr>
          <w:rFonts w:ascii="Palatino Linotype" w:hAnsi="Palatino Linotype"/>
          <w:b/>
          <w:i/>
        </w:rPr>
        <w:t>c)</w:t>
      </w:r>
      <w:r w:rsidRPr="00476708">
        <w:rPr>
          <w:rFonts w:ascii="Palatino Linotype" w:hAnsi="Palatino Linotype"/>
          <w:i/>
        </w:rPr>
        <w:t xml:space="preserve"> Si el diseño y operación del programa presupuestario permite realizar una evaluación de impacto; </w:t>
      </w:r>
    </w:p>
    <w:p w14:paraId="2A80A184" w14:textId="77777777" w:rsidR="008F4A52" w:rsidRPr="00476708" w:rsidRDefault="008F4A52" w:rsidP="004E5F3B">
      <w:pPr>
        <w:tabs>
          <w:tab w:val="left" w:pos="1418"/>
        </w:tabs>
        <w:spacing w:before="120" w:after="120" w:line="240" w:lineRule="auto"/>
        <w:ind w:left="1418" w:right="760"/>
        <w:jc w:val="both"/>
        <w:rPr>
          <w:rFonts w:ascii="Palatino Linotype" w:hAnsi="Palatino Linotype"/>
          <w:i/>
        </w:rPr>
      </w:pPr>
      <w:r w:rsidRPr="00476708">
        <w:rPr>
          <w:rFonts w:ascii="Palatino Linotype" w:hAnsi="Palatino Linotype"/>
          <w:b/>
          <w:i/>
        </w:rPr>
        <w:t>d)</w:t>
      </w:r>
      <w:r w:rsidRPr="00476708">
        <w:rPr>
          <w:rFonts w:ascii="Palatino Linotype" w:hAnsi="Palatino Linotype"/>
          <w:i/>
        </w:rPr>
        <w:t xml:space="preserve"> La difusión de los resultados y evaluaciones del programa; </w:t>
      </w:r>
    </w:p>
    <w:p w14:paraId="23C11341" w14:textId="77777777" w:rsidR="008F4A52" w:rsidRPr="00476708" w:rsidRDefault="008F4A52" w:rsidP="004E5F3B">
      <w:pPr>
        <w:tabs>
          <w:tab w:val="left" w:pos="1418"/>
        </w:tabs>
        <w:spacing w:before="120" w:after="120" w:line="240" w:lineRule="auto"/>
        <w:ind w:left="1418" w:right="760"/>
        <w:jc w:val="both"/>
        <w:rPr>
          <w:rFonts w:ascii="Palatino Linotype" w:hAnsi="Palatino Linotype"/>
          <w:i/>
        </w:rPr>
      </w:pPr>
      <w:r w:rsidRPr="00476708">
        <w:rPr>
          <w:rFonts w:ascii="Palatino Linotype" w:hAnsi="Palatino Linotype"/>
          <w:b/>
          <w:i/>
        </w:rPr>
        <w:t>e)</w:t>
      </w:r>
      <w:r w:rsidRPr="00476708">
        <w:rPr>
          <w:rFonts w:ascii="Palatino Linotype" w:hAnsi="Palatino Linotype"/>
          <w:i/>
        </w:rPr>
        <w:t xml:space="preserve"> La utilización de la información generada para mejorar su desempeño. </w:t>
      </w:r>
    </w:p>
    <w:p w14:paraId="410C7756" w14:textId="77777777" w:rsidR="008F4A52" w:rsidRPr="00476708" w:rsidRDefault="008F4A52" w:rsidP="00BC128A">
      <w:pPr>
        <w:spacing w:before="120" w:after="120" w:line="240" w:lineRule="auto"/>
        <w:ind w:left="851" w:right="760"/>
        <w:jc w:val="both"/>
        <w:rPr>
          <w:rFonts w:ascii="Palatino Linotype" w:hAnsi="Palatino Linotype"/>
          <w:i/>
        </w:rPr>
      </w:pPr>
      <w:r w:rsidRPr="00476708">
        <w:rPr>
          <w:rFonts w:ascii="Palatino Linotype" w:hAnsi="Palatino Linotype"/>
          <w:i/>
        </w:rPr>
        <w:t>Dichos criterios integrarán los términos de referencia para la evaluación del Diseño del Programa, la evaluación de consistencia y resultados y la evaluación de procesos, según corresponda.</w:t>
      </w:r>
      <w:r w:rsidR="00BC128A" w:rsidRPr="00476708">
        <w:rPr>
          <w:rFonts w:ascii="Palatino Linotype" w:hAnsi="Palatino Linotype"/>
          <w:i/>
        </w:rPr>
        <w:t>”</w:t>
      </w:r>
    </w:p>
    <w:p w14:paraId="164AE61A" w14:textId="77777777" w:rsidR="004E5F3B" w:rsidRPr="00476708" w:rsidRDefault="004E5F3B" w:rsidP="00BC128A">
      <w:pPr>
        <w:spacing w:before="120" w:after="120" w:line="240" w:lineRule="auto"/>
        <w:ind w:left="851" w:right="760"/>
        <w:jc w:val="both"/>
        <w:rPr>
          <w:rFonts w:ascii="Palatino Linotype" w:eastAsia="Palatino Linotype" w:hAnsi="Palatino Linotype" w:cs="Palatino Linotype"/>
          <w:i/>
          <w:sz w:val="24"/>
          <w:szCs w:val="24"/>
        </w:rPr>
      </w:pPr>
      <w:r w:rsidRPr="00476708">
        <w:rPr>
          <w:rFonts w:ascii="Palatino Linotype" w:hAnsi="Palatino Linotype"/>
          <w:i/>
        </w:rPr>
        <w:t>…</w:t>
      </w:r>
    </w:p>
    <w:p w14:paraId="526A2E57" w14:textId="77777777" w:rsidR="008F4A52" w:rsidRPr="00476708" w:rsidRDefault="008F4A52" w:rsidP="00BC128A">
      <w:pPr>
        <w:spacing w:before="120" w:after="120" w:line="240" w:lineRule="auto"/>
        <w:ind w:left="851" w:right="760"/>
        <w:jc w:val="both"/>
        <w:rPr>
          <w:rFonts w:ascii="Palatino Linotype" w:eastAsia="Palatino Linotype" w:hAnsi="Palatino Linotype" w:cs="Palatino Linotype"/>
          <w:i/>
          <w:sz w:val="24"/>
          <w:szCs w:val="24"/>
        </w:rPr>
      </w:pPr>
      <w:r w:rsidRPr="00476708">
        <w:rPr>
          <w:rFonts w:ascii="Palatino Linotype" w:hAnsi="Palatino Linotype"/>
          <w:b/>
          <w:i/>
        </w:rPr>
        <w:t>DÉCIMA OCTAVA</w:t>
      </w:r>
      <w:r w:rsidRPr="00476708">
        <w:rPr>
          <w:rFonts w:ascii="Palatino Linotype" w:hAnsi="Palatino Linotype"/>
          <w:i/>
        </w:rPr>
        <w:t xml:space="preserve">. - Los sujetos evaluados </w:t>
      </w:r>
      <w:r w:rsidRPr="00476708">
        <w:rPr>
          <w:rFonts w:ascii="Palatino Linotype" w:hAnsi="Palatino Linotype"/>
          <w:b/>
          <w:i/>
        </w:rPr>
        <w:t>deberán informar dentro de los primeros 10 días hábiles, concluido el trimestre, el avance registrado en el desarrollo de su evaluación</w:t>
      </w:r>
      <w:r w:rsidRPr="00476708">
        <w:rPr>
          <w:rFonts w:ascii="Palatino Linotype" w:hAnsi="Palatino Linotype"/>
          <w:i/>
        </w:rPr>
        <w:t xml:space="preserve">, este deberá ser en términos de porcentaje, </w:t>
      </w:r>
      <w:r w:rsidRPr="00476708">
        <w:rPr>
          <w:rFonts w:ascii="Palatino Linotype" w:hAnsi="Palatino Linotype"/>
          <w:b/>
          <w:i/>
          <w:u w:val="single"/>
        </w:rPr>
        <w:t>acompañado de la evidencia que sustente su progreso</w:t>
      </w:r>
      <w:r w:rsidRPr="00476708">
        <w:rPr>
          <w:rFonts w:ascii="Palatino Linotype" w:hAnsi="Palatino Linotype"/>
          <w:i/>
        </w:rPr>
        <w:t>; lo anterior, deberá ser enviado de manera oficial a la Dirección de la Secretaría.”</w:t>
      </w:r>
    </w:p>
    <w:p w14:paraId="4E80909A"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lastRenderedPageBreak/>
        <w:t xml:space="preserve">Bajo esta línea de pensamiento, es </w:t>
      </w:r>
      <w:r w:rsidR="00214797" w:rsidRPr="00476708">
        <w:rPr>
          <w:rFonts w:ascii="Palatino Linotype" w:eastAsia="Palatino Linotype" w:hAnsi="Palatino Linotype" w:cs="Palatino Linotype"/>
          <w:sz w:val="24"/>
          <w:szCs w:val="24"/>
        </w:rPr>
        <w:t>claro</w:t>
      </w:r>
      <w:r w:rsidRPr="00476708">
        <w:rPr>
          <w:rFonts w:ascii="Palatino Linotype" w:eastAsia="Palatino Linotype" w:hAnsi="Palatino Linotype" w:cs="Palatino Linotype"/>
          <w:sz w:val="24"/>
          <w:szCs w:val="24"/>
        </w:rPr>
        <w:t xml:space="preserve"> que el </w:t>
      </w:r>
      <w:r w:rsidR="00F23110" w:rsidRPr="00476708">
        <w:rPr>
          <w:rFonts w:ascii="Palatino Linotype" w:eastAsia="Palatino Linotype" w:hAnsi="Palatino Linotype" w:cs="Palatino Linotype"/>
          <w:b/>
          <w:sz w:val="24"/>
          <w:szCs w:val="24"/>
        </w:rPr>
        <w:t xml:space="preserve">Sujeto Obligado </w:t>
      </w:r>
      <w:r w:rsidRPr="00476708">
        <w:rPr>
          <w:rFonts w:ascii="Palatino Linotype" w:eastAsia="Palatino Linotype" w:hAnsi="Palatino Linotype" w:cs="Palatino Linotype"/>
          <w:sz w:val="24"/>
          <w:szCs w:val="24"/>
        </w:rPr>
        <w:t xml:space="preserve">se encuentra en posibilidad de proporcionar la información de los indicadores de la </w:t>
      </w:r>
      <w:r w:rsidR="0019256E" w:rsidRPr="00476708">
        <w:rPr>
          <w:rFonts w:ascii="Palatino Linotype" w:eastAsia="Palatino Linotype" w:hAnsi="Palatino Linotype" w:cs="Palatino Linotype"/>
          <w:sz w:val="24"/>
          <w:szCs w:val="24"/>
        </w:rPr>
        <w:t xml:space="preserve">ahora </w:t>
      </w:r>
      <w:r w:rsidRPr="00476708">
        <w:rPr>
          <w:rFonts w:ascii="Palatino Linotype" w:eastAsia="Palatino Linotype" w:hAnsi="Palatino Linotype" w:cs="Palatino Linotype"/>
          <w:sz w:val="24"/>
          <w:szCs w:val="24"/>
        </w:rPr>
        <w:t>Secretaría de Desarrollo Urbano e Infraestructura correspondientes a los ejercicios 2020, 2021 y 2022, así como la evidencia de los indicadores y la conclusión de los mismos del ejercicio 2020, por lo tanto, se estima dable ordenar la búsqueda exhaustiva y razonable del soporte documental correspondiente, a efectos de que se haga entrega del</w:t>
      </w:r>
      <w:r w:rsidR="0019256E" w:rsidRPr="00476708">
        <w:rPr>
          <w:rFonts w:ascii="Palatino Linotype" w:eastAsia="Palatino Linotype" w:hAnsi="Palatino Linotype" w:cs="Palatino Linotype"/>
          <w:sz w:val="24"/>
          <w:szCs w:val="24"/>
        </w:rPr>
        <w:t xml:space="preserve"> mismo a la persona solicitante</w:t>
      </w:r>
      <w:r w:rsidRPr="00476708">
        <w:rPr>
          <w:rFonts w:ascii="Palatino Linotype" w:eastAsia="Palatino Linotype" w:hAnsi="Palatino Linotype" w:cs="Palatino Linotype"/>
          <w:sz w:val="24"/>
          <w:szCs w:val="24"/>
        </w:rPr>
        <w:t>.</w:t>
      </w:r>
    </w:p>
    <w:p w14:paraId="35384B59"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Finalmente, toda vez que la persona solicitante acotó la entrega de la información a aquella que se hubiese generado durante los cargos ocupados por la servidora pública referida en la solicitud, esto es, como Subdirectora, Directora y Encargada de Despacho respectivamente, es imprescindible mencionar que de la normativa analizada para la resolución del presente asunto no se advirtió disposición legal alguna que constriña al </w:t>
      </w:r>
      <w:r w:rsidRPr="00476708">
        <w:rPr>
          <w:rFonts w:ascii="Palatino Linotype" w:eastAsia="Palatino Linotype" w:hAnsi="Palatino Linotype" w:cs="Palatino Linotype"/>
          <w:b/>
          <w:sz w:val="24"/>
          <w:szCs w:val="24"/>
        </w:rPr>
        <w:t>Sujeto Obligado</w:t>
      </w:r>
      <w:r w:rsidR="0019256E" w:rsidRPr="00476708">
        <w:rPr>
          <w:rFonts w:ascii="Palatino Linotype" w:eastAsia="Palatino Linotype" w:hAnsi="Palatino Linotype" w:cs="Palatino Linotype"/>
          <w:b/>
          <w:sz w:val="24"/>
          <w:szCs w:val="24"/>
        </w:rPr>
        <w:t xml:space="preserve"> </w:t>
      </w:r>
      <w:r w:rsidR="0019256E" w:rsidRPr="00476708">
        <w:rPr>
          <w:rFonts w:ascii="Palatino Linotype" w:eastAsia="Palatino Linotype" w:hAnsi="Palatino Linotype" w:cs="Palatino Linotype"/>
          <w:sz w:val="24"/>
          <w:szCs w:val="24"/>
        </w:rPr>
        <w:t>a</w:t>
      </w:r>
      <w:r w:rsidRPr="00476708">
        <w:rPr>
          <w:rFonts w:ascii="Palatino Linotype" w:eastAsia="Palatino Linotype" w:hAnsi="Palatino Linotype" w:cs="Palatino Linotype"/>
          <w:b/>
          <w:sz w:val="24"/>
          <w:szCs w:val="24"/>
        </w:rPr>
        <w:t xml:space="preserve"> </w:t>
      </w:r>
      <w:r w:rsidRPr="00476708">
        <w:rPr>
          <w:rFonts w:ascii="Palatino Linotype" w:eastAsia="Palatino Linotype" w:hAnsi="Palatino Linotype" w:cs="Palatino Linotype"/>
          <w:sz w:val="24"/>
          <w:szCs w:val="24"/>
        </w:rPr>
        <w:t>generar información o contar con un registro al grado de detalle que se solicita, en este tenor, dado que en su respuesta el servidor público habilitado del área competente manifestó que la información solicitada se encontraba disponible en su página oficial, argumento que reiteró a través del informe justificado, se infiere que asumió que durante los ejercicios señalados, la servidora pública se encontraba en funcion</w:t>
      </w:r>
      <w:r w:rsidR="0019256E" w:rsidRPr="00476708">
        <w:rPr>
          <w:rFonts w:ascii="Palatino Linotype" w:eastAsia="Palatino Linotype" w:hAnsi="Palatino Linotype" w:cs="Palatino Linotype"/>
          <w:sz w:val="24"/>
          <w:szCs w:val="24"/>
        </w:rPr>
        <w:t>es bajo la adscripción de la hoy</w:t>
      </w:r>
      <w:r w:rsidRPr="00476708">
        <w:rPr>
          <w:rFonts w:ascii="Palatino Linotype" w:eastAsia="Palatino Linotype" w:hAnsi="Palatino Linotype" w:cs="Palatino Linotype"/>
          <w:sz w:val="24"/>
          <w:szCs w:val="24"/>
        </w:rPr>
        <w:t xml:space="preserve"> Dirección General del Evaluación del Desempeño Institucional, siendo suficiente para tener por satisfecho el requerimiento formulado por la persona solicitante, bajo la premisa de que los Sujetos Obligados sólo deben proporcionar aquella información que hubieran generado en el ejercicio de sus atribuciones y que obre en sus archivos, de conformidad con lo establecido en el artículo 12 de la Ley </w:t>
      </w:r>
      <w:r w:rsidRPr="00476708">
        <w:rPr>
          <w:rFonts w:ascii="Palatino Linotype" w:eastAsia="Palatino Linotype" w:hAnsi="Palatino Linotype" w:cs="Palatino Linotype"/>
          <w:sz w:val="24"/>
          <w:szCs w:val="24"/>
        </w:rPr>
        <w:lastRenderedPageBreak/>
        <w:t>de Transparencia y Acceso a la Información Pública del Estado de México y Municipios, lo que a</w:t>
      </w:r>
      <w:r w:rsidRPr="00476708">
        <w:rPr>
          <w:rFonts w:ascii="Palatino Linotype" w:eastAsia="Palatino Linotype" w:hAnsi="Palatino Linotype" w:cs="Palatino Linotype"/>
          <w:i/>
          <w:sz w:val="24"/>
          <w:szCs w:val="24"/>
        </w:rPr>
        <w:t xml:space="preserve"> contrario sensu</w:t>
      </w:r>
      <w:r w:rsidRPr="00476708">
        <w:rPr>
          <w:rFonts w:ascii="Palatino Linotype" w:eastAsia="Palatino Linotype" w:hAnsi="Palatino Linotype" w:cs="Palatino Linotype"/>
          <w:sz w:val="24"/>
          <w:szCs w:val="24"/>
        </w:rPr>
        <w:t xml:space="preserve"> significa que no se está obligado a proporcionar lo que no obre en sus archivos.</w:t>
      </w:r>
    </w:p>
    <w:p w14:paraId="4BAF6248" w14:textId="77777777" w:rsidR="002007DF" w:rsidRPr="00476708" w:rsidRDefault="002D1D62">
      <w:pPr>
        <w:spacing w:before="240" w:after="360" w:line="360" w:lineRule="auto"/>
        <w:ind w:right="18"/>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225A52E7" w14:textId="77777777" w:rsidR="002007DF" w:rsidRPr="00476708" w:rsidRDefault="002D1D62">
      <w:pPr>
        <w:spacing w:before="240" w:after="360" w:line="360" w:lineRule="auto"/>
        <w:ind w:right="18"/>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De lo hasta aquí expuesto, se concluye que los motivos de inconformidad de la parte </w:t>
      </w:r>
      <w:r w:rsidRPr="00476708">
        <w:rPr>
          <w:rFonts w:ascii="Palatino Linotype" w:eastAsia="Palatino Linotype" w:hAnsi="Palatino Linotype" w:cs="Palatino Linotype"/>
          <w:b/>
          <w:sz w:val="24"/>
          <w:szCs w:val="24"/>
        </w:rPr>
        <w:t xml:space="preserve">Recurrente </w:t>
      </w:r>
      <w:r w:rsidRPr="00476708">
        <w:rPr>
          <w:rFonts w:ascii="Palatino Linotype" w:eastAsia="Palatino Linotype" w:hAnsi="Palatino Linotype" w:cs="Palatino Linotype"/>
          <w:sz w:val="24"/>
          <w:szCs w:val="24"/>
        </w:rPr>
        <w:t xml:space="preserve">devienen parcialmente fundados, siendo procedente </w:t>
      </w:r>
      <w:r w:rsidRPr="00476708">
        <w:rPr>
          <w:rFonts w:ascii="Palatino Linotype" w:eastAsia="Palatino Linotype" w:hAnsi="Palatino Linotype" w:cs="Palatino Linotype"/>
          <w:i/>
          <w:sz w:val="24"/>
          <w:szCs w:val="24"/>
        </w:rPr>
        <w:t xml:space="preserve">Modificar </w:t>
      </w:r>
      <w:r w:rsidRPr="00476708">
        <w:rPr>
          <w:rFonts w:ascii="Palatino Linotype" w:eastAsia="Palatino Linotype" w:hAnsi="Palatino Linotype" w:cs="Palatino Linotype"/>
          <w:sz w:val="24"/>
          <w:szCs w:val="24"/>
        </w:rPr>
        <w:t xml:space="preserve">las respuestas proporcionadas por el </w:t>
      </w:r>
      <w:r w:rsidRPr="00476708">
        <w:rPr>
          <w:rFonts w:ascii="Palatino Linotype" w:eastAsia="Palatino Linotype" w:hAnsi="Palatino Linotype" w:cs="Palatino Linotype"/>
          <w:b/>
          <w:sz w:val="24"/>
          <w:szCs w:val="24"/>
        </w:rPr>
        <w:t xml:space="preserve">Sujeto Obligado </w:t>
      </w:r>
      <w:r w:rsidRPr="00476708">
        <w:rPr>
          <w:rFonts w:ascii="Palatino Linotype" w:eastAsia="Palatino Linotype" w:hAnsi="Palatino Linotype" w:cs="Palatino Linotype"/>
          <w:sz w:val="24"/>
          <w:szCs w:val="24"/>
        </w:rPr>
        <w:t>en términos del artículo 186 fracción III de la Ley de Transparencia y Acceso a la Información Pública del Estado de México y Municipios.</w:t>
      </w:r>
    </w:p>
    <w:p w14:paraId="7E2B2D39" w14:textId="77777777" w:rsidR="002007DF" w:rsidRPr="00476708" w:rsidRDefault="002D1D62">
      <w:pPr>
        <w:spacing w:before="240" w:after="240" w:line="360" w:lineRule="auto"/>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Así, con fundamento en lo prescrito en los artículos 5 párrafos trigésimo tercero, trigésimo cuarto y trigésimo quinto de la Constitución Política del Estado Libre y Soberano de México; 2, fracción II; 29, 36 fracciones I y II; 176, 178, 181, 185, fracción I, 186 y 188 de la Ley de Transparencia y Acceso a la Información Pública del Estado de México y Municipios, este Pleno:</w:t>
      </w:r>
    </w:p>
    <w:p w14:paraId="5972E495" w14:textId="77777777" w:rsidR="00476708" w:rsidRPr="00476708" w:rsidRDefault="00476708">
      <w:pPr>
        <w:spacing w:before="240" w:after="240" w:line="360" w:lineRule="auto"/>
        <w:jc w:val="both"/>
        <w:rPr>
          <w:rFonts w:ascii="Palatino Linotype" w:eastAsia="Palatino Linotype" w:hAnsi="Palatino Linotype" w:cs="Palatino Linotype"/>
          <w:sz w:val="24"/>
          <w:szCs w:val="24"/>
        </w:rPr>
      </w:pPr>
    </w:p>
    <w:p w14:paraId="27B81227" w14:textId="77777777" w:rsidR="00476708" w:rsidRPr="00476708" w:rsidRDefault="00476708">
      <w:pPr>
        <w:spacing w:before="240" w:after="240" w:line="360" w:lineRule="auto"/>
        <w:jc w:val="both"/>
        <w:rPr>
          <w:rFonts w:ascii="Palatino Linotype" w:eastAsia="Palatino Linotype" w:hAnsi="Palatino Linotype" w:cs="Palatino Linotype"/>
          <w:sz w:val="24"/>
          <w:szCs w:val="24"/>
        </w:rPr>
      </w:pPr>
    </w:p>
    <w:p w14:paraId="5B9D3CD4" w14:textId="77777777" w:rsidR="00476708" w:rsidRPr="00476708" w:rsidRDefault="00476708">
      <w:pPr>
        <w:spacing w:before="240" w:after="240" w:line="360" w:lineRule="auto"/>
        <w:jc w:val="both"/>
        <w:rPr>
          <w:rFonts w:ascii="Palatino Linotype" w:eastAsia="Palatino Linotype" w:hAnsi="Palatino Linotype" w:cs="Palatino Linotype"/>
          <w:sz w:val="24"/>
          <w:szCs w:val="24"/>
        </w:rPr>
      </w:pPr>
    </w:p>
    <w:p w14:paraId="3A3388FA" w14:textId="77777777" w:rsidR="002007DF" w:rsidRPr="00476708" w:rsidRDefault="002D1D62">
      <w:pPr>
        <w:pBdr>
          <w:top w:val="nil"/>
          <w:left w:val="nil"/>
          <w:bottom w:val="nil"/>
          <w:right w:val="nil"/>
          <w:between w:val="nil"/>
        </w:pBdr>
        <w:spacing w:before="280" w:after="280" w:line="360" w:lineRule="auto"/>
        <w:jc w:val="center"/>
        <w:rPr>
          <w:rFonts w:ascii="Palatino Linotype" w:eastAsia="Palatino Linotype" w:hAnsi="Palatino Linotype" w:cs="Palatino Linotype"/>
          <w:b/>
          <w:sz w:val="24"/>
          <w:szCs w:val="24"/>
        </w:rPr>
      </w:pPr>
      <w:r w:rsidRPr="00476708">
        <w:rPr>
          <w:rFonts w:ascii="Palatino Linotype" w:eastAsia="Palatino Linotype" w:hAnsi="Palatino Linotype" w:cs="Palatino Linotype"/>
          <w:b/>
          <w:sz w:val="24"/>
          <w:szCs w:val="24"/>
        </w:rPr>
        <w:lastRenderedPageBreak/>
        <w:t>III. R E S U E L V E:</w:t>
      </w:r>
    </w:p>
    <w:p w14:paraId="661AB13D" w14:textId="77777777" w:rsidR="005E49A9" w:rsidRDefault="002D1D62">
      <w:pPr>
        <w:spacing w:line="360" w:lineRule="auto"/>
        <w:jc w:val="both"/>
        <w:rPr>
          <w:rFonts w:ascii="Palatino Linotype" w:eastAsia="Palatino Linotype" w:hAnsi="Palatino Linotype" w:cs="Palatino Linotype"/>
          <w:b/>
          <w:sz w:val="24"/>
          <w:szCs w:val="24"/>
        </w:rPr>
      </w:pPr>
      <w:bookmarkStart w:id="3" w:name="_heading=h.3rdcrjn" w:colFirst="0" w:colLast="0"/>
      <w:bookmarkEnd w:id="3"/>
      <w:r w:rsidRPr="00476708">
        <w:rPr>
          <w:rFonts w:ascii="Palatino Linotype" w:eastAsia="Palatino Linotype" w:hAnsi="Palatino Linotype" w:cs="Palatino Linotype"/>
          <w:b/>
          <w:sz w:val="24"/>
          <w:szCs w:val="24"/>
        </w:rPr>
        <w:t xml:space="preserve">Primero. </w:t>
      </w:r>
      <w:r w:rsidRPr="00476708">
        <w:rPr>
          <w:rFonts w:ascii="Palatino Linotype" w:eastAsia="Palatino Linotype" w:hAnsi="Palatino Linotype" w:cs="Palatino Linotype"/>
          <w:sz w:val="24"/>
          <w:szCs w:val="24"/>
        </w:rPr>
        <w:t>Resultan</w:t>
      </w:r>
      <w:r w:rsidRPr="00476708">
        <w:rPr>
          <w:rFonts w:ascii="Palatino Linotype" w:eastAsia="Palatino Linotype" w:hAnsi="Palatino Linotype" w:cs="Palatino Linotype"/>
          <w:b/>
          <w:sz w:val="24"/>
          <w:szCs w:val="24"/>
        </w:rPr>
        <w:t xml:space="preserve"> fundados</w:t>
      </w:r>
      <w:r w:rsidRPr="00476708">
        <w:rPr>
          <w:rFonts w:ascii="Palatino Linotype" w:eastAsia="Palatino Linotype" w:hAnsi="Palatino Linotype" w:cs="Palatino Linotype"/>
          <w:sz w:val="24"/>
          <w:szCs w:val="24"/>
        </w:rPr>
        <w:t xml:space="preserve"> los motivos de inconformidad hechos valer por la parte </w:t>
      </w:r>
      <w:r w:rsidRPr="00476708">
        <w:rPr>
          <w:rFonts w:ascii="Palatino Linotype" w:eastAsia="Palatino Linotype" w:hAnsi="Palatino Linotype" w:cs="Palatino Linotype"/>
          <w:b/>
          <w:sz w:val="24"/>
          <w:szCs w:val="24"/>
        </w:rPr>
        <w:t xml:space="preserve">Recurrente </w:t>
      </w:r>
      <w:r w:rsidRPr="00476708">
        <w:rPr>
          <w:rFonts w:ascii="Palatino Linotype" w:eastAsia="Palatino Linotype" w:hAnsi="Palatino Linotype" w:cs="Palatino Linotype"/>
          <w:sz w:val="24"/>
          <w:szCs w:val="24"/>
        </w:rPr>
        <w:t xml:space="preserve">en los recursos de revisión </w:t>
      </w:r>
      <w:r w:rsidRPr="00476708">
        <w:rPr>
          <w:rFonts w:ascii="Palatino Linotype" w:eastAsia="Palatino Linotype" w:hAnsi="Palatino Linotype" w:cs="Palatino Linotype"/>
          <w:b/>
          <w:sz w:val="24"/>
          <w:szCs w:val="24"/>
        </w:rPr>
        <w:t xml:space="preserve">06479/INFOEM/IP/RR/2024 </w:t>
      </w:r>
      <w:r w:rsidRPr="00476708">
        <w:rPr>
          <w:rFonts w:ascii="Palatino Linotype" w:eastAsia="Palatino Linotype" w:hAnsi="Palatino Linotype" w:cs="Palatino Linotype"/>
          <w:sz w:val="24"/>
          <w:szCs w:val="24"/>
        </w:rPr>
        <w:t xml:space="preserve">y </w:t>
      </w:r>
      <w:r w:rsidRPr="00476708">
        <w:rPr>
          <w:rFonts w:ascii="Palatino Linotype" w:eastAsia="Palatino Linotype" w:hAnsi="Palatino Linotype" w:cs="Palatino Linotype"/>
          <w:b/>
          <w:sz w:val="24"/>
          <w:szCs w:val="24"/>
        </w:rPr>
        <w:t xml:space="preserve">06485/INFOEM/IP/RR/2024, </w:t>
      </w:r>
      <w:r w:rsidRPr="00476708">
        <w:rPr>
          <w:rFonts w:ascii="Palatino Linotype" w:eastAsia="Palatino Linotype" w:hAnsi="Palatino Linotype" w:cs="Palatino Linotype"/>
          <w:sz w:val="24"/>
          <w:szCs w:val="24"/>
        </w:rPr>
        <w:t xml:space="preserve">por lo que, en términos del Considerando </w:t>
      </w:r>
      <w:r w:rsidRPr="00476708">
        <w:rPr>
          <w:rFonts w:ascii="Palatino Linotype" w:eastAsia="Palatino Linotype" w:hAnsi="Palatino Linotype" w:cs="Palatino Linotype"/>
          <w:b/>
          <w:sz w:val="24"/>
          <w:szCs w:val="24"/>
        </w:rPr>
        <w:t>Cuarto</w:t>
      </w:r>
      <w:r w:rsidRPr="00476708">
        <w:rPr>
          <w:rFonts w:ascii="Palatino Linotype" w:eastAsia="Palatino Linotype" w:hAnsi="Palatino Linotype" w:cs="Palatino Linotype"/>
          <w:sz w:val="24"/>
          <w:szCs w:val="24"/>
        </w:rPr>
        <w:t xml:space="preserve"> de la presente resolución, se</w:t>
      </w:r>
      <w:r w:rsidRPr="00476708">
        <w:rPr>
          <w:rFonts w:ascii="Palatino Linotype" w:eastAsia="Palatino Linotype" w:hAnsi="Palatino Linotype" w:cs="Palatino Linotype"/>
          <w:b/>
          <w:sz w:val="24"/>
          <w:szCs w:val="24"/>
        </w:rPr>
        <w:t xml:space="preserve"> Modifican </w:t>
      </w:r>
      <w:r w:rsidRPr="00476708">
        <w:rPr>
          <w:rFonts w:ascii="Palatino Linotype" w:eastAsia="Palatino Linotype" w:hAnsi="Palatino Linotype" w:cs="Palatino Linotype"/>
          <w:sz w:val="24"/>
          <w:szCs w:val="24"/>
        </w:rPr>
        <w:t>las respuestas</w:t>
      </w:r>
      <w:r w:rsidRPr="00476708">
        <w:rPr>
          <w:rFonts w:ascii="Palatino Linotype" w:eastAsia="Palatino Linotype" w:hAnsi="Palatino Linotype" w:cs="Palatino Linotype"/>
          <w:b/>
          <w:sz w:val="24"/>
          <w:szCs w:val="24"/>
        </w:rPr>
        <w:t xml:space="preserve"> </w:t>
      </w:r>
      <w:r w:rsidRPr="00476708">
        <w:rPr>
          <w:rFonts w:ascii="Palatino Linotype" w:eastAsia="Palatino Linotype" w:hAnsi="Palatino Linotype" w:cs="Palatino Linotype"/>
          <w:sz w:val="24"/>
          <w:szCs w:val="24"/>
        </w:rPr>
        <w:t xml:space="preserve">del </w:t>
      </w:r>
      <w:r w:rsidRPr="00476708">
        <w:rPr>
          <w:rFonts w:ascii="Palatino Linotype" w:eastAsia="Palatino Linotype" w:hAnsi="Palatino Linotype" w:cs="Palatino Linotype"/>
          <w:b/>
          <w:sz w:val="24"/>
          <w:szCs w:val="24"/>
        </w:rPr>
        <w:t>Sujeto Obligado.</w:t>
      </w:r>
      <w:bookmarkStart w:id="4" w:name="_heading=h.17dp8vu" w:colFirst="0" w:colLast="0"/>
      <w:bookmarkEnd w:id="4"/>
    </w:p>
    <w:p w14:paraId="290E69DF" w14:textId="77777777" w:rsidR="002007DF" w:rsidRPr="005E49A9" w:rsidRDefault="002D1D62">
      <w:pPr>
        <w:spacing w:line="360" w:lineRule="auto"/>
        <w:jc w:val="both"/>
        <w:rPr>
          <w:rFonts w:ascii="Palatino Linotype" w:eastAsia="Palatino Linotype" w:hAnsi="Palatino Linotype" w:cs="Palatino Linotype"/>
          <w:b/>
          <w:sz w:val="24"/>
          <w:szCs w:val="24"/>
        </w:rPr>
      </w:pPr>
      <w:r w:rsidRPr="00476708">
        <w:rPr>
          <w:rFonts w:ascii="Palatino Linotype" w:eastAsia="Palatino Linotype" w:hAnsi="Palatino Linotype" w:cs="Palatino Linotype"/>
          <w:b/>
          <w:sz w:val="24"/>
          <w:szCs w:val="24"/>
        </w:rPr>
        <w:t xml:space="preserve">Segundo. </w:t>
      </w:r>
      <w:r w:rsidRPr="00476708">
        <w:rPr>
          <w:rFonts w:ascii="Palatino Linotype" w:eastAsia="Palatino Linotype" w:hAnsi="Palatino Linotype" w:cs="Palatino Linotype"/>
          <w:sz w:val="24"/>
          <w:szCs w:val="24"/>
        </w:rPr>
        <w:t xml:space="preserve">Se </w:t>
      </w:r>
      <w:r w:rsidRPr="00476708">
        <w:rPr>
          <w:rFonts w:ascii="Palatino Linotype" w:eastAsia="Palatino Linotype" w:hAnsi="Palatino Linotype" w:cs="Palatino Linotype"/>
          <w:b/>
          <w:sz w:val="24"/>
          <w:szCs w:val="24"/>
        </w:rPr>
        <w:t>Ordena</w:t>
      </w:r>
      <w:r w:rsidRPr="00476708">
        <w:rPr>
          <w:rFonts w:ascii="Palatino Linotype" w:eastAsia="Palatino Linotype" w:hAnsi="Palatino Linotype" w:cs="Palatino Linotype"/>
          <w:sz w:val="24"/>
          <w:szCs w:val="24"/>
        </w:rPr>
        <w:t xml:space="preserve"> al </w:t>
      </w:r>
      <w:r w:rsidRPr="00476708">
        <w:rPr>
          <w:rFonts w:ascii="Palatino Linotype" w:eastAsia="Palatino Linotype" w:hAnsi="Palatino Linotype" w:cs="Palatino Linotype"/>
          <w:b/>
          <w:sz w:val="24"/>
          <w:szCs w:val="24"/>
        </w:rPr>
        <w:t>Sujeto Obligado</w:t>
      </w:r>
      <w:r w:rsidRPr="00476708">
        <w:rPr>
          <w:rFonts w:ascii="Palatino Linotype" w:eastAsia="Palatino Linotype" w:hAnsi="Palatino Linotype" w:cs="Palatino Linotype"/>
          <w:sz w:val="24"/>
          <w:szCs w:val="24"/>
        </w:rPr>
        <w:t>, en términos de</w:t>
      </w:r>
      <w:r w:rsidR="0019256E" w:rsidRPr="00476708">
        <w:rPr>
          <w:rFonts w:ascii="Palatino Linotype" w:eastAsia="Palatino Linotype" w:hAnsi="Palatino Linotype" w:cs="Palatino Linotype"/>
          <w:sz w:val="24"/>
          <w:szCs w:val="24"/>
        </w:rPr>
        <w:t>l</w:t>
      </w:r>
      <w:r w:rsidRPr="00476708">
        <w:rPr>
          <w:rFonts w:ascii="Palatino Linotype" w:eastAsia="Palatino Linotype" w:hAnsi="Palatino Linotype" w:cs="Palatino Linotype"/>
          <w:sz w:val="24"/>
          <w:szCs w:val="24"/>
        </w:rPr>
        <w:t xml:space="preserve"> Considerando</w:t>
      </w:r>
      <w:r w:rsidR="0019256E"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 xml:space="preserve">Cuarto </w:t>
      </w:r>
      <w:r w:rsidRPr="00476708">
        <w:rPr>
          <w:rFonts w:ascii="Palatino Linotype" w:eastAsia="Palatino Linotype" w:hAnsi="Palatino Linotype" w:cs="Palatino Linotype"/>
          <w:sz w:val="24"/>
          <w:szCs w:val="24"/>
        </w:rPr>
        <w:t>de esta resolución, haga entrega, vía SAIMEX, previa búsqueda exhaustiva y razonable, del soporte documental donde conste lo siguiente:</w:t>
      </w:r>
    </w:p>
    <w:p w14:paraId="29005B64" w14:textId="77777777" w:rsidR="002007DF" w:rsidRPr="00476708" w:rsidRDefault="002D1D62">
      <w:pPr>
        <w:spacing w:before="240" w:after="240" w:line="360" w:lineRule="auto"/>
        <w:ind w:left="425"/>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1. Indicadores de la </w:t>
      </w:r>
      <w:r w:rsidR="0019256E" w:rsidRPr="00476708">
        <w:rPr>
          <w:rFonts w:ascii="Palatino Linotype" w:eastAsia="Palatino Linotype" w:hAnsi="Palatino Linotype" w:cs="Palatino Linotype"/>
          <w:sz w:val="24"/>
          <w:szCs w:val="24"/>
        </w:rPr>
        <w:t xml:space="preserve">ahora </w:t>
      </w:r>
      <w:r w:rsidRPr="00476708">
        <w:rPr>
          <w:rFonts w:ascii="Palatino Linotype" w:eastAsia="Palatino Linotype" w:hAnsi="Palatino Linotype" w:cs="Palatino Linotype"/>
          <w:sz w:val="24"/>
          <w:szCs w:val="24"/>
        </w:rPr>
        <w:t>Secretaría de Desarrollo Urbano e Infraestructura de lo</w:t>
      </w:r>
      <w:r w:rsidR="0019256E" w:rsidRPr="00476708">
        <w:rPr>
          <w:rFonts w:ascii="Palatino Linotype" w:eastAsia="Palatino Linotype" w:hAnsi="Palatino Linotype" w:cs="Palatino Linotype"/>
          <w:sz w:val="24"/>
          <w:szCs w:val="24"/>
        </w:rPr>
        <w:t>s ejercicios 2020, 2021 y 2022.</w:t>
      </w:r>
    </w:p>
    <w:p w14:paraId="0DBEDAD5" w14:textId="77777777" w:rsidR="002007DF" w:rsidRPr="00476708" w:rsidRDefault="002D1D62">
      <w:pPr>
        <w:spacing w:before="240" w:after="240" w:line="360" w:lineRule="auto"/>
        <w:ind w:left="425"/>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2. Evidencia documental de los indicadores de la </w:t>
      </w:r>
      <w:r w:rsidR="0019256E" w:rsidRPr="00476708">
        <w:rPr>
          <w:rFonts w:ascii="Palatino Linotype" w:eastAsia="Palatino Linotype" w:hAnsi="Palatino Linotype" w:cs="Palatino Linotype"/>
          <w:sz w:val="24"/>
          <w:szCs w:val="24"/>
        </w:rPr>
        <w:t>ahora</w:t>
      </w:r>
      <w:r w:rsidRPr="00476708">
        <w:rPr>
          <w:rFonts w:ascii="Palatino Linotype" w:eastAsia="Palatino Linotype" w:hAnsi="Palatino Linotype" w:cs="Palatino Linotype"/>
          <w:sz w:val="24"/>
          <w:szCs w:val="24"/>
        </w:rPr>
        <w:t xml:space="preserve"> Secretaría de Desarrollo Urbano e Infraestructura del ejercicio 2020, así como de su conclusión.</w:t>
      </w:r>
    </w:p>
    <w:p w14:paraId="6DDDC623" w14:textId="77777777" w:rsidR="002007DF" w:rsidRPr="00476708" w:rsidRDefault="002D1D62">
      <w:pPr>
        <w:spacing w:before="240" w:after="240" w:line="360" w:lineRule="auto"/>
        <w:ind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Tercero.</w:t>
      </w: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 xml:space="preserve">Notifíquese vía SAIMEX </w:t>
      </w:r>
      <w:r w:rsidRPr="00476708">
        <w:rPr>
          <w:rFonts w:ascii="Palatino Linotype" w:eastAsia="Palatino Linotype" w:hAnsi="Palatino Linotype" w:cs="Palatino Linotype"/>
          <w:sz w:val="24"/>
          <w:szCs w:val="24"/>
        </w:rPr>
        <w:t>la presente resolución al T</w:t>
      </w:r>
      <w:r w:rsidRPr="00476708">
        <w:rPr>
          <w:rFonts w:ascii="Palatino Linotype" w:eastAsia="Palatino Linotype" w:hAnsi="Palatino Linotype" w:cs="Palatino Linotype"/>
          <w:b/>
          <w:sz w:val="24"/>
          <w:szCs w:val="24"/>
        </w:rPr>
        <w:t xml:space="preserve">itular de la Unidad de Transparencia </w:t>
      </w:r>
      <w:r w:rsidRPr="00476708">
        <w:rPr>
          <w:rFonts w:ascii="Palatino Linotype" w:eastAsia="Palatino Linotype" w:hAnsi="Palatino Linotype" w:cs="Palatino Linotype"/>
          <w:sz w:val="24"/>
          <w:szCs w:val="24"/>
        </w:rPr>
        <w:t xml:space="preserve">del </w:t>
      </w:r>
      <w:r w:rsidRPr="00476708">
        <w:rPr>
          <w:rFonts w:ascii="Palatino Linotype" w:eastAsia="Palatino Linotype" w:hAnsi="Palatino Linotype" w:cs="Palatino Linotype"/>
          <w:b/>
          <w:sz w:val="24"/>
          <w:szCs w:val="24"/>
        </w:rPr>
        <w:t>Sujeto Obligado</w:t>
      </w:r>
      <w:r w:rsidRPr="00476708">
        <w:rPr>
          <w:rFonts w:ascii="Palatino Linotype" w:eastAsia="Palatino Linotype" w:hAnsi="Palatino Linotype" w:cs="Palatino Linotype"/>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Pr="00476708">
        <w:rPr>
          <w:rFonts w:ascii="Palatino Linotype" w:eastAsia="Palatino Linotype" w:hAnsi="Palatino Linotype" w:cs="Palatino Linotype"/>
          <w:sz w:val="24"/>
          <w:szCs w:val="24"/>
        </w:rPr>
        <w:lastRenderedPageBreak/>
        <w:t>Transparencia y Acceso a la Información Pública del Estado de México y Municipios.</w:t>
      </w:r>
    </w:p>
    <w:p w14:paraId="700725B9" w14:textId="77777777" w:rsidR="002007DF" w:rsidRPr="00476708" w:rsidRDefault="002D1D62">
      <w:pPr>
        <w:spacing w:before="240" w:after="240" w:line="360" w:lineRule="auto"/>
        <w:ind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476708">
        <w:rPr>
          <w:rFonts w:ascii="Palatino Linotype" w:eastAsia="Palatino Linotype" w:hAnsi="Palatino Linotype" w:cs="Palatino Linotype"/>
          <w:b/>
          <w:sz w:val="24"/>
          <w:szCs w:val="24"/>
        </w:rPr>
        <w:t>Sujeto Obligado</w:t>
      </w:r>
      <w:r w:rsidRPr="00476708">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5D3F1188" w14:textId="77777777" w:rsidR="002007DF" w:rsidRPr="00476708" w:rsidRDefault="002D1D62">
      <w:pPr>
        <w:spacing w:before="240" w:after="240" w:line="360" w:lineRule="auto"/>
        <w:ind w:right="51"/>
        <w:jc w:val="both"/>
        <w:rPr>
          <w:rFonts w:ascii="Palatino Linotype" w:eastAsia="Palatino Linotype" w:hAnsi="Palatino Linotype" w:cs="Palatino Linotype"/>
          <w:sz w:val="24"/>
          <w:szCs w:val="24"/>
        </w:rPr>
      </w:pPr>
      <w:r w:rsidRPr="00476708">
        <w:rPr>
          <w:rFonts w:ascii="Palatino Linotype" w:eastAsia="Palatino Linotype" w:hAnsi="Palatino Linotype" w:cs="Palatino Linotype"/>
          <w:b/>
          <w:sz w:val="24"/>
          <w:szCs w:val="24"/>
        </w:rPr>
        <w:t>Cuarto.</w:t>
      </w:r>
      <w:r w:rsidRPr="00476708">
        <w:rPr>
          <w:rFonts w:ascii="Palatino Linotype" w:eastAsia="Palatino Linotype" w:hAnsi="Palatino Linotype" w:cs="Palatino Linotype"/>
          <w:sz w:val="24"/>
          <w:szCs w:val="24"/>
        </w:rPr>
        <w:t xml:space="preserve"> </w:t>
      </w:r>
      <w:r w:rsidRPr="00476708">
        <w:rPr>
          <w:rFonts w:ascii="Palatino Linotype" w:eastAsia="Palatino Linotype" w:hAnsi="Palatino Linotype" w:cs="Palatino Linotype"/>
          <w:b/>
          <w:sz w:val="24"/>
          <w:szCs w:val="24"/>
        </w:rPr>
        <w:t>Notifíquese vía SAIMEX</w:t>
      </w:r>
      <w:r w:rsidRPr="00476708">
        <w:rPr>
          <w:rFonts w:ascii="Palatino Linotype" w:eastAsia="Palatino Linotype" w:hAnsi="Palatino Linotype" w:cs="Palatino Linotype"/>
          <w:sz w:val="24"/>
          <w:szCs w:val="24"/>
        </w:rPr>
        <w:t xml:space="preserve"> a la parte </w:t>
      </w:r>
      <w:r w:rsidRPr="00476708">
        <w:rPr>
          <w:rFonts w:ascii="Palatino Linotype" w:eastAsia="Palatino Linotype" w:hAnsi="Palatino Linotype" w:cs="Palatino Linotype"/>
          <w:b/>
          <w:sz w:val="24"/>
          <w:szCs w:val="24"/>
        </w:rPr>
        <w:t xml:space="preserve">Recurrente </w:t>
      </w:r>
      <w:r w:rsidRPr="00476708">
        <w:rPr>
          <w:rFonts w:ascii="Palatino Linotype" w:eastAsia="Palatino Linotype" w:hAnsi="Palatino Linotype" w:cs="Palatino Linotype"/>
          <w:sz w:val="24"/>
          <w:szCs w:val="24"/>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57907AD4" w14:textId="77777777" w:rsidR="002007DF" w:rsidRPr="00476708" w:rsidRDefault="002D1D62">
      <w:pPr>
        <w:tabs>
          <w:tab w:val="left" w:pos="142"/>
        </w:tabs>
        <w:spacing w:before="240" w:after="240" w:line="360" w:lineRule="auto"/>
        <w:jc w:val="both"/>
        <w:rPr>
          <w:rFonts w:ascii="Palatino Linotype" w:eastAsia="Palatino Linotype" w:hAnsi="Palatino Linotype" w:cs="Palatino Linotype"/>
          <w:sz w:val="24"/>
          <w:szCs w:val="24"/>
        </w:rPr>
      </w:pPr>
      <w:bookmarkStart w:id="5" w:name="_heading=h.gjdgxs" w:colFirst="0" w:colLast="0"/>
      <w:bookmarkEnd w:id="5"/>
      <w:r w:rsidRPr="00476708">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VEINTISIETE DE NOVIEMBRE DE DOS MIL VEINTICUATRO, ANTE EL SECRETARIO TÉCNICO DEL PLENO ALEXIS TAPIA RAMÍREZ.</w:t>
      </w:r>
    </w:p>
    <w:p w14:paraId="5CC4EA7C" w14:textId="77777777" w:rsidR="002007DF" w:rsidRPr="00476708" w:rsidRDefault="002007DF">
      <w:pPr>
        <w:tabs>
          <w:tab w:val="left" w:pos="142"/>
        </w:tabs>
        <w:spacing w:before="240" w:after="240" w:line="360" w:lineRule="auto"/>
        <w:jc w:val="both"/>
        <w:rPr>
          <w:rFonts w:ascii="Palatino Linotype" w:eastAsia="Palatino Linotype" w:hAnsi="Palatino Linotype" w:cs="Palatino Linotype"/>
          <w:sz w:val="24"/>
          <w:szCs w:val="24"/>
        </w:rPr>
      </w:pPr>
    </w:p>
    <w:p w14:paraId="09647E3A" w14:textId="77777777" w:rsidR="002007DF" w:rsidRPr="00476708" w:rsidRDefault="002007DF">
      <w:pPr>
        <w:rPr>
          <w:rFonts w:ascii="Palatino Linotype" w:eastAsia="Palatino Linotype" w:hAnsi="Palatino Linotype" w:cs="Palatino Linotype"/>
        </w:rPr>
      </w:pPr>
    </w:p>
    <w:p w14:paraId="6F4B2F1D" w14:textId="77777777" w:rsidR="002007DF" w:rsidRPr="00476708" w:rsidRDefault="002007DF">
      <w:pPr>
        <w:spacing w:before="240" w:after="240" w:line="360" w:lineRule="auto"/>
        <w:jc w:val="both"/>
        <w:rPr>
          <w:rFonts w:ascii="Palatino Linotype" w:eastAsia="Palatino Linotype" w:hAnsi="Palatino Linotype" w:cs="Palatino Linotype"/>
        </w:rPr>
      </w:pPr>
    </w:p>
    <w:p w14:paraId="325B66A5" w14:textId="77777777" w:rsidR="002007DF" w:rsidRPr="00476708" w:rsidRDefault="002007DF">
      <w:pPr>
        <w:spacing w:before="240" w:after="240" w:line="360" w:lineRule="auto"/>
        <w:jc w:val="both"/>
        <w:rPr>
          <w:rFonts w:ascii="Palatino Linotype" w:eastAsia="Palatino Linotype" w:hAnsi="Palatino Linotype" w:cs="Palatino Linotype"/>
        </w:rPr>
      </w:pPr>
    </w:p>
    <w:p w14:paraId="777D8C33" w14:textId="77777777" w:rsidR="002007DF" w:rsidRPr="00476708" w:rsidRDefault="002007DF">
      <w:pPr>
        <w:spacing w:before="240" w:after="240" w:line="360" w:lineRule="auto"/>
        <w:jc w:val="both"/>
        <w:rPr>
          <w:rFonts w:ascii="Palatino Linotype" w:eastAsia="Palatino Linotype" w:hAnsi="Palatino Linotype" w:cs="Palatino Linotype"/>
        </w:rPr>
      </w:pPr>
    </w:p>
    <w:sectPr w:rsidR="002007DF" w:rsidRPr="00476708">
      <w:headerReference w:type="default" r:id="rId23"/>
      <w:footerReference w:type="default" r:id="rId24"/>
      <w:headerReference w:type="first" r:id="rId2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C49D5" w14:textId="77777777" w:rsidR="00EA62BD" w:rsidRDefault="00EA62BD">
      <w:pPr>
        <w:spacing w:after="0" w:line="240" w:lineRule="auto"/>
      </w:pPr>
      <w:r>
        <w:separator/>
      </w:r>
    </w:p>
  </w:endnote>
  <w:endnote w:type="continuationSeparator" w:id="0">
    <w:p w14:paraId="516D0366" w14:textId="77777777" w:rsidR="00EA62BD" w:rsidRDefault="00EA6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FCBAF" w14:textId="77777777" w:rsidR="00E07EF4" w:rsidRDefault="00E07EF4">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E49A9">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E49A9">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14:paraId="1C15D56A" w14:textId="77777777" w:rsidR="00E07EF4" w:rsidRDefault="00E07EF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18FB8" w14:textId="77777777" w:rsidR="00EA62BD" w:rsidRDefault="00EA62BD">
      <w:pPr>
        <w:spacing w:after="0" w:line="240" w:lineRule="auto"/>
      </w:pPr>
      <w:r>
        <w:separator/>
      </w:r>
    </w:p>
  </w:footnote>
  <w:footnote w:type="continuationSeparator" w:id="0">
    <w:p w14:paraId="226B3C4A" w14:textId="77777777" w:rsidR="00EA62BD" w:rsidRDefault="00EA62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F907" w14:textId="77777777" w:rsidR="00E07EF4" w:rsidRDefault="00E07EF4">
    <w:pPr>
      <w:widowControl w:val="0"/>
      <w:pBdr>
        <w:top w:val="nil"/>
        <w:left w:val="nil"/>
        <w:bottom w:val="nil"/>
        <w:right w:val="nil"/>
        <w:between w:val="nil"/>
      </w:pBdr>
      <w:spacing w:line="276" w:lineRule="auto"/>
      <w:rPr>
        <w:color w:val="000000"/>
      </w:rPr>
    </w:pPr>
  </w:p>
  <w:tbl>
    <w:tblPr>
      <w:tblStyle w:val="afff8"/>
      <w:tblW w:w="5812" w:type="dxa"/>
      <w:tblInd w:w="3119" w:type="dxa"/>
      <w:tblLayout w:type="fixed"/>
      <w:tblLook w:val="0400" w:firstRow="0" w:lastRow="0" w:firstColumn="0" w:lastColumn="0" w:noHBand="0" w:noVBand="1"/>
    </w:tblPr>
    <w:tblGrid>
      <w:gridCol w:w="2694"/>
      <w:gridCol w:w="3118"/>
    </w:tblGrid>
    <w:tr w:rsidR="00E07EF4" w14:paraId="19EF2356" w14:textId="77777777">
      <w:tc>
        <w:tcPr>
          <w:tcW w:w="2694" w:type="dxa"/>
          <w:vAlign w:val="center"/>
        </w:tcPr>
        <w:p w14:paraId="408959A9" w14:textId="77777777" w:rsidR="00E07EF4" w:rsidRDefault="00E07EF4">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8" w:type="dxa"/>
          <w:vAlign w:val="center"/>
        </w:tcPr>
        <w:p w14:paraId="7041733F" w14:textId="77777777" w:rsidR="00E07EF4" w:rsidRDefault="00E07EF4">
          <w:pP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06479/INFOEM/IP/RR/2024 y acumulado</w:t>
          </w:r>
        </w:p>
      </w:tc>
    </w:tr>
    <w:tr w:rsidR="00E07EF4" w14:paraId="559A57AA" w14:textId="77777777">
      <w:trPr>
        <w:trHeight w:val="228"/>
      </w:trPr>
      <w:tc>
        <w:tcPr>
          <w:tcW w:w="2694" w:type="dxa"/>
          <w:vAlign w:val="center"/>
        </w:tcPr>
        <w:p w14:paraId="062B6001" w14:textId="77777777" w:rsidR="00E07EF4" w:rsidRDefault="00E07EF4">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8" w:type="dxa"/>
          <w:vAlign w:val="center"/>
        </w:tcPr>
        <w:p w14:paraId="490EBDF6" w14:textId="77777777" w:rsidR="00E07EF4" w:rsidRDefault="00E07EF4">
          <w:pP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Secretaría de Finanzas</w:t>
          </w:r>
        </w:p>
      </w:tc>
    </w:tr>
    <w:tr w:rsidR="00E07EF4" w14:paraId="6D0DCD84" w14:textId="77777777">
      <w:tc>
        <w:tcPr>
          <w:tcW w:w="2694" w:type="dxa"/>
          <w:vAlign w:val="center"/>
        </w:tcPr>
        <w:p w14:paraId="1D21F1AC" w14:textId="77777777" w:rsidR="00E07EF4" w:rsidRDefault="00E07EF4">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8" w:type="dxa"/>
          <w:vAlign w:val="center"/>
        </w:tcPr>
        <w:p w14:paraId="3A410FF4" w14:textId="77777777" w:rsidR="00E07EF4" w:rsidRDefault="00E07EF4">
          <w:pPr>
            <w:spacing w:after="0" w:line="240" w:lineRule="auto"/>
            <w:ind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59244E7" w14:textId="77777777" w:rsidR="00E07EF4" w:rsidRDefault="00E07EF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8FBA" w14:textId="77777777" w:rsidR="00E07EF4" w:rsidRDefault="00E07EF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8240" behindDoc="1" locked="0" layoutInCell="1" hidden="0" allowOverlap="1" wp14:anchorId="3B86C491" wp14:editId="3C2FB196">
          <wp:simplePos x="0" y="0"/>
          <wp:positionH relativeFrom="column">
            <wp:posOffset>-1080128</wp:posOffset>
          </wp:positionH>
          <wp:positionV relativeFrom="paragraph">
            <wp:posOffset>-246371</wp:posOffset>
          </wp:positionV>
          <wp:extent cx="7635240" cy="9942830"/>
          <wp:effectExtent l="0" t="0" r="0" b="0"/>
          <wp:wrapNone/>
          <wp:docPr id="193566839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fff9"/>
      <w:tblW w:w="5953" w:type="dxa"/>
      <w:tblInd w:w="3119" w:type="dxa"/>
      <w:tblLayout w:type="fixed"/>
      <w:tblLook w:val="0400" w:firstRow="0" w:lastRow="0" w:firstColumn="0" w:lastColumn="0" w:noHBand="0" w:noVBand="1"/>
    </w:tblPr>
    <w:tblGrid>
      <w:gridCol w:w="2551"/>
      <w:gridCol w:w="3402"/>
    </w:tblGrid>
    <w:tr w:rsidR="00E07EF4" w14:paraId="221C0D66" w14:textId="77777777">
      <w:tc>
        <w:tcPr>
          <w:tcW w:w="2551" w:type="dxa"/>
          <w:vAlign w:val="center"/>
        </w:tcPr>
        <w:p w14:paraId="5847AFC8" w14:textId="77777777" w:rsidR="00E07EF4" w:rsidRDefault="00E07EF4">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vAlign w:val="center"/>
        </w:tcPr>
        <w:p w14:paraId="512F63FF" w14:textId="77777777" w:rsidR="00E07EF4" w:rsidRDefault="00E07EF4">
          <w:pP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06479/INFOEM/IP/RR/2024 y acumulado</w:t>
          </w:r>
        </w:p>
      </w:tc>
    </w:tr>
    <w:tr w:rsidR="00E07EF4" w14:paraId="4CAB7100" w14:textId="77777777">
      <w:tc>
        <w:tcPr>
          <w:tcW w:w="2551" w:type="dxa"/>
          <w:vAlign w:val="center"/>
        </w:tcPr>
        <w:p w14:paraId="293ABAC7" w14:textId="77777777" w:rsidR="00E07EF4" w:rsidRDefault="00E07EF4">
          <w:pPr>
            <w:spacing w:after="0" w:line="240" w:lineRule="auto"/>
            <w:ind w:left="35" w:hanging="35"/>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vAlign w:val="center"/>
        </w:tcPr>
        <w:p w14:paraId="4D1C2B06" w14:textId="3B36F5E8" w:rsidR="00E07EF4" w:rsidRDefault="00C802D2">
          <w:pPr>
            <w:spacing w:after="0" w:line="240" w:lineRule="auto"/>
            <w:ind w:left="-45"/>
            <w:jc w:val="both"/>
            <w:rPr>
              <w:rFonts w:ascii="Palatino Linotype" w:eastAsia="Palatino Linotype" w:hAnsi="Palatino Linotype" w:cs="Palatino Linotype"/>
              <w:b/>
            </w:rPr>
          </w:pPr>
          <w:r>
            <w:rPr>
              <w:rFonts w:ascii="Palatino Linotype" w:eastAsia="Palatino Linotype" w:hAnsi="Palatino Linotype" w:cs="Palatino Linotype"/>
              <w:b/>
            </w:rPr>
            <w:t>XXXXXX XXXXXXX XXXXXXXXXX</w:t>
          </w:r>
        </w:p>
      </w:tc>
    </w:tr>
    <w:tr w:rsidR="00E07EF4" w14:paraId="5C6C2F5C" w14:textId="77777777">
      <w:trPr>
        <w:trHeight w:val="228"/>
      </w:trPr>
      <w:tc>
        <w:tcPr>
          <w:tcW w:w="2551" w:type="dxa"/>
          <w:vAlign w:val="center"/>
        </w:tcPr>
        <w:p w14:paraId="681AF573" w14:textId="77777777" w:rsidR="00E07EF4" w:rsidRDefault="00E07EF4">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vAlign w:val="center"/>
        </w:tcPr>
        <w:p w14:paraId="6D471E8E" w14:textId="77777777" w:rsidR="00E07EF4" w:rsidRDefault="00E07EF4">
          <w:pP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Secretaría de Finanzas</w:t>
          </w:r>
        </w:p>
      </w:tc>
    </w:tr>
    <w:tr w:rsidR="00E07EF4" w14:paraId="22D084CE" w14:textId="77777777">
      <w:tc>
        <w:tcPr>
          <w:tcW w:w="2551" w:type="dxa"/>
          <w:vAlign w:val="center"/>
        </w:tcPr>
        <w:p w14:paraId="3D61CD57" w14:textId="77777777" w:rsidR="00E07EF4" w:rsidRDefault="00E07EF4">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vAlign w:val="center"/>
        </w:tcPr>
        <w:p w14:paraId="6C0F522D" w14:textId="77777777" w:rsidR="00E07EF4" w:rsidRDefault="00E07EF4">
          <w:pPr>
            <w:spacing w:after="0" w:line="240" w:lineRule="auto"/>
            <w:ind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483A170" w14:textId="77777777" w:rsidR="00E07EF4" w:rsidRDefault="00E07EF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7B35"/>
    <w:multiLevelType w:val="hybridMultilevel"/>
    <w:tmpl w:val="042EA420"/>
    <w:lvl w:ilvl="0" w:tplc="95D8E57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B1F67DB"/>
    <w:multiLevelType w:val="multilevel"/>
    <w:tmpl w:val="F4643C2E"/>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14721690"/>
    <w:multiLevelType w:val="multilevel"/>
    <w:tmpl w:val="898C407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77F0F3E"/>
    <w:multiLevelType w:val="hybridMultilevel"/>
    <w:tmpl w:val="508A49F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3A2BC0"/>
    <w:multiLevelType w:val="hybridMultilevel"/>
    <w:tmpl w:val="2B06F95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7DF"/>
    <w:rsid w:val="00007E61"/>
    <w:rsid w:val="000D2645"/>
    <w:rsid w:val="0019256E"/>
    <w:rsid w:val="002007DF"/>
    <w:rsid w:val="00214797"/>
    <w:rsid w:val="002D1D62"/>
    <w:rsid w:val="00476708"/>
    <w:rsid w:val="004E5F3B"/>
    <w:rsid w:val="005E49A9"/>
    <w:rsid w:val="00616F79"/>
    <w:rsid w:val="006A71F5"/>
    <w:rsid w:val="007407DD"/>
    <w:rsid w:val="008F4A52"/>
    <w:rsid w:val="00905D0A"/>
    <w:rsid w:val="009875ED"/>
    <w:rsid w:val="00BC128A"/>
    <w:rsid w:val="00C802D2"/>
    <w:rsid w:val="00D51F33"/>
    <w:rsid w:val="00E07EF4"/>
    <w:rsid w:val="00EA62BD"/>
    <w:rsid w:val="00F23110"/>
    <w:rsid w:val="00F86E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3DDF9"/>
  <w15:docId w15:val="{E9E44F21-4127-4D79-994E-E8C5FA0C4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9E2"/>
  </w:style>
  <w:style w:type="paragraph" w:styleId="Ttulo1">
    <w:name w:val="heading 1"/>
    <w:basedOn w:val="Normal"/>
    <w:next w:val="Normal"/>
    <w:link w:val="Ttulo1Car"/>
    <w:uiPriority w:val="9"/>
    <w:qFormat/>
    <w:rsid w:val="000009E2"/>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semiHidden/>
    <w:unhideWhenUsed/>
    <w:qFormat/>
    <w:rsid w:val="000009E2"/>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0009E2"/>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0009E2"/>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0009E2"/>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0009E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0009E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0009E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0009E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009E2"/>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21CDF"/>
    <w:pPr>
      <w:tabs>
        <w:tab w:val="center" w:pos="4419"/>
        <w:tab w:val="right" w:pos="8838"/>
      </w:tabs>
    </w:pPr>
    <w:rPr>
      <w:rFonts w:eastAsiaTheme="minorHAnsi"/>
      <w:lang w:eastAsia="en-US"/>
    </w:rPr>
  </w:style>
  <w:style w:type="character" w:customStyle="1" w:styleId="EncabezadoCar">
    <w:name w:val="Encabezado Car"/>
    <w:basedOn w:val="Fuentedeprrafopredeter"/>
    <w:link w:val="Encabezado"/>
    <w:uiPriority w:val="99"/>
    <w:rsid w:val="00521CDF"/>
  </w:style>
  <w:style w:type="paragraph" w:styleId="Piedepgina">
    <w:name w:val="footer"/>
    <w:basedOn w:val="Normal"/>
    <w:link w:val="PiedepginaCar"/>
    <w:uiPriority w:val="99"/>
    <w:unhideWhenUsed/>
    <w:rsid w:val="00521CDF"/>
    <w:pPr>
      <w:tabs>
        <w:tab w:val="center" w:pos="4419"/>
        <w:tab w:val="right" w:pos="8838"/>
      </w:tabs>
    </w:pPr>
    <w:rPr>
      <w:rFonts w:eastAsiaTheme="minorHAnsi"/>
      <w:lang w:eastAsia="en-US"/>
    </w:rPr>
  </w:style>
  <w:style w:type="character" w:customStyle="1" w:styleId="PiedepginaCar">
    <w:name w:val="Pie de página Car"/>
    <w:basedOn w:val="Fuentedeprrafopredeter"/>
    <w:link w:val="Piedepgina"/>
    <w:uiPriority w:val="99"/>
    <w:rsid w:val="00521CDF"/>
  </w:style>
  <w:style w:type="character" w:styleId="Hipervnculo">
    <w:name w:val="Hyperlink"/>
    <w:aliases w:val="Hipervínculo1,Hipervínculo11,Hipervínculo12,Hipervínculo13,Hipervínculo14,Hipervínculo15"/>
    <w:basedOn w:val="Fuentedeprrafopredeter"/>
    <w:uiPriority w:val="99"/>
    <w:unhideWhenUsed/>
    <w:rsid w:val="003C6D6D"/>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E1566"/>
    <w:pPr>
      <w:ind w:left="720"/>
      <w:contextualSpacing/>
    </w:pPr>
  </w:style>
  <w:style w:type="paragraph" w:styleId="Listaconvietas">
    <w:name w:val="List Bullet"/>
    <w:basedOn w:val="Normal"/>
    <w:uiPriority w:val="99"/>
    <w:unhideWhenUsed/>
    <w:rsid w:val="00400151"/>
    <w:pPr>
      <w:numPr>
        <w:numId w:val="2"/>
      </w:numPr>
      <w:contextualSpacing/>
    </w:pPr>
    <w:rPr>
      <w:lang w:eastAsia="es-ES"/>
    </w:rPr>
  </w:style>
  <w:style w:type="paragraph" w:styleId="Textodeglobo">
    <w:name w:val="Balloon Text"/>
    <w:basedOn w:val="Normal"/>
    <w:link w:val="TextodegloboCar"/>
    <w:uiPriority w:val="99"/>
    <w:semiHidden/>
    <w:unhideWhenUsed/>
    <w:rsid w:val="00617A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7A03"/>
    <w:rPr>
      <w:rFonts w:ascii="Segoe UI" w:eastAsia="Calibri" w:hAnsi="Segoe UI" w:cs="Segoe UI"/>
      <w:sz w:val="18"/>
      <w:szCs w:val="18"/>
      <w:lang w:eastAsia="es-MX"/>
    </w:rPr>
  </w:style>
  <w:style w:type="table" w:styleId="Tablaconcuadrcula">
    <w:name w:val="Table Grid"/>
    <w:basedOn w:val="Tablanormal"/>
    <w:uiPriority w:val="39"/>
    <w:rsid w:val="00A47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rPr>
      <w:smallCaps/>
      <w:color w:val="595959"/>
      <w:sz w:val="28"/>
      <w:szCs w:val="28"/>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table" w:customStyle="1" w:styleId="a7">
    <w:basedOn w:val="TableNormal7"/>
    <w:tblPr>
      <w:tblStyleRowBandSize w:val="1"/>
      <w:tblStyleColBandSize w:val="1"/>
      <w:tblCellMar>
        <w:left w:w="115" w:type="dxa"/>
        <w:right w:w="115" w:type="dxa"/>
      </w:tblCellMar>
    </w:tblPr>
  </w:style>
  <w:style w:type="table" w:customStyle="1" w:styleId="a8">
    <w:basedOn w:val="TableNormal7"/>
    <w:tblPr>
      <w:tblStyleRowBandSize w:val="1"/>
      <w:tblStyleColBandSize w:val="1"/>
      <w:tblCellMar>
        <w:left w:w="108" w:type="dxa"/>
        <w:right w:w="108" w:type="dxa"/>
      </w:tblCellMar>
    </w:tblPr>
  </w:style>
  <w:style w:type="table" w:customStyle="1" w:styleId="a9">
    <w:basedOn w:val="TableNormal7"/>
    <w:tblPr>
      <w:tblStyleRowBandSize w:val="1"/>
      <w:tblStyleColBandSize w:val="1"/>
      <w:tblCellMar>
        <w:left w:w="115" w:type="dxa"/>
        <w:right w:w="115" w:type="dxa"/>
      </w:tblCellMar>
    </w:tblPr>
  </w:style>
  <w:style w:type="table" w:customStyle="1" w:styleId="aa">
    <w:basedOn w:val="TableNormal7"/>
    <w:tblPr>
      <w:tblStyleRowBandSize w:val="1"/>
      <w:tblStyleColBandSize w:val="1"/>
      <w:tblCellMar>
        <w:left w:w="115" w:type="dxa"/>
        <w:right w:w="115" w:type="dxa"/>
      </w:tblCellMar>
    </w:tblPr>
  </w:style>
  <w:style w:type="table" w:customStyle="1" w:styleId="ab">
    <w:basedOn w:val="TableNormal7"/>
    <w:tblPr>
      <w:tblStyleRowBandSize w:val="1"/>
      <w:tblStyleColBandSize w:val="1"/>
      <w:tblCellMar>
        <w:left w:w="115" w:type="dxa"/>
        <w:right w:w="115" w:type="dxa"/>
      </w:tblCellMar>
    </w:tblPr>
  </w:style>
  <w:style w:type="table" w:customStyle="1" w:styleId="ac">
    <w:basedOn w:val="TableNormal7"/>
    <w:tblPr>
      <w:tblStyleRowBandSize w:val="1"/>
      <w:tblStyleColBandSize w:val="1"/>
      <w:tblCellMar>
        <w:left w:w="115" w:type="dxa"/>
        <w:right w:w="115" w:type="dxa"/>
      </w:tblCellMar>
    </w:tblPr>
  </w:style>
  <w:style w:type="table" w:customStyle="1" w:styleId="ad">
    <w:basedOn w:val="TableNormal7"/>
    <w:tblPr>
      <w:tblStyleRowBandSize w:val="1"/>
      <w:tblStyleColBandSize w:val="1"/>
      <w:tblCellMar>
        <w:left w:w="115" w:type="dxa"/>
        <w:right w:w="115" w:type="dxa"/>
      </w:tblCellMar>
    </w:tblPr>
  </w:style>
  <w:style w:type="table" w:customStyle="1" w:styleId="ae">
    <w:basedOn w:val="TableNormal7"/>
    <w:tblPr>
      <w:tblStyleRowBandSize w:val="1"/>
      <w:tblStyleColBandSize w:val="1"/>
      <w:tblCellMar>
        <w:left w:w="115" w:type="dxa"/>
        <w:right w:w="115" w:type="dxa"/>
      </w:tblCellMar>
    </w:tblPr>
  </w:style>
  <w:style w:type="table" w:customStyle="1" w:styleId="af">
    <w:basedOn w:val="TableNormal7"/>
    <w:tblPr>
      <w:tblStyleRowBandSize w:val="1"/>
      <w:tblStyleColBandSize w:val="1"/>
      <w:tblCellMar>
        <w:left w:w="115" w:type="dxa"/>
        <w:right w:w="115" w:type="dxa"/>
      </w:tblCellMar>
    </w:tblPr>
  </w:style>
  <w:style w:type="table" w:customStyle="1" w:styleId="af0">
    <w:basedOn w:val="TableNormal7"/>
    <w:tblPr>
      <w:tblStyleRowBandSize w:val="1"/>
      <w:tblStyleColBandSize w:val="1"/>
      <w:tblCellMar>
        <w:left w:w="1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42517"/>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42517"/>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E42517"/>
    <w:rPr>
      <w:vertAlign w:val="superscript"/>
    </w:rPr>
  </w:style>
  <w:style w:type="paragraph" w:styleId="Sinespaciado">
    <w:name w:val="No Spacing"/>
    <w:aliases w:val="Francesa"/>
    <w:link w:val="SinespaciadoCar"/>
    <w:uiPriority w:val="1"/>
    <w:qFormat/>
    <w:rsid w:val="000009E2"/>
    <w:pPr>
      <w:spacing w:after="0" w:line="240" w:lineRule="auto"/>
    </w:pPr>
  </w:style>
  <w:style w:type="character" w:customStyle="1" w:styleId="SinespaciadoCar">
    <w:name w:val="Sin espaciado Car"/>
    <w:aliases w:val="Francesa Car"/>
    <w:link w:val="Sinespaciado"/>
    <w:uiPriority w:val="1"/>
    <w:locked/>
    <w:rsid w:val="00B33C26"/>
  </w:style>
  <w:style w:type="paragraph" w:styleId="Lista">
    <w:name w:val="List"/>
    <w:basedOn w:val="Normal"/>
    <w:uiPriority w:val="99"/>
    <w:unhideWhenUsed/>
    <w:rsid w:val="004127D1"/>
    <w:pPr>
      <w:ind w:left="283" w:hanging="283"/>
      <w:contextualSpacing/>
    </w:pPr>
  </w:style>
  <w:style w:type="paragraph" w:styleId="Lista2">
    <w:name w:val="List 2"/>
    <w:basedOn w:val="Normal"/>
    <w:uiPriority w:val="99"/>
    <w:unhideWhenUsed/>
    <w:rsid w:val="004127D1"/>
    <w:pPr>
      <w:ind w:left="566" w:hanging="283"/>
      <w:contextualSpacing/>
    </w:pPr>
  </w:style>
  <w:style w:type="paragraph" w:styleId="Lista3">
    <w:name w:val="List 3"/>
    <w:basedOn w:val="Normal"/>
    <w:uiPriority w:val="99"/>
    <w:unhideWhenUsed/>
    <w:rsid w:val="004127D1"/>
    <w:pPr>
      <w:ind w:left="849" w:hanging="283"/>
      <w:contextualSpacing/>
    </w:pPr>
  </w:style>
  <w:style w:type="paragraph" w:styleId="Listaconvietas2">
    <w:name w:val="List Bullet 2"/>
    <w:basedOn w:val="Normal"/>
    <w:uiPriority w:val="99"/>
    <w:unhideWhenUsed/>
    <w:rsid w:val="004127D1"/>
    <w:pPr>
      <w:tabs>
        <w:tab w:val="num" w:pos="720"/>
      </w:tabs>
      <w:ind w:left="720" w:hanging="720"/>
      <w:contextualSpacing/>
    </w:pPr>
  </w:style>
  <w:style w:type="paragraph" w:styleId="Continuarlista">
    <w:name w:val="List Continue"/>
    <w:basedOn w:val="Normal"/>
    <w:uiPriority w:val="99"/>
    <w:unhideWhenUsed/>
    <w:rsid w:val="004127D1"/>
    <w:pPr>
      <w:spacing w:after="120"/>
      <w:ind w:left="283"/>
      <w:contextualSpacing/>
    </w:pPr>
  </w:style>
  <w:style w:type="paragraph" w:styleId="Continuarlista2">
    <w:name w:val="List Continue 2"/>
    <w:basedOn w:val="Normal"/>
    <w:uiPriority w:val="99"/>
    <w:unhideWhenUsed/>
    <w:rsid w:val="004127D1"/>
    <w:pPr>
      <w:spacing w:after="120"/>
      <w:ind w:left="566"/>
      <w:contextualSpacing/>
    </w:pPr>
  </w:style>
  <w:style w:type="paragraph" w:styleId="Textoindependiente">
    <w:name w:val="Body Text"/>
    <w:basedOn w:val="Normal"/>
    <w:link w:val="TextoindependienteCar"/>
    <w:uiPriority w:val="99"/>
    <w:unhideWhenUsed/>
    <w:rsid w:val="004127D1"/>
    <w:pPr>
      <w:spacing w:after="120"/>
    </w:pPr>
  </w:style>
  <w:style w:type="character" w:customStyle="1" w:styleId="TextoindependienteCar">
    <w:name w:val="Texto independiente Car"/>
    <w:basedOn w:val="Fuentedeprrafopredeter"/>
    <w:link w:val="Textoindependiente"/>
    <w:uiPriority w:val="99"/>
    <w:rsid w:val="004127D1"/>
  </w:style>
  <w:style w:type="paragraph" w:styleId="Sangradetextonormal">
    <w:name w:val="Body Text Indent"/>
    <w:basedOn w:val="Normal"/>
    <w:link w:val="SangradetextonormalCar"/>
    <w:uiPriority w:val="99"/>
    <w:unhideWhenUsed/>
    <w:rsid w:val="004127D1"/>
    <w:pPr>
      <w:spacing w:after="120"/>
      <w:ind w:left="283"/>
    </w:pPr>
  </w:style>
  <w:style w:type="character" w:customStyle="1" w:styleId="SangradetextonormalCar">
    <w:name w:val="Sangría de texto normal Car"/>
    <w:basedOn w:val="Fuentedeprrafopredeter"/>
    <w:link w:val="Sangradetextonormal"/>
    <w:uiPriority w:val="99"/>
    <w:rsid w:val="004127D1"/>
  </w:style>
  <w:style w:type="paragraph" w:styleId="Textoindependienteprimerasangra2">
    <w:name w:val="Body Text First Indent 2"/>
    <w:basedOn w:val="Sangradetextonormal"/>
    <w:link w:val="Textoindependienteprimerasangra2Car"/>
    <w:uiPriority w:val="99"/>
    <w:unhideWhenUsed/>
    <w:rsid w:val="004127D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127D1"/>
  </w:style>
  <w:style w:type="table" w:customStyle="1" w:styleId="af1">
    <w:basedOn w:val="TableNormal7"/>
    <w:tblPr>
      <w:tblStyleRowBandSize w:val="1"/>
      <w:tblStyleColBandSize w:val="1"/>
      <w:tblCellMar>
        <w:left w:w="115" w:type="dxa"/>
        <w:right w:w="115" w:type="dxa"/>
      </w:tblCellMar>
    </w:tblPr>
  </w:style>
  <w:style w:type="table" w:customStyle="1" w:styleId="af2">
    <w:basedOn w:val="TableNormal7"/>
    <w:tblPr>
      <w:tblStyleRowBandSize w:val="1"/>
      <w:tblStyleColBandSize w:val="1"/>
      <w:tblCellMar>
        <w:left w:w="115" w:type="dxa"/>
        <w:right w:w="115" w:type="dxa"/>
      </w:tblCellMar>
    </w:tblPr>
  </w:style>
  <w:style w:type="table" w:customStyle="1" w:styleId="af3">
    <w:basedOn w:val="TableNormal7"/>
    <w:tblPr>
      <w:tblStyleRowBandSize w:val="1"/>
      <w:tblStyleColBandSize w:val="1"/>
      <w:tblCellMar>
        <w:left w:w="115" w:type="dxa"/>
        <w:right w:w="115" w:type="dxa"/>
      </w:tblCellMar>
    </w:tblPr>
  </w:style>
  <w:style w:type="table" w:customStyle="1" w:styleId="af4">
    <w:basedOn w:val="TableNormal7"/>
    <w:tblPr>
      <w:tblStyleRowBandSize w:val="1"/>
      <w:tblStyleColBandSize w:val="1"/>
      <w:tblCellMar>
        <w:left w:w="115" w:type="dxa"/>
        <w:right w:w="115" w:type="dxa"/>
      </w:tblCellMar>
    </w:tblPr>
  </w:style>
  <w:style w:type="table" w:customStyle="1" w:styleId="af5">
    <w:basedOn w:val="TableNormal7"/>
    <w:tblPr>
      <w:tblStyleRowBandSize w:val="1"/>
      <w:tblStyleColBandSize w:val="1"/>
      <w:tblCellMar>
        <w:left w:w="115" w:type="dxa"/>
        <w:right w:w="115" w:type="dxa"/>
      </w:tblCellMar>
    </w:tblPr>
  </w:style>
  <w:style w:type="paragraph" w:styleId="NormalWeb">
    <w:name w:val="Normal (Web)"/>
    <w:basedOn w:val="Normal"/>
    <w:uiPriority w:val="99"/>
    <w:unhideWhenUsed/>
    <w:rsid w:val="00B477FB"/>
    <w:pPr>
      <w:spacing w:before="100" w:beforeAutospacing="1" w:after="100" w:afterAutospacing="1"/>
    </w:pPr>
  </w:style>
  <w:style w:type="table" w:customStyle="1" w:styleId="af6">
    <w:basedOn w:val="TableNormal6"/>
    <w:tblPr>
      <w:tblStyleRowBandSize w:val="1"/>
      <w:tblStyleColBandSize w:val="1"/>
      <w:tblCellMar>
        <w:left w:w="115" w:type="dxa"/>
        <w:right w:w="115" w:type="dxa"/>
      </w:tblCellMar>
    </w:tblPr>
  </w:style>
  <w:style w:type="table" w:customStyle="1" w:styleId="af7">
    <w:basedOn w:val="TableNormal6"/>
    <w:tblPr>
      <w:tblStyleRowBandSize w:val="1"/>
      <w:tblStyleColBandSize w:val="1"/>
      <w:tblCellMar>
        <w:left w:w="115" w:type="dxa"/>
        <w:right w:w="115" w:type="dxa"/>
      </w:tblCellMar>
    </w:tblPr>
  </w:style>
  <w:style w:type="table" w:customStyle="1" w:styleId="af8">
    <w:basedOn w:val="TableNormal6"/>
    <w:tblPr>
      <w:tblStyleRowBandSize w:val="1"/>
      <w:tblStyleColBandSize w:val="1"/>
      <w:tblCellMar>
        <w:left w:w="108" w:type="dxa"/>
        <w:right w:w="108" w:type="dxa"/>
      </w:tblCellMar>
    </w:tblPr>
  </w:style>
  <w:style w:type="table" w:customStyle="1" w:styleId="af9">
    <w:basedOn w:val="TableNormal6"/>
    <w:tblPr>
      <w:tblStyleRowBandSize w:val="1"/>
      <w:tblStyleColBandSize w:val="1"/>
      <w:tblCellMar>
        <w:left w:w="115" w:type="dxa"/>
        <w:right w:w="115" w:type="dxa"/>
      </w:tblCellMar>
    </w:tblPr>
  </w:style>
  <w:style w:type="table" w:customStyle="1" w:styleId="afa">
    <w:basedOn w:val="TableNormal6"/>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locked/>
    <w:rsid w:val="00D7226C"/>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5"/>
    <w:tblPr>
      <w:tblStyleRowBandSize w:val="1"/>
      <w:tblStyleColBandSize w:val="1"/>
      <w:tblCellMar>
        <w:left w:w="115" w:type="dxa"/>
        <w:right w:w="115" w:type="dxa"/>
      </w:tblCellMar>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5"/>
    <w:tblPr>
      <w:tblStyleRowBandSize w:val="1"/>
      <w:tblStyleColBandSize w:val="1"/>
      <w:tblCellMar>
        <w:left w:w="115" w:type="dxa"/>
        <w:right w:w="115"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4"/>
    <w:tblPr>
      <w:tblStyleRowBandSize w:val="1"/>
      <w:tblStyleColBandSize w:val="1"/>
      <w:tblCellMar>
        <w:left w:w="115" w:type="dxa"/>
        <w:right w:w="115" w:type="dxa"/>
      </w:tblCellMar>
    </w:tblPr>
  </w:style>
  <w:style w:type="table" w:customStyle="1" w:styleId="aff1">
    <w:basedOn w:val="TableNormal4"/>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character" w:customStyle="1" w:styleId="Ttulo1Car">
    <w:name w:val="Título 1 Car"/>
    <w:basedOn w:val="Fuentedeprrafopredeter"/>
    <w:link w:val="Ttulo1"/>
    <w:uiPriority w:val="9"/>
    <w:rsid w:val="000009E2"/>
    <w:rPr>
      <w:rFonts w:asciiTheme="majorHAnsi" w:eastAsiaTheme="majorEastAsia" w:hAnsiTheme="majorHAnsi" w:cstheme="majorBidi"/>
      <w:caps/>
      <w:sz w:val="36"/>
      <w:szCs w:val="36"/>
    </w:rPr>
  </w:style>
  <w:style w:type="character" w:customStyle="1" w:styleId="Ttulo2Car">
    <w:name w:val="Título 2 Car"/>
    <w:basedOn w:val="Fuentedeprrafopredeter"/>
    <w:link w:val="Ttulo2"/>
    <w:uiPriority w:val="9"/>
    <w:semiHidden/>
    <w:rsid w:val="000009E2"/>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semiHidden/>
    <w:rsid w:val="000009E2"/>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semiHidden/>
    <w:rsid w:val="000009E2"/>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0009E2"/>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0009E2"/>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0009E2"/>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0009E2"/>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0009E2"/>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0009E2"/>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0009E2"/>
    <w:rPr>
      <w:rFonts w:asciiTheme="majorHAnsi" w:eastAsiaTheme="majorEastAsia" w:hAnsiTheme="majorHAnsi" w:cstheme="majorBidi"/>
      <w:caps/>
      <w:color w:val="404040" w:themeColor="text1" w:themeTint="BF"/>
      <w:spacing w:val="-10"/>
      <w:sz w:val="72"/>
      <w:szCs w:val="72"/>
    </w:rPr>
  </w:style>
  <w:style w:type="character" w:customStyle="1" w:styleId="SubttuloCar">
    <w:name w:val="Subtítulo Car"/>
    <w:basedOn w:val="Fuentedeprrafopredeter"/>
    <w:link w:val="Subttulo"/>
    <w:uiPriority w:val="11"/>
    <w:rsid w:val="000009E2"/>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0009E2"/>
    <w:rPr>
      <w:b/>
      <w:bCs/>
    </w:rPr>
  </w:style>
  <w:style w:type="character" w:styleId="nfasis">
    <w:name w:val="Emphasis"/>
    <w:basedOn w:val="Fuentedeprrafopredeter"/>
    <w:uiPriority w:val="20"/>
    <w:qFormat/>
    <w:rsid w:val="000009E2"/>
    <w:rPr>
      <w:i/>
      <w:iCs/>
    </w:rPr>
  </w:style>
  <w:style w:type="paragraph" w:styleId="Cita">
    <w:name w:val="Quote"/>
    <w:basedOn w:val="Normal"/>
    <w:next w:val="Normal"/>
    <w:link w:val="CitaCar"/>
    <w:uiPriority w:val="29"/>
    <w:qFormat/>
    <w:rsid w:val="000009E2"/>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0009E2"/>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0009E2"/>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0009E2"/>
    <w:rPr>
      <w:color w:val="404040" w:themeColor="text1" w:themeTint="BF"/>
      <w:sz w:val="32"/>
      <w:szCs w:val="32"/>
    </w:rPr>
  </w:style>
  <w:style w:type="character" w:styleId="nfasissutil">
    <w:name w:val="Subtle Emphasis"/>
    <w:basedOn w:val="Fuentedeprrafopredeter"/>
    <w:uiPriority w:val="19"/>
    <w:qFormat/>
    <w:rsid w:val="000009E2"/>
    <w:rPr>
      <w:i/>
      <w:iCs/>
      <w:color w:val="595959" w:themeColor="text1" w:themeTint="A6"/>
    </w:rPr>
  </w:style>
  <w:style w:type="character" w:styleId="nfasisintenso">
    <w:name w:val="Intense Emphasis"/>
    <w:basedOn w:val="Fuentedeprrafopredeter"/>
    <w:uiPriority w:val="21"/>
    <w:qFormat/>
    <w:rsid w:val="000009E2"/>
    <w:rPr>
      <w:b/>
      <w:bCs/>
      <w:i/>
      <w:iCs/>
    </w:rPr>
  </w:style>
  <w:style w:type="character" w:styleId="Referenciasutil">
    <w:name w:val="Subtle Reference"/>
    <w:basedOn w:val="Fuentedeprrafopredeter"/>
    <w:uiPriority w:val="31"/>
    <w:qFormat/>
    <w:rsid w:val="000009E2"/>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0009E2"/>
    <w:rPr>
      <w:b/>
      <w:bCs/>
      <w:caps w:val="0"/>
      <w:smallCaps/>
      <w:color w:val="auto"/>
      <w:spacing w:val="3"/>
      <w:u w:val="single"/>
    </w:rPr>
  </w:style>
  <w:style w:type="character" w:styleId="Ttulodellibro">
    <w:name w:val="Book Title"/>
    <w:basedOn w:val="Fuentedeprrafopredeter"/>
    <w:uiPriority w:val="33"/>
    <w:qFormat/>
    <w:rsid w:val="000009E2"/>
    <w:rPr>
      <w:b/>
      <w:bCs/>
      <w:smallCaps/>
      <w:spacing w:val="7"/>
    </w:rPr>
  </w:style>
  <w:style w:type="paragraph" w:styleId="TtuloTDC">
    <w:name w:val="TOC Heading"/>
    <w:basedOn w:val="Ttulo1"/>
    <w:next w:val="Normal"/>
    <w:uiPriority w:val="39"/>
    <w:semiHidden/>
    <w:unhideWhenUsed/>
    <w:qFormat/>
    <w:rsid w:val="000009E2"/>
    <w:pPr>
      <w:outlineLvl w:val="9"/>
    </w:pPr>
  </w:style>
  <w:style w:type="table" w:customStyle="1" w:styleId="aff3">
    <w:basedOn w:val="TableNormal3"/>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08" w:type="dxa"/>
        <w:right w:w="108"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left w:w="115" w:type="dxa"/>
        <w:right w:w="115" w:type="dxa"/>
      </w:tblCellMar>
    </w:tblPr>
  </w:style>
  <w:style w:type="table" w:customStyle="1" w:styleId="affd">
    <w:basedOn w:val="TableNormal2"/>
    <w:tblPr>
      <w:tblStyleRowBandSize w:val="1"/>
      <w:tblStyleColBandSize w:val="1"/>
      <w:tblCellMar>
        <w:left w:w="115" w:type="dxa"/>
        <w:right w:w="115" w:type="dxa"/>
      </w:tblCellMar>
    </w:tblPr>
  </w:style>
  <w:style w:type="table" w:customStyle="1" w:styleId="affe">
    <w:basedOn w:val="TableNormal2"/>
    <w:tblPr>
      <w:tblStyleRowBandSize w:val="1"/>
      <w:tblStyleColBandSize w:val="1"/>
      <w:tblCellMar>
        <w:left w:w="115" w:type="dxa"/>
        <w:right w:w="115" w:type="dxa"/>
      </w:tblCellMar>
    </w:tblPr>
  </w:style>
  <w:style w:type="paragraph" w:customStyle="1" w:styleId="Default">
    <w:name w:val="Default"/>
    <w:rsid w:val="00557977"/>
    <w:pPr>
      <w:autoSpaceDE w:val="0"/>
      <w:autoSpaceDN w:val="0"/>
      <w:adjustRightInd w:val="0"/>
      <w:spacing w:after="0" w:line="240" w:lineRule="auto"/>
    </w:pPr>
    <w:rPr>
      <w:rFonts w:ascii="Tahoma" w:hAnsi="Tahoma" w:cs="Tahoma"/>
      <w:color w:val="000000"/>
      <w:sz w:val="24"/>
      <w:szCs w:val="24"/>
    </w:r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9C12D4"/>
    <w:rPr>
      <w:color w:val="605E5C"/>
      <w:shd w:val="clear" w:color="auto" w:fill="E1DFDD"/>
    </w:rPr>
  </w:style>
  <w:style w:type="character" w:styleId="Hipervnculovisitado">
    <w:name w:val="FollowedHyperlink"/>
    <w:basedOn w:val="Fuentedeprrafopredeter"/>
    <w:uiPriority w:val="99"/>
    <w:semiHidden/>
    <w:unhideWhenUsed/>
    <w:rsid w:val="00132376"/>
    <w:rPr>
      <w:color w:val="954F72" w:themeColor="followedHyperlink"/>
      <w:u w:val="single"/>
    </w:r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parenciafiscal.edomex.gob.mx/indicadores_programa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transparenciafiscal.edomex.gob.mx/indicadores_programa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2/EQQ97aTE/C2H0u9X7covPQA==">CgMxLjAyCWguMWZvYjl0ZTIJaC4zem55c2g3MghoLnR5amN3dDIJaC4zcmRjcmpuMgloLjE3ZHA4dnUyCGguZ2pkZ3hzOAByITE3bExUdHh6VU0tSjdVbVB5MHI2Z1NTX1FheWFwc0tOWQ==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10090</Words>
  <Characters>55499</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2024-11-29T18:23:00Z</cp:lastPrinted>
  <dcterms:created xsi:type="dcterms:W3CDTF">2024-12-06T18:32:00Z</dcterms:created>
  <dcterms:modified xsi:type="dcterms:W3CDTF">2024-12-06T18:32:00Z</dcterms:modified>
</cp:coreProperties>
</file>